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A33C6" w:rsidP="006C30E8">
            <w:pPr>
              <w:rPr>
                <w:rFonts w:ascii="Arial" w:hAnsi="Arial" w:cs="Arial"/>
                <w:b/>
                <w:color w:val="002C47"/>
                <w:sz w:val="36"/>
                <w:szCs w:val="36"/>
              </w:rPr>
            </w:pPr>
            <w:r>
              <w:rPr>
                <w:rFonts w:ascii="Arial" w:hAnsi="Arial" w:cs="Arial"/>
                <w:b/>
                <w:color w:val="002C47"/>
                <w:sz w:val="36"/>
                <w:szCs w:val="36"/>
              </w:rPr>
              <w:t>September</w:t>
            </w:r>
            <w:r w:rsidR="00B465EC">
              <w:rPr>
                <w:rFonts w:ascii="Arial" w:hAnsi="Arial" w:cs="Arial"/>
                <w:b/>
                <w:color w:val="002C47"/>
                <w:sz w:val="36"/>
                <w:szCs w:val="36"/>
              </w:rPr>
              <w:t xml:space="preserve"> </w:t>
            </w:r>
            <w:r w:rsidR="00AB0C14">
              <w:rPr>
                <w:rFonts w:ascii="Arial" w:hAnsi="Arial" w:cs="Arial"/>
                <w:b/>
                <w:color w:val="002C47"/>
                <w:sz w:val="36"/>
                <w:szCs w:val="36"/>
              </w:rPr>
              <w:t>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B0C14">
            <w:pPr>
              <w:pStyle w:val="Title"/>
              <w:rPr>
                <w:color w:val="FFFFFF" w:themeColor="background1"/>
              </w:rPr>
            </w:pPr>
            <w:r w:rsidRPr="00A964D1">
              <w:rPr>
                <w:color w:val="FFFFFF" w:themeColor="background1"/>
              </w:rPr>
              <w:t xml:space="preserve">Australian Public Assessment Report for </w:t>
            </w:r>
            <w:r w:rsidR="00AB0C14" w:rsidRPr="00AB0C14">
              <w:rPr>
                <w:color w:val="FFFFFF" w:themeColor="background1"/>
              </w:rPr>
              <w:t>Aclidinium bromide</w:t>
            </w:r>
          </w:p>
        </w:tc>
      </w:tr>
      <w:tr w:rsidR="0032583B" w:rsidRPr="00B64760" w:rsidTr="0032583B">
        <w:tc>
          <w:tcPr>
            <w:tcW w:w="9079" w:type="dxa"/>
          </w:tcPr>
          <w:p w:rsidR="0032583B" w:rsidRPr="008E7846" w:rsidRDefault="0032583B" w:rsidP="00AB0C14">
            <w:pPr>
              <w:pStyle w:val="Subtitle"/>
              <w:rPr>
                <w:color w:val="FFFFFF" w:themeColor="background1"/>
              </w:rPr>
            </w:pPr>
            <w:r w:rsidRPr="008E7846">
              <w:rPr>
                <w:color w:val="FFFFFF" w:themeColor="background1"/>
              </w:rPr>
              <w:t xml:space="preserve">Proprietary Product Name: </w:t>
            </w:r>
            <w:r w:rsidR="00AB0C14">
              <w:rPr>
                <w:color w:val="FFFFFF" w:themeColor="background1"/>
              </w:rPr>
              <w:t>Bretaris Genuair</w:t>
            </w:r>
          </w:p>
        </w:tc>
      </w:tr>
      <w:tr w:rsidR="0032583B" w:rsidRPr="00994942" w:rsidTr="0032583B">
        <w:trPr>
          <w:trHeight w:val="486"/>
        </w:trPr>
        <w:tc>
          <w:tcPr>
            <w:tcW w:w="9079" w:type="dxa"/>
          </w:tcPr>
          <w:p w:rsidR="0032583B" w:rsidRPr="00B465EC" w:rsidRDefault="008C44AA" w:rsidP="0032583B">
            <w:pPr>
              <w:pStyle w:val="Subtitle"/>
              <w:rPr>
                <w:color w:val="FFFFFF" w:themeColor="background1"/>
                <w:lang w:val="it-IT"/>
              </w:rPr>
            </w:pPr>
            <w:r w:rsidRPr="00B465EC">
              <w:rPr>
                <w:color w:val="FFFFFF" w:themeColor="background1"/>
                <w:lang w:val="it-IT"/>
              </w:rPr>
              <w:t>Sponsor: A Menarini Australia Pty Ltd</w:t>
            </w:r>
          </w:p>
        </w:tc>
      </w:tr>
    </w:tbl>
    <w:p w:rsidR="008E7846" w:rsidRPr="00B465EC" w:rsidRDefault="008C44AA" w:rsidP="0085156D">
      <w:r w:rsidRPr="00B465EC">
        <w:br w:type="page"/>
      </w:r>
    </w:p>
    <w:p w:rsidR="008E7846" w:rsidRPr="001F6CBA" w:rsidRDefault="008E7846" w:rsidP="008E7846">
      <w:pPr>
        <w:pStyle w:val="NonTOCHeading2"/>
      </w:pPr>
      <w:r w:rsidRPr="001F6CBA">
        <w:lastRenderedPageBreak/>
        <w:t>About the Therapeutic Goods Administration (TGA)</w:t>
      </w:r>
    </w:p>
    <w:p w:rsidR="008E7846" w:rsidRDefault="008E7846" w:rsidP="00FC481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FC481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C481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C481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C481E">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FC481E">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FC481E">
      <w:pPr>
        <w:pStyle w:val="ListBullet"/>
        <w:numPr>
          <w:ilvl w:val="0"/>
          <w:numId w:val="1"/>
        </w:numPr>
        <w:ind w:left="357" w:hanging="357"/>
      </w:pPr>
      <w:r>
        <w:t>AusPARs are prepared and published by the TGA.</w:t>
      </w:r>
    </w:p>
    <w:p w:rsidR="008E7846" w:rsidRDefault="008E7846" w:rsidP="00FC481E">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FC481E">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FC481E">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A205A" w:rsidRDefault="008C44A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0115398" w:history="1">
            <w:r w:rsidR="00CA205A" w:rsidRPr="00426C61">
              <w:rPr>
                <w:rStyle w:val="Hyperlink"/>
                <w:noProof/>
              </w:rPr>
              <w:t>List of abbreviations commonly used in this AusPAR</w:t>
            </w:r>
            <w:r w:rsidR="00CA205A">
              <w:rPr>
                <w:noProof/>
                <w:webHidden/>
              </w:rPr>
              <w:tab/>
            </w:r>
            <w:r w:rsidR="00CA205A">
              <w:rPr>
                <w:noProof/>
                <w:webHidden/>
              </w:rPr>
              <w:fldChar w:fldCharType="begin"/>
            </w:r>
            <w:r w:rsidR="00CA205A">
              <w:rPr>
                <w:noProof/>
                <w:webHidden/>
              </w:rPr>
              <w:instrText xml:space="preserve"> PAGEREF _Toc400115398 \h </w:instrText>
            </w:r>
            <w:r w:rsidR="00CA205A">
              <w:rPr>
                <w:noProof/>
                <w:webHidden/>
              </w:rPr>
            </w:r>
            <w:r w:rsidR="00CA205A">
              <w:rPr>
                <w:noProof/>
                <w:webHidden/>
              </w:rPr>
              <w:fldChar w:fldCharType="separate"/>
            </w:r>
            <w:r w:rsidR="00CA205A">
              <w:rPr>
                <w:noProof/>
                <w:webHidden/>
              </w:rPr>
              <w:t>5</w:t>
            </w:r>
            <w:r w:rsidR="00CA205A">
              <w:rPr>
                <w:noProof/>
                <w:webHidden/>
              </w:rPr>
              <w:fldChar w:fldCharType="end"/>
            </w:r>
          </w:hyperlink>
        </w:p>
        <w:p w:rsidR="00CA205A" w:rsidRDefault="00CA205A">
          <w:pPr>
            <w:pStyle w:val="TOC2"/>
            <w:rPr>
              <w:rFonts w:asciiTheme="minorHAnsi" w:eastAsiaTheme="minorEastAsia" w:hAnsiTheme="minorHAnsi" w:cstheme="minorBidi"/>
              <w:b w:val="0"/>
              <w:noProof/>
              <w:sz w:val="22"/>
              <w:lang w:eastAsia="en-AU"/>
            </w:rPr>
          </w:pPr>
          <w:hyperlink w:anchor="_Toc400115399" w:history="1">
            <w:r w:rsidRPr="00426C61">
              <w:rPr>
                <w:rStyle w:val="Hyperlink"/>
                <w:noProof/>
              </w:rPr>
              <w:t>I. Introduction to product submission</w:t>
            </w:r>
            <w:r>
              <w:rPr>
                <w:noProof/>
                <w:webHidden/>
              </w:rPr>
              <w:tab/>
            </w:r>
            <w:r>
              <w:rPr>
                <w:noProof/>
                <w:webHidden/>
              </w:rPr>
              <w:fldChar w:fldCharType="begin"/>
            </w:r>
            <w:r>
              <w:rPr>
                <w:noProof/>
                <w:webHidden/>
              </w:rPr>
              <w:instrText xml:space="preserve"> PAGEREF _Toc400115399 \h </w:instrText>
            </w:r>
            <w:r>
              <w:rPr>
                <w:noProof/>
                <w:webHidden/>
              </w:rPr>
            </w:r>
            <w:r>
              <w:rPr>
                <w:noProof/>
                <w:webHidden/>
              </w:rPr>
              <w:fldChar w:fldCharType="separate"/>
            </w:r>
            <w:r>
              <w:rPr>
                <w:noProof/>
                <w:webHidden/>
              </w:rPr>
              <w:t>10</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00" w:history="1">
            <w:r w:rsidRPr="00426C61">
              <w:rPr>
                <w:rStyle w:val="Hyperlink"/>
                <w:noProof/>
                <w:lang w:eastAsia="en-AU"/>
              </w:rPr>
              <w:t xml:space="preserve">Submission </w:t>
            </w:r>
            <w:r w:rsidRPr="00426C61">
              <w:rPr>
                <w:rStyle w:val="Hyperlink"/>
                <w:noProof/>
              </w:rPr>
              <w:t>details</w:t>
            </w:r>
            <w:r>
              <w:rPr>
                <w:noProof/>
                <w:webHidden/>
              </w:rPr>
              <w:tab/>
            </w:r>
            <w:r>
              <w:rPr>
                <w:noProof/>
                <w:webHidden/>
              </w:rPr>
              <w:fldChar w:fldCharType="begin"/>
            </w:r>
            <w:r>
              <w:rPr>
                <w:noProof/>
                <w:webHidden/>
              </w:rPr>
              <w:instrText xml:space="preserve"> PAGEREF _Toc400115400 \h </w:instrText>
            </w:r>
            <w:r>
              <w:rPr>
                <w:noProof/>
                <w:webHidden/>
              </w:rPr>
            </w:r>
            <w:r>
              <w:rPr>
                <w:noProof/>
                <w:webHidden/>
              </w:rPr>
              <w:fldChar w:fldCharType="separate"/>
            </w:r>
            <w:r>
              <w:rPr>
                <w:noProof/>
                <w:webHidden/>
              </w:rPr>
              <w:t>10</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01" w:history="1">
            <w:r w:rsidRPr="00426C61">
              <w:rPr>
                <w:rStyle w:val="Hyperlink"/>
                <w:noProof/>
              </w:rPr>
              <w:t>Product background</w:t>
            </w:r>
            <w:r>
              <w:rPr>
                <w:noProof/>
                <w:webHidden/>
              </w:rPr>
              <w:tab/>
            </w:r>
            <w:r>
              <w:rPr>
                <w:noProof/>
                <w:webHidden/>
              </w:rPr>
              <w:fldChar w:fldCharType="begin"/>
            </w:r>
            <w:r>
              <w:rPr>
                <w:noProof/>
                <w:webHidden/>
              </w:rPr>
              <w:instrText xml:space="preserve"> PAGEREF _Toc400115401 \h </w:instrText>
            </w:r>
            <w:r>
              <w:rPr>
                <w:noProof/>
                <w:webHidden/>
              </w:rPr>
            </w:r>
            <w:r>
              <w:rPr>
                <w:noProof/>
                <w:webHidden/>
              </w:rPr>
              <w:fldChar w:fldCharType="separate"/>
            </w:r>
            <w:r>
              <w:rPr>
                <w:noProof/>
                <w:webHidden/>
              </w:rPr>
              <w:t>10</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02" w:history="1">
            <w:r w:rsidRPr="00426C61">
              <w:rPr>
                <w:rStyle w:val="Hyperlink"/>
                <w:noProof/>
              </w:rPr>
              <w:t>Regulatory status</w:t>
            </w:r>
            <w:r>
              <w:rPr>
                <w:noProof/>
                <w:webHidden/>
              </w:rPr>
              <w:tab/>
            </w:r>
            <w:r>
              <w:rPr>
                <w:noProof/>
                <w:webHidden/>
              </w:rPr>
              <w:fldChar w:fldCharType="begin"/>
            </w:r>
            <w:r>
              <w:rPr>
                <w:noProof/>
                <w:webHidden/>
              </w:rPr>
              <w:instrText xml:space="preserve"> PAGEREF _Toc400115402 \h </w:instrText>
            </w:r>
            <w:r>
              <w:rPr>
                <w:noProof/>
                <w:webHidden/>
              </w:rPr>
            </w:r>
            <w:r>
              <w:rPr>
                <w:noProof/>
                <w:webHidden/>
              </w:rPr>
              <w:fldChar w:fldCharType="separate"/>
            </w:r>
            <w:r>
              <w:rPr>
                <w:noProof/>
                <w:webHidden/>
              </w:rPr>
              <w:t>11</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03" w:history="1">
            <w:r w:rsidRPr="00426C61">
              <w:rPr>
                <w:rStyle w:val="Hyperlink"/>
                <w:noProof/>
              </w:rPr>
              <w:t>Product Information</w:t>
            </w:r>
            <w:r>
              <w:rPr>
                <w:noProof/>
                <w:webHidden/>
              </w:rPr>
              <w:tab/>
            </w:r>
            <w:r>
              <w:rPr>
                <w:noProof/>
                <w:webHidden/>
              </w:rPr>
              <w:fldChar w:fldCharType="begin"/>
            </w:r>
            <w:r>
              <w:rPr>
                <w:noProof/>
                <w:webHidden/>
              </w:rPr>
              <w:instrText xml:space="preserve"> PAGEREF _Toc400115403 \h </w:instrText>
            </w:r>
            <w:r>
              <w:rPr>
                <w:noProof/>
                <w:webHidden/>
              </w:rPr>
            </w:r>
            <w:r>
              <w:rPr>
                <w:noProof/>
                <w:webHidden/>
              </w:rPr>
              <w:fldChar w:fldCharType="separate"/>
            </w:r>
            <w:r>
              <w:rPr>
                <w:noProof/>
                <w:webHidden/>
              </w:rPr>
              <w:t>12</w:t>
            </w:r>
            <w:r>
              <w:rPr>
                <w:noProof/>
                <w:webHidden/>
              </w:rPr>
              <w:fldChar w:fldCharType="end"/>
            </w:r>
          </w:hyperlink>
        </w:p>
        <w:p w:rsidR="00CA205A" w:rsidRDefault="00CA205A">
          <w:pPr>
            <w:pStyle w:val="TOC2"/>
            <w:rPr>
              <w:rFonts w:asciiTheme="minorHAnsi" w:eastAsiaTheme="minorEastAsia" w:hAnsiTheme="minorHAnsi" w:cstheme="minorBidi"/>
              <w:b w:val="0"/>
              <w:noProof/>
              <w:sz w:val="22"/>
              <w:lang w:eastAsia="en-AU"/>
            </w:rPr>
          </w:pPr>
          <w:hyperlink w:anchor="_Toc400115404" w:history="1">
            <w:r w:rsidRPr="00426C61">
              <w:rPr>
                <w:rStyle w:val="Hyperlink"/>
                <w:noProof/>
              </w:rPr>
              <w:t>II. Quality findings</w:t>
            </w:r>
            <w:r>
              <w:rPr>
                <w:noProof/>
                <w:webHidden/>
              </w:rPr>
              <w:tab/>
            </w:r>
            <w:r>
              <w:rPr>
                <w:noProof/>
                <w:webHidden/>
              </w:rPr>
              <w:fldChar w:fldCharType="begin"/>
            </w:r>
            <w:r>
              <w:rPr>
                <w:noProof/>
                <w:webHidden/>
              </w:rPr>
              <w:instrText xml:space="preserve"> PAGEREF _Toc400115404 \h </w:instrText>
            </w:r>
            <w:r>
              <w:rPr>
                <w:noProof/>
                <w:webHidden/>
              </w:rPr>
            </w:r>
            <w:r>
              <w:rPr>
                <w:noProof/>
                <w:webHidden/>
              </w:rPr>
              <w:fldChar w:fldCharType="separate"/>
            </w:r>
            <w:r>
              <w:rPr>
                <w:noProof/>
                <w:webHidden/>
              </w:rPr>
              <w:t>12</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05" w:history="1">
            <w:r w:rsidRPr="00426C61">
              <w:rPr>
                <w:rStyle w:val="Hyperlink"/>
                <w:noProof/>
              </w:rPr>
              <w:t>Introduction</w:t>
            </w:r>
            <w:r>
              <w:rPr>
                <w:noProof/>
                <w:webHidden/>
              </w:rPr>
              <w:tab/>
            </w:r>
            <w:r>
              <w:rPr>
                <w:noProof/>
                <w:webHidden/>
              </w:rPr>
              <w:fldChar w:fldCharType="begin"/>
            </w:r>
            <w:r>
              <w:rPr>
                <w:noProof/>
                <w:webHidden/>
              </w:rPr>
              <w:instrText xml:space="preserve"> PAGEREF _Toc400115405 \h </w:instrText>
            </w:r>
            <w:r>
              <w:rPr>
                <w:noProof/>
                <w:webHidden/>
              </w:rPr>
            </w:r>
            <w:r>
              <w:rPr>
                <w:noProof/>
                <w:webHidden/>
              </w:rPr>
              <w:fldChar w:fldCharType="separate"/>
            </w:r>
            <w:r>
              <w:rPr>
                <w:noProof/>
                <w:webHidden/>
              </w:rPr>
              <w:t>12</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06" w:history="1">
            <w:r w:rsidRPr="00426C61">
              <w:rPr>
                <w:rStyle w:val="Hyperlink"/>
                <w:noProof/>
              </w:rPr>
              <w:t>Drug substance (active ingredient)</w:t>
            </w:r>
            <w:r>
              <w:rPr>
                <w:noProof/>
                <w:webHidden/>
              </w:rPr>
              <w:tab/>
            </w:r>
            <w:r>
              <w:rPr>
                <w:noProof/>
                <w:webHidden/>
              </w:rPr>
              <w:fldChar w:fldCharType="begin"/>
            </w:r>
            <w:r>
              <w:rPr>
                <w:noProof/>
                <w:webHidden/>
              </w:rPr>
              <w:instrText xml:space="preserve"> PAGEREF _Toc400115406 \h </w:instrText>
            </w:r>
            <w:r>
              <w:rPr>
                <w:noProof/>
                <w:webHidden/>
              </w:rPr>
            </w:r>
            <w:r>
              <w:rPr>
                <w:noProof/>
                <w:webHidden/>
              </w:rPr>
              <w:fldChar w:fldCharType="separate"/>
            </w:r>
            <w:r>
              <w:rPr>
                <w:noProof/>
                <w:webHidden/>
              </w:rPr>
              <w:t>12</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07" w:history="1">
            <w:r w:rsidRPr="00426C61">
              <w:rPr>
                <w:rStyle w:val="Hyperlink"/>
                <w:noProof/>
              </w:rPr>
              <w:t>Drug product</w:t>
            </w:r>
            <w:r>
              <w:rPr>
                <w:noProof/>
                <w:webHidden/>
              </w:rPr>
              <w:tab/>
            </w:r>
            <w:r>
              <w:rPr>
                <w:noProof/>
                <w:webHidden/>
              </w:rPr>
              <w:fldChar w:fldCharType="begin"/>
            </w:r>
            <w:r>
              <w:rPr>
                <w:noProof/>
                <w:webHidden/>
              </w:rPr>
              <w:instrText xml:space="preserve"> PAGEREF _Toc400115407 \h </w:instrText>
            </w:r>
            <w:r>
              <w:rPr>
                <w:noProof/>
                <w:webHidden/>
              </w:rPr>
            </w:r>
            <w:r>
              <w:rPr>
                <w:noProof/>
                <w:webHidden/>
              </w:rPr>
              <w:fldChar w:fldCharType="separate"/>
            </w:r>
            <w:r>
              <w:rPr>
                <w:noProof/>
                <w:webHidden/>
              </w:rPr>
              <w:t>13</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08" w:history="1">
            <w:r w:rsidRPr="00426C61">
              <w:rPr>
                <w:rStyle w:val="Hyperlink"/>
                <w:noProof/>
              </w:rPr>
              <w:t>Quality summary and conclusions</w:t>
            </w:r>
            <w:r>
              <w:rPr>
                <w:noProof/>
                <w:webHidden/>
              </w:rPr>
              <w:tab/>
            </w:r>
            <w:r>
              <w:rPr>
                <w:noProof/>
                <w:webHidden/>
              </w:rPr>
              <w:fldChar w:fldCharType="begin"/>
            </w:r>
            <w:r>
              <w:rPr>
                <w:noProof/>
                <w:webHidden/>
              </w:rPr>
              <w:instrText xml:space="preserve"> PAGEREF _Toc400115408 \h </w:instrText>
            </w:r>
            <w:r>
              <w:rPr>
                <w:noProof/>
                <w:webHidden/>
              </w:rPr>
            </w:r>
            <w:r>
              <w:rPr>
                <w:noProof/>
                <w:webHidden/>
              </w:rPr>
              <w:fldChar w:fldCharType="separate"/>
            </w:r>
            <w:r>
              <w:rPr>
                <w:noProof/>
                <w:webHidden/>
              </w:rPr>
              <w:t>13</w:t>
            </w:r>
            <w:r>
              <w:rPr>
                <w:noProof/>
                <w:webHidden/>
              </w:rPr>
              <w:fldChar w:fldCharType="end"/>
            </w:r>
          </w:hyperlink>
        </w:p>
        <w:p w:rsidR="00CA205A" w:rsidRDefault="00CA205A">
          <w:pPr>
            <w:pStyle w:val="TOC2"/>
            <w:rPr>
              <w:rFonts w:asciiTheme="minorHAnsi" w:eastAsiaTheme="minorEastAsia" w:hAnsiTheme="minorHAnsi" w:cstheme="minorBidi"/>
              <w:b w:val="0"/>
              <w:noProof/>
              <w:sz w:val="22"/>
              <w:lang w:eastAsia="en-AU"/>
            </w:rPr>
          </w:pPr>
          <w:hyperlink w:anchor="_Toc400115409" w:history="1">
            <w:r w:rsidRPr="00426C61">
              <w:rPr>
                <w:rStyle w:val="Hyperlink"/>
                <w:noProof/>
              </w:rPr>
              <w:t>III. Nonclinical findings</w:t>
            </w:r>
            <w:r>
              <w:rPr>
                <w:noProof/>
                <w:webHidden/>
              </w:rPr>
              <w:tab/>
            </w:r>
            <w:r>
              <w:rPr>
                <w:noProof/>
                <w:webHidden/>
              </w:rPr>
              <w:fldChar w:fldCharType="begin"/>
            </w:r>
            <w:r>
              <w:rPr>
                <w:noProof/>
                <w:webHidden/>
              </w:rPr>
              <w:instrText xml:space="preserve"> PAGEREF _Toc400115409 \h </w:instrText>
            </w:r>
            <w:r>
              <w:rPr>
                <w:noProof/>
                <w:webHidden/>
              </w:rPr>
            </w:r>
            <w:r>
              <w:rPr>
                <w:noProof/>
                <w:webHidden/>
              </w:rPr>
              <w:fldChar w:fldCharType="separate"/>
            </w:r>
            <w:r>
              <w:rPr>
                <w:noProof/>
                <w:webHidden/>
              </w:rPr>
              <w:t>13</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10" w:history="1">
            <w:r w:rsidRPr="00426C61">
              <w:rPr>
                <w:rStyle w:val="Hyperlink"/>
                <w:noProof/>
              </w:rPr>
              <w:t>Introduction</w:t>
            </w:r>
            <w:r>
              <w:rPr>
                <w:noProof/>
                <w:webHidden/>
              </w:rPr>
              <w:tab/>
            </w:r>
            <w:r>
              <w:rPr>
                <w:noProof/>
                <w:webHidden/>
              </w:rPr>
              <w:fldChar w:fldCharType="begin"/>
            </w:r>
            <w:r>
              <w:rPr>
                <w:noProof/>
                <w:webHidden/>
              </w:rPr>
              <w:instrText xml:space="preserve"> PAGEREF _Toc400115410 \h </w:instrText>
            </w:r>
            <w:r>
              <w:rPr>
                <w:noProof/>
                <w:webHidden/>
              </w:rPr>
            </w:r>
            <w:r>
              <w:rPr>
                <w:noProof/>
                <w:webHidden/>
              </w:rPr>
              <w:fldChar w:fldCharType="separate"/>
            </w:r>
            <w:r>
              <w:rPr>
                <w:noProof/>
                <w:webHidden/>
              </w:rPr>
              <w:t>13</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11" w:history="1">
            <w:r w:rsidRPr="00426C61">
              <w:rPr>
                <w:rStyle w:val="Hyperlink"/>
                <w:noProof/>
              </w:rPr>
              <w:t>Pharmacology</w:t>
            </w:r>
            <w:r>
              <w:rPr>
                <w:noProof/>
                <w:webHidden/>
              </w:rPr>
              <w:tab/>
            </w:r>
            <w:r>
              <w:rPr>
                <w:noProof/>
                <w:webHidden/>
              </w:rPr>
              <w:fldChar w:fldCharType="begin"/>
            </w:r>
            <w:r>
              <w:rPr>
                <w:noProof/>
                <w:webHidden/>
              </w:rPr>
              <w:instrText xml:space="preserve"> PAGEREF _Toc400115411 \h </w:instrText>
            </w:r>
            <w:r>
              <w:rPr>
                <w:noProof/>
                <w:webHidden/>
              </w:rPr>
            </w:r>
            <w:r>
              <w:rPr>
                <w:noProof/>
                <w:webHidden/>
              </w:rPr>
              <w:fldChar w:fldCharType="separate"/>
            </w:r>
            <w:r>
              <w:rPr>
                <w:noProof/>
                <w:webHidden/>
              </w:rPr>
              <w:t>13</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12" w:history="1">
            <w:r w:rsidRPr="00426C61">
              <w:rPr>
                <w:rStyle w:val="Hyperlink"/>
                <w:noProof/>
              </w:rPr>
              <w:t>Pharmacokinetics</w:t>
            </w:r>
            <w:r>
              <w:rPr>
                <w:noProof/>
                <w:webHidden/>
              </w:rPr>
              <w:tab/>
            </w:r>
            <w:r>
              <w:rPr>
                <w:noProof/>
                <w:webHidden/>
              </w:rPr>
              <w:fldChar w:fldCharType="begin"/>
            </w:r>
            <w:r>
              <w:rPr>
                <w:noProof/>
                <w:webHidden/>
              </w:rPr>
              <w:instrText xml:space="preserve"> PAGEREF _Toc400115412 \h </w:instrText>
            </w:r>
            <w:r>
              <w:rPr>
                <w:noProof/>
                <w:webHidden/>
              </w:rPr>
            </w:r>
            <w:r>
              <w:rPr>
                <w:noProof/>
                <w:webHidden/>
              </w:rPr>
              <w:fldChar w:fldCharType="separate"/>
            </w:r>
            <w:r>
              <w:rPr>
                <w:noProof/>
                <w:webHidden/>
              </w:rPr>
              <w:t>15</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13" w:history="1">
            <w:r w:rsidRPr="00426C61">
              <w:rPr>
                <w:rStyle w:val="Hyperlink"/>
                <w:noProof/>
              </w:rPr>
              <w:t>Toxicology</w:t>
            </w:r>
            <w:r>
              <w:rPr>
                <w:noProof/>
                <w:webHidden/>
              </w:rPr>
              <w:tab/>
            </w:r>
            <w:r>
              <w:rPr>
                <w:noProof/>
                <w:webHidden/>
              </w:rPr>
              <w:fldChar w:fldCharType="begin"/>
            </w:r>
            <w:r>
              <w:rPr>
                <w:noProof/>
                <w:webHidden/>
              </w:rPr>
              <w:instrText xml:space="preserve"> PAGEREF _Toc400115413 \h </w:instrText>
            </w:r>
            <w:r>
              <w:rPr>
                <w:noProof/>
                <w:webHidden/>
              </w:rPr>
            </w:r>
            <w:r>
              <w:rPr>
                <w:noProof/>
                <w:webHidden/>
              </w:rPr>
              <w:fldChar w:fldCharType="separate"/>
            </w:r>
            <w:r>
              <w:rPr>
                <w:noProof/>
                <w:webHidden/>
              </w:rPr>
              <w:t>18</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14" w:history="1">
            <w:r w:rsidRPr="00426C61">
              <w:rPr>
                <w:rStyle w:val="Hyperlink"/>
                <w:noProof/>
              </w:rPr>
              <w:t>Nonclinical summary</w:t>
            </w:r>
            <w:r>
              <w:rPr>
                <w:noProof/>
                <w:webHidden/>
              </w:rPr>
              <w:tab/>
            </w:r>
            <w:r>
              <w:rPr>
                <w:noProof/>
                <w:webHidden/>
              </w:rPr>
              <w:fldChar w:fldCharType="begin"/>
            </w:r>
            <w:r>
              <w:rPr>
                <w:noProof/>
                <w:webHidden/>
              </w:rPr>
              <w:instrText xml:space="preserve"> PAGEREF _Toc400115414 \h </w:instrText>
            </w:r>
            <w:r>
              <w:rPr>
                <w:noProof/>
                <w:webHidden/>
              </w:rPr>
            </w:r>
            <w:r>
              <w:rPr>
                <w:noProof/>
                <w:webHidden/>
              </w:rPr>
              <w:fldChar w:fldCharType="separate"/>
            </w:r>
            <w:r>
              <w:rPr>
                <w:noProof/>
                <w:webHidden/>
              </w:rPr>
              <w:t>25</w:t>
            </w:r>
            <w:r>
              <w:rPr>
                <w:noProof/>
                <w:webHidden/>
              </w:rPr>
              <w:fldChar w:fldCharType="end"/>
            </w:r>
          </w:hyperlink>
        </w:p>
        <w:p w:rsidR="00CA205A" w:rsidRDefault="00CA205A">
          <w:pPr>
            <w:pStyle w:val="TOC2"/>
            <w:rPr>
              <w:rFonts w:asciiTheme="minorHAnsi" w:eastAsiaTheme="minorEastAsia" w:hAnsiTheme="minorHAnsi" w:cstheme="minorBidi"/>
              <w:b w:val="0"/>
              <w:noProof/>
              <w:sz w:val="22"/>
              <w:lang w:eastAsia="en-AU"/>
            </w:rPr>
          </w:pPr>
          <w:hyperlink w:anchor="_Toc400115415" w:history="1">
            <w:r w:rsidRPr="00426C61">
              <w:rPr>
                <w:rStyle w:val="Hyperlink"/>
                <w:noProof/>
              </w:rPr>
              <w:t>IV. Clinical findings</w:t>
            </w:r>
            <w:r>
              <w:rPr>
                <w:noProof/>
                <w:webHidden/>
              </w:rPr>
              <w:tab/>
            </w:r>
            <w:r>
              <w:rPr>
                <w:noProof/>
                <w:webHidden/>
              </w:rPr>
              <w:fldChar w:fldCharType="begin"/>
            </w:r>
            <w:r>
              <w:rPr>
                <w:noProof/>
                <w:webHidden/>
              </w:rPr>
              <w:instrText xml:space="preserve"> PAGEREF _Toc400115415 \h </w:instrText>
            </w:r>
            <w:r>
              <w:rPr>
                <w:noProof/>
                <w:webHidden/>
              </w:rPr>
            </w:r>
            <w:r>
              <w:rPr>
                <w:noProof/>
                <w:webHidden/>
              </w:rPr>
              <w:fldChar w:fldCharType="separate"/>
            </w:r>
            <w:r>
              <w:rPr>
                <w:noProof/>
                <w:webHidden/>
              </w:rPr>
              <w:t>27</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16" w:history="1">
            <w:r w:rsidRPr="00426C61">
              <w:rPr>
                <w:rStyle w:val="Hyperlink"/>
                <w:noProof/>
              </w:rPr>
              <w:t>Introduction</w:t>
            </w:r>
            <w:r>
              <w:rPr>
                <w:noProof/>
                <w:webHidden/>
              </w:rPr>
              <w:tab/>
            </w:r>
            <w:r>
              <w:rPr>
                <w:noProof/>
                <w:webHidden/>
              </w:rPr>
              <w:fldChar w:fldCharType="begin"/>
            </w:r>
            <w:r>
              <w:rPr>
                <w:noProof/>
                <w:webHidden/>
              </w:rPr>
              <w:instrText xml:space="preserve"> PAGEREF _Toc400115416 \h </w:instrText>
            </w:r>
            <w:r>
              <w:rPr>
                <w:noProof/>
                <w:webHidden/>
              </w:rPr>
            </w:r>
            <w:r>
              <w:rPr>
                <w:noProof/>
                <w:webHidden/>
              </w:rPr>
              <w:fldChar w:fldCharType="separate"/>
            </w:r>
            <w:r>
              <w:rPr>
                <w:noProof/>
                <w:webHidden/>
              </w:rPr>
              <w:t>27</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17" w:history="1">
            <w:r w:rsidRPr="00426C61">
              <w:rPr>
                <w:rStyle w:val="Hyperlink"/>
                <w:noProof/>
              </w:rPr>
              <w:t>Pharmacokinetics</w:t>
            </w:r>
            <w:r>
              <w:rPr>
                <w:noProof/>
                <w:webHidden/>
              </w:rPr>
              <w:tab/>
            </w:r>
            <w:r>
              <w:rPr>
                <w:noProof/>
                <w:webHidden/>
              </w:rPr>
              <w:fldChar w:fldCharType="begin"/>
            </w:r>
            <w:r>
              <w:rPr>
                <w:noProof/>
                <w:webHidden/>
              </w:rPr>
              <w:instrText xml:space="preserve"> PAGEREF _Toc400115417 \h </w:instrText>
            </w:r>
            <w:r>
              <w:rPr>
                <w:noProof/>
                <w:webHidden/>
              </w:rPr>
            </w:r>
            <w:r>
              <w:rPr>
                <w:noProof/>
                <w:webHidden/>
              </w:rPr>
              <w:fldChar w:fldCharType="separate"/>
            </w:r>
            <w:r>
              <w:rPr>
                <w:noProof/>
                <w:webHidden/>
              </w:rPr>
              <w:t>29</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18" w:history="1">
            <w:r w:rsidRPr="00426C61">
              <w:rPr>
                <w:rStyle w:val="Hyperlink"/>
                <w:noProof/>
              </w:rPr>
              <w:t>Pharmacodynamics</w:t>
            </w:r>
            <w:r>
              <w:rPr>
                <w:noProof/>
                <w:webHidden/>
              </w:rPr>
              <w:tab/>
            </w:r>
            <w:r>
              <w:rPr>
                <w:noProof/>
                <w:webHidden/>
              </w:rPr>
              <w:fldChar w:fldCharType="begin"/>
            </w:r>
            <w:r>
              <w:rPr>
                <w:noProof/>
                <w:webHidden/>
              </w:rPr>
              <w:instrText xml:space="preserve"> PAGEREF _Toc400115418 \h </w:instrText>
            </w:r>
            <w:r>
              <w:rPr>
                <w:noProof/>
                <w:webHidden/>
              </w:rPr>
            </w:r>
            <w:r>
              <w:rPr>
                <w:noProof/>
                <w:webHidden/>
              </w:rPr>
              <w:fldChar w:fldCharType="separate"/>
            </w:r>
            <w:r>
              <w:rPr>
                <w:noProof/>
                <w:webHidden/>
              </w:rPr>
              <w:t>32</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19" w:history="1">
            <w:r w:rsidRPr="00426C61">
              <w:rPr>
                <w:rStyle w:val="Hyperlink"/>
                <w:noProof/>
              </w:rPr>
              <w:t>Dosage selection for the pivotal studies</w:t>
            </w:r>
            <w:r>
              <w:rPr>
                <w:noProof/>
                <w:webHidden/>
              </w:rPr>
              <w:tab/>
            </w:r>
            <w:r>
              <w:rPr>
                <w:noProof/>
                <w:webHidden/>
              </w:rPr>
              <w:fldChar w:fldCharType="begin"/>
            </w:r>
            <w:r>
              <w:rPr>
                <w:noProof/>
                <w:webHidden/>
              </w:rPr>
              <w:instrText xml:space="preserve"> PAGEREF _Toc400115419 \h </w:instrText>
            </w:r>
            <w:r>
              <w:rPr>
                <w:noProof/>
                <w:webHidden/>
              </w:rPr>
            </w:r>
            <w:r>
              <w:rPr>
                <w:noProof/>
                <w:webHidden/>
              </w:rPr>
              <w:fldChar w:fldCharType="separate"/>
            </w:r>
            <w:r>
              <w:rPr>
                <w:noProof/>
                <w:webHidden/>
              </w:rPr>
              <w:t>33</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0" w:history="1">
            <w:r w:rsidRPr="00426C61">
              <w:rPr>
                <w:rStyle w:val="Hyperlink"/>
                <w:noProof/>
              </w:rPr>
              <w:t>Efficacy</w:t>
            </w:r>
            <w:r>
              <w:rPr>
                <w:noProof/>
                <w:webHidden/>
              </w:rPr>
              <w:tab/>
            </w:r>
            <w:r>
              <w:rPr>
                <w:noProof/>
                <w:webHidden/>
              </w:rPr>
              <w:fldChar w:fldCharType="begin"/>
            </w:r>
            <w:r>
              <w:rPr>
                <w:noProof/>
                <w:webHidden/>
              </w:rPr>
              <w:instrText xml:space="preserve"> PAGEREF _Toc400115420 \h </w:instrText>
            </w:r>
            <w:r>
              <w:rPr>
                <w:noProof/>
                <w:webHidden/>
              </w:rPr>
            </w:r>
            <w:r>
              <w:rPr>
                <w:noProof/>
                <w:webHidden/>
              </w:rPr>
              <w:fldChar w:fldCharType="separate"/>
            </w:r>
            <w:r>
              <w:rPr>
                <w:noProof/>
                <w:webHidden/>
              </w:rPr>
              <w:t>34</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1" w:history="1">
            <w:r w:rsidRPr="00426C61">
              <w:rPr>
                <w:rStyle w:val="Hyperlink"/>
                <w:noProof/>
              </w:rPr>
              <w:t>Safety</w:t>
            </w:r>
            <w:r>
              <w:rPr>
                <w:noProof/>
                <w:webHidden/>
              </w:rPr>
              <w:tab/>
            </w:r>
            <w:r>
              <w:rPr>
                <w:noProof/>
                <w:webHidden/>
              </w:rPr>
              <w:fldChar w:fldCharType="begin"/>
            </w:r>
            <w:r>
              <w:rPr>
                <w:noProof/>
                <w:webHidden/>
              </w:rPr>
              <w:instrText xml:space="preserve"> PAGEREF _Toc400115421 \h </w:instrText>
            </w:r>
            <w:r>
              <w:rPr>
                <w:noProof/>
                <w:webHidden/>
              </w:rPr>
            </w:r>
            <w:r>
              <w:rPr>
                <w:noProof/>
                <w:webHidden/>
              </w:rPr>
              <w:fldChar w:fldCharType="separate"/>
            </w:r>
            <w:r>
              <w:rPr>
                <w:noProof/>
                <w:webHidden/>
              </w:rPr>
              <w:t>40</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2" w:history="1">
            <w:r w:rsidRPr="00426C61">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_Toc400115422 \h </w:instrText>
            </w:r>
            <w:r>
              <w:rPr>
                <w:noProof/>
                <w:webHidden/>
              </w:rPr>
            </w:r>
            <w:r>
              <w:rPr>
                <w:noProof/>
                <w:webHidden/>
              </w:rPr>
              <w:fldChar w:fldCharType="separate"/>
            </w:r>
            <w:r>
              <w:rPr>
                <w:noProof/>
                <w:webHidden/>
              </w:rPr>
              <w:t>44</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3" w:history="1">
            <w:r w:rsidRPr="00426C61">
              <w:rPr>
                <w:rStyle w:val="Hyperlink"/>
                <w:noProof/>
              </w:rPr>
              <w:t>First round benefit-risk assessment</w:t>
            </w:r>
            <w:r>
              <w:rPr>
                <w:noProof/>
                <w:webHidden/>
              </w:rPr>
              <w:tab/>
            </w:r>
            <w:r>
              <w:rPr>
                <w:noProof/>
                <w:webHidden/>
              </w:rPr>
              <w:fldChar w:fldCharType="begin"/>
            </w:r>
            <w:r>
              <w:rPr>
                <w:noProof/>
                <w:webHidden/>
              </w:rPr>
              <w:instrText xml:space="preserve"> PAGEREF _Toc400115423 \h </w:instrText>
            </w:r>
            <w:r>
              <w:rPr>
                <w:noProof/>
                <w:webHidden/>
              </w:rPr>
            </w:r>
            <w:r>
              <w:rPr>
                <w:noProof/>
                <w:webHidden/>
              </w:rPr>
              <w:fldChar w:fldCharType="separate"/>
            </w:r>
            <w:r>
              <w:rPr>
                <w:noProof/>
                <w:webHidden/>
              </w:rPr>
              <w:t>48</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4" w:history="1">
            <w:r w:rsidRPr="00426C61">
              <w:rPr>
                <w:rStyle w:val="Hyperlink"/>
                <w:noProof/>
              </w:rPr>
              <w:t>First round recommendation regarding authorisation</w:t>
            </w:r>
            <w:r>
              <w:rPr>
                <w:noProof/>
                <w:webHidden/>
              </w:rPr>
              <w:tab/>
            </w:r>
            <w:r>
              <w:rPr>
                <w:noProof/>
                <w:webHidden/>
              </w:rPr>
              <w:fldChar w:fldCharType="begin"/>
            </w:r>
            <w:r>
              <w:rPr>
                <w:noProof/>
                <w:webHidden/>
              </w:rPr>
              <w:instrText xml:space="preserve"> PAGEREF _Toc400115424 \h </w:instrText>
            </w:r>
            <w:r>
              <w:rPr>
                <w:noProof/>
                <w:webHidden/>
              </w:rPr>
            </w:r>
            <w:r>
              <w:rPr>
                <w:noProof/>
                <w:webHidden/>
              </w:rPr>
              <w:fldChar w:fldCharType="separate"/>
            </w:r>
            <w:r>
              <w:rPr>
                <w:noProof/>
                <w:webHidden/>
              </w:rPr>
              <w:t>51</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5" w:history="1">
            <w:r w:rsidRPr="00426C61">
              <w:rPr>
                <w:rStyle w:val="Hyperlink"/>
                <w:noProof/>
              </w:rPr>
              <w:t>Clinical questions</w:t>
            </w:r>
            <w:r>
              <w:rPr>
                <w:noProof/>
                <w:webHidden/>
              </w:rPr>
              <w:tab/>
            </w:r>
            <w:r>
              <w:rPr>
                <w:noProof/>
                <w:webHidden/>
              </w:rPr>
              <w:fldChar w:fldCharType="begin"/>
            </w:r>
            <w:r>
              <w:rPr>
                <w:noProof/>
                <w:webHidden/>
              </w:rPr>
              <w:instrText xml:space="preserve"> PAGEREF _Toc400115425 \h </w:instrText>
            </w:r>
            <w:r>
              <w:rPr>
                <w:noProof/>
                <w:webHidden/>
              </w:rPr>
            </w:r>
            <w:r>
              <w:rPr>
                <w:noProof/>
                <w:webHidden/>
              </w:rPr>
              <w:fldChar w:fldCharType="separate"/>
            </w:r>
            <w:r>
              <w:rPr>
                <w:noProof/>
                <w:webHidden/>
              </w:rPr>
              <w:t>51</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6" w:history="1">
            <w:r w:rsidRPr="00426C61">
              <w:rPr>
                <w:rStyle w:val="Hyperlink"/>
                <w:noProof/>
              </w:rPr>
              <w:t>Efficacy</w:t>
            </w:r>
            <w:r>
              <w:rPr>
                <w:noProof/>
                <w:webHidden/>
              </w:rPr>
              <w:tab/>
            </w:r>
            <w:r>
              <w:rPr>
                <w:noProof/>
                <w:webHidden/>
              </w:rPr>
              <w:fldChar w:fldCharType="begin"/>
            </w:r>
            <w:r>
              <w:rPr>
                <w:noProof/>
                <w:webHidden/>
              </w:rPr>
              <w:instrText xml:space="preserve"> PAGEREF _Toc400115426 \h </w:instrText>
            </w:r>
            <w:r>
              <w:rPr>
                <w:noProof/>
                <w:webHidden/>
              </w:rPr>
            </w:r>
            <w:r>
              <w:rPr>
                <w:noProof/>
                <w:webHidden/>
              </w:rPr>
              <w:fldChar w:fldCharType="separate"/>
            </w:r>
            <w:r>
              <w:rPr>
                <w:noProof/>
                <w:webHidden/>
              </w:rPr>
              <w:t>51</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7" w:history="1">
            <w:r w:rsidRPr="00426C61">
              <w:rPr>
                <w:rStyle w:val="Hyperlink"/>
                <w:noProof/>
              </w:rPr>
              <w:t>Safety</w:t>
            </w:r>
            <w:r>
              <w:rPr>
                <w:noProof/>
                <w:webHidden/>
              </w:rPr>
              <w:tab/>
            </w:r>
            <w:r>
              <w:rPr>
                <w:noProof/>
                <w:webHidden/>
              </w:rPr>
              <w:fldChar w:fldCharType="begin"/>
            </w:r>
            <w:r>
              <w:rPr>
                <w:noProof/>
                <w:webHidden/>
              </w:rPr>
              <w:instrText xml:space="preserve"> PAGEREF _Toc400115427 \h </w:instrText>
            </w:r>
            <w:r>
              <w:rPr>
                <w:noProof/>
                <w:webHidden/>
              </w:rPr>
            </w:r>
            <w:r>
              <w:rPr>
                <w:noProof/>
                <w:webHidden/>
              </w:rPr>
              <w:fldChar w:fldCharType="separate"/>
            </w:r>
            <w:r>
              <w:rPr>
                <w:noProof/>
                <w:webHidden/>
              </w:rPr>
              <w:t>52</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8" w:history="1">
            <w:r w:rsidRPr="00426C6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_Toc400115428 \h </w:instrText>
            </w:r>
            <w:r>
              <w:rPr>
                <w:noProof/>
                <w:webHidden/>
              </w:rPr>
            </w:r>
            <w:r>
              <w:rPr>
                <w:noProof/>
                <w:webHidden/>
              </w:rPr>
              <w:fldChar w:fldCharType="separate"/>
            </w:r>
            <w:r>
              <w:rPr>
                <w:noProof/>
                <w:webHidden/>
              </w:rPr>
              <w:t>52</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29" w:history="1">
            <w:r w:rsidRPr="00426C61">
              <w:rPr>
                <w:rStyle w:val="Hyperlink"/>
                <w:noProof/>
              </w:rPr>
              <w:t>Second round benefit-risk assessment</w:t>
            </w:r>
            <w:r>
              <w:rPr>
                <w:noProof/>
                <w:webHidden/>
              </w:rPr>
              <w:tab/>
            </w:r>
            <w:r>
              <w:rPr>
                <w:noProof/>
                <w:webHidden/>
              </w:rPr>
              <w:fldChar w:fldCharType="begin"/>
            </w:r>
            <w:r>
              <w:rPr>
                <w:noProof/>
                <w:webHidden/>
              </w:rPr>
              <w:instrText xml:space="preserve"> PAGEREF _Toc400115429 \h </w:instrText>
            </w:r>
            <w:r>
              <w:rPr>
                <w:noProof/>
                <w:webHidden/>
              </w:rPr>
            </w:r>
            <w:r>
              <w:rPr>
                <w:noProof/>
                <w:webHidden/>
              </w:rPr>
              <w:fldChar w:fldCharType="separate"/>
            </w:r>
            <w:r>
              <w:rPr>
                <w:noProof/>
                <w:webHidden/>
              </w:rPr>
              <w:t>53</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30" w:history="1">
            <w:r w:rsidRPr="00426C6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_Toc400115430 \h </w:instrText>
            </w:r>
            <w:r>
              <w:rPr>
                <w:noProof/>
                <w:webHidden/>
              </w:rPr>
            </w:r>
            <w:r>
              <w:rPr>
                <w:noProof/>
                <w:webHidden/>
              </w:rPr>
              <w:fldChar w:fldCharType="separate"/>
            </w:r>
            <w:r>
              <w:rPr>
                <w:noProof/>
                <w:webHidden/>
              </w:rPr>
              <w:t>54</w:t>
            </w:r>
            <w:r>
              <w:rPr>
                <w:noProof/>
                <w:webHidden/>
              </w:rPr>
              <w:fldChar w:fldCharType="end"/>
            </w:r>
          </w:hyperlink>
        </w:p>
        <w:p w:rsidR="00CA205A" w:rsidRDefault="00CA205A">
          <w:pPr>
            <w:pStyle w:val="TOC2"/>
            <w:rPr>
              <w:rFonts w:asciiTheme="minorHAnsi" w:eastAsiaTheme="minorEastAsia" w:hAnsiTheme="minorHAnsi" w:cstheme="minorBidi"/>
              <w:b w:val="0"/>
              <w:noProof/>
              <w:sz w:val="22"/>
              <w:lang w:eastAsia="en-AU"/>
            </w:rPr>
          </w:pPr>
          <w:hyperlink w:anchor="_Toc400115431" w:history="1">
            <w:r w:rsidRPr="00426C61">
              <w:rPr>
                <w:rStyle w:val="Hyperlink"/>
                <w:noProof/>
              </w:rPr>
              <w:t>V. Pharmacovigilance findings</w:t>
            </w:r>
            <w:r>
              <w:rPr>
                <w:noProof/>
                <w:webHidden/>
              </w:rPr>
              <w:tab/>
            </w:r>
            <w:r>
              <w:rPr>
                <w:noProof/>
                <w:webHidden/>
              </w:rPr>
              <w:fldChar w:fldCharType="begin"/>
            </w:r>
            <w:r>
              <w:rPr>
                <w:noProof/>
                <w:webHidden/>
              </w:rPr>
              <w:instrText xml:space="preserve"> PAGEREF _Toc400115431 \h </w:instrText>
            </w:r>
            <w:r>
              <w:rPr>
                <w:noProof/>
                <w:webHidden/>
              </w:rPr>
            </w:r>
            <w:r>
              <w:rPr>
                <w:noProof/>
                <w:webHidden/>
              </w:rPr>
              <w:fldChar w:fldCharType="separate"/>
            </w:r>
            <w:r>
              <w:rPr>
                <w:noProof/>
                <w:webHidden/>
              </w:rPr>
              <w:t>54</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32" w:history="1">
            <w:r w:rsidRPr="00426C61">
              <w:rPr>
                <w:rStyle w:val="Hyperlink"/>
                <w:noProof/>
                <w:lang w:eastAsia="en-AU"/>
              </w:rPr>
              <w:t xml:space="preserve">Risk </w:t>
            </w:r>
            <w:r w:rsidRPr="00426C61">
              <w:rPr>
                <w:rStyle w:val="Hyperlink"/>
                <w:noProof/>
              </w:rPr>
              <w:t>management</w:t>
            </w:r>
            <w:r w:rsidRPr="00426C61">
              <w:rPr>
                <w:rStyle w:val="Hyperlink"/>
                <w:noProof/>
                <w:lang w:eastAsia="en-AU"/>
              </w:rPr>
              <w:t xml:space="preserve"> plan</w:t>
            </w:r>
            <w:r>
              <w:rPr>
                <w:noProof/>
                <w:webHidden/>
              </w:rPr>
              <w:tab/>
            </w:r>
            <w:r>
              <w:rPr>
                <w:noProof/>
                <w:webHidden/>
              </w:rPr>
              <w:fldChar w:fldCharType="begin"/>
            </w:r>
            <w:r>
              <w:rPr>
                <w:noProof/>
                <w:webHidden/>
              </w:rPr>
              <w:instrText xml:space="preserve"> PAGEREF _Toc400115432 \h </w:instrText>
            </w:r>
            <w:r>
              <w:rPr>
                <w:noProof/>
                <w:webHidden/>
              </w:rPr>
            </w:r>
            <w:r>
              <w:rPr>
                <w:noProof/>
                <w:webHidden/>
              </w:rPr>
              <w:fldChar w:fldCharType="separate"/>
            </w:r>
            <w:r>
              <w:rPr>
                <w:noProof/>
                <w:webHidden/>
              </w:rPr>
              <w:t>54</w:t>
            </w:r>
            <w:r>
              <w:rPr>
                <w:noProof/>
                <w:webHidden/>
              </w:rPr>
              <w:fldChar w:fldCharType="end"/>
            </w:r>
          </w:hyperlink>
        </w:p>
        <w:p w:rsidR="00CA205A" w:rsidRDefault="00CA205A">
          <w:pPr>
            <w:pStyle w:val="TOC2"/>
            <w:rPr>
              <w:rFonts w:asciiTheme="minorHAnsi" w:eastAsiaTheme="minorEastAsia" w:hAnsiTheme="minorHAnsi" w:cstheme="minorBidi"/>
              <w:b w:val="0"/>
              <w:noProof/>
              <w:sz w:val="22"/>
              <w:lang w:eastAsia="en-AU"/>
            </w:rPr>
          </w:pPr>
          <w:hyperlink w:anchor="_Toc400115433" w:history="1">
            <w:r w:rsidRPr="00426C61">
              <w:rPr>
                <w:rStyle w:val="Hyperlink"/>
                <w:noProof/>
              </w:rPr>
              <w:t>VI. Overall conclusion and risk/benefit assessment</w:t>
            </w:r>
            <w:r>
              <w:rPr>
                <w:noProof/>
                <w:webHidden/>
              </w:rPr>
              <w:tab/>
            </w:r>
            <w:r>
              <w:rPr>
                <w:noProof/>
                <w:webHidden/>
              </w:rPr>
              <w:fldChar w:fldCharType="begin"/>
            </w:r>
            <w:r>
              <w:rPr>
                <w:noProof/>
                <w:webHidden/>
              </w:rPr>
              <w:instrText xml:space="preserve"> PAGEREF _Toc400115433 \h </w:instrText>
            </w:r>
            <w:r>
              <w:rPr>
                <w:noProof/>
                <w:webHidden/>
              </w:rPr>
            </w:r>
            <w:r>
              <w:rPr>
                <w:noProof/>
                <w:webHidden/>
              </w:rPr>
              <w:fldChar w:fldCharType="separate"/>
            </w:r>
            <w:r>
              <w:rPr>
                <w:noProof/>
                <w:webHidden/>
              </w:rPr>
              <w:t>60</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34" w:history="1">
            <w:r w:rsidRPr="00426C61">
              <w:rPr>
                <w:rStyle w:val="Hyperlink"/>
                <w:noProof/>
              </w:rPr>
              <w:t>Quality</w:t>
            </w:r>
            <w:r>
              <w:rPr>
                <w:noProof/>
                <w:webHidden/>
              </w:rPr>
              <w:tab/>
            </w:r>
            <w:r>
              <w:rPr>
                <w:noProof/>
                <w:webHidden/>
              </w:rPr>
              <w:fldChar w:fldCharType="begin"/>
            </w:r>
            <w:r>
              <w:rPr>
                <w:noProof/>
                <w:webHidden/>
              </w:rPr>
              <w:instrText xml:space="preserve"> PAGEREF _Toc400115434 \h </w:instrText>
            </w:r>
            <w:r>
              <w:rPr>
                <w:noProof/>
                <w:webHidden/>
              </w:rPr>
            </w:r>
            <w:r>
              <w:rPr>
                <w:noProof/>
                <w:webHidden/>
              </w:rPr>
              <w:fldChar w:fldCharType="separate"/>
            </w:r>
            <w:r>
              <w:rPr>
                <w:noProof/>
                <w:webHidden/>
              </w:rPr>
              <w:t>60</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35" w:history="1">
            <w:r w:rsidRPr="00426C61">
              <w:rPr>
                <w:rStyle w:val="Hyperlink"/>
                <w:noProof/>
              </w:rPr>
              <w:t>Nonclinical</w:t>
            </w:r>
            <w:r>
              <w:rPr>
                <w:noProof/>
                <w:webHidden/>
              </w:rPr>
              <w:tab/>
            </w:r>
            <w:r>
              <w:rPr>
                <w:noProof/>
                <w:webHidden/>
              </w:rPr>
              <w:fldChar w:fldCharType="begin"/>
            </w:r>
            <w:r>
              <w:rPr>
                <w:noProof/>
                <w:webHidden/>
              </w:rPr>
              <w:instrText xml:space="preserve"> PAGEREF _Toc400115435 \h </w:instrText>
            </w:r>
            <w:r>
              <w:rPr>
                <w:noProof/>
                <w:webHidden/>
              </w:rPr>
            </w:r>
            <w:r>
              <w:rPr>
                <w:noProof/>
                <w:webHidden/>
              </w:rPr>
              <w:fldChar w:fldCharType="separate"/>
            </w:r>
            <w:r>
              <w:rPr>
                <w:noProof/>
                <w:webHidden/>
              </w:rPr>
              <w:t>61</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36" w:history="1">
            <w:r w:rsidRPr="00426C61">
              <w:rPr>
                <w:rStyle w:val="Hyperlink"/>
                <w:noProof/>
              </w:rPr>
              <w:t>Clinical</w:t>
            </w:r>
            <w:r>
              <w:rPr>
                <w:noProof/>
                <w:webHidden/>
              </w:rPr>
              <w:tab/>
            </w:r>
            <w:r>
              <w:rPr>
                <w:noProof/>
                <w:webHidden/>
              </w:rPr>
              <w:fldChar w:fldCharType="begin"/>
            </w:r>
            <w:r>
              <w:rPr>
                <w:noProof/>
                <w:webHidden/>
              </w:rPr>
              <w:instrText xml:space="preserve"> PAGEREF _Toc400115436 \h </w:instrText>
            </w:r>
            <w:r>
              <w:rPr>
                <w:noProof/>
                <w:webHidden/>
              </w:rPr>
            </w:r>
            <w:r>
              <w:rPr>
                <w:noProof/>
                <w:webHidden/>
              </w:rPr>
              <w:fldChar w:fldCharType="separate"/>
            </w:r>
            <w:r>
              <w:rPr>
                <w:noProof/>
                <w:webHidden/>
              </w:rPr>
              <w:t>62</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37" w:history="1">
            <w:r w:rsidRPr="00426C61">
              <w:rPr>
                <w:rStyle w:val="Hyperlink"/>
                <w:noProof/>
                <w:lang w:eastAsia="en-AU"/>
              </w:rPr>
              <w:t>Risk management plan</w:t>
            </w:r>
            <w:r>
              <w:rPr>
                <w:noProof/>
                <w:webHidden/>
              </w:rPr>
              <w:tab/>
            </w:r>
            <w:r>
              <w:rPr>
                <w:noProof/>
                <w:webHidden/>
              </w:rPr>
              <w:fldChar w:fldCharType="begin"/>
            </w:r>
            <w:r>
              <w:rPr>
                <w:noProof/>
                <w:webHidden/>
              </w:rPr>
              <w:instrText xml:space="preserve"> PAGEREF _Toc400115437 \h </w:instrText>
            </w:r>
            <w:r>
              <w:rPr>
                <w:noProof/>
                <w:webHidden/>
              </w:rPr>
            </w:r>
            <w:r>
              <w:rPr>
                <w:noProof/>
                <w:webHidden/>
              </w:rPr>
              <w:fldChar w:fldCharType="separate"/>
            </w:r>
            <w:r>
              <w:rPr>
                <w:noProof/>
                <w:webHidden/>
              </w:rPr>
              <w:t>79</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38" w:history="1">
            <w:r w:rsidRPr="00426C61">
              <w:rPr>
                <w:rStyle w:val="Hyperlink"/>
                <w:noProof/>
              </w:rPr>
              <w:t>Risk-benefit analysis</w:t>
            </w:r>
            <w:r>
              <w:rPr>
                <w:noProof/>
                <w:webHidden/>
              </w:rPr>
              <w:tab/>
            </w:r>
            <w:r>
              <w:rPr>
                <w:noProof/>
                <w:webHidden/>
              </w:rPr>
              <w:fldChar w:fldCharType="begin"/>
            </w:r>
            <w:r>
              <w:rPr>
                <w:noProof/>
                <w:webHidden/>
              </w:rPr>
              <w:instrText xml:space="preserve"> PAGEREF _Toc400115438 \h </w:instrText>
            </w:r>
            <w:r>
              <w:rPr>
                <w:noProof/>
                <w:webHidden/>
              </w:rPr>
            </w:r>
            <w:r>
              <w:rPr>
                <w:noProof/>
                <w:webHidden/>
              </w:rPr>
              <w:fldChar w:fldCharType="separate"/>
            </w:r>
            <w:r>
              <w:rPr>
                <w:noProof/>
                <w:webHidden/>
              </w:rPr>
              <w:t>79</w:t>
            </w:r>
            <w:r>
              <w:rPr>
                <w:noProof/>
                <w:webHidden/>
              </w:rPr>
              <w:fldChar w:fldCharType="end"/>
            </w:r>
          </w:hyperlink>
        </w:p>
        <w:p w:rsidR="00CA205A" w:rsidRDefault="00CA205A">
          <w:pPr>
            <w:pStyle w:val="TOC3"/>
            <w:rPr>
              <w:rFonts w:asciiTheme="minorHAnsi" w:eastAsiaTheme="minorEastAsia" w:hAnsiTheme="minorHAnsi" w:cstheme="minorBidi"/>
              <w:noProof/>
              <w:lang w:eastAsia="en-AU"/>
            </w:rPr>
          </w:pPr>
          <w:hyperlink w:anchor="_Toc400115439" w:history="1">
            <w:r w:rsidRPr="00426C61">
              <w:rPr>
                <w:rStyle w:val="Hyperlink"/>
                <w:noProof/>
              </w:rPr>
              <w:t>Outcome</w:t>
            </w:r>
            <w:r>
              <w:rPr>
                <w:noProof/>
                <w:webHidden/>
              </w:rPr>
              <w:tab/>
            </w:r>
            <w:r>
              <w:rPr>
                <w:noProof/>
                <w:webHidden/>
              </w:rPr>
              <w:fldChar w:fldCharType="begin"/>
            </w:r>
            <w:r>
              <w:rPr>
                <w:noProof/>
                <w:webHidden/>
              </w:rPr>
              <w:instrText xml:space="preserve"> PAGEREF _Toc400115439 \h </w:instrText>
            </w:r>
            <w:r>
              <w:rPr>
                <w:noProof/>
                <w:webHidden/>
              </w:rPr>
            </w:r>
            <w:r>
              <w:rPr>
                <w:noProof/>
                <w:webHidden/>
              </w:rPr>
              <w:fldChar w:fldCharType="separate"/>
            </w:r>
            <w:r>
              <w:rPr>
                <w:noProof/>
                <w:webHidden/>
              </w:rPr>
              <w:t>85</w:t>
            </w:r>
            <w:r>
              <w:rPr>
                <w:noProof/>
                <w:webHidden/>
              </w:rPr>
              <w:fldChar w:fldCharType="end"/>
            </w:r>
          </w:hyperlink>
        </w:p>
        <w:p w:rsidR="00CA205A" w:rsidRDefault="00CA205A">
          <w:pPr>
            <w:pStyle w:val="TOC2"/>
            <w:rPr>
              <w:rFonts w:asciiTheme="minorHAnsi" w:eastAsiaTheme="minorEastAsia" w:hAnsiTheme="minorHAnsi" w:cstheme="minorBidi"/>
              <w:b w:val="0"/>
              <w:noProof/>
              <w:sz w:val="22"/>
              <w:lang w:eastAsia="en-AU"/>
            </w:rPr>
          </w:pPr>
          <w:hyperlink w:anchor="_Toc400115440" w:history="1">
            <w:r w:rsidRPr="00426C61">
              <w:rPr>
                <w:rStyle w:val="Hyperlink"/>
                <w:noProof/>
              </w:rPr>
              <w:t>Attachment 1. Product Information</w:t>
            </w:r>
            <w:r>
              <w:rPr>
                <w:noProof/>
                <w:webHidden/>
              </w:rPr>
              <w:tab/>
            </w:r>
            <w:r>
              <w:rPr>
                <w:noProof/>
                <w:webHidden/>
              </w:rPr>
              <w:fldChar w:fldCharType="begin"/>
            </w:r>
            <w:r>
              <w:rPr>
                <w:noProof/>
                <w:webHidden/>
              </w:rPr>
              <w:instrText xml:space="preserve"> PAGEREF _Toc400115440 \h </w:instrText>
            </w:r>
            <w:r>
              <w:rPr>
                <w:noProof/>
                <w:webHidden/>
              </w:rPr>
            </w:r>
            <w:r>
              <w:rPr>
                <w:noProof/>
                <w:webHidden/>
              </w:rPr>
              <w:fldChar w:fldCharType="separate"/>
            </w:r>
            <w:r>
              <w:rPr>
                <w:noProof/>
                <w:webHidden/>
              </w:rPr>
              <w:t>85</w:t>
            </w:r>
            <w:r>
              <w:rPr>
                <w:noProof/>
                <w:webHidden/>
              </w:rPr>
              <w:fldChar w:fldCharType="end"/>
            </w:r>
          </w:hyperlink>
        </w:p>
        <w:p w:rsidR="003A7F6C" w:rsidRPr="00B811C6" w:rsidRDefault="00CA205A" w:rsidP="00B811C6">
          <w:pPr>
            <w:pStyle w:val="TOC2"/>
          </w:pPr>
          <w:hyperlink w:anchor="_Toc400115441" w:history="1">
            <w:r w:rsidRPr="00426C6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_Toc400115441 \h </w:instrText>
            </w:r>
            <w:r>
              <w:rPr>
                <w:noProof/>
                <w:webHidden/>
              </w:rPr>
            </w:r>
            <w:r>
              <w:rPr>
                <w:noProof/>
                <w:webHidden/>
              </w:rPr>
              <w:fldChar w:fldCharType="separate"/>
            </w:r>
            <w:r>
              <w:rPr>
                <w:noProof/>
                <w:webHidden/>
              </w:rPr>
              <w:t>85</w:t>
            </w:r>
            <w:r>
              <w:rPr>
                <w:noProof/>
                <w:webHidden/>
              </w:rPr>
              <w:fldChar w:fldCharType="end"/>
            </w:r>
          </w:hyperlink>
          <w:r w:rsidR="008C44AA">
            <w:fldChar w:fldCharType="end"/>
          </w:r>
        </w:p>
        <w:bookmarkStart w:id="0" w:name="_GoBack" w:displacedByCustomXml="next"/>
        <w:bookmarkEnd w:id="0" w:displacedByCustomXml="next"/>
      </w:sdtContent>
    </w:sdt>
    <w:bookmarkStart w:id="1" w:name="_Toc314842482" w:displacedByCustomXml="prev"/>
    <w:p w:rsidR="00FD119B" w:rsidRDefault="00FD119B">
      <w:pPr>
        <w:spacing w:before="0" w:after="200" w:line="0" w:lineRule="auto"/>
      </w:pPr>
      <w:r>
        <w:br w:type="page"/>
      </w:r>
    </w:p>
    <w:p w:rsidR="00FD119B" w:rsidRPr="00FD119B" w:rsidRDefault="00FD119B" w:rsidP="005515BA">
      <w:pPr>
        <w:pStyle w:val="Heading2"/>
      </w:pPr>
      <w:bookmarkStart w:id="2" w:name="_Toc351716269"/>
      <w:bookmarkStart w:id="3" w:name="_Toc351718881"/>
      <w:bookmarkStart w:id="4" w:name="_Toc355338616"/>
      <w:bookmarkStart w:id="5" w:name="_Toc356306144"/>
      <w:bookmarkStart w:id="6" w:name="_Toc400115398"/>
      <w:r w:rsidRPr="00FD119B">
        <w:t xml:space="preserve">List </w:t>
      </w:r>
      <w:r w:rsidRPr="005515BA">
        <w:t>of</w:t>
      </w:r>
      <w:r w:rsidRPr="00FD119B">
        <w:t xml:space="preserve"> abbreviations</w:t>
      </w:r>
      <w:bookmarkEnd w:id="2"/>
      <w:bookmarkEnd w:id="3"/>
      <w:bookmarkEnd w:id="4"/>
      <w:bookmarkEnd w:id="5"/>
      <w:r w:rsidRPr="00FD119B">
        <w:t xml:space="preserve"> </w:t>
      </w:r>
      <w:r w:rsidR="007460FF">
        <w:t xml:space="preserve">commonly </w:t>
      </w:r>
      <w:r w:rsidRPr="00FD119B">
        <w:t xml:space="preserve">used in this </w:t>
      </w:r>
      <w:r w:rsidRPr="004F0C4A">
        <w:t>AusPAR</w:t>
      </w:r>
      <w:bookmarkEnd w:id="6"/>
    </w:p>
    <w:tbl>
      <w:tblPr>
        <w:tblStyle w:val="TableTGAblue"/>
        <w:tblW w:w="0" w:type="auto"/>
        <w:tblLook w:val="04A0" w:firstRow="1" w:lastRow="0" w:firstColumn="1" w:lastColumn="0" w:noHBand="0" w:noVBand="1"/>
      </w:tblPr>
      <w:tblGrid>
        <w:gridCol w:w="1890"/>
        <w:gridCol w:w="6830"/>
      </w:tblGrid>
      <w:tr w:rsidR="00AB0C14" w:rsidRPr="00A04F1A" w:rsidTr="003B2EC6">
        <w:trPr>
          <w:cnfStyle w:val="100000000000" w:firstRow="1" w:lastRow="0" w:firstColumn="0" w:lastColumn="0" w:oddVBand="0" w:evenVBand="0" w:oddHBand="0" w:evenHBand="0" w:firstRowFirstColumn="0" w:firstRowLastColumn="0" w:lastRowFirstColumn="0" w:lastRowLastColumn="0"/>
        </w:trPr>
        <w:tc>
          <w:tcPr>
            <w:tcW w:w="1888" w:type="dxa"/>
          </w:tcPr>
          <w:p w:rsidR="00AB0C14" w:rsidRPr="007460FF" w:rsidRDefault="00AB0C14" w:rsidP="005515BA">
            <w:r w:rsidRPr="007460FF">
              <w:t>Abbreviation</w:t>
            </w:r>
          </w:p>
        </w:tc>
        <w:tc>
          <w:tcPr>
            <w:tcW w:w="6832" w:type="dxa"/>
          </w:tcPr>
          <w:p w:rsidR="00AB0C14" w:rsidRPr="007460FF" w:rsidRDefault="00AB0C14" w:rsidP="005515BA">
            <w:r w:rsidRPr="007460FF">
              <w:t>Meaning</w:t>
            </w:r>
          </w:p>
        </w:tc>
      </w:tr>
      <w:tr w:rsidR="00AB0C14" w:rsidRPr="00A04F1A" w:rsidTr="003B2EC6">
        <w:tc>
          <w:tcPr>
            <w:tcW w:w="1888" w:type="dxa"/>
          </w:tcPr>
          <w:p w:rsidR="00AB0C14" w:rsidRPr="007460FF" w:rsidRDefault="005515BA" w:rsidP="005515BA">
            <w:r>
              <w:t>ADME</w:t>
            </w:r>
          </w:p>
        </w:tc>
        <w:tc>
          <w:tcPr>
            <w:tcW w:w="6832" w:type="dxa"/>
          </w:tcPr>
          <w:p w:rsidR="00AB0C14" w:rsidRPr="007460FF" w:rsidRDefault="00AB0C14" w:rsidP="005515BA">
            <w:r w:rsidRPr="007460FF">
              <w:t>Absorption, distribution, metabolism and excretion</w:t>
            </w:r>
          </w:p>
        </w:tc>
      </w:tr>
      <w:tr w:rsidR="00AB0C14" w:rsidRPr="00A04F1A" w:rsidTr="003B2EC6">
        <w:tc>
          <w:tcPr>
            <w:tcW w:w="1888" w:type="dxa"/>
          </w:tcPr>
          <w:p w:rsidR="00AB0C14" w:rsidRPr="007460FF" w:rsidRDefault="005515BA" w:rsidP="005515BA">
            <w:r>
              <w:t>ADR</w:t>
            </w:r>
          </w:p>
        </w:tc>
        <w:tc>
          <w:tcPr>
            <w:tcW w:w="6832" w:type="dxa"/>
          </w:tcPr>
          <w:p w:rsidR="00AB0C14" w:rsidRPr="007460FF" w:rsidRDefault="00AB0C14" w:rsidP="005515BA">
            <w:r w:rsidRPr="007460FF">
              <w:t>Adverse Drug Reaction</w:t>
            </w:r>
          </w:p>
        </w:tc>
      </w:tr>
      <w:tr w:rsidR="00AB0C14" w:rsidRPr="00A04F1A" w:rsidTr="003B2EC6">
        <w:tc>
          <w:tcPr>
            <w:tcW w:w="1888" w:type="dxa"/>
          </w:tcPr>
          <w:p w:rsidR="00AB0C14" w:rsidRPr="007460FF" w:rsidRDefault="005515BA" w:rsidP="005515BA">
            <w:proofErr w:type="spellStart"/>
            <w:r>
              <w:t>Ae</w:t>
            </w:r>
            <w:proofErr w:type="spellEnd"/>
          </w:p>
        </w:tc>
        <w:tc>
          <w:tcPr>
            <w:tcW w:w="6832" w:type="dxa"/>
          </w:tcPr>
          <w:p w:rsidR="00AB0C14" w:rsidRPr="007460FF" w:rsidRDefault="00AB0C14" w:rsidP="005515BA">
            <w:r w:rsidRPr="007460FF">
              <w:t>Amount of unc</w:t>
            </w:r>
            <w:r w:rsidR="005515BA">
              <w:t>hanged drug excreted into urine</w:t>
            </w:r>
          </w:p>
        </w:tc>
      </w:tr>
      <w:tr w:rsidR="00AB0C14" w:rsidRPr="00A04F1A" w:rsidTr="003B2EC6">
        <w:tc>
          <w:tcPr>
            <w:tcW w:w="1888" w:type="dxa"/>
          </w:tcPr>
          <w:p w:rsidR="00AB0C14" w:rsidRPr="007460FF" w:rsidRDefault="005515BA" w:rsidP="005515BA">
            <w:r>
              <w:t>AEs</w:t>
            </w:r>
          </w:p>
        </w:tc>
        <w:tc>
          <w:tcPr>
            <w:tcW w:w="6832" w:type="dxa"/>
          </w:tcPr>
          <w:p w:rsidR="00AB0C14" w:rsidRPr="007460FF" w:rsidRDefault="00AB0C14" w:rsidP="005515BA">
            <w:r w:rsidRPr="007460FF">
              <w:t>Adverse events</w:t>
            </w:r>
          </w:p>
        </w:tc>
      </w:tr>
      <w:tr w:rsidR="00AB0C14" w:rsidRPr="00A04F1A" w:rsidTr="003B2EC6">
        <w:tc>
          <w:tcPr>
            <w:tcW w:w="1888" w:type="dxa"/>
          </w:tcPr>
          <w:p w:rsidR="00AB0C14" w:rsidRPr="007460FF" w:rsidRDefault="005515BA" w:rsidP="005515BA">
            <w:r>
              <w:t>ALT</w:t>
            </w:r>
          </w:p>
        </w:tc>
        <w:tc>
          <w:tcPr>
            <w:tcW w:w="6832" w:type="dxa"/>
          </w:tcPr>
          <w:p w:rsidR="00AB0C14" w:rsidRPr="007460FF" w:rsidRDefault="00AB0C14" w:rsidP="005515BA">
            <w:r w:rsidRPr="007460FF">
              <w:t>alanine aminotransferase</w:t>
            </w:r>
          </w:p>
        </w:tc>
      </w:tr>
      <w:tr w:rsidR="00AB0C14" w:rsidRPr="00A04F1A" w:rsidTr="003B2EC6">
        <w:tc>
          <w:tcPr>
            <w:tcW w:w="1888" w:type="dxa"/>
          </w:tcPr>
          <w:p w:rsidR="00AB0C14" w:rsidRPr="007460FF" w:rsidRDefault="005515BA" w:rsidP="005515BA">
            <w:r>
              <w:t>Am</w:t>
            </w:r>
          </w:p>
        </w:tc>
        <w:tc>
          <w:tcPr>
            <w:tcW w:w="6832" w:type="dxa"/>
          </w:tcPr>
          <w:p w:rsidR="00AB0C14" w:rsidRPr="007460FF" w:rsidRDefault="00AB0C14" w:rsidP="005515BA">
            <w:r w:rsidRPr="007460FF">
              <w:t>Amount of metabolite excreted into urine</w:t>
            </w:r>
          </w:p>
        </w:tc>
      </w:tr>
      <w:tr w:rsidR="00AB0C14" w:rsidRPr="00A04F1A" w:rsidTr="003B2EC6">
        <w:tc>
          <w:tcPr>
            <w:tcW w:w="1888" w:type="dxa"/>
          </w:tcPr>
          <w:p w:rsidR="00AB0C14" w:rsidRPr="007460FF" w:rsidRDefault="005515BA" w:rsidP="005515BA">
            <w:r>
              <w:t>Am1</w:t>
            </w:r>
          </w:p>
        </w:tc>
        <w:tc>
          <w:tcPr>
            <w:tcW w:w="6832" w:type="dxa"/>
          </w:tcPr>
          <w:p w:rsidR="00AB0C14" w:rsidRPr="007460FF" w:rsidRDefault="00AB0C14" w:rsidP="005515BA">
            <w:r w:rsidRPr="007460FF">
              <w:t>Amount of LAS34850 excreted into urine</w:t>
            </w:r>
          </w:p>
        </w:tc>
      </w:tr>
      <w:tr w:rsidR="00AB0C14" w:rsidRPr="00A04F1A" w:rsidTr="003B2EC6">
        <w:tc>
          <w:tcPr>
            <w:tcW w:w="1888" w:type="dxa"/>
          </w:tcPr>
          <w:p w:rsidR="00AB0C14" w:rsidRPr="007460FF" w:rsidRDefault="005515BA" w:rsidP="005515BA">
            <w:r>
              <w:t>Am2</w:t>
            </w:r>
          </w:p>
        </w:tc>
        <w:tc>
          <w:tcPr>
            <w:tcW w:w="6832" w:type="dxa"/>
          </w:tcPr>
          <w:p w:rsidR="00AB0C14" w:rsidRPr="007460FF" w:rsidRDefault="00AB0C14" w:rsidP="005515BA">
            <w:r w:rsidRPr="007460FF">
              <w:t>Amount of LAS34823 excreted into urine</w:t>
            </w:r>
          </w:p>
        </w:tc>
      </w:tr>
      <w:tr w:rsidR="00AB0C14" w:rsidRPr="00A04F1A" w:rsidTr="003B2EC6">
        <w:tc>
          <w:tcPr>
            <w:tcW w:w="1888" w:type="dxa"/>
          </w:tcPr>
          <w:p w:rsidR="00AB0C14" w:rsidRPr="007460FF" w:rsidRDefault="005515BA" w:rsidP="005515BA">
            <w:r>
              <w:t>ANCOVA</w:t>
            </w:r>
          </w:p>
        </w:tc>
        <w:tc>
          <w:tcPr>
            <w:tcW w:w="6832" w:type="dxa"/>
          </w:tcPr>
          <w:p w:rsidR="00AB0C14" w:rsidRPr="007460FF" w:rsidRDefault="00AB0C14" w:rsidP="005515BA">
            <w:r w:rsidRPr="007460FF">
              <w:t>Analysis of covariance</w:t>
            </w:r>
          </w:p>
        </w:tc>
      </w:tr>
      <w:tr w:rsidR="00AB0C14" w:rsidRPr="00A04F1A" w:rsidTr="003B2EC6">
        <w:tc>
          <w:tcPr>
            <w:tcW w:w="1888" w:type="dxa"/>
          </w:tcPr>
          <w:p w:rsidR="00AB0C14" w:rsidRPr="007460FF" w:rsidRDefault="005515BA" w:rsidP="005515BA">
            <w:r>
              <w:t>AST</w:t>
            </w:r>
          </w:p>
        </w:tc>
        <w:tc>
          <w:tcPr>
            <w:tcW w:w="6832" w:type="dxa"/>
          </w:tcPr>
          <w:p w:rsidR="00AB0C14" w:rsidRPr="007460FF" w:rsidRDefault="00AB0C14" w:rsidP="005515BA">
            <w:r w:rsidRPr="007460FF">
              <w:t>aspartate aminotransferase</w:t>
            </w:r>
          </w:p>
        </w:tc>
      </w:tr>
      <w:tr w:rsidR="00AB0C14" w:rsidRPr="00A04F1A" w:rsidTr="003B2EC6">
        <w:tc>
          <w:tcPr>
            <w:tcW w:w="1888" w:type="dxa"/>
          </w:tcPr>
          <w:p w:rsidR="00AB0C14" w:rsidRPr="007460FF" w:rsidRDefault="005515BA" w:rsidP="005515BA">
            <w:r>
              <w:t>ATS</w:t>
            </w:r>
          </w:p>
        </w:tc>
        <w:tc>
          <w:tcPr>
            <w:tcW w:w="6832" w:type="dxa"/>
          </w:tcPr>
          <w:p w:rsidR="00AB0C14" w:rsidRPr="007460FF" w:rsidRDefault="00AB0C14" w:rsidP="005515BA">
            <w:r w:rsidRPr="007460FF">
              <w:t>American Thoracic Society</w:t>
            </w:r>
          </w:p>
        </w:tc>
      </w:tr>
      <w:tr w:rsidR="00AB0C14" w:rsidRPr="00A04F1A" w:rsidTr="003B2EC6">
        <w:tc>
          <w:tcPr>
            <w:tcW w:w="1888" w:type="dxa"/>
          </w:tcPr>
          <w:p w:rsidR="00AB0C14" w:rsidRPr="007460FF" w:rsidRDefault="005515BA" w:rsidP="005515BA">
            <w:r>
              <w:t>AUC</w:t>
            </w:r>
          </w:p>
        </w:tc>
        <w:tc>
          <w:tcPr>
            <w:tcW w:w="6832" w:type="dxa"/>
          </w:tcPr>
          <w:p w:rsidR="00AB0C14" w:rsidRPr="007460FF" w:rsidRDefault="00AB0C14" w:rsidP="005515BA">
            <w:r w:rsidRPr="007460FF">
              <w:t>Area-under-the-curve</w:t>
            </w:r>
          </w:p>
        </w:tc>
      </w:tr>
      <w:tr w:rsidR="00AB0C14" w:rsidRPr="00A04F1A" w:rsidTr="003B2EC6">
        <w:tc>
          <w:tcPr>
            <w:tcW w:w="1888" w:type="dxa"/>
          </w:tcPr>
          <w:p w:rsidR="00AB0C14" w:rsidRPr="007460FF" w:rsidRDefault="00AB0C14" w:rsidP="005515BA">
            <w:r w:rsidRPr="007460FF">
              <w:t>AUC</w:t>
            </w:r>
            <w:r w:rsidRPr="00D01092">
              <w:rPr>
                <w:vertAlign w:val="subscript"/>
              </w:rPr>
              <w:t>0-t</w:t>
            </w:r>
          </w:p>
        </w:tc>
        <w:tc>
          <w:tcPr>
            <w:tcW w:w="6832" w:type="dxa"/>
          </w:tcPr>
          <w:p w:rsidR="00AB0C14" w:rsidRPr="007460FF" w:rsidRDefault="00AB0C14" w:rsidP="005515BA">
            <w:r w:rsidRPr="007460FF">
              <w:t>Area under the concentration-time curve from time zero up to the last measurable concentration</w:t>
            </w:r>
          </w:p>
        </w:tc>
      </w:tr>
      <w:tr w:rsidR="00AB0C14" w:rsidRPr="00A04F1A" w:rsidTr="003B2EC6">
        <w:tc>
          <w:tcPr>
            <w:tcW w:w="1888" w:type="dxa"/>
          </w:tcPr>
          <w:p w:rsidR="00AB0C14" w:rsidRPr="007460FF" w:rsidRDefault="00AB0C14" w:rsidP="005515BA">
            <w:proofErr w:type="spellStart"/>
            <w:r w:rsidRPr="007460FF">
              <w:t>AUC</w:t>
            </w:r>
            <w:r w:rsidR="005515BA">
              <w:rPr>
                <w:vertAlign w:val="subscript"/>
              </w:rPr>
              <w:t>o</w:t>
            </w:r>
            <w:proofErr w:type="spellEnd"/>
            <w:r w:rsidR="005515BA">
              <w:rPr>
                <w:vertAlign w:val="subscript"/>
              </w:rPr>
              <w:t>-∞</w:t>
            </w:r>
          </w:p>
        </w:tc>
        <w:tc>
          <w:tcPr>
            <w:tcW w:w="6832" w:type="dxa"/>
          </w:tcPr>
          <w:p w:rsidR="00AB0C14" w:rsidRPr="007460FF" w:rsidRDefault="00AB0C14" w:rsidP="005515BA">
            <w:r w:rsidRPr="007460FF">
              <w:t>Area under the concentration-time curve from time zero to infinity</w:t>
            </w:r>
          </w:p>
        </w:tc>
      </w:tr>
      <w:tr w:rsidR="00AB0C14" w:rsidRPr="00A04F1A" w:rsidTr="003B2EC6">
        <w:tc>
          <w:tcPr>
            <w:tcW w:w="1888" w:type="dxa"/>
          </w:tcPr>
          <w:p w:rsidR="00AB0C14" w:rsidRPr="007460FF" w:rsidRDefault="005515BA" w:rsidP="005515BA">
            <w:proofErr w:type="spellStart"/>
            <w:r>
              <w:t>AUCτ</w:t>
            </w:r>
            <w:proofErr w:type="spellEnd"/>
          </w:p>
        </w:tc>
        <w:tc>
          <w:tcPr>
            <w:tcW w:w="6832" w:type="dxa"/>
          </w:tcPr>
          <w:p w:rsidR="00AB0C14" w:rsidRPr="007460FF" w:rsidRDefault="00AB0C14" w:rsidP="005515BA">
            <w:r w:rsidRPr="007460FF">
              <w:t>Area under the concentration-time curve during a dosing interval (τ)</w:t>
            </w:r>
          </w:p>
        </w:tc>
      </w:tr>
      <w:tr w:rsidR="00AB0C14" w:rsidRPr="00A04F1A" w:rsidTr="003B2EC6">
        <w:tc>
          <w:tcPr>
            <w:tcW w:w="1888" w:type="dxa"/>
          </w:tcPr>
          <w:p w:rsidR="00AB0C14" w:rsidRPr="007460FF" w:rsidRDefault="00AB0C14" w:rsidP="005515BA">
            <w:proofErr w:type="spellStart"/>
            <w:r w:rsidRPr="007460FF">
              <w:t>AUC</w:t>
            </w:r>
            <w:r w:rsidRPr="00D01092">
              <w:rPr>
                <w:rFonts w:cs="Symbol"/>
                <w:vertAlign w:val="subscript"/>
              </w:rPr>
              <w:t>τ</w:t>
            </w:r>
            <w:r w:rsidRPr="00D01092">
              <w:rPr>
                <w:vertAlign w:val="subscript"/>
              </w:rPr>
              <w:t>,SS</w:t>
            </w:r>
            <w:proofErr w:type="spellEnd"/>
          </w:p>
        </w:tc>
        <w:tc>
          <w:tcPr>
            <w:tcW w:w="6832" w:type="dxa"/>
          </w:tcPr>
          <w:p w:rsidR="00AB0C14" w:rsidRPr="007460FF" w:rsidRDefault="00AB0C14" w:rsidP="005515BA">
            <w:r w:rsidRPr="007460FF">
              <w:t>Area under the concentration-time curve during dosing interval (τ) at steady state</w:t>
            </w:r>
          </w:p>
        </w:tc>
      </w:tr>
      <w:tr w:rsidR="00AB0C14" w:rsidRPr="00A04F1A" w:rsidTr="003B2EC6">
        <w:tc>
          <w:tcPr>
            <w:tcW w:w="1888" w:type="dxa"/>
          </w:tcPr>
          <w:p w:rsidR="00AB0C14" w:rsidRPr="007460FF" w:rsidRDefault="005515BA" w:rsidP="005515BA">
            <w:proofErr w:type="spellStart"/>
            <w:r>
              <w:t>BChE</w:t>
            </w:r>
            <w:proofErr w:type="spellEnd"/>
          </w:p>
        </w:tc>
        <w:tc>
          <w:tcPr>
            <w:tcW w:w="6832" w:type="dxa"/>
          </w:tcPr>
          <w:p w:rsidR="00AB0C14" w:rsidRPr="007460FF" w:rsidRDefault="00AB0C14" w:rsidP="005515BA">
            <w:r w:rsidRPr="007460FF">
              <w:t>Butyrylcholinesterase</w:t>
            </w:r>
          </w:p>
        </w:tc>
      </w:tr>
      <w:tr w:rsidR="00AB0C14" w:rsidRPr="00A04F1A" w:rsidTr="003B2EC6">
        <w:tc>
          <w:tcPr>
            <w:tcW w:w="1888" w:type="dxa"/>
          </w:tcPr>
          <w:p w:rsidR="00AB0C14" w:rsidRPr="007460FF" w:rsidRDefault="005515BA" w:rsidP="005515BA">
            <w:r>
              <w:t>BDI</w:t>
            </w:r>
          </w:p>
        </w:tc>
        <w:tc>
          <w:tcPr>
            <w:tcW w:w="6832" w:type="dxa"/>
          </w:tcPr>
          <w:p w:rsidR="00AB0C14" w:rsidRPr="007460FF" w:rsidRDefault="00AB0C14" w:rsidP="005515BA">
            <w:r w:rsidRPr="007460FF">
              <w:t>Baseline Dyspnoea Index</w:t>
            </w:r>
          </w:p>
        </w:tc>
      </w:tr>
      <w:tr w:rsidR="00AB0C14" w:rsidRPr="00A04F1A" w:rsidTr="003B2EC6">
        <w:tc>
          <w:tcPr>
            <w:tcW w:w="1888" w:type="dxa"/>
          </w:tcPr>
          <w:p w:rsidR="00AB0C14" w:rsidRPr="007460FF" w:rsidRDefault="005515BA" w:rsidP="005515BA">
            <w:r>
              <w:t>BD</w:t>
            </w:r>
          </w:p>
        </w:tc>
        <w:tc>
          <w:tcPr>
            <w:tcW w:w="6832" w:type="dxa"/>
          </w:tcPr>
          <w:p w:rsidR="00AB0C14" w:rsidRPr="007460FF" w:rsidRDefault="00AB0C14" w:rsidP="005515BA">
            <w:r w:rsidRPr="007460FF">
              <w:t>Twice daily</w:t>
            </w:r>
          </w:p>
        </w:tc>
      </w:tr>
      <w:tr w:rsidR="00AB0C14" w:rsidRPr="00A04F1A" w:rsidTr="003B2EC6">
        <w:tc>
          <w:tcPr>
            <w:tcW w:w="1888" w:type="dxa"/>
          </w:tcPr>
          <w:p w:rsidR="00AB0C14" w:rsidRPr="007460FF" w:rsidRDefault="005515BA" w:rsidP="005515BA">
            <w:r>
              <w:t>BLQ</w:t>
            </w:r>
          </w:p>
        </w:tc>
        <w:tc>
          <w:tcPr>
            <w:tcW w:w="6832" w:type="dxa"/>
          </w:tcPr>
          <w:p w:rsidR="00AB0C14" w:rsidRPr="007460FF" w:rsidRDefault="00AB0C14" w:rsidP="005515BA">
            <w:r w:rsidRPr="007460FF">
              <w:t>Below the lower limit of quantification</w:t>
            </w:r>
          </w:p>
        </w:tc>
      </w:tr>
      <w:tr w:rsidR="00AB0C14" w:rsidRPr="00A04F1A" w:rsidTr="003B2EC6">
        <w:tc>
          <w:tcPr>
            <w:tcW w:w="1888" w:type="dxa"/>
          </w:tcPr>
          <w:p w:rsidR="00AB0C14" w:rsidRPr="007460FF" w:rsidRDefault="005515BA" w:rsidP="005515BA">
            <w:r>
              <w:t>BMI</w:t>
            </w:r>
          </w:p>
        </w:tc>
        <w:tc>
          <w:tcPr>
            <w:tcW w:w="6832" w:type="dxa"/>
          </w:tcPr>
          <w:p w:rsidR="00AB0C14" w:rsidRPr="007460FF" w:rsidRDefault="00AB0C14" w:rsidP="005515BA">
            <w:r w:rsidRPr="007460FF">
              <w:t>body mass index</w:t>
            </w:r>
          </w:p>
        </w:tc>
      </w:tr>
      <w:tr w:rsidR="00AB0C14" w:rsidRPr="00A04F1A" w:rsidTr="003B2EC6">
        <w:tc>
          <w:tcPr>
            <w:tcW w:w="1888" w:type="dxa"/>
          </w:tcPr>
          <w:p w:rsidR="00AB0C14" w:rsidRPr="007460FF" w:rsidRDefault="005515BA" w:rsidP="005515BA">
            <w:r>
              <w:t>BP</w:t>
            </w:r>
          </w:p>
        </w:tc>
        <w:tc>
          <w:tcPr>
            <w:tcW w:w="6832" w:type="dxa"/>
          </w:tcPr>
          <w:p w:rsidR="00AB0C14" w:rsidRPr="007460FF" w:rsidRDefault="00AB0C14" w:rsidP="005515BA">
            <w:r w:rsidRPr="007460FF">
              <w:t>blood pressure</w:t>
            </w:r>
          </w:p>
        </w:tc>
      </w:tr>
      <w:tr w:rsidR="00AB0C14" w:rsidRPr="00A04F1A" w:rsidTr="003B2EC6">
        <w:tc>
          <w:tcPr>
            <w:tcW w:w="1888" w:type="dxa"/>
          </w:tcPr>
          <w:p w:rsidR="00AB0C14" w:rsidRPr="007460FF" w:rsidRDefault="005515BA" w:rsidP="005515BA">
            <w:r>
              <w:t>bpm</w:t>
            </w:r>
          </w:p>
        </w:tc>
        <w:tc>
          <w:tcPr>
            <w:tcW w:w="6832" w:type="dxa"/>
          </w:tcPr>
          <w:p w:rsidR="00AB0C14" w:rsidRPr="007460FF" w:rsidRDefault="00AB0C14" w:rsidP="005515BA">
            <w:r w:rsidRPr="007460FF">
              <w:t>beats per minute</w:t>
            </w:r>
          </w:p>
        </w:tc>
      </w:tr>
      <w:tr w:rsidR="00AB0C14" w:rsidRPr="00A04F1A" w:rsidTr="003B2EC6">
        <w:tc>
          <w:tcPr>
            <w:tcW w:w="1888" w:type="dxa"/>
          </w:tcPr>
          <w:p w:rsidR="00AB0C14" w:rsidRPr="007460FF" w:rsidRDefault="005515BA" w:rsidP="005515BA">
            <w:r>
              <w:t>BUN</w:t>
            </w:r>
          </w:p>
        </w:tc>
        <w:tc>
          <w:tcPr>
            <w:tcW w:w="6832" w:type="dxa"/>
          </w:tcPr>
          <w:p w:rsidR="00AB0C14" w:rsidRPr="007460FF" w:rsidRDefault="00AB0C14" w:rsidP="005515BA">
            <w:r w:rsidRPr="007460FF">
              <w:t>Blood urea nitrogen</w:t>
            </w:r>
          </w:p>
        </w:tc>
      </w:tr>
      <w:tr w:rsidR="00AB0C14" w:rsidRPr="00A04F1A" w:rsidTr="003B2EC6">
        <w:tc>
          <w:tcPr>
            <w:tcW w:w="1888" w:type="dxa"/>
          </w:tcPr>
          <w:p w:rsidR="00AB0C14" w:rsidRPr="007460FF" w:rsidRDefault="005515BA" w:rsidP="005515BA">
            <w:r>
              <w:t>CI</w:t>
            </w:r>
          </w:p>
        </w:tc>
        <w:tc>
          <w:tcPr>
            <w:tcW w:w="6832" w:type="dxa"/>
          </w:tcPr>
          <w:p w:rsidR="00AB0C14" w:rsidRPr="007460FF" w:rsidRDefault="00AB0C14" w:rsidP="005515BA">
            <w:r w:rsidRPr="007460FF">
              <w:t>Confidence interval</w:t>
            </w:r>
          </w:p>
        </w:tc>
      </w:tr>
      <w:tr w:rsidR="00AB0C14" w:rsidRPr="00A04F1A" w:rsidTr="003B2EC6">
        <w:tc>
          <w:tcPr>
            <w:tcW w:w="1888" w:type="dxa"/>
          </w:tcPr>
          <w:p w:rsidR="00AB0C14" w:rsidRPr="007460FF" w:rsidRDefault="005515BA" w:rsidP="005515BA">
            <w:r>
              <w:t>CL</w:t>
            </w:r>
          </w:p>
        </w:tc>
        <w:tc>
          <w:tcPr>
            <w:tcW w:w="6832" w:type="dxa"/>
          </w:tcPr>
          <w:p w:rsidR="00AB0C14" w:rsidRPr="007460FF" w:rsidRDefault="00AB0C14" w:rsidP="005515BA">
            <w:r w:rsidRPr="007460FF">
              <w:t>Total body clearance from plasma</w:t>
            </w:r>
          </w:p>
        </w:tc>
      </w:tr>
      <w:tr w:rsidR="00AB0C14" w:rsidRPr="00A04F1A" w:rsidTr="003B2EC6">
        <w:tc>
          <w:tcPr>
            <w:tcW w:w="1888" w:type="dxa"/>
          </w:tcPr>
          <w:p w:rsidR="00AB0C14" w:rsidRPr="007460FF" w:rsidRDefault="005515BA" w:rsidP="005515BA">
            <w:r>
              <w:t>CL/f</w:t>
            </w:r>
          </w:p>
        </w:tc>
        <w:tc>
          <w:tcPr>
            <w:tcW w:w="6832" w:type="dxa"/>
          </w:tcPr>
          <w:p w:rsidR="00AB0C14" w:rsidRPr="007460FF" w:rsidRDefault="00AB0C14" w:rsidP="005515BA">
            <w:r w:rsidRPr="007460FF">
              <w:t>Total body clearance from plasma after extravascular administration</w:t>
            </w:r>
          </w:p>
        </w:tc>
      </w:tr>
      <w:tr w:rsidR="00AB0C14" w:rsidRPr="00A04F1A" w:rsidTr="003B2EC6">
        <w:tc>
          <w:tcPr>
            <w:tcW w:w="1888" w:type="dxa"/>
          </w:tcPr>
          <w:p w:rsidR="00AB0C14" w:rsidRPr="007460FF" w:rsidRDefault="005515BA" w:rsidP="005515BA">
            <w:proofErr w:type="spellStart"/>
            <w:r>
              <w:t>CLcr</w:t>
            </w:r>
            <w:proofErr w:type="spellEnd"/>
          </w:p>
        </w:tc>
        <w:tc>
          <w:tcPr>
            <w:tcW w:w="6832" w:type="dxa"/>
          </w:tcPr>
          <w:p w:rsidR="00AB0C14" w:rsidRPr="007460FF" w:rsidRDefault="00AB0C14" w:rsidP="005515BA">
            <w:r w:rsidRPr="007460FF">
              <w:t>Creatinine clearance</w:t>
            </w:r>
          </w:p>
        </w:tc>
      </w:tr>
      <w:tr w:rsidR="00AB0C14" w:rsidRPr="00A04F1A" w:rsidTr="003B2EC6">
        <w:tc>
          <w:tcPr>
            <w:tcW w:w="1888" w:type="dxa"/>
          </w:tcPr>
          <w:p w:rsidR="00AB0C14" w:rsidRPr="007460FF" w:rsidRDefault="005515BA" w:rsidP="005515BA">
            <w:r>
              <w:t>CLR</w:t>
            </w:r>
          </w:p>
        </w:tc>
        <w:tc>
          <w:tcPr>
            <w:tcW w:w="6832" w:type="dxa"/>
          </w:tcPr>
          <w:p w:rsidR="00AB0C14" w:rsidRPr="007460FF" w:rsidRDefault="00AB0C14" w:rsidP="005515BA">
            <w:r w:rsidRPr="007460FF">
              <w:t>Renal clearance</w:t>
            </w:r>
          </w:p>
        </w:tc>
      </w:tr>
      <w:tr w:rsidR="00AB0C14" w:rsidRPr="00A04F1A" w:rsidTr="003B2EC6">
        <w:tc>
          <w:tcPr>
            <w:tcW w:w="1888" w:type="dxa"/>
          </w:tcPr>
          <w:p w:rsidR="00AB0C14" w:rsidRPr="007460FF" w:rsidRDefault="00AB0C14" w:rsidP="005515BA">
            <w:proofErr w:type="spellStart"/>
            <w:r w:rsidRPr="007460FF">
              <w:t>C</w:t>
            </w:r>
            <w:r w:rsidRPr="00D01092">
              <w:rPr>
                <w:vertAlign w:val="subscript"/>
              </w:rPr>
              <w:t>max</w:t>
            </w:r>
            <w:proofErr w:type="spellEnd"/>
          </w:p>
        </w:tc>
        <w:tc>
          <w:tcPr>
            <w:tcW w:w="6832" w:type="dxa"/>
          </w:tcPr>
          <w:p w:rsidR="00AB0C14" w:rsidRPr="007460FF" w:rsidRDefault="00AB0C14" w:rsidP="005515BA">
            <w:r w:rsidRPr="007460FF">
              <w:t>Maximum observed plasma concentration</w:t>
            </w:r>
          </w:p>
        </w:tc>
      </w:tr>
      <w:tr w:rsidR="00AB0C14" w:rsidRPr="00A04F1A" w:rsidTr="003B2EC6">
        <w:tc>
          <w:tcPr>
            <w:tcW w:w="1888" w:type="dxa"/>
          </w:tcPr>
          <w:p w:rsidR="00AB0C14" w:rsidRPr="007460FF" w:rsidRDefault="00AB0C14" w:rsidP="005515BA">
            <w:proofErr w:type="spellStart"/>
            <w:r w:rsidRPr="007460FF">
              <w:t>C</w:t>
            </w:r>
            <w:r w:rsidRPr="00D01092">
              <w:rPr>
                <w:vertAlign w:val="subscript"/>
              </w:rPr>
              <w:t>max,SS</w:t>
            </w:r>
            <w:proofErr w:type="spellEnd"/>
          </w:p>
        </w:tc>
        <w:tc>
          <w:tcPr>
            <w:tcW w:w="6832" w:type="dxa"/>
          </w:tcPr>
          <w:p w:rsidR="00AB0C14" w:rsidRPr="007460FF" w:rsidRDefault="00AB0C14" w:rsidP="005515BA">
            <w:r w:rsidRPr="007460FF">
              <w:t>Maximum observed plasma concentration at steady state</w:t>
            </w:r>
          </w:p>
        </w:tc>
      </w:tr>
      <w:tr w:rsidR="00AB0C14" w:rsidRPr="00A04F1A" w:rsidTr="003B2EC6">
        <w:tc>
          <w:tcPr>
            <w:tcW w:w="1888" w:type="dxa"/>
          </w:tcPr>
          <w:p w:rsidR="00AB0C14" w:rsidRPr="007460FF" w:rsidRDefault="00AB0C14" w:rsidP="005515BA">
            <w:proofErr w:type="spellStart"/>
            <w:r w:rsidRPr="007460FF">
              <w:t>C</w:t>
            </w:r>
            <w:r w:rsidRPr="00D01092">
              <w:rPr>
                <w:vertAlign w:val="subscript"/>
              </w:rPr>
              <w:t>min</w:t>
            </w:r>
            <w:proofErr w:type="spellEnd"/>
          </w:p>
        </w:tc>
        <w:tc>
          <w:tcPr>
            <w:tcW w:w="6832" w:type="dxa"/>
          </w:tcPr>
          <w:p w:rsidR="00AB0C14" w:rsidRPr="007460FF" w:rsidRDefault="00AB0C14" w:rsidP="005515BA">
            <w:r w:rsidRPr="007460FF">
              <w:t>Minimum observed plasma concentration</w:t>
            </w:r>
          </w:p>
        </w:tc>
      </w:tr>
      <w:tr w:rsidR="00AB0C14" w:rsidRPr="00A04F1A" w:rsidTr="003B2EC6">
        <w:tc>
          <w:tcPr>
            <w:tcW w:w="1888" w:type="dxa"/>
          </w:tcPr>
          <w:p w:rsidR="00AB0C14" w:rsidRPr="007460FF" w:rsidRDefault="00AB0C14" w:rsidP="005515BA">
            <w:proofErr w:type="spellStart"/>
            <w:r w:rsidRPr="007460FF">
              <w:t>C</w:t>
            </w:r>
            <w:r w:rsidRPr="00D01092">
              <w:rPr>
                <w:vertAlign w:val="subscript"/>
              </w:rPr>
              <w:t>min,SS</w:t>
            </w:r>
            <w:proofErr w:type="spellEnd"/>
          </w:p>
        </w:tc>
        <w:tc>
          <w:tcPr>
            <w:tcW w:w="6832" w:type="dxa"/>
          </w:tcPr>
          <w:p w:rsidR="00AB0C14" w:rsidRPr="007460FF" w:rsidRDefault="00AB0C14" w:rsidP="005515BA">
            <w:r w:rsidRPr="007460FF">
              <w:t>Minimum observed plasma concentration at steady state</w:t>
            </w:r>
          </w:p>
        </w:tc>
      </w:tr>
      <w:tr w:rsidR="00AB0C14" w:rsidRPr="00A04F1A" w:rsidTr="003B2EC6">
        <w:tc>
          <w:tcPr>
            <w:tcW w:w="1888" w:type="dxa"/>
          </w:tcPr>
          <w:p w:rsidR="00AB0C14" w:rsidRPr="007460FF" w:rsidRDefault="005515BA" w:rsidP="005515BA">
            <w:r>
              <w:t>COPD</w:t>
            </w:r>
          </w:p>
        </w:tc>
        <w:tc>
          <w:tcPr>
            <w:tcW w:w="6832" w:type="dxa"/>
          </w:tcPr>
          <w:p w:rsidR="00AB0C14" w:rsidRPr="007460FF" w:rsidRDefault="00AB0C14" w:rsidP="005515BA">
            <w:r w:rsidRPr="007460FF">
              <w:t>Chronic obstructive pulmonary disease</w:t>
            </w:r>
          </w:p>
        </w:tc>
      </w:tr>
      <w:tr w:rsidR="00AB0C14" w:rsidRPr="00A04F1A" w:rsidTr="003B2EC6">
        <w:tc>
          <w:tcPr>
            <w:tcW w:w="1888" w:type="dxa"/>
          </w:tcPr>
          <w:p w:rsidR="00AB0C14" w:rsidRPr="007460FF" w:rsidRDefault="005515BA" w:rsidP="005515BA">
            <w:r>
              <w:t>CV</w:t>
            </w:r>
          </w:p>
        </w:tc>
        <w:tc>
          <w:tcPr>
            <w:tcW w:w="6832" w:type="dxa"/>
          </w:tcPr>
          <w:p w:rsidR="00AB0C14" w:rsidRPr="007460FF" w:rsidRDefault="00AB0C14" w:rsidP="005515BA">
            <w:r w:rsidRPr="007460FF">
              <w:t>Coefficient of variation</w:t>
            </w:r>
          </w:p>
        </w:tc>
      </w:tr>
      <w:tr w:rsidR="00AB0C14" w:rsidRPr="00A04F1A" w:rsidTr="003B2EC6">
        <w:tc>
          <w:tcPr>
            <w:tcW w:w="1888" w:type="dxa"/>
          </w:tcPr>
          <w:p w:rsidR="00AB0C14" w:rsidRPr="007460FF" w:rsidRDefault="005515BA" w:rsidP="005515BA">
            <w:r>
              <w:t>CYP450</w:t>
            </w:r>
          </w:p>
        </w:tc>
        <w:tc>
          <w:tcPr>
            <w:tcW w:w="6832" w:type="dxa"/>
          </w:tcPr>
          <w:p w:rsidR="00AB0C14" w:rsidRPr="007460FF" w:rsidRDefault="00AB0C14" w:rsidP="005515BA">
            <w:r w:rsidRPr="007460FF">
              <w:t>Cytochrome P450</w:t>
            </w:r>
          </w:p>
        </w:tc>
      </w:tr>
      <w:tr w:rsidR="00AB0C14" w:rsidRPr="00A04F1A" w:rsidTr="003B2EC6">
        <w:tc>
          <w:tcPr>
            <w:tcW w:w="1888" w:type="dxa"/>
          </w:tcPr>
          <w:p w:rsidR="00AB0C14" w:rsidRPr="007460FF" w:rsidRDefault="005515BA" w:rsidP="005515BA">
            <w:r>
              <w:t>DPI</w:t>
            </w:r>
          </w:p>
        </w:tc>
        <w:tc>
          <w:tcPr>
            <w:tcW w:w="6832" w:type="dxa"/>
          </w:tcPr>
          <w:p w:rsidR="00AB0C14" w:rsidRPr="007460FF" w:rsidRDefault="00AB0C14" w:rsidP="005515BA">
            <w:r w:rsidRPr="007460FF">
              <w:t>Dry powder inhaler</w:t>
            </w:r>
          </w:p>
        </w:tc>
      </w:tr>
      <w:tr w:rsidR="00AB0C14" w:rsidRPr="00A04F1A" w:rsidTr="003B2EC6">
        <w:tc>
          <w:tcPr>
            <w:tcW w:w="1888" w:type="dxa"/>
          </w:tcPr>
          <w:p w:rsidR="00AB0C14" w:rsidRPr="007460FF" w:rsidRDefault="005515BA" w:rsidP="005515BA">
            <w:r>
              <w:t>ECG</w:t>
            </w:r>
          </w:p>
        </w:tc>
        <w:tc>
          <w:tcPr>
            <w:tcW w:w="6832" w:type="dxa"/>
          </w:tcPr>
          <w:p w:rsidR="00AB0C14" w:rsidRPr="007460FF" w:rsidRDefault="00AB0C14" w:rsidP="005515BA">
            <w:r w:rsidRPr="007460FF">
              <w:t>Electrocardiogram</w:t>
            </w:r>
          </w:p>
        </w:tc>
      </w:tr>
      <w:tr w:rsidR="00AB0C14" w:rsidRPr="00A04F1A" w:rsidTr="003B2EC6">
        <w:tc>
          <w:tcPr>
            <w:tcW w:w="1888" w:type="dxa"/>
          </w:tcPr>
          <w:p w:rsidR="00AB0C14" w:rsidRPr="007460FF" w:rsidRDefault="005515BA" w:rsidP="005515BA">
            <w:r>
              <w:t>EMA</w:t>
            </w:r>
          </w:p>
        </w:tc>
        <w:tc>
          <w:tcPr>
            <w:tcW w:w="6832" w:type="dxa"/>
          </w:tcPr>
          <w:p w:rsidR="00AB0C14" w:rsidRPr="007460FF" w:rsidRDefault="00AB0C14" w:rsidP="005515BA">
            <w:r w:rsidRPr="007460FF">
              <w:t>European Medicines Agency</w:t>
            </w:r>
          </w:p>
        </w:tc>
      </w:tr>
      <w:tr w:rsidR="00AB0C14" w:rsidRPr="00A04F1A" w:rsidTr="003B2EC6">
        <w:tc>
          <w:tcPr>
            <w:tcW w:w="1888" w:type="dxa"/>
          </w:tcPr>
          <w:p w:rsidR="00AB0C14" w:rsidRPr="007460FF" w:rsidRDefault="005515BA" w:rsidP="005515BA">
            <w:r>
              <w:t>ENR</w:t>
            </w:r>
          </w:p>
        </w:tc>
        <w:tc>
          <w:tcPr>
            <w:tcW w:w="6832" w:type="dxa"/>
          </w:tcPr>
          <w:p w:rsidR="00AB0C14" w:rsidRPr="007460FF" w:rsidRDefault="00AB0C14" w:rsidP="005515BA">
            <w:r w:rsidRPr="007460FF">
              <w:t>expanded normal range</w:t>
            </w:r>
          </w:p>
        </w:tc>
      </w:tr>
      <w:tr w:rsidR="00AB0C14" w:rsidRPr="00A04F1A" w:rsidTr="003B2EC6">
        <w:tc>
          <w:tcPr>
            <w:tcW w:w="1888" w:type="dxa"/>
          </w:tcPr>
          <w:p w:rsidR="00AB0C14" w:rsidRPr="007460FF" w:rsidRDefault="005515BA" w:rsidP="005515BA">
            <w:r>
              <w:t>E-RS</w:t>
            </w:r>
          </w:p>
        </w:tc>
        <w:tc>
          <w:tcPr>
            <w:tcW w:w="6832" w:type="dxa"/>
          </w:tcPr>
          <w:p w:rsidR="00AB0C14" w:rsidRPr="007460FF" w:rsidRDefault="00AB0C14" w:rsidP="005515BA">
            <w:r w:rsidRPr="007460FF">
              <w:t>Exacerbations of COPD Tool – Respiratory Symptoms</w:t>
            </w:r>
          </w:p>
        </w:tc>
      </w:tr>
      <w:tr w:rsidR="00AB0C14" w:rsidRPr="00A04F1A" w:rsidTr="003B2EC6">
        <w:tc>
          <w:tcPr>
            <w:tcW w:w="1888" w:type="dxa"/>
          </w:tcPr>
          <w:p w:rsidR="00AB0C14" w:rsidRPr="007460FF" w:rsidRDefault="005515BA" w:rsidP="005515BA">
            <w:r>
              <w:t>EXACT</w:t>
            </w:r>
          </w:p>
        </w:tc>
        <w:tc>
          <w:tcPr>
            <w:tcW w:w="6832" w:type="dxa"/>
          </w:tcPr>
          <w:p w:rsidR="00AB0C14" w:rsidRPr="007460FF" w:rsidRDefault="00AB0C14" w:rsidP="005515BA">
            <w:r w:rsidRPr="007460FF">
              <w:t>Exacerbations of Chronic Obstructive Pulmonary Disease Tool</w:t>
            </w:r>
          </w:p>
        </w:tc>
      </w:tr>
      <w:tr w:rsidR="00AB0C14" w:rsidRPr="00A04F1A" w:rsidTr="003B2EC6">
        <w:tc>
          <w:tcPr>
            <w:tcW w:w="1888" w:type="dxa"/>
          </w:tcPr>
          <w:p w:rsidR="00AB0C14" w:rsidRPr="007460FF" w:rsidRDefault="005515BA" w:rsidP="005515BA">
            <w:r>
              <w:t>FDC</w:t>
            </w:r>
          </w:p>
        </w:tc>
        <w:tc>
          <w:tcPr>
            <w:tcW w:w="6832" w:type="dxa"/>
          </w:tcPr>
          <w:p w:rsidR="00AB0C14" w:rsidRPr="007460FF" w:rsidRDefault="00AB0C14" w:rsidP="005515BA">
            <w:r w:rsidRPr="007460FF">
              <w:t>fixed-dose combination</w:t>
            </w:r>
          </w:p>
        </w:tc>
      </w:tr>
      <w:tr w:rsidR="00AB0C14" w:rsidRPr="00A04F1A" w:rsidTr="003B2EC6">
        <w:tc>
          <w:tcPr>
            <w:tcW w:w="1888" w:type="dxa"/>
          </w:tcPr>
          <w:p w:rsidR="00AB0C14" w:rsidRPr="007460FF" w:rsidRDefault="005515BA" w:rsidP="005515BA">
            <w:proofErr w:type="spellStart"/>
            <w:r>
              <w:t>fe</w:t>
            </w:r>
            <w:proofErr w:type="spellEnd"/>
          </w:p>
        </w:tc>
        <w:tc>
          <w:tcPr>
            <w:tcW w:w="6832" w:type="dxa"/>
          </w:tcPr>
          <w:p w:rsidR="00AB0C14" w:rsidRPr="007460FF" w:rsidRDefault="00AB0C14" w:rsidP="005515BA">
            <w:r w:rsidRPr="007460FF">
              <w:t>Percentage of dose excreted in urine</w:t>
            </w:r>
          </w:p>
        </w:tc>
      </w:tr>
      <w:tr w:rsidR="00AB0C14" w:rsidRPr="00A04F1A" w:rsidTr="003B2EC6">
        <w:tc>
          <w:tcPr>
            <w:tcW w:w="1888" w:type="dxa"/>
          </w:tcPr>
          <w:p w:rsidR="00AB0C14" w:rsidRPr="007460FF" w:rsidRDefault="00AB0C14" w:rsidP="005515BA">
            <w:r w:rsidRPr="007460FF">
              <w:t>FEV1 AUC</w:t>
            </w:r>
            <w:r w:rsidRPr="00D01092">
              <w:rPr>
                <w:vertAlign w:val="subscript"/>
              </w:rPr>
              <w:t>0-24/24h</w:t>
            </w:r>
          </w:p>
        </w:tc>
        <w:tc>
          <w:tcPr>
            <w:tcW w:w="6832" w:type="dxa"/>
          </w:tcPr>
          <w:p w:rsidR="00AB0C14" w:rsidRPr="007460FF" w:rsidRDefault="00AB0C14" w:rsidP="005515BA">
            <w:r w:rsidRPr="007460FF">
              <w:t>Normalised area under the FEV1 versus time curve from 0 to 24 hours post-dose</w:t>
            </w:r>
          </w:p>
        </w:tc>
      </w:tr>
      <w:tr w:rsidR="00AB0C14" w:rsidRPr="00A04F1A" w:rsidTr="003B2EC6">
        <w:tc>
          <w:tcPr>
            <w:tcW w:w="1888" w:type="dxa"/>
          </w:tcPr>
          <w:p w:rsidR="00AB0C14" w:rsidRPr="007460FF" w:rsidRDefault="005515BA" w:rsidP="005515BA">
            <w:r>
              <w:t>FEV1</w:t>
            </w:r>
          </w:p>
        </w:tc>
        <w:tc>
          <w:tcPr>
            <w:tcW w:w="6832" w:type="dxa"/>
          </w:tcPr>
          <w:p w:rsidR="00AB0C14" w:rsidRPr="007460FF" w:rsidRDefault="00AB0C14" w:rsidP="005515BA">
            <w:r w:rsidRPr="007460FF">
              <w:t>Forced expiratory volume in 1 second</w:t>
            </w:r>
          </w:p>
        </w:tc>
      </w:tr>
      <w:tr w:rsidR="00AB0C14" w:rsidRPr="00A04F1A" w:rsidTr="003B2EC6">
        <w:tc>
          <w:tcPr>
            <w:tcW w:w="1888" w:type="dxa"/>
          </w:tcPr>
          <w:p w:rsidR="00AB0C14" w:rsidRPr="007460FF" w:rsidRDefault="005515BA" w:rsidP="005515BA">
            <w:r>
              <w:t>FEV1</w:t>
            </w:r>
          </w:p>
        </w:tc>
        <w:tc>
          <w:tcPr>
            <w:tcW w:w="6832" w:type="dxa"/>
          </w:tcPr>
          <w:p w:rsidR="00AB0C14" w:rsidRPr="007460FF" w:rsidRDefault="00AB0C14" w:rsidP="005515BA">
            <w:r w:rsidRPr="007460FF">
              <w:t>Forced expiratory volume in 1 second</w:t>
            </w:r>
          </w:p>
        </w:tc>
      </w:tr>
      <w:tr w:rsidR="00AB0C14" w:rsidRPr="00A04F1A" w:rsidTr="003B2EC6">
        <w:tc>
          <w:tcPr>
            <w:tcW w:w="1888" w:type="dxa"/>
          </w:tcPr>
          <w:p w:rsidR="00AB0C14" w:rsidRPr="007460FF" w:rsidRDefault="005515BA" w:rsidP="005515BA">
            <w:r>
              <w:t>FRC</w:t>
            </w:r>
          </w:p>
        </w:tc>
        <w:tc>
          <w:tcPr>
            <w:tcW w:w="6832" w:type="dxa"/>
          </w:tcPr>
          <w:p w:rsidR="00AB0C14" w:rsidRPr="007460FF" w:rsidRDefault="00AB0C14" w:rsidP="005515BA">
            <w:r w:rsidRPr="007460FF">
              <w:t>Forced residual capacity</w:t>
            </w:r>
          </w:p>
        </w:tc>
      </w:tr>
      <w:tr w:rsidR="00AB0C14" w:rsidRPr="00A04F1A" w:rsidTr="003B2EC6">
        <w:tc>
          <w:tcPr>
            <w:tcW w:w="1888" w:type="dxa"/>
          </w:tcPr>
          <w:p w:rsidR="00AB0C14" w:rsidRPr="007460FF" w:rsidRDefault="005515BA" w:rsidP="005515BA">
            <w:r>
              <w:t>FRC</w:t>
            </w:r>
          </w:p>
        </w:tc>
        <w:tc>
          <w:tcPr>
            <w:tcW w:w="6832" w:type="dxa"/>
          </w:tcPr>
          <w:p w:rsidR="00AB0C14" w:rsidRPr="007460FF" w:rsidRDefault="00AB0C14" w:rsidP="005515BA">
            <w:r w:rsidRPr="007460FF">
              <w:t>Functional residual capacity</w:t>
            </w:r>
          </w:p>
        </w:tc>
      </w:tr>
      <w:tr w:rsidR="00AB0C14" w:rsidRPr="00A04F1A" w:rsidTr="003B2EC6">
        <w:tc>
          <w:tcPr>
            <w:tcW w:w="1888" w:type="dxa"/>
          </w:tcPr>
          <w:p w:rsidR="00AB0C14" w:rsidRPr="007460FF" w:rsidRDefault="00AB0C14" w:rsidP="005515BA">
            <w:r w:rsidRPr="007460FF">
              <w:t>FVC AUC</w:t>
            </w:r>
            <w:r w:rsidR="005515BA">
              <w:rPr>
                <w:vertAlign w:val="subscript"/>
              </w:rPr>
              <w:t>0-24/24h</w:t>
            </w:r>
          </w:p>
        </w:tc>
        <w:tc>
          <w:tcPr>
            <w:tcW w:w="6832" w:type="dxa"/>
          </w:tcPr>
          <w:p w:rsidR="00AB0C14" w:rsidRPr="007460FF" w:rsidRDefault="00AB0C14" w:rsidP="005515BA">
            <w:r w:rsidRPr="007460FF">
              <w:t>Normalised area under the FVC versus time curve from 0 to 24 hours post-dose</w:t>
            </w:r>
          </w:p>
        </w:tc>
      </w:tr>
      <w:tr w:rsidR="00AB0C14" w:rsidRPr="00A04F1A" w:rsidTr="003B2EC6">
        <w:tc>
          <w:tcPr>
            <w:tcW w:w="1888" w:type="dxa"/>
          </w:tcPr>
          <w:p w:rsidR="00AB0C14" w:rsidRPr="007460FF" w:rsidRDefault="005515BA" w:rsidP="005515BA">
            <w:r>
              <w:t>FVC</w:t>
            </w:r>
          </w:p>
        </w:tc>
        <w:tc>
          <w:tcPr>
            <w:tcW w:w="6832" w:type="dxa"/>
          </w:tcPr>
          <w:p w:rsidR="00AB0C14" w:rsidRPr="007460FF" w:rsidRDefault="00AB0C14" w:rsidP="005515BA">
            <w:r w:rsidRPr="007460FF">
              <w:t>Forced vital capacity</w:t>
            </w:r>
          </w:p>
        </w:tc>
      </w:tr>
      <w:tr w:rsidR="00AB0C14" w:rsidRPr="00A04F1A" w:rsidTr="003B2EC6">
        <w:tc>
          <w:tcPr>
            <w:tcW w:w="1888" w:type="dxa"/>
          </w:tcPr>
          <w:p w:rsidR="00AB0C14" w:rsidRPr="007460FF" w:rsidRDefault="00AB0C14" w:rsidP="005515BA">
            <w:r w:rsidRPr="007460FF">
              <w:t>FVC</w:t>
            </w:r>
          </w:p>
        </w:tc>
        <w:tc>
          <w:tcPr>
            <w:tcW w:w="6832" w:type="dxa"/>
          </w:tcPr>
          <w:p w:rsidR="00AB0C14" w:rsidRPr="007460FF" w:rsidRDefault="00AB0C14" w:rsidP="005515BA">
            <w:r w:rsidRPr="007460FF">
              <w:t>Forced vital capacity</w:t>
            </w:r>
          </w:p>
        </w:tc>
      </w:tr>
      <w:tr w:rsidR="00AB0C14" w:rsidRPr="00A04F1A" w:rsidTr="003B2EC6">
        <w:tc>
          <w:tcPr>
            <w:tcW w:w="1888" w:type="dxa"/>
          </w:tcPr>
          <w:p w:rsidR="00AB0C14" w:rsidRPr="007460FF" w:rsidRDefault="00AB0C14" w:rsidP="005515BA">
            <w:proofErr w:type="spellStart"/>
            <w:r w:rsidRPr="007460FF">
              <w:t>Gaw</w:t>
            </w:r>
            <w:proofErr w:type="spellEnd"/>
          </w:p>
        </w:tc>
        <w:tc>
          <w:tcPr>
            <w:tcW w:w="6832" w:type="dxa"/>
          </w:tcPr>
          <w:p w:rsidR="00AB0C14" w:rsidRPr="007460FF" w:rsidRDefault="005515BA" w:rsidP="005515BA">
            <w:r>
              <w:t>Reciprocal airway conductance</w:t>
            </w:r>
          </w:p>
        </w:tc>
      </w:tr>
      <w:tr w:rsidR="00AB0C14" w:rsidRPr="00A04F1A" w:rsidTr="003B2EC6">
        <w:tc>
          <w:tcPr>
            <w:tcW w:w="1888" w:type="dxa"/>
          </w:tcPr>
          <w:p w:rsidR="00AB0C14" w:rsidRPr="007460FF" w:rsidRDefault="005515BA" w:rsidP="005515BA">
            <w:r>
              <w:t>GGT</w:t>
            </w:r>
          </w:p>
        </w:tc>
        <w:tc>
          <w:tcPr>
            <w:tcW w:w="6832" w:type="dxa"/>
          </w:tcPr>
          <w:p w:rsidR="00AB0C14" w:rsidRPr="007460FF" w:rsidRDefault="00AB0C14" w:rsidP="005515BA">
            <w:r w:rsidRPr="007460FF">
              <w:t>γ-glutamyl transferase</w:t>
            </w:r>
          </w:p>
        </w:tc>
      </w:tr>
      <w:tr w:rsidR="00AB0C14" w:rsidRPr="00A04F1A" w:rsidTr="003B2EC6">
        <w:tc>
          <w:tcPr>
            <w:tcW w:w="1888" w:type="dxa"/>
          </w:tcPr>
          <w:p w:rsidR="00AB0C14" w:rsidRPr="007460FF" w:rsidRDefault="005515BA" w:rsidP="005515BA">
            <w:r>
              <w:t>GOLD</w:t>
            </w:r>
          </w:p>
        </w:tc>
        <w:tc>
          <w:tcPr>
            <w:tcW w:w="6832" w:type="dxa"/>
          </w:tcPr>
          <w:p w:rsidR="00AB0C14" w:rsidRPr="007460FF" w:rsidRDefault="00AB0C14" w:rsidP="005515BA">
            <w:r w:rsidRPr="007460FF">
              <w:t>Global initiative for Chronic Obstructive Pulmonary Disease</w:t>
            </w:r>
          </w:p>
        </w:tc>
      </w:tr>
      <w:tr w:rsidR="00AB0C14" w:rsidRPr="00A04F1A" w:rsidTr="003B2EC6">
        <w:tc>
          <w:tcPr>
            <w:tcW w:w="1888" w:type="dxa"/>
          </w:tcPr>
          <w:p w:rsidR="00AB0C14" w:rsidRPr="007460FF" w:rsidRDefault="005515BA" w:rsidP="005515BA">
            <w:r>
              <w:t>IC</w:t>
            </w:r>
          </w:p>
        </w:tc>
        <w:tc>
          <w:tcPr>
            <w:tcW w:w="6832" w:type="dxa"/>
          </w:tcPr>
          <w:p w:rsidR="00AB0C14" w:rsidRPr="007460FF" w:rsidRDefault="00AB0C14" w:rsidP="005515BA">
            <w:r w:rsidRPr="007460FF">
              <w:t>Inspiratory capacity</w:t>
            </w:r>
          </w:p>
        </w:tc>
      </w:tr>
      <w:tr w:rsidR="00AB0C14" w:rsidRPr="00A04F1A" w:rsidTr="003B2EC6">
        <w:tc>
          <w:tcPr>
            <w:tcW w:w="1888" w:type="dxa"/>
          </w:tcPr>
          <w:p w:rsidR="00AB0C14" w:rsidRPr="007460FF" w:rsidRDefault="00AB0C14" w:rsidP="005515BA">
            <w:r w:rsidRPr="007460FF">
              <w:t>IC</w:t>
            </w:r>
            <w:r w:rsidRPr="00D01092">
              <w:rPr>
                <w:vertAlign w:val="subscript"/>
              </w:rPr>
              <w:t>50</w:t>
            </w:r>
          </w:p>
        </w:tc>
        <w:tc>
          <w:tcPr>
            <w:tcW w:w="6832" w:type="dxa"/>
          </w:tcPr>
          <w:p w:rsidR="00AB0C14" w:rsidRPr="007460FF" w:rsidRDefault="00AB0C14" w:rsidP="005515BA">
            <w:r w:rsidRPr="007460FF">
              <w:t>Concentration of compound that provides 50% inhibition</w:t>
            </w:r>
          </w:p>
        </w:tc>
      </w:tr>
      <w:tr w:rsidR="00AB0C14" w:rsidRPr="00A04F1A" w:rsidTr="003B2EC6">
        <w:tc>
          <w:tcPr>
            <w:tcW w:w="1888" w:type="dxa"/>
          </w:tcPr>
          <w:p w:rsidR="00AB0C14" w:rsidRPr="007460FF" w:rsidRDefault="005515BA" w:rsidP="005515BA">
            <w:r>
              <w:t>ICH</w:t>
            </w:r>
          </w:p>
        </w:tc>
        <w:tc>
          <w:tcPr>
            <w:tcW w:w="6832" w:type="dxa"/>
          </w:tcPr>
          <w:p w:rsidR="00AB0C14" w:rsidRPr="007460FF" w:rsidRDefault="00AB0C14" w:rsidP="005515BA">
            <w:r w:rsidRPr="007460FF">
              <w:t>International Conference on Harmonisation</w:t>
            </w:r>
          </w:p>
        </w:tc>
      </w:tr>
      <w:tr w:rsidR="00AB0C14" w:rsidRPr="00A04F1A" w:rsidTr="003B2EC6">
        <w:tc>
          <w:tcPr>
            <w:tcW w:w="1888" w:type="dxa"/>
          </w:tcPr>
          <w:p w:rsidR="00AB0C14" w:rsidRPr="007460FF" w:rsidRDefault="005515BA" w:rsidP="005515BA">
            <w:r>
              <w:t>ICS</w:t>
            </w:r>
          </w:p>
        </w:tc>
        <w:tc>
          <w:tcPr>
            <w:tcW w:w="6832" w:type="dxa"/>
          </w:tcPr>
          <w:p w:rsidR="00AB0C14" w:rsidRPr="007460FF" w:rsidRDefault="00AB0C14" w:rsidP="005515BA">
            <w:r w:rsidRPr="007460FF">
              <w:t>Inhaled corticosteroids</w:t>
            </w:r>
          </w:p>
        </w:tc>
      </w:tr>
      <w:tr w:rsidR="00AB0C14" w:rsidRPr="00A04F1A" w:rsidTr="003B2EC6">
        <w:tc>
          <w:tcPr>
            <w:tcW w:w="1888" w:type="dxa"/>
          </w:tcPr>
          <w:p w:rsidR="00AB0C14" w:rsidRPr="007460FF" w:rsidRDefault="005515BA" w:rsidP="005515BA">
            <w:r>
              <w:t>IMP</w:t>
            </w:r>
          </w:p>
        </w:tc>
        <w:tc>
          <w:tcPr>
            <w:tcW w:w="6832" w:type="dxa"/>
          </w:tcPr>
          <w:p w:rsidR="00AB0C14" w:rsidRPr="007460FF" w:rsidRDefault="00AB0C14" w:rsidP="005515BA">
            <w:r w:rsidRPr="007460FF">
              <w:t>Investigational medicinal product</w:t>
            </w:r>
          </w:p>
        </w:tc>
      </w:tr>
      <w:tr w:rsidR="00AB0C14" w:rsidRPr="00A04F1A" w:rsidTr="003B2EC6">
        <w:tc>
          <w:tcPr>
            <w:tcW w:w="1888" w:type="dxa"/>
          </w:tcPr>
          <w:p w:rsidR="00AB0C14" w:rsidRPr="007460FF" w:rsidRDefault="005515BA" w:rsidP="005515BA">
            <w:r>
              <w:t>ISS</w:t>
            </w:r>
          </w:p>
        </w:tc>
        <w:tc>
          <w:tcPr>
            <w:tcW w:w="6832" w:type="dxa"/>
          </w:tcPr>
          <w:p w:rsidR="00AB0C14" w:rsidRPr="007460FF" w:rsidRDefault="00AB0C14" w:rsidP="005515BA">
            <w:r w:rsidRPr="007460FF">
              <w:t>Integrated Summary of Safety</w:t>
            </w:r>
          </w:p>
        </w:tc>
      </w:tr>
      <w:tr w:rsidR="00AB0C14" w:rsidRPr="00A04F1A" w:rsidTr="003B2EC6">
        <w:tc>
          <w:tcPr>
            <w:tcW w:w="1888" w:type="dxa"/>
          </w:tcPr>
          <w:p w:rsidR="00AB0C14" w:rsidRPr="007460FF" w:rsidRDefault="005515BA" w:rsidP="005515BA">
            <w:r>
              <w:t>ITT</w:t>
            </w:r>
          </w:p>
        </w:tc>
        <w:tc>
          <w:tcPr>
            <w:tcW w:w="6832" w:type="dxa"/>
          </w:tcPr>
          <w:p w:rsidR="00AB0C14" w:rsidRPr="007460FF" w:rsidRDefault="00AB0C14" w:rsidP="005515BA">
            <w:r w:rsidRPr="007460FF">
              <w:t>Intent-to-treat</w:t>
            </w:r>
          </w:p>
        </w:tc>
      </w:tr>
      <w:tr w:rsidR="00AB0C14" w:rsidRPr="00A04F1A" w:rsidTr="003B2EC6">
        <w:tc>
          <w:tcPr>
            <w:tcW w:w="1888" w:type="dxa"/>
          </w:tcPr>
          <w:p w:rsidR="00AB0C14" w:rsidRPr="007460FF" w:rsidRDefault="005515BA" w:rsidP="005515BA">
            <w:r>
              <w:t>Ki</w:t>
            </w:r>
          </w:p>
        </w:tc>
        <w:tc>
          <w:tcPr>
            <w:tcW w:w="6832" w:type="dxa"/>
          </w:tcPr>
          <w:p w:rsidR="00AB0C14" w:rsidRPr="007460FF" w:rsidRDefault="00AB0C14" w:rsidP="005515BA">
            <w:r w:rsidRPr="007460FF">
              <w:t>Constant of inhibition</w:t>
            </w:r>
          </w:p>
        </w:tc>
      </w:tr>
      <w:tr w:rsidR="00AB0C14" w:rsidRPr="00A04F1A" w:rsidTr="003B2EC6">
        <w:tc>
          <w:tcPr>
            <w:tcW w:w="1888" w:type="dxa"/>
          </w:tcPr>
          <w:p w:rsidR="00AB0C14" w:rsidRPr="007460FF" w:rsidRDefault="005515BA" w:rsidP="005515BA">
            <w:r>
              <w:t>L</w:t>
            </w:r>
          </w:p>
        </w:tc>
        <w:tc>
          <w:tcPr>
            <w:tcW w:w="6832" w:type="dxa"/>
          </w:tcPr>
          <w:p w:rsidR="00AB0C14" w:rsidRPr="007460FF" w:rsidRDefault="00AB0C14" w:rsidP="005515BA">
            <w:r w:rsidRPr="007460FF">
              <w:t>Litre(s)</w:t>
            </w:r>
          </w:p>
        </w:tc>
      </w:tr>
      <w:tr w:rsidR="00AB0C14" w:rsidRPr="00A04F1A" w:rsidTr="003B2EC6">
        <w:tc>
          <w:tcPr>
            <w:tcW w:w="1888" w:type="dxa"/>
          </w:tcPr>
          <w:p w:rsidR="00AB0C14" w:rsidRPr="007460FF" w:rsidRDefault="00AB0C14" w:rsidP="005515BA">
            <w:r w:rsidRPr="007460FF">
              <w:t>LAS34273</w:t>
            </w:r>
          </w:p>
        </w:tc>
        <w:tc>
          <w:tcPr>
            <w:tcW w:w="6832" w:type="dxa"/>
          </w:tcPr>
          <w:p w:rsidR="00AB0C14" w:rsidRPr="007460FF" w:rsidRDefault="00AB0C14" w:rsidP="005515BA">
            <w:r w:rsidRPr="007460FF">
              <w:t>Aclidinium bromide</w:t>
            </w:r>
          </w:p>
        </w:tc>
      </w:tr>
      <w:tr w:rsidR="00AB0C14" w:rsidRPr="00A04F1A" w:rsidTr="003B2EC6">
        <w:tc>
          <w:tcPr>
            <w:tcW w:w="1888" w:type="dxa"/>
          </w:tcPr>
          <w:p w:rsidR="00AB0C14" w:rsidRPr="007460FF" w:rsidRDefault="00AB0C14" w:rsidP="005515BA">
            <w:r w:rsidRPr="007460FF">
              <w:t>LAS34850</w:t>
            </w:r>
          </w:p>
        </w:tc>
        <w:tc>
          <w:tcPr>
            <w:tcW w:w="6832" w:type="dxa"/>
          </w:tcPr>
          <w:p w:rsidR="00AB0C14" w:rsidRPr="007460FF" w:rsidRDefault="00AB0C14" w:rsidP="005515BA">
            <w:r w:rsidRPr="007460FF">
              <w:t>active metabolite of aclidinium</w:t>
            </w:r>
          </w:p>
        </w:tc>
      </w:tr>
      <w:tr w:rsidR="00AB0C14" w:rsidRPr="00A04F1A" w:rsidTr="003B2EC6">
        <w:tc>
          <w:tcPr>
            <w:tcW w:w="1888" w:type="dxa"/>
          </w:tcPr>
          <w:p w:rsidR="00AB0C14" w:rsidRPr="007460FF" w:rsidRDefault="00AB0C14" w:rsidP="005515BA">
            <w:r w:rsidRPr="007460FF">
              <w:t>LAS34823</w:t>
            </w:r>
          </w:p>
        </w:tc>
        <w:tc>
          <w:tcPr>
            <w:tcW w:w="6832" w:type="dxa"/>
          </w:tcPr>
          <w:p w:rsidR="00AB0C14" w:rsidRPr="007460FF" w:rsidRDefault="00AB0C14" w:rsidP="005515BA">
            <w:r w:rsidRPr="007460FF">
              <w:t>alcoholo metabolite of aclidinium</w:t>
            </w:r>
          </w:p>
        </w:tc>
      </w:tr>
      <w:tr w:rsidR="00AB0C14" w:rsidRPr="00A04F1A" w:rsidTr="003B2EC6">
        <w:tc>
          <w:tcPr>
            <w:tcW w:w="1888" w:type="dxa"/>
          </w:tcPr>
          <w:p w:rsidR="00AB0C14" w:rsidRPr="007460FF" w:rsidRDefault="005515BA" w:rsidP="005515BA">
            <w:r>
              <w:t>LLOQ</w:t>
            </w:r>
          </w:p>
        </w:tc>
        <w:tc>
          <w:tcPr>
            <w:tcW w:w="6832" w:type="dxa"/>
          </w:tcPr>
          <w:p w:rsidR="00AB0C14" w:rsidRPr="007460FF" w:rsidRDefault="00AB0C14" w:rsidP="005515BA">
            <w:r w:rsidRPr="007460FF">
              <w:t>Lower limit of quantification</w:t>
            </w:r>
          </w:p>
        </w:tc>
      </w:tr>
      <w:tr w:rsidR="00AB0C14" w:rsidRPr="00A04F1A" w:rsidTr="003B2EC6">
        <w:tc>
          <w:tcPr>
            <w:tcW w:w="1888" w:type="dxa"/>
          </w:tcPr>
          <w:p w:rsidR="00AB0C14" w:rsidRPr="007460FF" w:rsidRDefault="005515BA" w:rsidP="005515BA">
            <w:r>
              <w:t>LS</w:t>
            </w:r>
          </w:p>
        </w:tc>
        <w:tc>
          <w:tcPr>
            <w:tcW w:w="6832" w:type="dxa"/>
          </w:tcPr>
          <w:p w:rsidR="00AB0C14" w:rsidRPr="007460FF" w:rsidRDefault="00AB0C14" w:rsidP="005515BA">
            <w:r w:rsidRPr="007460FF">
              <w:t>Least squares</w:t>
            </w:r>
          </w:p>
        </w:tc>
      </w:tr>
      <w:tr w:rsidR="00AB0C14" w:rsidRPr="00A04F1A" w:rsidTr="003B2EC6">
        <w:tc>
          <w:tcPr>
            <w:tcW w:w="1888" w:type="dxa"/>
          </w:tcPr>
          <w:p w:rsidR="00AB0C14" w:rsidRPr="007460FF" w:rsidRDefault="005515BA" w:rsidP="005515BA">
            <w:r>
              <w:t>MACE</w:t>
            </w:r>
          </w:p>
        </w:tc>
        <w:tc>
          <w:tcPr>
            <w:tcW w:w="6832" w:type="dxa"/>
          </w:tcPr>
          <w:p w:rsidR="00AB0C14" w:rsidRPr="007460FF" w:rsidRDefault="00AB0C14" w:rsidP="005515BA">
            <w:r w:rsidRPr="007460FF">
              <w:t>Major Adverse Cardiovascular Events</w:t>
            </w:r>
          </w:p>
        </w:tc>
      </w:tr>
      <w:tr w:rsidR="00AB0C14" w:rsidRPr="00A04F1A" w:rsidTr="003B2EC6">
        <w:tc>
          <w:tcPr>
            <w:tcW w:w="1888" w:type="dxa"/>
          </w:tcPr>
          <w:p w:rsidR="00AB0C14" w:rsidRPr="007460FF" w:rsidRDefault="005515BA" w:rsidP="005515BA">
            <w:r>
              <w:t>MCID</w:t>
            </w:r>
          </w:p>
        </w:tc>
        <w:tc>
          <w:tcPr>
            <w:tcW w:w="6832" w:type="dxa"/>
          </w:tcPr>
          <w:p w:rsidR="00AB0C14" w:rsidRPr="007460FF" w:rsidRDefault="00AB0C14" w:rsidP="005515BA">
            <w:r w:rsidRPr="007460FF">
              <w:t>Minimum clinically important difference</w:t>
            </w:r>
          </w:p>
        </w:tc>
      </w:tr>
      <w:tr w:rsidR="00AB0C14" w:rsidRPr="00A04F1A" w:rsidTr="003B2EC6">
        <w:tc>
          <w:tcPr>
            <w:tcW w:w="1888" w:type="dxa"/>
          </w:tcPr>
          <w:p w:rsidR="00AB0C14" w:rsidRPr="007460FF" w:rsidRDefault="005515BA" w:rsidP="005515BA">
            <w:proofErr w:type="spellStart"/>
            <w:r>
              <w:t>MedDRA</w:t>
            </w:r>
            <w:proofErr w:type="spellEnd"/>
          </w:p>
        </w:tc>
        <w:tc>
          <w:tcPr>
            <w:tcW w:w="6832" w:type="dxa"/>
          </w:tcPr>
          <w:p w:rsidR="00AB0C14" w:rsidRPr="007460FF" w:rsidRDefault="00AB0C14" w:rsidP="005515BA">
            <w:r w:rsidRPr="007460FF">
              <w:t>Medical Dictionary for Regulatory Activities</w:t>
            </w:r>
          </w:p>
        </w:tc>
      </w:tr>
      <w:tr w:rsidR="00AB0C14" w:rsidRPr="00A04F1A" w:rsidTr="003B2EC6">
        <w:tc>
          <w:tcPr>
            <w:tcW w:w="1888" w:type="dxa"/>
          </w:tcPr>
          <w:p w:rsidR="00AB0C14" w:rsidRPr="007460FF" w:rsidRDefault="005515BA" w:rsidP="005515BA">
            <w:r>
              <w:t>MHRA</w:t>
            </w:r>
          </w:p>
        </w:tc>
        <w:tc>
          <w:tcPr>
            <w:tcW w:w="6832" w:type="dxa"/>
          </w:tcPr>
          <w:p w:rsidR="00AB0C14" w:rsidRPr="007460FF" w:rsidRDefault="00AB0C14" w:rsidP="005515BA">
            <w:r w:rsidRPr="007460FF">
              <w:t>Medicines and Healthcare products Regulatory Agency</w:t>
            </w:r>
          </w:p>
        </w:tc>
      </w:tr>
      <w:tr w:rsidR="00AB0C14" w:rsidRPr="00A04F1A" w:rsidTr="003B2EC6">
        <w:tc>
          <w:tcPr>
            <w:tcW w:w="1888" w:type="dxa"/>
          </w:tcPr>
          <w:p w:rsidR="00AB0C14" w:rsidRPr="007460FF" w:rsidRDefault="00AB0C14" w:rsidP="005515BA">
            <w:r w:rsidRPr="007460FF">
              <w:t>MIP</w:t>
            </w:r>
          </w:p>
        </w:tc>
        <w:tc>
          <w:tcPr>
            <w:tcW w:w="6832" w:type="dxa"/>
          </w:tcPr>
          <w:p w:rsidR="00AB0C14" w:rsidRPr="007460FF" w:rsidRDefault="00AB0C14" w:rsidP="005515BA">
            <w:r w:rsidRPr="007460FF">
              <w:t>maximal inspiratory pressure</w:t>
            </w:r>
          </w:p>
        </w:tc>
      </w:tr>
      <w:tr w:rsidR="00AB0C14" w:rsidRPr="00A04F1A" w:rsidTr="003B2EC6">
        <w:tc>
          <w:tcPr>
            <w:tcW w:w="1888" w:type="dxa"/>
          </w:tcPr>
          <w:p w:rsidR="00AB0C14" w:rsidRPr="007460FF" w:rsidRDefault="005515BA" w:rsidP="005515BA">
            <w:r>
              <w:t>MMRM</w:t>
            </w:r>
          </w:p>
        </w:tc>
        <w:tc>
          <w:tcPr>
            <w:tcW w:w="6832" w:type="dxa"/>
          </w:tcPr>
          <w:p w:rsidR="00AB0C14" w:rsidRPr="007460FF" w:rsidRDefault="00AB0C14" w:rsidP="005515BA">
            <w:r w:rsidRPr="007460FF">
              <w:t>Mixed-effects model for repeated measures</w:t>
            </w:r>
          </w:p>
        </w:tc>
      </w:tr>
      <w:tr w:rsidR="00AB0C14" w:rsidRPr="00A04F1A" w:rsidTr="003B2EC6">
        <w:tc>
          <w:tcPr>
            <w:tcW w:w="1888" w:type="dxa"/>
          </w:tcPr>
          <w:p w:rsidR="00AB0C14" w:rsidRPr="007460FF" w:rsidRDefault="005515BA" w:rsidP="005515BA">
            <w:r>
              <w:t>MTD</w:t>
            </w:r>
          </w:p>
        </w:tc>
        <w:tc>
          <w:tcPr>
            <w:tcW w:w="6832" w:type="dxa"/>
          </w:tcPr>
          <w:p w:rsidR="00AB0C14" w:rsidRPr="007460FF" w:rsidRDefault="00AB0C14" w:rsidP="005515BA">
            <w:r w:rsidRPr="007460FF">
              <w:t>Maximum tolerated dose</w:t>
            </w:r>
          </w:p>
        </w:tc>
      </w:tr>
      <w:tr w:rsidR="00AB0C14" w:rsidRPr="00A04F1A" w:rsidTr="003B2EC6">
        <w:tc>
          <w:tcPr>
            <w:tcW w:w="1888" w:type="dxa"/>
          </w:tcPr>
          <w:p w:rsidR="00AB0C14" w:rsidRPr="007460FF" w:rsidRDefault="005515BA" w:rsidP="005515BA">
            <w:r>
              <w:t>NADPH</w:t>
            </w:r>
          </w:p>
        </w:tc>
        <w:tc>
          <w:tcPr>
            <w:tcW w:w="6832" w:type="dxa"/>
          </w:tcPr>
          <w:p w:rsidR="00AB0C14" w:rsidRPr="007460FF" w:rsidRDefault="00AB0C14" w:rsidP="005515BA">
            <w:proofErr w:type="spellStart"/>
            <w:r w:rsidRPr="007460FF">
              <w:t>Nicotinamide</w:t>
            </w:r>
            <w:proofErr w:type="spellEnd"/>
            <w:r w:rsidRPr="007460FF">
              <w:t>-adenine-dinucleotide phosphate</w:t>
            </w:r>
          </w:p>
        </w:tc>
      </w:tr>
      <w:tr w:rsidR="00AB0C14" w:rsidRPr="00A04F1A" w:rsidTr="003B2EC6">
        <w:tc>
          <w:tcPr>
            <w:tcW w:w="1888" w:type="dxa"/>
          </w:tcPr>
          <w:p w:rsidR="00AB0C14" w:rsidRPr="007460FF" w:rsidRDefault="005515BA" w:rsidP="005515BA">
            <w:r>
              <w:t>OR</w:t>
            </w:r>
          </w:p>
        </w:tc>
        <w:tc>
          <w:tcPr>
            <w:tcW w:w="6832" w:type="dxa"/>
          </w:tcPr>
          <w:p w:rsidR="00AB0C14" w:rsidRPr="007460FF" w:rsidRDefault="00AB0C14" w:rsidP="005515BA">
            <w:r w:rsidRPr="007460FF">
              <w:t>Odds ratio</w:t>
            </w:r>
          </w:p>
        </w:tc>
      </w:tr>
      <w:tr w:rsidR="00AB0C14" w:rsidRPr="00A04F1A" w:rsidTr="003B2EC6">
        <w:tc>
          <w:tcPr>
            <w:tcW w:w="1888" w:type="dxa"/>
          </w:tcPr>
          <w:p w:rsidR="00AB0C14" w:rsidRPr="007460FF" w:rsidRDefault="005515BA" w:rsidP="005515BA">
            <w:r>
              <w:t>PCS</w:t>
            </w:r>
          </w:p>
        </w:tc>
        <w:tc>
          <w:tcPr>
            <w:tcW w:w="6832" w:type="dxa"/>
          </w:tcPr>
          <w:p w:rsidR="00AB0C14" w:rsidRPr="007460FF" w:rsidRDefault="00AB0C14" w:rsidP="005515BA">
            <w:r w:rsidRPr="007460FF">
              <w:t>potentially clinically significant</w:t>
            </w:r>
          </w:p>
        </w:tc>
      </w:tr>
      <w:tr w:rsidR="00AB0C14" w:rsidRPr="00A04F1A" w:rsidTr="003B2EC6">
        <w:tc>
          <w:tcPr>
            <w:tcW w:w="1888" w:type="dxa"/>
          </w:tcPr>
          <w:p w:rsidR="00AB0C14" w:rsidRPr="007460FF" w:rsidRDefault="005515BA" w:rsidP="005515BA">
            <w:r>
              <w:t>PD</w:t>
            </w:r>
          </w:p>
        </w:tc>
        <w:tc>
          <w:tcPr>
            <w:tcW w:w="6832" w:type="dxa"/>
          </w:tcPr>
          <w:p w:rsidR="00AB0C14" w:rsidRPr="007460FF" w:rsidRDefault="00AB0C14" w:rsidP="005515BA">
            <w:r w:rsidRPr="007460FF">
              <w:t>Pharmacodynamic(s)</w:t>
            </w:r>
          </w:p>
        </w:tc>
      </w:tr>
      <w:tr w:rsidR="00D31ABE" w:rsidRPr="00A04F1A" w:rsidTr="003B2EC6">
        <w:tc>
          <w:tcPr>
            <w:tcW w:w="1888" w:type="dxa"/>
          </w:tcPr>
          <w:p w:rsidR="00D31ABE" w:rsidRPr="007460FF" w:rsidRDefault="00D31ABE" w:rsidP="005515BA">
            <w:r>
              <w:t>PI</w:t>
            </w:r>
          </w:p>
        </w:tc>
        <w:tc>
          <w:tcPr>
            <w:tcW w:w="6832" w:type="dxa"/>
          </w:tcPr>
          <w:p w:rsidR="00D31ABE" w:rsidRPr="007460FF" w:rsidRDefault="00D31ABE" w:rsidP="005515BA">
            <w:r>
              <w:t>Product Information</w:t>
            </w:r>
          </w:p>
        </w:tc>
      </w:tr>
      <w:tr w:rsidR="00AB0C14" w:rsidRPr="00A04F1A" w:rsidTr="003B2EC6">
        <w:tc>
          <w:tcPr>
            <w:tcW w:w="1888" w:type="dxa"/>
          </w:tcPr>
          <w:p w:rsidR="00AB0C14" w:rsidRPr="007460FF" w:rsidRDefault="005515BA" w:rsidP="005515BA">
            <w:r>
              <w:t>PIF</w:t>
            </w:r>
          </w:p>
        </w:tc>
        <w:tc>
          <w:tcPr>
            <w:tcW w:w="6832" w:type="dxa"/>
          </w:tcPr>
          <w:p w:rsidR="00AB0C14" w:rsidRPr="007460FF" w:rsidRDefault="00AB0C14" w:rsidP="005515BA">
            <w:r w:rsidRPr="007460FF">
              <w:t>Peak inspiratory flow</w:t>
            </w:r>
          </w:p>
        </w:tc>
      </w:tr>
      <w:tr w:rsidR="00AB0C14" w:rsidRPr="00A04F1A" w:rsidTr="003B2EC6">
        <w:tc>
          <w:tcPr>
            <w:tcW w:w="1888" w:type="dxa"/>
          </w:tcPr>
          <w:p w:rsidR="00AB0C14" w:rsidRPr="007460FF" w:rsidRDefault="005515BA" w:rsidP="005515BA">
            <w:r>
              <w:t>PK</w:t>
            </w:r>
          </w:p>
        </w:tc>
        <w:tc>
          <w:tcPr>
            <w:tcW w:w="6832" w:type="dxa"/>
          </w:tcPr>
          <w:p w:rsidR="00AB0C14" w:rsidRPr="007460FF" w:rsidRDefault="00AB0C14" w:rsidP="005515BA">
            <w:r w:rsidRPr="007460FF">
              <w:t>Pharmacokinetic(s)</w:t>
            </w:r>
          </w:p>
        </w:tc>
      </w:tr>
      <w:tr w:rsidR="00AB0C14" w:rsidRPr="00A04F1A" w:rsidTr="003B2EC6">
        <w:tc>
          <w:tcPr>
            <w:tcW w:w="1888" w:type="dxa"/>
          </w:tcPr>
          <w:p w:rsidR="00AB0C14" w:rsidRPr="007460FF" w:rsidRDefault="005515BA" w:rsidP="005515BA">
            <w:r>
              <w:t>pm</w:t>
            </w:r>
          </w:p>
        </w:tc>
        <w:tc>
          <w:tcPr>
            <w:tcW w:w="6832" w:type="dxa"/>
          </w:tcPr>
          <w:p w:rsidR="00AB0C14" w:rsidRPr="007460FF" w:rsidRDefault="00AB0C14" w:rsidP="005515BA">
            <w:pPr>
              <w:rPr>
                <w:rFonts w:cs="TimesNewRomanPS-ItalicMT"/>
                <w:i/>
                <w:iCs/>
              </w:rPr>
            </w:pPr>
            <w:r w:rsidRPr="007460FF">
              <w:rPr>
                <w:rFonts w:cs="TimesNewRomanPS-ItalicMT"/>
                <w:i/>
                <w:iCs/>
              </w:rPr>
              <w:t>Post-meridiem</w:t>
            </w:r>
          </w:p>
        </w:tc>
      </w:tr>
      <w:tr w:rsidR="00AB0C14" w:rsidRPr="00A04F1A" w:rsidTr="003B2EC6">
        <w:tc>
          <w:tcPr>
            <w:tcW w:w="1888" w:type="dxa"/>
          </w:tcPr>
          <w:p w:rsidR="00AB0C14" w:rsidRPr="007460FF" w:rsidRDefault="005515BA" w:rsidP="005515BA">
            <w:r>
              <w:t>PP</w:t>
            </w:r>
          </w:p>
        </w:tc>
        <w:tc>
          <w:tcPr>
            <w:tcW w:w="6832" w:type="dxa"/>
          </w:tcPr>
          <w:p w:rsidR="00AB0C14" w:rsidRPr="007460FF" w:rsidRDefault="00AB0C14" w:rsidP="005515BA">
            <w:r w:rsidRPr="007460FF">
              <w:t>Per-protocol</w:t>
            </w:r>
          </w:p>
        </w:tc>
      </w:tr>
      <w:tr w:rsidR="00AB0C14" w:rsidRPr="00A04F1A" w:rsidTr="003B2EC6">
        <w:tc>
          <w:tcPr>
            <w:tcW w:w="1888" w:type="dxa"/>
          </w:tcPr>
          <w:p w:rsidR="00AB0C14" w:rsidRPr="007460FF" w:rsidRDefault="005515BA" w:rsidP="005515BA">
            <w:r>
              <w:t>PT</w:t>
            </w:r>
          </w:p>
        </w:tc>
        <w:tc>
          <w:tcPr>
            <w:tcW w:w="6832" w:type="dxa"/>
          </w:tcPr>
          <w:p w:rsidR="00AB0C14" w:rsidRPr="007460FF" w:rsidRDefault="00AB0C14" w:rsidP="005515BA">
            <w:r w:rsidRPr="007460FF">
              <w:t>preferred term</w:t>
            </w:r>
          </w:p>
        </w:tc>
      </w:tr>
      <w:tr w:rsidR="00AB0C14" w:rsidRPr="00A04F1A" w:rsidTr="003B2EC6">
        <w:tc>
          <w:tcPr>
            <w:tcW w:w="1888" w:type="dxa"/>
          </w:tcPr>
          <w:p w:rsidR="00AB0C14" w:rsidRPr="007460FF" w:rsidRDefault="005515BA" w:rsidP="005515BA">
            <w:r>
              <w:t>QD</w:t>
            </w:r>
          </w:p>
        </w:tc>
        <w:tc>
          <w:tcPr>
            <w:tcW w:w="6832" w:type="dxa"/>
          </w:tcPr>
          <w:p w:rsidR="00AB0C14" w:rsidRPr="007460FF" w:rsidRDefault="00AB0C14" w:rsidP="005515BA">
            <w:r w:rsidRPr="007460FF">
              <w:t>once daily (</w:t>
            </w:r>
            <w:r w:rsidRPr="007460FF">
              <w:rPr>
                <w:rFonts w:cs="TimesNewRomanPS-ItalicMT"/>
                <w:i/>
                <w:iCs/>
              </w:rPr>
              <w:t>quoque die</w:t>
            </w:r>
            <w:r w:rsidRPr="007460FF">
              <w:t>)</w:t>
            </w:r>
          </w:p>
        </w:tc>
      </w:tr>
      <w:tr w:rsidR="00AB0C14" w:rsidRPr="00A04F1A" w:rsidTr="003B2EC6">
        <w:tc>
          <w:tcPr>
            <w:tcW w:w="1888" w:type="dxa"/>
          </w:tcPr>
          <w:p w:rsidR="00AB0C14" w:rsidRPr="007460FF" w:rsidRDefault="005515BA" w:rsidP="005515BA">
            <w:proofErr w:type="spellStart"/>
            <w:r>
              <w:t>QoL</w:t>
            </w:r>
            <w:proofErr w:type="spellEnd"/>
          </w:p>
        </w:tc>
        <w:tc>
          <w:tcPr>
            <w:tcW w:w="6832" w:type="dxa"/>
          </w:tcPr>
          <w:p w:rsidR="00AB0C14" w:rsidRPr="007460FF" w:rsidRDefault="00AB0C14" w:rsidP="005515BA">
            <w:r w:rsidRPr="007460FF">
              <w:t>Quality of life</w:t>
            </w:r>
          </w:p>
        </w:tc>
      </w:tr>
      <w:tr w:rsidR="00AB0C14" w:rsidRPr="00A04F1A" w:rsidTr="003B2EC6">
        <w:tc>
          <w:tcPr>
            <w:tcW w:w="1888" w:type="dxa"/>
          </w:tcPr>
          <w:p w:rsidR="00AB0C14" w:rsidRPr="007460FF" w:rsidRDefault="005515BA" w:rsidP="005515BA">
            <w:r>
              <w:t>QT</w:t>
            </w:r>
          </w:p>
        </w:tc>
        <w:tc>
          <w:tcPr>
            <w:tcW w:w="6832" w:type="dxa"/>
          </w:tcPr>
          <w:p w:rsidR="00AB0C14" w:rsidRPr="007460FF" w:rsidRDefault="00AB0C14" w:rsidP="005515BA">
            <w:r w:rsidRPr="007460FF">
              <w:t>Time in msec from start of the Q wave to end of the T wave (on ECG)</w:t>
            </w:r>
          </w:p>
        </w:tc>
      </w:tr>
      <w:tr w:rsidR="00AB0C14" w:rsidRPr="00A04F1A" w:rsidTr="003B2EC6">
        <w:tc>
          <w:tcPr>
            <w:tcW w:w="1888" w:type="dxa"/>
          </w:tcPr>
          <w:p w:rsidR="00AB0C14" w:rsidRPr="007460FF" w:rsidRDefault="005515BA" w:rsidP="005515BA">
            <w:proofErr w:type="spellStart"/>
            <w:r>
              <w:t>QTc</w:t>
            </w:r>
            <w:proofErr w:type="spellEnd"/>
          </w:p>
        </w:tc>
        <w:tc>
          <w:tcPr>
            <w:tcW w:w="6832" w:type="dxa"/>
          </w:tcPr>
          <w:p w:rsidR="00AB0C14" w:rsidRPr="007460FF" w:rsidRDefault="00AB0C14" w:rsidP="005515BA">
            <w:r w:rsidRPr="007460FF">
              <w:t>Corrected QT interval</w:t>
            </w:r>
          </w:p>
        </w:tc>
      </w:tr>
      <w:tr w:rsidR="00AB0C14" w:rsidRPr="00A04F1A" w:rsidTr="003B2EC6">
        <w:tc>
          <w:tcPr>
            <w:tcW w:w="1888" w:type="dxa"/>
          </w:tcPr>
          <w:p w:rsidR="00AB0C14" w:rsidRPr="007460FF" w:rsidRDefault="005515BA" w:rsidP="005515BA">
            <w:proofErr w:type="spellStart"/>
            <w:r>
              <w:t>QTc</w:t>
            </w:r>
            <w:proofErr w:type="spellEnd"/>
          </w:p>
        </w:tc>
        <w:tc>
          <w:tcPr>
            <w:tcW w:w="6832" w:type="dxa"/>
          </w:tcPr>
          <w:p w:rsidR="00AB0C14" w:rsidRPr="007460FF" w:rsidRDefault="00AB0C14" w:rsidP="005515BA">
            <w:r w:rsidRPr="007460FF">
              <w:t>QT interval corrected for heart rate</w:t>
            </w:r>
          </w:p>
        </w:tc>
      </w:tr>
      <w:tr w:rsidR="00AB0C14" w:rsidRPr="00A04F1A" w:rsidTr="003B2EC6">
        <w:tc>
          <w:tcPr>
            <w:tcW w:w="1888" w:type="dxa"/>
          </w:tcPr>
          <w:p w:rsidR="00AB0C14" w:rsidRPr="007460FF" w:rsidRDefault="00AB0C14" w:rsidP="005515BA">
            <w:r w:rsidRPr="007460FF">
              <w:t xml:space="preserve">QTcB </w:t>
            </w:r>
            <w:r w:rsidR="003B2EC6">
              <w:t xml:space="preserve">or </w:t>
            </w:r>
            <w:r w:rsidR="003B2EC6" w:rsidRPr="007460FF">
              <w:t>QTcF</w:t>
            </w:r>
          </w:p>
        </w:tc>
        <w:tc>
          <w:tcPr>
            <w:tcW w:w="6832" w:type="dxa"/>
          </w:tcPr>
          <w:p w:rsidR="00AB0C14" w:rsidRPr="007460FF" w:rsidRDefault="00AB0C14" w:rsidP="005515BA">
            <w:r w:rsidRPr="007460FF">
              <w:t>QT interval corrected by Bazett formula [QT/RR1/2]</w:t>
            </w:r>
            <w:r w:rsidR="003B2EC6">
              <w:t xml:space="preserve"> or </w:t>
            </w:r>
            <w:r w:rsidR="003B2EC6" w:rsidRPr="007460FF">
              <w:t>Fridericia formula [QT/RR1/3] where RR interval is time in msec between R peaks of 2 consecutive QRS complexes</w:t>
            </w:r>
          </w:p>
        </w:tc>
      </w:tr>
      <w:tr w:rsidR="00AB0C14" w:rsidRPr="00A04F1A" w:rsidTr="003B2EC6">
        <w:tc>
          <w:tcPr>
            <w:tcW w:w="1888" w:type="dxa"/>
          </w:tcPr>
          <w:p w:rsidR="00AB0C14" w:rsidRPr="007460FF" w:rsidRDefault="00AB0C14" w:rsidP="005515BA">
            <w:proofErr w:type="spellStart"/>
            <w:r w:rsidRPr="007460FF">
              <w:t>QTci</w:t>
            </w:r>
            <w:proofErr w:type="spellEnd"/>
          </w:p>
        </w:tc>
        <w:tc>
          <w:tcPr>
            <w:tcW w:w="6832" w:type="dxa"/>
          </w:tcPr>
          <w:p w:rsidR="00AB0C14" w:rsidRPr="007460FF" w:rsidRDefault="00AB0C14" w:rsidP="005515BA">
            <w:r w:rsidRPr="007460FF">
              <w:t>QT interval corrected by subject-specific correction formula</w:t>
            </w:r>
          </w:p>
        </w:tc>
      </w:tr>
      <w:tr w:rsidR="00AB0C14" w:rsidRPr="00A04F1A" w:rsidTr="003B2EC6">
        <w:tc>
          <w:tcPr>
            <w:tcW w:w="1888" w:type="dxa"/>
          </w:tcPr>
          <w:p w:rsidR="00AB0C14" w:rsidRPr="007460FF" w:rsidRDefault="005515BA" w:rsidP="005515BA">
            <w:r>
              <w:t>Raw</w:t>
            </w:r>
          </w:p>
        </w:tc>
        <w:tc>
          <w:tcPr>
            <w:tcW w:w="6832" w:type="dxa"/>
          </w:tcPr>
          <w:p w:rsidR="00AB0C14" w:rsidRPr="007460FF" w:rsidRDefault="005515BA" w:rsidP="005515BA">
            <w:r>
              <w:t>Airway resistance</w:t>
            </w:r>
          </w:p>
        </w:tc>
      </w:tr>
      <w:tr w:rsidR="00AB0C14" w:rsidRPr="00A04F1A" w:rsidTr="003B2EC6">
        <w:tc>
          <w:tcPr>
            <w:tcW w:w="1888" w:type="dxa"/>
          </w:tcPr>
          <w:p w:rsidR="00AB0C14" w:rsidRPr="007460FF" w:rsidRDefault="005515BA" w:rsidP="005515BA">
            <w:r>
              <w:t>SAE</w:t>
            </w:r>
          </w:p>
        </w:tc>
        <w:tc>
          <w:tcPr>
            <w:tcW w:w="6832" w:type="dxa"/>
          </w:tcPr>
          <w:p w:rsidR="00AB0C14" w:rsidRPr="007460FF" w:rsidRDefault="00AB0C14" w:rsidP="005515BA">
            <w:r w:rsidRPr="007460FF">
              <w:t>Serious adverse event</w:t>
            </w:r>
          </w:p>
        </w:tc>
      </w:tr>
      <w:tr w:rsidR="00AB0C14" w:rsidRPr="00A04F1A" w:rsidTr="003B2EC6">
        <w:tc>
          <w:tcPr>
            <w:tcW w:w="1888" w:type="dxa"/>
          </w:tcPr>
          <w:p w:rsidR="00AB0C14" w:rsidRPr="007460FF" w:rsidRDefault="005515BA" w:rsidP="005515BA">
            <w:r>
              <w:t>SD</w:t>
            </w:r>
          </w:p>
        </w:tc>
        <w:tc>
          <w:tcPr>
            <w:tcW w:w="6832" w:type="dxa"/>
          </w:tcPr>
          <w:p w:rsidR="00AB0C14" w:rsidRPr="007460FF" w:rsidRDefault="00AB0C14" w:rsidP="005515BA">
            <w:r w:rsidRPr="007460FF">
              <w:t>Standard deviation</w:t>
            </w:r>
          </w:p>
        </w:tc>
      </w:tr>
      <w:tr w:rsidR="00AB0C14" w:rsidRPr="00A04F1A" w:rsidTr="003B2EC6">
        <w:tc>
          <w:tcPr>
            <w:tcW w:w="1888" w:type="dxa"/>
          </w:tcPr>
          <w:p w:rsidR="00AB0C14" w:rsidRPr="007460FF" w:rsidRDefault="00AB0C14" w:rsidP="005515BA">
            <w:r w:rsidRPr="007460FF">
              <w:t>SE</w:t>
            </w:r>
          </w:p>
        </w:tc>
        <w:tc>
          <w:tcPr>
            <w:tcW w:w="6832" w:type="dxa"/>
          </w:tcPr>
          <w:p w:rsidR="00AB0C14" w:rsidRPr="007460FF" w:rsidRDefault="00AB0C14" w:rsidP="005515BA">
            <w:r w:rsidRPr="007460FF">
              <w:t>Standard error</w:t>
            </w:r>
          </w:p>
        </w:tc>
      </w:tr>
      <w:tr w:rsidR="00AB0C14" w:rsidRPr="00A04F1A" w:rsidTr="003B2EC6">
        <w:tc>
          <w:tcPr>
            <w:tcW w:w="1888" w:type="dxa"/>
          </w:tcPr>
          <w:p w:rsidR="00AB0C14" w:rsidRPr="007460FF" w:rsidRDefault="005515BA" w:rsidP="005515BA">
            <w:r>
              <w:t>SEM</w:t>
            </w:r>
          </w:p>
        </w:tc>
        <w:tc>
          <w:tcPr>
            <w:tcW w:w="6832" w:type="dxa"/>
          </w:tcPr>
          <w:p w:rsidR="00AB0C14" w:rsidRPr="007460FF" w:rsidRDefault="00AB0C14" w:rsidP="005515BA">
            <w:r w:rsidRPr="007460FF">
              <w:t>Standard error of the mean</w:t>
            </w:r>
          </w:p>
        </w:tc>
      </w:tr>
      <w:tr w:rsidR="00AB0C14" w:rsidRPr="00A04F1A" w:rsidTr="003B2EC6">
        <w:tc>
          <w:tcPr>
            <w:tcW w:w="1888" w:type="dxa"/>
          </w:tcPr>
          <w:p w:rsidR="00AB0C14" w:rsidRPr="007460FF" w:rsidRDefault="005515BA" w:rsidP="005515BA">
            <w:proofErr w:type="spellStart"/>
            <w:r>
              <w:t>sGAW</w:t>
            </w:r>
            <w:proofErr w:type="spellEnd"/>
          </w:p>
        </w:tc>
        <w:tc>
          <w:tcPr>
            <w:tcW w:w="6832" w:type="dxa"/>
          </w:tcPr>
          <w:p w:rsidR="00AB0C14" w:rsidRPr="007460FF" w:rsidRDefault="00AB0C14" w:rsidP="005515BA">
            <w:r w:rsidRPr="007460FF">
              <w:t>Specific airway conductance</w:t>
            </w:r>
          </w:p>
        </w:tc>
      </w:tr>
      <w:tr w:rsidR="00AB0C14" w:rsidRPr="00A04F1A" w:rsidTr="003B2EC6">
        <w:tc>
          <w:tcPr>
            <w:tcW w:w="1888" w:type="dxa"/>
          </w:tcPr>
          <w:p w:rsidR="00AB0C14" w:rsidRPr="007460FF" w:rsidRDefault="005515BA" w:rsidP="005515BA">
            <w:r>
              <w:t>SGRQ</w:t>
            </w:r>
          </w:p>
        </w:tc>
        <w:tc>
          <w:tcPr>
            <w:tcW w:w="6832" w:type="dxa"/>
          </w:tcPr>
          <w:p w:rsidR="00AB0C14" w:rsidRPr="007460FF" w:rsidRDefault="00AB0C14" w:rsidP="005515BA">
            <w:r w:rsidRPr="007460FF">
              <w:t>St George’s Respiratory Questionnaire</w:t>
            </w:r>
          </w:p>
        </w:tc>
      </w:tr>
      <w:tr w:rsidR="00AB0C14" w:rsidRPr="00A04F1A" w:rsidTr="003B2EC6">
        <w:tc>
          <w:tcPr>
            <w:tcW w:w="1888" w:type="dxa"/>
          </w:tcPr>
          <w:p w:rsidR="00AB0C14" w:rsidRPr="007460FF" w:rsidRDefault="005515BA" w:rsidP="005515BA">
            <w:proofErr w:type="spellStart"/>
            <w:r>
              <w:t>SmPC</w:t>
            </w:r>
            <w:proofErr w:type="spellEnd"/>
          </w:p>
        </w:tc>
        <w:tc>
          <w:tcPr>
            <w:tcW w:w="6832" w:type="dxa"/>
          </w:tcPr>
          <w:p w:rsidR="00AB0C14" w:rsidRPr="007460FF" w:rsidRDefault="00AB0C14" w:rsidP="005515BA">
            <w:r w:rsidRPr="007460FF">
              <w:t>Summary of Product Characteristics</w:t>
            </w:r>
            <w:r w:rsidR="003B2EC6">
              <w:t xml:space="preserve"> (EU)</w:t>
            </w:r>
          </w:p>
        </w:tc>
      </w:tr>
      <w:tr w:rsidR="00AB0C14" w:rsidRPr="00A04F1A" w:rsidTr="003B2EC6">
        <w:tc>
          <w:tcPr>
            <w:tcW w:w="1888" w:type="dxa"/>
          </w:tcPr>
          <w:p w:rsidR="00AB0C14" w:rsidRPr="007460FF" w:rsidRDefault="005515BA" w:rsidP="005515BA">
            <w:r>
              <w:t>SMQ</w:t>
            </w:r>
          </w:p>
        </w:tc>
        <w:tc>
          <w:tcPr>
            <w:tcW w:w="6832" w:type="dxa"/>
          </w:tcPr>
          <w:p w:rsidR="00AB0C14" w:rsidRPr="007460FF" w:rsidRDefault="00AB0C14" w:rsidP="005515BA">
            <w:r w:rsidRPr="007460FF">
              <w:t>Standardised MedDRA query</w:t>
            </w:r>
          </w:p>
        </w:tc>
      </w:tr>
      <w:tr w:rsidR="00AB0C14" w:rsidRPr="00A04F1A" w:rsidTr="003B2EC6">
        <w:tc>
          <w:tcPr>
            <w:tcW w:w="1888" w:type="dxa"/>
          </w:tcPr>
          <w:p w:rsidR="00AB0C14" w:rsidRPr="007460FF" w:rsidRDefault="005515BA" w:rsidP="005515BA">
            <w:r>
              <w:t>SOC</w:t>
            </w:r>
          </w:p>
        </w:tc>
        <w:tc>
          <w:tcPr>
            <w:tcW w:w="6832" w:type="dxa"/>
          </w:tcPr>
          <w:p w:rsidR="00AB0C14" w:rsidRPr="007460FF" w:rsidRDefault="00AB0C14" w:rsidP="005515BA">
            <w:r w:rsidRPr="007460FF">
              <w:t>System organ class</w:t>
            </w:r>
          </w:p>
        </w:tc>
      </w:tr>
      <w:tr w:rsidR="00AB0C14" w:rsidRPr="00A04F1A" w:rsidTr="003B2EC6">
        <w:tc>
          <w:tcPr>
            <w:tcW w:w="1888" w:type="dxa"/>
          </w:tcPr>
          <w:p w:rsidR="00AB0C14" w:rsidRPr="007460FF" w:rsidRDefault="003B2EC6" w:rsidP="005515BA">
            <w:r>
              <w:t>t 1/2</w:t>
            </w:r>
          </w:p>
        </w:tc>
        <w:tc>
          <w:tcPr>
            <w:tcW w:w="6832" w:type="dxa"/>
          </w:tcPr>
          <w:p w:rsidR="00AB0C14" w:rsidRPr="007460FF" w:rsidRDefault="00AB0C14" w:rsidP="005515BA">
            <w:r w:rsidRPr="007460FF">
              <w:t>Elimination half-life</w:t>
            </w:r>
          </w:p>
        </w:tc>
      </w:tr>
      <w:tr w:rsidR="00AB0C14" w:rsidRPr="00A04F1A" w:rsidTr="003B2EC6">
        <w:tc>
          <w:tcPr>
            <w:tcW w:w="1888" w:type="dxa"/>
          </w:tcPr>
          <w:p w:rsidR="00AB0C14" w:rsidRPr="007460FF" w:rsidRDefault="005515BA" w:rsidP="005515BA">
            <w:r>
              <w:t>TDI</w:t>
            </w:r>
          </w:p>
        </w:tc>
        <w:tc>
          <w:tcPr>
            <w:tcW w:w="6832" w:type="dxa"/>
          </w:tcPr>
          <w:p w:rsidR="00AB0C14" w:rsidRPr="007460FF" w:rsidRDefault="00AB0C14" w:rsidP="005515BA">
            <w:r w:rsidRPr="007460FF">
              <w:t>Transition Dyspnoea Index</w:t>
            </w:r>
          </w:p>
        </w:tc>
      </w:tr>
      <w:tr w:rsidR="00AB0C14" w:rsidRPr="00A04F1A" w:rsidTr="003B2EC6">
        <w:tc>
          <w:tcPr>
            <w:tcW w:w="1888" w:type="dxa"/>
          </w:tcPr>
          <w:p w:rsidR="00AB0C14" w:rsidRPr="007460FF" w:rsidRDefault="005515BA" w:rsidP="005515BA">
            <w:r>
              <w:t>TEAE</w:t>
            </w:r>
          </w:p>
        </w:tc>
        <w:tc>
          <w:tcPr>
            <w:tcW w:w="6832" w:type="dxa"/>
          </w:tcPr>
          <w:p w:rsidR="00AB0C14" w:rsidRPr="007460FF" w:rsidRDefault="00AB0C14" w:rsidP="005515BA">
            <w:r w:rsidRPr="007460FF">
              <w:t>treatment-emergent adverse event</w:t>
            </w:r>
          </w:p>
        </w:tc>
      </w:tr>
      <w:tr w:rsidR="00AB0C14" w:rsidRPr="00A04F1A" w:rsidTr="003B2EC6">
        <w:tc>
          <w:tcPr>
            <w:tcW w:w="1888" w:type="dxa"/>
          </w:tcPr>
          <w:p w:rsidR="00AB0C14" w:rsidRPr="007460FF" w:rsidRDefault="005515BA" w:rsidP="005515BA">
            <w:r>
              <w:t>TLC</w:t>
            </w:r>
          </w:p>
        </w:tc>
        <w:tc>
          <w:tcPr>
            <w:tcW w:w="6832" w:type="dxa"/>
          </w:tcPr>
          <w:p w:rsidR="00AB0C14" w:rsidRPr="007460FF" w:rsidRDefault="00AB0C14" w:rsidP="005515BA">
            <w:r w:rsidRPr="007460FF">
              <w:t>Total lung capacity</w:t>
            </w:r>
          </w:p>
        </w:tc>
      </w:tr>
      <w:tr w:rsidR="00AB0C14" w:rsidRPr="00A04F1A" w:rsidTr="003B2EC6">
        <w:tc>
          <w:tcPr>
            <w:tcW w:w="1888" w:type="dxa"/>
          </w:tcPr>
          <w:p w:rsidR="00AB0C14" w:rsidRPr="007460FF" w:rsidRDefault="00E74309" w:rsidP="005515BA">
            <w:proofErr w:type="spellStart"/>
            <w:r>
              <w:t>T</w:t>
            </w:r>
            <w:r w:rsidR="005515BA">
              <w:rPr>
                <w:vertAlign w:val="subscript"/>
              </w:rPr>
              <w:t>max</w:t>
            </w:r>
            <w:proofErr w:type="spellEnd"/>
          </w:p>
        </w:tc>
        <w:tc>
          <w:tcPr>
            <w:tcW w:w="6832" w:type="dxa"/>
          </w:tcPr>
          <w:p w:rsidR="00AB0C14" w:rsidRPr="007460FF" w:rsidRDefault="00AB0C14" w:rsidP="005515BA">
            <w:r w:rsidRPr="007460FF">
              <w:t>Time to reach C</w:t>
            </w:r>
            <w:r w:rsidRPr="00693A26">
              <w:rPr>
                <w:vertAlign w:val="subscript"/>
              </w:rPr>
              <w:t>max</w:t>
            </w:r>
          </w:p>
        </w:tc>
      </w:tr>
      <w:tr w:rsidR="00AB0C14" w:rsidRPr="00A04F1A" w:rsidTr="003B2EC6">
        <w:tc>
          <w:tcPr>
            <w:tcW w:w="1888" w:type="dxa"/>
          </w:tcPr>
          <w:p w:rsidR="00AB0C14" w:rsidRPr="007460FF" w:rsidRDefault="005515BA" w:rsidP="005515BA">
            <w:proofErr w:type="spellStart"/>
            <w:r>
              <w:t>Vz</w:t>
            </w:r>
            <w:proofErr w:type="spellEnd"/>
          </w:p>
        </w:tc>
        <w:tc>
          <w:tcPr>
            <w:tcW w:w="6832" w:type="dxa"/>
          </w:tcPr>
          <w:p w:rsidR="00AB0C14" w:rsidRPr="007460FF" w:rsidRDefault="00AB0C14" w:rsidP="005515BA">
            <w:r w:rsidRPr="007460FF">
              <w:t>Apparent volume of distribution during the terminal phase</w:t>
            </w:r>
          </w:p>
        </w:tc>
      </w:tr>
      <w:tr w:rsidR="00AB0C14" w:rsidRPr="00A04F1A" w:rsidTr="003B2EC6">
        <w:tc>
          <w:tcPr>
            <w:tcW w:w="1888" w:type="dxa"/>
          </w:tcPr>
          <w:p w:rsidR="00AB0C14" w:rsidRPr="007460FF" w:rsidRDefault="005515BA" w:rsidP="005515BA">
            <w:proofErr w:type="spellStart"/>
            <w:r>
              <w:t>Vz</w:t>
            </w:r>
            <w:proofErr w:type="spellEnd"/>
            <w:r>
              <w:t>/f</w:t>
            </w:r>
          </w:p>
        </w:tc>
        <w:tc>
          <w:tcPr>
            <w:tcW w:w="6832" w:type="dxa"/>
          </w:tcPr>
          <w:p w:rsidR="00AB0C14" w:rsidRPr="007460FF" w:rsidRDefault="00AB0C14" w:rsidP="005515BA">
            <w:r w:rsidRPr="007460FF">
              <w:t>Apparent volume of distribution during the terminal phase after extravascular administration</w:t>
            </w:r>
          </w:p>
        </w:tc>
      </w:tr>
      <w:tr w:rsidR="00AB0C14" w:rsidRPr="00A04F1A" w:rsidTr="003B2EC6">
        <w:tc>
          <w:tcPr>
            <w:tcW w:w="1888" w:type="dxa"/>
          </w:tcPr>
          <w:p w:rsidR="00AB0C14" w:rsidRPr="007460FF" w:rsidRDefault="005515BA" w:rsidP="005515BA">
            <w:proofErr w:type="spellStart"/>
            <w:r>
              <w:t>Wmax</w:t>
            </w:r>
            <w:proofErr w:type="spellEnd"/>
          </w:p>
        </w:tc>
        <w:tc>
          <w:tcPr>
            <w:tcW w:w="6832" w:type="dxa"/>
          </w:tcPr>
          <w:p w:rsidR="00AB0C14" w:rsidRPr="007460FF" w:rsidRDefault="00AB0C14" w:rsidP="005515BA">
            <w:r w:rsidRPr="007460FF">
              <w:t>Highest work rate the patient is able to maintain for at least 30 seconds</w:t>
            </w:r>
          </w:p>
        </w:tc>
      </w:tr>
      <w:tr w:rsidR="00AB0C14" w:rsidRPr="00A04F1A" w:rsidTr="003B2EC6">
        <w:tc>
          <w:tcPr>
            <w:tcW w:w="1888" w:type="dxa"/>
          </w:tcPr>
          <w:p w:rsidR="00AB0C14" w:rsidRPr="007460FF" w:rsidRDefault="00AB0C14" w:rsidP="005515BA">
            <w:r w:rsidRPr="007460FF">
              <w:t>λZ (Te</w:t>
            </w:r>
            <w:r w:rsidR="005515BA">
              <w:t>rminal)</w:t>
            </w:r>
          </w:p>
        </w:tc>
        <w:tc>
          <w:tcPr>
            <w:tcW w:w="6832" w:type="dxa"/>
          </w:tcPr>
          <w:p w:rsidR="00AB0C14" w:rsidRPr="007460FF" w:rsidRDefault="00AB0C14" w:rsidP="005515BA">
            <w:r w:rsidRPr="007460FF">
              <w:t>elimination rate constant</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CA63DB">
      <w:pPr>
        <w:pStyle w:val="Heading2"/>
      </w:pPr>
      <w:bookmarkStart w:id="7" w:name="_Toc400115399"/>
      <w:r>
        <w:t>I.</w:t>
      </w:r>
      <w:r w:rsidR="008E7846">
        <w:t xml:space="preserve"> Introduction to </w:t>
      </w:r>
      <w:r w:rsidR="008E7846" w:rsidRPr="00CA63DB">
        <w:t>product</w:t>
      </w:r>
      <w:r w:rsidR="008E7846">
        <w:t xml:space="preserve"> submission</w:t>
      </w:r>
      <w:bookmarkEnd w:id="1"/>
      <w:bookmarkEnd w:id="7"/>
    </w:p>
    <w:p w:rsidR="008E7846" w:rsidRDefault="008E7846" w:rsidP="00CA63DB">
      <w:pPr>
        <w:pStyle w:val="Heading3"/>
        <w:rPr>
          <w:lang w:eastAsia="en-AU"/>
        </w:rPr>
      </w:pPr>
      <w:bookmarkStart w:id="8" w:name="_Toc247691502"/>
      <w:bookmarkStart w:id="9" w:name="_Toc314842483"/>
      <w:bookmarkStart w:id="10" w:name="_Toc400115400"/>
      <w:r>
        <w:rPr>
          <w:lang w:eastAsia="en-AU"/>
        </w:rPr>
        <w:t xml:space="preserve">Submission </w:t>
      </w:r>
      <w:r w:rsidRPr="00CA63DB">
        <w:t>details</w:t>
      </w:r>
      <w:bookmarkEnd w:id="8"/>
      <w:bookmarkEnd w:id="9"/>
      <w:bookmarkEnd w:id="10"/>
    </w:p>
    <w:tbl>
      <w:tblPr>
        <w:tblW w:w="9497" w:type="dxa"/>
        <w:tblInd w:w="108" w:type="dxa"/>
        <w:tblLook w:val="01E0" w:firstRow="1" w:lastRow="1" w:firstColumn="1" w:lastColumn="1" w:noHBand="0" w:noVBand="0"/>
      </w:tblPr>
      <w:tblGrid>
        <w:gridCol w:w="2907"/>
        <w:gridCol w:w="6307"/>
        <w:gridCol w:w="283"/>
      </w:tblGrid>
      <w:tr w:rsidR="008E7846" w:rsidRPr="003D1E62" w:rsidTr="00BB124E">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7460FF">
            <w:r w:rsidRPr="003D1E62">
              <w:t xml:space="preserve">New </w:t>
            </w:r>
            <w:r w:rsidR="001B5C90">
              <w:t>c</w:t>
            </w:r>
            <w:r w:rsidRPr="003D1E62">
              <w:t xml:space="preserve">hemical </w:t>
            </w:r>
            <w:r w:rsidR="00D01092">
              <w:t>entity</w:t>
            </w:r>
          </w:p>
        </w:tc>
      </w:tr>
      <w:tr w:rsidR="008E7846" w:rsidRPr="003D1E62" w:rsidTr="00BB124E">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CA63DB" w:rsidP="007460FF">
            <w:r>
              <w:t>Approved</w:t>
            </w:r>
          </w:p>
        </w:tc>
      </w:tr>
      <w:tr w:rsidR="008E7846" w:rsidRPr="003D1E62" w:rsidTr="00BB124E">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7E69FD" w:rsidP="001B5C90">
            <w:r>
              <w:t>18 March 2014</w:t>
            </w:r>
          </w:p>
        </w:tc>
      </w:tr>
      <w:tr w:rsidR="008E7846" w:rsidRPr="00487162" w:rsidTr="00BB124E">
        <w:trPr>
          <w:gridAfter w:val="1"/>
          <w:wAfter w:w="283" w:type="dxa"/>
        </w:trPr>
        <w:tc>
          <w:tcPr>
            <w:tcW w:w="2907" w:type="dxa"/>
          </w:tcPr>
          <w:p w:rsidR="008E7846" w:rsidRPr="00487162" w:rsidRDefault="001B5C90" w:rsidP="00CA63DB">
            <w:pPr>
              <w:rPr>
                <w:i/>
              </w:rPr>
            </w:pPr>
            <w:r>
              <w:rPr>
                <w:i/>
              </w:rPr>
              <w:t>Active ingredient:</w:t>
            </w:r>
          </w:p>
        </w:tc>
        <w:tc>
          <w:tcPr>
            <w:tcW w:w="6307" w:type="dxa"/>
          </w:tcPr>
          <w:p w:rsidR="008E7846" w:rsidRPr="00487162" w:rsidRDefault="007460FF" w:rsidP="00E45619">
            <w:r w:rsidRPr="007460FF">
              <w:t>Aclidinium bromide</w:t>
            </w:r>
          </w:p>
        </w:tc>
      </w:tr>
      <w:tr w:rsidR="008E7846" w:rsidRPr="00487162" w:rsidTr="00BB124E">
        <w:trPr>
          <w:gridAfter w:val="1"/>
          <w:wAfter w:w="283" w:type="dxa"/>
        </w:trPr>
        <w:tc>
          <w:tcPr>
            <w:tcW w:w="2907" w:type="dxa"/>
          </w:tcPr>
          <w:p w:rsidR="008E7846" w:rsidRPr="00487162" w:rsidRDefault="008E7846" w:rsidP="00CA63DB">
            <w:pPr>
              <w:rPr>
                <w:i/>
              </w:rPr>
            </w:pPr>
            <w:r w:rsidRPr="00487162">
              <w:rPr>
                <w:i/>
              </w:rPr>
              <w:t>Product</w:t>
            </w:r>
            <w:r w:rsidR="001B5C90">
              <w:rPr>
                <w:i/>
              </w:rPr>
              <w:t xml:space="preserve"> name:</w:t>
            </w:r>
          </w:p>
        </w:tc>
        <w:tc>
          <w:tcPr>
            <w:tcW w:w="6307" w:type="dxa"/>
          </w:tcPr>
          <w:p w:rsidR="008E7846" w:rsidRPr="00487162" w:rsidRDefault="007460FF" w:rsidP="00E45619">
            <w:r>
              <w:t>Bretaris Genuair</w:t>
            </w:r>
          </w:p>
        </w:tc>
      </w:tr>
      <w:tr w:rsidR="008E7846" w:rsidRPr="00487162" w:rsidTr="00BB124E">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7E69FD" w:rsidRPr="00487162" w:rsidRDefault="007E69FD" w:rsidP="00CA63DB">
            <w:r w:rsidRPr="007E69FD">
              <w:t xml:space="preserve">A </w:t>
            </w:r>
            <w:proofErr w:type="spellStart"/>
            <w:r w:rsidRPr="007E69FD">
              <w:t>Menarini</w:t>
            </w:r>
            <w:proofErr w:type="spellEnd"/>
            <w:r w:rsidRPr="007E69FD">
              <w:t xml:space="preserve"> Australia Pt</w:t>
            </w:r>
            <w:r>
              <w:t>y</w:t>
            </w:r>
            <w:r w:rsidRPr="007E69FD">
              <w:t xml:space="preserve"> Ltd</w:t>
            </w:r>
            <w:r w:rsidR="00CA63DB">
              <w:br/>
            </w:r>
            <w:r w:rsidR="008E0CBE">
              <w:t xml:space="preserve">L8, </w:t>
            </w:r>
            <w:r w:rsidRPr="007E69FD">
              <w:t>67 A</w:t>
            </w:r>
            <w:r>
              <w:t>lbert</w:t>
            </w:r>
            <w:r w:rsidRPr="007E69FD">
              <w:t xml:space="preserve"> Avenue</w:t>
            </w:r>
            <w:r w:rsidR="00CA63DB">
              <w:br/>
            </w:r>
            <w:r>
              <w:t>Chatswood</w:t>
            </w:r>
            <w:r w:rsidRPr="007E69FD">
              <w:t xml:space="preserve"> NSW 2067</w:t>
            </w:r>
          </w:p>
        </w:tc>
      </w:tr>
      <w:tr w:rsidR="008E7846" w:rsidRPr="00487162" w:rsidTr="00BB124E">
        <w:trPr>
          <w:gridAfter w:val="1"/>
          <w:wAfter w:w="283" w:type="dxa"/>
        </w:trPr>
        <w:tc>
          <w:tcPr>
            <w:tcW w:w="2907" w:type="dxa"/>
          </w:tcPr>
          <w:p w:rsidR="008E7846" w:rsidRPr="00487162" w:rsidRDefault="001B5C90" w:rsidP="00CA63DB">
            <w:pPr>
              <w:rPr>
                <w:i/>
              </w:rPr>
            </w:pPr>
            <w:r>
              <w:rPr>
                <w:i/>
              </w:rPr>
              <w:t>Dose form:</w:t>
            </w:r>
          </w:p>
        </w:tc>
        <w:tc>
          <w:tcPr>
            <w:tcW w:w="6307" w:type="dxa"/>
          </w:tcPr>
          <w:p w:rsidR="008E7846" w:rsidRPr="00487162" w:rsidRDefault="007460FF" w:rsidP="00E45619">
            <w:r w:rsidRPr="007460FF">
              <w:t>Powder for inhalation</w:t>
            </w:r>
          </w:p>
        </w:tc>
      </w:tr>
      <w:tr w:rsidR="008E7846" w:rsidRPr="00487162" w:rsidTr="00BB124E">
        <w:trPr>
          <w:gridAfter w:val="1"/>
          <w:wAfter w:w="283" w:type="dxa"/>
        </w:trPr>
        <w:tc>
          <w:tcPr>
            <w:tcW w:w="2907" w:type="dxa"/>
          </w:tcPr>
          <w:p w:rsidR="008E7846" w:rsidRPr="00487162" w:rsidRDefault="008E7846" w:rsidP="00CA63DB">
            <w:pPr>
              <w:rPr>
                <w:i/>
              </w:rPr>
            </w:pPr>
            <w:r w:rsidRPr="00487162">
              <w:rPr>
                <w:i/>
              </w:rPr>
              <w:t>Strength</w:t>
            </w:r>
            <w:r w:rsidR="00CA63DB">
              <w:rPr>
                <w:i/>
              </w:rPr>
              <w:t>:</w:t>
            </w:r>
          </w:p>
        </w:tc>
        <w:tc>
          <w:tcPr>
            <w:tcW w:w="6307" w:type="dxa"/>
          </w:tcPr>
          <w:p w:rsidR="008E7846" w:rsidRPr="00487162" w:rsidRDefault="007460FF" w:rsidP="007460FF">
            <w:r w:rsidRPr="007460FF">
              <w:t xml:space="preserve">322 </w:t>
            </w:r>
            <w:r w:rsidR="00A5120F">
              <w:t>µ</w:t>
            </w:r>
            <w:r w:rsidRPr="007460FF">
              <w:t>g of aclidinium (as bromide) per actuation (delivered dose)</w:t>
            </w:r>
          </w:p>
        </w:tc>
      </w:tr>
      <w:tr w:rsidR="008E7846" w:rsidRPr="00487162" w:rsidTr="00BB124E">
        <w:trPr>
          <w:gridAfter w:val="1"/>
          <w:wAfter w:w="283" w:type="dxa"/>
        </w:trPr>
        <w:tc>
          <w:tcPr>
            <w:tcW w:w="2907" w:type="dxa"/>
          </w:tcPr>
          <w:p w:rsidR="008E7846" w:rsidRPr="00487162" w:rsidRDefault="008E7846" w:rsidP="00CA63DB">
            <w:pPr>
              <w:rPr>
                <w:i/>
              </w:rPr>
            </w:pPr>
            <w:r w:rsidRPr="00487162">
              <w:rPr>
                <w:i/>
              </w:rPr>
              <w:t>Container:</w:t>
            </w:r>
          </w:p>
        </w:tc>
        <w:tc>
          <w:tcPr>
            <w:tcW w:w="6307" w:type="dxa"/>
          </w:tcPr>
          <w:p w:rsidR="008E7846" w:rsidRPr="00487162" w:rsidRDefault="007460FF" w:rsidP="00E45619">
            <w:r w:rsidRPr="007460FF">
              <w:t>Genuair inhaler, delivering either 30 or 60 doses</w:t>
            </w:r>
          </w:p>
        </w:tc>
      </w:tr>
      <w:tr w:rsidR="008E7846" w:rsidRPr="00487162" w:rsidTr="00BB124E">
        <w:trPr>
          <w:gridAfter w:val="1"/>
          <w:wAfter w:w="283" w:type="dxa"/>
        </w:trPr>
        <w:tc>
          <w:tcPr>
            <w:tcW w:w="2907" w:type="dxa"/>
          </w:tcPr>
          <w:p w:rsidR="008E7846" w:rsidRPr="00487162" w:rsidRDefault="008E7846" w:rsidP="00CA63DB">
            <w:pPr>
              <w:rPr>
                <w:i/>
              </w:rPr>
            </w:pPr>
            <w:r w:rsidRPr="00487162">
              <w:rPr>
                <w:i/>
              </w:rPr>
              <w:t>Pack sizes:</w:t>
            </w:r>
          </w:p>
        </w:tc>
        <w:tc>
          <w:tcPr>
            <w:tcW w:w="6307" w:type="dxa"/>
          </w:tcPr>
          <w:p w:rsidR="008E7846" w:rsidRPr="00487162" w:rsidRDefault="007460FF" w:rsidP="00E45619">
            <w:r w:rsidRPr="007460FF">
              <w:t>Cartons containing: 1 x 30 unit dose inhaler; 1 x 60 unit dose inhaler and 3 x 60 unit dose inhalers</w:t>
            </w:r>
          </w:p>
        </w:tc>
      </w:tr>
      <w:tr w:rsidR="008E7846" w:rsidRPr="00487162" w:rsidTr="00BB124E">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7E69FD" w:rsidRDefault="007E69FD" w:rsidP="007E69FD">
            <w:pPr>
              <w:rPr>
                <w:rFonts w:eastAsia="MS Mincho"/>
                <w:i/>
                <w:lang w:eastAsia="ja-JP"/>
              </w:rPr>
            </w:pPr>
            <w:r w:rsidRPr="007E69FD">
              <w:rPr>
                <w:i/>
              </w:rPr>
              <w:t xml:space="preserve">Bretaris Genuair is indicated as a </w:t>
            </w:r>
            <w:r w:rsidR="00710686">
              <w:rPr>
                <w:i/>
              </w:rPr>
              <w:t xml:space="preserve">long term </w:t>
            </w:r>
            <w:r w:rsidRPr="007E69FD">
              <w:rPr>
                <w:i/>
              </w:rPr>
              <w:t>maintenance bronchodilator treatment to relieve symptoms in adult patients with chronic obstructive pulmonary disease (COPD).</w:t>
            </w:r>
          </w:p>
        </w:tc>
      </w:tr>
      <w:tr w:rsidR="008E7846" w:rsidRPr="00487162" w:rsidTr="00BB124E">
        <w:trPr>
          <w:gridAfter w:val="1"/>
          <w:wAfter w:w="283" w:type="dxa"/>
        </w:trPr>
        <w:tc>
          <w:tcPr>
            <w:tcW w:w="2907" w:type="dxa"/>
          </w:tcPr>
          <w:p w:rsidR="008E7846" w:rsidRPr="00487162" w:rsidRDefault="008E7846" w:rsidP="00CA63DB">
            <w:pPr>
              <w:rPr>
                <w:i/>
              </w:rPr>
            </w:pPr>
            <w:r w:rsidRPr="00487162">
              <w:rPr>
                <w:i/>
              </w:rPr>
              <w:t>Route of administration:</w:t>
            </w:r>
          </w:p>
        </w:tc>
        <w:tc>
          <w:tcPr>
            <w:tcW w:w="6307" w:type="dxa"/>
          </w:tcPr>
          <w:p w:rsidR="008E7846" w:rsidRPr="00487162" w:rsidRDefault="007460FF" w:rsidP="00E45619">
            <w:r>
              <w:t>Oral inhalation</w:t>
            </w:r>
          </w:p>
        </w:tc>
      </w:tr>
      <w:tr w:rsidR="008E7846" w:rsidRPr="00487162" w:rsidTr="00BB124E">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7460FF" w:rsidP="00E45619">
            <w:r w:rsidRPr="007460FF">
              <w:t>One inhalation twice daily</w:t>
            </w:r>
          </w:p>
        </w:tc>
      </w:tr>
      <w:tr w:rsidR="008E7846" w:rsidRPr="00487162" w:rsidTr="00BB124E">
        <w:trPr>
          <w:gridAfter w:val="1"/>
          <w:wAfter w:w="283" w:type="dxa"/>
        </w:trPr>
        <w:tc>
          <w:tcPr>
            <w:tcW w:w="2907" w:type="dxa"/>
          </w:tcPr>
          <w:p w:rsidR="008E7846" w:rsidRPr="00487162" w:rsidRDefault="008E7846" w:rsidP="00CA63DB">
            <w:pPr>
              <w:rPr>
                <w:i/>
              </w:rPr>
            </w:pPr>
            <w:r w:rsidRPr="00487162">
              <w:rPr>
                <w:i/>
              </w:rPr>
              <w:t xml:space="preserve">ARTG </w:t>
            </w:r>
            <w:r w:rsidR="001B5C90">
              <w:rPr>
                <w:i/>
              </w:rPr>
              <w:t>n</w:t>
            </w:r>
            <w:r w:rsidRPr="00487162">
              <w:rPr>
                <w:i/>
              </w:rPr>
              <w:t>umber</w:t>
            </w:r>
            <w:r w:rsidR="001B5C90">
              <w:rPr>
                <w:i/>
              </w:rPr>
              <w:t>:</w:t>
            </w:r>
          </w:p>
        </w:tc>
        <w:tc>
          <w:tcPr>
            <w:tcW w:w="6307" w:type="dxa"/>
          </w:tcPr>
          <w:p w:rsidR="008E7846" w:rsidRPr="00487162" w:rsidRDefault="00130604" w:rsidP="00E45619">
            <w:r>
              <w:t>206071</w:t>
            </w:r>
          </w:p>
        </w:tc>
      </w:tr>
    </w:tbl>
    <w:p w:rsidR="008E7846" w:rsidRPr="00CA63DB" w:rsidRDefault="008E7846" w:rsidP="00CA63DB">
      <w:pPr>
        <w:pStyle w:val="Heading3"/>
      </w:pPr>
      <w:bookmarkStart w:id="11" w:name="_Toc247691503"/>
      <w:bookmarkStart w:id="12" w:name="_Toc314842484"/>
      <w:bookmarkStart w:id="13" w:name="_Toc400115401"/>
      <w:r>
        <w:t>Product background</w:t>
      </w:r>
      <w:bookmarkEnd w:id="11"/>
      <w:bookmarkEnd w:id="12"/>
      <w:bookmarkEnd w:id="13"/>
    </w:p>
    <w:p w:rsidR="008E7846" w:rsidRDefault="00940A89" w:rsidP="00CA63DB">
      <w:r w:rsidRPr="00940A89">
        <w:t xml:space="preserve">This </w:t>
      </w:r>
      <w:proofErr w:type="spellStart"/>
      <w:r w:rsidRPr="00940A89">
        <w:t>AusPAR</w:t>
      </w:r>
      <w:proofErr w:type="spellEnd"/>
      <w:r w:rsidRPr="00940A89">
        <w:t xml:space="preserve"> describes the application by the sponsor </w:t>
      </w:r>
      <w:r w:rsidR="00D01092" w:rsidRPr="007E69FD">
        <w:t>A Menarini Australia Pt</w:t>
      </w:r>
      <w:r w:rsidR="00D01092">
        <w:t>y</w:t>
      </w:r>
      <w:r w:rsidR="00D01092" w:rsidRPr="007E69FD">
        <w:t xml:space="preserve"> Ltd</w:t>
      </w:r>
      <w:r w:rsidR="00D01092" w:rsidRPr="00940A89">
        <w:t xml:space="preserve"> </w:t>
      </w:r>
      <w:r w:rsidRPr="00940A89">
        <w:t xml:space="preserve">to register </w:t>
      </w:r>
      <w:r w:rsidR="00130604">
        <w:t xml:space="preserve">the new chemical entity </w:t>
      </w:r>
      <w:r w:rsidR="00D01092">
        <w:t>a</w:t>
      </w:r>
      <w:r w:rsidR="00D01092" w:rsidRPr="007460FF">
        <w:t>clidinium bromide</w:t>
      </w:r>
      <w:r w:rsidRPr="00940A89">
        <w:t xml:space="preserve"> for the following indication</w:t>
      </w:r>
      <w:r w:rsidR="0057610D">
        <w:t>;</w:t>
      </w:r>
    </w:p>
    <w:p w:rsidR="00AF3D89" w:rsidRPr="00CA63DB" w:rsidRDefault="00AF3D89" w:rsidP="00CA63DB">
      <w:pPr>
        <w:ind w:left="720"/>
        <w:rPr>
          <w:i/>
        </w:rPr>
      </w:pPr>
      <w:r w:rsidRPr="00CA63DB">
        <w:rPr>
          <w:i/>
        </w:rPr>
        <w:t xml:space="preserve">Bretaris Genuair is indicated as a </w:t>
      </w:r>
      <w:r w:rsidR="00710686" w:rsidRPr="00CA63DB">
        <w:rPr>
          <w:i/>
        </w:rPr>
        <w:t xml:space="preserve">long term </w:t>
      </w:r>
      <w:r w:rsidRPr="00CA63DB">
        <w:rPr>
          <w:i/>
        </w:rPr>
        <w:t>maintenance bronchodilator treatment to relieve symptoms in adult patients with chronic obstructive pulmonary disease (COPD).</w:t>
      </w:r>
    </w:p>
    <w:p w:rsidR="00CE1B10" w:rsidRPr="00443CE2" w:rsidRDefault="0057610D" w:rsidP="00CA63DB">
      <w:pPr>
        <w:rPr>
          <w:bCs/>
        </w:rPr>
      </w:pPr>
      <w:bookmarkStart w:id="14" w:name="_Toc314842485"/>
      <w:bookmarkStart w:id="15" w:name="_Toc247691504"/>
      <w:r w:rsidRPr="00CE1B10">
        <w:t xml:space="preserve">Aclidinium bromide inhalation powder is presented in a device metered dry powder inhaler (DPI) called Genuair. This inhaler is designed to deliver 30 or 60 doses. </w:t>
      </w:r>
      <w:r w:rsidR="00CE1B10" w:rsidRPr="00CE1B10">
        <w:t>Treatment involves twice</w:t>
      </w:r>
      <w:r w:rsidR="00CE1B10" w:rsidRPr="00443CE2">
        <w:rPr>
          <w:bCs/>
        </w:rPr>
        <w:t xml:space="preserve"> daily oral inhalation delivered by the included inhaler device. Each metered dose contains 400 μg aclidinium </w:t>
      </w:r>
      <w:proofErr w:type="gramStart"/>
      <w:r w:rsidR="00CE1B10" w:rsidRPr="00443CE2">
        <w:rPr>
          <w:bCs/>
        </w:rPr>
        <w:t>bromide</w:t>
      </w:r>
      <w:proofErr w:type="gramEnd"/>
      <w:r w:rsidR="00CE1B10" w:rsidRPr="00443CE2">
        <w:rPr>
          <w:bCs/>
        </w:rPr>
        <w:t>; the actual delivered dose contains 375 μg aclidinium bromide.</w:t>
      </w:r>
    </w:p>
    <w:p w:rsidR="000F5E03" w:rsidRDefault="000F5E03" w:rsidP="00CA63DB">
      <w:r w:rsidRPr="00443CE2">
        <w:t xml:space="preserve">Aclidinium bromide is a competitive muscarinic receptor antagonist with subnanomolar affinity across all five human muscarinic receptor subtypes. </w:t>
      </w:r>
      <w:r>
        <w:t>Its dissociation from M3 receptors was more than 4 times slower than its dissoci</w:t>
      </w:r>
      <w:r w:rsidR="00CA63DB">
        <w:t>ation from M1 and M2 receptors.</w:t>
      </w:r>
    </w:p>
    <w:p w:rsidR="00240CE4" w:rsidRPr="00240CE4" w:rsidRDefault="00240CE4" w:rsidP="00CA63DB">
      <w:r w:rsidRPr="00240CE4">
        <w:t>There are numerous drug classes available for the treatment of COPD</w:t>
      </w:r>
      <w:r w:rsidR="0057610D">
        <w:t>, including</w:t>
      </w:r>
      <w:r w:rsidR="00D01092">
        <w:t xml:space="preserve"> β</w:t>
      </w:r>
      <w:r w:rsidRPr="00240CE4">
        <w:t xml:space="preserve">2 agonists, anticholinergic agents, combination of </w:t>
      </w:r>
      <w:r w:rsidR="00D01092">
        <w:t>β</w:t>
      </w:r>
      <w:r w:rsidRPr="00240CE4">
        <w:t>2 agonists and inhaled cortic</w:t>
      </w:r>
      <w:r w:rsidR="00CA63DB">
        <w:t xml:space="preserve">osteroids and methyl </w:t>
      </w:r>
      <w:proofErr w:type="spellStart"/>
      <w:r w:rsidR="00CA63DB">
        <w:t>xanthines</w:t>
      </w:r>
      <w:proofErr w:type="spellEnd"/>
      <w:r w:rsidR="00CA63DB">
        <w:t>.</w:t>
      </w:r>
    </w:p>
    <w:p w:rsidR="00240CE4" w:rsidRPr="00240CE4" w:rsidRDefault="00240CE4" w:rsidP="00CA63DB">
      <w:r w:rsidRPr="00240CE4">
        <w:t xml:space="preserve">Other anti-muscarinic agents registered in Australia are ipratropium and </w:t>
      </w:r>
      <w:proofErr w:type="spellStart"/>
      <w:r w:rsidRPr="00240CE4">
        <w:t>tiotropium</w:t>
      </w:r>
      <w:proofErr w:type="spellEnd"/>
      <w:r w:rsidRPr="00240CE4">
        <w:t>.</w:t>
      </w:r>
    </w:p>
    <w:p w:rsidR="00D01092" w:rsidRDefault="00240CE4" w:rsidP="00CA63DB">
      <w:r w:rsidRPr="00240CE4">
        <w:t xml:space="preserve">The current indication of ipratropium bromide (metered dose aerosol inhaler) </w:t>
      </w:r>
      <w:r w:rsidR="00D01092" w:rsidRPr="00240CE4">
        <w:t>is</w:t>
      </w:r>
    </w:p>
    <w:p w:rsidR="00D01092" w:rsidRPr="00CA63DB" w:rsidRDefault="00240CE4" w:rsidP="00CA63DB">
      <w:pPr>
        <w:ind w:left="720"/>
        <w:rPr>
          <w:i/>
        </w:rPr>
      </w:pPr>
      <w:r w:rsidRPr="00CA63DB">
        <w:rPr>
          <w:i/>
        </w:rPr>
        <w:t>Atrovent metered aerosol is indicated as a bronchodilator for maintenance treatment of bronchospasm associated with asthma and chronic obstructive pulmonary disease (COPD),</w:t>
      </w:r>
    </w:p>
    <w:p w:rsidR="00D01092" w:rsidRDefault="00D01092" w:rsidP="00CA63DB">
      <w:r>
        <w:t xml:space="preserve">The registered indication for the </w:t>
      </w:r>
      <w:r w:rsidR="00240CE4" w:rsidRPr="00240CE4">
        <w:t>nebuliser solution</w:t>
      </w:r>
      <w:r>
        <w:t xml:space="preserve"> Atrovent</w:t>
      </w:r>
      <w:r w:rsidR="00240CE4" w:rsidRPr="00240CE4">
        <w:t xml:space="preserve"> is</w:t>
      </w:r>
    </w:p>
    <w:p w:rsidR="00240CE4" w:rsidRPr="00CA63DB" w:rsidRDefault="0057610D" w:rsidP="00CA63DB">
      <w:pPr>
        <w:ind w:left="720"/>
        <w:rPr>
          <w:i/>
        </w:rPr>
      </w:pPr>
      <w:r w:rsidRPr="00CA63DB">
        <w:rPr>
          <w:i/>
        </w:rPr>
        <w:t>M</w:t>
      </w:r>
      <w:r w:rsidR="00240CE4" w:rsidRPr="00CA63DB">
        <w:rPr>
          <w:i/>
        </w:rPr>
        <w:t>oderate asthmatic attacks; chronic forms of asthma; asthma in patients with diminished cardiac reserve; chronic obstructive bronchitis with bronchospasm; bronchospasm during or after surgery, use during assisted ventilation with a respirator.</w:t>
      </w:r>
      <w:r w:rsidR="00AF3D89" w:rsidRPr="00CA63DB">
        <w:rPr>
          <w:i/>
        </w:rPr>
        <w:t xml:space="preserve"> </w:t>
      </w:r>
      <w:r w:rsidR="00240CE4" w:rsidRPr="00CA63DB">
        <w:rPr>
          <w:i/>
        </w:rPr>
        <w:t>Administration of Atrovent via a nebuliser is intended for those patients who cannot use a metered dose aeroso</w:t>
      </w:r>
      <w:r w:rsidR="00E74309" w:rsidRPr="00CA63DB">
        <w:rPr>
          <w:i/>
        </w:rPr>
        <w:t>l</w:t>
      </w:r>
    </w:p>
    <w:p w:rsidR="00D01092" w:rsidRDefault="00240CE4" w:rsidP="00CA63DB">
      <w:r w:rsidRPr="00240CE4">
        <w:t xml:space="preserve">The registered indication of </w:t>
      </w:r>
      <w:r w:rsidR="00D01092">
        <w:t xml:space="preserve">Spiriva, </w:t>
      </w:r>
      <w:r w:rsidRPr="00240CE4">
        <w:t>tiotropium</w:t>
      </w:r>
      <w:r w:rsidR="00D01092">
        <w:t>,</w:t>
      </w:r>
      <w:r w:rsidRPr="00240CE4">
        <w:t xml:space="preserve"> is</w:t>
      </w:r>
    </w:p>
    <w:p w:rsidR="00240CE4" w:rsidRPr="00CA63DB" w:rsidRDefault="001D13B2" w:rsidP="00CA63DB">
      <w:pPr>
        <w:rPr>
          <w:i/>
        </w:rPr>
      </w:pPr>
      <w:r w:rsidRPr="00CA63DB">
        <w:rPr>
          <w:i/>
        </w:rPr>
        <w:t>‘</w:t>
      </w:r>
      <w:r w:rsidR="00D01092" w:rsidRPr="00CA63DB">
        <w:rPr>
          <w:i/>
        </w:rPr>
        <w:t xml:space="preserve">Spiriva </w:t>
      </w:r>
      <w:r w:rsidR="00240CE4" w:rsidRPr="00CA63DB">
        <w:rPr>
          <w:i/>
        </w:rPr>
        <w:t xml:space="preserve">is indicated for the long term maintenance treatment of bronchospasm and dyspnoea associated with chronic obstructive pulmonary disease (COPD). </w:t>
      </w:r>
      <w:r w:rsidR="00D01092" w:rsidRPr="00CA63DB">
        <w:rPr>
          <w:i/>
        </w:rPr>
        <w:t xml:space="preserve">Spiriva </w:t>
      </w:r>
      <w:r w:rsidR="00240CE4" w:rsidRPr="00CA63DB">
        <w:rPr>
          <w:i/>
        </w:rPr>
        <w:t>is indicated for the prevention of COPD exacerbations.</w:t>
      </w:r>
      <w:r w:rsidRPr="00CA63DB">
        <w:rPr>
          <w:i/>
        </w:rPr>
        <w:t>’</w:t>
      </w:r>
    </w:p>
    <w:p w:rsidR="00D92A4D" w:rsidRDefault="00240CE4" w:rsidP="00CA63DB">
      <w:r w:rsidRPr="00240CE4">
        <w:t>Recently, another long-acting anticholinergic bronchodilator</w:t>
      </w:r>
      <w:r w:rsidR="00D92A4D">
        <w:t>,</w:t>
      </w:r>
      <w:r w:rsidRPr="00240CE4">
        <w:t xml:space="preserve"> Seebri Breezhaler (</w:t>
      </w:r>
      <w:r w:rsidR="00FA33C6">
        <w:t>glycopyrronium</w:t>
      </w:r>
      <w:r w:rsidRPr="00240CE4">
        <w:t xml:space="preserve"> bromide)</w:t>
      </w:r>
      <w:r w:rsidR="00D92A4D">
        <w:t>,</w:t>
      </w:r>
      <w:r w:rsidRPr="00240CE4">
        <w:t xml:space="preserve"> was approved for once daily use in long</w:t>
      </w:r>
      <w:r w:rsidR="0057610D">
        <w:t xml:space="preserve"> </w:t>
      </w:r>
      <w:r w:rsidRPr="00240CE4">
        <w:t>ter</w:t>
      </w:r>
      <w:r w:rsidR="00D92A4D">
        <w:t>m maintenance treatment of COPD</w:t>
      </w:r>
      <w:r w:rsidRPr="00240CE4">
        <w:t>. It was recommende</w:t>
      </w:r>
      <w:r w:rsidR="00CA63DB">
        <w:t>d for the following indication:</w:t>
      </w:r>
    </w:p>
    <w:p w:rsidR="00240CE4" w:rsidRPr="00CA63DB" w:rsidRDefault="00240CE4" w:rsidP="00CA63DB">
      <w:pPr>
        <w:ind w:left="720"/>
        <w:rPr>
          <w:i/>
        </w:rPr>
      </w:pPr>
      <w:proofErr w:type="gramStart"/>
      <w:r w:rsidRPr="00CA63DB">
        <w:rPr>
          <w:i/>
        </w:rPr>
        <w:t>For use as a once-daily maintenance bronchodilator treatment to relieve symptoms of patients with chronic obstr</w:t>
      </w:r>
      <w:r w:rsidR="00D92A4D" w:rsidRPr="00CA63DB">
        <w:rPr>
          <w:i/>
        </w:rPr>
        <w:t>uctive pulmonary disease (COPD)</w:t>
      </w:r>
      <w:r w:rsidRPr="00CA63DB">
        <w:rPr>
          <w:i/>
        </w:rPr>
        <w:t>.</w:t>
      </w:r>
      <w:proofErr w:type="gramEnd"/>
    </w:p>
    <w:p w:rsidR="00240CE4" w:rsidRPr="00240CE4" w:rsidRDefault="00240CE4" w:rsidP="00CA63DB">
      <w:r w:rsidRPr="00240CE4">
        <w:t xml:space="preserve">Olodaterol, </w:t>
      </w:r>
      <w:proofErr w:type="gramStart"/>
      <w:r w:rsidRPr="00240CE4">
        <w:t xml:space="preserve">a </w:t>
      </w:r>
      <w:r w:rsidR="0057610D">
        <w:t>long</w:t>
      </w:r>
      <w:proofErr w:type="gramEnd"/>
      <w:r w:rsidR="0057610D">
        <w:t xml:space="preserve"> acting β agonists (</w:t>
      </w:r>
      <w:r w:rsidRPr="00240CE4">
        <w:t>LABA</w:t>
      </w:r>
      <w:r w:rsidR="0057610D">
        <w:t>)</w:t>
      </w:r>
      <w:r w:rsidRPr="00240CE4">
        <w:t xml:space="preserve"> was recommended for approval for once daily maintenance bronchodilator treatment of airflow obs</w:t>
      </w:r>
      <w:r w:rsidR="00CA63DB">
        <w:t>truction in patients with COPD.</w:t>
      </w:r>
    </w:p>
    <w:p w:rsidR="008E7846" w:rsidRPr="00CA63DB" w:rsidRDefault="00386150" w:rsidP="00CA63DB">
      <w:pPr>
        <w:pStyle w:val="Heading3"/>
      </w:pPr>
      <w:bookmarkStart w:id="16" w:name="_Toc400115402"/>
      <w:r>
        <w:t>Regulatory s</w:t>
      </w:r>
      <w:r w:rsidR="008E7846">
        <w:t>tatus</w:t>
      </w:r>
      <w:bookmarkEnd w:id="14"/>
      <w:bookmarkEnd w:id="15"/>
      <w:bookmarkEnd w:id="16"/>
    </w:p>
    <w:p w:rsidR="00940A89" w:rsidRPr="00940A89" w:rsidRDefault="00940A89" w:rsidP="00CA63DB">
      <w:bookmarkStart w:id="17" w:name="_Toc247691505"/>
      <w:bookmarkStart w:id="18" w:name="_Toc314842486"/>
      <w:r w:rsidRPr="00940A89">
        <w:t>Th</w:t>
      </w:r>
      <w:r w:rsidR="007E69FD">
        <w:t>is is the application for a new chemical entity.</w:t>
      </w:r>
    </w:p>
    <w:p w:rsidR="0057610D" w:rsidRDefault="00940A89" w:rsidP="00CA63DB">
      <w:r w:rsidRPr="00940A89">
        <w:t xml:space="preserve">At the time the TGA considered this application, a similar application had been approved </w:t>
      </w:r>
      <w:r w:rsidR="007E69FD">
        <w:t>in the countries</w:t>
      </w:r>
      <w:r w:rsidR="0057610D">
        <w:t xml:space="preserve"> listed in </w:t>
      </w:r>
      <w:r w:rsidR="007E69FD">
        <w:t>Table 1</w:t>
      </w:r>
      <w:r w:rsidR="0057610D">
        <w:t xml:space="preserve"> below.</w:t>
      </w:r>
    </w:p>
    <w:p w:rsidR="007E69FD" w:rsidRDefault="007E69FD" w:rsidP="00CA63DB">
      <w:pPr>
        <w:pStyle w:val="TableTitle"/>
      </w:pPr>
      <w:proofErr w:type="gramStart"/>
      <w:r>
        <w:t>Table 1.</w:t>
      </w:r>
      <w:proofErr w:type="gramEnd"/>
      <w:r>
        <w:t xml:space="preserve"> Overseas regulatory status</w:t>
      </w:r>
    </w:p>
    <w:tbl>
      <w:tblPr>
        <w:tblStyle w:val="TableTGAblue"/>
        <w:tblW w:w="0" w:type="auto"/>
        <w:tblInd w:w="108" w:type="dxa"/>
        <w:tblLook w:val="04A0" w:firstRow="1" w:lastRow="0" w:firstColumn="1" w:lastColumn="0" w:noHBand="0" w:noVBand="1"/>
      </w:tblPr>
      <w:tblGrid>
        <w:gridCol w:w="1843"/>
        <w:gridCol w:w="1559"/>
        <w:gridCol w:w="4962"/>
      </w:tblGrid>
      <w:tr w:rsidR="00240CE4" w:rsidTr="000F5E03">
        <w:trPr>
          <w:cnfStyle w:val="100000000000" w:firstRow="1" w:lastRow="0" w:firstColumn="0" w:lastColumn="0" w:oddVBand="0" w:evenVBand="0" w:oddHBand="0" w:evenHBand="0" w:firstRowFirstColumn="0" w:firstRowLastColumn="0" w:lastRowFirstColumn="0" w:lastRowLastColumn="0"/>
        </w:trPr>
        <w:tc>
          <w:tcPr>
            <w:tcW w:w="1843" w:type="dxa"/>
          </w:tcPr>
          <w:p w:rsidR="00240CE4" w:rsidRPr="0057610D" w:rsidRDefault="00240CE4" w:rsidP="00CA63DB">
            <w:pPr>
              <w:ind w:left="34" w:right="34"/>
              <w:rPr>
                <w:sz w:val="20"/>
                <w:szCs w:val="20"/>
              </w:rPr>
            </w:pPr>
            <w:r w:rsidRPr="0057610D">
              <w:rPr>
                <w:sz w:val="20"/>
                <w:szCs w:val="20"/>
              </w:rPr>
              <w:t>Country</w:t>
            </w:r>
          </w:p>
        </w:tc>
        <w:tc>
          <w:tcPr>
            <w:tcW w:w="1559" w:type="dxa"/>
          </w:tcPr>
          <w:p w:rsidR="00240CE4" w:rsidRPr="0057610D" w:rsidRDefault="00240CE4" w:rsidP="00CA63DB">
            <w:pPr>
              <w:ind w:left="34" w:right="33"/>
              <w:rPr>
                <w:sz w:val="20"/>
                <w:szCs w:val="20"/>
              </w:rPr>
            </w:pPr>
            <w:r w:rsidRPr="0057610D">
              <w:rPr>
                <w:sz w:val="20"/>
                <w:szCs w:val="20"/>
              </w:rPr>
              <w:t>Date of approval</w:t>
            </w:r>
          </w:p>
        </w:tc>
        <w:tc>
          <w:tcPr>
            <w:tcW w:w="4962" w:type="dxa"/>
          </w:tcPr>
          <w:p w:rsidR="00240CE4" w:rsidRPr="0057610D" w:rsidRDefault="00240CE4" w:rsidP="00CA63DB">
            <w:pPr>
              <w:ind w:left="34" w:right="34"/>
              <w:rPr>
                <w:sz w:val="20"/>
                <w:szCs w:val="20"/>
              </w:rPr>
            </w:pPr>
            <w:r w:rsidRPr="0057610D">
              <w:rPr>
                <w:sz w:val="20"/>
                <w:szCs w:val="20"/>
              </w:rPr>
              <w:t>Approved indication</w:t>
            </w:r>
          </w:p>
        </w:tc>
      </w:tr>
      <w:tr w:rsidR="00240CE4" w:rsidTr="000F5E03">
        <w:tc>
          <w:tcPr>
            <w:tcW w:w="1843" w:type="dxa"/>
          </w:tcPr>
          <w:p w:rsidR="00240CE4" w:rsidRPr="0057610D" w:rsidRDefault="00240CE4" w:rsidP="00CA63DB">
            <w:pPr>
              <w:ind w:left="34" w:right="34"/>
              <w:rPr>
                <w:sz w:val="20"/>
                <w:szCs w:val="20"/>
              </w:rPr>
            </w:pPr>
            <w:r w:rsidRPr="0057610D">
              <w:rPr>
                <w:sz w:val="20"/>
                <w:szCs w:val="20"/>
              </w:rPr>
              <w:t>United States</w:t>
            </w:r>
          </w:p>
        </w:tc>
        <w:tc>
          <w:tcPr>
            <w:tcW w:w="1559" w:type="dxa"/>
          </w:tcPr>
          <w:p w:rsidR="00240CE4" w:rsidRPr="0057610D" w:rsidRDefault="00240CE4" w:rsidP="00CA63DB">
            <w:pPr>
              <w:ind w:left="34" w:right="33"/>
              <w:rPr>
                <w:sz w:val="20"/>
                <w:szCs w:val="20"/>
              </w:rPr>
            </w:pPr>
            <w:r w:rsidRPr="0057610D">
              <w:rPr>
                <w:sz w:val="20"/>
                <w:szCs w:val="20"/>
              </w:rPr>
              <w:t>23 July 2012</w:t>
            </w:r>
          </w:p>
        </w:tc>
        <w:tc>
          <w:tcPr>
            <w:tcW w:w="4962" w:type="dxa"/>
          </w:tcPr>
          <w:p w:rsidR="00240CE4" w:rsidRPr="0057610D" w:rsidRDefault="00240CE4" w:rsidP="00CA63DB">
            <w:pPr>
              <w:ind w:left="34" w:right="34"/>
              <w:rPr>
                <w:sz w:val="20"/>
                <w:szCs w:val="20"/>
              </w:rPr>
            </w:pPr>
            <w:r w:rsidRPr="0057610D">
              <w:rPr>
                <w:sz w:val="20"/>
                <w:szCs w:val="20"/>
              </w:rPr>
              <w:t>Long-term, maintenance treatment of bronchospasm associated with chronic</w:t>
            </w:r>
            <w:r w:rsidR="007E69FD" w:rsidRPr="0057610D">
              <w:rPr>
                <w:sz w:val="20"/>
                <w:szCs w:val="20"/>
              </w:rPr>
              <w:t xml:space="preserve"> </w:t>
            </w:r>
            <w:r w:rsidRPr="0057610D">
              <w:rPr>
                <w:sz w:val="20"/>
                <w:szCs w:val="20"/>
              </w:rPr>
              <w:t>obstructive pulmonary disease (COPD), including chronic bronchitis and emphysema</w:t>
            </w:r>
          </w:p>
        </w:tc>
      </w:tr>
      <w:tr w:rsidR="00240CE4" w:rsidTr="000F5E03">
        <w:tc>
          <w:tcPr>
            <w:tcW w:w="1843" w:type="dxa"/>
          </w:tcPr>
          <w:p w:rsidR="00240CE4" w:rsidRPr="0057610D" w:rsidRDefault="00240CE4" w:rsidP="00CA63DB">
            <w:pPr>
              <w:ind w:left="34" w:right="34"/>
              <w:rPr>
                <w:sz w:val="20"/>
                <w:szCs w:val="20"/>
              </w:rPr>
            </w:pPr>
            <w:r w:rsidRPr="0057610D">
              <w:rPr>
                <w:sz w:val="20"/>
                <w:szCs w:val="20"/>
              </w:rPr>
              <w:t>European Union</w:t>
            </w:r>
            <w:r w:rsidR="007E69FD" w:rsidRPr="0057610D">
              <w:rPr>
                <w:sz w:val="20"/>
                <w:szCs w:val="20"/>
              </w:rPr>
              <w:t xml:space="preserve"> (EU)</w:t>
            </w:r>
          </w:p>
        </w:tc>
        <w:tc>
          <w:tcPr>
            <w:tcW w:w="1559" w:type="dxa"/>
          </w:tcPr>
          <w:p w:rsidR="00240CE4" w:rsidRPr="0057610D" w:rsidRDefault="00240CE4" w:rsidP="00CA63DB">
            <w:pPr>
              <w:ind w:left="34" w:right="33"/>
              <w:rPr>
                <w:sz w:val="20"/>
                <w:szCs w:val="20"/>
              </w:rPr>
            </w:pPr>
            <w:r w:rsidRPr="0057610D">
              <w:rPr>
                <w:sz w:val="20"/>
                <w:szCs w:val="20"/>
              </w:rPr>
              <w:t>2 July 2012</w:t>
            </w:r>
          </w:p>
        </w:tc>
        <w:tc>
          <w:tcPr>
            <w:tcW w:w="4962" w:type="dxa"/>
          </w:tcPr>
          <w:p w:rsidR="00240CE4" w:rsidRPr="0057610D" w:rsidRDefault="00240CE4" w:rsidP="00CA63DB">
            <w:pPr>
              <w:ind w:left="34" w:right="34"/>
              <w:rPr>
                <w:sz w:val="20"/>
                <w:szCs w:val="20"/>
              </w:rPr>
            </w:pPr>
            <w:r w:rsidRPr="0057610D">
              <w:rPr>
                <w:sz w:val="20"/>
                <w:szCs w:val="20"/>
              </w:rPr>
              <w:t>Maintenance bronchodilator treatment to relieve symptoms in adult patients</w:t>
            </w:r>
            <w:r w:rsidR="007E69FD" w:rsidRPr="0057610D">
              <w:rPr>
                <w:sz w:val="20"/>
                <w:szCs w:val="20"/>
              </w:rPr>
              <w:t xml:space="preserve"> </w:t>
            </w:r>
            <w:r w:rsidRPr="0057610D">
              <w:rPr>
                <w:sz w:val="20"/>
                <w:szCs w:val="20"/>
              </w:rPr>
              <w:t>with chronic obstructive pulmonary disease (COPD)</w:t>
            </w:r>
          </w:p>
        </w:tc>
      </w:tr>
      <w:tr w:rsidR="00240CE4" w:rsidTr="000F5E03">
        <w:tc>
          <w:tcPr>
            <w:tcW w:w="1843" w:type="dxa"/>
          </w:tcPr>
          <w:p w:rsidR="00240CE4" w:rsidRPr="0057610D" w:rsidRDefault="00240CE4" w:rsidP="00CA63DB">
            <w:pPr>
              <w:ind w:left="34" w:right="34"/>
              <w:rPr>
                <w:sz w:val="20"/>
                <w:szCs w:val="20"/>
              </w:rPr>
            </w:pPr>
            <w:r w:rsidRPr="0057610D">
              <w:rPr>
                <w:sz w:val="20"/>
                <w:szCs w:val="20"/>
              </w:rPr>
              <w:t>Switzerland</w:t>
            </w:r>
          </w:p>
        </w:tc>
        <w:tc>
          <w:tcPr>
            <w:tcW w:w="1559" w:type="dxa"/>
          </w:tcPr>
          <w:p w:rsidR="00240CE4" w:rsidRPr="0057610D" w:rsidRDefault="00240CE4" w:rsidP="00CA63DB">
            <w:pPr>
              <w:ind w:left="34" w:right="33"/>
              <w:rPr>
                <w:sz w:val="20"/>
                <w:szCs w:val="20"/>
              </w:rPr>
            </w:pPr>
            <w:r w:rsidRPr="0057610D">
              <w:rPr>
                <w:sz w:val="20"/>
                <w:szCs w:val="20"/>
              </w:rPr>
              <w:t>25 April 2013</w:t>
            </w:r>
          </w:p>
        </w:tc>
        <w:tc>
          <w:tcPr>
            <w:tcW w:w="4962" w:type="dxa"/>
          </w:tcPr>
          <w:p w:rsidR="00240CE4" w:rsidRPr="0057610D" w:rsidRDefault="00240CE4" w:rsidP="00CA63DB">
            <w:pPr>
              <w:ind w:left="34" w:right="34"/>
              <w:rPr>
                <w:sz w:val="20"/>
                <w:szCs w:val="20"/>
              </w:rPr>
            </w:pPr>
            <w:r w:rsidRPr="0057610D">
              <w:rPr>
                <w:sz w:val="20"/>
                <w:szCs w:val="20"/>
              </w:rPr>
              <w:t>Maintenance bronchodilator treatment to relieve symptoms in adult patients</w:t>
            </w:r>
            <w:r w:rsidR="007E69FD" w:rsidRPr="0057610D">
              <w:rPr>
                <w:sz w:val="20"/>
                <w:szCs w:val="20"/>
              </w:rPr>
              <w:t xml:space="preserve"> </w:t>
            </w:r>
            <w:r w:rsidRPr="0057610D">
              <w:rPr>
                <w:sz w:val="20"/>
                <w:szCs w:val="20"/>
              </w:rPr>
              <w:t>with chronic obstructive pulmonary disease (COPD)</w:t>
            </w:r>
          </w:p>
        </w:tc>
      </w:tr>
      <w:tr w:rsidR="00240CE4" w:rsidTr="000F5E03">
        <w:tc>
          <w:tcPr>
            <w:tcW w:w="1843" w:type="dxa"/>
          </w:tcPr>
          <w:p w:rsidR="00240CE4" w:rsidRPr="0057610D" w:rsidRDefault="00240CE4" w:rsidP="00CA63DB">
            <w:pPr>
              <w:ind w:left="34" w:right="34"/>
              <w:rPr>
                <w:sz w:val="20"/>
                <w:szCs w:val="20"/>
              </w:rPr>
            </w:pPr>
            <w:r w:rsidRPr="0057610D">
              <w:rPr>
                <w:sz w:val="20"/>
                <w:szCs w:val="20"/>
              </w:rPr>
              <w:t>Canada</w:t>
            </w:r>
          </w:p>
        </w:tc>
        <w:tc>
          <w:tcPr>
            <w:tcW w:w="1559" w:type="dxa"/>
          </w:tcPr>
          <w:p w:rsidR="00240CE4" w:rsidRPr="0057610D" w:rsidRDefault="00240CE4" w:rsidP="00CA63DB">
            <w:pPr>
              <w:ind w:left="34" w:right="33"/>
              <w:rPr>
                <w:sz w:val="20"/>
                <w:szCs w:val="20"/>
              </w:rPr>
            </w:pPr>
            <w:r w:rsidRPr="0057610D">
              <w:rPr>
                <w:sz w:val="20"/>
                <w:szCs w:val="20"/>
              </w:rPr>
              <w:t>29 July 2013</w:t>
            </w:r>
          </w:p>
        </w:tc>
        <w:tc>
          <w:tcPr>
            <w:tcW w:w="4962" w:type="dxa"/>
          </w:tcPr>
          <w:p w:rsidR="00240CE4" w:rsidRPr="0057610D" w:rsidRDefault="00710686" w:rsidP="00CA63DB">
            <w:pPr>
              <w:ind w:left="34" w:right="34"/>
              <w:rPr>
                <w:sz w:val="20"/>
                <w:szCs w:val="20"/>
              </w:rPr>
            </w:pPr>
            <w:r>
              <w:rPr>
                <w:sz w:val="20"/>
                <w:szCs w:val="20"/>
              </w:rPr>
              <w:t xml:space="preserve">Long term </w:t>
            </w:r>
            <w:r w:rsidR="00240CE4" w:rsidRPr="0057610D">
              <w:rPr>
                <w:sz w:val="20"/>
                <w:szCs w:val="20"/>
              </w:rPr>
              <w:t>maintenance bronchodilator treatment in patients with chronic</w:t>
            </w:r>
            <w:r w:rsidR="007E69FD" w:rsidRPr="0057610D">
              <w:rPr>
                <w:sz w:val="20"/>
                <w:szCs w:val="20"/>
              </w:rPr>
              <w:t xml:space="preserve"> </w:t>
            </w:r>
            <w:r w:rsidR="00240CE4" w:rsidRPr="0057610D">
              <w:rPr>
                <w:sz w:val="20"/>
                <w:szCs w:val="20"/>
              </w:rPr>
              <w:t>obstructive pulmonary</w:t>
            </w:r>
          </w:p>
        </w:tc>
      </w:tr>
    </w:tbl>
    <w:p w:rsidR="00240CE4" w:rsidRDefault="00240CE4" w:rsidP="00CA63DB">
      <w:r>
        <w:t>Breatris Genuair has also been approved in Mexico (30 September 2013).</w:t>
      </w:r>
    </w:p>
    <w:p w:rsidR="008E7846" w:rsidRPr="00CA63DB" w:rsidRDefault="008E7846" w:rsidP="00CA63DB">
      <w:pPr>
        <w:pStyle w:val="Heading3"/>
      </w:pPr>
      <w:bookmarkStart w:id="19" w:name="_Toc400115403"/>
      <w:r>
        <w:t>Product Information</w:t>
      </w:r>
      <w:bookmarkEnd w:id="17"/>
      <w:bookmarkEnd w:id="18"/>
      <w:bookmarkEnd w:id="19"/>
    </w:p>
    <w:p w:rsidR="00940A89" w:rsidRDefault="00940A89" w:rsidP="00CA63DB">
      <w:pPr>
        <w:rPr>
          <w:b/>
          <w:bCs/>
        </w:rPr>
      </w:pPr>
      <w:bookmarkStart w:id="20" w:name="_Toc247691506"/>
      <w:bookmarkStart w:id="21" w:name="_Toc314842487"/>
      <w:r w:rsidRPr="00940A89">
        <w:t xml:space="preserve">The approved Product Information (PI) current at the time this AusPAR was prepared can be found as Attachment 1. For the most recent </w:t>
      </w:r>
      <w:r w:rsidR="00D31ABE">
        <w:t>PI</w:t>
      </w:r>
      <w:r w:rsidRPr="00940A89">
        <w:t xml:space="preserve"> please refer to the TGA website at &lt;</w:t>
      </w:r>
      <w:hyperlink r:id="rId14" w:history="1">
        <w:r w:rsidRPr="00940A89">
          <w:rPr>
            <w:rStyle w:val="Hyperlink"/>
          </w:rPr>
          <w:t>http://www.tga.gov.au/hp/information-medicines-pi.htm</w:t>
        </w:r>
      </w:hyperlink>
      <w:r w:rsidRPr="00940A89">
        <w:t>&gt;.</w:t>
      </w:r>
    </w:p>
    <w:p w:rsidR="008E7846" w:rsidRPr="003602A9" w:rsidRDefault="008E7846" w:rsidP="00CA63DB">
      <w:pPr>
        <w:pStyle w:val="Heading2"/>
      </w:pPr>
      <w:bookmarkStart w:id="22" w:name="_Toc400115404"/>
      <w:r>
        <w:t xml:space="preserve">II. Quality </w:t>
      </w:r>
      <w:r w:rsidRPr="00CA63DB">
        <w:t>findings</w:t>
      </w:r>
      <w:bookmarkEnd w:id="20"/>
      <w:bookmarkEnd w:id="21"/>
      <w:bookmarkEnd w:id="22"/>
    </w:p>
    <w:p w:rsidR="007460FF" w:rsidRPr="00CA63DB" w:rsidRDefault="00940A89" w:rsidP="00CA63DB">
      <w:pPr>
        <w:pStyle w:val="Heading3"/>
      </w:pPr>
      <w:bookmarkStart w:id="23" w:name="_Toc247691507"/>
      <w:bookmarkStart w:id="24" w:name="_Toc314842488"/>
      <w:bookmarkStart w:id="25" w:name="_Toc400115405"/>
      <w:r w:rsidRPr="00940A89">
        <w:t>Introduction</w:t>
      </w:r>
      <w:bookmarkEnd w:id="25"/>
    </w:p>
    <w:p w:rsidR="007460FF" w:rsidRDefault="007460FF" w:rsidP="00CA63DB">
      <w:r w:rsidRPr="0022480E">
        <w:t xml:space="preserve">Each delivered dose (the dose leaving the mouthpiece) contains </w:t>
      </w:r>
      <w:r>
        <w:t>322</w:t>
      </w:r>
      <w:r w:rsidRPr="0022480E">
        <w:t xml:space="preserve"> μg </w:t>
      </w:r>
      <w:r>
        <w:t xml:space="preserve">of aclidinium (as the bromide) which is equivalent to a </w:t>
      </w:r>
      <w:r w:rsidRPr="0022480E">
        <w:t xml:space="preserve">metered dose of </w:t>
      </w:r>
      <w:r>
        <w:t>343</w:t>
      </w:r>
      <w:r w:rsidRPr="0022480E">
        <w:t xml:space="preserve"> μg </w:t>
      </w:r>
      <w:proofErr w:type="spellStart"/>
      <w:r>
        <w:t>aclidinium</w:t>
      </w:r>
      <w:proofErr w:type="spellEnd"/>
      <w:r w:rsidRPr="0022480E">
        <w:t xml:space="preserve"> </w:t>
      </w:r>
      <w:r>
        <w:t xml:space="preserve">(as the </w:t>
      </w:r>
      <w:r w:rsidRPr="0022480E">
        <w:t>bromide</w:t>
      </w:r>
      <w:r>
        <w:t>).</w:t>
      </w:r>
    </w:p>
    <w:p w:rsidR="007460FF" w:rsidRPr="0022480E" w:rsidRDefault="007460FF" w:rsidP="00CA63DB">
      <w:r>
        <w:t xml:space="preserve">The recommended dose </w:t>
      </w:r>
      <w:r w:rsidRPr="0022480E">
        <w:t xml:space="preserve">is one inhalation </w:t>
      </w:r>
      <w:r>
        <w:t>taken</w:t>
      </w:r>
      <w:r w:rsidRPr="0022480E">
        <w:t xml:space="preserve"> twice </w:t>
      </w:r>
      <w:r>
        <w:t xml:space="preserve">daily and the product is intended for use </w:t>
      </w:r>
      <w:r w:rsidRPr="0022480E">
        <w:t xml:space="preserve">as a </w:t>
      </w:r>
      <w:r w:rsidR="00710686">
        <w:t xml:space="preserve">long term </w:t>
      </w:r>
      <w:r w:rsidRPr="0022480E">
        <w:t>maintenance bronchodilator treatment to relieve symptoms in adult patients with Chronic Obstructive Pulmonary Disease (COPD).</w:t>
      </w:r>
    </w:p>
    <w:p w:rsidR="00940A89" w:rsidRDefault="007460FF" w:rsidP="00CA63DB">
      <w:pPr>
        <w:rPr>
          <w:b/>
          <w:bCs/>
        </w:rPr>
      </w:pPr>
      <w:r w:rsidRPr="00D26404">
        <w:t xml:space="preserve">The product has not been considered by the </w:t>
      </w:r>
      <w:r w:rsidR="0057610D">
        <w:t xml:space="preserve">TGA’s </w:t>
      </w:r>
      <w:r w:rsidRPr="00D26404">
        <w:t xml:space="preserve">Pharmaceutical Subcommittee </w:t>
      </w:r>
      <w:r>
        <w:t xml:space="preserve">(PSC) and there are no </w:t>
      </w:r>
      <w:r w:rsidR="0057610D">
        <w:t>British Pharmacopeia (</w:t>
      </w:r>
      <w:r>
        <w:t>BP</w:t>
      </w:r>
      <w:r w:rsidR="0057610D">
        <w:t>)</w:t>
      </w:r>
      <w:r>
        <w:t xml:space="preserve"> or </w:t>
      </w:r>
      <w:r w:rsidR="0057610D">
        <w:t>US Pharmacopeia (</w:t>
      </w:r>
      <w:r>
        <w:t>USP</w:t>
      </w:r>
      <w:r w:rsidR="0057610D">
        <w:t>)</w:t>
      </w:r>
      <w:r>
        <w:t xml:space="preserve"> monographs available for the drug substance or drug product.</w:t>
      </w:r>
    </w:p>
    <w:p w:rsidR="008E7846" w:rsidRPr="00CA63DB" w:rsidRDefault="008E7846" w:rsidP="00CA63DB">
      <w:pPr>
        <w:pStyle w:val="Heading3"/>
      </w:pPr>
      <w:bookmarkStart w:id="26" w:name="_Toc400115406"/>
      <w:r w:rsidRPr="008751DC">
        <w:t xml:space="preserve">Drug </w:t>
      </w:r>
      <w:r>
        <w:t>s</w:t>
      </w:r>
      <w:r w:rsidRPr="008751DC">
        <w:t>ubstance</w:t>
      </w:r>
      <w:r>
        <w:t xml:space="preserve"> (active ingredient)</w:t>
      </w:r>
      <w:bookmarkEnd w:id="23"/>
      <w:bookmarkEnd w:id="24"/>
      <w:bookmarkEnd w:id="26"/>
    </w:p>
    <w:p w:rsidR="0057610D" w:rsidRDefault="00443CE2" w:rsidP="00CA63DB">
      <w:bookmarkStart w:id="27" w:name="_Toc247691508"/>
      <w:bookmarkStart w:id="28" w:name="_Toc314842490"/>
      <w:r>
        <w:t>The drug substance has the following structure</w:t>
      </w:r>
      <w:r w:rsidR="0057610D">
        <w:t xml:space="preserve"> (Figure 1).</w:t>
      </w:r>
    </w:p>
    <w:p w:rsidR="00443CE2" w:rsidRPr="00CA63DB" w:rsidRDefault="0057610D" w:rsidP="00CA63DB">
      <w:pPr>
        <w:pStyle w:val="FigureTitle"/>
      </w:pPr>
      <w:proofErr w:type="gramStart"/>
      <w:r>
        <w:t>Figure 1.</w:t>
      </w:r>
      <w:proofErr w:type="gramEnd"/>
      <w:r>
        <w:t xml:space="preserve"> Chemical structure of </w:t>
      </w:r>
      <w:proofErr w:type="spellStart"/>
      <w:r>
        <w:t>aclidinium</w:t>
      </w:r>
      <w:proofErr w:type="spellEnd"/>
      <w:r>
        <w:t xml:space="preserve"> bromide</w:t>
      </w:r>
    </w:p>
    <w:p w:rsidR="00443CE2" w:rsidRDefault="00443CE2" w:rsidP="00CA63DB">
      <w:r>
        <w:rPr>
          <w:noProof/>
          <w:lang w:eastAsia="en-AU"/>
        </w:rPr>
        <w:drawing>
          <wp:inline distT="0" distB="0" distL="0" distR="0" wp14:anchorId="1B110E9A" wp14:editId="7869F7A5">
            <wp:extent cx="2114550" cy="1619250"/>
            <wp:effectExtent l="0" t="0" r="0" b="0"/>
            <wp:docPr id="1" name="Picture 1" descr="Figure 1. Chemical structure of aclidin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619250"/>
                    </a:xfrm>
                    <a:prstGeom prst="rect">
                      <a:avLst/>
                    </a:prstGeom>
                    <a:noFill/>
                    <a:ln>
                      <a:noFill/>
                    </a:ln>
                  </pic:spPr>
                </pic:pic>
              </a:graphicData>
            </a:graphic>
          </wp:inline>
        </w:drawing>
      </w:r>
    </w:p>
    <w:p w:rsidR="00443CE2" w:rsidRDefault="00443CE2" w:rsidP="00CA63DB">
      <w:r>
        <w:t>Aclidinium bromide is a white to off white crystalline solid that is very slightly soluble in water and practically insoluble in common organic solvents.</w:t>
      </w:r>
      <w:r w:rsidR="00AF3D89">
        <w:t xml:space="preserve"> </w:t>
      </w:r>
      <w:r>
        <w:t>It has one chiral centre and exists in one polymorphic form (designated form I).</w:t>
      </w:r>
    </w:p>
    <w:p w:rsidR="00443CE2" w:rsidRDefault="00443CE2" w:rsidP="00CA63DB">
      <w:r>
        <w:t>The drug substance is controlled by a specification that includes appropriate limits for</w:t>
      </w:r>
      <w:r w:rsidR="0057610D">
        <w:t xml:space="preserve"> assay </w:t>
      </w:r>
      <w:r>
        <w:t>impurities</w:t>
      </w:r>
      <w:r w:rsidR="0057610D">
        <w:t xml:space="preserve">, </w:t>
      </w:r>
      <w:r>
        <w:t>residual solvents and particle size.</w:t>
      </w:r>
      <w:r w:rsidR="00AF3D89">
        <w:t xml:space="preserve"> </w:t>
      </w:r>
      <w:r>
        <w:t>Appropriate validated analytical methods were described for all of the specification tests.</w:t>
      </w:r>
    </w:p>
    <w:p w:rsidR="00B465EC" w:rsidRDefault="00B465EC" w:rsidP="00CA63DB">
      <w:r>
        <w:t xml:space="preserve">The levels of four impurities were </w:t>
      </w:r>
      <w:r w:rsidR="00895108">
        <w:t>adequately</w:t>
      </w:r>
      <w:r>
        <w:t xml:space="preserve"> qualified.</w:t>
      </w:r>
    </w:p>
    <w:p w:rsidR="008E7846" w:rsidRPr="00CA63DB" w:rsidRDefault="008E7846" w:rsidP="00CA63DB">
      <w:pPr>
        <w:pStyle w:val="Heading3"/>
      </w:pPr>
      <w:bookmarkStart w:id="29" w:name="_Toc400115407"/>
      <w:r w:rsidRPr="008751DC">
        <w:t xml:space="preserve">Drug </w:t>
      </w:r>
      <w:r>
        <w:t>p</w:t>
      </w:r>
      <w:r w:rsidRPr="008751DC">
        <w:t>roduct</w:t>
      </w:r>
      <w:bookmarkEnd w:id="27"/>
      <w:bookmarkEnd w:id="28"/>
      <w:bookmarkEnd w:id="29"/>
    </w:p>
    <w:p w:rsidR="00443CE2" w:rsidRDefault="00443CE2" w:rsidP="00CA63DB">
      <w:r>
        <w:t>The inhalation powder is composed entirely of aclidinium bromide and lactose which serves as a carrier for the drug substance.</w:t>
      </w:r>
      <w:r w:rsidR="00AF3D89">
        <w:t xml:space="preserve"> </w:t>
      </w:r>
      <w:r>
        <w:t>The powder is filled into a pre-assembled cartridge that measures either 30 or 60 actuations (the strength and fill weight of the inhalation powder in the cartridge are the same, only the counter and lock out systems are changed).</w:t>
      </w:r>
      <w:r w:rsidR="00AF3D89">
        <w:t xml:space="preserve"> </w:t>
      </w:r>
      <w:r>
        <w:t>The powder is then delivered using a device metered (</w:t>
      </w:r>
      <w:proofErr w:type="spellStart"/>
      <w:r>
        <w:t>Almirall</w:t>
      </w:r>
      <w:proofErr w:type="spellEnd"/>
      <w:r>
        <w:t>) dry powder inhaler.</w:t>
      </w:r>
    </w:p>
    <w:p w:rsidR="00443CE2" w:rsidRDefault="00443CE2" w:rsidP="00CA63DB">
      <w:r>
        <w:t>The product is manufactured using conventional blending, filling and packing methods.</w:t>
      </w:r>
    </w:p>
    <w:p w:rsidR="00443CE2" w:rsidRDefault="00443CE2" w:rsidP="00CA63DB">
      <w:r>
        <w:t>The quality of the drug product is controlled by a specification that includes limits for: the content of aclidinium bromide per cartridge; the levels of degradants and total impurities in the powder; the uniformity of the delivered dose; the mean delivered dose and the fine particle dose.</w:t>
      </w:r>
      <w:r w:rsidR="00AF3D89">
        <w:t xml:space="preserve"> </w:t>
      </w:r>
      <w:r>
        <w:t>The microbial content of the powder is also adequately controlled.</w:t>
      </w:r>
    </w:p>
    <w:p w:rsidR="00443CE2" w:rsidRDefault="00443CE2" w:rsidP="00CA63DB">
      <w:r>
        <w:t>The analytical methods used were all adequately validated and described.</w:t>
      </w:r>
    </w:p>
    <w:p w:rsidR="00443CE2" w:rsidRDefault="00443CE2" w:rsidP="00CA63DB">
      <w:r>
        <w:t>Stability data were provided to support a shelf life for the product of 36 months when it is stored in the proposed packaging (the dry powder inhaler is contained in a heat sealed aluminium pouch) below 30ºC.</w:t>
      </w:r>
      <w:r w:rsidR="00AF3D89">
        <w:t xml:space="preserve"> </w:t>
      </w:r>
      <w:r>
        <w:t>Stability testing has also demonstrated that an in use period of 90 days from opening the pouch is justified.</w:t>
      </w:r>
    </w:p>
    <w:p w:rsidR="008E7846" w:rsidRPr="00CA63DB" w:rsidRDefault="008E7846" w:rsidP="00CA63DB">
      <w:pPr>
        <w:pStyle w:val="Heading3"/>
      </w:pPr>
      <w:bookmarkStart w:id="30" w:name="_Toc247691509"/>
      <w:bookmarkStart w:id="31" w:name="_Toc314842493"/>
      <w:bookmarkStart w:id="32" w:name="_Toc400115408"/>
      <w:r>
        <w:t>Quality s</w:t>
      </w:r>
      <w:r w:rsidRPr="008751DC">
        <w:t>ummary</w:t>
      </w:r>
      <w:r>
        <w:t xml:space="preserve"> and conclusions</w:t>
      </w:r>
      <w:bookmarkEnd w:id="30"/>
      <w:bookmarkEnd w:id="31"/>
      <w:bookmarkEnd w:id="32"/>
    </w:p>
    <w:p w:rsidR="00443CE2" w:rsidRDefault="00443CE2" w:rsidP="00CA63DB">
      <w:r>
        <w:t>Approval is recommended from a chemistry a</w:t>
      </w:r>
      <w:r w:rsidR="00CA63DB">
        <w:t>nd quality control perspective.</w:t>
      </w:r>
    </w:p>
    <w:p w:rsidR="008E7846" w:rsidRPr="00CA63DB" w:rsidRDefault="008E7846" w:rsidP="00CA63DB">
      <w:pPr>
        <w:pStyle w:val="Heading2"/>
      </w:pPr>
      <w:bookmarkStart w:id="33" w:name="_Toc196046439"/>
      <w:bookmarkStart w:id="34" w:name="_Toc247691510"/>
      <w:bookmarkStart w:id="35" w:name="_Toc314842494"/>
      <w:bookmarkStart w:id="36" w:name="_Toc400115409"/>
      <w:r>
        <w:t>III. Nonclinical</w:t>
      </w:r>
      <w:bookmarkEnd w:id="33"/>
      <w:r>
        <w:t xml:space="preserve"> findings</w:t>
      </w:r>
      <w:bookmarkEnd w:id="34"/>
      <w:bookmarkEnd w:id="35"/>
      <w:bookmarkEnd w:id="36"/>
    </w:p>
    <w:p w:rsidR="00CE1B10" w:rsidRPr="00CA63DB" w:rsidRDefault="008E7846" w:rsidP="00CA63DB">
      <w:pPr>
        <w:pStyle w:val="Heading3"/>
      </w:pPr>
      <w:bookmarkStart w:id="37" w:name="_Toc247691511"/>
      <w:bookmarkStart w:id="38" w:name="_Toc314842495"/>
      <w:bookmarkStart w:id="39" w:name="_Toc400115410"/>
      <w:r>
        <w:t>Introduction</w:t>
      </w:r>
      <w:bookmarkStart w:id="40" w:name="_Toc247691512"/>
      <w:bookmarkStart w:id="41" w:name="_Toc314842496"/>
      <w:bookmarkEnd w:id="37"/>
      <w:bookmarkEnd w:id="38"/>
      <w:bookmarkEnd w:id="39"/>
    </w:p>
    <w:p w:rsidR="00443CE2" w:rsidRDefault="00443CE2" w:rsidP="00CA63DB">
      <w:pPr>
        <w:rPr>
          <w:b/>
          <w:bCs/>
        </w:rPr>
      </w:pPr>
      <w:r w:rsidRPr="00443CE2">
        <w:t xml:space="preserve">The general quality of the submitted nonclinical data was high. All pivotal studies examining single-dose toxicity, repeat-dose toxicity, genotoxicity, carcinogenicity and reproductive toxicity were conducted under </w:t>
      </w:r>
      <w:r w:rsidR="00CE1B10">
        <w:t>Good Laboratory Conditions (</w:t>
      </w:r>
      <w:r w:rsidRPr="00443CE2">
        <w:t>GLP</w:t>
      </w:r>
      <w:r w:rsidR="00CE1B10">
        <w:t>)</w:t>
      </w:r>
      <w:r w:rsidRPr="00443CE2">
        <w:t xml:space="preserve"> conditions. Only some of the safety pharmacology studies were GLP compliant however, although the non</w:t>
      </w:r>
      <w:r w:rsidR="00CE1B10">
        <w:t xml:space="preserve"> </w:t>
      </w:r>
      <w:r w:rsidRPr="00443CE2">
        <w:t>GLP studies were nevertheless adequately documented.</w:t>
      </w:r>
    </w:p>
    <w:p w:rsidR="008E7846" w:rsidRPr="00CA63DB" w:rsidRDefault="008E7846" w:rsidP="00CA63DB">
      <w:pPr>
        <w:pStyle w:val="Heading3"/>
      </w:pPr>
      <w:bookmarkStart w:id="42" w:name="_Toc400115411"/>
      <w:r w:rsidRPr="00020030">
        <w:t>Pharmacology</w:t>
      </w:r>
      <w:bookmarkEnd w:id="40"/>
      <w:bookmarkEnd w:id="41"/>
      <w:bookmarkEnd w:id="42"/>
    </w:p>
    <w:p w:rsidR="00443CE2" w:rsidRDefault="00443CE2" w:rsidP="00CA63DB">
      <w:proofErr w:type="spellStart"/>
      <w:r>
        <w:t>Aclidinium</w:t>
      </w:r>
      <w:proofErr w:type="spellEnd"/>
      <w:r>
        <w:t xml:space="preserve"> bromide is a muscarinic receptor antagonist. Other members of the class (ipratropium bromide, tiotropium bromide and glycopyrronium bromide) are already approved as inhalational therapies for COPD. Of relevance to therapy in COPD, bronchoconstriction is mainly mediated by activation of postsynaptic M3 receptors and M1 and M3 receptor activation results in mucus secretion.</w:t>
      </w:r>
      <w:r w:rsidR="00615C4C">
        <w:rPr>
          <w:rStyle w:val="FootnoteReference"/>
        </w:rPr>
        <w:footnoteReference w:id="1"/>
      </w:r>
      <w:r>
        <w:t xml:space="preserve"> Presynaptic M2 receptors operate to inhibit </w:t>
      </w:r>
      <w:r w:rsidR="00CE1B10">
        <w:t>acetylcholine (</w:t>
      </w:r>
      <w:r>
        <w:t>A</w:t>
      </w:r>
      <w:r w:rsidR="00E74309">
        <w:t>C</w:t>
      </w:r>
      <w:r>
        <w:t>h</w:t>
      </w:r>
      <w:r w:rsidR="00CE1B10">
        <w:t>)</w:t>
      </w:r>
      <w:r>
        <w:t xml:space="preserve"> release, so lesser antagonism of this negative feedback mechanism would appear to be </w:t>
      </w:r>
      <w:r w:rsidRPr="000F5E03">
        <w:t xml:space="preserve">desirable </w:t>
      </w:r>
      <w:r w:rsidR="00CE1B10" w:rsidRPr="000F5E03">
        <w:t>(</w:t>
      </w:r>
      <w:r w:rsidRPr="000F5E03">
        <w:t>although it may be irrelevant in the context of simultaneous postsynaptic receptor antagonism</w:t>
      </w:r>
      <w:r w:rsidR="00CE1B10" w:rsidRPr="000F5E03">
        <w:t>)</w:t>
      </w:r>
      <w:r w:rsidRPr="000F5E03">
        <w:t>. M4</w:t>
      </w:r>
      <w:r>
        <w:t xml:space="preserve"> and M5 receptor subtypes have not been identified in human lung.</w:t>
      </w:r>
      <w:r w:rsidR="00615C4C">
        <w:rPr>
          <w:rStyle w:val="FootnoteReference"/>
        </w:rPr>
        <w:footnoteReference w:id="2"/>
      </w:r>
    </w:p>
    <w:p w:rsidR="00443CE2" w:rsidRPr="00CA63DB" w:rsidRDefault="00443CE2" w:rsidP="00CA63DB">
      <w:pPr>
        <w:pStyle w:val="Heading4"/>
      </w:pPr>
      <w:r>
        <w:t>Primary pharmacology</w:t>
      </w:r>
    </w:p>
    <w:p w:rsidR="00443CE2" w:rsidRDefault="00443CE2" w:rsidP="00EE054E">
      <w:proofErr w:type="spellStart"/>
      <w:r>
        <w:t>Aclidinium</w:t>
      </w:r>
      <w:proofErr w:type="spellEnd"/>
      <w:r>
        <w:t xml:space="preserve"> bromide was shown to have high affinity for all five human muscarinic A</w:t>
      </w:r>
      <w:r w:rsidR="00E74309">
        <w:t>C</w:t>
      </w:r>
      <w:r>
        <w:t>h receptor subtypes (</w:t>
      </w:r>
      <w:r w:rsidR="00CE1B10">
        <w:t xml:space="preserve">binding affinity, </w:t>
      </w:r>
      <w:r>
        <w:t xml:space="preserve">Ki, 0.09–0.25 nM) where it acted as a competitive inhibitor. Aclidinium had comparable affinity </w:t>
      </w:r>
      <w:r w:rsidR="00CE1B10">
        <w:t>compared to</w:t>
      </w:r>
      <w:r>
        <w:t xml:space="preserve"> tiotropium at M1, M2 and M3 receptors, and was </w:t>
      </w:r>
      <w:r w:rsidR="00CE1B10">
        <w:t>approximately</w:t>
      </w:r>
      <w:r>
        <w:t>4</w:t>
      </w:r>
      <w:r w:rsidR="00CE1B10">
        <w:t xml:space="preserve"> to </w:t>
      </w:r>
      <w:r>
        <w:t>10</w:t>
      </w:r>
      <w:r w:rsidR="006F7F8B">
        <w:t xml:space="preserve"> times</w:t>
      </w:r>
      <w:r>
        <w:t xml:space="preserve"> more potent than ipratropium. The rate of dissociation from M3 receptors observed for aclidinium in vitro (29 h) was in between the short</w:t>
      </w:r>
      <w:r w:rsidR="00CE1B10">
        <w:t xml:space="preserve"> </w:t>
      </w:r>
      <w:r>
        <w:t>acting ipratropium (0.5 h) and the long</w:t>
      </w:r>
      <w:r w:rsidR="00CE1B10">
        <w:t xml:space="preserve"> </w:t>
      </w:r>
      <w:r>
        <w:t>acting tiotropium (62 h); the drug’s dissociation from M3 receptors was more than 6</w:t>
      </w:r>
      <w:r w:rsidR="00CE1B10">
        <w:t xml:space="preserve"> </w:t>
      </w:r>
      <w:r>
        <w:t>times slower than from M2 receptors and more than 4 times slower than from M1 receptors. Aclidinium bromide inhibited contractions induced by cholinergic agonists and electrical field stimulation in isolated preparations of guinea-pig trachea and human bronchus, acting with potency similar to that of tiotropium and ipratropium. In vivo, long</w:t>
      </w:r>
      <w:r w:rsidR="00CE1B10">
        <w:t xml:space="preserve"> </w:t>
      </w:r>
      <w:r>
        <w:t>lasting antagonism of A</w:t>
      </w:r>
      <w:r w:rsidR="00CE1B10">
        <w:t>c</w:t>
      </w:r>
      <w:r>
        <w:t>h</w:t>
      </w:r>
      <w:r w:rsidR="00CE1B10">
        <w:t xml:space="preserve"> </w:t>
      </w:r>
      <w:r>
        <w:t>induced bronchoconstriction by inhaled aclidinium bromide was demonstrated in guinea pigs and dogs and was shown to be equally effective cf. tiotropium and ipratropium. Consistent with the in vitro findings, the duration of action of aclidinium in the guinea pig (half</w:t>
      </w:r>
      <w:r w:rsidR="00CE1B10">
        <w:t>-</w:t>
      </w:r>
      <w:r>
        <w:t>life 29 h) was in between that of ipratropium (8 h) and tiotropium (64 h).</w:t>
      </w:r>
    </w:p>
    <w:p w:rsidR="00443CE2" w:rsidRDefault="00443CE2" w:rsidP="00EE054E">
      <w:r>
        <w:t xml:space="preserve">The active ingredient in </w:t>
      </w:r>
      <w:r w:rsidR="00260933">
        <w:t>Bretaris</w:t>
      </w:r>
      <w:r>
        <w:t xml:space="preserve"> </w:t>
      </w:r>
      <w:r w:rsidR="00260933">
        <w:t>Genuair</w:t>
      </w:r>
      <w:r>
        <w:t xml:space="preserve"> is presented as the R-enantiomer only. The S enantiomer of aclidinium was shown to have much lower muscarinic receptor affinity </w:t>
      </w:r>
      <w:r w:rsidR="00CE1B10">
        <w:t>compared to</w:t>
      </w:r>
      <w:r>
        <w:t xml:space="preserve"> the R enantiomer (</w:t>
      </w:r>
      <w:r w:rsidR="00CE1B10">
        <w:t>approximately</w:t>
      </w:r>
      <w:r>
        <w:t>300, 100 and 900</w:t>
      </w:r>
      <w:r w:rsidR="00CE1B10">
        <w:t xml:space="preserve"> </w:t>
      </w:r>
      <w:r>
        <w:t>times less potent at human M1, M2 and M3 receptor subtypes) and produce much weaker inhibition of A</w:t>
      </w:r>
      <w:r w:rsidR="00CE1B10">
        <w:t>c</w:t>
      </w:r>
      <w:r>
        <w:t>h</w:t>
      </w:r>
      <w:r w:rsidR="00CE1B10">
        <w:t xml:space="preserve"> </w:t>
      </w:r>
      <w:r>
        <w:t>induced bronchoconstriction in the guinea pig in vivo. The two major metabolites of aclidinium (alcohol and carboxylic acid metabolites formed by rapid hydrolysis) showed no significant affinity for human muscarinic receptors in binding studies in vitro or relevant anti bronchoconstrictor activity in guinea pigs in vivo.</w:t>
      </w:r>
    </w:p>
    <w:p w:rsidR="00443CE2" w:rsidRDefault="00443CE2" w:rsidP="00EE054E">
      <w:pPr>
        <w:pStyle w:val="Heading4"/>
      </w:pPr>
      <w:r>
        <w:t>Secondary pharmacodynamics and safety pharmacology</w:t>
      </w:r>
    </w:p>
    <w:p w:rsidR="00443CE2" w:rsidRDefault="00443CE2" w:rsidP="00EE054E">
      <w:r>
        <w:t xml:space="preserve">Aclidinium bromide and its two hydrolysis products were screened for secondary activity against a panel of enzymes, receptors, transporters and/or ion channels. The </w:t>
      </w:r>
      <w:r w:rsidR="00D94409">
        <w:sym w:font="Symbol" w:char="F061"/>
      </w:r>
      <w:r>
        <w:t xml:space="preserve">1B-adrenoceptor was identified as the highest affinity secondary target, with aclidinium bromide inhibiting radioligand binding by 67% at 1 </w:t>
      </w:r>
      <w:r w:rsidR="00A5120F">
        <w:t>µ</w:t>
      </w:r>
      <w:r>
        <w:t>M. Given that this concentration is more than 7000</w:t>
      </w:r>
      <w:r w:rsidR="00D94409">
        <w:t xml:space="preserve"> </w:t>
      </w:r>
      <w:r>
        <w:t xml:space="preserve">times higher than the </w:t>
      </w:r>
      <w:r w:rsidR="00D94409">
        <w:t xml:space="preserve">peak </w:t>
      </w:r>
      <w:r>
        <w:t>plasma</w:t>
      </w:r>
      <w:r w:rsidR="00D94409">
        <w:t xml:space="preserve"> concentration (</w:t>
      </w:r>
      <w:r>
        <w:t>C</w:t>
      </w:r>
      <w:r w:rsidRPr="00D94409">
        <w:rPr>
          <w:vertAlign w:val="subscript"/>
        </w:rPr>
        <w:t>max</w:t>
      </w:r>
      <w:r w:rsidR="00D94409">
        <w:t xml:space="preserve">) </w:t>
      </w:r>
      <w:r>
        <w:t>in patients at the maximum recommended human dose, the finding is not considered to be of clinical relevance.</w:t>
      </w:r>
    </w:p>
    <w:p w:rsidR="00443CE2" w:rsidRDefault="00443CE2" w:rsidP="00EE054E">
      <w:r>
        <w:t>Specialised safety pharmacology studies covered the core battery of systems (</w:t>
      </w:r>
      <w:r w:rsidR="00D94409">
        <w:t>central nervous system (</w:t>
      </w:r>
      <w:r>
        <w:t>CNS</w:t>
      </w:r>
      <w:r w:rsidR="00D94409">
        <w:t>)</w:t>
      </w:r>
      <w:r>
        <w:t xml:space="preserve">, cardiovascular and respiratory) as well as the renal and gastrointestinal systems. CNS function was unaffected in mice following oral administration at </w:t>
      </w:r>
      <w:r w:rsidR="00D94409">
        <w:t>≤</w:t>
      </w:r>
      <w:r>
        <w:t xml:space="preserve">300 mg/kg. However, signs of central anticholinergic toxicity were observed at higher doses in mice in an acute toxicity study (dyspnoea, abnormal quietness and abnormal gait at </w:t>
      </w:r>
      <w:r w:rsidR="00D94409">
        <w:t>≥</w:t>
      </w:r>
      <w:r>
        <w:t xml:space="preserve">500 mg/kg </w:t>
      </w:r>
      <w:r w:rsidR="00D94409">
        <w:t>orally (</w:t>
      </w:r>
      <w:r>
        <w:t>PO</w:t>
      </w:r>
      <w:r w:rsidR="00D94409">
        <w:t>)</w:t>
      </w:r>
      <w:r>
        <w:t>; clonic convulsions at 1000 mg/kg PO).</w:t>
      </w:r>
    </w:p>
    <w:p w:rsidR="00443CE2" w:rsidRDefault="00443CE2" w:rsidP="00EE054E">
      <w:r>
        <w:t xml:space="preserve">Aclidinium bromide, as well as its alcohol (LAS34823) and carboxylic acid (LAS34850) metabolites, were shown to be able to inhibit hERG </w:t>
      </w:r>
      <w:r w:rsidR="00D94409">
        <w:t>potassium (</w:t>
      </w:r>
      <w:r>
        <w:t>K+</w:t>
      </w:r>
      <w:r w:rsidR="00D94409">
        <w:t>)</w:t>
      </w:r>
      <w:r>
        <w:t xml:space="preserve"> channel current in transfected mammalian cells, but only very weakly. The </w:t>
      </w:r>
      <w:r w:rsidR="00D94409">
        <w:t>50% inhibitory concentration (</w:t>
      </w:r>
      <w:r>
        <w:t>IC</w:t>
      </w:r>
      <w:r w:rsidRPr="00D94409">
        <w:rPr>
          <w:vertAlign w:val="subscript"/>
        </w:rPr>
        <w:t>50</w:t>
      </w:r>
      <w:r w:rsidR="00D94409">
        <w:t>)</w:t>
      </w:r>
      <w:r>
        <w:t xml:space="preserve"> values for inhibition by aclidinium bromide and its alcohol metabolite (19.7 and </w:t>
      </w:r>
      <w:r w:rsidR="00CE1B10">
        <w:t>approximately</w:t>
      </w:r>
      <w:r>
        <w:t xml:space="preserve">30 μM, respectively) are </w:t>
      </w:r>
      <w:r w:rsidR="00CE1B10">
        <w:t>approximately</w:t>
      </w:r>
      <w:r>
        <w:t>145000</w:t>
      </w:r>
      <w:r w:rsidR="00D94409">
        <w:t xml:space="preserve"> </w:t>
      </w:r>
      <w:r>
        <w:t>times higher than the plasma C</w:t>
      </w:r>
      <w:r w:rsidRPr="00D94409">
        <w:rPr>
          <w:vertAlign w:val="subscript"/>
        </w:rPr>
        <w:t>max</w:t>
      </w:r>
      <w:r>
        <w:t xml:space="preserve"> in patients at the maximum recommended human dose, while the IC</w:t>
      </w:r>
      <w:r w:rsidRPr="00D94409">
        <w:rPr>
          <w:vertAlign w:val="subscript"/>
        </w:rPr>
        <w:t>50</w:t>
      </w:r>
      <w:r>
        <w:t xml:space="preserve"> for the carboxylic acid metabolite (significantly exceeding 30 </w:t>
      </w:r>
      <w:r w:rsidR="00A5120F">
        <w:t>µ</w:t>
      </w:r>
      <w:r>
        <w:t>M) is more than 3700 times its clinical C</w:t>
      </w:r>
      <w:r w:rsidRPr="00D94409">
        <w:rPr>
          <w:vertAlign w:val="subscript"/>
        </w:rPr>
        <w:t>max</w:t>
      </w:r>
      <w:r>
        <w:t xml:space="preserve">. In isolated pig Purkinje fibres, action potential parameters were unaffected by aclidinium bromide and its alcohol metabolite at concentrations up to 1 </w:t>
      </w:r>
      <w:r w:rsidR="00A5120F">
        <w:t>µ</w:t>
      </w:r>
      <w:r>
        <w:t>M (&gt;7300 and &gt;4800</w:t>
      </w:r>
      <w:r w:rsidR="00D94409">
        <w:t xml:space="preserve"> </w:t>
      </w:r>
      <w:r>
        <w:t>times the clinical C</w:t>
      </w:r>
      <w:r w:rsidRPr="00D94409">
        <w:rPr>
          <w:vertAlign w:val="subscript"/>
        </w:rPr>
        <w:t>max</w:t>
      </w:r>
      <w:r>
        <w:t>) and by the carboxylic acid metabolite at concentrations up to 3 μM (&gt;370</w:t>
      </w:r>
      <w:r w:rsidR="00D94409">
        <w:t xml:space="preserve"> </w:t>
      </w:r>
      <w:r>
        <w:t>times the clinical C</w:t>
      </w:r>
      <w:r w:rsidRPr="00D94409">
        <w:rPr>
          <w:vertAlign w:val="subscript"/>
        </w:rPr>
        <w:t>max</w:t>
      </w:r>
      <w:r>
        <w:t xml:space="preserve">). Higher concentrations were seen to reduce the maximum rate of depolarisation, decrease action potential amplitude and/or alter action </w:t>
      </w:r>
      <w:proofErr w:type="gramStart"/>
      <w:r>
        <w:t>potential</w:t>
      </w:r>
      <w:proofErr w:type="gramEnd"/>
      <w:r>
        <w:t xml:space="preserve"> duration.</w:t>
      </w:r>
    </w:p>
    <w:p w:rsidR="00443CE2" w:rsidRDefault="00443CE2" w:rsidP="00EE054E">
      <w:r>
        <w:t>Tachycardia was observed after IV administration of 1 mg/kg aclidinium bromide in anaesthetised guinea pigs (plasma levels of aclidinium at 15 min post-dose were &gt;500</w:t>
      </w:r>
      <w:r w:rsidR="00D94409">
        <w:t xml:space="preserve"> </w:t>
      </w:r>
      <w:r>
        <w:t>times the clinical C</w:t>
      </w:r>
      <w:r w:rsidRPr="00D94409">
        <w:rPr>
          <w:vertAlign w:val="subscript"/>
        </w:rPr>
        <w:t>max</w:t>
      </w:r>
      <w:r>
        <w:t xml:space="preserve">). Tachycardia was not observed in anaesthetised dogs following IV administration at </w:t>
      </w:r>
      <w:r w:rsidR="00D94409">
        <w:t>≤</w:t>
      </w:r>
      <w:r>
        <w:t xml:space="preserve">1 mg/kg, nor in anaesthetised pigs at up to the same dose but a </w:t>
      </w:r>
      <w:r w:rsidR="00CE1B10">
        <w:t>approximately</w:t>
      </w:r>
      <w:r>
        <w:t>2 fold increase in heart rate was seen in conscious dogs at 100 μg/kg IV (</w:t>
      </w:r>
      <w:r w:rsidR="00E74309">
        <w:t>animal: human</w:t>
      </w:r>
      <w:r>
        <w:t xml:space="preserve"> C</w:t>
      </w:r>
      <w:r w:rsidRPr="00D94409">
        <w:rPr>
          <w:vertAlign w:val="subscript"/>
        </w:rPr>
        <w:t>max</w:t>
      </w:r>
      <w:r>
        <w:t>, &gt;40). The tachycardia lasted for up to 3 h (</w:t>
      </w:r>
      <w:r w:rsidR="00D94409">
        <w:t>compared to</w:t>
      </w:r>
      <w:r>
        <w:t xml:space="preserve"> more than 6 h with tiotropium </w:t>
      </w:r>
      <w:proofErr w:type="gramStart"/>
      <w:r>
        <w:t xml:space="preserve">at 10 </w:t>
      </w:r>
      <w:r w:rsidR="00A5120F">
        <w:t>µ</w:t>
      </w:r>
      <w:r>
        <w:t>g/kg IV</w:t>
      </w:r>
      <w:proofErr w:type="gramEnd"/>
      <w:r>
        <w:t xml:space="preserve">); there was no increase in heart rate at doses of aclidinium bromide </w:t>
      </w:r>
      <w:r w:rsidR="00D94409">
        <w:t>≤</w:t>
      </w:r>
      <w:r>
        <w:t xml:space="preserve">10 </w:t>
      </w:r>
      <w:r w:rsidR="00A5120F">
        <w:t>µ</w:t>
      </w:r>
      <w:r>
        <w:t xml:space="preserve">g/kg. With inhalational administration, aclidinium bromide increased heart rate in dogs at 500 </w:t>
      </w:r>
      <w:r w:rsidR="00A5120F">
        <w:t>µ</w:t>
      </w:r>
      <w:r>
        <w:t>g/kg (19</w:t>
      </w:r>
      <w:r w:rsidR="00D94409">
        <w:t xml:space="preserve"> </w:t>
      </w:r>
      <w:r>
        <w:t xml:space="preserve">times the human daily dose on a body surface area basis), with the effect smaller and shorter lasting </w:t>
      </w:r>
      <w:r w:rsidR="00D94409">
        <w:t>compared to</w:t>
      </w:r>
      <w:r>
        <w:t xml:space="preserve"> 25 </w:t>
      </w:r>
      <w:r w:rsidR="00A5120F">
        <w:t>µ</w:t>
      </w:r>
      <w:r>
        <w:t xml:space="preserve">g/kg tiotropium. A slight increase in the resistance of the vertebral vascular bed was observed in dogs 2 h after IV administration </w:t>
      </w:r>
      <w:proofErr w:type="gramStart"/>
      <w:r w:rsidR="00693A26">
        <w:t xml:space="preserve">of </w:t>
      </w:r>
      <w:r>
        <w:t>300 μg/kg</w:t>
      </w:r>
      <w:proofErr w:type="gramEnd"/>
      <w:r>
        <w:t>. Blood pressure and heart rate were unaffected in rats after inhalational administration of aclidinium bromide at 2 mg/kg (</w:t>
      </w:r>
      <w:r w:rsidR="00CE1B10">
        <w:t>approximately</w:t>
      </w:r>
      <w:r>
        <w:t>23</w:t>
      </w:r>
      <w:r w:rsidR="00D94409">
        <w:t xml:space="preserve"> </w:t>
      </w:r>
      <w:r>
        <w:t>times the human daily dose on a body surface area basis). Aclidinium bromide did not affect the QTc</w:t>
      </w:r>
      <w:r w:rsidR="00F8127F">
        <w:rPr>
          <w:rStyle w:val="FootnoteReference"/>
        </w:rPr>
        <w:footnoteReference w:id="3"/>
      </w:r>
      <w:r>
        <w:t xml:space="preserve"> interval in rats (</w:t>
      </w:r>
      <w:r w:rsidR="00D94409">
        <w:t>≤</w:t>
      </w:r>
      <w:r>
        <w:t>3 mg/kg IV; 2.5 mg/kg</w:t>
      </w:r>
      <w:r w:rsidR="00943F2D">
        <w:t xml:space="preserve"> </w:t>
      </w:r>
      <w:r w:rsidR="00D94409">
        <w:t>twice a day (</w:t>
      </w:r>
      <w:r w:rsidR="00943F2D">
        <w:t>BD</w:t>
      </w:r>
      <w:r w:rsidR="00D94409">
        <w:t>) subcutaneously (</w:t>
      </w:r>
      <w:r>
        <w:t>SC</w:t>
      </w:r>
      <w:r w:rsidR="00D94409">
        <w:t>)</w:t>
      </w:r>
      <w:r>
        <w:t>), guinea pigs (</w:t>
      </w:r>
      <w:r w:rsidR="00D94409">
        <w:t>≤</w:t>
      </w:r>
      <w:r>
        <w:t>1 mg/kg IV) or dogs (</w:t>
      </w:r>
      <w:r w:rsidR="00D94409">
        <w:t>≤</w:t>
      </w:r>
      <w:r>
        <w:t>100 μg/kg IV).</w:t>
      </w:r>
    </w:p>
    <w:p w:rsidR="00443CE2" w:rsidRDefault="00443CE2" w:rsidP="00EE054E">
      <w:r>
        <w:t>Aclidinium bromide did not affect specific pulmonary resistance, tidal volume or respiratory rate in guinea pigs following aerosol exposure (1 mg/mL). The mucociliary transport rate of the trachea was not affected by the drug in vitro (</w:t>
      </w:r>
      <w:r w:rsidR="00D94409">
        <w:t>≤</w:t>
      </w:r>
      <w:r>
        <w:t xml:space="preserve">1000 </w:t>
      </w:r>
      <w:r w:rsidR="00A5120F">
        <w:t>µ</w:t>
      </w:r>
      <w:r>
        <w:t>M; pig) or in vivo (1 mg/kg IV; guinea pig).</w:t>
      </w:r>
    </w:p>
    <w:p w:rsidR="004334C7" w:rsidRPr="004334C7" w:rsidRDefault="00443CE2" w:rsidP="00EE054E">
      <w:r>
        <w:t xml:space="preserve">Urine volume and electrolyte excretion were unaffected by aclidinium bromide in rats up to 1 mg/kg SC. Intratracheal administration of the drug did not alter urinary volume or micturition pressure in guinea pigs at up to 100 </w:t>
      </w:r>
      <w:r w:rsidR="00A5120F">
        <w:t>µ</w:t>
      </w:r>
      <w:r>
        <w:t>g/kg (yielding 130</w:t>
      </w:r>
      <w:r w:rsidR="00D94409">
        <w:t xml:space="preserve"> </w:t>
      </w:r>
      <w:r>
        <w:t>times the clinical C</w:t>
      </w:r>
      <w:r w:rsidRPr="00D94409">
        <w:rPr>
          <w:vertAlign w:val="subscript"/>
        </w:rPr>
        <w:t>max</w:t>
      </w:r>
      <w:r>
        <w:t xml:space="preserve"> for aclidinium). Renal vascular resistance, glomerular filtration rate and urinary sodium and potassium excretion were unaffected in dogs dosed at 1 mg/kg IV. Increased urine volume, with decreased osmolality, was seen in various repeat-dose toxicity studies; this possibly reflects increased water intake to compensate for dry mouth caused by the drug’s anticholinergic activity. Aclidinium bromide was shown to induce dry mouth in mice (inhalation; </w:t>
      </w:r>
      <w:r w:rsidR="00D94409">
        <w:t>50% effective dose (</w:t>
      </w:r>
      <w:r>
        <w:t>EC</w:t>
      </w:r>
      <w:r w:rsidRPr="00D94409">
        <w:rPr>
          <w:vertAlign w:val="subscript"/>
        </w:rPr>
        <w:t>50</w:t>
      </w:r>
      <w:r w:rsidR="00D94409">
        <w:t>)</w:t>
      </w:r>
      <w:r>
        <w:t xml:space="preserve"> 711 μg/mL by nebuliser) and rats (SC; ED</w:t>
      </w:r>
      <w:r w:rsidRPr="00D94409">
        <w:rPr>
          <w:vertAlign w:val="subscript"/>
        </w:rPr>
        <w:t>50</w:t>
      </w:r>
      <w:r>
        <w:t xml:space="preserve">, </w:t>
      </w:r>
      <w:proofErr w:type="gramStart"/>
      <w:r>
        <w:t>38 μg/kg</w:t>
      </w:r>
      <w:proofErr w:type="gramEnd"/>
      <w:r>
        <w:t>) [less potent than ipratropium or tiotropium]. Faecal output over 24 h was decreased in rats after SC administration (ED</w:t>
      </w:r>
      <w:r w:rsidRPr="00D94409">
        <w:rPr>
          <w:vertAlign w:val="subscript"/>
        </w:rPr>
        <w:t>50</w:t>
      </w:r>
      <w:r>
        <w:t xml:space="preserve"> </w:t>
      </w:r>
      <w:r w:rsidR="00CE1B10">
        <w:t>approximately</w:t>
      </w:r>
      <w:r>
        <w:t>0.5 mg/kg) and a decrease in colonic motility (without reaching statistical significance) was observed in guinea pigs at 1 mg/kg SC.</w:t>
      </w:r>
    </w:p>
    <w:p w:rsidR="008E7846" w:rsidRDefault="008E7846" w:rsidP="00EE054E">
      <w:pPr>
        <w:pStyle w:val="Heading3"/>
      </w:pPr>
      <w:bookmarkStart w:id="43" w:name="_Toc247691513"/>
      <w:bookmarkStart w:id="44" w:name="_Toc314842497"/>
      <w:bookmarkStart w:id="45" w:name="_Toc400115412"/>
      <w:r>
        <w:t>Pharmacokinetics</w:t>
      </w:r>
      <w:bookmarkEnd w:id="43"/>
      <w:bookmarkEnd w:id="44"/>
      <w:bookmarkEnd w:id="45"/>
    </w:p>
    <w:p w:rsidR="00443CE2" w:rsidRDefault="00443CE2" w:rsidP="00EE054E">
      <w:bookmarkStart w:id="46" w:name="_Toc247691514"/>
      <w:bookmarkStart w:id="47" w:name="_Toc314842498"/>
      <w:r>
        <w:t>Absorption of aclidinium bromide after inhalation was shown to be rapid in mice, rats and dogs, with peak plasma concentrations typically observed at the first sampling time point (5</w:t>
      </w:r>
      <w:r w:rsidR="00D94409">
        <w:t xml:space="preserve"> to </w:t>
      </w:r>
      <w:r>
        <w:t>10 min post-dose). Similarly in COPD patients, the plasma C</w:t>
      </w:r>
      <w:r w:rsidRPr="00D94409">
        <w:rPr>
          <w:vertAlign w:val="subscript"/>
        </w:rPr>
        <w:t>max</w:t>
      </w:r>
      <w:r>
        <w:t xml:space="preserve"> was achieved within 15 min following inhalation. Plasma </w:t>
      </w:r>
      <w:r w:rsidR="00D94409">
        <w:t>exposure (area under the concentration time curve (</w:t>
      </w:r>
      <w:r>
        <w:t>AUC</w:t>
      </w:r>
      <w:r w:rsidR="00D94409">
        <w:t>))</w:t>
      </w:r>
      <w:r>
        <w:t xml:space="preserve"> was less than dose-proportional in mice, while dose-proportionality was highly variable in rats and dogs. Plasma AUC was only increased with repeated administration at the lowest inhalational doses in rats. No consistent sex differences were observed. Bioavailability by the inhalational route in rats was estimated to be 47%; it should be noted that the accuracy of this estimate is impacted by considerable inter-study variability.</w:t>
      </w:r>
    </w:p>
    <w:p w:rsidR="00443CE2" w:rsidRDefault="00443CE2" w:rsidP="00EE054E">
      <w:r>
        <w:t>Oral bioavailability was seen to be low in the laboratory animal species, with extensive metabolism evident. In humans, absolute bioavailability following inhalation of a single 200 μg dose was reported to be less than 5% (Clinical Study M/43273/05).</w:t>
      </w:r>
    </w:p>
    <w:p w:rsidR="00443CE2" w:rsidRDefault="00443CE2" w:rsidP="00EE054E">
      <w:r>
        <w:t>Aclidinium bromide is subject to rapid hydrolysis, giving rise to the major metabolites LAS34823 (alcohol derivative) and LAS34850 (carboxylic acid derivative). Following inhalational administration, plasma C</w:t>
      </w:r>
      <w:r w:rsidRPr="00D94409">
        <w:rPr>
          <w:vertAlign w:val="subscript"/>
        </w:rPr>
        <w:t>max</w:t>
      </w:r>
      <w:r>
        <w:t xml:space="preserve"> and AUC values for the alcohol metabolite were generally less than those for aclidinium in mice and rats and modestly higher (typically </w:t>
      </w:r>
      <w:r w:rsidR="00CE1B10">
        <w:t>approximately</w:t>
      </w:r>
      <w:r>
        <w:t>2</w:t>
      </w:r>
      <w:r w:rsidR="00D94409">
        <w:t xml:space="preserve"> </w:t>
      </w:r>
      <w:r>
        <w:t>fold) than the parent in dogs. Plasma levels of the carboxylic acid metabolite, in contrast, were very much greater than the parent in the laboratory animal species (roughly 45, 5 and 30</w:t>
      </w:r>
      <w:r w:rsidR="00D94409">
        <w:t xml:space="preserve"> </w:t>
      </w:r>
      <w:r>
        <w:t>fold higher with respect to C</w:t>
      </w:r>
      <w:r w:rsidRPr="00D94409">
        <w:rPr>
          <w:vertAlign w:val="subscript"/>
        </w:rPr>
        <w:t>max</w:t>
      </w:r>
      <w:r>
        <w:t>, and 75, 13 and 145</w:t>
      </w:r>
      <w:r w:rsidR="00D94409">
        <w:t xml:space="preserve"> </w:t>
      </w:r>
      <w:r>
        <w:t xml:space="preserve">fold higher with respect to AUC, in mice, rats and dogs, respectively, at the various doses employed in the toxicity studies). A similar pattern was observed in humans: peak plasma concentrations of the alcohol metabolite were slightly less than that of the parent drug whereas peak levels of the carboxylic acid metabolite were </w:t>
      </w:r>
      <w:r w:rsidR="00CE1B10">
        <w:t>approximately</w:t>
      </w:r>
      <w:r>
        <w:t>25</w:t>
      </w:r>
      <w:r w:rsidR="009F217E">
        <w:t xml:space="preserve"> </w:t>
      </w:r>
      <w:r>
        <w:t xml:space="preserve">times higher </w:t>
      </w:r>
      <w:r w:rsidR="009F217E">
        <w:t>than</w:t>
      </w:r>
      <w:r>
        <w:t xml:space="preserve"> the parent, and plasma AUC was </w:t>
      </w:r>
      <w:r w:rsidR="00CE1B10">
        <w:t>approximately</w:t>
      </w:r>
      <w:r>
        <w:t>3</w:t>
      </w:r>
      <w:r w:rsidR="009F217E">
        <w:t xml:space="preserve"> </w:t>
      </w:r>
      <w:r>
        <w:t xml:space="preserve">times higher </w:t>
      </w:r>
      <w:r w:rsidR="009F217E">
        <w:t>compared to the</w:t>
      </w:r>
      <w:r>
        <w:t xml:space="preserve"> parent </w:t>
      </w:r>
      <w:r w:rsidR="009F217E">
        <w:t xml:space="preserve">compound </w:t>
      </w:r>
      <w:r>
        <w:t xml:space="preserve">for the alcohol metabolite and </w:t>
      </w:r>
      <w:r w:rsidR="00CE1B10">
        <w:t>approximately</w:t>
      </w:r>
      <w:r>
        <w:t xml:space="preserve">100 times higher </w:t>
      </w:r>
      <w:r w:rsidR="009F217E">
        <w:t>compared the</w:t>
      </w:r>
      <w:r>
        <w:t xml:space="preserve"> parent </w:t>
      </w:r>
      <w:r w:rsidR="009F217E">
        <w:t xml:space="preserve">compound </w:t>
      </w:r>
      <w:r>
        <w:t>for the carboxylic acid metabolite, in patients receiving 400 μg/day (at steady state).</w:t>
      </w:r>
    </w:p>
    <w:p w:rsidR="00443CE2" w:rsidRDefault="00443CE2" w:rsidP="00EE054E">
      <w:r>
        <w:t xml:space="preserve">Hydrolysis of aclidinium occurs via both chemical and enzymatic means. </w:t>
      </w:r>
      <w:proofErr w:type="gramStart"/>
      <w:r>
        <w:t>In vitro experiments with rat and/or human hepatic, pulmonary, renal and intestinal subcellular fractions revealed chiefly non enzymatic hydrolysis.</w:t>
      </w:r>
      <w:proofErr w:type="gramEnd"/>
      <w:r>
        <w:t xml:space="preserve"> No relevant differences in the rate of disappearance of aclidinium were seen following incubation with human pulmonary fractions from smokers </w:t>
      </w:r>
      <w:r w:rsidR="009F217E">
        <w:t>compared to</w:t>
      </w:r>
      <w:r>
        <w:t xml:space="preserve"> non-smokers. Hydrolysis mainly occurred in plasma, and butyrylcholinesterase </w:t>
      </w:r>
      <w:r w:rsidR="00693A26">
        <w:t>(</w:t>
      </w:r>
      <w:r w:rsidR="00693A26">
        <w:rPr>
          <w:rFonts w:eastAsia="Calibri" w:cs="TimesNewRomanPSMT"/>
          <w:color w:val="000000"/>
        </w:rPr>
        <w:t>BChE</w:t>
      </w:r>
      <w:r w:rsidR="00693A26">
        <w:t xml:space="preserve">) </w:t>
      </w:r>
      <w:r>
        <w:t>was identified as the main esterase catalysing the hydrolysis of aclidinium in human plasma. The in vitro half-life of aclidinium bromide in human plasma (2.4 min) was 40</w:t>
      </w:r>
      <w:r w:rsidR="009F217E">
        <w:t xml:space="preserve"> to </w:t>
      </w:r>
      <w:r>
        <w:t>825</w:t>
      </w:r>
      <w:r w:rsidR="006F7F8B">
        <w:t xml:space="preserve"> times</w:t>
      </w:r>
      <w:r>
        <w:t xml:space="preserve"> shorter cf. </w:t>
      </w:r>
      <w:proofErr w:type="spellStart"/>
      <w:r>
        <w:t>tiotropium</w:t>
      </w:r>
      <w:proofErr w:type="spellEnd"/>
      <w:r>
        <w:t xml:space="preserve">, </w:t>
      </w:r>
      <w:r w:rsidR="00EE054E">
        <w:t xml:space="preserve">ipratropium and </w:t>
      </w:r>
      <w:proofErr w:type="spellStart"/>
      <w:r w:rsidR="00EE054E">
        <w:t>glycopyrronium</w:t>
      </w:r>
      <w:proofErr w:type="spellEnd"/>
      <w:r w:rsidR="00EE054E">
        <w:t>.</w:t>
      </w:r>
    </w:p>
    <w:p w:rsidR="00443CE2" w:rsidRDefault="00443CE2" w:rsidP="00EE054E">
      <w:r>
        <w:t>Additional minor pathways of metabolism, observed in experiments with animal and human liver microsomes, involved hydroxylation of the phenyl ring of the parent and of the alcohol metabolite (found to be mediated by CYP2D6), loss of the thiophene ring (chiefly mediated by CYP3A4) with subsequent ester hydrolysis (involving CYP3A4 and 2D6) and reduction of the ketone group, thiophene ring oxidation and reduction of the carboxylic acid metabolite. In vivo metabolism was investigated in mice, rats, rabbits, dogs and humans. Together with the in vitro data, the studies reveal a qualitatively similar pattern of metabolism across species, with no unique human metabolites. All human metabolites were demonstrated to be formed in each of the laboratory animal species (mouse, rat, rabbit and dog) either in vitro or in vivo with only one exception</w:t>
      </w:r>
      <w:r w:rsidR="009F217E">
        <w:t xml:space="preserve">, </w:t>
      </w:r>
      <w:r>
        <w:t>formation of hydroxyl-2-thienylacetic acid (metabolite m1; LAS101563)</w:t>
      </w:r>
      <w:r w:rsidR="00E74309">
        <w:t>;</w:t>
      </w:r>
      <w:r>
        <w:t xml:space="preserve"> a very minor human metabolite </w:t>
      </w:r>
      <w:r w:rsidR="00E74309">
        <w:t xml:space="preserve">which </w:t>
      </w:r>
      <w:r>
        <w:t>was not observed in dogs. Some covalent binding was observed following incubation of aclidinium bromide and to a lesser extent the carboxylic acid metabolite with human liver microsomes. This was seen to involve formation of reactive metabolites by CYP3A4 and 2D6 and was largely prevented by the addition of glutathione. Covalent binding was also seen in vitro with mouse, rat, dog and human hepatocytes and was qualitatively similar across species. T</w:t>
      </w:r>
      <w:r w:rsidR="00E74309">
        <w:t>ogether, t</w:t>
      </w:r>
      <w:r>
        <w:t xml:space="preserve">he low level of binding observed, the significant excess of glutathione and glutathione transferases in the liver </w:t>
      </w:r>
      <w:r w:rsidR="009F217E">
        <w:t>compared to</w:t>
      </w:r>
      <w:r>
        <w:t xml:space="preserve"> drug and metabolite concentrations to allow for detoxification and the absence of liver damage in animals at high relative exposure levels (see </w:t>
      </w:r>
      <w:r w:rsidRPr="009F217E">
        <w:rPr>
          <w:i/>
        </w:rPr>
        <w:t>Repeat-dose toxicity</w:t>
      </w:r>
      <w:r>
        <w:t>) supports a lack of clinical significance for the finding.</w:t>
      </w:r>
    </w:p>
    <w:p w:rsidR="00443CE2" w:rsidRDefault="00443CE2" w:rsidP="00EE054E">
      <w:r>
        <w:t xml:space="preserve">In contrast to plasma, levels of unchanged aclidinium bromide present in the lung and bronchial lavage fluid far exceeded those of either hydrolysis product following </w:t>
      </w:r>
      <w:proofErr w:type="gramStart"/>
      <w:r>
        <w:t>inhalational</w:t>
      </w:r>
      <w:proofErr w:type="gramEnd"/>
      <w:r>
        <w:t xml:space="preserve"> administration in rats. Similar concentrations of aclidinium bromide and the alcohol and carboxylic acid metabolites were seen in rat lungs after one and six months of treatment.</w:t>
      </w:r>
    </w:p>
    <w:p w:rsidR="00443CE2" w:rsidRDefault="00443CE2" w:rsidP="00EE054E">
      <w:r>
        <w:t xml:space="preserve">Tissue distribution studies using </w:t>
      </w:r>
      <w:r w:rsidR="009F217E">
        <w:t>radiolabelled (</w:t>
      </w:r>
      <w:r w:rsidRPr="009F217E">
        <w:rPr>
          <w:vertAlign w:val="superscript"/>
        </w:rPr>
        <w:t>14</w:t>
      </w:r>
      <w:r>
        <w:t>C</w:t>
      </w:r>
      <w:r w:rsidR="009F217E">
        <w:t>)</w:t>
      </w:r>
      <w:r>
        <w:t xml:space="preserve"> aclidinium bromide (labelled at different sites in separate experiments to account for hydrolysis of the parent) in rats revealed rapid and widespread distribution following IV administration, more limited distribution after intratracheal administration and low absorption following oral </w:t>
      </w:r>
      <w:proofErr w:type="gramStart"/>
      <w:r>
        <w:t>administration</w:t>
      </w:r>
      <w:proofErr w:type="gramEnd"/>
      <w:r>
        <w:t xml:space="preserve">. Highest </w:t>
      </w:r>
      <w:r w:rsidR="00E74309">
        <w:t>tissue: plasma</w:t>
      </w:r>
      <w:r>
        <w:t xml:space="preserve"> C</w:t>
      </w:r>
      <w:r w:rsidRPr="009F217E">
        <w:rPr>
          <w:vertAlign w:val="subscript"/>
        </w:rPr>
        <w:t>max</w:t>
      </w:r>
      <w:r>
        <w:t xml:space="preserve"> ratios after IV dosing were found in tissues associated with excretion (bladder and contents, kidney, small intestine and contents), and the pancreas and the thyroid; penetration of the blood-brain barrier was low (brain C</w:t>
      </w:r>
      <w:r w:rsidRPr="009F217E">
        <w:rPr>
          <w:vertAlign w:val="subscript"/>
        </w:rPr>
        <w:t>max</w:t>
      </w:r>
      <w:r>
        <w:t xml:space="preserve">, </w:t>
      </w:r>
      <w:r w:rsidR="00CE1B10">
        <w:t>approximately</w:t>
      </w:r>
      <w:r>
        <w:t>5</w:t>
      </w:r>
      <w:r w:rsidR="009F217E">
        <w:t xml:space="preserve"> to </w:t>
      </w:r>
      <w:r>
        <w:t>8</w:t>
      </w:r>
      <w:r w:rsidR="006F7F8B">
        <w:t xml:space="preserve"> times</w:t>
      </w:r>
      <w:r>
        <w:t xml:space="preserve"> lower than the plasma C</w:t>
      </w:r>
      <w:r w:rsidRPr="009F217E">
        <w:rPr>
          <w:vertAlign w:val="subscript"/>
        </w:rPr>
        <w:t>max</w:t>
      </w:r>
      <w:r>
        <w:t>). No particular or irreversible binding to melanin was evident. Plasma protein binding by aclidinium bromide itself could not be properly investigated due to hydrolysis. Plasma protein binding attributable to the alcohol metabolite was low (12</w:t>
      </w:r>
      <w:r w:rsidR="009F217E">
        <w:t xml:space="preserve"> to </w:t>
      </w:r>
      <w:r>
        <w:t xml:space="preserve">26% in mouse, rat, rabbit and dog plasma; 15% in human plasma) and moderate for the carboxylic acid metabolite (66–87% in mouse, rat, rabbit and dog plasma; 87% in human plasma). The extent of binding was independent of concentration. Binding to human serum albumin and human </w:t>
      </w:r>
      <w:r w:rsidR="009F217E">
        <w:sym w:font="Symbol" w:char="F061"/>
      </w:r>
      <w:r>
        <w:t xml:space="preserve"> 1 acid glycoprotein was shown.</w:t>
      </w:r>
    </w:p>
    <w:p w:rsidR="00443CE2" w:rsidRDefault="00443CE2" w:rsidP="00EE054E">
      <w:r>
        <w:t xml:space="preserve">Excretion of </w:t>
      </w:r>
      <w:r w:rsidRPr="009F217E">
        <w:rPr>
          <w:vertAlign w:val="superscript"/>
        </w:rPr>
        <w:t>14</w:t>
      </w:r>
      <w:r>
        <w:t>C aclidinium bromide</w:t>
      </w:r>
      <w:r w:rsidR="009F217E">
        <w:t xml:space="preserve"> </w:t>
      </w:r>
      <w:r>
        <w:t xml:space="preserve">derived radioactivity following IV administration was principally via the urine in dogs and humans, while excretion was more evenly divided </w:t>
      </w:r>
      <w:proofErr w:type="gramStart"/>
      <w:r>
        <w:t>between</w:t>
      </w:r>
      <w:proofErr w:type="gramEnd"/>
      <w:r>
        <w:t xml:space="preserve"> urine and faeces in mice, rats and rabbits. Excretion after intratracheal administration was investigated in dogs, with the faecal route dominating when the site of radiolabelling was retained by the alcohol metabolite and the urinary route dominating when the radiolabel was retained by the carboxylic acid metabolite. Excretion was principally in the form of metabolites in all species.</w:t>
      </w:r>
    </w:p>
    <w:p w:rsidR="00443CE2" w:rsidRDefault="00443CE2" w:rsidP="00EE054E">
      <w:r>
        <w:t>The laboratory animal species display pharmacokinetic profiles for aclidinium bromide sufficiently similar to that in humans to allow them to serve as appropriate models for assessment of the drug’s toxicity in humans.</w:t>
      </w:r>
    </w:p>
    <w:p w:rsidR="00443CE2" w:rsidRDefault="00443CE2" w:rsidP="00EE054E">
      <w:pPr>
        <w:pStyle w:val="Heading4"/>
      </w:pPr>
      <w:r>
        <w:t>Pharmacokinetic drug interactions</w:t>
      </w:r>
    </w:p>
    <w:p w:rsidR="00443CE2" w:rsidRDefault="00443CE2" w:rsidP="00EE054E">
      <w:r>
        <w:t xml:space="preserve">CYP450 isozymes play only a minor role in the clearance of aclidinium bromide. In studies with human liver microsomes investigating the potential of aclidinium bromide and its two main metabolites to inhibit CYPs 1A2, 2A6, 2B6, 2B8, 2C9, 2C19, 2D6, 2E1, 3A4/5 and 4A9/11, aclidinium bromide and its alcohol metabolite were shown to inhibit CYP2D6 with respective Ki values of 0.78 </w:t>
      </w:r>
      <w:r w:rsidR="00A5120F">
        <w:t>µ</w:t>
      </w:r>
      <w:r>
        <w:t xml:space="preserve">M and 15.5 μM (&gt;5700 and </w:t>
      </w:r>
      <w:r w:rsidR="00CE1B10">
        <w:t>approximately</w:t>
      </w:r>
      <w:r>
        <w:t>75000</w:t>
      </w:r>
      <w:r w:rsidR="009F217E">
        <w:t xml:space="preserve"> </w:t>
      </w:r>
      <w:r>
        <w:t>times higher than the clinical C</w:t>
      </w:r>
      <w:r w:rsidRPr="009F217E">
        <w:rPr>
          <w:vertAlign w:val="subscript"/>
        </w:rPr>
        <w:t>max</w:t>
      </w:r>
      <w:r>
        <w:t>); very weak inhibition of CYP3A4 by aclidinium bromide was also shown (IC</w:t>
      </w:r>
      <w:r w:rsidRPr="009F217E">
        <w:rPr>
          <w:vertAlign w:val="subscript"/>
        </w:rPr>
        <w:t>50</w:t>
      </w:r>
      <w:r>
        <w:t xml:space="preserve"> </w:t>
      </w:r>
      <w:r w:rsidR="00CE1B10">
        <w:t>approximately</w:t>
      </w:r>
      <w:r>
        <w:t>90 μM), while all other IC</w:t>
      </w:r>
      <w:r w:rsidRPr="009F217E">
        <w:rPr>
          <w:vertAlign w:val="subscript"/>
        </w:rPr>
        <w:t>50</w:t>
      </w:r>
      <w:r>
        <w:t xml:space="preserve"> values were &gt;100 μM. The drug and its hydrolysis products did not induce CYPs 1A2, 2B6, 2C8, 2C9, 2C19 or 3A4/5 in cultured human hepatocytes (tested up to </w:t>
      </w:r>
      <w:r w:rsidR="00CE1B10">
        <w:t>approximately</w:t>
      </w:r>
      <w:r>
        <w:t>17</w:t>
      </w:r>
      <w:r w:rsidR="009F217E">
        <w:t xml:space="preserve"> to </w:t>
      </w:r>
      <w:r>
        <w:t>21</w:t>
      </w:r>
      <w:r w:rsidR="006F7F8B">
        <w:t xml:space="preserve"> times</w:t>
      </w:r>
      <w:r>
        <w:t xml:space="preserve"> the clinical C</w:t>
      </w:r>
      <w:r w:rsidRPr="009F217E">
        <w:rPr>
          <w:vertAlign w:val="subscript"/>
        </w:rPr>
        <w:t>max</w:t>
      </w:r>
      <w:r>
        <w:t>).</w:t>
      </w:r>
    </w:p>
    <w:p w:rsidR="004334C7" w:rsidRDefault="00443CE2" w:rsidP="00EE054E">
      <w:r>
        <w:t xml:space="preserve">Experiments examining the potential of aclidinium bromide and its two major metabolites to inhibit human plasma </w:t>
      </w:r>
      <w:proofErr w:type="spellStart"/>
      <w:r>
        <w:t>esterases</w:t>
      </w:r>
      <w:proofErr w:type="spellEnd"/>
      <w:r>
        <w:t xml:space="preserve"> (</w:t>
      </w:r>
      <w:proofErr w:type="spellStart"/>
      <w:r>
        <w:t>acetylcholinesterase</w:t>
      </w:r>
      <w:proofErr w:type="spellEnd"/>
      <w:r>
        <w:t xml:space="preserve">, </w:t>
      </w:r>
      <w:proofErr w:type="spellStart"/>
      <w:r w:rsidR="005C0D76">
        <w:t>BChEe</w:t>
      </w:r>
      <w:proofErr w:type="spellEnd"/>
      <w:r>
        <w:t xml:space="preserve">, </w:t>
      </w:r>
      <w:proofErr w:type="spellStart"/>
      <w:r>
        <w:t>paraoxonase</w:t>
      </w:r>
      <w:proofErr w:type="spellEnd"/>
      <w:r>
        <w:t xml:space="preserve">, </w:t>
      </w:r>
      <w:proofErr w:type="spellStart"/>
      <w:r>
        <w:t>carboxylesterase</w:t>
      </w:r>
      <w:proofErr w:type="spellEnd"/>
      <w:r>
        <w:t xml:space="preserve"> and arylesterase) revealed no clinically relevant activity. Inhibitory activity was greatest for aclidinium bromide against </w:t>
      </w:r>
      <w:r w:rsidR="00693A26">
        <w:rPr>
          <w:rFonts w:eastAsia="Calibri" w:cs="TimesNewRomanPSMT"/>
          <w:color w:val="000000"/>
        </w:rPr>
        <w:t>BChE</w:t>
      </w:r>
      <w:r>
        <w:t>, with the Ki value (2.7 μM) almost 20000</w:t>
      </w:r>
      <w:r w:rsidR="009F217E">
        <w:t xml:space="preserve"> </w:t>
      </w:r>
      <w:r>
        <w:t>times greater than the peak plasma concentration of the drug in patients at the recommended dose. In experiments with Caco 2 cell monolayers, aclidinium bromide and its carboxylic acid metabolite were shown not to be substrates for P glycoprotein, while the alcohol metabolite was found to be a weak substrate at most; none of the three compounds act as P glycoprotein inhibitors.</w:t>
      </w:r>
    </w:p>
    <w:p w:rsidR="001B5C90" w:rsidRPr="00EE054E" w:rsidRDefault="008E7846" w:rsidP="00EE054E">
      <w:pPr>
        <w:pStyle w:val="Heading3"/>
      </w:pPr>
      <w:bookmarkStart w:id="48" w:name="_Toc400115413"/>
      <w:r>
        <w:t>Toxicology</w:t>
      </w:r>
      <w:bookmarkEnd w:id="46"/>
      <w:bookmarkEnd w:id="47"/>
      <w:bookmarkEnd w:id="48"/>
    </w:p>
    <w:p w:rsidR="00443CE2" w:rsidRPr="00443CE2" w:rsidRDefault="00443CE2" w:rsidP="00EE054E">
      <w:pPr>
        <w:pStyle w:val="Heading4"/>
      </w:pPr>
      <w:bookmarkStart w:id="49" w:name="_Toc247691515"/>
      <w:bookmarkStart w:id="50" w:name="_Toc314842499"/>
      <w:r w:rsidRPr="00443CE2">
        <w:t>Acute toxicity</w:t>
      </w:r>
    </w:p>
    <w:p w:rsidR="00443CE2" w:rsidRPr="00443CE2" w:rsidRDefault="00443CE2" w:rsidP="00EE054E">
      <w:r w:rsidRPr="00443CE2">
        <w:t>Single-dose toxicity studies were conducted by the oral route in mice and by the inhalational, oral and IV routes in rats. All studies involved an observation period of 14 days as recomme</w:t>
      </w:r>
      <w:r w:rsidR="009F217E">
        <w:t>nded in the relevant guideline</w:t>
      </w:r>
      <w:r w:rsidR="009F217E">
        <w:rPr>
          <w:rStyle w:val="FootnoteReference"/>
        </w:rPr>
        <w:footnoteReference w:id="4"/>
      </w:r>
      <w:r w:rsidRPr="00443CE2">
        <w:t xml:space="preserve">. No mortality or signs of toxicity were observed in rats after inhalational administration at 3.7 (males) or 3.8 mg/kg (females), doses </w:t>
      </w:r>
      <w:r w:rsidR="00CE1B10">
        <w:t>approximately</w:t>
      </w:r>
      <w:r w:rsidRPr="00443CE2">
        <w:t>42</w:t>
      </w:r>
      <w:r w:rsidR="009F217E">
        <w:t xml:space="preserve"> to </w:t>
      </w:r>
      <w:r w:rsidRPr="00443CE2">
        <w:t>43</w:t>
      </w:r>
      <w:r w:rsidR="00F8127F">
        <w:t xml:space="preserve"> </w:t>
      </w:r>
      <w:r w:rsidRPr="00443CE2">
        <w:t xml:space="preserve">times the recommended clinical dose on </w:t>
      </w:r>
      <w:proofErr w:type="gramStart"/>
      <w:r w:rsidRPr="00443CE2">
        <w:t>a</w:t>
      </w:r>
      <w:proofErr w:type="gramEnd"/>
      <w:r w:rsidRPr="00443CE2">
        <w:t xml:space="preserve"> mg/m</w:t>
      </w:r>
      <w:r w:rsidRPr="009F217E">
        <w:rPr>
          <w:vertAlign w:val="superscript"/>
        </w:rPr>
        <w:t xml:space="preserve">2 </w:t>
      </w:r>
      <w:r w:rsidRPr="00443CE2">
        <w:t>body surface area basis, indicating a low order of acute toxicity by the clinical route. There were also no deaths or clinical signs in rats at up to the highest dose tested by the IV route (1.2 mg/kg; tested in males only). Oral administration caused no deaths in rats (</w:t>
      </w:r>
      <w:r w:rsidR="004D1AC7">
        <w:t>≤</w:t>
      </w:r>
      <w:r w:rsidRPr="00443CE2">
        <w:t xml:space="preserve">2000 mg/kg) but deaths occurred in mice at 500 mg/kg (the lowest dose studied) and 1000 mg/kg. Oral administration produced various clinical signs consistent with antimuscarinic activity in both species beginning from the lowest dose level (500 mg/kg; </w:t>
      </w:r>
      <w:r w:rsidR="009F217E">
        <w:t>such as</w:t>
      </w:r>
      <w:r w:rsidRPr="00443CE2">
        <w:t xml:space="preserve"> mydriasis, dyspnoea</w:t>
      </w:r>
      <w:r w:rsidR="009F217E">
        <w:t xml:space="preserve"> and</w:t>
      </w:r>
      <w:r w:rsidRPr="00443CE2">
        <w:t xml:space="preserve"> abnormal gait).</w:t>
      </w:r>
    </w:p>
    <w:p w:rsidR="00443CE2" w:rsidRPr="00443CE2" w:rsidRDefault="00443CE2" w:rsidP="00EE054E">
      <w:pPr>
        <w:pStyle w:val="Heading4"/>
      </w:pPr>
      <w:r w:rsidRPr="00443CE2">
        <w:t>Repeat-dose toxicity</w:t>
      </w:r>
    </w:p>
    <w:p w:rsidR="00443CE2" w:rsidRPr="00443CE2" w:rsidRDefault="00443CE2" w:rsidP="00EE054E">
      <w:r w:rsidRPr="00443CE2">
        <w:t>Studies by the inhalational route of up to 3 months duration were conducted in mice, 6 months in rats and 9 months in dogs. Other routes were used in studies in rats (oral up to 4 weeks, IV up to 2 weeks and SC up to 6 months) and dogs (oral up to 4 weeks and IV up to 2 weeks). The duration of the pivotal studies, the species used (rats and dogs)</w:t>
      </w:r>
      <w:proofErr w:type="gramStart"/>
      <w:r w:rsidRPr="00443CE2">
        <w:t>,</w:t>
      </w:r>
      <w:proofErr w:type="gramEnd"/>
      <w:r w:rsidRPr="00443CE2">
        <w:t xml:space="preserve"> group sizes and the use of both sexes were consistent with </w:t>
      </w:r>
      <w:r w:rsidR="00E74309">
        <w:t xml:space="preserve">recommendations in </w:t>
      </w:r>
      <w:r w:rsidR="004D1AC7">
        <w:t xml:space="preserve">relevant </w:t>
      </w:r>
      <w:r w:rsidRPr="00443CE2">
        <w:t>EU guidelines. Inhalational administration was once daily in animals (</w:t>
      </w:r>
      <w:r w:rsidR="004D1AC7">
        <w:t>compared to</w:t>
      </w:r>
      <w:r w:rsidRPr="00443CE2">
        <w:t xml:space="preserve"> twice daily dosing proposed in patients) but this is not considered to impact validity. Inhalational dosing involved administration</w:t>
      </w:r>
      <w:r w:rsidR="00E74309">
        <w:t xml:space="preserve"> of dry powder formulated as a 1</w:t>
      </w:r>
      <w:r w:rsidRPr="00443CE2">
        <w:t>0% strength in lactose in the longest studies (</w:t>
      </w:r>
      <w:r w:rsidR="00CE1B10">
        <w:t>approximately</w:t>
      </w:r>
      <w:r w:rsidR="00E74309">
        <w:t xml:space="preserve"> </w:t>
      </w:r>
      <w:r w:rsidRPr="00443CE2">
        <w:t>3</w:t>
      </w:r>
      <w:r w:rsidR="004D1AC7">
        <w:t xml:space="preserve"> </w:t>
      </w:r>
      <w:r w:rsidRPr="00443CE2">
        <w:t>times the clinical strength but with the same excipient profile). The shorter inhalational studies used various lower strengths (0.72</w:t>
      </w:r>
      <w:r w:rsidR="004D1AC7">
        <w:t xml:space="preserve"> to </w:t>
      </w:r>
      <w:r w:rsidRPr="00443CE2">
        <w:t>0.79% in lactose) and/or undiluted powder. Aerosolised particles were of respirable size in all studies. Inhalational administration was by nose</w:t>
      </w:r>
      <w:r w:rsidR="004D1AC7">
        <w:t xml:space="preserve"> </w:t>
      </w:r>
      <w:r w:rsidRPr="00443CE2">
        <w:t>only exposure in mice and rats and oronasal exposure in dogs. Control groups received air or vehicle (lactose), with dual control groups used in some studies.</w:t>
      </w:r>
    </w:p>
    <w:p w:rsidR="00443CE2" w:rsidRPr="00443CE2" w:rsidRDefault="00443CE2" w:rsidP="00EE054E">
      <w:pPr>
        <w:pStyle w:val="Heading5"/>
        <w:rPr>
          <w:rFonts w:eastAsia="Cambria"/>
        </w:rPr>
      </w:pPr>
      <w:r w:rsidRPr="00443CE2">
        <w:rPr>
          <w:rFonts w:eastAsia="Cambria"/>
        </w:rPr>
        <w:t>Relative exposure</w:t>
      </w:r>
    </w:p>
    <w:p w:rsidR="00443CE2" w:rsidRDefault="00443CE2" w:rsidP="00EE054E">
      <w:r w:rsidRPr="00443CE2">
        <w:t>Exposure ratios have been calculated based on animal:</w:t>
      </w:r>
      <w:r w:rsidR="004D1AC7">
        <w:t xml:space="preserve"> </w:t>
      </w:r>
      <w:r w:rsidRPr="00443CE2">
        <w:t>human plasma AUC</w:t>
      </w:r>
      <w:r w:rsidRPr="004D1AC7">
        <w:rPr>
          <w:vertAlign w:val="subscript"/>
        </w:rPr>
        <w:t>0–24h</w:t>
      </w:r>
      <w:r w:rsidRPr="00443CE2">
        <w:t xml:space="preserve"> for the parent drug (for consideration of systemic toxicity) and animal:</w:t>
      </w:r>
      <w:r w:rsidR="004D1AC7">
        <w:t xml:space="preserve"> </w:t>
      </w:r>
      <w:r w:rsidRPr="00443CE2">
        <w:t>human lung deposited dose adjusted for lung weight (for consideration of local toxicity)</w:t>
      </w:r>
      <w:r w:rsidR="00AD354B">
        <w:t xml:space="preserve"> (Table 2)</w:t>
      </w:r>
      <w:r w:rsidRPr="00443CE2">
        <w:t>. Lung deposited doses were calculated assuming 8% deposition in rodents (based on data obtained in rats in Studies B.34273.18 and B.34273.19), 25% deposition in dogs</w:t>
      </w:r>
      <w:r w:rsidR="00615C4C">
        <w:rPr>
          <w:rStyle w:val="FootnoteReference"/>
        </w:rPr>
        <w:footnoteReference w:id="5"/>
      </w:r>
      <w:r w:rsidRPr="00443CE2">
        <w:t xml:space="preserve"> and 30.1% deposition in humans (Clinical Study M/34273/03), lung weights of 0.2, 1.45, 80 and 1000 g for mice, rats, dogs and humans, respectively, and body weights of 0.03, 0.25 and 10 kg for mice, rats and dogs, respectively. High local and systemic exposure ratios were obtained in the animal studies. When dose ratios are calculated based on alveolar surface area rather than lung weight, smaller local exposure ratios are obtained (approximately 4</w:t>
      </w:r>
      <w:r w:rsidR="004D1AC7">
        <w:t xml:space="preserve"> </w:t>
      </w:r>
      <w:r w:rsidRPr="00443CE2">
        <w:t>times lower in mice, 3</w:t>
      </w:r>
      <w:r w:rsidR="004D1AC7">
        <w:t xml:space="preserve"> </w:t>
      </w:r>
      <w:r w:rsidRPr="00443CE2">
        <w:t>times lower in rats and 7</w:t>
      </w:r>
      <w:r w:rsidR="004D1AC7">
        <w:t xml:space="preserve"> </w:t>
      </w:r>
      <w:r w:rsidRPr="00443CE2">
        <w:t xml:space="preserve">times lower in dogs) but the dose multiples are still significant. Adequate exposure to the drug’s main metabolites, LAS34823 (alcohol derivative) and LAS34850 (carboxylic acid derivative and the main circulating component) was also achieved in the animal studies; </w:t>
      </w:r>
      <w:r w:rsidR="00E74309" w:rsidRPr="00443CE2">
        <w:t>animal: human</w:t>
      </w:r>
      <w:r w:rsidRPr="00443CE2">
        <w:t xml:space="preserve"> plasma AUC values for these compounds at the upper doses in the pivotal repeat-dose toxicity </w:t>
      </w:r>
      <w:proofErr w:type="gramStart"/>
      <w:r w:rsidRPr="00443CE2">
        <w:t>studies</w:t>
      </w:r>
      <w:proofErr w:type="gramEnd"/>
      <w:r w:rsidRPr="00443CE2">
        <w:t xml:space="preserve"> and the carcinogenicity studies are 4</w:t>
      </w:r>
      <w:r w:rsidR="004D1AC7">
        <w:t xml:space="preserve"> to </w:t>
      </w:r>
      <w:r w:rsidRPr="00443CE2">
        <w:t>29</w:t>
      </w:r>
      <w:r w:rsidR="006F7F8B">
        <w:t xml:space="preserve"> times</w:t>
      </w:r>
      <w:r w:rsidRPr="00443CE2">
        <w:t xml:space="preserve"> higher (LAS34823) and 4.5</w:t>
      </w:r>
      <w:r w:rsidR="004D1AC7">
        <w:t xml:space="preserve"> to </w:t>
      </w:r>
      <w:r w:rsidRPr="00443CE2">
        <w:t>78</w:t>
      </w:r>
      <w:r w:rsidR="006F7F8B">
        <w:t xml:space="preserve"> times</w:t>
      </w:r>
      <w:r w:rsidRPr="00443CE2">
        <w:t xml:space="preserve"> higher (LAS34850) </w:t>
      </w:r>
      <w:r w:rsidR="004D1AC7">
        <w:t xml:space="preserve">compared to those in </w:t>
      </w:r>
      <w:r w:rsidRPr="00443CE2">
        <w:t>patients.</w:t>
      </w:r>
    </w:p>
    <w:p w:rsidR="00443CE2" w:rsidRPr="00443CE2" w:rsidRDefault="00D43103" w:rsidP="00EE054E">
      <w:pPr>
        <w:pStyle w:val="TableTitle"/>
      </w:pPr>
      <w:proofErr w:type="gramStart"/>
      <w:r>
        <w:t>Table 2.</w:t>
      </w:r>
      <w:proofErr w:type="gramEnd"/>
      <w:r>
        <w:t xml:space="preserve"> </w:t>
      </w:r>
      <w:r w:rsidR="00443CE2" w:rsidRPr="00443CE2">
        <w:t xml:space="preserve">Relative local and systemic exposure </w:t>
      </w:r>
      <w:r w:rsidR="00443CE2" w:rsidRPr="00EE054E">
        <w:t>achieved</w:t>
      </w:r>
      <w:r w:rsidR="00443CE2" w:rsidRPr="00443CE2">
        <w:t xml:space="preserve"> in selected inhalational toxicity studies</w:t>
      </w:r>
    </w:p>
    <w:tbl>
      <w:tblPr>
        <w:tblStyle w:val="TableTGAblue"/>
        <w:tblW w:w="9039" w:type="dxa"/>
        <w:tblLayout w:type="fixed"/>
        <w:tblLook w:val="01E0" w:firstRow="1" w:lastRow="1" w:firstColumn="1" w:lastColumn="1" w:noHBand="0" w:noVBand="0"/>
      </w:tblPr>
      <w:tblGrid>
        <w:gridCol w:w="1372"/>
        <w:gridCol w:w="1212"/>
        <w:gridCol w:w="1573"/>
        <w:gridCol w:w="1465"/>
        <w:gridCol w:w="1275"/>
        <w:gridCol w:w="1008"/>
        <w:gridCol w:w="1134"/>
      </w:tblGrid>
      <w:tr w:rsidR="004D1AC7" w:rsidRPr="00A87AAD" w:rsidTr="00EE054E">
        <w:trPr>
          <w:cnfStyle w:val="100000000000" w:firstRow="1" w:lastRow="0" w:firstColumn="0" w:lastColumn="0" w:oddVBand="0" w:evenVBand="0" w:oddHBand="0" w:evenHBand="0" w:firstRowFirstColumn="0" w:firstRowLastColumn="0" w:lastRowFirstColumn="0" w:lastRowLastColumn="0"/>
          <w:trHeight w:val="133"/>
        </w:trPr>
        <w:tc>
          <w:tcPr>
            <w:tcW w:w="1372" w:type="dxa"/>
            <w:vMerge w:val="restart"/>
          </w:tcPr>
          <w:p w:rsidR="004D1AC7" w:rsidRPr="00A87AAD" w:rsidRDefault="004D1AC7" w:rsidP="00EE054E">
            <w:pPr>
              <w:ind w:left="0" w:right="22"/>
              <w:rPr>
                <w:b w:val="0"/>
              </w:rPr>
            </w:pPr>
            <w:r w:rsidRPr="00A87AAD">
              <w:t>Species</w:t>
            </w:r>
          </w:p>
        </w:tc>
        <w:tc>
          <w:tcPr>
            <w:tcW w:w="1212" w:type="dxa"/>
            <w:vMerge w:val="restart"/>
          </w:tcPr>
          <w:p w:rsidR="004D1AC7" w:rsidRPr="00A87AAD" w:rsidRDefault="004D1AC7" w:rsidP="00D57878">
            <w:pPr>
              <w:ind w:left="46" w:right="0"/>
              <w:rPr>
                <w:b w:val="0"/>
              </w:rPr>
            </w:pPr>
            <w:r w:rsidRPr="00A87AAD">
              <w:t>Study</w:t>
            </w:r>
          </w:p>
        </w:tc>
        <w:tc>
          <w:tcPr>
            <w:tcW w:w="1573" w:type="dxa"/>
            <w:vMerge w:val="restart"/>
          </w:tcPr>
          <w:p w:rsidR="004D1AC7" w:rsidRPr="00A87AAD" w:rsidRDefault="004D1AC7" w:rsidP="00EE054E">
            <w:pPr>
              <w:ind w:left="0" w:right="0"/>
              <w:rPr>
                <w:b w:val="0"/>
              </w:rPr>
            </w:pPr>
            <w:r w:rsidRPr="00A87AAD">
              <w:t>Achieved dose</w:t>
            </w:r>
            <w:r w:rsidRPr="00A87AAD">
              <w:br/>
              <w:t>mg/kg/day</w:t>
            </w:r>
          </w:p>
        </w:tc>
        <w:tc>
          <w:tcPr>
            <w:tcW w:w="1465" w:type="dxa"/>
            <w:vMerge w:val="restart"/>
          </w:tcPr>
          <w:p w:rsidR="004D1AC7" w:rsidRPr="00A87AAD" w:rsidRDefault="004D1AC7" w:rsidP="00EE054E">
            <w:pPr>
              <w:ind w:left="0" w:right="19"/>
            </w:pPr>
            <w:r w:rsidRPr="00A87AAD">
              <w:t>Lung deposited </w:t>
            </w:r>
          </w:p>
          <w:p w:rsidR="004D1AC7" w:rsidRPr="00A87AAD" w:rsidRDefault="004D1AC7" w:rsidP="00EE054E">
            <w:pPr>
              <w:ind w:left="0" w:right="19"/>
              <w:rPr>
                <w:b w:val="0"/>
              </w:rPr>
            </w:pPr>
            <w:r w:rsidRPr="00A87AAD">
              <w:t>dose</w:t>
            </w:r>
            <w:r w:rsidRPr="00A87AAD">
              <w:br/>
              <w:t>μg/g tissue</w:t>
            </w:r>
          </w:p>
        </w:tc>
        <w:tc>
          <w:tcPr>
            <w:tcW w:w="1275" w:type="dxa"/>
            <w:vMerge w:val="restart"/>
          </w:tcPr>
          <w:p w:rsidR="004D1AC7" w:rsidRPr="00A87AAD" w:rsidRDefault="008C44AA" w:rsidP="00EE054E">
            <w:pPr>
              <w:ind w:left="48" w:right="0"/>
              <w:rPr>
                <w:b w:val="0"/>
                <w:i/>
                <w:vertAlign w:val="superscript"/>
                <w:lang w:val="pt-PT"/>
              </w:rPr>
            </w:pPr>
            <w:r w:rsidRPr="00A87AAD">
              <w:rPr>
                <w:lang w:val="pt-PT"/>
              </w:rPr>
              <w:t>Plasma</w:t>
            </w:r>
            <w:r w:rsidRPr="00A87AAD">
              <w:rPr>
                <w:lang w:val="pt-PT"/>
              </w:rPr>
              <w:br/>
              <w:t>AUC</w:t>
            </w:r>
            <w:r w:rsidRPr="00A87AAD">
              <w:rPr>
                <w:vertAlign w:val="subscript"/>
                <w:lang w:val="pt-PT"/>
              </w:rPr>
              <w:t>0–24</w:t>
            </w:r>
            <w:r w:rsidRPr="00A87AAD">
              <w:rPr>
                <w:w w:val="50"/>
                <w:vertAlign w:val="subscript"/>
                <w:lang w:val="pt-PT"/>
              </w:rPr>
              <w:t> </w:t>
            </w:r>
            <w:r w:rsidRPr="00A87AAD">
              <w:rPr>
                <w:vertAlign w:val="subscript"/>
                <w:lang w:val="pt-PT"/>
              </w:rPr>
              <w:t>h</w:t>
            </w:r>
            <w:r w:rsidRPr="00A87AAD">
              <w:rPr>
                <w:lang w:val="pt-PT"/>
              </w:rPr>
              <w:br/>
            </w:r>
            <w:r w:rsidRPr="00BB124E">
              <w:rPr>
                <w:lang w:val="pt-PT"/>
              </w:rPr>
              <w:t>ng∙h/mL</w:t>
            </w:r>
          </w:p>
        </w:tc>
        <w:tc>
          <w:tcPr>
            <w:tcW w:w="2142" w:type="dxa"/>
            <w:gridSpan w:val="2"/>
          </w:tcPr>
          <w:p w:rsidR="004D1AC7" w:rsidRPr="00A87AAD" w:rsidRDefault="004D1AC7" w:rsidP="00EE054E">
            <w:pPr>
              <w:ind w:left="49" w:right="34"/>
              <w:rPr>
                <w:b w:val="0"/>
              </w:rPr>
            </w:pPr>
            <w:r w:rsidRPr="00A87AAD">
              <w:t>Exposure ratio</w:t>
            </w:r>
          </w:p>
        </w:tc>
      </w:tr>
      <w:tr w:rsidR="004D1AC7" w:rsidRPr="00A87AAD" w:rsidTr="00EE054E">
        <w:trPr>
          <w:cnfStyle w:val="100000000000" w:firstRow="1" w:lastRow="0" w:firstColumn="0" w:lastColumn="0" w:oddVBand="0" w:evenVBand="0" w:oddHBand="0" w:evenHBand="0" w:firstRowFirstColumn="0" w:firstRowLastColumn="0" w:lastRowFirstColumn="0" w:lastRowLastColumn="0"/>
          <w:trHeight w:val="731"/>
        </w:trPr>
        <w:tc>
          <w:tcPr>
            <w:tcW w:w="1372" w:type="dxa"/>
            <w:vMerge/>
          </w:tcPr>
          <w:p w:rsidR="004D1AC7" w:rsidRPr="00A87AAD" w:rsidRDefault="004D1AC7" w:rsidP="00EE054E">
            <w:pPr>
              <w:ind w:left="0" w:right="22"/>
              <w:rPr>
                <w:b w:val="0"/>
              </w:rPr>
            </w:pPr>
          </w:p>
        </w:tc>
        <w:tc>
          <w:tcPr>
            <w:tcW w:w="1212" w:type="dxa"/>
            <w:vMerge/>
          </w:tcPr>
          <w:p w:rsidR="004D1AC7" w:rsidRPr="00A87AAD" w:rsidRDefault="004D1AC7" w:rsidP="00D57878">
            <w:pPr>
              <w:ind w:left="46" w:right="0"/>
              <w:rPr>
                <w:b w:val="0"/>
              </w:rPr>
            </w:pPr>
          </w:p>
        </w:tc>
        <w:tc>
          <w:tcPr>
            <w:tcW w:w="1573" w:type="dxa"/>
            <w:vMerge/>
          </w:tcPr>
          <w:p w:rsidR="004D1AC7" w:rsidRPr="00A87AAD" w:rsidRDefault="004D1AC7" w:rsidP="00EE054E">
            <w:pPr>
              <w:ind w:left="0" w:right="0"/>
              <w:rPr>
                <w:b w:val="0"/>
              </w:rPr>
            </w:pPr>
          </w:p>
        </w:tc>
        <w:tc>
          <w:tcPr>
            <w:tcW w:w="1465" w:type="dxa"/>
            <w:vMerge/>
          </w:tcPr>
          <w:p w:rsidR="004D1AC7" w:rsidRPr="00A87AAD" w:rsidRDefault="004D1AC7" w:rsidP="00EE054E">
            <w:pPr>
              <w:ind w:left="0" w:right="19"/>
              <w:rPr>
                <w:b w:val="0"/>
              </w:rPr>
            </w:pPr>
          </w:p>
        </w:tc>
        <w:tc>
          <w:tcPr>
            <w:tcW w:w="1275" w:type="dxa"/>
            <w:vMerge/>
          </w:tcPr>
          <w:p w:rsidR="004D1AC7" w:rsidRPr="00A87AAD" w:rsidRDefault="004D1AC7" w:rsidP="00EE054E">
            <w:pPr>
              <w:ind w:left="48" w:right="0"/>
              <w:rPr>
                <w:b w:val="0"/>
              </w:rPr>
            </w:pPr>
          </w:p>
        </w:tc>
        <w:tc>
          <w:tcPr>
            <w:tcW w:w="1008" w:type="dxa"/>
            <w:shd w:val="clear" w:color="auto" w:fill="0070B5" w:themeFill="text2" w:themeFillTint="BF"/>
          </w:tcPr>
          <w:p w:rsidR="004D1AC7" w:rsidRPr="00BB124E" w:rsidRDefault="004D1AC7" w:rsidP="00EE054E">
            <w:pPr>
              <w:ind w:left="49" w:right="34"/>
              <w:rPr>
                <w:b w:val="0"/>
              </w:rPr>
            </w:pPr>
            <w:r w:rsidRPr="00BB124E">
              <w:t>L</w:t>
            </w:r>
          </w:p>
        </w:tc>
        <w:tc>
          <w:tcPr>
            <w:tcW w:w="1134" w:type="dxa"/>
            <w:shd w:val="clear" w:color="auto" w:fill="0070B5" w:themeFill="text2" w:themeFillTint="BF"/>
          </w:tcPr>
          <w:p w:rsidR="004D1AC7" w:rsidRPr="00BB124E" w:rsidRDefault="004D1AC7" w:rsidP="00EE054E">
            <w:pPr>
              <w:ind w:left="49" w:right="34"/>
              <w:rPr>
                <w:b w:val="0"/>
              </w:rPr>
            </w:pPr>
            <w:r w:rsidRPr="00BB124E">
              <w:t>S</w:t>
            </w:r>
          </w:p>
        </w:tc>
      </w:tr>
      <w:tr w:rsidR="004D1AC7" w:rsidRPr="00A87AAD" w:rsidTr="00A87AAD">
        <w:trPr>
          <w:trHeight w:val="210"/>
        </w:trPr>
        <w:tc>
          <w:tcPr>
            <w:tcW w:w="1372" w:type="dxa"/>
            <w:vMerge w:val="restart"/>
          </w:tcPr>
          <w:p w:rsidR="004D1AC7" w:rsidRPr="00A87AAD" w:rsidRDefault="004D1AC7" w:rsidP="00EE054E">
            <w:pPr>
              <w:ind w:left="0" w:right="22"/>
            </w:pPr>
            <w:r w:rsidRPr="00A87AAD">
              <w:t>Mouse</w:t>
            </w:r>
            <w:r w:rsidRPr="00A87AAD">
              <w:br/>
              <w:t>(B6C3F1)</w:t>
            </w:r>
          </w:p>
        </w:tc>
        <w:tc>
          <w:tcPr>
            <w:tcW w:w="1212" w:type="dxa"/>
            <w:vMerge w:val="restart"/>
          </w:tcPr>
          <w:p w:rsidR="00D57878" w:rsidRDefault="004D1AC7" w:rsidP="00D57878">
            <w:pPr>
              <w:ind w:left="46" w:right="0"/>
            </w:pPr>
            <w:r w:rsidRPr="00A87AAD">
              <w:t>RCC 841849</w:t>
            </w:r>
          </w:p>
          <w:p w:rsidR="004D1AC7" w:rsidRPr="00D57878" w:rsidRDefault="004D1AC7" w:rsidP="00D57878">
            <w:pPr>
              <w:ind w:left="46" w:right="0"/>
              <w:rPr>
                <w:sz w:val="16"/>
                <w:szCs w:val="16"/>
              </w:rPr>
            </w:pPr>
            <w:r w:rsidRPr="00D57878">
              <w:rPr>
                <w:sz w:val="16"/>
                <w:szCs w:val="16"/>
              </w:rPr>
              <w:t>(PK: B.34273.09)</w:t>
            </w:r>
          </w:p>
          <w:p w:rsidR="004D1AC7" w:rsidRPr="00A87AAD" w:rsidRDefault="004D1AC7" w:rsidP="00D57878">
            <w:pPr>
              <w:ind w:left="46" w:right="0"/>
            </w:pPr>
            <w:r w:rsidRPr="00D57878">
              <w:rPr>
                <w:sz w:val="16"/>
                <w:szCs w:val="16"/>
              </w:rPr>
              <w:t>[3 months]</w:t>
            </w:r>
          </w:p>
        </w:tc>
        <w:tc>
          <w:tcPr>
            <w:tcW w:w="1573" w:type="dxa"/>
          </w:tcPr>
          <w:p w:rsidR="004D1AC7" w:rsidRPr="00A87AAD" w:rsidRDefault="004D1AC7" w:rsidP="00EE054E">
            <w:pPr>
              <w:ind w:left="0" w:right="0"/>
            </w:pPr>
            <w:r w:rsidRPr="00A87AAD">
              <w:t>0.20</w:t>
            </w:r>
          </w:p>
        </w:tc>
        <w:tc>
          <w:tcPr>
            <w:tcW w:w="1465" w:type="dxa"/>
          </w:tcPr>
          <w:p w:rsidR="004D1AC7" w:rsidRPr="00A87AAD" w:rsidRDefault="004D1AC7" w:rsidP="00EE054E">
            <w:pPr>
              <w:ind w:left="0" w:right="19"/>
            </w:pPr>
            <w:r w:rsidRPr="00A87AAD">
              <w:t>2.4</w:t>
            </w:r>
          </w:p>
        </w:tc>
        <w:tc>
          <w:tcPr>
            <w:tcW w:w="1275" w:type="dxa"/>
          </w:tcPr>
          <w:p w:rsidR="004D1AC7" w:rsidRPr="00A87AAD" w:rsidRDefault="004D1AC7" w:rsidP="00EE054E">
            <w:pPr>
              <w:ind w:left="48" w:right="0"/>
            </w:pPr>
            <w:r w:rsidRPr="00A87AAD">
              <w:t>32.2</w:t>
            </w:r>
          </w:p>
        </w:tc>
        <w:tc>
          <w:tcPr>
            <w:tcW w:w="1008" w:type="dxa"/>
          </w:tcPr>
          <w:p w:rsidR="004D1AC7" w:rsidRPr="00A87AAD" w:rsidRDefault="004D1AC7" w:rsidP="00EE054E">
            <w:pPr>
              <w:ind w:left="49" w:right="34"/>
            </w:pPr>
            <w:r w:rsidRPr="00A87AAD">
              <w:t>10</w:t>
            </w:r>
          </w:p>
        </w:tc>
        <w:tc>
          <w:tcPr>
            <w:tcW w:w="1134" w:type="dxa"/>
          </w:tcPr>
          <w:p w:rsidR="004D1AC7" w:rsidRPr="00A87AAD" w:rsidRDefault="004D1AC7" w:rsidP="00EE054E">
            <w:pPr>
              <w:ind w:left="49" w:right="34"/>
            </w:pPr>
            <w:r w:rsidRPr="00A87AAD">
              <w:t>83</w:t>
            </w:r>
          </w:p>
        </w:tc>
      </w:tr>
      <w:tr w:rsidR="004D1AC7" w:rsidRPr="00A87AAD" w:rsidTr="00A87AAD">
        <w:trPr>
          <w:trHeight w:val="210"/>
        </w:trPr>
        <w:tc>
          <w:tcPr>
            <w:tcW w:w="1372" w:type="dxa"/>
            <w:vMerge/>
          </w:tcPr>
          <w:p w:rsidR="004D1AC7" w:rsidRPr="00A87AAD" w:rsidRDefault="004D1AC7" w:rsidP="00EE054E">
            <w:pPr>
              <w:ind w:left="0" w:right="22"/>
              <w:rPr>
                <w:color w:val="00B050"/>
              </w:rPr>
            </w:pPr>
          </w:p>
        </w:tc>
        <w:tc>
          <w:tcPr>
            <w:tcW w:w="1212" w:type="dxa"/>
            <w:vMerge/>
          </w:tcPr>
          <w:p w:rsidR="004D1AC7" w:rsidRPr="00A87AAD" w:rsidRDefault="004D1AC7" w:rsidP="00D57878">
            <w:pPr>
              <w:ind w:left="46" w:right="0"/>
              <w:rPr>
                <w:color w:val="00B050"/>
              </w:rPr>
            </w:pPr>
          </w:p>
        </w:tc>
        <w:tc>
          <w:tcPr>
            <w:tcW w:w="1573" w:type="dxa"/>
          </w:tcPr>
          <w:p w:rsidR="004D1AC7" w:rsidRPr="00A87AAD" w:rsidRDefault="004D1AC7" w:rsidP="00EE054E">
            <w:pPr>
              <w:ind w:left="0" w:right="0"/>
            </w:pPr>
            <w:r w:rsidRPr="00A87AAD">
              <w:t>0.62</w:t>
            </w:r>
          </w:p>
        </w:tc>
        <w:tc>
          <w:tcPr>
            <w:tcW w:w="1465" w:type="dxa"/>
          </w:tcPr>
          <w:p w:rsidR="004D1AC7" w:rsidRPr="00A87AAD" w:rsidRDefault="004D1AC7" w:rsidP="00EE054E">
            <w:pPr>
              <w:ind w:left="0" w:right="19"/>
            </w:pPr>
            <w:r w:rsidRPr="00A87AAD">
              <w:t>7.4</w:t>
            </w:r>
          </w:p>
        </w:tc>
        <w:tc>
          <w:tcPr>
            <w:tcW w:w="1275" w:type="dxa"/>
          </w:tcPr>
          <w:p w:rsidR="004D1AC7" w:rsidRPr="00A87AAD" w:rsidRDefault="004D1AC7" w:rsidP="00EE054E">
            <w:pPr>
              <w:ind w:left="48" w:right="0"/>
            </w:pPr>
            <w:r w:rsidRPr="00A87AAD">
              <w:t>82.8</w:t>
            </w:r>
          </w:p>
        </w:tc>
        <w:tc>
          <w:tcPr>
            <w:tcW w:w="1008" w:type="dxa"/>
          </w:tcPr>
          <w:p w:rsidR="004D1AC7" w:rsidRPr="00A87AAD" w:rsidRDefault="004D1AC7" w:rsidP="00EE054E">
            <w:pPr>
              <w:ind w:left="49" w:right="34"/>
            </w:pPr>
            <w:r w:rsidRPr="00A87AAD">
              <w:t>31</w:t>
            </w:r>
          </w:p>
        </w:tc>
        <w:tc>
          <w:tcPr>
            <w:tcW w:w="1134" w:type="dxa"/>
          </w:tcPr>
          <w:p w:rsidR="004D1AC7" w:rsidRPr="00A87AAD" w:rsidRDefault="004D1AC7" w:rsidP="00EE054E">
            <w:pPr>
              <w:ind w:left="49" w:right="34"/>
            </w:pPr>
            <w:r w:rsidRPr="00A87AAD">
              <w:t>212</w:t>
            </w:r>
          </w:p>
        </w:tc>
      </w:tr>
      <w:tr w:rsidR="004D1AC7" w:rsidRPr="00A87AAD" w:rsidTr="00A87AAD">
        <w:trPr>
          <w:trHeight w:val="210"/>
        </w:trPr>
        <w:tc>
          <w:tcPr>
            <w:tcW w:w="1372" w:type="dxa"/>
            <w:vMerge/>
          </w:tcPr>
          <w:p w:rsidR="004D1AC7" w:rsidRPr="00A87AAD" w:rsidRDefault="004D1AC7" w:rsidP="00EE054E">
            <w:pPr>
              <w:ind w:left="0" w:right="22"/>
              <w:rPr>
                <w:color w:val="00B050"/>
              </w:rPr>
            </w:pPr>
          </w:p>
        </w:tc>
        <w:tc>
          <w:tcPr>
            <w:tcW w:w="1212" w:type="dxa"/>
            <w:vMerge/>
          </w:tcPr>
          <w:p w:rsidR="004D1AC7" w:rsidRPr="00A87AAD" w:rsidRDefault="004D1AC7" w:rsidP="00D57878">
            <w:pPr>
              <w:ind w:left="46" w:right="0"/>
              <w:rPr>
                <w:color w:val="00B050"/>
              </w:rPr>
            </w:pPr>
          </w:p>
        </w:tc>
        <w:tc>
          <w:tcPr>
            <w:tcW w:w="1573" w:type="dxa"/>
          </w:tcPr>
          <w:p w:rsidR="004D1AC7" w:rsidRPr="00A87AAD" w:rsidRDefault="004D1AC7" w:rsidP="00EE054E">
            <w:pPr>
              <w:ind w:left="0" w:right="0"/>
            </w:pPr>
            <w:r w:rsidRPr="00A87AAD">
              <w:t>2.55</w:t>
            </w:r>
          </w:p>
        </w:tc>
        <w:tc>
          <w:tcPr>
            <w:tcW w:w="1465" w:type="dxa"/>
          </w:tcPr>
          <w:p w:rsidR="004D1AC7" w:rsidRPr="00A87AAD" w:rsidRDefault="004D1AC7" w:rsidP="00EE054E">
            <w:pPr>
              <w:ind w:left="0" w:right="19"/>
            </w:pPr>
            <w:r w:rsidRPr="00A87AAD">
              <w:t>30.6</w:t>
            </w:r>
          </w:p>
        </w:tc>
        <w:tc>
          <w:tcPr>
            <w:tcW w:w="1275" w:type="dxa"/>
          </w:tcPr>
          <w:p w:rsidR="004D1AC7" w:rsidRPr="00A87AAD" w:rsidRDefault="004D1AC7" w:rsidP="00EE054E">
            <w:pPr>
              <w:ind w:left="48" w:right="0"/>
            </w:pPr>
            <w:r w:rsidRPr="00A87AAD">
              <w:t>103.6</w:t>
            </w:r>
          </w:p>
        </w:tc>
        <w:tc>
          <w:tcPr>
            <w:tcW w:w="1008" w:type="dxa"/>
          </w:tcPr>
          <w:p w:rsidR="004D1AC7" w:rsidRPr="00A87AAD" w:rsidRDefault="004D1AC7" w:rsidP="00EE054E">
            <w:pPr>
              <w:ind w:left="49" w:right="34"/>
            </w:pPr>
            <w:r w:rsidRPr="00A87AAD">
              <w:t>127</w:t>
            </w:r>
          </w:p>
        </w:tc>
        <w:tc>
          <w:tcPr>
            <w:tcW w:w="1134" w:type="dxa"/>
          </w:tcPr>
          <w:p w:rsidR="004D1AC7" w:rsidRPr="00A87AAD" w:rsidRDefault="004D1AC7" w:rsidP="00EE054E">
            <w:pPr>
              <w:ind w:left="49" w:right="34"/>
            </w:pPr>
            <w:r w:rsidRPr="00A87AAD">
              <w:t>266</w:t>
            </w:r>
          </w:p>
        </w:tc>
      </w:tr>
      <w:tr w:rsidR="004D1AC7" w:rsidRPr="00A87AAD" w:rsidTr="00A87AAD">
        <w:trPr>
          <w:trHeight w:val="210"/>
        </w:trPr>
        <w:tc>
          <w:tcPr>
            <w:tcW w:w="1372" w:type="dxa"/>
            <w:vMerge/>
          </w:tcPr>
          <w:p w:rsidR="004D1AC7" w:rsidRPr="00A87AAD" w:rsidRDefault="004D1AC7" w:rsidP="00EE054E">
            <w:pPr>
              <w:ind w:left="0" w:right="22"/>
              <w:rPr>
                <w:color w:val="00B050"/>
              </w:rPr>
            </w:pPr>
          </w:p>
        </w:tc>
        <w:tc>
          <w:tcPr>
            <w:tcW w:w="1212" w:type="dxa"/>
            <w:vMerge w:val="restart"/>
          </w:tcPr>
          <w:p w:rsidR="004D1AC7" w:rsidRPr="00EE054E" w:rsidRDefault="004D1AC7" w:rsidP="00D57878">
            <w:pPr>
              <w:ind w:left="46" w:right="0"/>
              <w:rPr>
                <w:color w:val="auto"/>
              </w:rPr>
            </w:pPr>
            <w:r w:rsidRPr="00EE054E">
              <w:rPr>
                <w:color w:val="auto"/>
              </w:rPr>
              <w:t>RCC 852075</w:t>
            </w:r>
          </w:p>
          <w:p w:rsidR="004D1AC7" w:rsidRPr="00D57878" w:rsidRDefault="004D1AC7" w:rsidP="00D57878">
            <w:pPr>
              <w:ind w:left="46" w:right="0"/>
              <w:rPr>
                <w:sz w:val="16"/>
                <w:szCs w:val="16"/>
              </w:rPr>
            </w:pPr>
            <w:r w:rsidRPr="00D57878">
              <w:rPr>
                <w:sz w:val="16"/>
                <w:szCs w:val="16"/>
              </w:rPr>
              <w:t>(PK: B.34273.28)</w:t>
            </w:r>
          </w:p>
          <w:p w:rsidR="004D1AC7" w:rsidRPr="00EE054E" w:rsidRDefault="004D1AC7" w:rsidP="00D57878">
            <w:pPr>
              <w:ind w:left="46" w:right="0"/>
            </w:pPr>
            <w:r w:rsidRPr="00D57878">
              <w:rPr>
                <w:sz w:val="16"/>
                <w:szCs w:val="16"/>
              </w:rPr>
              <w:t>[carcinogenicity]</w:t>
            </w:r>
          </w:p>
        </w:tc>
        <w:tc>
          <w:tcPr>
            <w:tcW w:w="1573" w:type="dxa"/>
          </w:tcPr>
          <w:p w:rsidR="004D1AC7" w:rsidRPr="00A87AAD" w:rsidRDefault="004D1AC7" w:rsidP="00EE054E">
            <w:pPr>
              <w:ind w:left="0" w:right="0"/>
            </w:pPr>
            <w:r w:rsidRPr="00A87AAD">
              <w:t>0.30</w:t>
            </w:r>
          </w:p>
        </w:tc>
        <w:tc>
          <w:tcPr>
            <w:tcW w:w="1465" w:type="dxa"/>
          </w:tcPr>
          <w:p w:rsidR="004D1AC7" w:rsidRPr="00A87AAD" w:rsidRDefault="004D1AC7" w:rsidP="00EE054E">
            <w:pPr>
              <w:ind w:left="0" w:right="19"/>
            </w:pPr>
            <w:r w:rsidRPr="00A87AAD">
              <w:t>3.6</w:t>
            </w:r>
          </w:p>
        </w:tc>
        <w:tc>
          <w:tcPr>
            <w:tcW w:w="1275" w:type="dxa"/>
          </w:tcPr>
          <w:p w:rsidR="004D1AC7" w:rsidRPr="00A87AAD" w:rsidRDefault="004D1AC7" w:rsidP="00EE054E">
            <w:pPr>
              <w:ind w:left="48" w:right="0"/>
            </w:pPr>
            <w:r w:rsidRPr="00A87AAD">
              <w:t>19.9</w:t>
            </w:r>
          </w:p>
        </w:tc>
        <w:tc>
          <w:tcPr>
            <w:tcW w:w="1008" w:type="dxa"/>
          </w:tcPr>
          <w:p w:rsidR="004D1AC7" w:rsidRPr="00A87AAD" w:rsidRDefault="004D1AC7" w:rsidP="00EE054E">
            <w:pPr>
              <w:ind w:left="49" w:right="34"/>
            </w:pPr>
            <w:r w:rsidRPr="00A87AAD">
              <w:t>15</w:t>
            </w:r>
          </w:p>
        </w:tc>
        <w:tc>
          <w:tcPr>
            <w:tcW w:w="1134" w:type="dxa"/>
          </w:tcPr>
          <w:p w:rsidR="004D1AC7" w:rsidRPr="00A87AAD" w:rsidRDefault="004D1AC7" w:rsidP="00EE054E">
            <w:pPr>
              <w:ind w:left="49" w:right="34"/>
            </w:pPr>
            <w:r w:rsidRPr="00A87AAD">
              <w:t>51</w:t>
            </w:r>
          </w:p>
        </w:tc>
      </w:tr>
      <w:tr w:rsidR="004D1AC7" w:rsidRPr="00A87AAD" w:rsidTr="00A87AAD">
        <w:trPr>
          <w:trHeight w:val="210"/>
        </w:trPr>
        <w:tc>
          <w:tcPr>
            <w:tcW w:w="1372" w:type="dxa"/>
            <w:vMerge/>
          </w:tcPr>
          <w:p w:rsidR="004D1AC7" w:rsidRPr="00A87AAD" w:rsidRDefault="004D1AC7" w:rsidP="00EE054E">
            <w:pPr>
              <w:ind w:left="0" w:right="22"/>
              <w:rPr>
                <w:color w:val="00B050"/>
              </w:rPr>
            </w:pPr>
          </w:p>
        </w:tc>
        <w:tc>
          <w:tcPr>
            <w:tcW w:w="1212" w:type="dxa"/>
            <w:vMerge/>
          </w:tcPr>
          <w:p w:rsidR="004D1AC7" w:rsidRPr="00EE054E" w:rsidRDefault="004D1AC7" w:rsidP="00D57878">
            <w:pPr>
              <w:ind w:left="46" w:right="0"/>
              <w:rPr>
                <w:color w:val="auto"/>
              </w:rPr>
            </w:pPr>
          </w:p>
        </w:tc>
        <w:tc>
          <w:tcPr>
            <w:tcW w:w="1573" w:type="dxa"/>
          </w:tcPr>
          <w:p w:rsidR="004D1AC7" w:rsidRPr="00A87AAD" w:rsidRDefault="004D1AC7" w:rsidP="00EE054E">
            <w:pPr>
              <w:ind w:left="0" w:right="0"/>
            </w:pPr>
            <w:r w:rsidRPr="00A87AAD">
              <w:t>0.79</w:t>
            </w:r>
          </w:p>
        </w:tc>
        <w:tc>
          <w:tcPr>
            <w:tcW w:w="1465" w:type="dxa"/>
          </w:tcPr>
          <w:p w:rsidR="004D1AC7" w:rsidRPr="00A87AAD" w:rsidRDefault="004D1AC7" w:rsidP="00EE054E">
            <w:pPr>
              <w:ind w:left="0" w:right="19"/>
            </w:pPr>
            <w:r w:rsidRPr="00A87AAD">
              <w:t>9.5</w:t>
            </w:r>
          </w:p>
        </w:tc>
        <w:tc>
          <w:tcPr>
            <w:tcW w:w="1275" w:type="dxa"/>
          </w:tcPr>
          <w:p w:rsidR="004D1AC7" w:rsidRPr="00A87AAD" w:rsidRDefault="004D1AC7" w:rsidP="00EE054E">
            <w:pPr>
              <w:ind w:left="48" w:right="0"/>
            </w:pPr>
            <w:r w:rsidRPr="00A87AAD">
              <w:t>46.3</w:t>
            </w:r>
          </w:p>
        </w:tc>
        <w:tc>
          <w:tcPr>
            <w:tcW w:w="1008" w:type="dxa"/>
          </w:tcPr>
          <w:p w:rsidR="004D1AC7" w:rsidRPr="00A87AAD" w:rsidRDefault="004D1AC7" w:rsidP="00EE054E">
            <w:pPr>
              <w:ind w:left="49" w:right="34"/>
            </w:pPr>
            <w:r w:rsidRPr="00A87AAD">
              <w:t>39</w:t>
            </w:r>
          </w:p>
        </w:tc>
        <w:tc>
          <w:tcPr>
            <w:tcW w:w="1134" w:type="dxa"/>
          </w:tcPr>
          <w:p w:rsidR="004D1AC7" w:rsidRPr="00A87AAD" w:rsidRDefault="004D1AC7" w:rsidP="00EE054E">
            <w:pPr>
              <w:ind w:left="49" w:right="34"/>
            </w:pPr>
            <w:r w:rsidRPr="00A87AAD">
              <w:t>119</w:t>
            </w:r>
          </w:p>
        </w:tc>
      </w:tr>
      <w:tr w:rsidR="004D1AC7" w:rsidRPr="00A87AAD" w:rsidTr="00A87AAD">
        <w:trPr>
          <w:trHeight w:val="210"/>
        </w:trPr>
        <w:tc>
          <w:tcPr>
            <w:tcW w:w="1372" w:type="dxa"/>
            <w:vMerge/>
          </w:tcPr>
          <w:p w:rsidR="004D1AC7" w:rsidRPr="00A87AAD" w:rsidRDefault="004D1AC7" w:rsidP="00EE054E">
            <w:pPr>
              <w:ind w:left="0" w:right="22"/>
              <w:rPr>
                <w:color w:val="00B050"/>
              </w:rPr>
            </w:pPr>
          </w:p>
        </w:tc>
        <w:tc>
          <w:tcPr>
            <w:tcW w:w="1212" w:type="dxa"/>
            <w:vMerge/>
          </w:tcPr>
          <w:p w:rsidR="004D1AC7" w:rsidRPr="00EE054E" w:rsidRDefault="004D1AC7" w:rsidP="00D57878">
            <w:pPr>
              <w:ind w:left="46" w:right="0"/>
              <w:rPr>
                <w:color w:val="auto"/>
              </w:rPr>
            </w:pPr>
          </w:p>
        </w:tc>
        <w:tc>
          <w:tcPr>
            <w:tcW w:w="1573" w:type="dxa"/>
          </w:tcPr>
          <w:p w:rsidR="004D1AC7" w:rsidRPr="00A87AAD" w:rsidRDefault="004D1AC7" w:rsidP="00EE054E">
            <w:pPr>
              <w:ind w:left="0" w:right="0"/>
            </w:pPr>
            <w:r w:rsidRPr="00A87AAD">
              <w:t>2.45</w:t>
            </w:r>
          </w:p>
        </w:tc>
        <w:tc>
          <w:tcPr>
            <w:tcW w:w="1465" w:type="dxa"/>
          </w:tcPr>
          <w:p w:rsidR="004D1AC7" w:rsidRPr="00A87AAD" w:rsidRDefault="004D1AC7" w:rsidP="00EE054E">
            <w:pPr>
              <w:ind w:left="0" w:right="19"/>
            </w:pPr>
            <w:r w:rsidRPr="00A87AAD">
              <w:t>29.4</w:t>
            </w:r>
          </w:p>
        </w:tc>
        <w:tc>
          <w:tcPr>
            <w:tcW w:w="1275" w:type="dxa"/>
          </w:tcPr>
          <w:p w:rsidR="004D1AC7" w:rsidRPr="00A87AAD" w:rsidRDefault="004D1AC7" w:rsidP="00EE054E">
            <w:pPr>
              <w:ind w:left="48" w:right="0"/>
            </w:pPr>
            <w:r w:rsidRPr="00A87AAD">
              <w:t>50.5</w:t>
            </w:r>
          </w:p>
        </w:tc>
        <w:tc>
          <w:tcPr>
            <w:tcW w:w="1008" w:type="dxa"/>
          </w:tcPr>
          <w:p w:rsidR="004D1AC7" w:rsidRPr="00A87AAD" w:rsidRDefault="004D1AC7" w:rsidP="00EE054E">
            <w:pPr>
              <w:ind w:left="49" w:right="34"/>
            </w:pPr>
            <w:r w:rsidRPr="00A87AAD">
              <w:t>122</w:t>
            </w:r>
          </w:p>
        </w:tc>
        <w:tc>
          <w:tcPr>
            <w:tcW w:w="1134" w:type="dxa"/>
          </w:tcPr>
          <w:p w:rsidR="004D1AC7" w:rsidRPr="00A87AAD" w:rsidRDefault="004D1AC7" w:rsidP="00EE054E">
            <w:pPr>
              <w:ind w:left="49" w:right="34"/>
            </w:pPr>
            <w:r w:rsidRPr="00A87AAD">
              <w:t>129</w:t>
            </w:r>
          </w:p>
        </w:tc>
      </w:tr>
      <w:tr w:rsidR="004D1AC7" w:rsidRPr="00A87AAD" w:rsidTr="00A87AAD">
        <w:trPr>
          <w:trHeight w:val="210"/>
        </w:trPr>
        <w:tc>
          <w:tcPr>
            <w:tcW w:w="1372" w:type="dxa"/>
            <w:vMerge w:val="restart"/>
          </w:tcPr>
          <w:p w:rsidR="004D1AC7" w:rsidRPr="00A87AAD" w:rsidRDefault="004D1AC7" w:rsidP="00EE054E">
            <w:pPr>
              <w:ind w:left="0" w:right="22"/>
            </w:pPr>
            <w:r w:rsidRPr="00A87AAD">
              <w:t>Rat</w:t>
            </w:r>
            <w:r w:rsidRPr="00A87AAD">
              <w:br/>
              <w:t>(</w:t>
            </w:r>
            <w:proofErr w:type="spellStart"/>
            <w:r w:rsidRPr="00A87AAD">
              <w:t>Wistar</w:t>
            </w:r>
            <w:proofErr w:type="spellEnd"/>
            <w:r w:rsidRPr="00A87AAD">
              <w:t>)</w:t>
            </w:r>
          </w:p>
        </w:tc>
        <w:tc>
          <w:tcPr>
            <w:tcW w:w="1212" w:type="dxa"/>
            <w:vMerge w:val="restart"/>
          </w:tcPr>
          <w:p w:rsidR="004D1AC7" w:rsidRPr="00EE054E" w:rsidRDefault="004D1AC7" w:rsidP="00D57878">
            <w:pPr>
              <w:ind w:left="46" w:right="0"/>
              <w:rPr>
                <w:color w:val="auto"/>
              </w:rPr>
            </w:pPr>
            <w:r w:rsidRPr="00EE054E">
              <w:rPr>
                <w:color w:val="auto"/>
              </w:rPr>
              <w:t>RCC 845323</w:t>
            </w:r>
          </w:p>
          <w:p w:rsidR="004D1AC7" w:rsidRPr="00D57878" w:rsidRDefault="004D1AC7" w:rsidP="00D57878">
            <w:pPr>
              <w:ind w:left="46" w:right="0"/>
              <w:rPr>
                <w:sz w:val="16"/>
                <w:szCs w:val="16"/>
              </w:rPr>
            </w:pPr>
            <w:r w:rsidRPr="00D57878">
              <w:rPr>
                <w:sz w:val="16"/>
                <w:szCs w:val="16"/>
              </w:rPr>
              <w:t>(PK: B.34273.15)</w:t>
            </w:r>
          </w:p>
          <w:p w:rsidR="004D1AC7" w:rsidRPr="00EE054E" w:rsidRDefault="004D1AC7" w:rsidP="00D57878">
            <w:pPr>
              <w:ind w:left="46" w:right="0"/>
            </w:pPr>
            <w:r w:rsidRPr="00D57878">
              <w:rPr>
                <w:sz w:val="16"/>
                <w:szCs w:val="16"/>
              </w:rPr>
              <w:t>[26 weeks; pivotal]</w:t>
            </w:r>
          </w:p>
        </w:tc>
        <w:tc>
          <w:tcPr>
            <w:tcW w:w="1573" w:type="dxa"/>
          </w:tcPr>
          <w:p w:rsidR="004D1AC7" w:rsidRPr="00A87AAD" w:rsidRDefault="004D1AC7" w:rsidP="00EE054E">
            <w:pPr>
              <w:ind w:left="0" w:right="0"/>
            </w:pPr>
            <w:r w:rsidRPr="00A87AAD">
              <w:t>0.010</w:t>
            </w:r>
          </w:p>
        </w:tc>
        <w:tc>
          <w:tcPr>
            <w:tcW w:w="1465" w:type="dxa"/>
          </w:tcPr>
          <w:p w:rsidR="004D1AC7" w:rsidRPr="00A87AAD" w:rsidRDefault="004D1AC7" w:rsidP="00EE054E">
            <w:pPr>
              <w:ind w:left="0" w:right="19"/>
            </w:pPr>
            <w:r w:rsidRPr="00A87AAD">
              <w:t>0.14</w:t>
            </w:r>
          </w:p>
        </w:tc>
        <w:tc>
          <w:tcPr>
            <w:tcW w:w="1275" w:type="dxa"/>
          </w:tcPr>
          <w:p w:rsidR="004D1AC7" w:rsidRPr="00A87AAD" w:rsidRDefault="004D1AC7" w:rsidP="00EE054E">
            <w:pPr>
              <w:ind w:left="48" w:right="0"/>
            </w:pPr>
            <w:r w:rsidRPr="00A87AAD">
              <w:t>5.26</w:t>
            </w:r>
          </w:p>
        </w:tc>
        <w:tc>
          <w:tcPr>
            <w:tcW w:w="1008" w:type="dxa"/>
          </w:tcPr>
          <w:p w:rsidR="004D1AC7" w:rsidRPr="00A87AAD" w:rsidRDefault="004D1AC7" w:rsidP="00EE054E">
            <w:pPr>
              <w:ind w:left="49" w:right="34"/>
            </w:pPr>
            <w:r w:rsidRPr="00A87AAD">
              <w:t>0.6</w:t>
            </w:r>
          </w:p>
        </w:tc>
        <w:tc>
          <w:tcPr>
            <w:tcW w:w="1134" w:type="dxa"/>
          </w:tcPr>
          <w:p w:rsidR="004D1AC7" w:rsidRPr="00A87AAD" w:rsidRDefault="004D1AC7" w:rsidP="00EE054E">
            <w:pPr>
              <w:ind w:left="49" w:right="34"/>
            </w:pPr>
            <w:r w:rsidRPr="00A87AAD">
              <w:t>13</w:t>
            </w:r>
          </w:p>
        </w:tc>
      </w:tr>
      <w:tr w:rsidR="004D1AC7" w:rsidRPr="00A87AAD" w:rsidTr="00A87AAD">
        <w:trPr>
          <w:trHeight w:val="210"/>
        </w:trPr>
        <w:tc>
          <w:tcPr>
            <w:tcW w:w="1372" w:type="dxa"/>
            <w:vMerge/>
          </w:tcPr>
          <w:p w:rsidR="004D1AC7" w:rsidRPr="00A87AAD" w:rsidRDefault="004D1AC7" w:rsidP="00EE054E">
            <w:pPr>
              <w:ind w:left="0" w:right="22"/>
              <w:rPr>
                <w:color w:val="C00000"/>
              </w:rPr>
            </w:pPr>
          </w:p>
        </w:tc>
        <w:tc>
          <w:tcPr>
            <w:tcW w:w="1212" w:type="dxa"/>
            <w:vMerge/>
          </w:tcPr>
          <w:p w:rsidR="004D1AC7" w:rsidRPr="00A87AAD" w:rsidRDefault="004D1AC7" w:rsidP="00D57878">
            <w:pPr>
              <w:ind w:left="46" w:right="0"/>
              <w:rPr>
                <w:color w:val="C00000"/>
              </w:rPr>
            </w:pPr>
          </w:p>
        </w:tc>
        <w:tc>
          <w:tcPr>
            <w:tcW w:w="1573" w:type="dxa"/>
          </w:tcPr>
          <w:p w:rsidR="004D1AC7" w:rsidRPr="00A87AAD" w:rsidRDefault="004D1AC7" w:rsidP="00EE054E">
            <w:pPr>
              <w:ind w:left="0" w:right="0"/>
            </w:pPr>
            <w:r w:rsidRPr="00A87AAD">
              <w:t>0.036</w:t>
            </w:r>
          </w:p>
        </w:tc>
        <w:tc>
          <w:tcPr>
            <w:tcW w:w="1465" w:type="dxa"/>
          </w:tcPr>
          <w:p w:rsidR="004D1AC7" w:rsidRPr="00A87AAD" w:rsidRDefault="004D1AC7" w:rsidP="00EE054E">
            <w:pPr>
              <w:ind w:left="0" w:right="19"/>
            </w:pPr>
            <w:r w:rsidRPr="00A87AAD">
              <w:t>0.50</w:t>
            </w:r>
          </w:p>
        </w:tc>
        <w:tc>
          <w:tcPr>
            <w:tcW w:w="1275" w:type="dxa"/>
          </w:tcPr>
          <w:p w:rsidR="004D1AC7" w:rsidRPr="00A87AAD" w:rsidRDefault="004D1AC7" w:rsidP="00EE054E">
            <w:pPr>
              <w:ind w:left="48" w:right="0"/>
            </w:pPr>
            <w:r w:rsidRPr="00A87AAD">
              <w:t>7.73</w:t>
            </w:r>
          </w:p>
        </w:tc>
        <w:tc>
          <w:tcPr>
            <w:tcW w:w="1008" w:type="dxa"/>
          </w:tcPr>
          <w:p w:rsidR="004D1AC7" w:rsidRPr="00A87AAD" w:rsidRDefault="004D1AC7" w:rsidP="00EE054E">
            <w:pPr>
              <w:ind w:left="49" w:right="34"/>
            </w:pPr>
            <w:r w:rsidRPr="00A87AAD">
              <w:t>2.1</w:t>
            </w:r>
          </w:p>
        </w:tc>
        <w:tc>
          <w:tcPr>
            <w:tcW w:w="1134" w:type="dxa"/>
          </w:tcPr>
          <w:p w:rsidR="004D1AC7" w:rsidRPr="00A87AAD" w:rsidRDefault="004D1AC7" w:rsidP="00EE054E">
            <w:pPr>
              <w:ind w:left="49" w:right="34"/>
            </w:pPr>
            <w:r w:rsidRPr="00A87AAD">
              <w:t>20</w:t>
            </w:r>
          </w:p>
        </w:tc>
      </w:tr>
      <w:tr w:rsidR="004D1AC7" w:rsidRPr="00A87AAD" w:rsidTr="00A87AAD">
        <w:trPr>
          <w:trHeight w:val="210"/>
        </w:trPr>
        <w:tc>
          <w:tcPr>
            <w:tcW w:w="1372" w:type="dxa"/>
            <w:vMerge/>
          </w:tcPr>
          <w:p w:rsidR="004D1AC7" w:rsidRPr="00A87AAD" w:rsidRDefault="004D1AC7" w:rsidP="00EE054E">
            <w:pPr>
              <w:ind w:left="0" w:right="22"/>
              <w:rPr>
                <w:color w:val="C00000"/>
              </w:rPr>
            </w:pPr>
          </w:p>
        </w:tc>
        <w:tc>
          <w:tcPr>
            <w:tcW w:w="1212" w:type="dxa"/>
            <w:vMerge/>
          </w:tcPr>
          <w:p w:rsidR="004D1AC7" w:rsidRPr="00A87AAD" w:rsidRDefault="004D1AC7" w:rsidP="00D57878">
            <w:pPr>
              <w:ind w:left="46" w:right="0"/>
              <w:rPr>
                <w:color w:val="C00000"/>
              </w:rPr>
            </w:pPr>
          </w:p>
        </w:tc>
        <w:tc>
          <w:tcPr>
            <w:tcW w:w="1573" w:type="dxa"/>
          </w:tcPr>
          <w:p w:rsidR="004D1AC7" w:rsidRPr="00A87AAD" w:rsidRDefault="004D1AC7" w:rsidP="00EE054E">
            <w:pPr>
              <w:ind w:left="0" w:right="0"/>
            </w:pPr>
            <w:r w:rsidRPr="00A87AAD">
              <w:t>0.083</w:t>
            </w:r>
          </w:p>
        </w:tc>
        <w:tc>
          <w:tcPr>
            <w:tcW w:w="1465" w:type="dxa"/>
          </w:tcPr>
          <w:p w:rsidR="004D1AC7" w:rsidRPr="00A87AAD" w:rsidRDefault="004D1AC7" w:rsidP="00EE054E">
            <w:pPr>
              <w:ind w:left="0" w:right="19"/>
            </w:pPr>
            <w:r w:rsidRPr="00A87AAD">
              <w:t>1.1</w:t>
            </w:r>
          </w:p>
        </w:tc>
        <w:tc>
          <w:tcPr>
            <w:tcW w:w="1275" w:type="dxa"/>
          </w:tcPr>
          <w:p w:rsidR="004D1AC7" w:rsidRPr="00A87AAD" w:rsidRDefault="004D1AC7" w:rsidP="00EE054E">
            <w:pPr>
              <w:ind w:left="48" w:right="0"/>
            </w:pPr>
            <w:r w:rsidRPr="00A87AAD">
              <w:t>9.47</w:t>
            </w:r>
          </w:p>
        </w:tc>
        <w:tc>
          <w:tcPr>
            <w:tcW w:w="1008" w:type="dxa"/>
          </w:tcPr>
          <w:p w:rsidR="004D1AC7" w:rsidRPr="00A87AAD" w:rsidRDefault="004D1AC7" w:rsidP="00EE054E">
            <w:pPr>
              <w:ind w:left="49" w:right="34"/>
            </w:pPr>
            <w:r w:rsidRPr="00A87AAD">
              <w:t>5</w:t>
            </w:r>
          </w:p>
        </w:tc>
        <w:tc>
          <w:tcPr>
            <w:tcW w:w="1134" w:type="dxa"/>
          </w:tcPr>
          <w:p w:rsidR="004D1AC7" w:rsidRPr="00A87AAD" w:rsidRDefault="004D1AC7" w:rsidP="00EE054E">
            <w:pPr>
              <w:ind w:left="49" w:right="34"/>
            </w:pPr>
            <w:r w:rsidRPr="00A87AAD">
              <w:t>24</w:t>
            </w:r>
          </w:p>
        </w:tc>
      </w:tr>
      <w:tr w:rsidR="004D1AC7" w:rsidRPr="00A87AAD" w:rsidTr="00A87AAD">
        <w:trPr>
          <w:trHeight w:val="210"/>
        </w:trPr>
        <w:tc>
          <w:tcPr>
            <w:tcW w:w="1372" w:type="dxa"/>
            <w:vMerge/>
          </w:tcPr>
          <w:p w:rsidR="004D1AC7" w:rsidRPr="00A87AAD" w:rsidRDefault="004D1AC7" w:rsidP="00EE054E">
            <w:pPr>
              <w:ind w:left="0" w:right="22"/>
              <w:rPr>
                <w:color w:val="C00000"/>
              </w:rPr>
            </w:pPr>
          </w:p>
        </w:tc>
        <w:tc>
          <w:tcPr>
            <w:tcW w:w="1212" w:type="dxa"/>
            <w:vMerge/>
          </w:tcPr>
          <w:p w:rsidR="004D1AC7" w:rsidRPr="00A87AAD" w:rsidRDefault="004D1AC7" w:rsidP="00D57878">
            <w:pPr>
              <w:ind w:left="46" w:right="0"/>
              <w:rPr>
                <w:color w:val="C00000"/>
              </w:rPr>
            </w:pPr>
          </w:p>
        </w:tc>
        <w:tc>
          <w:tcPr>
            <w:tcW w:w="1573" w:type="dxa"/>
          </w:tcPr>
          <w:p w:rsidR="004D1AC7" w:rsidRPr="00A87AAD" w:rsidRDefault="004D1AC7" w:rsidP="00EE054E">
            <w:pPr>
              <w:ind w:left="0" w:right="0"/>
            </w:pPr>
            <w:r w:rsidRPr="00A87AAD">
              <w:t>0.20</w:t>
            </w:r>
          </w:p>
        </w:tc>
        <w:tc>
          <w:tcPr>
            <w:tcW w:w="1465" w:type="dxa"/>
          </w:tcPr>
          <w:p w:rsidR="004D1AC7" w:rsidRPr="00A87AAD" w:rsidRDefault="004D1AC7" w:rsidP="00EE054E">
            <w:pPr>
              <w:ind w:left="0" w:right="19"/>
            </w:pPr>
            <w:r w:rsidRPr="00A87AAD">
              <w:t>2.8</w:t>
            </w:r>
          </w:p>
        </w:tc>
        <w:tc>
          <w:tcPr>
            <w:tcW w:w="1275" w:type="dxa"/>
          </w:tcPr>
          <w:p w:rsidR="004D1AC7" w:rsidRPr="00A87AAD" w:rsidRDefault="004D1AC7" w:rsidP="00EE054E">
            <w:pPr>
              <w:ind w:left="48" w:right="0"/>
            </w:pPr>
            <w:r w:rsidRPr="00A87AAD">
              <w:t>17.3</w:t>
            </w:r>
          </w:p>
        </w:tc>
        <w:tc>
          <w:tcPr>
            <w:tcW w:w="1008" w:type="dxa"/>
          </w:tcPr>
          <w:p w:rsidR="004D1AC7" w:rsidRPr="00A87AAD" w:rsidRDefault="004D1AC7" w:rsidP="00EE054E">
            <w:pPr>
              <w:ind w:left="49" w:right="34"/>
            </w:pPr>
            <w:r w:rsidRPr="00A87AAD">
              <w:t>11</w:t>
            </w:r>
          </w:p>
        </w:tc>
        <w:tc>
          <w:tcPr>
            <w:tcW w:w="1134" w:type="dxa"/>
          </w:tcPr>
          <w:p w:rsidR="004D1AC7" w:rsidRPr="00A87AAD" w:rsidRDefault="004D1AC7" w:rsidP="00EE054E">
            <w:pPr>
              <w:ind w:left="49" w:right="34"/>
            </w:pPr>
            <w:r w:rsidRPr="00A87AAD">
              <w:t>44</w:t>
            </w:r>
          </w:p>
        </w:tc>
      </w:tr>
      <w:tr w:rsidR="004D1AC7" w:rsidRPr="00A87AAD" w:rsidTr="00A87AAD">
        <w:trPr>
          <w:trHeight w:val="210"/>
        </w:trPr>
        <w:tc>
          <w:tcPr>
            <w:tcW w:w="1372" w:type="dxa"/>
            <w:vMerge/>
          </w:tcPr>
          <w:p w:rsidR="004D1AC7" w:rsidRPr="00A87AAD" w:rsidRDefault="004D1AC7" w:rsidP="00EE054E">
            <w:pPr>
              <w:ind w:left="0" w:right="22"/>
              <w:rPr>
                <w:color w:val="C00000"/>
              </w:rPr>
            </w:pPr>
          </w:p>
        </w:tc>
        <w:tc>
          <w:tcPr>
            <w:tcW w:w="1212" w:type="dxa"/>
            <w:vMerge w:val="restart"/>
          </w:tcPr>
          <w:p w:rsidR="004D1AC7" w:rsidRPr="00A87AAD" w:rsidRDefault="004D1AC7" w:rsidP="00D57878">
            <w:pPr>
              <w:ind w:left="46" w:right="0"/>
            </w:pPr>
            <w:r w:rsidRPr="00A87AAD">
              <w:t>RCC 810797</w:t>
            </w:r>
          </w:p>
          <w:p w:rsidR="004D1AC7" w:rsidRPr="00D57878" w:rsidRDefault="004D1AC7" w:rsidP="00D57878">
            <w:pPr>
              <w:ind w:left="46" w:right="0"/>
              <w:rPr>
                <w:sz w:val="16"/>
                <w:szCs w:val="16"/>
              </w:rPr>
            </w:pPr>
            <w:r w:rsidRPr="00D57878">
              <w:rPr>
                <w:sz w:val="16"/>
                <w:szCs w:val="16"/>
              </w:rPr>
              <w:t>(PK: B.34273.04)</w:t>
            </w:r>
          </w:p>
          <w:p w:rsidR="004D1AC7" w:rsidRPr="00A87AAD" w:rsidRDefault="004D1AC7" w:rsidP="00D57878">
            <w:pPr>
              <w:ind w:left="46" w:right="0"/>
            </w:pPr>
            <w:r w:rsidRPr="00D57878">
              <w:rPr>
                <w:sz w:val="16"/>
                <w:szCs w:val="16"/>
              </w:rPr>
              <w:t>[26 weeks]</w:t>
            </w:r>
          </w:p>
        </w:tc>
        <w:tc>
          <w:tcPr>
            <w:tcW w:w="1573" w:type="dxa"/>
          </w:tcPr>
          <w:p w:rsidR="004D1AC7" w:rsidRPr="00A87AAD" w:rsidRDefault="004D1AC7" w:rsidP="00EE054E">
            <w:pPr>
              <w:ind w:left="0" w:right="0"/>
            </w:pPr>
            <w:r w:rsidRPr="00A87AAD">
              <w:t>0.10</w:t>
            </w:r>
          </w:p>
        </w:tc>
        <w:tc>
          <w:tcPr>
            <w:tcW w:w="1465" w:type="dxa"/>
          </w:tcPr>
          <w:p w:rsidR="004D1AC7" w:rsidRPr="00A87AAD" w:rsidRDefault="004D1AC7" w:rsidP="00EE054E">
            <w:pPr>
              <w:ind w:left="0" w:right="19"/>
            </w:pPr>
            <w:r w:rsidRPr="00A87AAD">
              <w:t>1.4</w:t>
            </w:r>
          </w:p>
        </w:tc>
        <w:tc>
          <w:tcPr>
            <w:tcW w:w="1275" w:type="dxa"/>
          </w:tcPr>
          <w:p w:rsidR="004D1AC7" w:rsidRPr="00A87AAD" w:rsidRDefault="004D1AC7" w:rsidP="00EE054E">
            <w:pPr>
              <w:ind w:left="48" w:right="0"/>
            </w:pPr>
            <w:r w:rsidRPr="00A87AAD">
              <w:t>9.71</w:t>
            </w:r>
          </w:p>
        </w:tc>
        <w:tc>
          <w:tcPr>
            <w:tcW w:w="1008" w:type="dxa"/>
          </w:tcPr>
          <w:p w:rsidR="004D1AC7" w:rsidRPr="00A87AAD" w:rsidRDefault="004D1AC7" w:rsidP="00EE054E">
            <w:pPr>
              <w:ind w:left="49" w:right="34"/>
            </w:pPr>
            <w:r w:rsidRPr="00A87AAD">
              <w:t>6</w:t>
            </w:r>
          </w:p>
        </w:tc>
        <w:tc>
          <w:tcPr>
            <w:tcW w:w="1134" w:type="dxa"/>
          </w:tcPr>
          <w:p w:rsidR="004D1AC7" w:rsidRPr="00A87AAD" w:rsidRDefault="004D1AC7" w:rsidP="00EE054E">
            <w:pPr>
              <w:ind w:left="49" w:right="34"/>
            </w:pPr>
            <w:r w:rsidRPr="00A87AAD">
              <w:t>25</w:t>
            </w:r>
          </w:p>
        </w:tc>
      </w:tr>
      <w:tr w:rsidR="004D1AC7" w:rsidRPr="00A87AAD" w:rsidTr="00A87AAD">
        <w:trPr>
          <w:trHeight w:val="210"/>
        </w:trPr>
        <w:tc>
          <w:tcPr>
            <w:tcW w:w="1372" w:type="dxa"/>
            <w:vMerge/>
          </w:tcPr>
          <w:p w:rsidR="004D1AC7" w:rsidRPr="00A87AAD" w:rsidRDefault="004D1AC7" w:rsidP="00EE054E">
            <w:pPr>
              <w:ind w:left="0" w:right="22"/>
              <w:rPr>
                <w:color w:val="C00000"/>
              </w:rPr>
            </w:pPr>
          </w:p>
        </w:tc>
        <w:tc>
          <w:tcPr>
            <w:tcW w:w="1212" w:type="dxa"/>
            <w:vMerge/>
          </w:tcPr>
          <w:p w:rsidR="004D1AC7" w:rsidRPr="00A87AAD" w:rsidRDefault="004D1AC7" w:rsidP="00D57878">
            <w:pPr>
              <w:ind w:left="46" w:right="0"/>
              <w:rPr>
                <w:color w:val="C00000"/>
              </w:rPr>
            </w:pPr>
          </w:p>
        </w:tc>
        <w:tc>
          <w:tcPr>
            <w:tcW w:w="1573" w:type="dxa"/>
          </w:tcPr>
          <w:p w:rsidR="004D1AC7" w:rsidRPr="00A87AAD" w:rsidRDefault="004D1AC7" w:rsidP="00EE054E">
            <w:pPr>
              <w:ind w:left="0" w:right="0"/>
            </w:pPr>
            <w:r w:rsidRPr="00A87AAD">
              <w:t>0.47</w:t>
            </w:r>
          </w:p>
        </w:tc>
        <w:tc>
          <w:tcPr>
            <w:tcW w:w="1465" w:type="dxa"/>
          </w:tcPr>
          <w:p w:rsidR="004D1AC7" w:rsidRPr="00A87AAD" w:rsidRDefault="004D1AC7" w:rsidP="00EE054E">
            <w:pPr>
              <w:ind w:left="0" w:right="19"/>
            </w:pPr>
            <w:r w:rsidRPr="00A87AAD">
              <w:t>6.5</w:t>
            </w:r>
          </w:p>
        </w:tc>
        <w:tc>
          <w:tcPr>
            <w:tcW w:w="1275" w:type="dxa"/>
          </w:tcPr>
          <w:p w:rsidR="004D1AC7" w:rsidRPr="00A87AAD" w:rsidRDefault="004D1AC7" w:rsidP="00EE054E">
            <w:pPr>
              <w:ind w:left="48" w:right="0"/>
            </w:pPr>
            <w:r w:rsidRPr="00A87AAD">
              <w:t>29.6</w:t>
            </w:r>
          </w:p>
        </w:tc>
        <w:tc>
          <w:tcPr>
            <w:tcW w:w="1008" w:type="dxa"/>
          </w:tcPr>
          <w:p w:rsidR="004D1AC7" w:rsidRPr="00A87AAD" w:rsidRDefault="004D1AC7" w:rsidP="00EE054E">
            <w:pPr>
              <w:ind w:left="49" w:right="34"/>
            </w:pPr>
            <w:r w:rsidRPr="00A87AAD">
              <w:t>27</w:t>
            </w:r>
          </w:p>
        </w:tc>
        <w:tc>
          <w:tcPr>
            <w:tcW w:w="1134" w:type="dxa"/>
          </w:tcPr>
          <w:p w:rsidR="004D1AC7" w:rsidRPr="00A87AAD" w:rsidRDefault="004D1AC7" w:rsidP="00EE054E">
            <w:pPr>
              <w:ind w:left="49" w:right="34"/>
            </w:pPr>
            <w:r w:rsidRPr="00A87AAD">
              <w:t>76</w:t>
            </w:r>
          </w:p>
        </w:tc>
      </w:tr>
      <w:tr w:rsidR="004D1AC7" w:rsidRPr="00A87AAD" w:rsidTr="00A87AAD">
        <w:trPr>
          <w:trHeight w:val="210"/>
        </w:trPr>
        <w:tc>
          <w:tcPr>
            <w:tcW w:w="1372" w:type="dxa"/>
            <w:vMerge/>
          </w:tcPr>
          <w:p w:rsidR="004D1AC7" w:rsidRPr="00A87AAD" w:rsidRDefault="004D1AC7" w:rsidP="00EE054E">
            <w:pPr>
              <w:ind w:left="0" w:right="22"/>
              <w:rPr>
                <w:color w:val="C00000"/>
              </w:rPr>
            </w:pPr>
          </w:p>
        </w:tc>
        <w:tc>
          <w:tcPr>
            <w:tcW w:w="1212" w:type="dxa"/>
            <w:vMerge/>
          </w:tcPr>
          <w:p w:rsidR="004D1AC7" w:rsidRPr="00A87AAD" w:rsidRDefault="004D1AC7" w:rsidP="00D57878">
            <w:pPr>
              <w:ind w:left="46" w:right="0"/>
              <w:rPr>
                <w:color w:val="C00000"/>
              </w:rPr>
            </w:pPr>
          </w:p>
        </w:tc>
        <w:tc>
          <w:tcPr>
            <w:tcW w:w="1573" w:type="dxa"/>
          </w:tcPr>
          <w:p w:rsidR="004D1AC7" w:rsidRPr="00A87AAD" w:rsidRDefault="004D1AC7" w:rsidP="00EE054E">
            <w:pPr>
              <w:ind w:left="0" w:right="0"/>
            </w:pPr>
            <w:r w:rsidRPr="00A87AAD">
              <w:t>2.4</w:t>
            </w:r>
          </w:p>
        </w:tc>
        <w:tc>
          <w:tcPr>
            <w:tcW w:w="1465" w:type="dxa"/>
          </w:tcPr>
          <w:p w:rsidR="004D1AC7" w:rsidRPr="00A87AAD" w:rsidRDefault="004D1AC7" w:rsidP="00EE054E">
            <w:pPr>
              <w:ind w:left="0" w:right="19"/>
            </w:pPr>
            <w:r w:rsidRPr="00A87AAD">
              <w:t>33.1</w:t>
            </w:r>
          </w:p>
        </w:tc>
        <w:tc>
          <w:tcPr>
            <w:tcW w:w="1275" w:type="dxa"/>
          </w:tcPr>
          <w:p w:rsidR="004D1AC7" w:rsidRPr="00A87AAD" w:rsidRDefault="004D1AC7" w:rsidP="00EE054E">
            <w:pPr>
              <w:ind w:left="48" w:right="0"/>
            </w:pPr>
            <w:r w:rsidRPr="00A87AAD">
              <w:t>118.0</w:t>
            </w:r>
          </w:p>
        </w:tc>
        <w:tc>
          <w:tcPr>
            <w:tcW w:w="1008" w:type="dxa"/>
          </w:tcPr>
          <w:p w:rsidR="004D1AC7" w:rsidRPr="00A87AAD" w:rsidRDefault="004D1AC7" w:rsidP="00EE054E">
            <w:pPr>
              <w:ind w:left="49" w:right="34"/>
            </w:pPr>
            <w:r w:rsidRPr="00A87AAD">
              <w:t>137</w:t>
            </w:r>
          </w:p>
        </w:tc>
        <w:tc>
          <w:tcPr>
            <w:tcW w:w="1134" w:type="dxa"/>
          </w:tcPr>
          <w:p w:rsidR="004D1AC7" w:rsidRPr="00A87AAD" w:rsidRDefault="004D1AC7" w:rsidP="00EE054E">
            <w:pPr>
              <w:ind w:left="49" w:right="34"/>
            </w:pPr>
            <w:r w:rsidRPr="00A87AAD">
              <w:t>303</w:t>
            </w:r>
          </w:p>
        </w:tc>
      </w:tr>
      <w:tr w:rsidR="004D1AC7" w:rsidRPr="00A87AAD" w:rsidTr="00A87AAD">
        <w:trPr>
          <w:trHeight w:val="210"/>
        </w:trPr>
        <w:tc>
          <w:tcPr>
            <w:tcW w:w="1372" w:type="dxa"/>
            <w:vMerge/>
          </w:tcPr>
          <w:p w:rsidR="004D1AC7" w:rsidRPr="00A87AAD" w:rsidRDefault="004D1AC7" w:rsidP="00EE054E">
            <w:pPr>
              <w:ind w:left="0" w:right="22"/>
              <w:rPr>
                <w:color w:val="C00000"/>
              </w:rPr>
            </w:pPr>
          </w:p>
        </w:tc>
        <w:tc>
          <w:tcPr>
            <w:tcW w:w="1212" w:type="dxa"/>
            <w:vMerge w:val="restart"/>
          </w:tcPr>
          <w:p w:rsidR="004D1AC7" w:rsidRPr="00A87AAD" w:rsidRDefault="004D1AC7" w:rsidP="00D57878">
            <w:pPr>
              <w:ind w:left="46" w:right="0"/>
            </w:pPr>
            <w:r w:rsidRPr="00A87AAD">
              <w:t>RCC 852076</w:t>
            </w:r>
          </w:p>
          <w:p w:rsidR="004D1AC7" w:rsidRPr="00D57878" w:rsidRDefault="004D1AC7" w:rsidP="00D57878">
            <w:pPr>
              <w:ind w:left="46" w:right="0"/>
              <w:rPr>
                <w:sz w:val="16"/>
                <w:szCs w:val="16"/>
              </w:rPr>
            </w:pPr>
            <w:r w:rsidRPr="00D57878">
              <w:rPr>
                <w:sz w:val="16"/>
                <w:szCs w:val="16"/>
              </w:rPr>
              <w:t>(PK: B.34273.27)</w:t>
            </w:r>
            <w:r w:rsidRPr="00D57878">
              <w:rPr>
                <w:sz w:val="16"/>
                <w:szCs w:val="16"/>
              </w:rPr>
              <w:br/>
              <w:t>[carcinogenicity]</w:t>
            </w:r>
          </w:p>
        </w:tc>
        <w:tc>
          <w:tcPr>
            <w:tcW w:w="1573" w:type="dxa"/>
          </w:tcPr>
          <w:p w:rsidR="004D1AC7" w:rsidRPr="00A87AAD" w:rsidRDefault="004D1AC7" w:rsidP="00EE054E">
            <w:pPr>
              <w:ind w:left="0" w:right="0"/>
            </w:pPr>
            <w:r w:rsidRPr="00A87AAD">
              <w:t>0.019</w:t>
            </w:r>
          </w:p>
        </w:tc>
        <w:tc>
          <w:tcPr>
            <w:tcW w:w="1465" w:type="dxa"/>
          </w:tcPr>
          <w:p w:rsidR="004D1AC7" w:rsidRPr="00A87AAD" w:rsidRDefault="004D1AC7" w:rsidP="00EE054E">
            <w:pPr>
              <w:ind w:left="0" w:right="19"/>
            </w:pPr>
            <w:r w:rsidRPr="00A87AAD">
              <w:t>0.26</w:t>
            </w:r>
          </w:p>
        </w:tc>
        <w:tc>
          <w:tcPr>
            <w:tcW w:w="1275" w:type="dxa"/>
          </w:tcPr>
          <w:p w:rsidR="004D1AC7" w:rsidRPr="00A87AAD" w:rsidRDefault="004D1AC7" w:rsidP="00EE054E">
            <w:pPr>
              <w:ind w:left="48" w:right="0"/>
            </w:pPr>
            <w:r w:rsidRPr="00A87AAD">
              <w:t>–</w:t>
            </w:r>
          </w:p>
        </w:tc>
        <w:tc>
          <w:tcPr>
            <w:tcW w:w="1008" w:type="dxa"/>
          </w:tcPr>
          <w:p w:rsidR="004D1AC7" w:rsidRPr="00A87AAD" w:rsidRDefault="004D1AC7" w:rsidP="00EE054E">
            <w:pPr>
              <w:ind w:left="49" w:right="34"/>
            </w:pPr>
            <w:r w:rsidRPr="00A87AAD">
              <w:t>1.1</w:t>
            </w:r>
          </w:p>
        </w:tc>
        <w:tc>
          <w:tcPr>
            <w:tcW w:w="1134" w:type="dxa"/>
          </w:tcPr>
          <w:p w:rsidR="004D1AC7" w:rsidRPr="00A87AAD" w:rsidRDefault="004D1AC7" w:rsidP="00EE054E">
            <w:pPr>
              <w:ind w:left="49" w:right="34"/>
            </w:pPr>
            <w:r w:rsidRPr="00A87AAD">
              <w:t>–</w:t>
            </w:r>
          </w:p>
        </w:tc>
      </w:tr>
      <w:tr w:rsidR="004D1AC7" w:rsidRPr="00A87AAD" w:rsidTr="00A87AAD">
        <w:trPr>
          <w:trHeight w:val="210"/>
        </w:trPr>
        <w:tc>
          <w:tcPr>
            <w:tcW w:w="1372" w:type="dxa"/>
            <w:vMerge/>
          </w:tcPr>
          <w:p w:rsidR="004D1AC7" w:rsidRPr="00A87AAD" w:rsidRDefault="004D1AC7" w:rsidP="00EE054E">
            <w:pPr>
              <w:ind w:left="0" w:right="22"/>
              <w:rPr>
                <w:color w:val="C00000"/>
              </w:rPr>
            </w:pPr>
          </w:p>
        </w:tc>
        <w:tc>
          <w:tcPr>
            <w:tcW w:w="1212" w:type="dxa"/>
            <w:vMerge/>
          </w:tcPr>
          <w:p w:rsidR="004D1AC7" w:rsidRPr="00A87AAD" w:rsidRDefault="004D1AC7" w:rsidP="00D57878">
            <w:pPr>
              <w:ind w:left="46" w:right="0"/>
              <w:rPr>
                <w:color w:val="C00000"/>
              </w:rPr>
            </w:pPr>
          </w:p>
        </w:tc>
        <w:tc>
          <w:tcPr>
            <w:tcW w:w="1573" w:type="dxa"/>
          </w:tcPr>
          <w:p w:rsidR="004D1AC7" w:rsidRPr="00A87AAD" w:rsidRDefault="004D1AC7" w:rsidP="00EE054E">
            <w:pPr>
              <w:ind w:left="0" w:right="0"/>
            </w:pPr>
            <w:r w:rsidRPr="00A87AAD">
              <w:t>0.069</w:t>
            </w:r>
          </w:p>
        </w:tc>
        <w:tc>
          <w:tcPr>
            <w:tcW w:w="1465" w:type="dxa"/>
          </w:tcPr>
          <w:p w:rsidR="004D1AC7" w:rsidRPr="00A87AAD" w:rsidRDefault="004D1AC7" w:rsidP="00EE054E">
            <w:pPr>
              <w:ind w:left="0" w:right="19"/>
            </w:pPr>
            <w:r w:rsidRPr="00A87AAD">
              <w:t>0.95</w:t>
            </w:r>
          </w:p>
        </w:tc>
        <w:tc>
          <w:tcPr>
            <w:tcW w:w="1275" w:type="dxa"/>
          </w:tcPr>
          <w:p w:rsidR="004D1AC7" w:rsidRPr="00A87AAD" w:rsidRDefault="004D1AC7" w:rsidP="00EE054E">
            <w:pPr>
              <w:ind w:left="48" w:right="0"/>
            </w:pPr>
            <w:r w:rsidRPr="00A87AAD">
              <w:t>16.9</w:t>
            </w:r>
          </w:p>
        </w:tc>
        <w:tc>
          <w:tcPr>
            <w:tcW w:w="1008" w:type="dxa"/>
          </w:tcPr>
          <w:p w:rsidR="004D1AC7" w:rsidRPr="00A87AAD" w:rsidRDefault="004D1AC7" w:rsidP="00EE054E">
            <w:pPr>
              <w:ind w:left="49" w:right="34"/>
            </w:pPr>
            <w:r w:rsidRPr="00A87AAD">
              <w:t>4</w:t>
            </w:r>
          </w:p>
        </w:tc>
        <w:tc>
          <w:tcPr>
            <w:tcW w:w="1134" w:type="dxa"/>
          </w:tcPr>
          <w:p w:rsidR="004D1AC7" w:rsidRPr="00A87AAD" w:rsidRDefault="004D1AC7" w:rsidP="00EE054E">
            <w:pPr>
              <w:ind w:left="49" w:right="34"/>
            </w:pPr>
            <w:r w:rsidRPr="00A87AAD">
              <w:t>43</w:t>
            </w:r>
          </w:p>
        </w:tc>
      </w:tr>
      <w:tr w:rsidR="004D1AC7" w:rsidRPr="00A87AAD" w:rsidTr="00A87AAD">
        <w:trPr>
          <w:trHeight w:val="210"/>
        </w:trPr>
        <w:tc>
          <w:tcPr>
            <w:tcW w:w="1372" w:type="dxa"/>
            <w:vMerge/>
          </w:tcPr>
          <w:p w:rsidR="004D1AC7" w:rsidRPr="00A87AAD" w:rsidRDefault="004D1AC7" w:rsidP="00EE054E">
            <w:pPr>
              <w:ind w:left="0" w:right="22"/>
              <w:rPr>
                <w:color w:val="C00000"/>
              </w:rPr>
            </w:pPr>
          </w:p>
        </w:tc>
        <w:tc>
          <w:tcPr>
            <w:tcW w:w="1212" w:type="dxa"/>
            <w:vMerge/>
          </w:tcPr>
          <w:p w:rsidR="004D1AC7" w:rsidRPr="00A87AAD" w:rsidRDefault="004D1AC7" w:rsidP="00D57878">
            <w:pPr>
              <w:ind w:left="46" w:right="0"/>
              <w:rPr>
                <w:color w:val="C00000"/>
              </w:rPr>
            </w:pPr>
          </w:p>
        </w:tc>
        <w:tc>
          <w:tcPr>
            <w:tcW w:w="1573" w:type="dxa"/>
          </w:tcPr>
          <w:p w:rsidR="004D1AC7" w:rsidRPr="00A87AAD" w:rsidRDefault="004D1AC7" w:rsidP="00EE054E">
            <w:pPr>
              <w:ind w:left="0" w:right="0"/>
            </w:pPr>
            <w:r w:rsidRPr="00A87AAD">
              <w:t>0.20</w:t>
            </w:r>
          </w:p>
        </w:tc>
        <w:tc>
          <w:tcPr>
            <w:tcW w:w="1465" w:type="dxa"/>
          </w:tcPr>
          <w:p w:rsidR="004D1AC7" w:rsidRPr="00A87AAD" w:rsidRDefault="004D1AC7" w:rsidP="00EE054E">
            <w:pPr>
              <w:ind w:left="0" w:right="19"/>
            </w:pPr>
            <w:r w:rsidRPr="00A87AAD">
              <w:t>2.8</w:t>
            </w:r>
          </w:p>
        </w:tc>
        <w:tc>
          <w:tcPr>
            <w:tcW w:w="1275" w:type="dxa"/>
          </w:tcPr>
          <w:p w:rsidR="004D1AC7" w:rsidRPr="00A87AAD" w:rsidRDefault="004D1AC7" w:rsidP="00EE054E">
            <w:pPr>
              <w:ind w:left="48" w:right="0"/>
            </w:pPr>
            <w:r w:rsidRPr="00A87AAD">
              <w:t>21.4</w:t>
            </w:r>
          </w:p>
        </w:tc>
        <w:tc>
          <w:tcPr>
            <w:tcW w:w="1008" w:type="dxa"/>
          </w:tcPr>
          <w:p w:rsidR="004D1AC7" w:rsidRPr="00A87AAD" w:rsidRDefault="004D1AC7" w:rsidP="00EE054E">
            <w:pPr>
              <w:ind w:left="49" w:right="34"/>
            </w:pPr>
            <w:r w:rsidRPr="00A87AAD">
              <w:t>11</w:t>
            </w:r>
          </w:p>
        </w:tc>
        <w:tc>
          <w:tcPr>
            <w:tcW w:w="1134" w:type="dxa"/>
          </w:tcPr>
          <w:p w:rsidR="004D1AC7" w:rsidRPr="00A87AAD" w:rsidRDefault="004D1AC7" w:rsidP="00EE054E">
            <w:pPr>
              <w:ind w:left="49" w:right="34"/>
            </w:pPr>
            <w:r w:rsidRPr="00A87AAD">
              <w:t>55</w:t>
            </w:r>
          </w:p>
        </w:tc>
      </w:tr>
      <w:tr w:rsidR="00D57878" w:rsidRPr="00A87AAD" w:rsidTr="00EE054E">
        <w:trPr>
          <w:trHeight w:val="560"/>
        </w:trPr>
        <w:tc>
          <w:tcPr>
            <w:tcW w:w="1372" w:type="dxa"/>
            <w:vMerge w:val="restart"/>
          </w:tcPr>
          <w:p w:rsidR="00D57878" w:rsidRPr="00A87AAD" w:rsidRDefault="00D57878" w:rsidP="00D57878">
            <w:pPr>
              <w:rPr>
                <w:color w:val="C00000"/>
              </w:rPr>
            </w:pPr>
            <w:r w:rsidRPr="00B465EC">
              <w:t>Dog</w:t>
            </w:r>
            <w:r w:rsidRPr="00B465EC">
              <w:br/>
              <w:t>Beagle</w:t>
            </w:r>
          </w:p>
        </w:tc>
        <w:tc>
          <w:tcPr>
            <w:tcW w:w="1212" w:type="dxa"/>
            <w:vMerge w:val="restart"/>
          </w:tcPr>
          <w:p w:rsidR="00D57878" w:rsidRPr="00B465EC" w:rsidRDefault="00D57878" w:rsidP="00D57878">
            <w:pPr>
              <w:ind w:left="46" w:right="0"/>
            </w:pPr>
            <w:r w:rsidRPr="00B465EC">
              <w:t>RCC 810808</w:t>
            </w:r>
          </w:p>
          <w:p w:rsidR="00D57878" w:rsidRPr="00D57878" w:rsidRDefault="00D57878" w:rsidP="00D57878">
            <w:pPr>
              <w:ind w:left="46" w:right="0"/>
              <w:rPr>
                <w:color w:val="C00000"/>
                <w:sz w:val="16"/>
                <w:szCs w:val="16"/>
              </w:rPr>
            </w:pPr>
            <w:r w:rsidRPr="00D57878">
              <w:rPr>
                <w:sz w:val="16"/>
                <w:szCs w:val="16"/>
              </w:rPr>
              <w:t>(PK: B.34273.07)</w:t>
            </w:r>
            <w:r w:rsidRPr="00D57878">
              <w:rPr>
                <w:sz w:val="16"/>
                <w:szCs w:val="16"/>
              </w:rPr>
              <w:br/>
              <w:t>[9 months; pivotal]</w:t>
            </w:r>
          </w:p>
        </w:tc>
        <w:tc>
          <w:tcPr>
            <w:tcW w:w="1573" w:type="dxa"/>
          </w:tcPr>
          <w:p w:rsidR="00D57878" w:rsidRPr="00B465EC" w:rsidRDefault="00D57878" w:rsidP="00D57878">
            <w:r w:rsidRPr="00B465EC">
              <w:t>0.031</w:t>
            </w:r>
          </w:p>
        </w:tc>
        <w:tc>
          <w:tcPr>
            <w:tcW w:w="1465" w:type="dxa"/>
          </w:tcPr>
          <w:p w:rsidR="00D57878" w:rsidRPr="00A87AAD" w:rsidRDefault="00D57878" w:rsidP="00D57878">
            <w:r w:rsidRPr="00B465EC">
              <w:t>0.97</w:t>
            </w:r>
          </w:p>
        </w:tc>
        <w:tc>
          <w:tcPr>
            <w:tcW w:w="1275" w:type="dxa"/>
          </w:tcPr>
          <w:p w:rsidR="00D57878" w:rsidRPr="00A87AAD" w:rsidRDefault="00D57878" w:rsidP="00D57878">
            <w:r w:rsidRPr="00B465EC">
              <w:t>0.352</w:t>
            </w:r>
          </w:p>
        </w:tc>
        <w:tc>
          <w:tcPr>
            <w:tcW w:w="1008" w:type="dxa"/>
          </w:tcPr>
          <w:p w:rsidR="00D57878" w:rsidRPr="00A87AAD" w:rsidRDefault="00D57878" w:rsidP="00D57878">
            <w:r w:rsidRPr="00B465EC">
              <w:t>4</w:t>
            </w:r>
          </w:p>
        </w:tc>
        <w:tc>
          <w:tcPr>
            <w:tcW w:w="1134" w:type="dxa"/>
          </w:tcPr>
          <w:p w:rsidR="00D57878" w:rsidRPr="00A87AAD" w:rsidRDefault="00D57878" w:rsidP="00D57878">
            <w:r w:rsidRPr="00B465EC">
              <w:t>0.9</w:t>
            </w:r>
          </w:p>
        </w:tc>
      </w:tr>
      <w:tr w:rsidR="00D57878" w:rsidRPr="00A87AAD" w:rsidTr="00A87AAD">
        <w:trPr>
          <w:trHeight w:val="559"/>
        </w:trPr>
        <w:tc>
          <w:tcPr>
            <w:tcW w:w="1372" w:type="dxa"/>
            <w:vMerge/>
          </w:tcPr>
          <w:p w:rsidR="00D57878" w:rsidRPr="00B465EC" w:rsidRDefault="00D57878" w:rsidP="00D57878">
            <w:pPr>
              <w:rPr>
                <w:b/>
                <w:kern w:val="2"/>
              </w:rPr>
            </w:pPr>
          </w:p>
        </w:tc>
        <w:tc>
          <w:tcPr>
            <w:tcW w:w="1212" w:type="dxa"/>
            <w:vMerge/>
          </w:tcPr>
          <w:p w:rsidR="00D57878" w:rsidRPr="00B465EC" w:rsidRDefault="00D57878" w:rsidP="00D57878">
            <w:pPr>
              <w:ind w:left="46" w:right="0"/>
              <w:rPr>
                <w:kern w:val="2"/>
              </w:rPr>
            </w:pPr>
          </w:p>
        </w:tc>
        <w:tc>
          <w:tcPr>
            <w:tcW w:w="1573" w:type="dxa"/>
          </w:tcPr>
          <w:p w:rsidR="00D57878" w:rsidRPr="00A87AAD" w:rsidRDefault="00D57878" w:rsidP="00D57878">
            <w:r w:rsidRPr="00920FB8">
              <w:rPr>
                <w:kern w:val="2"/>
              </w:rPr>
              <w:t>0.225</w:t>
            </w:r>
          </w:p>
        </w:tc>
        <w:tc>
          <w:tcPr>
            <w:tcW w:w="1465" w:type="dxa"/>
          </w:tcPr>
          <w:p w:rsidR="00D57878" w:rsidRPr="00A87AAD" w:rsidRDefault="00D57878" w:rsidP="00D57878">
            <w:r w:rsidRPr="00254DB2">
              <w:t>7.0</w:t>
            </w:r>
          </w:p>
        </w:tc>
        <w:tc>
          <w:tcPr>
            <w:tcW w:w="1275" w:type="dxa"/>
          </w:tcPr>
          <w:p w:rsidR="00D57878" w:rsidRPr="00A87AAD" w:rsidRDefault="00D57878" w:rsidP="00D57878">
            <w:r w:rsidRPr="00B325AC">
              <w:rPr>
                <w:kern w:val="2"/>
              </w:rPr>
              <w:t>9.27</w:t>
            </w:r>
          </w:p>
        </w:tc>
        <w:tc>
          <w:tcPr>
            <w:tcW w:w="1008" w:type="dxa"/>
          </w:tcPr>
          <w:p w:rsidR="00D57878" w:rsidRPr="00A87AAD" w:rsidRDefault="00D57878" w:rsidP="00D57878">
            <w:r w:rsidRPr="000F6B4F">
              <w:t>29</w:t>
            </w:r>
          </w:p>
        </w:tc>
        <w:tc>
          <w:tcPr>
            <w:tcW w:w="1134" w:type="dxa"/>
          </w:tcPr>
          <w:p w:rsidR="00D57878" w:rsidRPr="00A87AAD" w:rsidRDefault="00D57878" w:rsidP="00D57878">
            <w:r w:rsidRPr="000F6B4F">
              <w:t>24</w:t>
            </w:r>
          </w:p>
        </w:tc>
      </w:tr>
      <w:tr w:rsidR="00D57878" w:rsidRPr="00A87AAD" w:rsidTr="00A87AAD">
        <w:trPr>
          <w:trHeight w:val="559"/>
        </w:trPr>
        <w:tc>
          <w:tcPr>
            <w:tcW w:w="1372" w:type="dxa"/>
            <w:vMerge/>
          </w:tcPr>
          <w:p w:rsidR="00D57878" w:rsidRPr="00B465EC" w:rsidRDefault="00D57878" w:rsidP="00D57878">
            <w:pPr>
              <w:rPr>
                <w:b/>
                <w:kern w:val="2"/>
              </w:rPr>
            </w:pPr>
          </w:p>
        </w:tc>
        <w:tc>
          <w:tcPr>
            <w:tcW w:w="1212" w:type="dxa"/>
            <w:vMerge/>
          </w:tcPr>
          <w:p w:rsidR="00D57878" w:rsidRPr="00B465EC" w:rsidRDefault="00D57878" w:rsidP="00D57878">
            <w:pPr>
              <w:ind w:left="46" w:right="0"/>
              <w:rPr>
                <w:kern w:val="2"/>
              </w:rPr>
            </w:pPr>
          </w:p>
        </w:tc>
        <w:tc>
          <w:tcPr>
            <w:tcW w:w="1573" w:type="dxa"/>
          </w:tcPr>
          <w:p w:rsidR="00D57878" w:rsidRPr="00A87AAD" w:rsidRDefault="00D57878" w:rsidP="00D57878">
            <w:r w:rsidRPr="00920FB8">
              <w:rPr>
                <w:kern w:val="2"/>
              </w:rPr>
              <w:t>0.810</w:t>
            </w:r>
          </w:p>
        </w:tc>
        <w:tc>
          <w:tcPr>
            <w:tcW w:w="1465" w:type="dxa"/>
          </w:tcPr>
          <w:p w:rsidR="00D57878" w:rsidRPr="00A87AAD" w:rsidRDefault="00D57878" w:rsidP="00D57878">
            <w:r w:rsidRPr="00254DB2">
              <w:t>25.3</w:t>
            </w:r>
          </w:p>
        </w:tc>
        <w:tc>
          <w:tcPr>
            <w:tcW w:w="1275" w:type="dxa"/>
          </w:tcPr>
          <w:p w:rsidR="00D57878" w:rsidRPr="00A87AAD" w:rsidRDefault="00D57878" w:rsidP="00D57878">
            <w:r w:rsidRPr="00920FB8">
              <w:rPr>
                <w:kern w:val="2"/>
              </w:rPr>
              <w:t>14.4</w:t>
            </w:r>
          </w:p>
        </w:tc>
        <w:tc>
          <w:tcPr>
            <w:tcW w:w="1008" w:type="dxa"/>
          </w:tcPr>
          <w:p w:rsidR="00D57878" w:rsidRPr="00A87AAD" w:rsidRDefault="00D57878" w:rsidP="00D57878">
            <w:r w:rsidRPr="000F6B4F">
              <w:t>105</w:t>
            </w:r>
          </w:p>
        </w:tc>
        <w:tc>
          <w:tcPr>
            <w:tcW w:w="1134" w:type="dxa"/>
          </w:tcPr>
          <w:p w:rsidR="00D57878" w:rsidRPr="00A87AAD" w:rsidRDefault="00D57878" w:rsidP="00D57878">
            <w:r w:rsidRPr="000F6B4F">
              <w:t>37</w:t>
            </w:r>
          </w:p>
        </w:tc>
      </w:tr>
      <w:tr w:rsidR="00D57878" w:rsidRPr="00A87AAD" w:rsidTr="00A87AAD">
        <w:trPr>
          <w:trHeight w:val="559"/>
        </w:trPr>
        <w:tc>
          <w:tcPr>
            <w:tcW w:w="1372" w:type="dxa"/>
          </w:tcPr>
          <w:p w:rsidR="00D57878" w:rsidRPr="00B465EC" w:rsidRDefault="00D57878" w:rsidP="00D57878">
            <w:pPr>
              <w:rPr>
                <w:b/>
              </w:rPr>
            </w:pPr>
            <w:r w:rsidRPr="00D57878">
              <w:t>Human</w:t>
            </w:r>
            <w:r w:rsidRPr="00D57878">
              <w:br/>
            </w:r>
            <w:r w:rsidRPr="0070460C">
              <w:t>COPD patients</w:t>
            </w:r>
          </w:p>
        </w:tc>
        <w:tc>
          <w:tcPr>
            <w:tcW w:w="1212" w:type="dxa"/>
          </w:tcPr>
          <w:p w:rsidR="00D57878" w:rsidRPr="00D57878" w:rsidRDefault="00D57878" w:rsidP="00D57878">
            <w:pPr>
              <w:ind w:left="46" w:right="0"/>
              <w:rPr>
                <w:sz w:val="16"/>
                <w:szCs w:val="16"/>
              </w:rPr>
            </w:pPr>
            <w:r w:rsidRPr="00D57878">
              <w:rPr>
                <w:sz w:val="16"/>
                <w:szCs w:val="16"/>
              </w:rPr>
              <w:t>[steady state]</w:t>
            </w:r>
          </w:p>
        </w:tc>
        <w:tc>
          <w:tcPr>
            <w:tcW w:w="1573" w:type="dxa"/>
          </w:tcPr>
          <w:p w:rsidR="00D57878" w:rsidRPr="00920FB8" w:rsidRDefault="00D57878" w:rsidP="00D57878">
            <w:pPr>
              <w:rPr>
                <w:kern w:val="2"/>
              </w:rPr>
            </w:pPr>
            <w:r w:rsidRPr="00920FB8">
              <w:rPr>
                <w:kern w:val="2"/>
              </w:rPr>
              <w:t xml:space="preserve">[800 </w:t>
            </w:r>
            <w:r>
              <w:rPr>
                <w:kern w:val="2"/>
              </w:rPr>
              <w:t>µ</w:t>
            </w:r>
            <w:r w:rsidRPr="00920FB8">
              <w:rPr>
                <w:kern w:val="2"/>
              </w:rPr>
              <w:t>g/day]</w:t>
            </w:r>
          </w:p>
        </w:tc>
        <w:tc>
          <w:tcPr>
            <w:tcW w:w="1465" w:type="dxa"/>
          </w:tcPr>
          <w:p w:rsidR="00D57878" w:rsidRPr="00254DB2" w:rsidRDefault="00D57878" w:rsidP="00D57878">
            <w:r w:rsidRPr="00B312E7">
              <w:rPr>
                <w:kern w:val="2"/>
              </w:rPr>
              <w:t>0.241</w:t>
            </w:r>
          </w:p>
        </w:tc>
        <w:tc>
          <w:tcPr>
            <w:tcW w:w="1275" w:type="dxa"/>
          </w:tcPr>
          <w:p w:rsidR="00D57878" w:rsidRPr="00920FB8" w:rsidRDefault="00D57878" w:rsidP="00D57878">
            <w:pPr>
              <w:rPr>
                <w:kern w:val="2"/>
              </w:rPr>
            </w:pPr>
            <w:r w:rsidRPr="00920FB8">
              <w:rPr>
                <w:szCs w:val="18"/>
              </w:rPr>
              <w:t>0.390</w:t>
            </w:r>
            <w:r>
              <w:rPr>
                <w:szCs w:val="18"/>
                <w:vertAlign w:val="superscript"/>
              </w:rPr>
              <w:t>#</w:t>
            </w:r>
          </w:p>
        </w:tc>
        <w:tc>
          <w:tcPr>
            <w:tcW w:w="1008" w:type="dxa"/>
          </w:tcPr>
          <w:p w:rsidR="00D57878" w:rsidRPr="000F6B4F" w:rsidRDefault="00D57878" w:rsidP="00D57878">
            <w:r w:rsidRPr="000F6B4F">
              <w:rPr>
                <w:kern w:val="2"/>
              </w:rPr>
              <w:t>–</w:t>
            </w:r>
          </w:p>
        </w:tc>
        <w:tc>
          <w:tcPr>
            <w:tcW w:w="1134" w:type="dxa"/>
          </w:tcPr>
          <w:p w:rsidR="00D57878" w:rsidRPr="000F6B4F" w:rsidRDefault="00D57878" w:rsidP="00D57878">
            <w:r w:rsidRPr="000F6B4F">
              <w:rPr>
                <w:kern w:val="2"/>
              </w:rPr>
              <w:t>–</w:t>
            </w:r>
          </w:p>
        </w:tc>
      </w:tr>
    </w:tbl>
    <w:p w:rsidR="004D1AC7" w:rsidRPr="000F6B4F" w:rsidRDefault="004D1AC7" w:rsidP="00D57878">
      <w:pPr>
        <w:pStyle w:val="TableDescription"/>
      </w:pPr>
      <w:r>
        <w:t>Plasma AUC values in animals are from the last day sampled and for males and females combined</w:t>
      </w:r>
      <w:proofErr w:type="gramStart"/>
      <w:r>
        <w:t>;</w:t>
      </w:r>
      <w:proofErr w:type="gramEnd"/>
      <w:r>
        <w:br/>
      </w:r>
      <w:r w:rsidRPr="00942A60">
        <w:rPr>
          <w:vertAlign w:val="superscript"/>
        </w:rPr>
        <w:t>#</w:t>
      </w:r>
      <w:r>
        <w:t xml:space="preserve"> = based on doubling of the AUC</w:t>
      </w:r>
      <w:r w:rsidRPr="00942A60">
        <w:rPr>
          <w:vertAlign w:val="subscript"/>
        </w:rPr>
        <w:t>0–24</w:t>
      </w:r>
      <w:r w:rsidRPr="00942A60">
        <w:rPr>
          <w:w w:val="50"/>
          <w:vertAlign w:val="subscript"/>
        </w:rPr>
        <w:t> </w:t>
      </w:r>
      <w:r w:rsidRPr="00942A60">
        <w:rPr>
          <w:vertAlign w:val="subscript"/>
        </w:rPr>
        <w:t>h</w:t>
      </w:r>
      <w:r>
        <w:t xml:space="preserve"> value reported at 400 μg QD in Clinical Study M.34273/09 (0.195 ng·h/mL), to account for BD administration. L=local and S=systemic exposure</w:t>
      </w:r>
      <w:r w:rsidR="00D57878">
        <w:t>.</w:t>
      </w:r>
    </w:p>
    <w:p w:rsidR="00443CE2" w:rsidRPr="00996974" w:rsidRDefault="00443CE2" w:rsidP="00996974">
      <w:pPr>
        <w:pStyle w:val="Heading4"/>
      </w:pPr>
      <w:r w:rsidRPr="00443CE2">
        <w:t>Major toxicities</w:t>
      </w:r>
    </w:p>
    <w:p w:rsidR="00443CE2" w:rsidRPr="00443CE2" w:rsidRDefault="00443CE2" w:rsidP="00996974">
      <w:r w:rsidRPr="00443CE2">
        <w:t xml:space="preserve">The major target organs for toxicity identified in the inhalational studies were respiratory tract tissues (nasal cavity, larynx and lung), the Harderian gland and the parotid gland. Changes were also observed in the liver and effects on the eye and heart </w:t>
      </w:r>
      <w:r w:rsidR="004D1AC7">
        <w:t xml:space="preserve">were </w:t>
      </w:r>
      <w:r w:rsidRPr="00443CE2">
        <w:t>also seen. Studies involving inhalational administration are the focus of the assessment, though findings from studies not involving the clinical route are also discussed below where relevant.</w:t>
      </w:r>
    </w:p>
    <w:p w:rsidR="00443CE2" w:rsidRPr="00443CE2" w:rsidRDefault="00443CE2" w:rsidP="00996974">
      <w:r w:rsidRPr="00443CE2">
        <w:t>No treatment</w:t>
      </w:r>
      <w:r w:rsidR="004D1AC7">
        <w:t xml:space="preserve"> </w:t>
      </w:r>
      <w:r w:rsidRPr="00443CE2">
        <w:t xml:space="preserve">related histopathological lesions were found in mice treated at </w:t>
      </w:r>
      <w:r w:rsidR="004D1AC7">
        <w:t>≤</w:t>
      </w:r>
      <w:r w:rsidRPr="00443CE2">
        <w:t xml:space="preserve">2.55 mg/kg/day by inhalation </w:t>
      </w:r>
      <w:proofErr w:type="gramStart"/>
      <w:r w:rsidRPr="00443CE2">
        <w:t>for 3 months (local exposure ratio [ERlocal] 127; systemic exposure ratio [ERsystemic] 266])</w:t>
      </w:r>
      <w:proofErr w:type="gramEnd"/>
      <w:r w:rsidRPr="00443CE2">
        <w:t xml:space="preserve"> nor in any of the inhalational studies in dogs (</w:t>
      </w:r>
      <w:r w:rsidR="004D1AC7">
        <w:t>≤</w:t>
      </w:r>
      <w:r w:rsidRPr="00443CE2">
        <w:t>0.810 mg/kg/day in the pivotal 9</w:t>
      </w:r>
      <w:r w:rsidR="004D1AC7">
        <w:t xml:space="preserve"> </w:t>
      </w:r>
      <w:r w:rsidRPr="00443CE2">
        <w:t>month study; ERlocal 105; ERsystemic 37).</w:t>
      </w:r>
    </w:p>
    <w:p w:rsidR="00443CE2" w:rsidRPr="00443CE2" w:rsidRDefault="00443CE2" w:rsidP="00996974">
      <w:r w:rsidRPr="00443CE2">
        <w:t xml:space="preserve">In rats, nasal cavity goblet cell hyperplasia and inflammation were found with inhalational administration at all doses used in the </w:t>
      </w:r>
      <w:r w:rsidR="00710686">
        <w:t>short term</w:t>
      </w:r>
      <w:r w:rsidRPr="00443CE2">
        <w:t xml:space="preserve"> studies (</w:t>
      </w:r>
      <w:r w:rsidR="004D1AC7">
        <w:t>≥</w:t>
      </w:r>
      <w:r w:rsidRPr="00443CE2">
        <w:t xml:space="preserve">0.4 mg/kg/day for 2 weeks; </w:t>
      </w:r>
      <w:r w:rsidR="004D1AC7">
        <w:t>≥</w:t>
      </w:r>
      <w:r w:rsidRPr="00443CE2">
        <w:t xml:space="preserve">0.16 mg/kg/day for 4 weeks) and there was an increased incidence of nasal cavity goblet cell proliferation with treatment at </w:t>
      </w:r>
      <w:r w:rsidR="006F7F8B">
        <w:t>≥</w:t>
      </w:r>
      <w:r w:rsidRPr="00443CE2">
        <w:t>0.47 mg/kg/day for 6 months. A low incidence of nasal cavity hyaline inclusions (minimal in severity) and epithelial disorganisation (slight) was seen at 0.20 mg/kg/day in rats in the pivotal 6</w:t>
      </w:r>
      <w:r w:rsidR="006F7F8B">
        <w:t xml:space="preserve"> </w:t>
      </w:r>
      <w:r w:rsidRPr="00443CE2">
        <w:t>month study, while there were no nasal cavity lesions at 0.083 mg/kg/day (</w:t>
      </w:r>
      <w:r w:rsidR="000F5E03">
        <w:t>ERlocal</w:t>
      </w:r>
      <w:r w:rsidRPr="00443CE2">
        <w:t xml:space="preserve"> 5). Noting the absence of similar findings in dogs, rats are more sensitive to such changes compared with other species due to the greater relative drug deposition in this region.</w:t>
      </w:r>
    </w:p>
    <w:p w:rsidR="00443CE2" w:rsidRPr="00443CE2" w:rsidRDefault="00443CE2" w:rsidP="00996974">
      <w:r w:rsidRPr="00443CE2">
        <w:t xml:space="preserve">Squamous metaplasia was observed in the rat larynx at </w:t>
      </w:r>
      <w:r w:rsidR="006F7F8B">
        <w:t>≥</w:t>
      </w:r>
      <w:r w:rsidRPr="00443CE2">
        <w:t>0.036 mg/kg/day by inhalation in the pivotal study (</w:t>
      </w:r>
      <w:r w:rsidR="000F5E03">
        <w:t>ERlocal</w:t>
      </w:r>
      <w:r w:rsidRPr="00443CE2">
        <w:t xml:space="preserve"> 2.1 [ERlocal at the </w:t>
      </w:r>
      <w:r w:rsidR="006F7F8B">
        <w:t>No Observable Effect Level (</w:t>
      </w:r>
      <w:r w:rsidRPr="00443CE2">
        <w:t>NOEL</w:t>
      </w:r>
      <w:r w:rsidR="006F7F8B">
        <w:t>)</w:t>
      </w:r>
      <w:r w:rsidRPr="00443CE2">
        <w:t xml:space="preserve"> [0.010 mg/kg/day], 0.6). This was of low incidence, minimal in severity up to the highest dose used in the study (0.20 mg/kg/day; </w:t>
      </w:r>
      <w:r w:rsidR="000F5E03">
        <w:t>ERlocal</w:t>
      </w:r>
      <w:r w:rsidRPr="00443CE2">
        <w:t xml:space="preserve"> 11), is considered an adaptive response</w:t>
      </w:r>
      <w:r w:rsidR="00615C4C">
        <w:rPr>
          <w:rStyle w:val="FootnoteReference"/>
        </w:rPr>
        <w:footnoteReference w:id="6"/>
      </w:r>
      <w:r w:rsidRPr="00443CE2">
        <w:t xml:space="preserve"> and was completely reversible. Findings from the rat carcinogenicity study confirm it is not a pre-neoplastic lesion.</w:t>
      </w:r>
    </w:p>
    <w:p w:rsidR="00443CE2" w:rsidRPr="00443CE2" w:rsidRDefault="00443CE2" w:rsidP="00996974">
      <w:r w:rsidRPr="00443CE2">
        <w:t xml:space="preserve">Microscopic findings in the lungs of rats in the pivotal 6 month study comprised increased alveolar macrophages, alveolar haemosiderin deposition and a slight increase in the incidence/severity of haemosiderin deposition in the adventitia of blood vessels, observed at inhalational doses </w:t>
      </w:r>
      <w:r w:rsidR="006F7F8B">
        <w:t>≥</w:t>
      </w:r>
      <w:r w:rsidRPr="00443CE2">
        <w:t>0.08 mg/kg/day; these were fully reversed after a 6 week treatment</w:t>
      </w:r>
      <w:r w:rsidR="006F7F8B">
        <w:t xml:space="preserve"> </w:t>
      </w:r>
      <w:r w:rsidRPr="00443CE2">
        <w:t>free period. Alveolar macrophage conglomeration with compression of alveolar walls and perivascular inflammation was seen in another 6</w:t>
      </w:r>
      <w:r w:rsidR="006F7F8B">
        <w:t xml:space="preserve"> </w:t>
      </w:r>
      <w:r w:rsidRPr="00443CE2">
        <w:t xml:space="preserve">month inhalational rat study (chiefly at </w:t>
      </w:r>
      <w:r w:rsidR="006F7F8B">
        <w:t>≥</w:t>
      </w:r>
      <w:r w:rsidRPr="00443CE2">
        <w:t xml:space="preserve">0.47 mg/kg/day; </w:t>
      </w:r>
      <w:r w:rsidR="000F5E03">
        <w:t>ERlocal</w:t>
      </w:r>
      <w:r w:rsidRPr="00443CE2">
        <w:t xml:space="preserve"> </w:t>
      </w:r>
      <w:r w:rsidR="006F7F8B">
        <w:t>≥</w:t>
      </w:r>
      <w:r w:rsidRPr="00443CE2">
        <w:t>27) but the finding was not confirmed in further 6</w:t>
      </w:r>
      <w:r w:rsidR="006F7F8B">
        <w:t xml:space="preserve"> </w:t>
      </w:r>
      <w:r w:rsidRPr="00443CE2">
        <w:t>month studies. The NOEL for effects on the lung is 0.036 mg/kg/day in the rat (</w:t>
      </w:r>
      <w:r w:rsidR="000F5E03">
        <w:t>ERlocal</w:t>
      </w:r>
      <w:r w:rsidRPr="00443CE2">
        <w:t xml:space="preserve"> 2.1) and 0.810 mg/kg/day in the dog (</w:t>
      </w:r>
      <w:r w:rsidR="000F5E03">
        <w:t>ERlocal</w:t>
      </w:r>
      <w:r w:rsidRPr="00443CE2">
        <w:t xml:space="preserve"> 105).</w:t>
      </w:r>
    </w:p>
    <w:p w:rsidR="006F7F8B" w:rsidRDefault="00443CE2" w:rsidP="00996974">
      <w:r w:rsidRPr="00443CE2">
        <w:t>Effects on glands were noted in rats and/or dogs and are considered to reflect reduced secretions (classic antimuscarinic activity). Increased porphyrin deposition (</w:t>
      </w:r>
      <w:r w:rsidR="006F7F8B">
        <w:t>≥</w:t>
      </w:r>
      <w:r w:rsidRPr="00443CE2">
        <w:t>0.010 mg/kg/day), acinar hypertrophy (≥0.036 mg/kg/day), acinar hyperplasia (2.0 mg/kg/day) and acinar dilation (3.9 mg/kg/day) were observed in the Harderian gland in inhalational studies in rats; the findings are not relevant to</w:t>
      </w:r>
      <w:r w:rsidR="00996974">
        <w:t xml:space="preserve"> humans, which lack this gland.</w:t>
      </w:r>
    </w:p>
    <w:p w:rsidR="00443CE2" w:rsidRPr="00443CE2" w:rsidRDefault="00443CE2" w:rsidP="00996974">
      <w:r w:rsidRPr="00443CE2">
        <w:t>The parotid gland showed basophilic acini and acinar hypertrophy at all dose levels in the pivotal rat study (</w:t>
      </w:r>
      <w:r w:rsidR="006F7F8B">
        <w:t>≥</w:t>
      </w:r>
      <w:r w:rsidRPr="00443CE2">
        <w:t xml:space="preserve">0.010 mg/kg/day; </w:t>
      </w:r>
      <w:r w:rsidR="000F5E03">
        <w:t>ERsystemic</w:t>
      </w:r>
      <w:r w:rsidRPr="00443CE2">
        <w:t xml:space="preserve"> </w:t>
      </w:r>
      <w:r w:rsidR="006F7F8B">
        <w:t>≥</w:t>
      </w:r>
      <w:r w:rsidRPr="00443CE2">
        <w:t>13), with acinar atrophy observed at higher doses in other 6</w:t>
      </w:r>
      <w:r w:rsidR="006F7F8B">
        <w:t xml:space="preserve"> </w:t>
      </w:r>
      <w:r w:rsidRPr="00443CE2">
        <w:t>month studies (</w:t>
      </w:r>
      <w:r w:rsidR="006F7F8B">
        <w:t>≥</w:t>
      </w:r>
      <w:r w:rsidRPr="00443CE2">
        <w:t xml:space="preserve">0.47 mg/kg/day; </w:t>
      </w:r>
      <w:r w:rsidR="000F5E03">
        <w:t>ERsystemic</w:t>
      </w:r>
      <w:r w:rsidRPr="00443CE2">
        <w:t xml:space="preserve"> </w:t>
      </w:r>
      <w:r w:rsidR="006F7F8B">
        <w:t>≥</w:t>
      </w:r>
      <w:r w:rsidRPr="00443CE2">
        <w:t>76). Dry oral mucus membranes and dry nose were observed in dogs with IV administration (</w:t>
      </w:r>
      <w:r w:rsidR="006F7F8B">
        <w:t>≥</w:t>
      </w:r>
      <w:r w:rsidRPr="00443CE2">
        <w:t xml:space="preserve">0.06 mg/kg/day). Suppression of body weight gain with decreased food consumption was commonly observed across studies and is probably at least partly due to decreased salivation. A number of deaths in the rat inhalational studies are also seen to be related to decreased salivation, leading to asphyxiation from choking during nightly food consumption. Gasping and coughing or retching episodes were shown to be induced by SC treatment in rats and accompanied by increased intrathoracic pressure. Minor haemorrhages in the lung may have resulted from the gasping/choking episodes, giving rise to the hemosiderin deposition observed in the lungs in the species. Tear production was decreased in dogs at </w:t>
      </w:r>
      <w:r w:rsidR="006F7F8B">
        <w:t>≥</w:t>
      </w:r>
      <w:r w:rsidRPr="00443CE2">
        <w:t>0.225 mg/kg/day by inhalation (</w:t>
      </w:r>
      <w:r w:rsidR="000F5E03">
        <w:t>ERsystemic</w:t>
      </w:r>
      <w:r w:rsidRPr="00443CE2">
        <w:t xml:space="preserve"> </w:t>
      </w:r>
      <w:r w:rsidR="006F7F8B">
        <w:t>≥</w:t>
      </w:r>
      <w:r w:rsidRPr="00443CE2">
        <w:t>24) and conjunctivitis and keratitis were noted in the eyes of dogs treated at 5 or 25 mg/kg/day PO.</w:t>
      </w:r>
    </w:p>
    <w:p w:rsidR="00443CE2" w:rsidRPr="00443CE2" w:rsidRDefault="00443CE2" w:rsidP="00996974">
      <w:r w:rsidRPr="00443CE2">
        <w:t xml:space="preserve">Hepatocellular hypertrophy was observed in rats treated at </w:t>
      </w:r>
      <w:r w:rsidR="006F7F8B">
        <w:t>≥</w:t>
      </w:r>
      <w:r w:rsidRPr="00443CE2">
        <w:t xml:space="preserve">0.083 mg/kg/day by inhalation for 6 months; reversibility was shown. The pivotal studies establish </w:t>
      </w:r>
      <w:r w:rsidR="006F7F8B">
        <w:t>No Adverse Effect Levels (</w:t>
      </w:r>
      <w:r w:rsidRPr="00443CE2">
        <w:t>NOAELs</w:t>
      </w:r>
      <w:r w:rsidR="006F7F8B">
        <w:t>)</w:t>
      </w:r>
      <w:r w:rsidRPr="00443CE2">
        <w:t xml:space="preserve"> for liver changes of 0.036 mg/kg/day in rats (</w:t>
      </w:r>
      <w:r w:rsidR="000F5E03">
        <w:t>ERsystemic</w:t>
      </w:r>
      <w:r w:rsidRPr="00443CE2">
        <w:t xml:space="preserve"> 20) and 0.810 mg/kg/day in dogs (</w:t>
      </w:r>
      <w:r w:rsidR="000F5E03">
        <w:t>ERsystemic</w:t>
      </w:r>
      <w:r w:rsidRPr="00443CE2">
        <w:t xml:space="preserve"> 37).</w:t>
      </w:r>
    </w:p>
    <w:p w:rsidR="00443CE2" w:rsidRPr="00443CE2" w:rsidRDefault="00443CE2" w:rsidP="00996974">
      <w:r w:rsidRPr="00443CE2">
        <w:t xml:space="preserve">Various additional findings of note in the studies relate to the drug’s antimuscarinic activity. Heart rate was increased in the pivotal dog study at </w:t>
      </w:r>
      <w:r w:rsidR="006F7F8B">
        <w:t>≥</w:t>
      </w:r>
      <w:r w:rsidRPr="00443CE2">
        <w:t xml:space="preserve">0.225 mg/kg/day by inhalation; there were no cardiac lesions. Aclidinium bromide induced mydriasis in rats at 2 mg/kg/day by inhalation and also at </w:t>
      </w:r>
      <w:r w:rsidR="006F7F8B">
        <w:t>≥</w:t>
      </w:r>
      <w:r w:rsidRPr="00443CE2">
        <w:t xml:space="preserve">150 mg/kg/day PO, at </w:t>
      </w:r>
      <w:r w:rsidR="006F7F8B">
        <w:t>≥</w:t>
      </w:r>
      <w:r w:rsidRPr="00443CE2">
        <w:t xml:space="preserve">0.06 mg/kg/day IV and at 1 mg/kg/day SC. Oral administration was associated with compacted faeces in rats at </w:t>
      </w:r>
      <w:r w:rsidR="006F7F8B">
        <w:t>≥</w:t>
      </w:r>
      <w:r w:rsidRPr="00443CE2">
        <w:t>40 mg/kg/day, attributable to local anticholinergic effects on gastrointestinal smooth muscle. Signs of central anticholinergic activity (somnolence, tremors, recumbency and decreased activity) were observed in dogs at 200 mg/kg/day PO and 0.6 mg/kg/day IV.</w:t>
      </w:r>
    </w:p>
    <w:p w:rsidR="00443CE2" w:rsidRPr="00443CE2" w:rsidRDefault="00443CE2" w:rsidP="00996974">
      <w:pPr>
        <w:pStyle w:val="Heading4"/>
      </w:pPr>
      <w:r w:rsidRPr="00443CE2">
        <w:t>Genotoxicity</w:t>
      </w:r>
    </w:p>
    <w:p w:rsidR="00443CE2" w:rsidRPr="00443CE2" w:rsidRDefault="00443CE2" w:rsidP="00996974">
      <w:r w:rsidRPr="00443CE2">
        <w:t xml:space="preserve">The potential genotoxicity of aclidinium bromide was investigated in the standard battery of tests (bacterial mutagenicity, mouse lymphoma tk assay and bone marrow micronucleus test) as well as in an assay for unscheduled </w:t>
      </w:r>
      <w:r w:rsidR="006F7F8B" w:rsidRPr="006F7F8B">
        <w:t>deoxyribonucleic acid</w:t>
      </w:r>
      <w:r w:rsidR="006F7F8B">
        <w:t xml:space="preserve"> (</w:t>
      </w:r>
      <w:r w:rsidRPr="00443CE2">
        <w:t>DNA</w:t>
      </w:r>
      <w:r w:rsidR="006F7F8B">
        <w:t>)</w:t>
      </w:r>
      <w:r w:rsidRPr="00443CE2">
        <w:t xml:space="preserve"> synthesis ex vivo in hepatocytes. The conduct of the studies was in accordance with </w:t>
      </w:r>
      <w:r w:rsidR="006F7F8B">
        <w:t>relevant EU</w:t>
      </w:r>
      <w:r w:rsidRPr="00443CE2">
        <w:t xml:space="preserve"> guidelines. Concentrations/doses used were appropriate. A suitable set of </w:t>
      </w:r>
      <w:r w:rsidR="00615C4C" w:rsidRPr="00615C4C">
        <w:rPr>
          <w:i/>
        </w:rPr>
        <w:t>Salmonella</w:t>
      </w:r>
      <w:r w:rsidR="00615C4C" w:rsidRPr="00615C4C">
        <w:t xml:space="preserve"> </w:t>
      </w:r>
      <w:r w:rsidRPr="006F7F8B">
        <w:rPr>
          <w:i/>
        </w:rPr>
        <w:t>typhimurium</w:t>
      </w:r>
      <w:r w:rsidRPr="00443CE2">
        <w:t xml:space="preserve"> and </w:t>
      </w:r>
      <w:r w:rsidR="00615C4C" w:rsidRPr="00615C4C">
        <w:rPr>
          <w:i/>
        </w:rPr>
        <w:t>Escherichia coli</w:t>
      </w:r>
      <w:r w:rsidR="00615C4C" w:rsidRPr="00615C4C">
        <w:t xml:space="preserve"> </w:t>
      </w:r>
      <w:r w:rsidR="00615C4C">
        <w:t>(</w:t>
      </w:r>
      <w:r w:rsidRPr="006F7F8B">
        <w:rPr>
          <w:i/>
        </w:rPr>
        <w:t>E. coli</w:t>
      </w:r>
      <w:r w:rsidR="00615C4C" w:rsidRPr="00615C4C">
        <w:t>)</w:t>
      </w:r>
      <w:r w:rsidRPr="00615C4C">
        <w:t xml:space="preserve"> </w:t>
      </w:r>
      <w:r w:rsidRPr="00443CE2">
        <w:t>strains were used in the bacterial mutation assays.</w:t>
      </w:r>
    </w:p>
    <w:p w:rsidR="00443CE2" w:rsidRPr="00443CE2" w:rsidRDefault="00443CE2" w:rsidP="00996974">
      <w:r w:rsidRPr="00443CE2">
        <w:t>Equivocal results were obtained with the drug in the in vitro assays. When seen, increases in revertants in the bacterial mutagenicity assays were generally small (close to 2</w:t>
      </w:r>
      <w:r w:rsidR="006F7F8B">
        <w:t xml:space="preserve"> </w:t>
      </w:r>
      <w:r w:rsidRPr="00443CE2">
        <w:t>fold), and increases in mutant colony frequency in the mammalian forward mutation assay (observed only in the presence of metabolic activation) were also relatively modest and without concentration</w:t>
      </w:r>
      <w:r w:rsidR="006F7F8B">
        <w:t xml:space="preserve"> </w:t>
      </w:r>
      <w:r w:rsidRPr="00443CE2">
        <w:t>dependence. Clear negative results were obtained</w:t>
      </w:r>
      <w:r w:rsidR="006F7F8B">
        <w:t xml:space="preserve"> though</w:t>
      </w:r>
      <w:r w:rsidRPr="00443CE2">
        <w:t xml:space="preserve"> in both assays involving treatment in vivo. The highest doses used in the studies yield plasma levels of aclidinium bromide and its main metabolites massively greater than that in patients. In the bone marrow micronucleus test, conducted by the oral route in mice, animal:</w:t>
      </w:r>
      <w:r w:rsidR="006F7F8B">
        <w:t xml:space="preserve"> </w:t>
      </w:r>
      <w:r w:rsidRPr="00443CE2">
        <w:t>human exposure ratios (based on plasma C</w:t>
      </w:r>
      <w:r w:rsidRPr="006F7F8B">
        <w:rPr>
          <w:vertAlign w:val="subscript"/>
        </w:rPr>
        <w:t>max</w:t>
      </w:r>
      <w:r w:rsidRPr="00443CE2">
        <w:t xml:space="preserve"> and AUC) at the highest dose used (2000 mg/kg) were &gt;2400</w:t>
      </w:r>
      <w:r w:rsidR="006F7F8B">
        <w:t xml:space="preserve"> </w:t>
      </w:r>
      <w:r w:rsidRPr="00443CE2">
        <w:t>times for the unchanged drug, &gt;660</w:t>
      </w:r>
      <w:r w:rsidR="006F7F8B">
        <w:t xml:space="preserve"> </w:t>
      </w:r>
      <w:r w:rsidRPr="00443CE2">
        <w:t>times for the alcohol metabolite and &gt;8200</w:t>
      </w:r>
      <w:r w:rsidR="006F7F8B">
        <w:t xml:space="preserve"> </w:t>
      </w:r>
      <w:r w:rsidRPr="00443CE2">
        <w:t>times for the carboxylic acid metabolite. For the unscheduled DNA synthesis assay, conducted by the SC route in rats, plasma levels measured in animals at the highest dose (20 mg/kg) were &gt;5400</w:t>
      </w:r>
      <w:r w:rsidR="006F7F8B">
        <w:t xml:space="preserve"> </w:t>
      </w:r>
      <w:r w:rsidRPr="00443CE2">
        <w:t>times higher than the clinical C</w:t>
      </w:r>
      <w:r w:rsidRPr="006F7F8B">
        <w:rPr>
          <w:vertAlign w:val="subscript"/>
        </w:rPr>
        <w:t>max</w:t>
      </w:r>
      <w:r w:rsidRPr="00443CE2">
        <w:t xml:space="preserve"> for aclidinium bromide, and &gt;1200 and &gt;300</w:t>
      </w:r>
      <w:r w:rsidR="006F7F8B">
        <w:t xml:space="preserve"> </w:t>
      </w:r>
      <w:r w:rsidRPr="00443CE2">
        <w:t>times greater for the alcohol and carboxylic acid metabolites. On a weight of evidence basis, aclidinium bromide is not considered to pose a genotoxic hazard to patients. The results of the carcinogenicity studies support that the drug is devoid of relevant genotoxic activity.</w:t>
      </w:r>
    </w:p>
    <w:p w:rsidR="00443CE2" w:rsidRPr="00996974" w:rsidRDefault="00443CE2" w:rsidP="00996974">
      <w:pPr>
        <w:pStyle w:val="Heading4"/>
      </w:pPr>
      <w:r w:rsidRPr="00443CE2">
        <w:t>Carcinogenicity</w:t>
      </w:r>
    </w:p>
    <w:p w:rsidR="00443CE2" w:rsidRPr="00443CE2" w:rsidRDefault="00443CE2" w:rsidP="00996974">
      <w:r w:rsidRPr="00443CE2">
        <w:t>The carcinogenic potential of aclidinium bromide by the inhalational route was investigated in 2 year studies in mice and rats. Group sizes were adequate and dose selection was appropriate. The highest dose levels used exceeded the maximum tolerated dose (based on suppression of body weight gain of &gt;10%) but survival was unaffected by treatment. Very high multiples of the clinical AUC were obtained in both studies.</w:t>
      </w:r>
    </w:p>
    <w:p w:rsidR="00443CE2" w:rsidRPr="00443CE2" w:rsidRDefault="00443CE2" w:rsidP="00996974">
      <w:r w:rsidRPr="00443CE2">
        <w:t>No carcinogenic effect was seen for the drug in either species. The highest dose used in the mouse study (2.45 mg/kg/day) is estimated to yield 122</w:t>
      </w:r>
      <w:r w:rsidR="006F7F8B">
        <w:t xml:space="preserve"> </w:t>
      </w:r>
      <w:r w:rsidRPr="00443CE2">
        <w:t>times the clinical exposure locally in the lung and 129</w:t>
      </w:r>
      <w:r w:rsidR="006F7F8B">
        <w:t xml:space="preserve"> times</w:t>
      </w:r>
      <w:r w:rsidRPr="00443CE2">
        <w:t xml:space="preserve"> the clinical systemic exposure. For the rat study, the highest dose (0.20 mg/kg/day) is associated with animal:</w:t>
      </w:r>
      <w:r w:rsidR="006F7F8B">
        <w:t xml:space="preserve"> </w:t>
      </w:r>
      <w:r w:rsidRPr="00443CE2">
        <w:t>human exposure ratios of 11 (local) and 55 (systemic).</w:t>
      </w:r>
    </w:p>
    <w:p w:rsidR="00443CE2" w:rsidRPr="00443CE2" w:rsidRDefault="00443CE2" w:rsidP="00996974">
      <w:pPr>
        <w:pStyle w:val="Heading4"/>
      </w:pPr>
      <w:r w:rsidRPr="00443CE2">
        <w:t>Reproductive toxicity</w:t>
      </w:r>
    </w:p>
    <w:p w:rsidR="00443CE2" w:rsidRPr="00443CE2" w:rsidRDefault="00443CE2" w:rsidP="00996974">
      <w:r w:rsidRPr="00443CE2">
        <w:t>Submitted reproductive toxicity studies covered all stages (fertility, early embryonic development, embryofetal development, and pre and postnatal development) and used the clinical route of administration (inhalation). The oral route was additionally used in an embryofetal development study in rabbits. Numbers of animals and species selection (rats, and additionally rabbits for embryofetal development) were ap</w:t>
      </w:r>
      <w:r w:rsidR="006F7F8B">
        <w:t>propriate. Treatment in the pre</w:t>
      </w:r>
      <w:r w:rsidRPr="00443CE2">
        <w:t>/postnatal development study was temporarily suspended around the time of parturition, so potential effects on the birthing process have not been examined; the timing/duration of treatment was otherwise appropriate.</w:t>
      </w:r>
    </w:p>
    <w:p w:rsidR="00443CE2" w:rsidRPr="00443CE2" w:rsidRDefault="00443CE2" w:rsidP="00996974">
      <w:pPr>
        <w:pStyle w:val="Heading5"/>
        <w:rPr>
          <w:rFonts w:eastAsia="Cambria"/>
        </w:rPr>
      </w:pPr>
      <w:r w:rsidRPr="00443CE2">
        <w:rPr>
          <w:rFonts w:eastAsia="Cambria"/>
        </w:rPr>
        <w:t>Relative exposure</w:t>
      </w:r>
    </w:p>
    <w:p w:rsidR="00443CE2" w:rsidRPr="00443CE2" w:rsidRDefault="00443CE2" w:rsidP="00996974">
      <w:r w:rsidRPr="00443CE2">
        <w:t xml:space="preserve">Very high multiples of the clinical plasma AUC for aclidinium bromide </w:t>
      </w:r>
      <w:proofErr w:type="gramStart"/>
      <w:r w:rsidRPr="00443CE2">
        <w:t>were</w:t>
      </w:r>
      <w:proofErr w:type="gramEnd"/>
      <w:r w:rsidRPr="00443CE2">
        <w:t xml:space="preserve"> achieved in the studies</w:t>
      </w:r>
      <w:r w:rsidR="00AD354B">
        <w:t xml:space="preserve"> (Table 3)</w:t>
      </w:r>
      <w:r w:rsidRPr="00443CE2">
        <w:t>. Exposure to the major metabolites achieved in the animals was also high and adequate.</w:t>
      </w:r>
    </w:p>
    <w:p w:rsidR="00443CE2" w:rsidRPr="00996974" w:rsidRDefault="00D43103" w:rsidP="009A2DBE">
      <w:pPr>
        <w:pStyle w:val="TableTitle"/>
      </w:pPr>
      <w:proofErr w:type="gramStart"/>
      <w:r>
        <w:t>Table 3.</w:t>
      </w:r>
      <w:proofErr w:type="gramEnd"/>
      <w:r>
        <w:t xml:space="preserve"> </w:t>
      </w:r>
      <w:r w:rsidR="00443CE2" w:rsidRPr="00443CE2">
        <w:t>Relative exposure in reproductive toxicity studies</w:t>
      </w:r>
    </w:p>
    <w:tbl>
      <w:tblPr>
        <w:tblStyle w:val="TableTGAblue"/>
        <w:tblW w:w="8755" w:type="dxa"/>
        <w:tblLayout w:type="fixed"/>
        <w:tblLook w:val="01E0" w:firstRow="1" w:lastRow="1" w:firstColumn="1" w:lastColumn="1" w:noHBand="0" w:noVBand="0"/>
      </w:tblPr>
      <w:tblGrid>
        <w:gridCol w:w="1526"/>
        <w:gridCol w:w="1701"/>
        <w:gridCol w:w="1417"/>
        <w:gridCol w:w="567"/>
        <w:gridCol w:w="993"/>
        <w:gridCol w:w="1275"/>
        <w:gridCol w:w="1276"/>
      </w:tblGrid>
      <w:tr w:rsidR="00996974" w:rsidRPr="008157FC" w:rsidTr="00996974">
        <w:trPr>
          <w:cnfStyle w:val="100000000000" w:firstRow="1" w:lastRow="0" w:firstColumn="0" w:lastColumn="0" w:oddVBand="0" w:evenVBand="0" w:oddHBand="0" w:evenHBand="0" w:firstRowFirstColumn="0" w:firstRowLastColumn="0" w:lastRowFirstColumn="0" w:lastRowLastColumn="0"/>
          <w:trHeight w:val="378"/>
        </w:trPr>
        <w:tc>
          <w:tcPr>
            <w:tcW w:w="1526" w:type="dxa"/>
            <w:vMerge w:val="restart"/>
          </w:tcPr>
          <w:p w:rsidR="006F7F8B" w:rsidRPr="008A4D8C" w:rsidRDefault="006F7F8B" w:rsidP="009A2DBE">
            <w:pPr>
              <w:ind w:left="0" w:right="34"/>
              <w:rPr>
                <w:b w:val="0"/>
              </w:rPr>
            </w:pPr>
            <w:r w:rsidRPr="008A4D8C">
              <w:t>Species</w:t>
            </w:r>
          </w:p>
        </w:tc>
        <w:tc>
          <w:tcPr>
            <w:tcW w:w="1701" w:type="dxa"/>
            <w:vMerge w:val="restart"/>
          </w:tcPr>
          <w:p w:rsidR="006F7F8B" w:rsidRPr="008A4D8C" w:rsidRDefault="006F7F8B" w:rsidP="009A2DBE">
            <w:pPr>
              <w:ind w:left="34" w:right="34"/>
              <w:rPr>
                <w:b w:val="0"/>
              </w:rPr>
            </w:pPr>
            <w:r w:rsidRPr="008A4D8C">
              <w:t>Study</w:t>
            </w:r>
          </w:p>
        </w:tc>
        <w:tc>
          <w:tcPr>
            <w:tcW w:w="1417" w:type="dxa"/>
            <w:vMerge w:val="restart"/>
          </w:tcPr>
          <w:p w:rsidR="006F7F8B" w:rsidRPr="008A4D8C" w:rsidRDefault="006F7F8B" w:rsidP="009A2DBE">
            <w:pPr>
              <w:ind w:left="34" w:right="0"/>
              <w:rPr>
                <w:b w:val="0"/>
              </w:rPr>
            </w:pPr>
            <w:r w:rsidRPr="008A4D8C">
              <w:t>Route</w:t>
            </w:r>
          </w:p>
        </w:tc>
        <w:tc>
          <w:tcPr>
            <w:tcW w:w="1560" w:type="dxa"/>
            <w:gridSpan w:val="2"/>
            <w:vMerge w:val="restart"/>
          </w:tcPr>
          <w:p w:rsidR="006F7F8B" w:rsidRPr="008A4D8C" w:rsidRDefault="006F7F8B" w:rsidP="009A2DBE">
            <w:pPr>
              <w:ind w:left="34" w:right="34"/>
              <w:rPr>
                <w:b w:val="0"/>
              </w:rPr>
            </w:pPr>
            <w:r w:rsidRPr="008A4D8C">
              <w:t>Dose</w:t>
            </w:r>
            <w:r w:rsidRPr="008A4D8C">
              <w:br/>
              <w:t>mg/kg/day</w:t>
            </w:r>
          </w:p>
        </w:tc>
        <w:tc>
          <w:tcPr>
            <w:tcW w:w="1275" w:type="dxa"/>
            <w:vMerge w:val="restart"/>
          </w:tcPr>
          <w:p w:rsidR="006F7F8B" w:rsidRPr="008A4D8C" w:rsidRDefault="006F7F8B" w:rsidP="009A2DBE">
            <w:pPr>
              <w:ind w:left="33" w:right="33"/>
              <w:rPr>
                <w:b w:val="0"/>
                <w:i/>
                <w:vertAlign w:val="superscript"/>
              </w:rPr>
            </w:pPr>
            <w:r w:rsidRPr="008A4D8C">
              <w:t>AUC</w:t>
            </w:r>
            <w:r w:rsidRPr="008A4D8C">
              <w:rPr>
                <w:vertAlign w:val="subscript"/>
              </w:rPr>
              <w:t>0–24</w:t>
            </w:r>
            <w:r w:rsidRPr="008A4D8C">
              <w:rPr>
                <w:w w:val="50"/>
                <w:vertAlign w:val="subscript"/>
              </w:rPr>
              <w:t> </w:t>
            </w:r>
            <w:r w:rsidRPr="008A4D8C">
              <w:rPr>
                <w:vertAlign w:val="subscript"/>
              </w:rPr>
              <w:t>h</w:t>
            </w:r>
            <w:r w:rsidRPr="008A4D8C">
              <w:br/>
              <w:t>ng∙h/mL</w:t>
            </w:r>
          </w:p>
        </w:tc>
        <w:tc>
          <w:tcPr>
            <w:tcW w:w="1276" w:type="dxa"/>
            <w:vMerge w:val="restart"/>
          </w:tcPr>
          <w:p w:rsidR="006F7F8B" w:rsidRPr="008A4D8C" w:rsidRDefault="006F7F8B" w:rsidP="009A2DBE">
            <w:pPr>
              <w:ind w:left="34" w:right="34"/>
              <w:rPr>
                <w:b w:val="0"/>
              </w:rPr>
            </w:pPr>
            <w:r w:rsidRPr="008A4D8C">
              <w:t>Exposure</w:t>
            </w:r>
            <w:r w:rsidRPr="008A4D8C">
              <w:br/>
              <w:t>ratio</w:t>
            </w:r>
          </w:p>
        </w:tc>
      </w:tr>
      <w:tr w:rsidR="006F7F8B" w:rsidRPr="008157FC" w:rsidTr="00996974">
        <w:trPr>
          <w:trHeight w:val="480"/>
        </w:trPr>
        <w:tc>
          <w:tcPr>
            <w:tcW w:w="1526" w:type="dxa"/>
            <w:vMerge/>
          </w:tcPr>
          <w:p w:rsidR="006F7F8B" w:rsidRPr="0052237D" w:rsidRDefault="006F7F8B" w:rsidP="009A2DBE">
            <w:pPr>
              <w:keepNext/>
              <w:ind w:left="0" w:right="34"/>
              <w:rPr>
                <w:sz w:val="19"/>
                <w:szCs w:val="19"/>
              </w:rPr>
            </w:pPr>
          </w:p>
        </w:tc>
        <w:tc>
          <w:tcPr>
            <w:tcW w:w="1701" w:type="dxa"/>
            <w:vMerge/>
          </w:tcPr>
          <w:p w:rsidR="006F7F8B" w:rsidRPr="0052237D" w:rsidRDefault="006F7F8B" w:rsidP="009A2DBE">
            <w:pPr>
              <w:keepNext/>
              <w:ind w:left="34" w:right="34"/>
              <w:rPr>
                <w:sz w:val="19"/>
                <w:szCs w:val="19"/>
              </w:rPr>
            </w:pPr>
          </w:p>
        </w:tc>
        <w:tc>
          <w:tcPr>
            <w:tcW w:w="1417" w:type="dxa"/>
            <w:vMerge/>
          </w:tcPr>
          <w:p w:rsidR="006F7F8B" w:rsidRPr="0052237D" w:rsidRDefault="006F7F8B" w:rsidP="009A2DBE">
            <w:pPr>
              <w:keepNext/>
              <w:ind w:left="34" w:right="0"/>
              <w:rPr>
                <w:sz w:val="19"/>
                <w:szCs w:val="19"/>
              </w:rPr>
            </w:pPr>
          </w:p>
        </w:tc>
        <w:tc>
          <w:tcPr>
            <w:tcW w:w="1560" w:type="dxa"/>
            <w:gridSpan w:val="2"/>
            <w:vMerge/>
          </w:tcPr>
          <w:p w:rsidR="006F7F8B" w:rsidRPr="0052237D" w:rsidRDefault="006F7F8B" w:rsidP="009A2DBE">
            <w:pPr>
              <w:keepNext/>
              <w:ind w:left="34" w:right="34"/>
              <w:rPr>
                <w:sz w:val="19"/>
                <w:szCs w:val="19"/>
              </w:rPr>
            </w:pPr>
          </w:p>
        </w:tc>
        <w:tc>
          <w:tcPr>
            <w:tcW w:w="1275" w:type="dxa"/>
            <w:vMerge/>
          </w:tcPr>
          <w:p w:rsidR="006F7F8B" w:rsidRPr="0052237D" w:rsidRDefault="006F7F8B" w:rsidP="009A2DBE">
            <w:pPr>
              <w:keepNext/>
              <w:ind w:left="33" w:right="33"/>
              <w:rPr>
                <w:sz w:val="19"/>
                <w:szCs w:val="19"/>
              </w:rPr>
            </w:pPr>
          </w:p>
        </w:tc>
        <w:tc>
          <w:tcPr>
            <w:tcW w:w="1276" w:type="dxa"/>
            <w:vMerge/>
          </w:tcPr>
          <w:p w:rsidR="006F7F8B" w:rsidRPr="0052237D" w:rsidRDefault="006F7F8B" w:rsidP="009A2DBE">
            <w:pPr>
              <w:keepNext/>
              <w:ind w:left="34" w:right="34"/>
              <w:rPr>
                <w:sz w:val="19"/>
                <w:szCs w:val="19"/>
              </w:rPr>
            </w:pPr>
          </w:p>
        </w:tc>
      </w:tr>
      <w:tr w:rsidR="006F7F8B" w:rsidRPr="0070460C" w:rsidTr="00996974">
        <w:trPr>
          <w:trHeight w:val="227"/>
        </w:trPr>
        <w:tc>
          <w:tcPr>
            <w:tcW w:w="1526" w:type="dxa"/>
            <w:vMerge w:val="restart"/>
          </w:tcPr>
          <w:p w:rsidR="006F7F8B" w:rsidRPr="005553DB" w:rsidRDefault="006F7F8B" w:rsidP="009A2DBE">
            <w:pPr>
              <w:keepNext/>
              <w:ind w:left="0" w:right="34"/>
            </w:pPr>
            <w:r w:rsidRPr="005553DB">
              <w:t>Rat</w:t>
            </w:r>
            <w:r>
              <w:br/>
            </w:r>
            <w:proofErr w:type="spellStart"/>
            <w:r>
              <w:t>Wistar</w:t>
            </w:r>
            <w:proofErr w:type="spellEnd"/>
          </w:p>
        </w:tc>
        <w:tc>
          <w:tcPr>
            <w:tcW w:w="1701" w:type="dxa"/>
            <w:vMerge w:val="restart"/>
          </w:tcPr>
          <w:p w:rsidR="006F7F8B" w:rsidRDefault="006F7F8B" w:rsidP="009A2DBE">
            <w:pPr>
              <w:keepNext/>
              <w:ind w:left="34" w:right="34"/>
              <w:rPr>
                <w:szCs w:val="18"/>
              </w:rPr>
            </w:pPr>
            <w:r>
              <w:rPr>
                <w:szCs w:val="18"/>
              </w:rPr>
              <w:t>Fertility</w:t>
            </w:r>
          </w:p>
          <w:p w:rsidR="006F7F8B" w:rsidRDefault="006F7F8B" w:rsidP="009A2DBE">
            <w:pPr>
              <w:keepNext/>
              <w:ind w:left="34" w:right="34"/>
              <w:rPr>
                <w:szCs w:val="18"/>
              </w:rPr>
            </w:pPr>
            <w:r w:rsidRPr="005553DB">
              <w:t>[RCC A10934]</w:t>
            </w:r>
          </w:p>
        </w:tc>
        <w:tc>
          <w:tcPr>
            <w:tcW w:w="1417" w:type="dxa"/>
            <w:vMerge w:val="restart"/>
          </w:tcPr>
          <w:p w:rsidR="006F7F8B" w:rsidRDefault="006F7F8B" w:rsidP="009A2DBE">
            <w:pPr>
              <w:keepNext/>
              <w:ind w:left="34" w:right="0"/>
            </w:pPr>
            <w:r>
              <w:t>inhalation</w:t>
            </w:r>
          </w:p>
        </w:tc>
        <w:tc>
          <w:tcPr>
            <w:tcW w:w="567" w:type="dxa"/>
            <w:vMerge w:val="restart"/>
          </w:tcPr>
          <w:p w:rsidR="006F7F8B" w:rsidRPr="00322FAD" w:rsidRDefault="006F7F8B" w:rsidP="009A2DBE">
            <w:pPr>
              <w:keepNext/>
              <w:ind w:left="34" w:right="34"/>
            </w:pPr>
            <w:r w:rsidRPr="003F4173">
              <w:rPr>
                <w:rFonts w:ascii="Times New Roman" w:hAnsi="Times New Roman"/>
                <w:szCs w:val="18"/>
              </w:rPr>
              <w:t>♂</w:t>
            </w:r>
          </w:p>
        </w:tc>
        <w:tc>
          <w:tcPr>
            <w:tcW w:w="993" w:type="dxa"/>
          </w:tcPr>
          <w:p w:rsidR="006F7F8B" w:rsidRPr="00322FAD" w:rsidRDefault="006F7F8B" w:rsidP="009A2DBE">
            <w:pPr>
              <w:keepNext/>
              <w:ind w:left="34" w:right="34"/>
            </w:pPr>
            <w:r>
              <w:t>0.74</w:t>
            </w:r>
          </w:p>
        </w:tc>
        <w:tc>
          <w:tcPr>
            <w:tcW w:w="1275" w:type="dxa"/>
          </w:tcPr>
          <w:p w:rsidR="006F7F8B" w:rsidRPr="00322FAD" w:rsidRDefault="006F7F8B" w:rsidP="009A2DBE">
            <w:pPr>
              <w:keepNext/>
              <w:ind w:left="33" w:right="33"/>
            </w:pPr>
            <w:r>
              <w:t>51.0</w:t>
            </w:r>
          </w:p>
        </w:tc>
        <w:tc>
          <w:tcPr>
            <w:tcW w:w="1276" w:type="dxa"/>
          </w:tcPr>
          <w:p w:rsidR="006F7F8B" w:rsidRPr="00B325AC" w:rsidRDefault="006F7F8B" w:rsidP="009A2DBE">
            <w:pPr>
              <w:keepNext/>
              <w:ind w:left="34" w:right="34"/>
            </w:pPr>
            <w:r>
              <w:t>131</w:t>
            </w:r>
          </w:p>
        </w:tc>
      </w:tr>
      <w:tr w:rsidR="006F7F8B" w:rsidRPr="0070460C" w:rsidTr="00996974">
        <w:trPr>
          <w:trHeight w:val="227"/>
        </w:trPr>
        <w:tc>
          <w:tcPr>
            <w:tcW w:w="1526" w:type="dxa"/>
            <w:vMerge/>
          </w:tcPr>
          <w:p w:rsidR="006F7F8B" w:rsidRPr="005553DB" w:rsidRDefault="006F7F8B" w:rsidP="009A2DBE">
            <w:pPr>
              <w:keepNext/>
              <w:ind w:left="0" w:right="34"/>
            </w:pPr>
          </w:p>
        </w:tc>
        <w:tc>
          <w:tcPr>
            <w:tcW w:w="1701" w:type="dxa"/>
            <w:vMerge/>
          </w:tcPr>
          <w:p w:rsidR="006F7F8B" w:rsidRDefault="006F7F8B" w:rsidP="009A2DBE">
            <w:pPr>
              <w:keepNext/>
              <w:ind w:left="34" w:right="34"/>
              <w:rPr>
                <w:szCs w:val="18"/>
              </w:rPr>
            </w:pPr>
          </w:p>
        </w:tc>
        <w:tc>
          <w:tcPr>
            <w:tcW w:w="1417" w:type="dxa"/>
            <w:vMerge/>
          </w:tcPr>
          <w:p w:rsidR="006F7F8B" w:rsidRDefault="006F7F8B" w:rsidP="009A2DBE">
            <w:pPr>
              <w:keepNext/>
              <w:ind w:left="34" w:right="0"/>
            </w:pPr>
          </w:p>
        </w:tc>
        <w:tc>
          <w:tcPr>
            <w:tcW w:w="567" w:type="dxa"/>
            <w:vMerge/>
          </w:tcPr>
          <w:p w:rsidR="006F7F8B" w:rsidRPr="00322FAD" w:rsidRDefault="006F7F8B" w:rsidP="009A2DBE">
            <w:pPr>
              <w:keepNext/>
              <w:ind w:left="34" w:right="34"/>
            </w:pPr>
          </w:p>
        </w:tc>
        <w:tc>
          <w:tcPr>
            <w:tcW w:w="993" w:type="dxa"/>
          </w:tcPr>
          <w:p w:rsidR="006F7F8B" w:rsidRPr="00322FAD" w:rsidRDefault="006F7F8B" w:rsidP="009A2DBE">
            <w:pPr>
              <w:keepNext/>
              <w:ind w:left="34" w:right="34"/>
            </w:pPr>
            <w:r>
              <w:t>1.84</w:t>
            </w:r>
          </w:p>
        </w:tc>
        <w:tc>
          <w:tcPr>
            <w:tcW w:w="1275" w:type="dxa"/>
          </w:tcPr>
          <w:p w:rsidR="006F7F8B" w:rsidRPr="00322FAD" w:rsidRDefault="006F7F8B" w:rsidP="009A2DBE">
            <w:pPr>
              <w:keepNext/>
              <w:ind w:left="33" w:right="33"/>
            </w:pPr>
            <w:r>
              <w:t>73.2</w:t>
            </w:r>
          </w:p>
        </w:tc>
        <w:tc>
          <w:tcPr>
            <w:tcW w:w="1276" w:type="dxa"/>
          </w:tcPr>
          <w:p w:rsidR="006F7F8B" w:rsidRPr="00B325AC" w:rsidRDefault="006F7F8B" w:rsidP="009A2DBE">
            <w:pPr>
              <w:keepNext/>
              <w:ind w:left="34" w:right="34"/>
            </w:pPr>
            <w:r>
              <w:t>188</w:t>
            </w:r>
          </w:p>
        </w:tc>
      </w:tr>
      <w:tr w:rsidR="006F7F8B" w:rsidRPr="0070460C" w:rsidTr="00996974">
        <w:trPr>
          <w:trHeight w:val="227"/>
        </w:trPr>
        <w:tc>
          <w:tcPr>
            <w:tcW w:w="1526" w:type="dxa"/>
            <w:vMerge/>
          </w:tcPr>
          <w:p w:rsidR="006F7F8B" w:rsidRPr="005553DB" w:rsidRDefault="006F7F8B" w:rsidP="009A2DBE">
            <w:pPr>
              <w:keepNext/>
              <w:ind w:left="0" w:right="34"/>
            </w:pPr>
          </w:p>
        </w:tc>
        <w:tc>
          <w:tcPr>
            <w:tcW w:w="1701" w:type="dxa"/>
            <w:vMerge/>
          </w:tcPr>
          <w:p w:rsidR="006F7F8B" w:rsidRDefault="006F7F8B" w:rsidP="009A2DBE">
            <w:pPr>
              <w:keepNext/>
              <w:ind w:left="34" w:right="34"/>
              <w:rPr>
                <w:szCs w:val="18"/>
              </w:rPr>
            </w:pPr>
          </w:p>
        </w:tc>
        <w:tc>
          <w:tcPr>
            <w:tcW w:w="1417" w:type="dxa"/>
            <w:vMerge/>
          </w:tcPr>
          <w:p w:rsidR="006F7F8B" w:rsidRDefault="006F7F8B" w:rsidP="009A2DBE">
            <w:pPr>
              <w:keepNext/>
              <w:ind w:left="34" w:right="0"/>
            </w:pPr>
          </w:p>
        </w:tc>
        <w:tc>
          <w:tcPr>
            <w:tcW w:w="567" w:type="dxa"/>
            <w:vMerge/>
          </w:tcPr>
          <w:p w:rsidR="006F7F8B" w:rsidRPr="00322FAD" w:rsidRDefault="006F7F8B" w:rsidP="009A2DBE">
            <w:pPr>
              <w:keepNext/>
              <w:ind w:left="34" w:right="34"/>
            </w:pPr>
          </w:p>
        </w:tc>
        <w:tc>
          <w:tcPr>
            <w:tcW w:w="993" w:type="dxa"/>
          </w:tcPr>
          <w:p w:rsidR="006F7F8B" w:rsidRPr="00322FAD" w:rsidRDefault="006F7F8B" w:rsidP="009A2DBE">
            <w:pPr>
              <w:keepNext/>
              <w:ind w:left="34" w:right="34"/>
            </w:pPr>
            <w:r>
              <w:t>4.8</w:t>
            </w:r>
          </w:p>
        </w:tc>
        <w:tc>
          <w:tcPr>
            <w:tcW w:w="1275" w:type="dxa"/>
          </w:tcPr>
          <w:p w:rsidR="006F7F8B" w:rsidRPr="00322FAD" w:rsidRDefault="006F7F8B" w:rsidP="009A2DBE">
            <w:pPr>
              <w:keepNext/>
              <w:ind w:left="33" w:right="33"/>
            </w:pPr>
            <w:r>
              <w:t>120</w:t>
            </w:r>
          </w:p>
        </w:tc>
        <w:tc>
          <w:tcPr>
            <w:tcW w:w="1276" w:type="dxa"/>
          </w:tcPr>
          <w:p w:rsidR="006F7F8B" w:rsidRPr="00B325AC" w:rsidRDefault="006F7F8B" w:rsidP="009A2DBE">
            <w:pPr>
              <w:keepNext/>
              <w:ind w:left="34" w:right="34"/>
            </w:pPr>
            <w:r>
              <w:t>308</w:t>
            </w:r>
          </w:p>
        </w:tc>
      </w:tr>
      <w:tr w:rsidR="006F7F8B" w:rsidRPr="0070460C" w:rsidTr="00996974">
        <w:trPr>
          <w:trHeight w:val="227"/>
        </w:trPr>
        <w:tc>
          <w:tcPr>
            <w:tcW w:w="1526" w:type="dxa"/>
            <w:vMerge/>
          </w:tcPr>
          <w:p w:rsidR="006F7F8B" w:rsidRPr="00920FB8" w:rsidRDefault="006F7F8B" w:rsidP="009A2DBE">
            <w:pPr>
              <w:keepNext/>
              <w:ind w:left="0" w:right="34"/>
            </w:pPr>
          </w:p>
        </w:tc>
        <w:tc>
          <w:tcPr>
            <w:tcW w:w="1701" w:type="dxa"/>
            <w:vMerge/>
          </w:tcPr>
          <w:p w:rsidR="006F7F8B" w:rsidRPr="005553DB" w:rsidRDefault="006F7F8B" w:rsidP="009A2DBE">
            <w:pPr>
              <w:keepNext/>
              <w:ind w:left="34" w:right="34"/>
              <w:rPr>
                <w:sz w:val="14"/>
                <w:szCs w:val="14"/>
              </w:rPr>
            </w:pPr>
          </w:p>
        </w:tc>
        <w:tc>
          <w:tcPr>
            <w:tcW w:w="1417" w:type="dxa"/>
            <w:vMerge/>
          </w:tcPr>
          <w:p w:rsidR="006F7F8B" w:rsidRPr="00322FAD" w:rsidRDefault="006F7F8B" w:rsidP="009A2DBE">
            <w:pPr>
              <w:keepNext/>
              <w:ind w:left="34" w:right="0"/>
            </w:pPr>
          </w:p>
        </w:tc>
        <w:tc>
          <w:tcPr>
            <w:tcW w:w="567" w:type="dxa"/>
            <w:vMerge w:val="restart"/>
          </w:tcPr>
          <w:p w:rsidR="006F7F8B" w:rsidRPr="00322FAD" w:rsidRDefault="006F7F8B" w:rsidP="009A2DBE">
            <w:pPr>
              <w:keepNext/>
              <w:ind w:left="34" w:right="34"/>
            </w:pPr>
            <w:r w:rsidRPr="003F4173">
              <w:rPr>
                <w:rFonts w:ascii="Times New Roman" w:hAnsi="Times New Roman"/>
                <w:szCs w:val="18"/>
              </w:rPr>
              <w:t>♀</w:t>
            </w:r>
          </w:p>
        </w:tc>
        <w:tc>
          <w:tcPr>
            <w:tcW w:w="993" w:type="dxa"/>
          </w:tcPr>
          <w:p w:rsidR="006F7F8B" w:rsidRPr="00322FAD" w:rsidRDefault="006F7F8B" w:rsidP="009A2DBE">
            <w:pPr>
              <w:keepNext/>
              <w:ind w:left="34" w:right="34"/>
            </w:pPr>
            <w:r>
              <w:t>0.86</w:t>
            </w:r>
          </w:p>
        </w:tc>
        <w:tc>
          <w:tcPr>
            <w:tcW w:w="1275" w:type="dxa"/>
          </w:tcPr>
          <w:p w:rsidR="006F7F8B" w:rsidRPr="00322FAD" w:rsidRDefault="006F7F8B" w:rsidP="009A2DBE">
            <w:pPr>
              <w:keepNext/>
              <w:ind w:left="33" w:right="33"/>
            </w:pPr>
            <w:r>
              <w:t>62.7</w:t>
            </w:r>
          </w:p>
        </w:tc>
        <w:tc>
          <w:tcPr>
            <w:tcW w:w="1276" w:type="dxa"/>
          </w:tcPr>
          <w:p w:rsidR="006F7F8B" w:rsidRPr="00B325AC" w:rsidRDefault="006F7F8B" w:rsidP="009A2DBE">
            <w:pPr>
              <w:keepNext/>
              <w:ind w:left="34" w:right="34"/>
            </w:pPr>
            <w:r>
              <w:t>161</w:t>
            </w:r>
          </w:p>
        </w:tc>
      </w:tr>
      <w:tr w:rsidR="006F7F8B" w:rsidRPr="0070460C" w:rsidTr="00996974">
        <w:trPr>
          <w:trHeight w:val="227"/>
        </w:trPr>
        <w:tc>
          <w:tcPr>
            <w:tcW w:w="1526" w:type="dxa"/>
            <w:vMerge/>
          </w:tcPr>
          <w:p w:rsidR="006F7F8B" w:rsidRPr="0070460C" w:rsidRDefault="006F7F8B" w:rsidP="009A2DBE">
            <w:pPr>
              <w:keepNext/>
              <w:ind w:left="0" w:right="34"/>
              <w:rPr>
                <w:color w:val="C00000"/>
              </w:rPr>
            </w:pPr>
          </w:p>
        </w:tc>
        <w:tc>
          <w:tcPr>
            <w:tcW w:w="1701" w:type="dxa"/>
            <w:vMerge/>
          </w:tcPr>
          <w:p w:rsidR="006F7F8B" w:rsidRPr="005553DB" w:rsidRDefault="006F7F8B" w:rsidP="009A2DBE">
            <w:pPr>
              <w:keepNext/>
              <w:ind w:left="34" w:right="34"/>
              <w:rPr>
                <w:color w:val="C00000"/>
                <w:szCs w:val="18"/>
              </w:rPr>
            </w:pPr>
          </w:p>
        </w:tc>
        <w:tc>
          <w:tcPr>
            <w:tcW w:w="1417" w:type="dxa"/>
            <w:vMerge/>
          </w:tcPr>
          <w:p w:rsidR="006F7F8B" w:rsidRPr="00322FAD" w:rsidRDefault="006F7F8B" w:rsidP="009A2DBE">
            <w:pPr>
              <w:keepNext/>
              <w:ind w:left="34" w:right="0"/>
            </w:pPr>
          </w:p>
        </w:tc>
        <w:tc>
          <w:tcPr>
            <w:tcW w:w="567" w:type="dxa"/>
            <w:vMerge/>
          </w:tcPr>
          <w:p w:rsidR="006F7F8B" w:rsidRPr="00322FAD" w:rsidRDefault="006F7F8B" w:rsidP="009A2DBE">
            <w:pPr>
              <w:keepNext/>
              <w:ind w:left="34" w:right="34"/>
            </w:pPr>
          </w:p>
        </w:tc>
        <w:tc>
          <w:tcPr>
            <w:tcW w:w="993" w:type="dxa"/>
          </w:tcPr>
          <w:p w:rsidR="006F7F8B" w:rsidRPr="00322FAD" w:rsidRDefault="006F7F8B" w:rsidP="009A2DBE">
            <w:pPr>
              <w:keepNext/>
              <w:ind w:left="34" w:right="34"/>
            </w:pPr>
            <w:r>
              <w:t>2.0</w:t>
            </w:r>
          </w:p>
        </w:tc>
        <w:tc>
          <w:tcPr>
            <w:tcW w:w="1275" w:type="dxa"/>
          </w:tcPr>
          <w:p w:rsidR="006F7F8B" w:rsidRPr="00322FAD" w:rsidRDefault="006F7F8B" w:rsidP="009A2DBE">
            <w:pPr>
              <w:keepNext/>
              <w:ind w:left="33" w:right="33"/>
            </w:pPr>
            <w:r>
              <w:t>92.0</w:t>
            </w:r>
          </w:p>
        </w:tc>
        <w:tc>
          <w:tcPr>
            <w:tcW w:w="1276" w:type="dxa"/>
          </w:tcPr>
          <w:p w:rsidR="006F7F8B" w:rsidRPr="00B325AC" w:rsidRDefault="006F7F8B" w:rsidP="009A2DBE">
            <w:pPr>
              <w:keepNext/>
              <w:ind w:left="34" w:right="34"/>
            </w:pPr>
            <w:r>
              <w:t>236</w:t>
            </w:r>
          </w:p>
        </w:tc>
      </w:tr>
      <w:tr w:rsidR="006F7F8B" w:rsidRPr="0070460C" w:rsidTr="00996974">
        <w:trPr>
          <w:trHeight w:val="227"/>
        </w:trPr>
        <w:tc>
          <w:tcPr>
            <w:tcW w:w="1526" w:type="dxa"/>
            <w:vMerge/>
          </w:tcPr>
          <w:p w:rsidR="006F7F8B" w:rsidRPr="0070460C" w:rsidRDefault="006F7F8B" w:rsidP="009A2DBE">
            <w:pPr>
              <w:keepNext/>
              <w:ind w:left="0" w:right="34"/>
              <w:rPr>
                <w:color w:val="C00000"/>
              </w:rPr>
            </w:pPr>
          </w:p>
        </w:tc>
        <w:tc>
          <w:tcPr>
            <w:tcW w:w="1701" w:type="dxa"/>
            <w:vMerge/>
          </w:tcPr>
          <w:p w:rsidR="006F7F8B" w:rsidRPr="005553DB" w:rsidRDefault="006F7F8B" w:rsidP="009A2DBE">
            <w:pPr>
              <w:keepNext/>
              <w:ind w:left="34" w:right="34"/>
              <w:rPr>
                <w:color w:val="C00000"/>
                <w:szCs w:val="18"/>
              </w:rPr>
            </w:pPr>
          </w:p>
        </w:tc>
        <w:tc>
          <w:tcPr>
            <w:tcW w:w="1417" w:type="dxa"/>
            <w:vMerge/>
          </w:tcPr>
          <w:p w:rsidR="006F7F8B" w:rsidRPr="00322FAD" w:rsidRDefault="006F7F8B" w:rsidP="009A2DBE">
            <w:pPr>
              <w:keepNext/>
              <w:ind w:left="34" w:right="0"/>
            </w:pPr>
          </w:p>
        </w:tc>
        <w:tc>
          <w:tcPr>
            <w:tcW w:w="567" w:type="dxa"/>
            <w:vMerge/>
          </w:tcPr>
          <w:p w:rsidR="006F7F8B" w:rsidRPr="00322FAD" w:rsidRDefault="006F7F8B" w:rsidP="009A2DBE">
            <w:pPr>
              <w:keepNext/>
              <w:ind w:left="34" w:right="34"/>
            </w:pPr>
          </w:p>
        </w:tc>
        <w:tc>
          <w:tcPr>
            <w:tcW w:w="993" w:type="dxa"/>
          </w:tcPr>
          <w:p w:rsidR="006F7F8B" w:rsidRPr="00322FAD" w:rsidRDefault="006F7F8B" w:rsidP="009A2DBE">
            <w:pPr>
              <w:keepNext/>
              <w:ind w:left="34" w:right="34"/>
            </w:pPr>
            <w:r>
              <w:t>4.6</w:t>
            </w:r>
          </w:p>
        </w:tc>
        <w:tc>
          <w:tcPr>
            <w:tcW w:w="1275" w:type="dxa"/>
          </w:tcPr>
          <w:p w:rsidR="006F7F8B" w:rsidRPr="00322FAD" w:rsidRDefault="006F7F8B" w:rsidP="009A2DBE">
            <w:pPr>
              <w:keepNext/>
              <w:ind w:left="33" w:right="33"/>
            </w:pPr>
            <w:r>
              <w:t>114</w:t>
            </w:r>
          </w:p>
        </w:tc>
        <w:tc>
          <w:tcPr>
            <w:tcW w:w="1276" w:type="dxa"/>
          </w:tcPr>
          <w:p w:rsidR="006F7F8B" w:rsidRPr="00B325AC" w:rsidRDefault="006F7F8B" w:rsidP="009A2DBE">
            <w:pPr>
              <w:keepNext/>
              <w:ind w:left="34" w:right="34"/>
            </w:pPr>
            <w:r>
              <w:t>292</w:t>
            </w:r>
          </w:p>
        </w:tc>
      </w:tr>
      <w:tr w:rsidR="006F7F8B" w:rsidRPr="0070460C" w:rsidTr="00996974">
        <w:trPr>
          <w:trHeight w:val="227"/>
        </w:trPr>
        <w:tc>
          <w:tcPr>
            <w:tcW w:w="1526" w:type="dxa"/>
            <w:vMerge/>
          </w:tcPr>
          <w:p w:rsidR="006F7F8B" w:rsidRPr="0070460C" w:rsidRDefault="006F7F8B" w:rsidP="009A2DBE">
            <w:pPr>
              <w:keepNext/>
              <w:ind w:left="0" w:right="34"/>
              <w:rPr>
                <w:color w:val="C00000"/>
              </w:rPr>
            </w:pPr>
          </w:p>
        </w:tc>
        <w:tc>
          <w:tcPr>
            <w:tcW w:w="1701" w:type="dxa"/>
            <w:vMerge w:val="restart"/>
          </w:tcPr>
          <w:p w:rsidR="006F7F8B" w:rsidRDefault="006F7F8B" w:rsidP="009A2DBE">
            <w:pPr>
              <w:keepNext/>
              <w:ind w:left="34" w:right="34"/>
              <w:rPr>
                <w:szCs w:val="18"/>
              </w:rPr>
            </w:pPr>
            <w:r>
              <w:rPr>
                <w:szCs w:val="18"/>
              </w:rPr>
              <w:t>Embryofetal development</w:t>
            </w:r>
          </w:p>
          <w:p w:rsidR="006F7F8B" w:rsidRPr="005553DB" w:rsidRDefault="006F7F8B" w:rsidP="009A2DBE">
            <w:pPr>
              <w:keepNext/>
              <w:ind w:left="34" w:right="34"/>
            </w:pPr>
            <w:r w:rsidRPr="005553DB">
              <w:t>[RCC 826637]</w:t>
            </w:r>
          </w:p>
        </w:tc>
        <w:tc>
          <w:tcPr>
            <w:tcW w:w="1417" w:type="dxa"/>
            <w:vMerge w:val="restart"/>
          </w:tcPr>
          <w:p w:rsidR="006F7F8B" w:rsidRPr="00322FAD" w:rsidRDefault="006F7F8B" w:rsidP="009A2DBE">
            <w:pPr>
              <w:keepNext/>
              <w:ind w:left="34" w:right="0"/>
            </w:pPr>
            <w:r>
              <w:t>inhalation</w:t>
            </w:r>
          </w:p>
        </w:tc>
        <w:tc>
          <w:tcPr>
            <w:tcW w:w="1560" w:type="dxa"/>
            <w:gridSpan w:val="2"/>
          </w:tcPr>
          <w:p w:rsidR="006F7F8B" w:rsidRPr="00322FAD" w:rsidRDefault="006F7F8B" w:rsidP="009A2DBE">
            <w:pPr>
              <w:keepNext/>
              <w:ind w:left="34" w:right="34"/>
            </w:pPr>
            <w:r>
              <w:t>0.78</w:t>
            </w:r>
          </w:p>
        </w:tc>
        <w:tc>
          <w:tcPr>
            <w:tcW w:w="1275" w:type="dxa"/>
          </w:tcPr>
          <w:p w:rsidR="006F7F8B" w:rsidRPr="00920FB8" w:rsidRDefault="006F7F8B" w:rsidP="009A2DBE">
            <w:pPr>
              <w:keepNext/>
              <w:ind w:left="33" w:right="33"/>
            </w:pPr>
            <w:r>
              <w:t>23.7</w:t>
            </w:r>
          </w:p>
        </w:tc>
        <w:tc>
          <w:tcPr>
            <w:tcW w:w="1276" w:type="dxa"/>
          </w:tcPr>
          <w:p w:rsidR="006F7F8B" w:rsidRPr="000F6B4F" w:rsidRDefault="006F7F8B" w:rsidP="009A2DBE">
            <w:pPr>
              <w:keepNext/>
              <w:ind w:left="34" w:right="34"/>
            </w:pPr>
            <w:r>
              <w:t>61</w:t>
            </w:r>
          </w:p>
        </w:tc>
      </w:tr>
      <w:tr w:rsidR="006F7F8B" w:rsidRPr="0070460C" w:rsidTr="00996974">
        <w:trPr>
          <w:trHeight w:val="227"/>
        </w:trPr>
        <w:tc>
          <w:tcPr>
            <w:tcW w:w="1526" w:type="dxa"/>
            <w:vMerge/>
          </w:tcPr>
          <w:p w:rsidR="006F7F8B" w:rsidRPr="0070460C" w:rsidRDefault="006F7F8B" w:rsidP="009A2DBE">
            <w:pPr>
              <w:keepNext/>
              <w:ind w:left="0" w:right="34"/>
              <w:rPr>
                <w:color w:val="C00000"/>
              </w:rPr>
            </w:pPr>
          </w:p>
        </w:tc>
        <w:tc>
          <w:tcPr>
            <w:tcW w:w="1701" w:type="dxa"/>
            <w:vMerge/>
          </w:tcPr>
          <w:p w:rsidR="006F7F8B" w:rsidRPr="005553DB" w:rsidRDefault="006F7F8B" w:rsidP="009A2DBE">
            <w:pPr>
              <w:keepNext/>
              <w:ind w:left="34" w:right="34"/>
              <w:rPr>
                <w:color w:val="C00000"/>
                <w:szCs w:val="18"/>
              </w:rPr>
            </w:pPr>
          </w:p>
        </w:tc>
        <w:tc>
          <w:tcPr>
            <w:tcW w:w="1417" w:type="dxa"/>
            <w:vMerge/>
          </w:tcPr>
          <w:p w:rsidR="006F7F8B" w:rsidRPr="00322FAD" w:rsidRDefault="006F7F8B" w:rsidP="009A2DBE">
            <w:pPr>
              <w:keepNext/>
              <w:ind w:left="34" w:right="0"/>
            </w:pPr>
          </w:p>
        </w:tc>
        <w:tc>
          <w:tcPr>
            <w:tcW w:w="1560" w:type="dxa"/>
            <w:gridSpan w:val="2"/>
          </w:tcPr>
          <w:p w:rsidR="006F7F8B" w:rsidRPr="00322FAD" w:rsidRDefault="006F7F8B" w:rsidP="009A2DBE">
            <w:pPr>
              <w:keepNext/>
              <w:ind w:left="34" w:right="34"/>
            </w:pPr>
            <w:r>
              <w:t>1.76</w:t>
            </w:r>
          </w:p>
        </w:tc>
        <w:tc>
          <w:tcPr>
            <w:tcW w:w="1275" w:type="dxa"/>
          </w:tcPr>
          <w:p w:rsidR="006F7F8B" w:rsidRPr="00920FB8" w:rsidRDefault="006F7F8B" w:rsidP="009A2DBE">
            <w:pPr>
              <w:keepNext/>
              <w:ind w:left="33" w:right="33"/>
            </w:pPr>
            <w:r>
              <w:t>35.1</w:t>
            </w:r>
          </w:p>
        </w:tc>
        <w:tc>
          <w:tcPr>
            <w:tcW w:w="1276" w:type="dxa"/>
          </w:tcPr>
          <w:p w:rsidR="006F7F8B" w:rsidRPr="000F6B4F" w:rsidRDefault="006F7F8B" w:rsidP="009A2DBE">
            <w:pPr>
              <w:keepNext/>
              <w:ind w:left="34" w:right="34"/>
            </w:pPr>
            <w:r>
              <w:t>90</w:t>
            </w:r>
          </w:p>
        </w:tc>
      </w:tr>
      <w:tr w:rsidR="006F7F8B" w:rsidRPr="0070460C" w:rsidTr="00996974">
        <w:trPr>
          <w:trHeight w:val="227"/>
        </w:trPr>
        <w:tc>
          <w:tcPr>
            <w:tcW w:w="1526" w:type="dxa"/>
            <w:vMerge/>
          </w:tcPr>
          <w:p w:rsidR="006F7F8B" w:rsidRPr="0070460C" w:rsidRDefault="006F7F8B" w:rsidP="009A2DBE">
            <w:pPr>
              <w:keepNext/>
              <w:ind w:left="0" w:right="34"/>
              <w:rPr>
                <w:color w:val="C00000"/>
              </w:rPr>
            </w:pPr>
          </w:p>
        </w:tc>
        <w:tc>
          <w:tcPr>
            <w:tcW w:w="1701" w:type="dxa"/>
            <w:vMerge/>
          </w:tcPr>
          <w:p w:rsidR="006F7F8B" w:rsidRPr="005553DB" w:rsidRDefault="006F7F8B" w:rsidP="009A2DBE">
            <w:pPr>
              <w:keepNext/>
              <w:ind w:left="34" w:right="34"/>
              <w:rPr>
                <w:color w:val="C00000"/>
                <w:szCs w:val="18"/>
              </w:rPr>
            </w:pPr>
          </w:p>
        </w:tc>
        <w:tc>
          <w:tcPr>
            <w:tcW w:w="1417" w:type="dxa"/>
            <w:vMerge/>
          </w:tcPr>
          <w:p w:rsidR="006F7F8B" w:rsidRPr="00322FAD" w:rsidRDefault="006F7F8B" w:rsidP="009A2DBE">
            <w:pPr>
              <w:keepNext/>
              <w:ind w:left="34" w:right="0"/>
            </w:pPr>
          </w:p>
        </w:tc>
        <w:tc>
          <w:tcPr>
            <w:tcW w:w="1560" w:type="dxa"/>
            <w:gridSpan w:val="2"/>
          </w:tcPr>
          <w:p w:rsidR="006F7F8B" w:rsidRPr="00322FAD" w:rsidRDefault="006F7F8B" w:rsidP="009A2DBE">
            <w:pPr>
              <w:keepNext/>
              <w:ind w:left="34" w:right="34"/>
            </w:pPr>
            <w:r>
              <w:t>5.02</w:t>
            </w:r>
          </w:p>
        </w:tc>
        <w:tc>
          <w:tcPr>
            <w:tcW w:w="1275" w:type="dxa"/>
          </w:tcPr>
          <w:p w:rsidR="006F7F8B" w:rsidRPr="00920FB8" w:rsidRDefault="006F7F8B" w:rsidP="009A2DBE">
            <w:pPr>
              <w:keepNext/>
              <w:ind w:left="33" w:right="33"/>
            </w:pPr>
            <w:r>
              <w:t>69.9</w:t>
            </w:r>
          </w:p>
        </w:tc>
        <w:tc>
          <w:tcPr>
            <w:tcW w:w="1276" w:type="dxa"/>
          </w:tcPr>
          <w:p w:rsidR="006F7F8B" w:rsidRPr="000F6B4F" w:rsidRDefault="006F7F8B" w:rsidP="009A2DBE">
            <w:pPr>
              <w:keepNext/>
              <w:ind w:left="34" w:right="34"/>
            </w:pPr>
            <w:r>
              <w:t>179</w:t>
            </w:r>
          </w:p>
        </w:tc>
      </w:tr>
      <w:tr w:rsidR="006F7F8B" w:rsidRPr="0070460C" w:rsidTr="00996974">
        <w:trPr>
          <w:trHeight w:val="227"/>
        </w:trPr>
        <w:tc>
          <w:tcPr>
            <w:tcW w:w="1526" w:type="dxa"/>
            <w:vMerge/>
          </w:tcPr>
          <w:p w:rsidR="006F7F8B" w:rsidRPr="0070460C" w:rsidRDefault="006F7F8B" w:rsidP="009A2DBE">
            <w:pPr>
              <w:keepNext/>
              <w:ind w:left="0" w:right="34"/>
              <w:rPr>
                <w:color w:val="C00000"/>
              </w:rPr>
            </w:pPr>
          </w:p>
        </w:tc>
        <w:tc>
          <w:tcPr>
            <w:tcW w:w="1701" w:type="dxa"/>
            <w:vMerge w:val="restart"/>
          </w:tcPr>
          <w:p w:rsidR="006F7F8B" w:rsidRDefault="006F7F8B" w:rsidP="009A2DBE">
            <w:pPr>
              <w:keepNext/>
              <w:ind w:left="34" w:right="34"/>
              <w:rPr>
                <w:szCs w:val="18"/>
              </w:rPr>
            </w:pPr>
            <w:r>
              <w:rPr>
                <w:szCs w:val="18"/>
              </w:rPr>
              <w:t>Pre-/postnatal development</w:t>
            </w:r>
          </w:p>
          <w:p w:rsidR="006F7F8B" w:rsidRPr="005553DB" w:rsidRDefault="006F7F8B" w:rsidP="009A2DBE">
            <w:pPr>
              <w:keepNext/>
              <w:ind w:left="34" w:right="34"/>
            </w:pPr>
            <w:r w:rsidRPr="005553DB">
              <w:t>[RCC A35381]</w:t>
            </w:r>
          </w:p>
        </w:tc>
        <w:tc>
          <w:tcPr>
            <w:tcW w:w="1417" w:type="dxa"/>
            <w:vMerge w:val="restart"/>
          </w:tcPr>
          <w:p w:rsidR="006F7F8B" w:rsidRPr="00322FAD" w:rsidRDefault="006F7F8B" w:rsidP="009A2DBE">
            <w:pPr>
              <w:keepNext/>
              <w:ind w:left="34" w:right="0"/>
            </w:pPr>
            <w:r>
              <w:t>inhalation</w:t>
            </w:r>
          </w:p>
        </w:tc>
        <w:tc>
          <w:tcPr>
            <w:tcW w:w="1560" w:type="dxa"/>
            <w:gridSpan w:val="2"/>
          </w:tcPr>
          <w:p w:rsidR="006F7F8B" w:rsidRPr="00920FB8" w:rsidRDefault="006F7F8B" w:rsidP="009A2DBE">
            <w:pPr>
              <w:keepNext/>
              <w:ind w:left="34" w:right="34"/>
            </w:pPr>
            <w:r>
              <w:t>0.018</w:t>
            </w:r>
          </w:p>
        </w:tc>
        <w:tc>
          <w:tcPr>
            <w:tcW w:w="1275" w:type="dxa"/>
          </w:tcPr>
          <w:p w:rsidR="006F7F8B" w:rsidRPr="00920FB8" w:rsidRDefault="006F7F8B" w:rsidP="009A2DBE">
            <w:pPr>
              <w:keepNext/>
              <w:ind w:left="33" w:right="33"/>
            </w:pPr>
            <w:r>
              <w:t>6.7</w:t>
            </w:r>
            <w:r w:rsidRPr="00D91571">
              <w:rPr>
                <w:vertAlign w:val="superscript"/>
              </w:rPr>
              <w:t>a</w:t>
            </w:r>
          </w:p>
        </w:tc>
        <w:tc>
          <w:tcPr>
            <w:tcW w:w="1276" w:type="dxa"/>
          </w:tcPr>
          <w:p w:rsidR="006F7F8B" w:rsidRPr="000F6B4F" w:rsidRDefault="006F7F8B" w:rsidP="009A2DBE">
            <w:pPr>
              <w:keepNext/>
              <w:ind w:left="34" w:right="34"/>
            </w:pPr>
            <w:r>
              <w:t>17</w:t>
            </w:r>
          </w:p>
        </w:tc>
      </w:tr>
      <w:tr w:rsidR="006F7F8B" w:rsidRPr="0070460C" w:rsidTr="00996974">
        <w:trPr>
          <w:trHeight w:val="227"/>
        </w:trPr>
        <w:tc>
          <w:tcPr>
            <w:tcW w:w="1526" w:type="dxa"/>
            <w:vMerge/>
          </w:tcPr>
          <w:p w:rsidR="006F7F8B" w:rsidRPr="0070460C" w:rsidRDefault="006F7F8B" w:rsidP="009A2DBE">
            <w:pPr>
              <w:keepNext/>
              <w:ind w:left="0" w:right="34"/>
              <w:rPr>
                <w:color w:val="C00000"/>
              </w:rPr>
            </w:pPr>
          </w:p>
        </w:tc>
        <w:tc>
          <w:tcPr>
            <w:tcW w:w="1701" w:type="dxa"/>
            <w:vMerge/>
          </w:tcPr>
          <w:p w:rsidR="006F7F8B" w:rsidRPr="005553DB" w:rsidRDefault="006F7F8B" w:rsidP="009A2DBE">
            <w:pPr>
              <w:keepNext/>
              <w:ind w:left="34" w:right="34"/>
              <w:rPr>
                <w:color w:val="C00000"/>
                <w:szCs w:val="18"/>
              </w:rPr>
            </w:pPr>
          </w:p>
        </w:tc>
        <w:tc>
          <w:tcPr>
            <w:tcW w:w="1417" w:type="dxa"/>
            <w:vMerge/>
          </w:tcPr>
          <w:p w:rsidR="006F7F8B" w:rsidRPr="00920FB8" w:rsidRDefault="006F7F8B" w:rsidP="009A2DBE">
            <w:pPr>
              <w:keepNext/>
              <w:ind w:left="34" w:right="0"/>
            </w:pPr>
          </w:p>
        </w:tc>
        <w:tc>
          <w:tcPr>
            <w:tcW w:w="1560" w:type="dxa"/>
            <w:gridSpan w:val="2"/>
          </w:tcPr>
          <w:p w:rsidR="006F7F8B" w:rsidRPr="00920FB8" w:rsidRDefault="006F7F8B" w:rsidP="009A2DBE">
            <w:pPr>
              <w:keepNext/>
              <w:ind w:left="34" w:right="34"/>
            </w:pPr>
            <w:r>
              <w:t>0.20</w:t>
            </w:r>
          </w:p>
        </w:tc>
        <w:tc>
          <w:tcPr>
            <w:tcW w:w="1275" w:type="dxa"/>
          </w:tcPr>
          <w:p w:rsidR="006F7F8B" w:rsidRPr="00920FB8" w:rsidRDefault="006F7F8B" w:rsidP="009A2DBE">
            <w:pPr>
              <w:keepNext/>
              <w:ind w:left="33" w:right="33"/>
            </w:pPr>
            <w:r>
              <w:t>17.3</w:t>
            </w:r>
            <w:r w:rsidRPr="00D91571">
              <w:rPr>
                <w:vertAlign w:val="superscript"/>
              </w:rPr>
              <w:t>a</w:t>
            </w:r>
          </w:p>
        </w:tc>
        <w:tc>
          <w:tcPr>
            <w:tcW w:w="1276" w:type="dxa"/>
          </w:tcPr>
          <w:p w:rsidR="006F7F8B" w:rsidRPr="000F6B4F" w:rsidRDefault="006F7F8B" w:rsidP="009A2DBE">
            <w:pPr>
              <w:keepNext/>
              <w:ind w:left="34" w:right="34"/>
            </w:pPr>
            <w:r>
              <w:t>44</w:t>
            </w:r>
          </w:p>
        </w:tc>
      </w:tr>
      <w:tr w:rsidR="006F7F8B" w:rsidRPr="0070460C" w:rsidTr="00996974">
        <w:trPr>
          <w:trHeight w:val="227"/>
        </w:trPr>
        <w:tc>
          <w:tcPr>
            <w:tcW w:w="1526" w:type="dxa"/>
            <w:vMerge/>
          </w:tcPr>
          <w:p w:rsidR="006F7F8B" w:rsidRPr="0070460C" w:rsidRDefault="006F7F8B" w:rsidP="009A2DBE">
            <w:pPr>
              <w:keepNext/>
              <w:ind w:left="0" w:right="34"/>
              <w:rPr>
                <w:color w:val="C00000"/>
              </w:rPr>
            </w:pPr>
          </w:p>
        </w:tc>
        <w:tc>
          <w:tcPr>
            <w:tcW w:w="1701" w:type="dxa"/>
            <w:vMerge/>
          </w:tcPr>
          <w:p w:rsidR="006F7F8B" w:rsidRPr="005553DB" w:rsidRDefault="006F7F8B" w:rsidP="009A2DBE">
            <w:pPr>
              <w:keepNext/>
              <w:ind w:left="34" w:right="34"/>
              <w:rPr>
                <w:color w:val="C00000"/>
                <w:szCs w:val="18"/>
              </w:rPr>
            </w:pPr>
          </w:p>
        </w:tc>
        <w:tc>
          <w:tcPr>
            <w:tcW w:w="1417" w:type="dxa"/>
            <w:vMerge/>
          </w:tcPr>
          <w:p w:rsidR="006F7F8B" w:rsidRPr="00920FB8" w:rsidRDefault="006F7F8B" w:rsidP="009A2DBE">
            <w:pPr>
              <w:keepNext/>
              <w:ind w:left="34" w:right="0"/>
            </w:pPr>
          </w:p>
        </w:tc>
        <w:tc>
          <w:tcPr>
            <w:tcW w:w="1560" w:type="dxa"/>
            <w:gridSpan w:val="2"/>
          </w:tcPr>
          <w:p w:rsidR="006F7F8B" w:rsidRPr="00920FB8" w:rsidRDefault="006F7F8B" w:rsidP="009A2DBE">
            <w:pPr>
              <w:keepNext/>
              <w:ind w:left="34" w:right="34"/>
            </w:pPr>
            <w:r>
              <w:t>1.9</w:t>
            </w:r>
          </w:p>
        </w:tc>
        <w:tc>
          <w:tcPr>
            <w:tcW w:w="1275" w:type="dxa"/>
          </w:tcPr>
          <w:p w:rsidR="006F7F8B" w:rsidRPr="00920FB8" w:rsidRDefault="006F7F8B" w:rsidP="009A2DBE">
            <w:pPr>
              <w:keepNext/>
              <w:ind w:left="33" w:right="33"/>
            </w:pPr>
            <w:r>
              <w:t>37.9</w:t>
            </w:r>
            <w:r w:rsidRPr="00D91571">
              <w:rPr>
                <w:vertAlign w:val="superscript"/>
              </w:rPr>
              <w:t>b</w:t>
            </w:r>
          </w:p>
        </w:tc>
        <w:tc>
          <w:tcPr>
            <w:tcW w:w="1276" w:type="dxa"/>
          </w:tcPr>
          <w:p w:rsidR="006F7F8B" w:rsidRPr="000F6B4F" w:rsidRDefault="006F7F8B" w:rsidP="009A2DBE">
            <w:pPr>
              <w:keepNext/>
              <w:ind w:left="34" w:right="34"/>
            </w:pPr>
            <w:r>
              <w:t>97</w:t>
            </w:r>
          </w:p>
        </w:tc>
      </w:tr>
      <w:tr w:rsidR="006F7F8B" w:rsidRPr="0070460C" w:rsidTr="00996974">
        <w:trPr>
          <w:trHeight w:val="227"/>
        </w:trPr>
        <w:tc>
          <w:tcPr>
            <w:tcW w:w="1526" w:type="dxa"/>
            <w:vMerge w:val="restart"/>
          </w:tcPr>
          <w:p w:rsidR="006F7F8B" w:rsidRPr="0070460C" w:rsidRDefault="006F7F8B" w:rsidP="00996974">
            <w:pPr>
              <w:ind w:left="0" w:right="34"/>
            </w:pPr>
            <w:r w:rsidRPr="005553DB">
              <w:t>Rabbit</w:t>
            </w:r>
            <w:r>
              <w:br/>
              <w:t>Himalayan</w:t>
            </w:r>
          </w:p>
        </w:tc>
        <w:tc>
          <w:tcPr>
            <w:tcW w:w="1701" w:type="dxa"/>
            <w:vMerge w:val="restart"/>
          </w:tcPr>
          <w:p w:rsidR="006F7F8B" w:rsidRDefault="006F7F8B" w:rsidP="00996974">
            <w:pPr>
              <w:ind w:left="34" w:right="34"/>
              <w:rPr>
                <w:szCs w:val="18"/>
              </w:rPr>
            </w:pPr>
            <w:r>
              <w:rPr>
                <w:szCs w:val="18"/>
              </w:rPr>
              <w:t>Embryofetal development</w:t>
            </w:r>
          </w:p>
          <w:p w:rsidR="006F7F8B" w:rsidRPr="005553DB" w:rsidRDefault="006F7F8B" w:rsidP="00996974">
            <w:pPr>
              <w:ind w:left="34" w:right="34"/>
            </w:pPr>
            <w:r w:rsidRPr="005553DB">
              <w:t>[RCC 838</w:t>
            </w:r>
            <w:r w:rsidRPr="00996974">
              <w:t>7</w:t>
            </w:r>
            <w:r w:rsidRPr="005553DB">
              <w:t>76]</w:t>
            </w:r>
          </w:p>
        </w:tc>
        <w:tc>
          <w:tcPr>
            <w:tcW w:w="1417" w:type="dxa"/>
            <w:vMerge w:val="restart"/>
          </w:tcPr>
          <w:p w:rsidR="006F7F8B" w:rsidRPr="00322FAD" w:rsidRDefault="006F7F8B" w:rsidP="00996974">
            <w:pPr>
              <w:ind w:left="34" w:right="0"/>
            </w:pPr>
            <w:r>
              <w:t>inhalation</w:t>
            </w:r>
          </w:p>
        </w:tc>
        <w:tc>
          <w:tcPr>
            <w:tcW w:w="1560" w:type="dxa"/>
            <w:gridSpan w:val="2"/>
          </w:tcPr>
          <w:p w:rsidR="006F7F8B" w:rsidRPr="00920FB8" w:rsidRDefault="006F7F8B" w:rsidP="00996974">
            <w:pPr>
              <w:ind w:left="34" w:right="34"/>
            </w:pPr>
            <w:r>
              <w:t>0.40</w:t>
            </w:r>
          </w:p>
        </w:tc>
        <w:tc>
          <w:tcPr>
            <w:tcW w:w="1275" w:type="dxa"/>
          </w:tcPr>
          <w:p w:rsidR="006F7F8B" w:rsidRPr="00B325AC" w:rsidRDefault="006F7F8B" w:rsidP="00996974">
            <w:pPr>
              <w:ind w:left="33" w:right="33"/>
            </w:pPr>
            <w:r>
              <w:t>1.89</w:t>
            </w:r>
          </w:p>
        </w:tc>
        <w:tc>
          <w:tcPr>
            <w:tcW w:w="1276" w:type="dxa"/>
          </w:tcPr>
          <w:p w:rsidR="006F7F8B" w:rsidRPr="000F6B4F" w:rsidRDefault="006F7F8B" w:rsidP="00996974">
            <w:pPr>
              <w:ind w:left="34" w:right="34"/>
            </w:pPr>
            <w:r>
              <w:t>5</w:t>
            </w:r>
          </w:p>
        </w:tc>
      </w:tr>
      <w:tr w:rsidR="006F7F8B" w:rsidRPr="0070460C" w:rsidTr="00996974">
        <w:trPr>
          <w:trHeight w:val="227"/>
        </w:trPr>
        <w:tc>
          <w:tcPr>
            <w:tcW w:w="1526" w:type="dxa"/>
            <w:vMerge/>
          </w:tcPr>
          <w:p w:rsidR="006F7F8B" w:rsidRPr="0070460C" w:rsidRDefault="006F7F8B" w:rsidP="00996974">
            <w:pPr>
              <w:ind w:left="0" w:right="34"/>
              <w:rPr>
                <w:color w:val="C00000"/>
              </w:rPr>
            </w:pPr>
          </w:p>
        </w:tc>
        <w:tc>
          <w:tcPr>
            <w:tcW w:w="1701" w:type="dxa"/>
            <w:vMerge/>
          </w:tcPr>
          <w:p w:rsidR="006F7F8B" w:rsidRPr="0070460C" w:rsidRDefault="006F7F8B" w:rsidP="00996974">
            <w:pPr>
              <w:ind w:left="34" w:right="34"/>
              <w:rPr>
                <w:color w:val="C00000"/>
              </w:rPr>
            </w:pPr>
          </w:p>
        </w:tc>
        <w:tc>
          <w:tcPr>
            <w:tcW w:w="1417" w:type="dxa"/>
            <w:vMerge/>
          </w:tcPr>
          <w:p w:rsidR="006F7F8B" w:rsidRPr="00920FB8" w:rsidRDefault="006F7F8B" w:rsidP="00996974">
            <w:pPr>
              <w:ind w:left="34" w:right="0"/>
            </w:pPr>
          </w:p>
        </w:tc>
        <w:tc>
          <w:tcPr>
            <w:tcW w:w="1560" w:type="dxa"/>
            <w:gridSpan w:val="2"/>
          </w:tcPr>
          <w:p w:rsidR="006F7F8B" w:rsidRPr="00920FB8" w:rsidRDefault="006F7F8B" w:rsidP="00996974">
            <w:pPr>
              <w:ind w:left="34" w:right="34"/>
            </w:pPr>
            <w:r>
              <w:t>1.14</w:t>
            </w:r>
          </w:p>
        </w:tc>
        <w:tc>
          <w:tcPr>
            <w:tcW w:w="1275" w:type="dxa"/>
          </w:tcPr>
          <w:p w:rsidR="006F7F8B" w:rsidRPr="00B325AC" w:rsidRDefault="006F7F8B" w:rsidP="00996974">
            <w:pPr>
              <w:ind w:left="33" w:right="33"/>
            </w:pPr>
            <w:r>
              <w:t>4.66</w:t>
            </w:r>
          </w:p>
        </w:tc>
        <w:tc>
          <w:tcPr>
            <w:tcW w:w="1276" w:type="dxa"/>
          </w:tcPr>
          <w:p w:rsidR="006F7F8B" w:rsidRPr="000F6B4F" w:rsidRDefault="006F7F8B" w:rsidP="00996974">
            <w:pPr>
              <w:ind w:left="34" w:right="34"/>
            </w:pPr>
            <w:r>
              <w:t>12</w:t>
            </w:r>
          </w:p>
        </w:tc>
      </w:tr>
      <w:tr w:rsidR="006F7F8B" w:rsidRPr="0070460C" w:rsidTr="00996974">
        <w:trPr>
          <w:trHeight w:val="227"/>
        </w:trPr>
        <w:tc>
          <w:tcPr>
            <w:tcW w:w="1526" w:type="dxa"/>
            <w:vMerge/>
          </w:tcPr>
          <w:p w:rsidR="006F7F8B" w:rsidRPr="0070460C" w:rsidRDefault="006F7F8B" w:rsidP="00996974">
            <w:pPr>
              <w:ind w:left="0" w:right="34"/>
              <w:rPr>
                <w:color w:val="C00000"/>
              </w:rPr>
            </w:pPr>
          </w:p>
        </w:tc>
        <w:tc>
          <w:tcPr>
            <w:tcW w:w="1701" w:type="dxa"/>
            <w:vMerge/>
          </w:tcPr>
          <w:p w:rsidR="006F7F8B" w:rsidRPr="0070460C" w:rsidRDefault="006F7F8B" w:rsidP="00996974">
            <w:pPr>
              <w:ind w:left="34" w:right="34"/>
              <w:rPr>
                <w:color w:val="C00000"/>
              </w:rPr>
            </w:pPr>
          </w:p>
        </w:tc>
        <w:tc>
          <w:tcPr>
            <w:tcW w:w="1417" w:type="dxa"/>
            <w:vMerge/>
          </w:tcPr>
          <w:p w:rsidR="006F7F8B" w:rsidRPr="00920FB8" w:rsidRDefault="006F7F8B" w:rsidP="00996974">
            <w:pPr>
              <w:ind w:left="34" w:right="0"/>
            </w:pPr>
          </w:p>
        </w:tc>
        <w:tc>
          <w:tcPr>
            <w:tcW w:w="1560" w:type="dxa"/>
            <w:gridSpan w:val="2"/>
          </w:tcPr>
          <w:p w:rsidR="006F7F8B" w:rsidRPr="00920FB8" w:rsidRDefault="006F7F8B" w:rsidP="00996974">
            <w:pPr>
              <w:ind w:left="34" w:right="34"/>
            </w:pPr>
            <w:r>
              <w:t>3.58</w:t>
            </w:r>
          </w:p>
        </w:tc>
        <w:tc>
          <w:tcPr>
            <w:tcW w:w="1275" w:type="dxa"/>
          </w:tcPr>
          <w:p w:rsidR="006F7F8B" w:rsidRPr="00920FB8" w:rsidRDefault="006F7F8B" w:rsidP="00996974">
            <w:pPr>
              <w:ind w:left="33" w:right="33"/>
            </w:pPr>
            <w:r>
              <w:t>10.8</w:t>
            </w:r>
          </w:p>
        </w:tc>
        <w:tc>
          <w:tcPr>
            <w:tcW w:w="1276" w:type="dxa"/>
          </w:tcPr>
          <w:p w:rsidR="006F7F8B" w:rsidRPr="000F6B4F" w:rsidRDefault="006F7F8B" w:rsidP="00996974">
            <w:pPr>
              <w:ind w:left="34" w:right="34"/>
            </w:pPr>
            <w:r>
              <w:t>28</w:t>
            </w:r>
          </w:p>
        </w:tc>
      </w:tr>
      <w:tr w:rsidR="006F7F8B" w:rsidRPr="0070460C" w:rsidTr="00996974">
        <w:trPr>
          <w:trHeight w:val="227"/>
        </w:trPr>
        <w:tc>
          <w:tcPr>
            <w:tcW w:w="1526" w:type="dxa"/>
            <w:vMerge/>
          </w:tcPr>
          <w:p w:rsidR="006F7F8B" w:rsidRPr="0070460C" w:rsidRDefault="006F7F8B" w:rsidP="00996974">
            <w:pPr>
              <w:ind w:left="0" w:right="34"/>
            </w:pPr>
          </w:p>
        </w:tc>
        <w:tc>
          <w:tcPr>
            <w:tcW w:w="1701" w:type="dxa"/>
            <w:vMerge w:val="restart"/>
          </w:tcPr>
          <w:p w:rsidR="006F7F8B" w:rsidRDefault="006F7F8B" w:rsidP="00996974">
            <w:pPr>
              <w:ind w:left="34" w:right="34"/>
              <w:rPr>
                <w:szCs w:val="18"/>
              </w:rPr>
            </w:pPr>
            <w:r>
              <w:rPr>
                <w:szCs w:val="18"/>
              </w:rPr>
              <w:t>Embryofetal development</w:t>
            </w:r>
          </w:p>
          <w:p w:rsidR="006F7F8B" w:rsidRPr="005553DB" w:rsidRDefault="006F7F8B" w:rsidP="00996974">
            <w:pPr>
              <w:ind w:left="34" w:right="34"/>
            </w:pPr>
            <w:r w:rsidRPr="005553DB">
              <w:t xml:space="preserve">[RCC </w:t>
            </w:r>
            <w:r>
              <w:t>A19056</w:t>
            </w:r>
            <w:r w:rsidRPr="005553DB">
              <w:t>]</w:t>
            </w:r>
          </w:p>
        </w:tc>
        <w:tc>
          <w:tcPr>
            <w:tcW w:w="1417" w:type="dxa"/>
            <w:vMerge w:val="restart"/>
          </w:tcPr>
          <w:p w:rsidR="006F7F8B" w:rsidRPr="00920FB8" w:rsidRDefault="006F7F8B" w:rsidP="00996974">
            <w:pPr>
              <w:ind w:left="34" w:right="0"/>
            </w:pPr>
            <w:r>
              <w:t>PO</w:t>
            </w:r>
          </w:p>
        </w:tc>
        <w:tc>
          <w:tcPr>
            <w:tcW w:w="1560" w:type="dxa"/>
            <w:gridSpan w:val="2"/>
          </w:tcPr>
          <w:p w:rsidR="006F7F8B" w:rsidRPr="00920FB8" w:rsidRDefault="006F7F8B" w:rsidP="00996974">
            <w:pPr>
              <w:ind w:left="34" w:right="34"/>
            </w:pPr>
            <w:r>
              <w:t>150</w:t>
            </w:r>
          </w:p>
        </w:tc>
        <w:tc>
          <w:tcPr>
            <w:tcW w:w="1275" w:type="dxa"/>
          </w:tcPr>
          <w:p w:rsidR="006F7F8B" w:rsidRPr="00B325AC" w:rsidRDefault="006F7F8B" w:rsidP="00996974">
            <w:pPr>
              <w:ind w:left="33" w:right="33"/>
            </w:pPr>
            <w:r>
              <w:t>36.5</w:t>
            </w:r>
          </w:p>
        </w:tc>
        <w:tc>
          <w:tcPr>
            <w:tcW w:w="1276" w:type="dxa"/>
          </w:tcPr>
          <w:p w:rsidR="006F7F8B" w:rsidRPr="000F6B4F" w:rsidRDefault="006F7F8B" w:rsidP="00996974">
            <w:pPr>
              <w:ind w:left="34" w:right="34"/>
            </w:pPr>
            <w:r>
              <w:t>94</w:t>
            </w:r>
          </w:p>
        </w:tc>
      </w:tr>
      <w:tr w:rsidR="006F7F8B" w:rsidRPr="0070460C" w:rsidTr="00996974">
        <w:trPr>
          <w:trHeight w:val="227"/>
        </w:trPr>
        <w:tc>
          <w:tcPr>
            <w:tcW w:w="1526" w:type="dxa"/>
            <w:vMerge/>
          </w:tcPr>
          <w:p w:rsidR="006F7F8B" w:rsidRPr="0070460C" w:rsidRDefault="006F7F8B" w:rsidP="00996974">
            <w:pPr>
              <w:ind w:left="0" w:right="34"/>
              <w:rPr>
                <w:color w:val="C00000"/>
              </w:rPr>
            </w:pPr>
          </w:p>
        </w:tc>
        <w:tc>
          <w:tcPr>
            <w:tcW w:w="1701" w:type="dxa"/>
            <w:vMerge/>
          </w:tcPr>
          <w:p w:rsidR="006F7F8B" w:rsidRPr="0070460C" w:rsidRDefault="006F7F8B" w:rsidP="00996974">
            <w:pPr>
              <w:ind w:left="34" w:right="34"/>
              <w:rPr>
                <w:color w:val="C00000"/>
              </w:rPr>
            </w:pPr>
          </w:p>
        </w:tc>
        <w:tc>
          <w:tcPr>
            <w:tcW w:w="1417" w:type="dxa"/>
            <w:vMerge/>
          </w:tcPr>
          <w:p w:rsidR="006F7F8B" w:rsidRPr="00920FB8" w:rsidRDefault="006F7F8B" w:rsidP="00996974">
            <w:pPr>
              <w:ind w:left="34" w:right="0"/>
            </w:pPr>
          </w:p>
        </w:tc>
        <w:tc>
          <w:tcPr>
            <w:tcW w:w="1560" w:type="dxa"/>
            <w:gridSpan w:val="2"/>
          </w:tcPr>
          <w:p w:rsidR="006F7F8B" w:rsidRPr="00920FB8" w:rsidRDefault="006F7F8B" w:rsidP="00996974">
            <w:pPr>
              <w:ind w:left="34" w:right="34"/>
            </w:pPr>
            <w:r>
              <w:t>300</w:t>
            </w:r>
          </w:p>
        </w:tc>
        <w:tc>
          <w:tcPr>
            <w:tcW w:w="1275" w:type="dxa"/>
          </w:tcPr>
          <w:p w:rsidR="006F7F8B" w:rsidRPr="00B325AC" w:rsidRDefault="006F7F8B" w:rsidP="00996974">
            <w:pPr>
              <w:ind w:left="33" w:right="33"/>
            </w:pPr>
            <w:r>
              <w:t>40.4</w:t>
            </w:r>
          </w:p>
        </w:tc>
        <w:tc>
          <w:tcPr>
            <w:tcW w:w="1276" w:type="dxa"/>
          </w:tcPr>
          <w:p w:rsidR="006F7F8B" w:rsidRPr="000F6B4F" w:rsidRDefault="006F7F8B" w:rsidP="00996974">
            <w:pPr>
              <w:ind w:left="34" w:right="34"/>
            </w:pPr>
            <w:r>
              <w:t>104</w:t>
            </w:r>
          </w:p>
        </w:tc>
      </w:tr>
      <w:tr w:rsidR="006F7F8B" w:rsidRPr="0070460C" w:rsidTr="00996974">
        <w:trPr>
          <w:trHeight w:val="227"/>
        </w:trPr>
        <w:tc>
          <w:tcPr>
            <w:tcW w:w="1526" w:type="dxa"/>
            <w:vMerge/>
          </w:tcPr>
          <w:p w:rsidR="006F7F8B" w:rsidRPr="0070460C" w:rsidRDefault="006F7F8B" w:rsidP="00996974">
            <w:pPr>
              <w:ind w:left="0" w:right="34"/>
              <w:rPr>
                <w:color w:val="C00000"/>
              </w:rPr>
            </w:pPr>
          </w:p>
        </w:tc>
        <w:tc>
          <w:tcPr>
            <w:tcW w:w="1701" w:type="dxa"/>
            <w:vMerge/>
          </w:tcPr>
          <w:p w:rsidR="006F7F8B" w:rsidRPr="0070460C" w:rsidRDefault="006F7F8B" w:rsidP="00996974">
            <w:pPr>
              <w:ind w:left="34" w:right="34"/>
              <w:rPr>
                <w:color w:val="C00000"/>
              </w:rPr>
            </w:pPr>
          </w:p>
        </w:tc>
        <w:tc>
          <w:tcPr>
            <w:tcW w:w="1417" w:type="dxa"/>
            <w:vMerge/>
          </w:tcPr>
          <w:p w:rsidR="006F7F8B" w:rsidRPr="00920FB8" w:rsidRDefault="006F7F8B" w:rsidP="00996974">
            <w:pPr>
              <w:ind w:left="34" w:right="0"/>
            </w:pPr>
          </w:p>
        </w:tc>
        <w:tc>
          <w:tcPr>
            <w:tcW w:w="1560" w:type="dxa"/>
            <w:gridSpan w:val="2"/>
          </w:tcPr>
          <w:p w:rsidR="006F7F8B" w:rsidRPr="00920FB8" w:rsidRDefault="006F7F8B" w:rsidP="00996974">
            <w:pPr>
              <w:ind w:left="34" w:right="34"/>
            </w:pPr>
            <w:r>
              <w:t>600</w:t>
            </w:r>
          </w:p>
        </w:tc>
        <w:tc>
          <w:tcPr>
            <w:tcW w:w="1275" w:type="dxa"/>
          </w:tcPr>
          <w:p w:rsidR="006F7F8B" w:rsidRPr="00920FB8" w:rsidRDefault="006F7F8B" w:rsidP="00996974">
            <w:pPr>
              <w:ind w:left="33" w:right="33"/>
            </w:pPr>
            <w:r>
              <w:t>31.8</w:t>
            </w:r>
          </w:p>
        </w:tc>
        <w:tc>
          <w:tcPr>
            <w:tcW w:w="1276" w:type="dxa"/>
          </w:tcPr>
          <w:p w:rsidR="006F7F8B" w:rsidRPr="000F6B4F" w:rsidRDefault="006F7F8B" w:rsidP="00996974">
            <w:pPr>
              <w:ind w:left="34" w:right="34"/>
            </w:pPr>
            <w:r>
              <w:t>82</w:t>
            </w:r>
          </w:p>
        </w:tc>
      </w:tr>
      <w:tr w:rsidR="006F7F8B" w:rsidRPr="0070460C" w:rsidTr="00996974">
        <w:trPr>
          <w:trHeight w:val="227"/>
        </w:trPr>
        <w:tc>
          <w:tcPr>
            <w:tcW w:w="1526" w:type="dxa"/>
          </w:tcPr>
          <w:p w:rsidR="006F7F8B" w:rsidRPr="0070460C" w:rsidRDefault="006F7F8B" w:rsidP="00996974">
            <w:pPr>
              <w:ind w:left="0" w:right="34"/>
            </w:pPr>
            <w:r w:rsidRPr="0070460C">
              <w:t>Human</w:t>
            </w:r>
            <w:r w:rsidRPr="0070460C">
              <w:br/>
              <w:t>COPD patients</w:t>
            </w:r>
          </w:p>
        </w:tc>
        <w:tc>
          <w:tcPr>
            <w:tcW w:w="1701" w:type="dxa"/>
          </w:tcPr>
          <w:p w:rsidR="006F7F8B" w:rsidRPr="00920FB8" w:rsidRDefault="006F7F8B" w:rsidP="00996974">
            <w:pPr>
              <w:ind w:left="34" w:right="34"/>
            </w:pPr>
            <w:r>
              <w:t>[</w:t>
            </w:r>
            <w:r w:rsidRPr="00920FB8">
              <w:t>steady state</w:t>
            </w:r>
            <w:r>
              <w:t>]</w:t>
            </w:r>
          </w:p>
        </w:tc>
        <w:tc>
          <w:tcPr>
            <w:tcW w:w="1417" w:type="dxa"/>
          </w:tcPr>
          <w:p w:rsidR="006F7F8B" w:rsidRPr="00920FB8" w:rsidRDefault="006F7F8B" w:rsidP="00996974">
            <w:pPr>
              <w:ind w:left="34" w:right="0"/>
            </w:pPr>
            <w:r>
              <w:t>inhalation</w:t>
            </w:r>
          </w:p>
        </w:tc>
        <w:tc>
          <w:tcPr>
            <w:tcW w:w="1560" w:type="dxa"/>
            <w:gridSpan w:val="2"/>
          </w:tcPr>
          <w:p w:rsidR="006F7F8B" w:rsidRPr="00920FB8" w:rsidRDefault="006F7F8B" w:rsidP="00996974">
            <w:pPr>
              <w:ind w:left="34" w:right="34"/>
            </w:pPr>
            <w:r w:rsidRPr="00920FB8">
              <w:t xml:space="preserve">[800 </w:t>
            </w:r>
            <w:r w:rsidR="00A5120F">
              <w:t>µ</w:t>
            </w:r>
            <w:r w:rsidRPr="00920FB8">
              <w:t>g/day]</w:t>
            </w:r>
          </w:p>
        </w:tc>
        <w:tc>
          <w:tcPr>
            <w:tcW w:w="1275" w:type="dxa"/>
          </w:tcPr>
          <w:p w:rsidR="006F7F8B" w:rsidRPr="00920FB8" w:rsidRDefault="006F7F8B" w:rsidP="00996974">
            <w:pPr>
              <w:ind w:left="33" w:right="33"/>
            </w:pPr>
            <w:r w:rsidRPr="00920FB8">
              <w:rPr>
                <w:szCs w:val="18"/>
              </w:rPr>
              <w:t>0.390</w:t>
            </w:r>
            <w:r>
              <w:rPr>
                <w:szCs w:val="18"/>
                <w:vertAlign w:val="superscript"/>
              </w:rPr>
              <w:t>#</w:t>
            </w:r>
          </w:p>
        </w:tc>
        <w:tc>
          <w:tcPr>
            <w:tcW w:w="1276" w:type="dxa"/>
          </w:tcPr>
          <w:p w:rsidR="006F7F8B" w:rsidRPr="000F6B4F" w:rsidRDefault="006F7F8B" w:rsidP="00996974">
            <w:pPr>
              <w:ind w:left="34" w:right="34"/>
            </w:pPr>
            <w:r w:rsidRPr="000F6B4F">
              <w:t>–</w:t>
            </w:r>
          </w:p>
        </w:tc>
      </w:tr>
    </w:tbl>
    <w:p w:rsidR="00996974" w:rsidRDefault="006F7F8B" w:rsidP="00996974">
      <w:pPr>
        <w:pStyle w:val="TableDescription"/>
      </w:pPr>
      <w:r w:rsidRPr="00D91571">
        <w:rPr>
          <w:vertAlign w:val="superscript"/>
        </w:rPr>
        <w:t>a</w:t>
      </w:r>
      <w:r>
        <w:t xml:space="preserve"> = estimated based on toxicokinetic data from the pivotal rat 6-month repeat-dose toxicity study;</w:t>
      </w:r>
    </w:p>
    <w:p w:rsidR="00996974" w:rsidRDefault="006F7F8B" w:rsidP="00996974">
      <w:pPr>
        <w:pStyle w:val="TableDescription"/>
      </w:pPr>
      <w:r w:rsidRPr="00D91571">
        <w:rPr>
          <w:vertAlign w:val="superscript"/>
        </w:rPr>
        <w:t>b</w:t>
      </w:r>
      <w:r>
        <w:t xml:space="preserve"> = estimated based on toxicokinetic data from the rat </w:t>
      </w:r>
      <w:proofErr w:type="spellStart"/>
      <w:r>
        <w:t>embryofetal</w:t>
      </w:r>
      <w:proofErr w:type="spellEnd"/>
      <w:r>
        <w:t xml:space="preserve"> development study;</w:t>
      </w:r>
    </w:p>
    <w:p w:rsidR="006F7F8B" w:rsidRPr="000F6B4F" w:rsidRDefault="006F7F8B" w:rsidP="00996974">
      <w:pPr>
        <w:pStyle w:val="TableDescription"/>
      </w:pPr>
      <w:r w:rsidRPr="00942A60">
        <w:rPr>
          <w:vertAlign w:val="superscript"/>
        </w:rPr>
        <w:t>#</w:t>
      </w:r>
      <w:r>
        <w:t xml:space="preserve"> = based on doubling of the AUC</w:t>
      </w:r>
      <w:r w:rsidRPr="00942A60">
        <w:rPr>
          <w:vertAlign w:val="subscript"/>
        </w:rPr>
        <w:t>0–24</w:t>
      </w:r>
      <w:r w:rsidRPr="00942A60">
        <w:rPr>
          <w:w w:val="50"/>
          <w:vertAlign w:val="subscript"/>
        </w:rPr>
        <w:t> </w:t>
      </w:r>
      <w:r w:rsidRPr="00942A60">
        <w:rPr>
          <w:vertAlign w:val="subscript"/>
        </w:rPr>
        <w:t>h</w:t>
      </w:r>
      <w:r>
        <w:t xml:space="preserve"> value reported at 400 μg QD in Clinical Study M.34273/09 (0.195 ng·h/mL)</w:t>
      </w:r>
      <w:r w:rsidR="008A4D8C">
        <w:t xml:space="preserve"> </w:t>
      </w:r>
      <w:r>
        <w:t>to account for BD administration.</w:t>
      </w:r>
    </w:p>
    <w:p w:rsidR="00443CE2" w:rsidRPr="00443CE2" w:rsidRDefault="00443CE2" w:rsidP="009A2DBE">
      <w:r w:rsidRPr="00443CE2">
        <w:t>Aclidinium bromide</w:t>
      </w:r>
      <w:r w:rsidR="008A4D8C">
        <w:t xml:space="preserve"> </w:t>
      </w:r>
      <w:r w:rsidRPr="00443CE2">
        <w:t>derived radioactivity was shown to cross the placenta after IV administration in rats. Peak fetal concentrations of radioactivity were 0.6</w:t>
      </w:r>
      <w:r w:rsidR="006F7F8B">
        <w:t xml:space="preserve"> times</w:t>
      </w:r>
      <w:r w:rsidRPr="00443CE2">
        <w:t xml:space="preserve"> the maternal plasma in experiments where the site of radiolabelling was retained by the alcohol metabolite and 4.4</w:t>
      </w:r>
      <w:r w:rsidR="006F7F8B">
        <w:t xml:space="preserve"> times</w:t>
      </w:r>
      <w:r w:rsidRPr="00443CE2">
        <w:t xml:space="preserve"> lower than the maternal plasma C</w:t>
      </w:r>
      <w:r w:rsidRPr="008A4D8C">
        <w:rPr>
          <w:vertAlign w:val="subscript"/>
        </w:rPr>
        <w:t>max</w:t>
      </w:r>
      <w:r w:rsidRPr="00443CE2">
        <w:t xml:space="preserve"> when the radiolabel was retained by the carboxylic acid metabolite. Moderate transfer of aclidinium bromide</w:t>
      </w:r>
      <w:r w:rsidR="008A4D8C">
        <w:t xml:space="preserve"> </w:t>
      </w:r>
      <w:r w:rsidRPr="00443CE2">
        <w:t>derived radioactivity into milk was shown in lactating rats following IV administration; peak concentrations in milk were reached slowly (observed at 6 h postdose).</w:t>
      </w:r>
    </w:p>
    <w:p w:rsidR="00443CE2" w:rsidRPr="00443CE2" w:rsidRDefault="00443CE2" w:rsidP="00ED6D9E">
      <w:r w:rsidRPr="00443CE2">
        <w:t xml:space="preserve">Fertility was reduced in male rats treated at 4.8 mg/kg/day by inhalation, with pre and postimplantation losses increased in the untreated females with which they were paired. In female rats, fertility was reduced with treatment at </w:t>
      </w:r>
      <w:r w:rsidR="008A4D8C">
        <w:t>≥</w:t>
      </w:r>
      <w:r w:rsidRPr="00443CE2">
        <w:t>2.0 mg/kg/day, accompanied by a statistically significant reduction in the number of corpora lutea (indicating impairment of ovulation). The NOELs for effects on male and female fertility are 1.84 and 0.86 mg/kg/day, respectively (associated with animal:</w:t>
      </w:r>
      <w:r w:rsidR="008A4D8C">
        <w:t xml:space="preserve"> </w:t>
      </w:r>
      <w:r w:rsidRPr="00443CE2">
        <w:t>human exposure ratios of 188 and 161).</w:t>
      </w:r>
    </w:p>
    <w:p w:rsidR="00443CE2" w:rsidRPr="00443CE2" w:rsidRDefault="00443CE2" w:rsidP="00ED6D9E">
      <w:r w:rsidRPr="00443CE2">
        <w:t xml:space="preserve">Aclidinium bromide was not teratogenic in either rats </w:t>
      </w:r>
      <w:r w:rsidR="008A4D8C">
        <w:t>or</w:t>
      </w:r>
      <w:r w:rsidRPr="00443CE2">
        <w:t xml:space="preserve"> rabbits. Delayed ossification of fetuses (cranium, vertebrae, sternebrae, digit</w:t>
      </w:r>
      <w:r w:rsidR="008A4D8C">
        <w:t xml:space="preserve"> or</w:t>
      </w:r>
      <w:r w:rsidRPr="00443CE2">
        <w:t xml:space="preserve"> toe) was observed at all dose levels tested in the pivotal rat embryofetal development study (</w:t>
      </w:r>
      <w:r w:rsidR="008A4D8C">
        <w:t>≥</w:t>
      </w:r>
      <w:r w:rsidRPr="00443CE2">
        <w:t xml:space="preserve">0.78 mg/kg/day by inhalation; relative exposure, </w:t>
      </w:r>
      <w:r w:rsidR="008A4D8C">
        <w:t>≥</w:t>
      </w:r>
      <w:r w:rsidRPr="00443CE2">
        <w:t xml:space="preserve">61). Embryofetal development was unaffected in rabbits treated at </w:t>
      </w:r>
      <w:r w:rsidR="008A4D8C">
        <w:t>≤</w:t>
      </w:r>
      <w:r w:rsidRPr="00443CE2">
        <w:t xml:space="preserve">3.58 mg/kg/day by inhalation (relative exposure, </w:t>
      </w:r>
      <w:r w:rsidR="008A4D8C">
        <w:t>≤</w:t>
      </w:r>
      <w:r w:rsidRPr="00443CE2">
        <w:t xml:space="preserve">28), while fetal weight was reduced in the species with oral administration at </w:t>
      </w:r>
      <w:r w:rsidR="008A4D8C">
        <w:t>≥</w:t>
      </w:r>
      <w:r w:rsidRPr="00443CE2">
        <w:t>300 mg/kg/day. Effects on embryofetal development in rats and rabbits occurred in the context of maternotoxicity and the findings are not considered to reflect a direct toxic effect of the drug on the embryo/fetus.</w:t>
      </w:r>
    </w:p>
    <w:p w:rsidR="00443CE2" w:rsidRPr="00443CE2" w:rsidRDefault="00443CE2" w:rsidP="00ED6D9E">
      <w:r w:rsidRPr="00443CE2">
        <w:t xml:space="preserve">Treatment-related effects on pre/postnatal development were limited to decreased preweaning body weight gain, observed in rats at inhalational doses </w:t>
      </w:r>
      <w:r w:rsidR="008A4D8C">
        <w:t>≥</w:t>
      </w:r>
      <w:r w:rsidRPr="00443CE2">
        <w:t>0.20 mg/kg/day (</w:t>
      </w:r>
      <w:r w:rsidR="008A4D8C">
        <w:t>estimated relative exposure ≥</w:t>
      </w:r>
      <w:r w:rsidRPr="00443CE2">
        <w:t>44). Some recovery was evident post-weaning, though normal body weight was not fully reached at maturity. The NOEL for pup development was 0.018 mg/kg/day (</w:t>
      </w:r>
      <w:r w:rsidR="008A4D8C">
        <w:t xml:space="preserve">estimated relative exposure </w:t>
      </w:r>
      <w:r w:rsidRPr="00443CE2">
        <w:t>17).</w:t>
      </w:r>
    </w:p>
    <w:p w:rsidR="00443CE2" w:rsidRPr="00443CE2" w:rsidRDefault="00443CE2" w:rsidP="00ED6D9E">
      <w:pPr>
        <w:pStyle w:val="Heading5"/>
        <w:rPr>
          <w:rFonts w:eastAsia="Cambria"/>
        </w:rPr>
      </w:pPr>
      <w:r w:rsidRPr="00443CE2">
        <w:rPr>
          <w:rFonts w:eastAsia="Cambria"/>
        </w:rPr>
        <w:t>Pregnancy classification</w:t>
      </w:r>
    </w:p>
    <w:p w:rsidR="00443CE2" w:rsidRPr="00443CE2" w:rsidRDefault="00443CE2" w:rsidP="00ED6D9E">
      <w:r w:rsidRPr="00443CE2">
        <w:t>The sponsor has proposed Pregnancy Category B3. Category B3 is for:</w:t>
      </w:r>
    </w:p>
    <w:p w:rsidR="00443CE2" w:rsidRPr="00ED6D9E" w:rsidRDefault="001D13B2" w:rsidP="00ED6D9E">
      <w:pPr>
        <w:ind w:left="720"/>
        <w:rPr>
          <w:i/>
        </w:rPr>
      </w:pPr>
      <w:r w:rsidRPr="00ED6D9E">
        <w:rPr>
          <w:i/>
        </w:rPr>
        <w:t>‘</w:t>
      </w:r>
      <w:r w:rsidR="00443CE2" w:rsidRPr="00ED6D9E">
        <w:rPr>
          <w:i/>
        </w:rPr>
        <w:t>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r w:rsidRPr="00ED6D9E">
        <w:rPr>
          <w:i/>
        </w:rPr>
        <w:t>’</w:t>
      </w:r>
    </w:p>
    <w:p w:rsidR="00443CE2" w:rsidRPr="00443CE2" w:rsidRDefault="00443CE2" w:rsidP="00ED6D9E">
      <w:r w:rsidRPr="00443CE2">
        <w:t>Category B3 is considered appropriate from a nonclinical perspective based on findings of delayed ossification and decreased fetal body weight in laboratory animals.</w:t>
      </w:r>
    </w:p>
    <w:p w:rsidR="00443CE2" w:rsidRPr="00443CE2" w:rsidRDefault="00443CE2" w:rsidP="00ED6D9E">
      <w:pPr>
        <w:pStyle w:val="Heading4"/>
      </w:pPr>
      <w:r w:rsidRPr="00443CE2">
        <w:t>Local tolerance and antigenicity</w:t>
      </w:r>
    </w:p>
    <w:p w:rsidR="00443CE2" w:rsidRPr="00443CE2" w:rsidRDefault="00443CE2" w:rsidP="00ED6D9E">
      <w:pPr>
        <w:rPr>
          <w:b/>
          <w:bCs/>
        </w:rPr>
      </w:pPr>
      <w:r w:rsidRPr="00443CE2">
        <w:t>Local tolerance tests were adequately conducted and revealed no dermal irritation and no significant ocular irritation with aclidinium bromide in rabbits. In the mouse local lymph node assay, aclidinium bromide was found to act as a slight skin irritant but not as a contact skin sensitiser. Negative results were returned for the drug in the passive cutaneous anaphylaxis test, conducted in rats. Aclidinium bromide did not show and airway sensitising potential in guinea pigs.</w:t>
      </w:r>
    </w:p>
    <w:p w:rsidR="00443CE2" w:rsidRPr="00443CE2" w:rsidRDefault="00443CE2" w:rsidP="00ED6D9E">
      <w:pPr>
        <w:pStyle w:val="Heading4"/>
      </w:pPr>
      <w:r w:rsidRPr="00443CE2">
        <w:t>Impurities</w:t>
      </w:r>
    </w:p>
    <w:p w:rsidR="00443CE2" w:rsidRPr="008A4D8C" w:rsidRDefault="00443CE2" w:rsidP="00ED6D9E">
      <w:r w:rsidRPr="00443CE2">
        <w:t>Two impurities required toxicological qualification</w:t>
      </w:r>
      <w:r w:rsidR="008A4D8C">
        <w:t>.</w:t>
      </w:r>
    </w:p>
    <w:p w:rsidR="00443CE2" w:rsidRPr="00443CE2" w:rsidRDefault="00443CE2" w:rsidP="00ED6D9E">
      <w:r w:rsidRPr="00443CE2">
        <w:t>Significant multiples of the maximum potential human doses of these two impurities exist at the NOAEL established in the pivotal 9</w:t>
      </w:r>
      <w:r w:rsidR="008A4D8C">
        <w:t xml:space="preserve"> </w:t>
      </w:r>
      <w:r w:rsidRPr="00443CE2">
        <w:t>month repeat-dose toxicity study in dogs (on both a local and systemic basis). No structural alerts for genotoxicity were revealed by DEREK</w:t>
      </w:r>
      <w:r w:rsidR="008A4D8C">
        <w:t xml:space="preserve"> (</w:t>
      </w:r>
      <w:r w:rsidR="008A4D8C" w:rsidRPr="008A4D8C">
        <w:t>deductive estimate of risk from existing knowledge)</w:t>
      </w:r>
      <w:r w:rsidR="008A4D8C">
        <w:t xml:space="preserve"> </w:t>
      </w:r>
      <w:r w:rsidRPr="00443CE2">
        <w:t>analysis. They are therefore considered to be qualified.</w:t>
      </w:r>
    </w:p>
    <w:p w:rsidR="00443CE2" w:rsidRPr="00443CE2" w:rsidRDefault="00443CE2" w:rsidP="00ED6D9E">
      <w:r w:rsidRPr="00443CE2">
        <w:t xml:space="preserve">Five other impurities in the drug substance were found to contain structural alerts for genotoxicity by DEREK analysis. Proposed limits for these are below the </w:t>
      </w:r>
      <w:r w:rsidR="008A4D8C" w:rsidRPr="008A4D8C">
        <w:t xml:space="preserve">International Conference on Harmonisation of Technical Requirements for Registration of Pharmaceuticals for Human Use </w:t>
      </w:r>
      <w:r w:rsidR="008A4D8C">
        <w:t>(</w:t>
      </w:r>
      <w:r w:rsidRPr="00443CE2">
        <w:t>ICH</w:t>
      </w:r>
      <w:r w:rsidR="008A4D8C">
        <w:t>)</w:t>
      </w:r>
      <w:r w:rsidRPr="00443CE2">
        <w:t xml:space="preserve"> qualification threshold and resultant doses are all below the standard threshold of toxicological concern (TTC) value of 1.5 μg/day. The structural alerts were overruled by negative Ames tests for three of these, while two also returned positive results for bacterial mutagenicity. Of these two, one impurity was present in the drug batch used in the rodent carcinogenicity studies at sufficient levels (and resultant doses) to establish a lack of carcinogenic concern. The single remaining genotoxic impurity will be present at </w:t>
      </w:r>
      <w:r w:rsidR="008A4D8C">
        <w:t>≤</w:t>
      </w:r>
      <w:r w:rsidRPr="00443CE2">
        <w:t xml:space="preserve">200 </w:t>
      </w:r>
      <w:r w:rsidR="008A4D8C">
        <w:t>parts per million (</w:t>
      </w:r>
      <w:r w:rsidRPr="00443CE2">
        <w:t>ppm</w:t>
      </w:r>
      <w:r w:rsidR="008A4D8C">
        <w:t>)</w:t>
      </w:r>
      <w:r w:rsidRPr="00443CE2">
        <w:t xml:space="preserve">, yielding a maximum human dose of 0.16 </w:t>
      </w:r>
      <w:r w:rsidR="00A5120F">
        <w:t>µ</w:t>
      </w:r>
      <w:r w:rsidRPr="00443CE2">
        <w:t>g/day, which is more than 9</w:t>
      </w:r>
      <w:r w:rsidR="006F7F8B">
        <w:t xml:space="preserve"> times</w:t>
      </w:r>
      <w:r w:rsidRPr="00443CE2">
        <w:t xml:space="preserve"> lower than the TTC. As such, none of these impurities are considered to pose a relevant toxicological hazard and the proposed limits are acceptable.</w:t>
      </w:r>
    </w:p>
    <w:p w:rsidR="00443CE2" w:rsidRPr="00443CE2" w:rsidRDefault="00443CE2" w:rsidP="00ED6D9E">
      <w:r w:rsidRPr="00443CE2">
        <w:t>Proposed impurity limits are considered to be acceptable from a toxicological perspective, based on qualification in the pivotal repeat-dose toxicity study in dogs or the rodent carcinogenicity studies, and/or application of the TTC (threshold of toxicological concern) principle.</w:t>
      </w:r>
    </w:p>
    <w:p w:rsidR="00443CE2" w:rsidRPr="00F8127F" w:rsidRDefault="00443CE2" w:rsidP="00ED6D9E">
      <w:pPr>
        <w:pStyle w:val="Heading4"/>
      </w:pPr>
      <w:r w:rsidRPr="00443CE2">
        <w:t>Paediatric use</w:t>
      </w:r>
    </w:p>
    <w:p w:rsidR="00443CE2" w:rsidRPr="008A4D8C" w:rsidRDefault="00260933" w:rsidP="00ED6D9E">
      <w:pPr>
        <w:rPr>
          <w:bCs/>
        </w:rPr>
      </w:pPr>
      <w:r w:rsidRPr="00F8127F">
        <w:t>Bretaris</w:t>
      </w:r>
      <w:r w:rsidR="00443CE2" w:rsidRPr="00F8127F">
        <w:t xml:space="preserve"> </w:t>
      </w:r>
      <w:r w:rsidRPr="00F8127F">
        <w:t>Genuair</w:t>
      </w:r>
      <w:r w:rsidR="00443CE2" w:rsidRPr="00F8127F">
        <w:t xml:space="preserve"> is not intended for use in patients under 18 years of age and no specific studies </w:t>
      </w:r>
      <w:r w:rsidR="00443CE2" w:rsidRPr="008A4D8C">
        <w:t>in juvenil</w:t>
      </w:r>
      <w:r w:rsidR="00443CE2" w:rsidRPr="008A4D8C">
        <w:rPr>
          <w:bCs/>
        </w:rPr>
        <w:t>e animals were submitted.</w:t>
      </w:r>
    </w:p>
    <w:p w:rsidR="008E7846" w:rsidRDefault="008E7846" w:rsidP="00ED6D9E">
      <w:pPr>
        <w:pStyle w:val="Heading3"/>
      </w:pPr>
      <w:bookmarkStart w:id="51" w:name="_Toc400115414"/>
      <w:r>
        <w:t>Nonclinical summary</w:t>
      </w:r>
      <w:bookmarkEnd w:id="49"/>
      <w:bookmarkEnd w:id="50"/>
      <w:bookmarkEnd w:id="51"/>
    </w:p>
    <w:p w:rsidR="00443CE2" w:rsidRPr="00443CE2" w:rsidRDefault="00443CE2" w:rsidP="00ED6D9E">
      <w:pPr>
        <w:pStyle w:val="ListBullet"/>
      </w:pPr>
      <w:bookmarkStart w:id="52" w:name="_Toc196046462"/>
      <w:bookmarkStart w:id="53" w:name="_Toc247691516"/>
      <w:bookmarkStart w:id="54" w:name="_Toc314842500"/>
      <w:bookmarkStart w:id="55" w:name="_Toc163441353"/>
      <w:bookmarkStart w:id="56" w:name="_Toc163441348"/>
      <w:r w:rsidRPr="00443CE2">
        <w:t>The general quality of the nonclinical dossier was high. All pivotal safety</w:t>
      </w:r>
      <w:r w:rsidR="008A4D8C">
        <w:t xml:space="preserve"> </w:t>
      </w:r>
      <w:r w:rsidRPr="00443CE2">
        <w:t>related studies were conducted under GLP conditions except for some of the studies on safety pharmacology.</w:t>
      </w:r>
    </w:p>
    <w:p w:rsidR="00443CE2" w:rsidRPr="00443CE2" w:rsidRDefault="00443CE2" w:rsidP="00ED6D9E">
      <w:pPr>
        <w:pStyle w:val="ListBullet"/>
      </w:pPr>
      <w:proofErr w:type="spellStart"/>
      <w:r w:rsidRPr="00443CE2">
        <w:t>Aclidinium</w:t>
      </w:r>
      <w:proofErr w:type="spellEnd"/>
      <w:r w:rsidRPr="00443CE2">
        <w:t xml:space="preserve"> bromide is a competitive muscarinic receptor antagonist with subnanomolar affinity across all five human muscarinic receptor subtypes. Antagonism of acetylcholine</w:t>
      </w:r>
      <w:r w:rsidR="008A4D8C">
        <w:t xml:space="preserve"> </w:t>
      </w:r>
      <w:r w:rsidRPr="00443CE2">
        <w:t xml:space="preserve">induced contraction of isolated human bronchus and guinea-pig trachea was shown for the drug in vitro and long-lasting inhibition of ACh-induced bronchoconstriction was demonstrated after inhalation in guinea pigs and dogs. The two main metabolites (hydrolysis products) and the drug’s other enantiomer (S-enantiomer; not included in the active ingredient) do not possess significant </w:t>
      </w:r>
      <w:proofErr w:type="spellStart"/>
      <w:r w:rsidRPr="00443CE2">
        <w:t>antimuscarinic</w:t>
      </w:r>
      <w:proofErr w:type="spellEnd"/>
      <w:r w:rsidRPr="00443CE2">
        <w:t xml:space="preserve"> activity.</w:t>
      </w:r>
    </w:p>
    <w:p w:rsidR="00443CE2" w:rsidRPr="00443CE2" w:rsidRDefault="00443CE2" w:rsidP="00ED6D9E">
      <w:pPr>
        <w:pStyle w:val="ListBullet"/>
      </w:pPr>
      <w:r w:rsidRPr="00443CE2">
        <w:t>No clinically significant off-target activity was found for aclidinium bromide or its main metabolites in secondary pharmacology studies. Safety pharmacology studies covered the CNS, cardiovascular, respiratory, renal and gastrointestinal systems, with classic anticholinergic effects observed (</w:t>
      </w:r>
      <w:r w:rsidR="008A4D8C">
        <w:t>such as</w:t>
      </w:r>
      <w:r w:rsidRPr="00443CE2">
        <w:t xml:space="preserve"> tachycardia, dry mouth and decreased </w:t>
      </w:r>
      <w:r w:rsidR="008A4D8C">
        <w:t>gastrointestinal</w:t>
      </w:r>
      <w:r w:rsidRPr="00443CE2">
        <w:t xml:space="preserve"> motility). Inhibition of the hERG K+ channel did not occur at clinically relevant concentrations.</w:t>
      </w:r>
    </w:p>
    <w:p w:rsidR="00443CE2" w:rsidRPr="00443CE2" w:rsidRDefault="00443CE2" w:rsidP="00ED6D9E">
      <w:pPr>
        <w:pStyle w:val="ListBullet"/>
      </w:pPr>
      <w:r w:rsidRPr="00443CE2">
        <w:t xml:space="preserve">Rapid absorption of aclidinium bromide after inhalation was shown in laboratory animal </w:t>
      </w:r>
      <w:r w:rsidRPr="00ED6D9E">
        <w:t>species</w:t>
      </w:r>
      <w:r w:rsidRPr="00443CE2">
        <w:t xml:space="preserve"> and humans. Hydrolysis (mediated both enzymatically and non-enzymatically) gives rise to the two main metabolites, found in all species. The drug’s carboxylic acid metabolite is the major circulating component but unchanged drug is chiefly present in lung. Metabolism by CYPs was minor and there was some associated covalent binding due to the formation of reactive metabolites (largely prevented by glutathione). There were no unique human metabolites. Limited tissue distribution after intratracheal administration was shown in rats and penetration of the blood-brain barrier in the species was low.</w:t>
      </w:r>
    </w:p>
    <w:p w:rsidR="00443CE2" w:rsidRPr="00443CE2" w:rsidRDefault="00443CE2" w:rsidP="00ED6D9E">
      <w:pPr>
        <w:pStyle w:val="ListBullet"/>
      </w:pPr>
      <w:proofErr w:type="spellStart"/>
      <w:r w:rsidRPr="00ED6D9E">
        <w:t>Aclidinium</w:t>
      </w:r>
      <w:proofErr w:type="spellEnd"/>
      <w:r w:rsidRPr="00443CE2">
        <w:t xml:space="preserve"> bromide displayed a low order of acute toxicity by the inhalational route in rats.</w:t>
      </w:r>
    </w:p>
    <w:p w:rsidR="00443CE2" w:rsidRPr="00443CE2" w:rsidRDefault="00443CE2" w:rsidP="00ED6D9E">
      <w:pPr>
        <w:pStyle w:val="ListBullet"/>
      </w:pPr>
      <w:r w:rsidRPr="00443CE2">
        <w:t>Pivotal repeat-dose toxicity studies were conducted in rats (6 months) and dogs (9 months) using the inhalational route; non</w:t>
      </w:r>
      <w:r w:rsidR="008A4D8C">
        <w:t xml:space="preserve"> </w:t>
      </w:r>
      <w:r w:rsidRPr="00443CE2">
        <w:t>pivotal studies involved mice, rats and dogs, and administration by inhalation or other routes (oral, IV, SC). The major target organs for toxicity identified with inhalational administration were respiratory tract tissues (nasal cavity, larynx and lung), the Harderian gland and the parotid gland, with changes also observed in the liver; effects on the eye and heart were also seen.</w:t>
      </w:r>
    </w:p>
    <w:p w:rsidR="00443CE2" w:rsidRPr="00443CE2" w:rsidRDefault="00443CE2" w:rsidP="00ED6D9E">
      <w:pPr>
        <w:pStyle w:val="ListBullet"/>
      </w:pPr>
      <w:r w:rsidRPr="00443CE2">
        <w:t>Aclidinium bromide gave equivocal results in assays for bacterial and mammalian mutagenicity in vitro but returned clear negative results in in vivo genotoxicity studies (the mouse bone marrow micronucleus test and the unscheduled DNA synthesis assay in rat liver) at very high multiples of the clinical exposure. Carcinogenicity studies in mice and rats conducted by the inhalational route revealed no tumourigenicity at very high multiples of the clinical plasma AUC and high or very high multiples of the lung deposited dose.</w:t>
      </w:r>
    </w:p>
    <w:p w:rsidR="00443CE2" w:rsidRPr="00443CE2" w:rsidRDefault="00443CE2" w:rsidP="00ED6D9E">
      <w:pPr>
        <w:pStyle w:val="ListBullet"/>
      </w:pPr>
      <w:r>
        <w:t>A</w:t>
      </w:r>
      <w:r w:rsidRPr="00443CE2">
        <w:t>clidinium bromide and/or its metabolites were shown to cross the placenta and be excreted into milk in rats. Fertility was reduced in male and female rats but only at very high exposure multiples. Adverse effects on embryofetal development comprised delayed ossification in rats and decreased fetal weight in rabbits occurring in the context of maternotoxicity; teratogenicity was not observed in either species. Postnatal bodyweight gain was reduced in the offspring of rats treated with aclidinium bromide during gestation and lactation.</w:t>
      </w:r>
    </w:p>
    <w:p w:rsidR="00443CE2" w:rsidRPr="00443CE2" w:rsidRDefault="00443CE2" w:rsidP="00ED6D9E">
      <w:pPr>
        <w:pStyle w:val="ListBullet"/>
      </w:pPr>
      <w:r w:rsidRPr="00443CE2">
        <w:t>Local tolerance and antigenicity studies revealed no dermal and no significant ocular irritation in rabbits and no skin (mouse) or airway (guinea pig) sensitising potential.</w:t>
      </w:r>
    </w:p>
    <w:p w:rsidR="00443CE2" w:rsidRPr="00102BD6" w:rsidRDefault="00443CE2" w:rsidP="00102BD6">
      <w:pPr>
        <w:pStyle w:val="Heading4"/>
      </w:pPr>
      <w:r w:rsidRPr="00443CE2">
        <w:t xml:space="preserve">Conclusions </w:t>
      </w:r>
      <w:r>
        <w:t>and r</w:t>
      </w:r>
      <w:r w:rsidRPr="00443CE2">
        <w:t>ecommendation</w:t>
      </w:r>
    </w:p>
    <w:p w:rsidR="00443CE2" w:rsidRPr="00443CE2" w:rsidRDefault="00443CE2" w:rsidP="00102BD6">
      <w:pPr>
        <w:pStyle w:val="ListBullet"/>
      </w:pPr>
      <w:r w:rsidRPr="00443CE2">
        <w:t xml:space="preserve">The nonclinical dossier </w:t>
      </w:r>
      <w:r w:rsidRPr="00102BD6">
        <w:t>contained</w:t>
      </w:r>
      <w:r w:rsidRPr="00443CE2">
        <w:t xml:space="preserve"> no major deficiencies.</w:t>
      </w:r>
    </w:p>
    <w:p w:rsidR="00443CE2" w:rsidRPr="00443CE2" w:rsidRDefault="00443CE2" w:rsidP="00102BD6">
      <w:pPr>
        <w:pStyle w:val="ListBullet"/>
      </w:pPr>
      <w:r w:rsidRPr="00443CE2">
        <w:t xml:space="preserve">Primary pharmacology studies </w:t>
      </w:r>
      <w:r w:rsidRPr="00102BD6">
        <w:t>showing</w:t>
      </w:r>
      <w:r w:rsidRPr="00443CE2">
        <w:t xml:space="preserve"> potent and long-lasting antimuscarinic activity support the drug’s use for the proposed indication.</w:t>
      </w:r>
    </w:p>
    <w:p w:rsidR="00443CE2" w:rsidRPr="00443CE2" w:rsidRDefault="00443CE2" w:rsidP="00102BD6">
      <w:pPr>
        <w:pStyle w:val="ListBullet"/>
      </w:pPr>
      <w:r w:rsidRPr="00443CE2">
        <w:t>Secondary pharmacology studies revealed no clinically significant off-target activity. Safety pharmacology studies showed a classic antimuscarinic profile. The findings in the repeat-dose toxicity studies are consistent with minimal to mild local irritation (similar to that observed with other inhaled drugs) and for the most part systemic anticholinergic activity. The likelihood of systemic anticholinergic effects in patients is predicted to be reasonably low, based on the limited systemic exposure to the drug due to rapid hydrolysis to pharmacologically inactive metabolites. The absence of treatment</w:t>
      </w:r>
      <w:r w:rsidR="00615C4C">
        <w:t xml:space="preserve"> </w:t>
      </w:r>
      <w:r w:rsidRPr="00443CE2">
        <w:t>related histopathological lesions in the 9 month repeat dose toxicity study in dogs, involving inhalational administration of doses yielding over 100 times the lung deposited dose and almost 40 times the plasma AUC expected in patients at the recommended human dose, offers particular support for safety in patients.</w:t>
      </w:r>
    </w:p>
    <w:p w:rsidR="00443CE2" w:rsidRPr="00443CE2" w:rsidRDefault="00443CE2" w:rsidP="00102BD6">
      <w:pPr>
        <w:pStyle w:val="ListBullet"/>
      </w:pPr>
      <w:r w:rsidRPr="00443CE2">
        <w:t>Aclidinium bromide is not considered to pose a genotoxic or carcinogenic hazard to patients. The significance of equivocal results observed in in vitro genotoxicity assays can be discounted by convincing negative results in the in vivo genotoxicity assays and the negative results of both rodent carcinogenicity studies.</w:t>
      </w:r>
    </w:p>
    <w:p w:rsidR="00443CE2" w:rsidRPr="00443CE2" w:rsidRDefault="00443CE2" w:rsidP="00102BD6">
      <w:pPr>
        <w:pStyle w:val="ListBullet"/>
      </w:pPr>
      <w:r w:rsidRPr="00443CE2">
        <w:t xml:space="preserve">Adverse effects on embryofetal development seen in rats </w:t>
      </w:r>
      <w:r w:rsidRPr="00102BD6">
        <w:t>and</w:t>
      </w:r>
      <w:r w:rsidRPr="00443CE2">
        <w:t xml:space="preserve"> rabbits occurred at very large multiples of the human exposure and are considered most likely to have occurred secondary to maternotoxicity rather than to reflect a direct toxic effect of the drug on the embryo/fetus. Large multiples of the human </w:t>
      </w:r>
      <w:proofErr w:type="gramStart"/>
      <w:r w:rsidRPr="00443CE2">
        <w:t xml:space="preserve">exposure </w:t>
      </w:r>
      <w:r w:rsidR="00615C4C">
        <w:t>are</w:t>
      </w:r>
      <w:proofErr w:type="gramEnd"/>
      <w:r w:rsidRPr="00443CE2">
        <w:t xml:space="preserve"> also evident at the NOELs established for effects on fertility and postnatal development indicating limited clinical relevance.</w:t>
      </w:r>
    </w:p>
    <w:p w:rsidR="00443CE2" w:rsidRPr="00443CE2" w:rsidRDefault="00443CE2" w:rsidP="00102BD6">
      <w:pPr>
        <w:pStyle w:val="ListBullet"/>
      </w:pPr>
      <w:r w:rsidRPr="00443CE2">
        <w:t xml:space="preserve">There are no nonclinical objections to the registration of </w:t>
      </w:r>
      <w:r w:rsidRPr="00240CE4">
        <w:t>Bretaris Genuair</w:t>
      </w:r>
      <w:r w:rsidRPr="00443CE2">
        <w:rPr>
          <w:b/>
          <w:bCs/>
        </w:rPr>
        <w:t xml:space="preserve"> </w:t>
      </w:r>
      <w:r w:rsidR="00102BD6">
        <w:t>for the proposed indication.</w:t>
      </w:r>
    </w:p>
    <w:p w:rsidR="00443CE2" w:rsidRDefault="00443CE2" w:rsidP="00102BD6">
      <w:pPr>
        <w:pStyle w:val="ListBullet"/>
      </w:pPr>
      <w:r>
        <w:t xml:space="preserve">The evaluator </w:t>
      </w:r>
      <w:r w:rsidRPr="00102BD6">
        <w:t>recommended</w:t>
      </w:r>
      <w:r>
        <w:t xml:space="preserve"> amendments to the</w:t>
      </w:r>
      <w:r w:rsidRPr="00443CE2">
        <w:t xml:space="preserve"> draft Product Information</w:t>
      </w:r>
      <w:r>
        <w:t xml:space="preserve"> but the details of these are beyond the scope of this AusPAR.</w:t>
      </w:r>
    </w:p>
    <w:p w:rsidR="008E7846" w:rsidRPr="00254787" w:rsidRDefault="008E7846" w:rsidP="00EF7E13">
      <w:pPr>
        <w:pStyle w:val="Heading2"/>
      </w:pPr>
      <w:bookmarkStart w:id="57" w:name="_Toc400115415"/>
      <w:r>
        <w:t xml:space="preserve">IV. </w:t>
      </w:r>
      <w:r w:rsidRPr="00254787">
        <w:t>Clinical</w:t>
      </w:r>
      <w:bookmarkEnd w:id="52"/>
      <w:r>
        <w:t xml:space="preserve"> </w:t>
      </w:r>
      <w:r w:rsidR="003A7F6C" w:rsidRPr="00EF7E13">
        <w:t>f</w:t>
      </w:r>
      <w:r w:rsidRPr="00EF7E13">
        <w:t>indings</w:t>
      </w:r>
      <w:bookmarkEnd w:id="53"/>
      <w:bookmarkEnd w:id="54"/>
      <w:bookmarkEnd w:id="57"/>
    </w:p>
    <w:p w:rsidR="00C80137" w:rsidRDefault="00C80137" w:rsidP="00EF7E13">
      <w:bookmarkStart w:id="5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Pr="00EF7E13" w:rsidRDefault="008E7846" w:rsidP="00EF7E13">
      <w:pPr>
        <w:pStyle w:val="Heading3"/>
      </w:pPr>
      <w:bookmarkStart w:id="59" w:name="_Toc247691517"/>
      <w:bookmarkStart w:id="60" w:name="_Toc314842501"/>
      <w:bookmarkStart w:id="61" w:name="_Toc400115416"/>
      <w:r w:rsidRPr="00254787">
        <w:t>Introduction</w:t>
      </w:r>
      <w:bookmarkEnd w:id="58"/>
      <w:bookmarkEnd w:id="59"/>
      <w:bookmarkEnd w:id="60"/>
      <w:bookmarkEnd w:id="61"/>
    </w:p>
    <w:p w:rsidR="00605AD4" w:rsidRPr="00EF7E13" w:rsidRDefault="00605AD4" w:rsidP="00EF7E13">
      <w:pPr>
        <w:pStyle w:val="Heading4"/>
      </w:pPr>
      <w:bookmarkStart w:id="62" w:name="_Toc196046464"/>
      <w:bookmarkStart w:id="63" w:name="_Toc247691518"/>
      <w:bookmarkStart w:id="64" w:name="_Toc314842502"/>
      <w:r w:rsidRPr="00605AD4">
        <w:t xml:space="preserve">Clinical </w:t>
      </w:r>
      <w:r w:rsidR="00EF7E13">
        <w:t>r</w:t>
      </w:r>
      <w:r w:rsidRPr="00605AD4">
        <w:t>ationale</w:t>
      </w:r>
    </w:p>
    <w:p w:rsidR="00872F62" w:rsidRPr="009E0389" w:rsidRDefault="00872F62" w:rsidP="00EF7E13">
      <w:r w:rsidRPr="009E0389">
        <w:t xml:space="preserve">Parasympathetic nerves are the dominant bronchoconstrictor neural pathway in airways, and cholinergic tone is the major reversible component in </w:t>
      </w:r>
      <w:proofErr w:type="gramStart"/>
      <w:r w:rsidRPr="009E0389">
        <w:t>COPD.</w:t>
      </w:r>
      <w:r>
        <w:rPr>
          <w:rStyle w:val="FootnoteReference"/>
          <w:rFonts w:eastAsia="Calibri" w:cs="TimesNewRomanPSMT"/>
          <w:color w:val="000000"/>
        </w:rPr>
        <w:footnoteReference w:id="7"/>
      </w:r>
      <w:r w:rsidRPr="00A81517">
        <w:rPr>
          <w:vertAlign w:val="superscript"/>
        </w:rPr>
        <w:t>,</w:t>
      </w:r>
      <w:proofErr w:type="gramEnd"/>
      <w:r w:rsidR="00E74309">
        <w:rPr>
          <w:vertAlign w:val="superscript"/>
        </w:rPr>
        <w:t xml:space="preserve"> </w:t>
      </w:r>
      <w:r>
        <w:rPr>
          <w:rStyle w:val="FootnoteReference"/>
          <w:rFonts w:eastAsia="Calibri" w:cs="TimesNewRomanPSMT"/>
          <w:color w:val="000000"/>
        </w:rPr>
        <w:footnoteReference w:id="8"/>
      </w:r>
      <w:r w:rsidRPr="009E0389">
        <w:t xml:space="preserve"> Cholinergic mechanisms are also important in the regulation of submucosal gland secretion, which is increased in COPD. Cholinergic nerves exert their bronchoconstrictor and mucus secretory effects via the activation of muscarinic receptors in airway smooth muscle and submucosal glands, respectively. Blockade of these muscarinic receptors with antagonists, such as ipratropium, oxitropium and tiotropium provides clinical benefit in COPD.</w:t>
      </w:r>
    </w:p>
    <w:p w:rsidR="00872F62" w:rsidRPr="009E0389" w:rsidRDefault="00872F62" w:rsidP="00EF7E13">
      <w:r w:rsidRPr="009E0389">
        <w:t>Short</w:t>
      </w:r>
      <w:r>
        <w:t xml:space="preserve"> </w:t>
      </w:r>
      <w:r w:rsidRPr="009E0389">
        <w:t>acting inhaled anticholinergic drugs (</w:t>
      </w:r>
      <w:r>
        <w:t>for example</w:t>
      </w:r>
      <w:r w:rsidRPr="009E0389">
        <w:t xml:space="preserve"> ipratropium</w:t>
      </w:r>
      <w:r>
        <w:t xml:space="preserve"> and</w:t>
      </w:r>
      <w:r w:rsidRPr="009E0389">
        <w:t xml:space="preserve"> oxitropium), which require frequent dosing to maintain a bronchodilator effect, have been used to treat patients with symptomatic COPD since the 1970s as first-line agents and are known to be safe and effective bronchodilators.</w:t>
      </w:r>
      <w:r>
        <w:rPr>
          <w:rStyle w:val="FootnoteReference"/>
          <w:rFonts w:eastAsia="Calibri" w:cs="TimesNewRomanPSMT"/>
          <w:color w:val="000000"/>
        </w:rPr>
        <w:footnoteReference w:id="9"/>
      </w:r>
      <w:r w:rsidRPr="009E0389">
        <w:t xml:space="preserve"> The sponsors state that only one long</w:t>
      </w:r>
      <w:r>
        <w:t xml:space="preserve"> </w:t>
      </w:r>
      <w:r w:rsidRPr="009E0389">
        <w:t>acting anticholinergic bronchodil</w:t>
      </w:r>
      <w:r w:rsidR="00EF7E13">
        <w:t>ator is available (</w:t>
      </w:r>
      <w:proofErr w:type="spellStart"/>
      <w:r w:rsidR="00EF7E13">
        <w:t>tiotropium</w:t>
      </w:r>
      <w:proofErr w:type="spellEnd"/>
      <w:r w:rsidR="00EF7E13">
        <w:t>).</w:t>
      </w:r>
    </w:p>
    <w:p w:rsidR="00872F62" w:rsidRPr="00CE6A80" w:rsidRDefault="00872F62" w:rsidP="00EF7E13">
      <w:pPr>
        <w:ind w:left="720"/>
      </w:pPr>
      <w:r w:rsidRPr="00CE6A80">
        <w:t>Comments: Recently, another long-acting anticholinergic bronchodilator Seebri Breezhaler (glycopyr</w:t>
      </w:r>
      <w:r w:rsidR="00FA33C6">
        <w:t>r</w:t>
      </w:r>
      <w:r w:rsidRPr="00CE6A80">
        <w:t>onium bromide) has been approved for once daily use in long-ter</w:t>
      </w:r>
      <w:r>
        <w:t>m maintenance treatment of COPD</w:t>
      </w:r>
      <w:r w:rsidR="00EF7E13">
        <w:t>.</w:t>
      </w:r>
    </w:p>
    <w:p w:rsidR="00872F62" w:rsidRDefault="00872F62" w:rsidP="00EF7E13">
      <w:r w:rsidRPr="009E0389">
        <w:t>Clinical trials have shown that tiotropium provides clinical benefit in COPD but is also associated with certain anticholinergic events such as urinary retention and dry mouth</w:t>
      </w:r>
      <w:r>
        <w:rPr>
          <w:rStyle w:val="FootnoteReference"/>
          <w:rFonts w:eastAsia="Calibri" w:cs="TimesNewRomanPSMT"/>
          <w:color w:val="000000"/>
        </w:rPr>
        <w:footnoteReference w:id="10"/>
      </w:r>
      <w:r w:rsidRPr="009E0389">
        <w:rPr>
          <w:rFonts w:cs="TimesNewRomanPS-BoldMT"/>
          <w:b/>
          <w:bCs/>
        </w:rPr>
        <w:t xml:space="preserve">, </w:t>
      </w:r>
      <w:r w:rsidRPr="009E0389">
        <w:t>and as tiotropium is excreted via the kidney there is also the need to closely monitor patients with renal impairment. Aclidinium bromide</w:t>
      </w:r>
      <w:r>
        <w:t>,</w:t>
      </w:r>
      <w:r w:rsidRPr="009E0389">
        <w:t xml:space="preserve"> like tiotropium, is a long</w:t>
      </w:r>
      <w:r>
        <w:t xml:space="preserve"> </w:t>
      </w:r>
      <w:r w:rsidRPr="009E0389">
        <w:t>acting, inhaled anticholinergic agent which has strong affinity and selectivity for all muscarinic receptor subtypes (M1-M5) and kinetic selectivity for the M</w:t>
      </w:r>
      <w:r>
        <w:t>3 receptor over the M2 receptor</w:t>
      </w:r>
      <w:r w:rsidRPr="009E0389">
        <w:t>.</w:t>
      </w:r>
      <w:r>
        <w:rPr>
          <w:rStyle w:val="FootnoteReference"/>
          <w:rFonts w:eastAsia="Calibri" w:cs="TimesNewRomanPSMT"/>
          <w:color w:val="000000"/>
        </w:rPr>
        <w:footnoteReference w:id="11"/>
      </w:r>
      <w:r w:rsidRPr="009E0389">
        <w:t xml:space="preserve"> Aclidinium bromide is an ester and is highly unstable in plasma, undergoing rapid and extensive non-enzymatic (chemical) and enzymatic hydrolysis (mainly by BChE)</w:t>
      </w:r>
      <w:r>
        <w:rPr>
          <w:rStyle w:val="FootnoteReference"/>
          <w:rFonts w:eastAsia="Calibri" w:cs="TimesNewRomanPSMT"/>
          <w:color w:val="000000"/>
        </w:rPr>
        <w:footnoteReference w:id="12"/>
      </w:r>
      <w:r>
        <w:t xml:space="preserve"> </w:t>
      </w:r>
      <w:r w:rsidRPr="009E0389">
        <w:t>into two pharmacologically-inactive metabolites. As a result, aclidinium bromide undergoes very rapid and complete clearance from the body and its systemic bioavailability following inhalation is very low (&lt;</w:t>
      </w:r>
      <w:r>
        <w:t>5</w:t>
      </w:r>
      <w:r w:rsidRPr="009E0389">
        <w:t>%). These characteristics of aclidinium bromide confer the following p</w:t>
      </w:r>
      <w:r w:rsidR="00EF7E13">
        <w:t>otential advantages to its use:</w:t>
      </w:r>
    </w:p>
    <w:p w:rsidR="00872F62" w:rsidRDefault="00872F62" w:rsidP="00130B62">
      <w:pPr>
        <w:pStyle w:val="Numberbullet0"/>
      </w:pPr>
      <w:r w:rsidRPr="009E0389">
        <w:t>Sustained bronchodilation over 24 hours with</w:t>
      </w:r>
      <w:r>
        <w:t xml:space="preserve"> BD </w:t>
      </w:r>
      <w:r w:rsidRPr="009E0389">
        <w:t>dosing</w:t>
      </w:r>
      <w:r>
        <w:rPr>
          <w:rStyle w:val="FootnoteReference"/>
          <w:rFonts w:eastAsia="Calibri" w:cs="TimesNewRomanPSMT"/>
          <w:color w:val="000000"/>
        </w:rPr>
        <w:footnoteReference w:id="13"/>
      </w:r>
      <w:r w:rsidR="00130B62">
        <w:t>.</w:t>
      </w:r>
    </w:p>
    <w:p w:rsidR="00872F62" w:rsidRDefault="00872F62" w:rsidP="00130B62">
      <w:pPr>
        <w:pStyle w:val="Numberbullet0"/>
      </w:pPr>
      <w:r w:rsidRPr="009E0389">
        <w:t xml:space="preserve">A reduced potential for anticholinergic side effects. </w:t>
      </w:r>
      <w:r w:rsidRPr="00130B62">
        <w:t>Nonclinical</w:t>
      </w:r>
      <w:r w:rsidRPr="009E0389">
        <w:t xml:space="preserve"> studies have shown that the propensity of aclidinium bromide to induce pharmacological effects typical of anticholinergic drugs, such as urinary difficulty/urinary retention, dry mouth and constipation, was lower than that of tiotropium and/or ipratropium</w:t>
      </w:r>
      <w:r>
        <w:t>.</w:t>
      </w:r>
      <w:r>
        <w:rPr>
          <w:rStyle w:val="FootnoteReference"/>
          <w:rFonts w:eastAsia="Calibri" w:cs="TimesNewRomanPSMT"/>
          <w:color w:val="000000"/>
        </w:rPr>
        <w:footnoteReference w:id="14"/>
      </w:r>
      <w:r w:rsidRPr="00872F62">
        <w:rPr>
          <w:vertAlign w:val="superscript"/>
        </w:rPr>
        <w:t>,</w:t>
      </w:r>
      <w:r>
        <w:t xml:space="preserve"> </w:t>
      </w:r>
      <w:r>
        <w:rPr>
          <w:rStyle w:val="FootnoteReference"/>
          <w:rFonts w:eastAsia="Calibri" w:cs="TimesNewRomanPSMT"/>
          <w:color w:val="000000"/>
        </w:rPr>
        <w:footnoteReference w:id="15"/>
      </w:r>
    </w:p>
    <w:p w:rsidR="00872F62" w:rsidRDefault="00872F62" w:rsidP="00130B62">
      <w:pPr>
        <w:pStyle w:val="Numberbullet0"/>
      </w:pPr>
      <w:r w:rsidRPr="009E0389">
        <w:t xml:space="preserve">A good safety profile: conventional nonclinical studies of safety </w:t>
      </w:r>
      <w:r w:rsidRPr="00130B62">
        <w:t>pharmacology</w:t>
      </w:r>
      <w:r w:rsidRPr="009E0389">
        <w:t>, repeated dose toxicity, genotoxicity, carcinogenic potential and reproductive and developmental toxicity revealed no special hazard for humans, and a significant safety margin when aclidinium bromide is administered at the therapeutic do</w:t>
      </w:r>
      <w:r w:rsidR="00130B62">
        <w:t>se,</w:t>
      </w:r>
    </w:p>
    <w:p w:rsidR="00872F62" w:rsidRDefault="00872F62" w:rsidP="00130B62">
      <w:pPr>
        <w:pStyle w:val="Numberbullet0"/>
      </w:pPr>
      <w:r w:rsidRPr="009E0389">
        <w:t>A reduced potential for drug interactions: it was considered unlikely that other medicinal products metabolised by human cytochrome P450 (CYP450) enzymes or esterases would be affected by co-admini</w:t>
      </w:r>
      <w:r w:rsidR="00130B62">
        <w:t xml:space="preserve">stration of </w:t>
      </w:r>
      <w:proofErr w:type="spellStart"/>
      <w:r w:rsidR="00130B62">
        <w:t>aclidinium</w:t>
      </w:r>
      <w:proofErr w:type="spellEnd"/>
      <w:r w:rsidR="00130B62">
        <w:t xml:space="preserve"> bromide.</w:t>
      </w:r>
    </w:p>
    <w:p w:rsidR="00872F62" w:rsidRDefault="00872F62" w:rsidP="00130B62">
      <w:pPr>
        <w:pStyle w:val="Numberbullet0"/>
      </w:pPr>
      <w:r w:rsidRPr="009E0389">
        <w:t>No need for dose adjustme</w:t>
      </w:r>
      <w:r w:rsidR="00130B62">
        <w:t>nt in renal/hepatic impairment.</w:t>
      </w:r>
    </w:p>
    <w:p w:rsidR="00872F62" w:rsidRPr="00872F62" w:rsidRDefault="00872F62" w:rsidP="00130B62">
      <w:pPr>
        <w:pStyle w:val="Numberbullet0"/>
      </w:pPr>
      <w:r w:rsidRPr="009E0389">
        <w:t xml:space="preserve">Potentially better treatment compliance due to ease of </w:t>
      </w:r>
      <w:r w:rsidRPr="00130B62">
        <w:t>administration</w:t>
      </w:r>
      <w:r w:rsidRPr="009E0389">
        <w:t xml:space="preserve"> through the DPI.</w:t>
      </w:r>
    </w:p>
    <w:p w:rsidR="00872F62" w:rsidRPr="00130B62" w:rsidRDefault="00605AD4" w:rsidP="00130B62">
      <w:pPr>
        <w:pStyle w:val="Heading4"/>
      </w:pPr>
      <w:r w:rsidRPr="00605AD4">
        <w:t>Contents of the clinical dossier</w:t>
      </w:r>
    </w:p>
    <w:p w:rsidR="00872F62" w:rsidRPr="00130B62" w:rsidRDefault="00872F62" w:rsidP="00130B62">
      <w:pPr>
        <w:pStyle w:val="Heading5"/>
      </w:pPr>
      <w:bookmarkStart w:id="65" w:name="_Toc356306147"/>
      <w:r>
        <w:t>Scope of the clinical dossier</w:t>
      </w:r>
      <w:bookmarkEnd w:id="65"/>
    </w:p>
    <w:p w:rsidR="00872F62" w:rsidRPr="009E0389" w:rsidRDefault="00872F62" w:rsidP="00130B62">
      <w:r w:rsidRPr="009E0389">
        <w:t xml:space="preserve">This </w:t>
      </w:r>
      <w:r>
        <w:t>a</w:t>
      </w:r>
      <w:r w:rsidRPr="009E0389">
        <w:t>pplication for marketing authorisation for aclidinium bromide is supported by data from clinical studies in which 5447 COPD patients worldwide received at least one dose of investigational medicinal product (IMP).</w:t>
      </w:r>
    </w:p>
    <w:p w:rsidR="00872F62" w:rsidRPr="009E0389" w:rsidRDefault="00872F62" w:rsidP="00130B62">
      <w:r w:rsidRPr="009E0389">
        <w:t xml:space="preserve">The current </w:t>
      </w:r>
      <w:r>
        <w:t>dossier includes twice daily (B</w:t>
      </w:r>
      <w:r w:rsidRPr="009E0389">
        <w:t>D) dosing studies (proposed dosing frequency) as well as once daily (QD) dosing and fixed combination dosing studies. The submission contained the following clinical information:</w:t>
      </w:r>
    </w:p>
    <w:p w:rsidR="00872F62" w:rsidRPr="00872F62" w:rsidRDefault="00872F62" w:rsidP="00130B62">
      <w:pPr>
        <w:pStyle w:val="ListBullet"/>
        <w:rPr>
          <w:rFonts w:cs="TimesNewRomanPSMT"/>
        </w:rPr>
      </w:pPr>
      <w:r w:rsidRPr="00130B62">
        <w:t>Eleven</w:t>
      </w:r>
      <w:r w:rsidRPr="00872F62">
        <w:t xml:space="preserve"> clinical pharmacology studies, including </w:t>
      </w:r>
      <w:r w:rsidR="00693A26">
        <w:t xml:space="preserve">eight </w:t>
      </w:r>
      <w:r w:rsidRPr="00872F62">
        <w:t>that provided pharmacokinetic data and 3 that provided pharmacodynamic data.</w:t>
      </w:r>
      <w:r w:rsidRPr="00872F62">
        <w:rPr>
          <w:rFonts w:cs="TimesNewRomanPSMT"/>
          <w:color w:val="000000"/>
        </w:rPr>
        <w:t xml:space="preserve"> </w:t>
      </w:r>
      <w:r w:rsidRPr="00872F62">
        <w:rPr>
          <w:rFonts w:cs="TimesNewRomanPSMT"/>
        </w:rPr>
        <w:t>Biopharmaceutics of inhaled aclidinium bromide investigated lung deposition (</w:t>
      </w:r>
      <w:r w:rsidRPr="00872F62">
        <w:rPr>
          <w:rFonts w:cs="TimesNewRomanPS-BoldMT"/>
          <w:bCs/>
        </w:rPr>
        <w:t>M/34273/03</w:t>
      </w:r>
      <w:r w:rsidRPr="00872F62">
        <w:rPr>
          <w:rFonts w:cs="TimesNewRomanPSMT"/>
        </w:rPr>
        <w:t>) and absolute bioavailability (</w:t>
      </w:r>
      <w:r w:rsidRPr="00872F62">
        <w:rPr>
          <w:rFonts w:cs="TimesNewRomanPS-BoldMT"/>
          <w:bCs/>
        </w:rPr>
        <w:t>M/34273/05</w:t>
      </w:r>
      <w:r w:rsidRPr="00872F62">
        <w:rPr>
          <w:rFonts w:cs="TimesNewRomanPSMT"/>
        </w:rPr>
        <w:t>), and also evaluated whether the proposed patient population had sufficient peak inspiratory flow (PIF) to use the inhaler device (</w:t>
      </w:r>
      <w:r w:rsidRPr="00872F62">
        <w:rPr>
          <w:rFonts w:cs="TimesNewRomanPS-BoldMT"/>
          <w:bCs/>
        </w:rPr>
        <w:t>M/34273/07</w:t>
      </w:r>
      <w:r w:rsidRPr="00872F62">
        <w:rPr>
          <w:rFonts w:cs="TimesNewRomanPSMT"/>
        </w:rPr>
        <w:t xml:space="preserve">). </w:t>
      </w:r>
      <w:r w:rsidRPr="00872F62">
        <w:rPr>
          <w:rFonts w:cs="TimesNewRomanPSMT"/>
          <w:color w:val="000000"/>
        </w:rPr>
        <w:t xml:space="preserve">Clinical pharmacology studies provided information on </w:t>
      </w:r>
      <w:r w:rsidRPr="00872F62">
        <w:rPr>
          <w:rFonts w:cs="TimesNewRomanPSMT"/>
        </w:rPr>
        <w:t>pharmacokinetics (</w:t>
      </w:r>
      <w:r w:rsidRPr="00872F62">
        <w:rPr>
          <w:rFonts w:cs="TimesNewRomanPS-BoldMT"/>
          <w:bCs/>
        </w:rPr>
        <w:t xml:space="preserve">M/34273/01, M/34273/05, M/34273/06 </w:t>
      </w:r>
      <w:r w:rsidRPr="00872F62">
        <w:rPr>
          <w:rFonts w:cs="TimesNewRomanPSMT"/>
        </w:rPr>
        <w:t xml:space="preserve">and </w:t>
      </w:r>
      <w:r w:rsidRPr="00872F62">
        <w:rPr>
          <w:rFonts w:cs="TimesNewRomanPS-BoldMT"/>
          <w:bCs/>
        </w:rPr>
        <w:t>LAS-PK-12</w:t>
      </w:r>
      <w:r w:rsidRPr="00872F62">
        <w:rPr>
          <w:rFonts w:cs="TimesNewRomanPSMT"/>
        </w:rPr>
        <w:t>) and the influence of age (</w:t>
      </w:r>
      <w:r w:rsidRPr="00872F62">
        <w:rPr>
          <w:rFonts w:cs="TimesNewRomanPS-BoldMT"/>
          <w:bCs/>
        </w:rPr>
        <w:t>M/34273/09</w:t>
      </w:r>
      <w:r w:rsidRPr="00872F62">
        <w:rPr>
          <w:rFonts w:cs="TimesNewRomanPSMT"/>
        </w:rPr>
        <w:t xml:space="preserve">) and renal impairment (M/34273/08) on pharmacokinetics, and in addition provided information on the absorption, distribution, metabolism and excretion (ADME; </w:t>
      </w:r>
      <w:r w:rsidRPr="00872F62">
        <w:rPr>
          <w:rFonts w:cs="TimesNewRomanPS-BoldMT"/>
          <w:bCs/>
        </w:rPr>
        <w:t>M/34273/03, M/34273/04</w:t>
      </w:r>
      <w:r w:rsidRPr="00872F62">
        <w:rPr>
          <w:rFonts w:cs="TimesNewRomanPSMT"/>
        </w:rPr>
        <w:t>), on the primary pharmacodynamic effects of aclidinium bromide (</w:t>
      </w:r>
      <w:r w:rsidRPr="00872F62">
        <w:rPr>
          <w:rFonts w:cs="TimesNewRomanPS-BoldMT"/>
          <w:bCs/>
        </w:rPr>
        <w:t>M/34273/00, M/34273/21</w:t>
      </w:r>
      <w:r w:rsidRPr="00872F62">
        <w:rPr>
          <w:rFonts w:cs="TimesNewRomanPSMT"/>
        </w:rPr>
        <w:t>) and on the effects of aclidinium bromide on QTc interval (</w:t>
      </w:r>
      <w:r w:rsidRPr="00872F62">
        <w:rPr>
          <w:rFonts w:cs="TimesNewRomanPS-BoldMT"/>
          <w:bCs/>
        </w:rPr>
        <w:t>M/34273/11</w:t>
      </w:r>
      <w:r w:rsidRPr="00872F62">
        <w:rPr>
          <w:rFonts w:cs="TimesNewRomanPSMT"/>
        </w:rPr>
        <w:t>).</w:t>
      </w:r>
    </w:p>
    <w:p w:rsidR="00872F62" w:rsidRPr="009E0389" w:rsidRDefault="00872F62" w:rsidP="00130B62">
      <w:pPr>
        <w:pStyle w:val="ListBullet"/>
      </w:pPr>
      <w:r>
        <w:t>P</w:t>
      </w:r>
      <w:r w:rsidRPr="009E0389">
        <w:t>opulation pharmacokinetic analyses</w:t>
      </w:r>
      <w:r>
        <w:t xml:space="preserve">: </w:t>
      </w:r>
      <w:r w:rsidRPr="009E0389">
        <w:t>Not applicable.</w:t>
      </w:r>
    </w:p>
    <w:p w:rsidR="00872F62" w:rsidRPr="00872F62" w:rsidRDefault="00872F62" w:rsidP="00130B62">
      <w:pPr>
        <w:pStyle w:val="ListBullet"/>
      </w:pPr>
      <w:r w:rsidRPr="00872F62">
        <w:t xml:space="preserve">Three pivotal </w:t>
      </w:r>
      <w:r w:rsidRPr="00872F62">
        <w:rPr>
          <w:color w:val="000000"/>
        </w:rPr>
        <w:t xml:space="preserve">randomised, double-blind placebo-controlled, </w:t>
      </w:r>
      <w:r w:rsidRPr="00872F62">
        <w:t xml:space="preserve">efficacy/safety </w:t>
      </w:r>
      <w:r w:rsidRPr="00872F62">
        <w:rPr>
          <w:color w:val="000000"/>
        </w:rPr>
        <w:t xml:space="preserve">studies which aclidinium </w:t>
      </w:r>
      <w:r w:rsidRPr="00872F62">
        <w:t>bromide 400 µg and 200 µg BD; one with a 24 week treatment duration (</w:t>
      </w:r>
      <w:r w:rsidRPr="00872F62">
        <w:rPr>
          <w:rFonts w:cs="TimesNewRomanPS-BoldMT"/>
          <w:bCs/>
        </w:rPr>
        <w:t>M/34273/34</w:t>
      </w:r>
      <w:r w:rsidRPr="00872F62">
        <w:t>) and the other two with 12 week treatment durations (</w:t>
      </w:r>
      <w:r w:rsidRPr="00872F62">
        <w:rPr>
          <w:rFonts w:cs="TimesNewRomanPS-BoldMT"/>
          <w:bCs/>
        </w:rPr>
        <w:t>LAS-MD-33, LAS-MD-38 Part A</w:t>
      </w:r>
      <w:r w:rsidRPr="00872F62">
        <w:t>)</w:t>
      </w:r>
      <w:r w:rsidR="00593F73">
        <w:t xml:space="preserve"> were</w:t>
      </w:r>
      <w:r w:rsidRPr="00872F62">
        <w:t xml:space="preserve"> evaluated</w:t>
      </w:r>
      <w:r w:rsidR="00593F73">
        <w:t>.</w:t>
      </w:r>
    </w:p>
    <w:p w:rsidR="00872F62" w:rsidRPr="00872F62" w:rsidRDefault="00872F62" w:rsidP="00130B62">
      <w:pPr>
        <w:pStyle w:val="ListBullet"/>
      </w:pPr>
      <w:r w:rsidRPr="00872F62">
        <w:t xml:space="preserve">Two Phase </w:t>
      </w:r>
      <w:r w:rsidR="00BB124E">
        <w:t>II</w:t>
      </w:r>
      <w:r w:rsidRPr="00872F62">
        <w:t xml:space="preserve"> dose-finding studies </w:t>
      </w:r>
      <w:r w:rsidRPr="00872F62">
        <w:rPr>
          <w:rFonts w:cs="TimesNewRomanPSMT"/>
        </w:rPr>
        <w:t>(</w:t>
      </w:r>
      <w:r w:rsidRPr="00872F62">
        <w:rPr>
          <w:rFonts w:cs="TimesNewRomanPS-BoldMT"/>
          <w:bCs/>
        </w:rPr>
        <w:t xml:space="preserve">M/34273/23 </w:t>
      </w:r>
      <w:r w:rsidRPr="00872F62">
        <w:rPr>
          <w:rFonts w:cs="TimesNewRomanPSMT"/>
        </w:rPr>
        <w:t xml:space="preserve">and </w:t>
      </w:r>
      <w:r w:rsidRPr="00872F62">
        <w:rPr>
          <w:rFonts w:cs="TimesNewRomanPS-BoldMT"/>
          <w:bCs/>
        </w:rPr>
        <w:t>M/34273/29</w:t>
      </w:r>
      <w:r w:rsidRPr="00872F62">
        <w:rPr>
          <w:rFonts w:cs="TimesNewRomanPSMT"/>
        </w:rPr>
        <w:t>)</w:t>
      </w:r>
      <w:r w:rsidRPr="00872F62">
        <w:t>.</w:t>
      </w:r>
    </w:p>
    <w:p w:rsidR="00872F62" w:rsidRPr="00872F62" w:rsidRDefault="00872F62" w:rsidP="00130B62">
      <w:pPr>
        <w:pStyle w:val="ListBullet"/>
      </w:pPr>
      <w:r w:rsidRPr="00872F62">
        <w:t>Three long term safety and efficacy studies of aclidinium bromide ; 400 µg and 200 µg BD were investigated in two randomised, double-blind, parallel group studies: a 52 week extension study of LAS-MD-33 (</w:t>
      </w:r>
      <w:r w:rsidRPr="00872F62">
        <w:rPr>
          <w:rFonts w:cs="TimesNewRomanPS-BoldMT"/>
          <w:bCs/>
        </w:rPr>
        <w:t>LAS-MD-36</w:t>
      </w:r>
      <w:r w:rsidRPr="00872F62">
        <w:t>) and a further 52 week study (</w:t>
      </w:r>
      <w:r w:rsidRPr="00872F62">
        <w:rPr>
          <w:rFonts w:cs="TimesNewRomanPS-BoldMT"/>
          <w:bCs/>
        </w:rPr>
        <w:t>LAS-MD-35</w:t>
      </w:r>
      <w:r w:rsidRPr="00872F62">
        <w:t>). In addition, a 40 week open label extension study of LAS-MD-38 Part A (</w:t>
      </w:r>
      <w:r w:rsidRPr="00872F62">
        <w:rPr>
          <w:rFonts w:cs="TimesNewRomanPS-BoldMT"/>
          <w:bCs/>
        </w:rPr>
        <w:t>LAS-MD-38 Part B</w:t>
      </w:r>
      <w:r w:rsidRPr="00872F62">
        <w:t>) which investigated long term safety and efficacy of aclidinium bromide 400 µg was conducted.</w:t>
      </w:r>
    </w:p>
    <w:p w:rsidR="00872F62" w:rsidRPr="008F7882" w:rsidRDefault="00872F62" w:rsidP="00130B62">
      <w:pPr>
        <w:pStyle w:val="ListBullet"/>
      </w:pPr>
      <w:r w:rsidRPr="008F7882">
        <w:t>Seven studies with once daily dosing of aclidinium bromide</w:t>
      </w:r>
      <w:r w:rsidRPr="008F7882">
        <w:rPr>
          <w:b/>
        </w:rPr>
        <w:t xml:space="preserve">. </w:t>
      </w:r>
      <w:r w:rsidRPr="008F7882">
        <w:rPr>
          <w:color w:val="000000"/>
        </w:rPr>
        <w:t xml:space="preserve">Prior to conduct of the clinical development </w:t>
      </w:r>
      <w:r>
        <w:rPr>
          <w:color w:val="000000"/>
        </w:rPr>
        <w:t>program</w:t>
      </w:r>
      <w:r w:rsidRPr="008F7882">
        <w:rPr>
          <w:color w:val="000000"/>
        </w:rPr>
        <w:t xml:space="preserve"> of aclidinium bromide BD, a clinical development </w:t>
      </w:r>
      <w:r>
        <w:rPr>
          <w:color w:val="000000"/>
        </w:rPr>
        <w:t>program</w:t>
      </w:r>
      <w:r w:rsidRPr="008F7882">
        <w:rPr>
          <w:color w:val="000000"/>
        </w:rPr>
        <w:t xml:space="preserve"> of </w:t>
      </w:r>
      <w:r w:rsidRPr="008F7882">
        <w:t>aclidinium bromide administered once daily (QD) had been conducted.</w:t>
      </w:r>
    </w:p>
    <w:p w:rsidR="00872F62" w:rsidRPr="008F7882" w:rsidRDefault="00872F62" w:rsidP="00130B62">
      <w:pPr>
        <w:pStyle w:val="ListBullet"/>
      </w:pPr>
      <w:r w:rsidRPr="008F7882">
        <w:t xml:space="preserve">Clinical development of aclidinium bromide in combination with formoterol is ongoing in a parallel clinical </w:t>
      </w:r>
      <w:r>
        <w:t>program</w:t>
      </w:r>
      <w:r w:rsidRPr="008F7882">
        <w:t xml:space="preserve">. Details of this ongoing </w:t>
      </w:r>
      <w:r>
        <w:t>program</w:t>
      </w:r>
      <w:r w:rsidRPr="008F7882">
        <w:t xml:space="preserve"> are not provided as it is not considered relevant for this </w:t>
      </w:r>
      <w:r>
        <w:t>a</w:t>
      </w:r>
      <w:r w:rsidRPr="008F7882">
        <w:t>pplication (safety data have been provided as appropriate).</w:t>
      </w:r>
    </w:p>
    <w:p w:rsidR="00872F62" w:rsidRPr="009E0389" w:rsidRDefault="00872F62" w:rsidP="00130B62">
      <w:pPr>
        <w:pStyle w:val="ListBullet"/>
        <w:rPr>
          <w:b/>
        </w:rPr>
      </w:pPr>
      <w:r w:rsidRPr="008F7882">
        <w:t>Three studies of combination of aclidinium bromide and formoterol</w:t>
      </w:r>
      <w:r w:rsidRPr="009E0389">
        <w:rPr>
          <w:b/>
        </w:rPr>
        <w:t xml:space="preserve">. </w:t>
      </w:r>
      <w:r>
        <w:t>Efficacy data have not been evaluated in as much detail as it is not relevant to this submission. However, the safety data have been evaluated in detail.</w:t>
      </w:r>
    </w:p>
    <w:p w:rsidR="00872F62" w:rsidRDefault="00872F62" w:rsidP="00130B62">
      <w:pPr>
        <w:pStyle w:val="ListBullet"/>
      </w:pPr>
      <w:r>
        <w:t>P</w:t>
      </w:r>
      <w:r w:rsidRPr="009E0389">
        <w:t>ooled analyses, meta-analyses</w:t>
      </w:r>
      <w:r>
        <w:t xml:space="preserve"> and</w:t>
      </w:r>
      <w:r w:rsidRPr="009E0389">
        <w:t xml:space="preserve"> </w:t>
      </w:r>
      <w:r>
        <w:t xml:space="preserve">sponsor’s </w:t>
      </w:r>
      <w:r w:rsidRPr="00130B62">
        <w:rPr>
          <w:i/>
        </w:rPr>
        <w:t>Integrated Summary of Efficacy and Integrated Summary of Safety</w:t>
      </w:r>
      <w:r>
        <w:t>.</w:t>
      </w:r>
    </w:p>
    <w:p w:rsidR="00872F62" w:rsidRPr="009E0389" w:rsidRDefault="00872F62" w:rsidP="00130B62">
      <w:pPr>
        <w:rPr>
          <w:b/>
        </w:rPr>
      </w:pPr>
      <w:r w:rsidRPr="009E0389">
        <w:t>Two clinical studies of aclidinium bromide 40</w:t>
      </w:r>
      <w:r>
        <w:t>0 µ</w:t>
      </w:r>
      <w:r w:rsidRPr="009E0389">
        <w:t>g</w:t>
      </w:r>
      <w:r>
        <w:t xml:space="preserve"> BD </w:t>
      </w:r>
      <w:r w:rsidRPr="009E0389">
        <w:t xml:space="preserve">are ongoing; one study to confirm the bronchodilatory profile over 24 hours compared to that of tiotropium </w:t>
      </w:r>
      <w:r w:rsidRPr="00872F62">
        <w:t>(M/34273/39) and a further study to investigate effects on exercise tolerance (M/34273/40).</w:t>
      </w:r>
    </w:p>
    <w:p w:rsidR="00872F62" w:rsidRPr="00872F62" w:rsidRDefault="00872F62" w:rsidP="00130B62">
      <w:pPr>
        <w:ind w:left="720"/>
      </w:pPr>
      <w:r w:rsidRPr="00CE6A80">
        <w:t>Comments: The studies conducted to date with aclidinium bromide provide an extensive body of information that enables a rigorous evaluation of the benefit-risk profile for aclidinium bromide as a maintenance bronchodilator treatment for patients with moderate to severe COPD.</w:t>
      </w:r>
    </w:p>
    <w:p w:rsidR="00605AD4" w:rsidRPr="00130B62" w:rsidRDefault="00605AD4" w:rsidP="00130B62">
      <w:pPr>
        <w:pStyle w:val="Heading4"/>
      </w:pPr>
      <w:r w:rsidRPr="00605AD4">
        <w:t>Paediatric data</w:t>
      </w:r>
    </w:p>
    <w:p w:rsidR="00872F62" w:rsidRPr="00872F62" w:rsidRDefault="00872F62" w:rsidP="00130B62">
      <w:r w:rsidRPr="00872F62">
        <w:t>The submission did not include paediatric data. On 3 December 2007, the European Medicines Agency (EMA) granted a class waiver (P/1/2007) for the condition COPD from the European Paediatric Regulation (Regulation [EC] Number 1901/2006) requirement for a Paediatric Investigation Plan on the basis that the condition should only be considered in an individual over the age of 40 years with characteristic symptoms of COPD according to GOLD.</w:t>
      </w:r>
    </w:p>
    <w:p w:rsidR="00605AD4" w:rsidRDefault="00605AD4" w:rsidP="00130B62">
      <w:pPr>
        <w:pStyle w:val="Heading4"/>
      </w:pPr>
      <w:r w:rsidRPr="00605AD4">
        <w:t>Good clinical practice</w:t>
      </w:r>
    </w:p>
    <w:p w:rsidR="00872F62" w:rsidRPr="009E0389" w:rsidRDefault="00872F62" w:rsidP="00130B62">
      <w:bookmarkStart w:id="66" w:name="_Toc241374282"/>
      <w:r w:rsidRPr="009E0389">
        <w:t>All clinical trials have been conducted in accordance with the principles and practices of Good Clinical Practice and the Declaration of Helsinki.</w:t>
      </w:r>
    </w:p>
    <w:p w:rsidR="008E7846" w:rsidRPr="00254787" w:rsidRDefault="008E7846" w:rsidP="00130B62">
      <w:pPr>
        <w:pStyle w:val="Heading3"/>
      </w:pPr>
      <w:bookmarkStart w:id="67" w:name="_Toc400115417"/>
      <w:bookmarkEnd w:id="66"/>
      <w:r w:rsidRPr="00254787">
        <w:t>Pharmacokinetics</w:t>
      </w:r>
      <w:bookmarkEnd w:id="55"/>
      <w:bookmarkEnd w:id="62"/>
      <w:bookmarkEnd w:id="63"/>
      <w:bookmarkEnd w:id="64"/>
      <w:bookmarkEnd w:id="67"/>
    </w:p>
    <w:p w:rsidR="00605AD4" w:rsidRDefault="00605AD4" w:rsidP="00130B62">
      <w:pPr>
        <w:pStyle w:val="Heading4"/>
      </w:pPr>
      <w:r>
        <w:t>Studies</w:t>
      </w:r>
      <w:r w:rsidR="00130B62">
        <w:t xml:space="preserve"> providing pharmacokinetic data</w:t>
      </w:r>
    </w:p>
    <w:p w:rsidR="00A81517" w:rsidRDefault="00A81517" w:rsidP="00130B62">
      <w:r>
        <w:t xml:space="preserve">Table </w:t>
      </w:r>
      <w:r w:rsidR="00D43103">
        <w:t>4</w:t>
      </w:r>
      <w:r>
        <w:t xml:space="preserve"> (below)</w:t>
      </w:r>
      <w:r w:rsidRPr="009E0389">
        <w:t xml:space="preserve"> shows the studies relating to each pharmacokinetic topic.</w:t>
      </w:r>
    </w:p>
    <w:p w:rsidR="00A81517" w:rsidRPr="00130B62" w:rsidRDefault="00A81517" w:rsidP="00130B62">
      <w:pPr>
        <w:pStyle w:val="TableTitle"/>
      </w:pPr>
      <w:bookmarkStart w:id="68" w:name="_Ref272426277"/>
      <w:bookmarkStart w:id="69" w:name="_Toc300307733"/>
      <w:bookmarkStart w:id="70" w:name="_Toc370463180"/>
      <w:proofErr w:type="gramStart"/>
      <w:r w:rsidRPr="009E0389">
        <w:t xml:space="preserve">Table </w:t>
      </w:r>
      <w:bookmarkEnd w:id="68"/>
      <w:r w:rsidR="00D43103">
        <w:t>4</w:t>
      </w:r>
      <w:r w:rsidRPr="009E0389">
        <w:t>.</w:t>
      </w:r>
      <w:proofErr w:type="gramEnd"/>
      <w:r w:rsidRPr="009E0389">
        <w:t xml:space="preserve"> </w:t>
      </w:r>
      <w:proofErr w:type="gramStart"/>
      <w:r w:rsidRPr="009E0389">
        <w:t>Submitted pharmacokinetic studies.</w:t>
      </w:r>
      <w:bookmarkEnd w:id="69"/>
      <w:bookmarkEnd w:id="70"/>
      <w:proofErr w:type="gramEnd"/>
    </w:p>
    <w:tbl>
      <w:tblPr>
        <w:tblStyle w:val="TableTGAblue"/>
        <w:tblW w:w="7621" w:type="dxa"/>
        <w:tblLayout w:type="fixed"/>
        <w:tblLook w:val="04A0" w:firstRow="1" w:lastRow="0" w:firstColumn="1" w:lastColumn="0" w:noHBand="0" w:noVBand="1"/>
      </w:tblPr>
      <w:tblGrid>
        <w:gridCol w:w="1809"/>
        <w:gridCol w:w="3969"/>
        <w:gridCol w:w="1843"/>
      </w:tblGrid>
      <w:tr w:rsidR="00A81517" w:rsidRPr="009E0389" w:rsidTr="00A81517">
        <w:trPr>
          <w:cnfStyle w:val="100000000000" w:firstRow="1" w:lastRow="0" w:firstColumn="0" w:lastColumn="0" w:oddVBand="0" w:evenVBand="0" w:oddHBand="0" w:evenHBand="0" w:firstRowFirstColumn="0" w:firstRowLastColumn="0" w:lastRowFirstColumn="0" w:lastRowLastColumn="0"/>
        </w:trPr>
        <w:tc>
          <w:tcPr>
            <w:tcW w:w="1809" w:type="dxa"/>
          </w:tcPr>
          <w:p w:rsidR="00A81517" w:rsidRPr="00CE6FC1" w:rsidRDefault="00A81517" w:rsidP="00130B62">
            <w:pPr>
              <w:ind w:left="0" w:right="33"/>
            </w:pPr>
            <w:r w:rsidRPr="00CE6FC1">
              <w:t>PK topic</w:t>
            </w:r>
          </w:p>
        </w:tc>
        <w:tc>
          <w:tcPr>
            <w:tcW w:w="3969" w:type="dxa"/>
          </w:tcPr>
          <w:p w:rsidR="00A81517" w:rsidRPr="00CE6FC1" w:rsidRDefault="00A81517" w:rsidP="00130B62">
            <w:pPr>
              <w:ind w:left="34" w:right="33"/>
            </w:pPr>
            <w:r w:rsidRPr="00CE6FC1">
              <w:t>Subtopic</w:t>
            </w:r>
          </w:p>
        </w:tc>
        <w:tc>
          <w:tcPr>
            <w:tcW w:w="1843" w:type="dxa"/>
          </w:tcPr>
          <w:p w:rsidR="00A81517" w:rsidRPr="00CE6FC1" w:rsidRDefault="00A81517" w:rsidP="00130B62">
            <w:pPr>
              <w:ind w:left="34" w:right="34"/>
            </w:pPr>
            <w:r w:rsidRPr="00CE6FC1">
              <w:t>Study ID</w:t>
            </w:r>
          </w:p>
        </w:tc>
      </w:tr>
      <w:tr w:rsidR="00A81517" w:rsidRPr="009E0389" w:rsidTr="00A81517">
        <w:tc>
          <w:tcPr>
            <w:tcW w:w="1809" w:type="dxa"/>
            <w:vMerge w:val="restart"/>
          </w:tcPr>
          <w:p w:rsidR="00A81517" w:rsidRPr="00CE6FC1" w:rsidRDefault="00A81517" w:rsidP="00130B62">
            <w:pPr>
              <w:ind w:left="0" w:right="33"/>
            </w:pPr>
            <w:r w:rsidRPr="00CE6FC1">
              <w:t>PK in healthy adults</w:t>
            </w:r>
          </w:p>
        </w:tc>
        <w:tc>
          <w:tcPr>
            <w:tcW w:w="3969" w:type="dxa"/>
          </w:tcPr>
          <w:p w:rsidR="00A81517" w:rsidRPr="00CE6FC1" w:rsidRDefault="00A81517" w:rsidP="00130B62">
            <w:pPr>
              <w:ind w:left="34" w:right="33"/>
            </w:pPr>
            <w:r w:rsidRPr="00CE6FC1">
              <w:t>General PK</w:t>
            </w:r>
            <w:r w:rsidRPr="00CE6FC1">
              <w:tab/>
              <w:t>- Single dose</w:t>
            </w:r>
          </w:p>
        </w:tc>
        <w:tc>
          <w:tcPr>
            <w:tcW w:w="1843" w:type="dxa"/>
          </w:tcPr>
          <w:p w:rsidR="00A81517" w:rsidRPr="00BB124E" w:rsidRDefault="00A81517" w:rsidP="00130B62">
            <w:pPr>
              <w:ind w:left="34" w:right="34"/>
            </w:pPr>
            <w:r w:rsidRPr="00BB124E">
              <w:t>M34273/ 05</w:t>
            </w:r>
          </w:p>
          <w:p w:rsidR="00A81517" w:rsidRPr="00BB124E" w:rsidRDefault="00A81517" w:rsidP="00130B62">
            <w:pPr>
              <w:ind w:left="34" w:right="34"/>
            </w:pPr>
            <w:r w:rsidRPr="00BB124E">
              <w:t>M34273/ 00</w:t>
            </w:r>
          </w:p>
          <w:p w:rsidR="00A81517" w:rsidRPr="00BB124E" w:rsidRDefault="00A81517" w:rsidP="00130B62">
            <w:pPr>
              <w:ind w:left="34" w:right="34"/>
            </w:pPr>
            <w:r w:rsidRPr="00BB124E">
              <w:t>M34273/ 03</w:t>
            </w:r>
          </w:p>
          <w:p w:rsidR="00A81517" w:rsidRPr="00BB124E" w:rsidRDefault="00A81517" w:rsidP="00130B62">
            <w:pPr>
              <w:ind w:left="34" w:right="34"/>
            </w:pPr>
            <w:r w:rsidRPr="00BB124E">
              <w:t>M34273/ 04</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p>
        </w:tc>
        <w:tc>
          <w:tcPr>
            <w:tcW w:w="1843" w:type="dxa"/>
          </w:tcPr>
          <w:p w:rsidR="00A81517" w:rsidRPr="00BB124E" w:rsidRDefault="00A81517" w:rsidP="00130B62">
            <w:pPr>
              <w:ind w:left="34" w:right="34"/>
            </w:pPr>
            <w:r w:rsidRPr="00BB124E">
              <w:t>M34273/ 01</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 Multi-dose</w:t>
            </w:r>
          </w:p>
        </w:tc>
        <w:tc>
          <w:tcPr>
            <w:tcW w:w="1843" w:type="dxa"/>
          </w:tcPr>
          <w:p w:rsidR="00A81517" w:rsidRPr="00BB124E" w:rsidRDefault="00A81517" w:rsidP="00130B62">
            <w:pPr>
              <w:ind w:left="34" w:right="34"/>
            </w:pPr>
            <w:r w:rsidRPr="00BB124E">
              <w:t>LAS-PK-12A</w:t>
            </w:r>
          </w:p>
          <w:p w:rsidR="00A81517" w:rsidRPr="00BB124E" w:rsidRDefault="00A81517" w:rsidP="00130B62">
            <w:pPr>
              <w:ind w:left="34" w:right="34"/>
            </w:pPr>
            <w:r w:rsidRPr="00BB124E">
              <w:t>M34273/ 06</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Bioequivalence† - Single dose</w:t>
            </w:r>
          </w:p>
        </w:tc>
        <w:tc>
          <w:tcPr>
            <w:tcW w:w="1843" w:type="dxa"/>
          </w:tcPr>
          <w:p w:rsidR="00A81517" w:rsidRPr="00BB124E" w:rsidRDefault="00A81517" w:rsidP="00130B62">
            <w:pPr>
              <w:ind w:left="34" w:right="34"/>
            </w:pPr>
            <w:r w:rsidRPr="00BB124E">
              <w:t>Not applicable</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 Multi-dose</w:t>
            </w:r>
          </w:p>
        </w:tc>
        <w:tc>
          <w:tcPr>
            <w:tcW w:w="1843" w:type="dxa"/>
          </w:tcPr>
          <w:p w:rsidR="00A81517" w:rsidRPr="00BB124E" w:rsidRDefault="00A81517" w:rsidP="00130B62">
            <w:pPr>
              <w:ind w:left="34" w:right="34"/>
            </w:pP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Food effect</w:t>
            </w:r>
          </w:p>
        </w:tc>
        <w:tc>
          <w:tcPr>
            <w:tcW w:w="1843" w:type="dxa"/>
          </w:tcPr>
          <w:p w:rsidR="00A81517" w:rsidRPr="00BB124E" w:rsidRDefault="00A81517" w:rsidP="00130B62">
            <w:pPr>
              <w:ind w:left="34" w:right="34"/>
            </w:pPr>
            <w:r w:rsidRPr="00BB124E">
              <w:t>Not applicable</w:t>
            </w:r>
          </w:p>
        </w:tc>
      </w:tr>
      <w:tr w:rsidR="00A81517" w:rsidRPr="009E0389" w:rsidTr="00A81517">
        <w:tc>
          <w:tcPr>
            <w:tcW w:w="1809" w:type="dxa"/>
            <w:vMerge w:val="restart"/>
          </w:tcPr>
          <w:p w:rsidR="00A81517" w:rsidRPr="00CE6FC1" w:rsidRDefault="00A81517" w:rsidP="00130B62">
            <w:pPr>
              <w:ind w:left="0" w:right="33"/>
            </w:pPr>
            <w:r w:rsidRPr="00CE6FC1">
              <w:t>PK in special populations</w:t>
            </w:r>
          </w:p>
        </w:tc>
        <w:tc>
          <w:tcPr>
            <w:tcW w:w="3969" w:type="dxa"/>
          </w:tcPr>
          <w:p w:rsidR="00A81517" w:rsidRPr="00CE6FC1" w:rsidRDefault="00A81517" w:rsidP="00130B62">
            <w:pPr>
              <w:ind w:left="34" w:right="33"/>
            </w:pPr>
            <w:r>
              <w:t>Target population §</w:t>
            </w:r>
            <w:r w:rsidRPr="00CE6FC1">
              <w:t>- Single dose</w:t>
            </w:r>
          </w:p>
          <w:p w:rsidR="00A81517" w:rsidRPr="00CE6FC1" w:rsidRDefault="00130B62" w:rsidP="00130B62">
            <w:pPr>
              <w:ind w:left="34" w:right="33" w:hanging="1565"/>
            </w:pPr>
            <w:r>
              <w:tab/>
            </w:r>
            <w:r w:rsidR="00A81517" w:rsidRPr="00CE6FC1">
              <w:t>-Multiple dose</w:t>
            </w:r>
          </w:p>
        </w:tc>
        <w:tc>
          <w:tcPr>
            <w:tcW w:w="1843" w:type="dxa"/>
          </w:tcPr>
          <w:p w:rsidR="00A81517" w:rsidRPr="00BB124E" w:rsidRDefault="00A81517" w:rsidP="00130B62">
            <w:pPr>
              <w:ind w:left="34" w:right="34"/>
            </w:pPr>
            <w:r w:rsidRPr="00BB124E">
              <w:t>M34273/ 21</w:t>
            </w:r>
          </w:p>
          <w:p w:rsidR="00A81517" w:rsidRPr="00BB124E" w:rsidRDefault="00A81517" w:rsidP="00130B62">
            <w:pPr>
              <w:ind w:left="34" w:right="34"/>
            </w:pPr>
            <w:r w:rsidRPr="00BB124E">
              <w:t>M34273/ 09</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Hepatic impairment</w:t>
            </w:r>
          </w:p>
        </w:tc>
        <w:tc>
          <w:tcPr>
            <w:tcW w:w="1843" w:type="dxa"/>
          </w:tcPr>
          <w:p w:rsidR="00A81517" w:rsidRPr="00BB124E" w:rsidRDefault="00A81517" w:rsidP="00130B62">
            <w:pPr>
              <w:ind w:left="34" w:right="34"/>
            </w:pPr>
            <w:r w:rsidRPr="00BB124E">
              <w:t>None</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Renal impairment</w:t>
            </w:r>
          </w:p>
        </w:tc>
        <w:tc>
          <w:tcPr>
            <w:tcW w:w="1843" w:type="dxa"/>
          </w:tcPr>
          <w:p w:rsidR="00A81517" w:rsidRPr="00BB124E" w:rsidRDefault="00A81517" w:rsidP="00130B62">
            <w:pPr>
              <w:ind w:left="34" w:right="34"/>
            </w:pPr>
            <w:r w:rsidRPr="00BB124E">
              <w:t>M34273/08</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Neonates/infants/children/adolescents</w:t>
            </w:r>
          </w:p>
        </w:tc>
        <w:tc>
          <w:tcPr>
            <w:tcW w:w="1843" w:type="dxa"/>
          </w:tcPr>
          <w:p w:rsidR="00A81517" w:rsidRPr="00CE6FC1" w:rsidRDefault="00A81517" w:rsidP="00130B62">
            <w:pPr>
              <w:ind w:left="34" w:right="34"/>
            </w:pPr>
            <w:r w:rsidRPr="00CE6FC1">
              <w:t>None</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Elderly</w:t>
            </w:r>
          </w:p>
        </w:tc>
        <w:tc>
          <w:tcPr>
            <w:tcW w:w="1843" w:type="dxa"/>
          </w:tcPr>
          <w:p w:rsidR="00A81517" w:rsidRPr="00CE6FC1" w:rsidRDefault="00A81517" w:rsidP="00130B62">
            <w:pPr>
              <w:ind w:left="34" w:right="34"/>
            </w:pPr>
            <w:r w:rsidRPr="00CE6FC1">
              <w:t>None</w:t>
            </w:r>
          </w:p>
        </w:tc>
      </w:tr>
      <w:tr w:rsidR="00A81517" w:rsidRPr="009E0389" w:rsidTr="00A81517">
        <w:tc>
          <w:tcPr>
            <w:tcW w:w="1809" w:type="dxa"/>
          </w:tcPr>
          <w:p w:rsidR="00A81517" w:rsidRPr="00CE6FC1" w:rsidRDefault="00A81517" w:rsidP="00130B62">
            <w:pPr>
              <w:ind w:left="0" w:right="33"/>
            </w:pPr>
            <w:r w:rsidRPr="00CE6FC1">
              <w:t>Genetic/gender-related PK</w:t>
            </w:r>
          </w:p>
        </w:tc>
        <w:tc>
          <w:tcPr>
            <w:tcW w:w="3969" w:type="dxa"/>
          </w:tcPr>
          <w:p w:rsidR="00A81517" w:rsidRPr="00CE6FC1" w:rsidRDefault="00A81517" w:rsidP="00130B62">
            <w:pPr>
              <w:ind w:left="34" w:right="33"/>
            </w:pPr>
            <w:r w:rsidRPr="00CE6FC1">
              <w:t>Males v</w:t>
            </w:r>
            <w:r>
              <w:t>ersus</w:t>
            </w:r>
            <w:r w:rsidRPr="00CE6FC1">
              <w:t xml:space="preserve"> females</w:t>
            </w:r>
          </w:p>
        </w:tc>
        <w:tc>
          <w:tcPr>
            <w:tcW w:w="1843" w:type="dxa"/>
          </w:tcPr>
          <w:p w:rsidR="00A81517" w:rsidRPr="00CE6FC1" w:rsidRDefault="00A81517" w:rsidP="00130B62">
            <w:pPr>
              <w:ind w:left="34" w:right="34"/>
            </w:pPr>
            <w:r w:rsidRPr="00CE6FC1">
              <w:t>None</w:t>
            </w:r>
          </w:p>
        </w:tc>
      </w:tr>
      <w:tr w:rsidR="00A81517" w:rsidRPr="009E0389" w:rsidTr="00A81517">
        <w:tc>
          <w:tcPr>
            <w:tcW w:w="1809" w:type="dxa"/>
          </w:tcPr>
          <w:p w:rsidR="00A81517" w:rsidRPr="00CE6FC1" w:rsidRDefault="00A81517" w:rsidP="00130B62">
            <w:pPr>
              <w:ind w:left="0" w:right="33"/>
            </w:pPr>
            <w:r w:rsidRPr="00CE6FC1">
              <w:t>PK interactions</w:t>
            </w:r>
          </w:p>
        </w:tc>
        <w:tc>
          <w:tcPr>
            <w:tcW w:w="3969" w:type="dxa"/>
          </w:tcPr>
          <w:p w:rsidR="00A81517" w:rsidRPr="00CE6FC1" w:rsidRDefault="00A81517" w:rsidP="00130B62">
            <w:pPr>
              <w:ind w:left="34" w:right="33"/>
            </w:pPr>
            <w:r w:rsidRPr="00CE6FC1">
              <w:t>Not evaluated</w:t>
            </w:r>
          </w:p>
        </w:tc>
        <w:tc>
          <w:tcPr>
            <w:tcW w:w="1843" w:type="dxa"/>
          </w:tcPr>
          <w:p w:rsidR="00A81517" w:rsidRPr="00CE6FC1" w:rsidRDefault="00A81517" w:rsidP="00130B62">
            <w:pPr>
              <w:ind w:left="34" w:right="34"/>
            </w:pPr>
            <w:r w:rsidRPr="00CE6FC1">
              <w:t>None</w:t>
            </w:r>
          </w:p>
        </w:tc>
      </w:tr>
      <w:tr w:rsidR="00A81517" w:rsidRPr="009E0389" w:rsidTr="00A81517">
        <w:tc>
          <w:tcPr>
            <w:tcW w:w="1809" w:type="dxa"/>
            <w:vMerge w:val="restart"/>
          </w:tcPr>
          <w:p w:rsidR="00A81517" w:rsidRPr="00CE6FC1" w:rsidRDefault="00A81517" w:rsidP="00130B62">
            <w:pPr>
              <w:ind w:left="0" w:right="33"/>
            </w:pPr>
            <w:r w:rsidRPr="00CE6FC1">
              <w:t>Population PK analyses</w:t>
            </w:r>
          </w:p>
        </w:tc>
        <w:tc>
          <w:tcPr>
            <w:tcW w:w="3969" w:type="dxa"/>
          </w:tcPr>
          <w:p w:rsidR="00A81517" w:rsidRPr="00CE6FC1" w:rsidRDefault="00A81517" w:rsidP="00130B62">
            <w:pPr>
              <w:ind w:left="34" w:right="33"/>
            </w:pPr>
            <w:r w:rsidRPr="00CE6FC1">
              <w:t>Healthy subjects</w:t>
            </w:r>
          </w:p>
        </w:tc>
        <w:tc>
          <w:tcPr>
            <w:tcW w:w="1843" w:type="dxa"/>
          </w:tcPr>
          <w:p w:rsidR="00A81517" w:rsidRPr="00CE6FC1" w:rsidRDefault="00A81517" w:rsidP="00130B62">
            <w:pPr>
              <w:ind w:left="34" w:right="34"/>
            </w:pPr>
            <w:r w:rsidRPr="00CE6FC1">
              <w:t>None</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Target population</w:t>
            </w:r>
          </w:p>
        </w:tc>
        <w:tc>
          <w:tcPr>
            <w:tcW w:w="1843" w:type="dxa"/>
          </w:tcPr>
          <w:p w:rsidR="00A81517" w:rsidRPr="00CE6FC1" w:rsidRDefault="00A81517" w:rsidP="00130B62">
            <w:pPr>
              <w:ind w:left="34" w:right="34"/>
            </w:pPr>
            <w:r w:rsidRPr="00CE6FC1">
              <w:t>None</w:t>
            </w:r>
          </w:p>
        </w:tc>
      </w:tr>
      <w:tr w:rsidR="00A81517" w:rsidRPr="009E0389" w:rsidTr="00A81517">
        <w:tc>
          <w:tcPr>
            <w:tcW w:w="1809" w:type="dxa"/>
            <w:vMerge/>
          </w:tcPr>
          <w:p w:rsidR="00A81517" w:rsidRPr="00CE6FC1" w:rsidRDefault="00A81517" w:rsidP="00130B62">
            <w:pPr>
              <w:ind w:left="0" w:right="33"/>
            </w:pPr>
          </w:p>
        </w:tc>
        <w:tc>
          <w:tcPr>
            <w:tcW w:w="3969" w:type="dxa"/>
          </w:tcPr>
          <w:p w:rsidR="00A81517" w:rsidRPr="00CE6FC1" w:rsidRDefault="00A81517" w:rsidP="00130B62">
            <w:pPr>
              <w:ind w:left="34" w:right="33"/>
            </w:pPr>
            <w:r w:rsidRPr="00CE6FC1">
              <w:t>Other</w:t>
            </w:r>
          </w:p>
        </w:tc>
        <w:tc>
          <w:tcPr>
            <w:tcW w:w="1843" w:type="dxa"/>
          </w:tcPr>
          <w:p w:rsidR="00A81517" w:rsidRPr="00CE6FC1" w:rsidRDefault="00A81517" w:rsidP="00130B62">
            <w:pPr>
              <w:ind w:left="34" w:right="34"/>
            </w:pPr>
            <w:r w:rsidRPr="00CE6FC1">
              <w:t>None</w:t>
            </w:r>
          </w:p>
        </w:tc>
      </w:tr>
    </w:tbl>
    <w:p w:rsidR="00A81517" w:rsidRPr="00CE6FC1" w:rsidRDefault="00A81517" w:rsidP="00130B62">
      <w:pPr>
        <w:pStyle w:val="TableDescription"/>
      </w:pPr>
      <w:r w:rsidRPr="00CE6FC1">
        <w:t>† Bioequival</w:t>
      </w:r>
      <w:r w:rsidR="00130B62">
        <w:t>ence of different formulations.</w:t>
      </w:r>
    </w:p>
    <w:p w:rsidR="00A81517" w:rsidRPr="00CE6FC1" w:rsidRDefault="00A81517" w:rsidP="00130B62">
      <w:pPr>
        <w:pStyle w:val="TableDescription"/>
      </w:pPr>
      <w:r w:rsidRPr="00CE6FC1">
        <w:t>§ Subjects who would be eligible to receive the drug if approved for the proposed indication.</w:t>
      </w:r>
    </w:p>
    <w:p w:rsidR="00A81517" w:rsidRPr="00A81517" w:rsidRDefault="00A81517" w:rsidP="00130B62">
      <w:r w:rsidRPr="00BC145A">
        <w:t>None of the pharmacokinetic studies had deficiencies that excluded their results from consideration.</w:t>
      </w:r>
    </w:p>
    <w:p w:rsidR="00605AD4" w:rsidRDefault="00605AD4" w:rsidP="00F272C1">
      <w:pPr>
        <w:pStyle w:val="Heading4"/>
      </w:pPr>
      <w:r>
        <w:t xml:space="preserve">Evaluator’s conclusions on </w:t>
      </w:r>
      <w:r w:rsidRPr="00F272C1">
        <w:t>pharmacokinetics</w:t>
      </w:r>
    </w:p>
    <w:p w:rsidR="004A1DD5" w:rsidRPr="00F272C1" w:rsidRDefault="00A81517" w:rsidP="00F272C1">
      <w:pPr>
        <w:pStyle w:val="Heading5"/>
        <w:rPr>
          <w:rStyle w:val="Heading4Char"/>
          <w:b/>
          <w:bCs/>
        </w:rPr>
      </w:pPr>
      <w:r w:rsidRPr="00F272C1">
        <w:rPr>
          <w:rStyle w:val="Heading5Char"/>
          <w:rFonts w:eastAsia="Cambria"/>
          <w:b/>
          <w:bCs/>
          <w:i/>
        </w:rPr>
        <w:t>Absorption</w:t>
      </w:r>
    </w:p>
    <w:p w:rsidR="00A81517" w:rsidRPr="009E0389" w:rsidRDefault="00A81517" w:rsidP="00F272C1">
      <w:proofErr w:type="spellStart"/>
      <w:r w:rsidRPr="009E0389">
        <w:t>Aclidinium</w:t>
      </w:r>
      <w:proofErr w:type="spellEnd"/>
      <w:r w:rsidRPr="009E0389">
        <w:t xml:space="preserve"> bromide is rapidly absorbed from the lung, achieving maximum plasma concentrations within 5 minutes of inhalation in healthy subjects and normally within the first 15 minutes in COPD patients.</w:t>
      </w:r>
      <w:r w:rsidRPr="009E0389">
        <w:rPr>
          <w:rFonts w:cs="Arial"/>
        </w:rPr>
        <w:t xml:space="preserve"> </w:t>
      </w:r>
      <w:r w:rsidRPr="009E0389">
        <w:rPr>
          <w:rFonts w:cs="TimesNewRomanPSMT"/>
        </w:rPr>
        <w:t>The mean C</w:t>
      </w:r>
      <w:r w:rsidRPr="00472255">
        <w:rPr>
          <w:rFonts w:cs="TimesNewRomanPSMT"/>
          <w:vertAlign w:val="subscript"/>
        </w:rPr>
        <w:t>max</w:t>
      </w:r>
      <w:r w:rsidRPr="009E0389">
        <w:rPr>
          <w:rFonts w:cs="TimesNewRomanPSMT"/>
        </w:rPr>
        <w:t xml:space="preserve">, attained after inhalation of </w:t>
      </w:r>
      <w:r w:rsidRPr="003B2EC6">
        <w:rPr>
          <w:rFonts w:cs="TimesNewRomanPSMT"/>
        </w:rPr>
        <w:t xml:space="preserve">single doses of 400 µg was approximately 80 pg/mL in COPD patients (Study M/34273/09, n=24 [12 young and 12 elderly]) and higher at 100 pg/mL to 200 pg/mL in healthy volunteers (Studies M/34273/08 [n=6] and LAS-PK-12 [n=8], respectively). </w:t>
      </w:r>
      <w:r w:rsidRPr="003B2EC6">
        <w:t>Steady-state plasma levels were attained within seven days of twice daily dosing and considering the short half-life; steady-state may be reached</w:t>
      </w:r>
      <w:r w:rsidRPr="009E0389">
        <w:t xml:space="preserve"> soon after the first dose. No accumulation on repeat dosing was observed at steady-state. The fraction of the inhaled dose that reaches the systemic circulation as unchanged aclidinium is very low at less than </w:t>
      </w:r>
      <w:r>
        <w:t>5</w:t>
      </w:r>
      <w:r w:rsidRPr="009E0389">
        <w:t>%.</w:t>
      </w:r>
    </w:p>
    <w:p w:rsidR="004A1DD5" w:rsidRPr="00F272C1" w:rsidRDefault="00A81517" w:rsidP="00F272C1">
      <w:pPr>
        <w:pStyle w:val="Heading5"/>
        <w:rPr>
          <w:rFonts w:eastAsia="Calibri"/>
        </w:rPr>
      </w:pPr>
      <w:r w:rsidRPr="00F272C1">
        <w:rPr>
          <w:rFonts w:eastAsia="Cambria"/>
        </w:rPr>
        <w:t>Distribution</w:t>
      </w:r>
    </w:p>
    <w:p w:rsidR="00A81517" w:rsidRPr="009E0389" w:rsidRDefault="00A81517" w:rsidP="00F272C1">
      <w:r w:rsidRPr="009E0389">
        <w:t>Whole lung deposition of inhaled aclidinium bromide via the Genuair inhaler averaged approximately 30% of the metered dose.</w:t>
      </w:r>
      <w:r>
        <w:t xml:space="preserve"> </w:t>
      </w:r>
      <w:r w:rsidRPr="009E0389">
        <w:t xml:space="preserve">The plasma protein binding of aclidinium bromide determined </w:t>
      </w:r>
      <w:r w:rsidRPr="00472255">
        <w:rPr>
          <w:iCs/>
        </w:rPr>
        <w:t>in vitro</w:t>
      </w:r>
      <w:r w:rsidRPr="009E0389">
        <w:rPr>
          <w:i/>
          <w:iCs/>
        </w:rPr>
        <w:t xml:space="preserve"> </w:t>
      </w:r>
      <w:r w:rsidRPr="009E0389">
        <w:t>most likely corresponded to the protein binding of the metabolites due to the rapid hydrolysis of aclidinium bromide in plasma; plasma protein binding was 87% for the carboxylic acid metabolite and 15% for the alcohol metabolite. The main plasma protein that binds aclidinium bromide is albumin.</w:t>
      </w:r>
    </w:p>
    <w:p w:rsidR="004A1DD5" w:rsidRPr="00F272C1" w:rsidRDefault="00A81517" w:rsidP="00F272C1">
      <w:pPr>
        <w:pStyle w:val="Heading5"/>
        <w:rPr>
          <w:rFonts w:eastAsia="Cambria"/>
        </w:rPr>
      </w:pPr>
      <w:r w:rsidRPr="00F272C1">
        <w:rPr>
          <w:rFonts w:eastAsia="Cambria"/>
        </w:rPr>
        <w:t>Metabolism</w:t>
      </w:r>
    </w:p>
    <w:p w:rsidR="00A81517" w:rsidRPr="009E0389" w:rsidRDefault="00A81517" w:rsidP="00F272C1">
      <w:proofErr w:type="spellStart"/>
      <w:r w:rsidRPr="009E0389">
        <w:t>Aclidinium</w:t>
      </w:r>
      <w:proofErr w:type="spellEnd"/>
      <w:r w:rsidRPr="009E0389">
        <w:t xml:space="preserve"> bromide is rapidly and extensively hydrolysed to its pha</w:t>
      </w:r>
      <w:r>
        <w:t>rmacologically inactive alcohol</w:t>
      </w:r>
      <w:r w:rsidRPr="009E0389">
        <w:t xml:space="preserve"> and carboxylic acid</w:t>
      </w:r>
      <w:r>
        <w:t xml:space="preserve"> </w:t>
      </w:r>
      <w:r w:rsidRPr="009E0389">
        <w:t xml:space="preserve">derivatives. The hydrolysis occurs both chemically (non-enzymatically) and enzymatically by esterases, </w:t>
      </w:r>
      <w:r w:rsidR="005C0D76">
        <w:t>BChE</w:t>
      </w:r>
      <w:r w:rsidR="005C0D76" w:rsidRPr="009E0389">
        <w:t xml:space="preserve"> </w:t>
      </w:r>
      <w:r w:rsidRPr="009E0389">
        <w:t>being the main human esterase involved in the hydrolysis. Plasma levels of the acid metabolite are approximately 100</w:t>
      </w:r>
      <w:r>
        <w:t xml:space="preserve"> </w:t>
      </w:r>
      <w:r w:rsidRPr="009E0389">
        <w:t>fold greater than those of the alcohol metabolite and the unchanged active substance following inhalation.</w:t>
      </w:r>
      <w:r>
        <w:t xml:space="preserve"> </w:t>
      </w:r>
      <w:r w:rsidRPr="009E0389">
        <w:t>The low absolute bioavailability of inhaled aclidinium bromide (&lt;5%) is because aclidinium bromide undergoes extensive systemic and pre</w:t>
      </w:r>
      <w:r>
        <w:t xml:space="preserve"> </w:t>
      </w:r>
      <w:r w:rsidRPr="009E0389">
        <w:t>systemic hydrolysis whether deposited in the lung or swallowed. Biotransformation via CYP450 enzymes plays a minor role in the total metabolic c</w:t>
      </w:r>
      <w:r w:rsidR="00F272C1">
        <w:t xml:space="preserve">learance of </w:t>
      </w:r>
      <w:proofErr w:type="spellStart"/>
      <w:r w:rsidR="00F272C1">
        <w:t>aclidinium</w:t>
      </w:r>
      <w:proofErr w:type="spellEnd"/>
      <w:r w:rsidR="00F272C1">
        <w:t xml:space="preserve"> bromide.</w:t>
      </w:r>
    </w:p>
    <w:p w:rsidR="004A1DD5" w:rsidRDefault="00A81517" w:rsidP="00F272C1">
      <w:pPr>
        <w:pStyle w:val="Heading5"/>
      </w:pPr>
      <w:r w:rsidRPr="00F272C1">
        <w:rPr>
          <w:rFonts w:eastAsia="Cambria"/>
        </w:rPr>
        <w:t>Elimination</w:t>
      </w:r>
    </w:p>
    <w:p w:rsidR="00A81517" w:rsidRPr="00101C27" w:rsidRDefault="00A81517" w:rsidP="00F272C1">
      <w:r w:rsidRPr="00101C27">
        <w:t>The terminal elimination half-life of aclidinium bromide is approximately 2 to 3 hours.</w:t>
      </w:r>
      <w:r>
        <w:t xml:space="preserve"> </w:t>
      </w:r>
      <w:r w:rsidRPr="00101C27">
        <w:t>Following intravenous administration of 40</w:t>
      </w:r>
      <w:r>
        <w:t>0 µ</w:t>
      </w:r>
      <w:r w:rsidRPr="00101C27">
        <w:t>g radiolabelled aclidinium bromide to healthy subjects approximately 1% of the dose was excreted as unchanged aclidinium bromide in the urine. Up to 65% of the dose was eliminated as metabolites in the urine and up to 33% as metabolites in the faeces.</w:t>
      </w:r>
      <w:r>
        <w:t xml:space="preserve"> </w:t>
      </w:r>
      <w:r w:rsidRPr="00101C27">
        <w:t>Following inhalation of 20</w:t>
      </w:r>
      <w:r>
        <w:t>0 µ</w:t>
      </w:r>
      <w:r w:rsidRPr="00101C27">
        <w:t>g and 40</w:t>
      </w:r>
      <w:r>
        <w:t>0 µ</w:t>
      </w:r>
      <w:r w:rsidRPr="00101C27">
        <w:t>g of aclidinium bromide by healthy subjects or COPD patients, the urinary excretion of unchanged aclidinium was very low at about 0.1% of the administered dose indicating that renal clearance plays a minor role in the total aclidinium clearance from plasma.</w:t>
      </w:r>
    </w:p>
    <w:p w:rsidR="004A1DD5" w:rsidRPr="00F272C1" w:rsidRDefault="00A81517" w:rsidP="00F272C1">
      <w:pPr>
        <w:pStyle w:val="Heading5"/>
        <w:rPr>
          <w:rFonts w:eastAsia="Cambria"/>
        </w:rPr>
      </w:pPr>
      <w:r w:rsidRPr="00F272C1">
        <w:rPr>
          <w:rFonts w:eastAsia="Cambria"/>
        </w:rPr>
        <w:t>PKs in special populations</w:t>
      </w:r>
    </w:p>
    <w:p w:rsidR="00A81517" w:rsidRPr="009E0389" w:rsidRDefault="00A81517" w:rsidP="00F272C1">
      <w:r w:rsidRPr="009E0389">
        <w:t xml:space="preserve">In </w:t>
      </w:r>
      <w:r w:rsidRPr="003B2EC6">
        <w:t>Study M34273/09,</w:t>
      </w:r>
      <w:r>
        <w:rPr>
          <w:b/>
        </w:rPr>
        <w:t xml:space="preserve"> </w:t>
      </w:r>
      <w:r w:rsidRPr="009E0389">
        <w:t xml:space="preserve">PK profiles of </w:t>
      </w:r>
      <w:r w:rsidRPr="009E0389">
        <w:rPr>
          <w:rFonts w:cs="Arial,Italic"/>
          <w:iCs/>
        </w:rPr>
        <w:t>aclidinium bromide</w:t>
      </w:r>
      <w:r w:rsidRPr="009E0389">
        <w:rPr>
          <w:rFonts w:cs="Arial,Italic"/>
          <w:i/>
          <w:iCs/>
        </w:rPr>
        <w:t xml:space="preserve"> </w:t>
      </w:r>
      <w:r w:rsidRPr="009E0389">
        <w:t xml:space="preserve">in plasma were similar between Days 1 and 3, in </w:t>
      </w:r>
      <w:r>
        <w:t xml:space="preserve">COPD </w:t>
      </w:r>
      <w:r w:rsidRPr="009E0389">
        <w:t>patients aged 40</w:t>
      </w:r>
      <w:r>
        <w:t xml:space="preserve"> to </w:t>
      </w:r>
      <w:r w:rsidRPr="009E0389">
        <w:t xml:space="preserve">59 years and in patient’s aged </w:t>
      </w:r>
      <w:r>
        <w:t>≥</w:t>
      </w:r>
      <w:r w:rsidRPr="009E0389">
        <w:t>70 years. The plasma exposure at the 40</w:t>
      </w:r>
      <w:r>
        <w:t>0 µ</w:t>
      </w:r>
      <w:r w:rsidRPr="009E0389">
        <w:t xml:space="preserve">g inhaled dose being approximately </w:t>
      </w:r>
      <w:r>
        <w:t>2 times</w:t>
      </w:r>
      <w:r w:rsidRPr="009E0389">
        <w:t xml:space="preserve"> higher than that for the 20</w:t>
      </w:r>
      <w:r>
        <w:t>0 µ</w:t>
      </w:r>
      <w:r w:rsidRPr="009E0389">
        <w:t xml:space="preserve">g dose. Thus, it can be concluded that the pharmacokinetic behaviour of </w:t>
      </w:r>
      <w:r w:rsidRPr="009E0389">
        <w:rPr>
          <w:rFonts w:cs="Arial,Italic"/>
          <w:iCs/>
        </w:rPr>
        <w:t>aclidinium bromide</w:t>
      </w:r>
      <w:r w:rsidRPr="009E0389">
        <w:rPr>
          <w:rFonts w:cs="Arial,Italic"/>
          <w:i/>
          <w:iCs/>
        </w:rPr>
        <w:t xml:space="preserve"> </w:t>
      </w:r>
      <w:r w:rsidRPr="009E0389">
        <w:t>in elderly patients is not different from that in younger adult patients. Furthermore, the higher exposure of the two main metabolites observed in the elderly patients is considered clinically irrelevant since these metabolites are devoid of activity at a wide array of receptors and enzymes, including muscarinic receptors. As such, a dosage adjustment for elderly COPD patients is not required.</w:t>
      </w:r>
    </w:p>
    <w:p w:rsidR="00A81517" w:rsidRPr="009E0389" w:rsidRDefault="00A81517" w:rsidP="00F272C1">
      <w:r w:rsidRPr="009E0389">
        <w:t xml:space="preserve">No significant pharmacokinetic differences were observed between subjects with normal renal function and subjects with renal impairment. Therefore, no dose adjustment and no additional monitoring are required for </w:t>
      </w:r>
      <w:proofErr w:type="spellStart"/>
      <w:r w:rsidRPr="009E0389">
        <w:t>renally</w:t>
      </w:r>
      <w:proofErr w:type="spellEnd"/>
      <w:r>
        <w:t xml:space="preserve"> </w:t>
      </w:r>
      <w:r w:rsidR="00F272C1">
        <w:t>impaired COPD patients.</w:t>
      </w:r>
    </w:p>
    <w:p w:rsidR="00A81517" w:rsidRPr="009E0389" w:rsidRDefault="00A81517" w:rsidP="00F272C1">
      <w:r w:rsidRPr="009E0389">
        <w:t>No studies have been performed on hepatically</w:t>
      </w:r>
      <w:r>
        <w:t xml:space="preserve"> </w:t>
      </w:r>
      <w:r w:rsidRPr="009E0389">
        <w:t>impaired patients. As aclidinium bromide is metabolised mainly by chemical and enzymatic cleavage in the plasma, hepatic dysfunction is very unlikely to alter its systemic exposure. No dose adjustment is required for hepatically-impaired COPD patients.</w:t>
      </w:r>
    </w:p>
    <w:p w:rsidR="004A1DD5" w:rsidRPr="00F272C1" w:rsidRDefault="00A81517" w:rsidP="00F272C1">
      <w:pPr>
        <w:pStyle w:val="Heading5"/>
      </w:pPr>
      <w:r w:rsidRPr="00F272C1">
        <w:rPr>
          <w:rFonts w:eastAsia="Cambria"/>
        </w:rPr>
        <w:t>Drug intera</w:t>
      </w:r>
      <w:r w:rsidR="004A1DD5" w:rsidRPr="00F272C1">
        <w:rPr>
          <w:rFonts w:eastAsia="Cambria"/>
        </w:rPr>
        <w:t>c</w:t>
      </w:r>
      <w:r w:rsidRPr="00F272C1">
        <w:rPr>
          <w:rFonts w:eastAsia="Cambria"/>
        </w:rPr>
        <w:t>tions</w:t>
      </w:r>
    </w:p>
    <w:p w:rsidR="00A81517" w:rsidRDefault="00A81517" w:rsidP="00F272C1">
      <w:r w:rsidRPr="009E0389">
        <w:rPr>
          <w:iCs/>
        </w:rPr>
        <w:t xml:space="preserve">No human drug interaction studies have been conducted. </w:t>
      </w:r>
      <w:r w:rsidRPr="009E0389">
        <w:rPr>
          <w:i/>
          <w:iCs/>
        </w:rPr>
        <w:t xml:space="preserve">In vitro </w:t>
      </w:r>
      <w:r w:rsidRPr="009E0389">
        <w:t xml:space="preserve">studies have shown that aclidinium bromide at the therapeutic dose or its metabolites do not inhibit or induce any of the cytochrome P450 (CYP450) enzymes and do not inhibit esterases (carboxylesterase, acetylcholinesterase and </w:t>
      </w:r>
      <w:r w:rsidR="005C0D76">
        <w:t>BChE</w:t>
      </w:r>
      <w:r w:rsidRPr="009E0389">
        <w:t xml:space="preserve">). </w:t>
      </w:r>
      <w:r w:rsidRPr="00472255">
        <w:rPr>
          <w:iCs/>
        </w:rPr>
        <w:t>In vitro</w:t>
      </w:r>
      <w:r w:rsidRPr="009E0389">
        <w:rPr>
          <w:i/>
          <w:iCs/>
        </w:rPr>
        <w:t xml:space="preserve"> </w:t>
      </w:r>
      <w:r w:rsidRPr="009E0389">
        <w:t>studies have shown that aclidinium bromide or the metabolites of aclidinium bromide are not substrates or inhibitors of P-glycoprotein.</w:t>
      </w:r>
    </w:p>
    <w:p w:rsidR="008E7846" w:rsidRDefault="008E7846" w:rsidP="00F272C1">
      <w:pPr>
        <w:pStyle w:val="Heading3"/>
      </w:pPr>
      <w:bookmarkStart w:id="71" w:name="_Toc196046481"/>
      <w:bookmarkStart w:id="72" w:name="_Toc247691520"/>
      <w:bookmarkStart w:id="73" w:name="_Toc314842503"/>
      <w:bookmarkStart w:id="74" w:name="_Toc400115418"/>
      <w:r w:rsidRPr="00F272C1">
        <w:t>Pharmacodynamics</w:t>
      </w:r>
      <w:bookmarkEnd w:id="56"/>
      <w:bookmarkEnd w:id="71"/>
      <w:bookmarkEnd w:id="72"/>
      <w:bookmarkEnd w:id="73"/>
      <w:bookmarkEnd w:id="74"/>
    </w:p>
    <w:p w:rsidR="00605AD4" w:rsidRDefault="00605AD4" w:rsidP="00F272C1">
      <w:pPr>
        <w:pStyle w:val="Heading4"/>
      </w:pPr>
      <w:r>
        <w:t xml:space="preserve">Studies </w:t>
      </w:r>
      <w:r w:rsidRPr="00F272C1">
        <w:t>providing</w:t>
      </w:r>
      <w:r>
        <w:t xml:space="preserve"> </w:t>
      </w:r>
      <w:proofErr w:type="spellStart"/>
      <w:r>
        <w:t>pharmacodynamic</w:t>
      </w:r>
      <w:proofErr w:type="spellEnd"/>
      <w:r>
        <w:t xml:space="preserve"> data</w:t>
      </w:r>
    </w:p>
    <w:p w:rsidR="00A81517" w:rsidRDefault="00A81517" w:rsidP="00F272C1">
      <w:r>
        <w:t xml:space="preserve">Table </w:t>
      </w:r>
      <w:r w:rsidR="00D43103">
        <w:t>5</w:t>
      </w:r>
      <w:r w:rsidRPr="009E0389">
        <w:t xml:space="preserve"> shows the studies relating to each pharmacodynamic topic and the location of each study summary.</w:t>
      </w:r>
    </w:p>
    <w:p w:rsidR="00A81517" w:rsidRPr="009E0389" w:rsidRDefault="00A81517" w:rsidP="00F272C1">
      <w:pPr>
        <w:pStyle w:val="TableTitle"/>
      </w:pPr>
      <w:bookmarkStart w:id="75" w:name="_Ref269985397"/>
      <w:bookmarkStart w:id="76" w:name="_Toc300307735"/>
      <w:bookmarkStart w:id="77" w:name="_Toc370463181"/>
      <w:proofErr w:type="gramStart"/>
      <w:r w:rsidRPr="009E0389">
        <w:t xml:space="preserve">Table </w:t>
      </w:r>
      <w:bookmarkEnd w:id="75"/>
      <w:r w:rsidR="00D43103">
        <w:t>5</w:t>
      </w:r>
      <w:r w:rsidRPr="009E0389">
        <w:t>.</w:t>
      </w:r>
      <w:proofErr w:type="gramEnd"/>
      <w:r w:rsidRPr="009E0389">
        <w:t xml:space="preserve"> </w:t>
      </w:r>
      <w:proofErr w:type="gramStart"/>
      <w:r w:rsidRPr="00F272C1">
        <w:t>Submitted</w:t>
      </w:r>
      <w:r w:rsidRPr="009E0389">
        <w:t xml:space="preserve"> </w:t>
      </w:r>
      <w:proofErr w:type="spellStart"/>
      <w:r w:rsidRPr="009E0389">
        <w:t>pharmacodynamic</w:t>
      </w:r>
      <w:proofErr w:type="spellEnd"/>
      <w:r w:rsidRPr="009E0389">
        <w:t xml:space="preserve"> studies.</w:t>
      </w:r>
      <w:bookmarkEnd w:id="76"/>
      <w:bookmarkEnd w:id="77"/>
      <w:proofErr w:type="gramEnd"/>
    </w:p>
    <w:tbl>
      <w:tblPr>
        <w:tblStyle w:val="TableTGAblue"/>
        <w:tblW w:w="8613" w:type="dxa"/>
        <w:tblLayout w:type="fixed"/>
        <w:tblLook w:val="04A0" w:firstRow="1" w:lastRow="0" w:firstColumn="1" w:lastColumn="0" w:noHBand="0" w:noVBand="1"/>
      </w:tblPr>
      <w:tblGrid>
        <w:gridCol w:w="1951"/>
        <w:gridCol w:w="4820"/>
        <w:gridCol w:w="1842"/>
      </w:tblGrid>
      <w:tr w:rsidR="001F3996" w:rsidRPr="009E0389" w:rsidTr="001F3996">
        <w:trPr>
          <w:cnfStyle w:val="100000000000" w:firstRow="1" w:lastRow="0" w:firstColumn="0" w:lastColumn="0" w:oddVBand="0" w:evenVBand="0" w:oddHBand="0" w:evenHBand="0" w:firstRowFirstColumn="0" w:firstRowLastColumn="0" w:lastRowFirstColumn="0" w:lastRowLastColumn="0"/>
        </w:trPr>
        <w:tc>
          <w:tcPr>
            <w:tcW w:w="1951" w:type="dxa"/>
          </w:tcPr>
          <w:p w:rsidR="001F3996" w:rsidRPr="00472255" w:rsidRDefault="001F3996" w:rsidP="0048791E">
            <w:pPr>
              <w:ind w:left="0" w:right="34"/>
              <w:rPr>
                <w:b w:val="0"/>
              </w:rPr>
            </w:pPr>
            <w:r w:rsidRPr="00472255">
              <w:t>PD Topic</w:t>
            </w:r>
          </w:p>
        </w:tc>
        <w:tc>
          <w:tcPr>
            <w:tcW w:w="4820" w:type="dxa"/>
          </w:tcPr>
          <w:p w:rsidR="001F3996" w:rsidRPr="00472255" w:rsidRDefault="001F3996" w:rsidP="0048791E">
            <w:pPr>
              <w:ind w:left="34" w:right="34"/>
              <w:rPr>
                <w:b w:val="0"/>
              </w:rPr>
            </w:pPr>
            <w:r w:rsidRPr="00472255">
              <w:t>Subtopic</w:t>
            </w:r>
          </w:p>
        </w:tc>
        <w:tc>
          <w:tcPr>
            <w:tcW w:w="1842" w:type="dxa"/>
          </w:tcPr>
          <w:p w:rsidR="001F3996" w:rsidRPr="00472255" w:rsidRDefault="001F3996" w:rsidP="0048791E">
            <w:pPr>
              <w:ind w:left="0" w:right="33"/>
              <w:rPr>
                <w:b w:val="0"/>
              </w:rPr>
            </w:pPr>
            <w:r w:rsidRPr="00472255">
              <w:t>Study ID</w:t>
            </w:r>
          </w:p>
        </w:tc>
      </w:tr>
      <w:tr w:rsidR="001F3996" w:rsidRPr="009E0389" w:rsidTr="001F3996">
        <w:tc>
          <w:tcPr>
            <w:tcW w:w="1951" w:type="dxa"/>
          </w:tcPr>
          <w:p w:rsidR="001F3996" w:rsidRPr="00472255" w:rsidRDefault="001F3996" w:rsidP="0048791E">
            <w:pPr>
              <w:ind w:left="0" w:right="34"/>
            </w:pPr>
            <w:r w:rsidRPr="00472255">
              <w:t>Primary pharmacology:</w:t>
            </w:r>
          </w:p>
          <w:p w:rsidR="001F3996" w:rsidRPr="00472255" w:rsidRDefault="001F3996" w:rsidP="0048791E">
            <w:pPr>
              <w:spacing w:before="840"/>
              <w:ind w:left="0" w:right="34"/>
            </w:pPr>
            <w:r w:rsidRPr="00472255">
              <w:t>Secondary Pharmacology</w:t>
            </w:r>
          </w:p>
        </w:tc>
        <w:tc>
          <w:tcPr>
            <w:tcW w:w="4820" w:type="dxa"/>
          </w:tcPr>
          <w:p w:rsidR="001F3996" w:rsidRPr="00472255" w:rsidRDefault="001F3996" w:rsidP="0048791E">
            <w:pPr>
              <w:ind w:left="34" w:right="34"/>
            </w:pPr>
            <w:r w:rsidRPr="00472255">
              <w:t>In male COPD patients</w:t>
            </w:r>
          </w:p>
          <w:p w:rsidR="001F3996" w:rsidRPr="00472255" w:rsidRDefault="001F3996" w:rsidP="0048791E">
            <w:pPr>
              <w:spacing w:after="240"/>
              <w:ind w:left="34" w:right="34"/>
            </w:pPr>
            <w:r w:rsidRPr="00472255">
              <w:t>To characterise PIF generated through Novolizer and the Handihaler dry powder inhalers by COPD patients</w:t>
            </w:r>
          </w:p>
          <w:p w:rsidR="001F3996" w:rsidRPr="00472255" w:rsidRDefault="001F3996" w:rsidP="0048791E">
            <w:pPr>
              <w:ind w:left="34" w:right="34"/>
            </w:pPr>
            <w:r w:rsidRPr="00472255">
              <w:t>Effect on QT intervals</w:t>
            </w:r>
          </w:p>
        </w:tc>
        <w:tc>
          <w:tcPr>
            <w:tcW w:w="1842" w:type="dxa"/>
          </w:tcPr>
          <w:p w:rsidR="001F3996" w:rsidRPr="00BB124E" w:rsidRDefault="001F3996" w:rsidP="0048791E">
            <w:pPr>
              <w:spacing w:after="360"/>
              <w:ind w:left="0" w:right="34"/>
            </w:pPr>
            <w:r w:rsidRPr="00BB124E">
              <w:t>M34273/21</w:t>
            </w:r>
          </w:p>
          <w:p w:rsidR="001F3996" w:rsidRPr="00BB124E" w:rsidRDefault="001F3996" w:rsidP="0048791E">
            <w:pPr>
              <w:ind w:left="0" w:right="33"/>
            </w:pPr>
            <w:r w:rsidRPr="00BB124E">
              <w:t>M/34273/07</w:t>
            </w:r>
          </w:p>
          <w:p w:rsidR="001F3996" w:rsidRPr="00472255" w:rsidRDefault="001F3996" w:rsidP="0048791E">
            <w:pPr>
              <w:spacing w:before="480"/>
              <w:ind w:left="0" w:right="34"/>
            </w:pPr>
            <w:r w:rsidRPr="00BB124E">
              <w:t>M34273/11A</w:t>
            </w:r>
          </w:p>
        </w:tc>
      </w:tr>
      <w:tr w:rsidR="001F3996" w:rsidRPr="009E0389" w:rsidTr="001F3996">
        <w:tc>
          <w:tcPr>
            <w:tcW w:w="1951" w:type="dxa"/>
            <w:vMerge w:val="restart"/>
          </w:tcPr>
          <w:p w:rsidR="001F3996" w:rsidRPr="00472255" w:rsidRDefault="001F3996" w:rsidP="0048791E">
            <w:pPr>
              <w:ind w:left="0" w:right="34"/>
            </w:pPr>
            <w:r w:rsidRPr="00472255">
              <w:t>Gender other genetic and Age-Related Differences in PD Response</w:t>
            </w:r>
          </w:p>
        </w:tc>
        <w:tc>
          <w:tcPr>
            <w:tcW w:w="4820" w:type="dxa"/>
          </w:tcPr>
          <w:p w:rsidR="001F3996" w:rsidRPr="00472255" w:rsidRDefault="001F3996" w:rsidP="0048791E">
            <w:pPr>
              <w:ind w:left="34" w:right="34"/>
            </w:pPr>
            <w:r w:rsidRPr="00472255">
              <w:t>Effect of gender</w:t>
            </w:r>
          </w:p>
        </w:tc>
        <w:tc>
          <w:tcPr>
            <w:tcW w:w="1842" w:type="dxa"/>
          </w:tcPr>
          <w:p w:rsidR="001F3996" w:rsidRPr="00472255" w:rsidRDefault="001F3996" w:rsidP="0048791E">
            <w:pPr>
              <w:ind w:left="0" w:right="33"/>
            </w:pPr>
            <w:r w:rsidRPr="00472255">
              <w:t>None</w:t>
            </w:r>
          </w:p>
        </w:tc>
      </w:tr>
      <w:tr w:rsidR="001F3996" w:rsidRPr="009E0389" w:rsidTr="001F3996">
        <w:tc>
          <w:tcPr>
            <w:tcW w:w="1951" w:type="dxa"/>
            <w:vMerge/>
          </w:tcPr>
          <w:p w:rsidR="001F3996" w:rsidRPr="00472255" w:rsidRDefault="001F3996" w:rsidP="0048791E">
            <w:pPr>
              <w:ind w:left="0" w:right="34"/>
            </w:pPr>
          </w:p>
        </w:tc>
        <w:tc>
          <w:tcPr>
            <w:tcW w:w="4820" w:type="dxa"/>
          </w:tcPr>
          <w:p w:rsidR="001F3996" w:rsidRPr="00472255" w:rsidRDefault="001F3996" w:rsidP="0048791E">
            <w:pPr>
              <w:ind w:left="34" w:right="34"/>
            </w:pPr>
            <w:r w:rsidRPr="00472255">
              <w:t>Effect of age</w:t>
            </w:r>
          </w:p>
        </w:tc>
        <w:tc>
          <w:tcPr>
            <w:tcW w:w="1842" w:type="dxa"/>
          </w:tcPr>
          <w:p w:rsidR="001F3996" w:rsidRPr="00472255" w:rsidRDefault="001F3996" w:rsidP="0048791E">
            <w:pPr>
              <w:ind w:left="0" w:right="33"/>
            </w:pPr>
            <w:r w:rsidRPr="00472255">
              <w:t>None</w:t>
            </w:r>
          </w:p>
        </w:tc>
      </w:tr>
      <w:tr w:rsidR="001F3996" w:rsidRPr="009E0389" w:rsidTr="001F3996">
        <w:tc>
          <w:tcPr>
            <w:tcW w:w="1951" w:type="dxa"/>
          </w:tcPr>
          <w:p w:rsidR="001F3996" w:rsidRPr="00472255" w:rsidRDefault="001F3996" w:rsidP="0048791E">
            <w:pPr>
              <w:ind w:left="0" w:right="34"/>
            </w:pPr>
            <w:r w:rsidRPr="00472255">
              <w:t>PD Interactions</w:t>
            </w:r>
          </w:p>
        </w:tc>
        <w:tc>
          <w:tcPr>
            <w:tcW w:w="4820" w:type="dxa"/>
          </w:tcPr>
          <w:p w:rsidR="001F3996" w:rsidRPr="00472255" w:rsidRDefault="001F3996" w:rsidP="0048791E">
            <w:pPr>
              <w:ind w:left="34" w:right="34"/>
            </w:pPr>
            <w:r w:rsidRPr="00472255">
              <w:t>Not evaluated</w:t>
            </w:r>
          </w:p>
        </w:tc>
        <w:tc>
          <w:tcPr>
            <w:tcW w:w="1842" w:type="dxa"/>
          </w:tcPr>
          <w:p w:rsidR="001F3996" w:rsidRPr="00472255" w:rsidRDefault="001F3996" w:rsidP="0048791E">
            <w:pPr>
              <w:ind w:left="0" w:right="33"/>
            </w:pPr>
            <w:r w:rsidRPr="00472255">
              <w:t>None</w:t>
            </w:r>
          </w:p>
        </w:tc>
      </w:tr>
      <w:tr w:rsidR="001F3996" w:rsidRPr="009E0389" w:rsidTr="001F3996">
        <w:tc>
          <w:tcPr>
            <w:tcW w:w="1951" w:type="dxa"/>
            <w:vMerge w:val="restart"/>
          </w:tcPr>
          <w:p w:rsidR="001F3996" w:rsidRPr="00472255" w:rsidRDefault="001F3996" w:rsidP="0048791E">
            <w:pPr>
              <w:ind w:left="0" w:right="34"/>
            </w:pPr>
            <w:r w:rsidRPr="00472255">
              <w:t>Population PD and PK-PD analyses</w:t>
            </w:r>
          </w:p>
        </w:tc>
        <w:tc>
          <w:tcPr>
            <w:tcW w:w="4820" w:type="dxa"/>
          </w:tcPr>
          <w:p w:rsidR="001F3996" w:rsidRPr="00472255" w:rsidRDefault="001F3996" w:rsidP="0048791E">
            <w:pPr>
              <w:ind w:left="34" w:right="34"/>
            </w:pPr>
            <w:r w:rsidRPr="00472255">
              <w:t>Healthy subjects</w:t>
            </w:r>
          </w:p>
        </w:tc>
        <w:tc>
          <w:tcPr>
            <w:tcW w:w="1842" w:type="dxa"/>
          </w:tcPr>
          <w:p w:rsidR="001F3996" w:rsidRPr="00472255" w:rsidRDefault="001F3996" w:rsidP="0048791E">
            <w:pPr>
              <w:ind w:left="0" w:right="33"/>
            </w:pPr>
            <w:r w:rsidRPr="00472255">
              <w:t>Not applicable</w:t>
            </w:r>
          </w:p>
        </w:tc>
      </w:tr>
      <w:tr w:rsidR="001F3996" w:rsidRPr="009E0389" w:rsidTr="001F3996">
        <w:tc>
          <w:tcPr>
            <w:tcW w:w="1951" w:type="dxa"/>
            <w:vMerge/>
          </w:tcPr>
          <w:p w:rsidR="001F3996" w:rsidRPr="00472255" w:rsidRDefault="001F3996" w:rsidP="0048791E">
            <w:pPr>
              <w:ind w:left="0" w:right="34"/>
            </w:pPr>
          </w:p>
        </w:tc>
        <w:tc>
          <w:tcPr>
            <w:tcW w:w="4820" w:type="dxa"/>
          </w:tcPr>
          <w:p w:rsidR="001F3996" w:rsidRPr="00472255" w:rsidRDefault="001F3996" w:rsidP="0048791E">
            <w:pPr>
              <w:ind w:left="34" w:right="34"/>
            </w:pPr>
            <w:r w:rsidRPr="00472255">
              <w:t>Target population</w:t>
            </w:r>
          </w:p>
        </w:tc>
        <w:tc>
          <w:tcPr>
            <w:tcW w:w="1842" w:type="dxa"/>
          </w:tcPr>
          <w:p w:rsidR="001F3996" w:rsidRPr="00472255" w:rsidRDefault="001F3996" w:rsidP="0048791E">
            <w:pPr>
              <w:ind w:left="0" w:right="33"/>
            </w:pPr>
            <w:r w:rsidRPr="00472255">
              <w:t>None</w:t>
            </w:r>
          </w:p>
        </w:tc>
      </w:tr>
    </w:tbl>
    <w:p w:rsidR="00A81517" w:rsidRPr="009E0389" w:rsidRDefault="00A81517" w:rsidP="006721C0">
      <w:r w:rsidRPr="009E0389">
        <w:t>None of the pharmacodynamic studies had deficiencies that excluded their results from consideration.</w:t>
      </w:r>
    </w:p>
    <w:p w:rsidR="00605AD4" w:rsidRDefault="00605AD4" w:rsidP="006721C0">
      <w:pPr>
        <w:pStyle w:val="Heading4"/>
      </w:pPr>
      <w:r>
        <w:t xml:space="preserve">Evaluator’s </w:t>
      </w:r>
      <w:r w:rsidRPr="006721C0">
        <w:t>conclusions</w:t>
      </w:r>
      <w:r>
        <w:t xml:space="preserve"> on pharmacodynamics</w:t>
      </w:r>
    </w:p>
    <w:p w:rsidR="00A81517" w:rsidRPr="00101C27" w:rsidRDefault="00A81517" w:rsidP="006721C0">
      <w:r w:rsidRPr="00101C27">
        <w:t xml:space="preserve">Aclidinium bromide is a competitive, selective muscarinic receptor antagonist (anticholinergic) with a longer residence time at M3 receptors than M2 receptors. M3 receptors mediate contraction of airway smooth muscle. Inhaled aclidinium bromide acts locally </w:t>
      </w:r>
      <w:r>
        <w:t>at</w:t>
      </w:r>
      <w:r w:rsidRPr="00101C27">
        <w:t xml:space="preserve"> airway smooth muscle </w:t>
      </w:r>
      <w:r>
        <w:t xml:space="preserve">to antagonise M3 receptors </w:t>
      </w:r>
      <w:r w:rsidRPr="00101C27">
        <w:t xml:space="preserve">and induce bronchodilation. Nonclinical </w:t>
      </w:r>
      <w:r w:rsidRPr="00472255">
        <w:rPr>
          <w:iCs/>
        </w:rPr>
        <w:t>in vitro</w:t>
      </w:r>
      <w:r w:rsidRPr="00101C27">
        <w:rPr>
          <w:i/>
          <w:iCs/>
        </w:rPr>
        <w:t xml:space="preserve"> </w:t>
      </w:r>
      <w:r w:rsidRPr="00101C27">
        <w:t xml:space="preserve">and </w:t>
      </w:r>
      <w:r w:rsidRPr="0011359B">
        <w:rPr>
          <w:iCs/>
        </w:rPr>
        <w:t>in vivo</w:t>
      </w:r>
      <w:r w:rsidRPr="00101C27">
        <w:rPr>
          <w:i/>
          <w:iCs/>
        </w:rPr>
        <w:t xml:space="preserve"> </w:t>
      </w:r>
      <w:r w:rsidRPr="00101C27">
        <w:t>studies showed rapid, dose-dependent and long</w:t>
      </w:r>
      <w:r>
        <w:t xml:space="preserve"> </w:t>
      </w:r>
      <w:r w:rsidRPr="00101C27">
        <w:t>lasting inhibition by aclidinium bromide of acetylcholine</w:t>
      </w:r>
      <w:r>
        <w:t xml:space="preserve"> </w:t>
      </w:r>
      <w:r w:rsidRPr="00101C27">
        <w:t>induced bronchoconstriction. Aclidinium bromide is quickly broken down in plasma and the level of systemic anticholinergic side effects is th</w:t>
      </w:r>
      <w:r w:rsidR="006721C0">
        <w:t>erefore low.</w:t>
      </w:r>
    </w:p>
    <w:p w:rsidR="00A81517" w:rsidRPr="003B2EC6" w:rsidRDefault="00A81517" w:rsidP="006721C0">
      <w:r w:rsidRPr="00101C27">
        <w:t xml:space="preserve">The </w:t>
      </w:r>
      <w:r w:rsidRPr="00E15644">
        <w:t>Phase II</w:t>
      </w:r>
      <w:r w:rsidRPr="00101C27">
        <w:t xml:space="preserve">, single, ascending dose </w:t>
      </w:r>
      <w:r w:rsidRPr="003B2EC6">
        <w:t>Study M34273/21 in COPD patients showed statistically significant improvements compared with placebo for FEV1 and FVC at all LAS34273 doses (100 µg, 300 µg and 900 µg) from 15 min to 24 hours after single inhalation. However, the proposed dose of 400 µg BD was not evaluated in this study.</w:t>
      </w:r>
    </w:p>
    <w:p w:rsidR="00A81517" w:rsidRPr="003B2EC6" w:rsidRDefault="00A81517" w:rsidP="006721C0">
      <w:r w:rsidRPr="003B2EC6">
        <w:t xml:space="preserve">No effects on QT interval (corrected using either the Fridericia or Bazett method or when individually corrected) were observed when aclidinium bromide (200 µg or 800 µg) was administered once daily for 3 days to 272 healthy subjects in </w:t>
      </w:r>
      <w:r w:rsidR="006721C0">
        <w:t xml:space="preserve">a thorough </w:t>
      </w:r>
      <w:proofErr w:type="spellStart"/>
      <w:r w:rsidR="006721C0">
        <w:t>QTc</w:t>
      </w:r>
      <w:proofErr w:type="spellEnd"/>
      <w:r w:rsidR="006721C0">
        <w:t xml:space="preserve"> study M34273/11.</w:t>
      </w:r>
    </w:p>
    <w:p w:rsidR="00A81517" w:rsidRPr="00101C27" w:rsidRDefault="00A81517" w:rsidP="006721C0">
      <w:r w:rsidRPr="00101C27">
        <w:t>The proposed drug is an inhalation powder containing active drug and lactose in a dry</w:t>
      </w:r>
      <w:r>
        <w:t xml:space="preserve"> </w:t>
      </w:r>
      <w:r w:rsidRPr="00101C27">
        <w:t>powder inhaler (DPI)</w:t>
      </w:r>
      <w:r>
        <w:t>,</w:t>
      </w:r>
      <w:r w:rsidRPr="00101C27">
        <w:t xml:space="preserve"> the Novolizer inhaler. This device presents minor changes with respect to the marketed Novolizer® and meets at least the same standards. The main difference is that the Novolizer® is a refillable device whereas the proposed Almirall Novolizer is a disposable device. Each device has a dose counter display to track the number of doses remaining and features to ensure patient compliance. When the coloured button on the top of the DPI device is pressed a single dose of inhalation powder is loaded into the powder inhalation channel. A window on the front of the device simultaneously changes from red to green to indicate that the dose is ready for breath actuated inhalation. During the breath, patients should hear a click indicating that they have breathed in strongly enough for the device to work. Additionally, a change in the front window from green to red informs the patient that the inhalation h</w:t>
      </w:r>
      <w:r w:rsidR="006721C0">
        <w:t>as been successfully performed.</w:t>
      </w:r>
    </w:p>
    <w:p w:rsidR="00A81517" w:rsidRPr="00586F98" w:rsidRDefault="00A81517" w:rsidP="006721C0">
      <w:pPr>
        <w:rPr>
          <w:lang w:eastAsia="ja-JP"/>
        </w:rPr>
      </w:pPr>
      <w:r w:rsidRPr="00101C27">
        <w:t xml:space="preserve">As per the </w:t>
      </w:r>
      <w:r>
        <w:t xml:space="preserve">EU Guideline </w:t>
      </w:r>
      <w:r w:rsidRPr="00101C27">
        <w:t>CPMP/EWP/4151/00 (</w:t>
      </w:r>
      <w:r w:rsidRPr="00D57E2F">
        <w:rPr>
          <w:i/>
        </w:rPr>
        <w:t>Points to consider on the requirements for clinical documentation for orally inhaled products</w:t>
      </w:r>
      <w:r w:rsidRPr="00101C27">
        <w:t>), it should be defined which patient groups will normally be able to produce a sufficient Peak Inspiratory Flow (PIF) to use the inhaler and which special groups may have problems. According to the FDA guidance for industry entitled “</w:t>
      </w:r>
      <w:r w:rsidRPr="00D57E2F">
        <w:rPr>
          <w:i/>
        </w:rPr>
        <w:t>Points to consider: clinical development programs for Metered Dose Inhaler (MDI) and DPI products</w:t>
      </w:r>
      <w:r w:rsidRPr="00101C27">
        <w:t xml:space="preserve">” to relate the </w:t>
      </w:r>
      <w:r w:rsidRPr="00472255">
        <w:t>in vitro</w:t>
      </w:r>
      <w:r w:rsidRPr="00101C27">
        <w:t xml:space="preserve"> tests to </w:t>
      </w:r>
      <w:r w:rsidRPr="00D57E2F">
        <w:t>in vivo</w:t>
      </w:r>
      <w:r w:rsidRPr="00101C27">
        <w:t xml:space="preserve"> performance for DPIs (which are dependent on patient effort for deaggregation and dose delivery) studies should be conducted to determine what flow characteristics are obtained through the device by adult patients with varying degrees of obstructed lung function. The </w:t>
      </w:r>
      <w:r w:rsidRPr="00E15644">
        <w:t>Phase II</w:t>
      </w:r>
      <w:r>
        <w:t xml:space="preserve"> </w:t>
      </w:r>
      <w:r w:rsidRPr="00BB124E">
        <w:t>Study M34273/07</w:t>
      </w:r>
      <w:r w:rsidRPr="00101C27">
        <w:rPr>
          <w:b/>
        </w:rPr>
        <w:t xml:space="preserve"> </w:t>
      </w:r>
      <w:r w:rsidRPr="00101C27">
        <w:t>was conducted to assess the PIF generated by moderate and severe COPD patients through the proposed</w:t>
      </w:r>
      <w:r>
        <w:t xml:space="preserve"> </w:t>
      </w:r>
      <w:r w:rsidRPr="00101C27">
        <w:t>Novolizer DPI</w:t>
      </w:r>
      <w:r w:rsidR="00895108">
        <w:rPr>
          <w:rStyle w:val="FootnoteReference"/>
          <w:rFonts w:eastAsia="Calibri" w:cs="Arial"/>
        </w:rPr>
        <w:footnoteReference w:id="16"/>
      </w:r>
      <w:r w:rsidRPr="00101C27">
        <w:t xml:space="preserve"> containing placebo. Results of this study show that all COPD patients enrolled in the trial were able to produce a higher PIF through the Novolizer inhaler than through the HandiHaler® device.</w:t>
      </w:r>
      <w:r>
        <w:t xml:space="preserve"> </w:t>
      </w:r>
      <w:r w:rsidRPr="00101C27">
        <w:t>Overall, COPD patients with a moderate to severe disease were able to generate sufficient inspiratory airflow through the Novolizer to reliably inhale the full dose and activate the trigger threshold.</w:t>
      </w:r>
    </w:p>
    <w:p w:rsidR="008E7846" w:rsidRDefault="00605AD4" w:rsidP="006721C0">
      <w:pPr>
        <w:pStyle w:val="Heading3"/>
      </w:pPr>
      <w:bookmarkStart w:id="78" w:name="_Toc400115419"/>
      <w:r>
        <w:t xml:space="preserve">Dosage </w:t>
      </w:r>
      <w:r w:rsidRPr="006721C0">
        <w:t>selection</w:t>
      </w:r>
      <w:r>
        <w:t xml:space="preserve"> for the pivotal studies</w:t>
      </w:r>
      <w:bookmarkEnd w:id="78"/>
    </w:p>
    <w:p w:rsidR="00A81517" w:rsidRDefault="00A81517" w:rsidP="006721C0">
      <w:r w:rsidRPr="00467572">
        <w:rPr>
          <w:rFonts w:cs="Arial"/>
        </w:rPr>
        <w:t>T</w:t>
      </w:r>
      <w:r w:rsidRPr="00467572">
        <w:t xml:space="preserve">wo </w:t>
      </w:r>
      <w:r w:rsidRPr="00E15644">
        <w:t>Phase II</w:t>
      </w:r>
      <w:r w:rsidRPr="00467572">
        <w:t xml:space="preserve"> studies with</w:t>
      </w:r>
      <w:r>
        <w:t xml:space="preserve"> BD </w:t>
      </w:r>
      <w:r w:rsidRPr="004A1DD5">
        <w:t>dosing (M34273/29 and M34273/23) evaluated th</w:t>
      </w:r>
      <w:r w:rsidRPr="00467572">
        <w:t>e</w:t>
      </w:r>
      <w:r>
        <w:t xml:space="preserve"> BD </w:t>
      </w:r>
      <w:r w:rsidRPr="00467572">
        <w:t>dosing regimen of aclidinium bromide and used formoterol and tiotropium for benchmark comparison. Study 29 evaluated a range of doses of aclidinium (100, 200 and 40</w:t>
      </w:r>
      <w:r>
        <w:t>0 µg</w:t>
      </w:r>
      <w:r w:rsidRPr="00467572">
        <w:t>) and will be discussed in this section while study 23 used only one dose of aclidinium bromide (40</w:t>
      </w:r>
      <w:r>
        <w:t>0 µg</w:t>
      </w:r>
      <w:r w:rsidRPr="00467572">
        <w:t xml:space="preserve"> B</w:t>
      </w:r>
      <w:r w:rsidR="006721C0">
        <w:t>D) and will be discussed later.</w:t>
      </w:r>
    </w:p>
    <w:p w:rsidR="00593F73" w:rsidRPr="00593F73" w:rsidRDefault="00593F73" w:rsidP="006721C0">
      <w:pPr>
        <w:rPr>
          <w:rFonts w:eastAsia="Times New Roman"/>
        </w:rPr>
      </w:pPr>
      <w:r>
        <w:t>For further details on the design and results from these studies see Attachment 2 Dosage selection for the pivotal studies.</w:t>
      </w:r>
    </w:p>
    <w:p w:rsidR="008E7846" w:rsidRPr="006721C0" w:rsidRDefault="008E7846" w:rsidP="006721C0">
      <w:pPr>
        <w:pStyle w:val="Heading3"/>
      </w:pPr>
      <w:bookmarkStart w:id="79" w:name="_Toc163441372"/>
      <w:bookmarkStart w:id="80" w:name="_Toc196046485"/>
      <w:bookmarkStart w:id="81" w:name="_Toc247691521"/>
      <w:bookmarkStart w:id="82" w:name="_Toc314842504"/>
      <w:bookmarkStart w:id="83" w:name="_Toc400115420"/>
      <w:r w:rsidRPr="00254787">
        <w:t>Efficacy</w:t>
      </w:r>
      <w:bookmarkEnd w:id="79"/>
      <w:bookmarkEnd w:id="80"/>
      <w:bookmarkEnd w:id="81"/>
      <w:bookmarkEnd w:id="82"/>
      <w:bookmarkEnd w:id="83"/>
    </w:p>
    <w:p w:rsidR="00605AD4" w:rsidRPr="006721C0" w:rsidRDefault="00605AD4" w:rsidP="006721C0">
      <w:pPr>
        <w:pStyle w:val="Heading4"/>
      </w:pPr>
      <w:bookmarkStart w:id="84" w:name="_Toc184439992"/>
      <w:bookmarkStart w:id="85" w:name="_Toc184440279"/>
      <w:bookmarkStart w:id="86" w:name="_Toc184444657"/>
      <w:bookmarkStart w:id="87" w:name="_Toc196046487"/>
      <w:r w:rsidRPr="00145C30">
        <w:t>Studies providing efficacy data</w:t>
      </w:r>
    </w:p>
    <w:p w:rsidR="00593F73" w:rsidRDefault="00593F73" w:rsidP="006721C0">
      <w:r>
        <w:t xml:space="preserve">The following studies </w:t>
      </w:r>
      <w:r w:rsidR="00145C30">
        <w:t xml:space="preserve">provided </w:t>
      </w:r>
      <w:r>
        <w:t>efficacy data</w:t>
      </w:r>
      <w:r w:rsidR="00145C30">
        <w:t xml:space="preserve"> for this submission</w:t>
      </w:r>
      <w:r>
        <w:t>:</w:t>
      </w:r>
    </w:p>
    <w:p w:rsidR="00593F73" w:rsidRPr="00593F73" w:rsidRDefault="00593F73" w:rsidP="006721C0">
      <w:pPr>
        <w:pStyle w:val="ListBullet"/>
      </w:pPr>
      <w:r w:rsidRPr="00593F73">
        <w:t>Three pivotal randomised, double-</w:t>
      </w:r>
      <w:r w:rsidRPr="006721C0">
        <w:t>blind</w:t>
      </w:r>
      <w:r w:rsidRPr="00593F73">
        <w:t xml:space="preserve"> placebo-controlled, efficacy/safety studies which aclidinium bromide 400 µg and 200 µg BD; one with a 24 week treatment duration (M/34273/34) and the other two with 12 week treatment durations (LAS-MD-33, LAS-MD-38 Part A) were evaluated.</w:t>
      </w:r>
    </w:p>
    <w:p w:rsidR="00593F73" w:rsidRPr="00593F73" w:rsidRDefault="00593F73" w:rsidP="006721C0">
      <w:pPr>
        <w:pStyle w:val="ListBullet"/>
      </w:pPr>
      <w:r w:rsidRPr="00593F73">
        <w:t>Three long term safety and efficacy studies of aclidinium bromide ; 400 µg and 200 µg BD were investigated in two randomised, double-blind, parallel group studies: a 52 week extension study of LAS-MD-33 (LAS-MD-36) and a further 52 week study (LAS-MD-35). In addition, a 40 week open label extension study of LAS-MD-38 Part A (LAS-MD-38 Part B) which investigated long term safety and efficacy of aclidinium bromide 400 µg was conducted.</w:t>
      </w:r>
    </w:p>
    <w:p w:rsidR="00593F73" w:rsidRPr="008F7882" w:rsidRDefault="00593F73" w:rsidP="006721C0">
      <w:pPr>
        <w:pStyle w:val="ListBullet"/>
        <w:rPr>
          <w:rFonts w:cs="TimesNewRomanPSMT"/>
        </w:rPr>
      </w:pPr>
      <w:r w:rsidRPr="00593F73">
        <w:t xml:space="preserve">Seven studies with once daily </w:t>
      </w:r>
      <w:r w:rsidRPr="006721C0">
        <w:t>dosing</w:t>
      </w:r>
      <w:r w:rsidRPr="00593F73">
        <w:t xml:space="preserve"> of </w:t>
      </w:r>
      <w:proofErr w:type="spellStart"/>
      <w:r w:rsidRPr="00593F73">
        <w:t>aclidinium</w:t>
      </w:r>
      <w:proofErr w:type="spellEnd"/>
      <w:r w:rsidRPr="00593F73">
        <w:t xml:space="preserve"> bromide. Prior to conduct of the clinical development program of aclidinium bromide BD, a clinical development program of aclidinium bromide administered </w:t>
      </w:r>
      <w:r w:rsidRPr="008F7882">
        <w:rPr>
          <w:rFonts w:cs="TimesNewRomanPSMT"/>
        </w:rPr>
        <w:t>QD had been conducted.</w:t>
      </w:r>
    </w:p>
    <w:p w:rsidR="008E7846" w:rsidRPr="006721C0" w:rsidRDefault="00605AD4" w:rsidP="006721C0">
      <w:pPr>
        <w:pStyle w:val="Heading4"/>
      </w:pPr>
      <w:r>
        <w:t>Evaluator’s conclusions on efficacy</w:t>
      </w:r>
    </w:p>
    <w:p w:rsidR="00A81517" w:rsidRPr="006721C0" w:rsidRDefault="00A81517" w:rsidP="006721C0">
      <w:pPr>
        <w:rPr>
          <w:b/>
          <w:i/>
        </w:rPr>
      </w:pPr>
      <w:r w:rsidRPr="006721C0">
        <w:rPr>
          <w:b/>
          <w:i/>
        </w:rPr>
        <w:t>Long-term maintenance bronchodilator treatment to relieve symptoms in adult patients with Chronic Obstructive Pulmonary Disease (COPD)</w:t>
      </w:r>
    </w:p>
    <w:p w:rsidR="00A81517" w:rsidRPr="00CD3C89" w:rsidRDefault="00A81517" w:rsidP="006721C0">
      <w:r w:rsidRPr="00CD3C89">
        <w:t xml:space="preserve">Prior to conduct of the clinical efficacy </w:t>
      </w:r>
      <w:r>
        <w:t>program</w:t>
      </w:r>
      <w:r w:rsidRPr="00CD3C89">
        <w:t xml:space="preserve"> of aclidinium bromide </w:t>
      </w:r>
      <w:r w:rsidRPr="007B5D9C">
        <w:t>BD</w:t>
      </w:r>
      <w:r w:rsidRPr="00CD3C89">
        <w:t xml:space="preserve">, a clinical </w:t>
      </w:r>
      <w:r>
        <w:t>program</w:t>
      </w:r>
      <w:r w:rsidRPr="00CD3C89">
        <w:t xml:space="preserve"> to investigate the efficacy of aclidinium bromide </w:t>
      </w:r>
      <w:r>
        <w:t>200 µg</w:t>
      </w:r>
      <w:r w:rsidRPr="00CD3C89">
        <w:t xml:space="preserve"> QD in patients with COPD was conducted and completed. An overview of the clinical studies designed to provide efficacy information on aclidinium bromide QD is provided in </w:t>
      </w:r>
      <w:r>
        <w:t xml:space="preserve">the </w:t>
      </w:r>
      <w:proofErr w:type="gramStart"/>
      <w:r w:rsidRPr="005C7D0B">
        <w:rPr>
          <w:i/>
        </w:rPr>
        <w:t>Other</w:t>
      </w:r>
      <w:proofErr w:type="gramEnd"/>
      <w:r>
        <w:rPr>
          <w:i/>
        </w:rPr>
        <w:t xml:space="preserve"> </w:t>
      </w:r>
      <w:r w:rsidRPr="005C7D0B">
        <w:rPr>
          <w:i/>
        </w:rPr>
        <w:t>efficacy studies</w:t>
      </w:r>
      <w:r>
        <w:t xml:space="preserve">, </w:t>
      </w:r>
      <w:r w:rsidRPr="005C7D0B">
        <w:rPr>
          <w:i/>
        </w:rPr>
        <w:t>Long-term efficacy</w:t>
      </w:r>
      <w:r>
        <w:t xml:space="preserve"> </w:t>
      </w:r>
      <w:r w:rsidRPr="005C7D0B">
        <w:t>section above.</w:t>
      </w:r>
    </w:p>
    <w:p w:rsidR="00A81517" w:rsidRPr="003B2EC6" w:rsidRDefault="00A81517" w:rsidP="006721C0">
      <w:r w:rsidRPr="00CD3C89">
        <w:t>Although statistically significant bronchodilatory effects of aclidinium bromide 20</w:t>
      </w:r>
      <w:r>
        <w:t>0 µ</w:t>
      </w:r>
      <w:r w:rsidRPr="00CD3C89">
        <w:t xml:space="preserve">g QD were demonstrated in two Phase III, </w:t>
      </w:r>
      <w:r>
        <w:t>double blind</w:t>
      </w:r>
      <w:r w:rsidRPr="00CD3C89">
        <w:t xml:space="preserve">, </w:t>
      </w:r>
      <w:r>
        <w:t>placebo controlled</w:t>
      </w:r>
      <w:r w:rsidRPr="00CD3C89">
        <w:t xml:space="preserve">, randomised clinical </w:t>
      </w:r>
      <w:r w:rsidRPr="003B2EC6">
        <w:t>trials (</w:t>
      </w:r>
      <w:r w:rsidRPr="003B2EC6">
        <w:rPr>
          <w:rFonts w:cs="TimesNewRomanPS-BoldMT"/>
          <w:bCs/>
        </w:rPr>
        <w:t xml:space="preserve">M/34273/30 </w:t>
      </w:r>
      <w:r w:rsidRPr="003B2EC6">
        <w:t xml:space="preserve">and </w:t>
      </w:r>
      <w:r w:rsidRPr="003B2EC6">
        <w:rPr>
          <w:rFonts w:cs="TimesNewRomanPS-BoldMT"/>
          <w:bCs/>
        </w:rPr>
        <w:t>M/34273/31</w:t>
      </w:r>
      <w:r w:rsidRPr="003B2EC6">
        <w:t>), the trough FEV1 effect size (that is, approximately 60 mL) observed with aclidinium bromide 200 µg QD was lower than the 0.100 L effect size considered of clinical relevance</w:t>
      </w:r>
      <w:r w:rsidRPr="003B2EC6">
        <w:rPr>
          <w:rFonts w:cs="TimesNewRomanPS-BoldMT"/>
          <w:bCs/>
        </w:rPr>
        <w:t xml:space="preserve"> </w:t>
      </w:r>
      <w:r w:rsidRPr="003B2EC6">
        <w:t>and suggested that a higher daily dose and/or a different dose regimen (such as BD) may be necessary to improve bronchodilator efficacy. Furthermore results of another Phase II crossover Study M/</w:t>
      </w:r>
      <w:r w:rsidRPr="003B2EC6">
        <w:rPr>
          <w:rFonts w:cs="TimesNewRomanPS-BoldMT"/>
          <w:bCs/>
        </w:rPr>
        <w:t>34273/25 which</w:t>
      </w:r>
      <w:r w:rsidRPr="003B2EC6">
        <w:t xml:space="preserve"> investigated further the bronchodilatory profile of aclidinium bromide 200 µg QD administered in the morning or in the evening showed that night time bronchodilation following morning administration of aclidinium bromide was insufficient to overcome the known increase in nocturnal cholinergic tone. Relevant night time bronchodilation was achieved, however, following evening admini</w:t>
      </w:r>
      <w:r w:rsidR="006721C0">
        <w:t xml:space="preserve">stration of </w:t>
      </w:r>
      <w:proofErr w:type="spellStart"/>
      <w:r w:rsidR="006721C0">
        <w:t>aclidinium</w:t>
      </w:r>
      <w:proofErr w:type="spellEnd"/>
      <w:r w:rsidR="006721C0">
        <w:t xml:space="preserve"> bromide.</w:t>
      </w:r>
    </w:p>
    <w:p w:rsidR="00A81517" w:rsidRPr="003B2EC6" w:rsidRDefault="00A81517" w:rsidP="006721C0">
      <w:r w:rsidRPr="003B2EC6">
        <w:t xml:space="preserve">The Phase II, placebo controlled, dose-finding Study M/34273/22 evaluated 5 doses of aclidinium bromide administered </w:t>
      </w:r>
      <w:r w:rsidR="003C0BF8">
        <w:t>QD</w:t>
      </w:r>
      <w:r w:rsidRPr="003B2EC6">
        <w:t xml:space="preserve"> for 4 weeks in 464 COPD patients; this study also included an open-label tiotropium treatment arm. </w:t>
      </w:r>
      <w:r w:rsidRPr="003B2EC6">
        <w:rPr>
          <w:rFonts w:eastAsia="Calibri"/>
        </w:rPr>
        <w:t>In general, peak bronchodilatory effects (as assessed by FEV1 and FVC) on the first and last days of dosing were higher for aclidinium bromide 200 µg than for aclidinium bromide 400 µg and comparable for aclidinium bromide 200 µg and tiotropium.</w:t>
      </w:r>
    </w:p>
    <w:p w:rsidR="00A81517" w:rsidRPr="00CD3C89" w:rsidRDefault="00A81517" w:rsidP="006721C0">
      <w:pPr>
        <w:rPr>
          <w:rFonts w:cs="TimesNewRoman"/>
        </w:rPr>
      </w:pPr>
      <w:r w:rsidRPr="003B2EC6">
        <w:t xml:space="preserve">The relatively low bronchodilator efficacy attained with aclidinium bromide 200 µg QD in pivotal QD studies </w:t>
      </w:r>
      <w:r w:rsidRPr="003B2EC6">
        <w:rPr>
          <w:rFonts w:cs="TimesNewRomanPS-BoldMT"/>
          <w:bCs/>
        </w:rPr>
        <w:t xml:space="preserve">M/34273/30 </w:t>
      </w:r>
      <w:r w:rsidRPr="003B2EC6">
        <w:t xml:space="preserve">and </w:t>
      </w:r>
      <w:r w:rsidRPr="003B2EC6">
        <w:rPr>
          <w:rFonts w:cs="TimesNewRomanPS-BoldMT"/>
          <w:bCs/>
        </w:rPr>
        <w:t>M/34273/31</w:t>
      </w:r>
      <w:r w:rsidRPr="003B2EC6">
        <w:t xml:space="preserve"> compared to that achieved with aclidinium bromide 200 µg QD in this study provoked a review</w:t>
      </w:r>
      <w:r w:rsidRPr="00CD3C89">
        <w:t xml:space="preserve"> of per-patient FEV1 data from this study. It was noted that trough FEV1 values reported at Day 28 for one patient in the 20</w:t>
      </w:r>
      <w:r>
        <w:t>0 µ</w:t>
      </w:r>
      <w:r w:rsidRPr="00CD3C89">
        <w:t>g aclidinium bromide group were markedly higher than the trough FEV1 values reported for other patients in the study (absolute change from baseline to Day 28 in trough FEV1 was 4.09 L for the outlier whereas the range of values for all other study patients was between -0.65 and 1.55 L). Hence, results from this study suggest that the bronchodilation achieved with 40</w:t>
      </w:r>
      <w:r>
        <w:t>0 µg</w:t>
      </w:r>
      <w:r w:rsidRPr="00CD3C89">
        <w:t xml:space="preserve"> </w:t>
      </w:r>
      <w:r>
        <w:t>QD</w:t>
      </w:r>
      <w:r w:rsidRPr="00CD3C89">
        <w:t xml:space="preserve"> is </w:t>
      </w:r>
      <w:r>
        <w:t xml:space="preserve">a </w:t>
      </w:r>
      <w:r w:rsidRPr="00CD3C89">
        <w:t>&gt;100</w:t>
      </w:r>
      <w:r>
        <w:t xml:space="preserve"> </w:t>
      </w:r>
      <w:r w:rsidRPr="00CD3C89">
        <w:t>m</w:t>
      </w:r>
      <w:r>
        <w:t>L</w:t>
      </w:r>
      <w:r w:rsidRPr="00CD3C89">
        <w:t xml:space="preserve"> clinically relevant improvement. However, the sponsors have not conducted any direct comparison between </w:t>
      </w:r>
      <w:r>
        <w:t>QD</w:t>
      </w:r>
      <w:r w:rsidRPr="00CD3C89">
        <w:t xml:space="preserve"> and</w:t>
      </w:r>
      <w:r>
        <w:t xml:space="preserve"> BD </w:t>
      </w:r>
      <w:r w:rsidRPr="00CD3C89">
        <w:t>dosing with 40</w:t>
      </w:r>
      <w:r>
        <w:t>0 µg</w:t>
      </w:r>
      <w:r w:rsidR="006721C0">
        <w:t xml:space="preserve"> </w:t>
      </w:r>
      <w:proofErr w:type="spellStart"/>
      <w:r w:rsidR="006721C0">
        <w:t>aclidinium</w:t>
      </w:r>
      <w:proofErr w:type="spellEnd"/>
      <w:r w:rsidR="006721C0">
        <w:t xml:space="preserve"> bromide.</w:t>
      </w:r>
    </w:p>
    <w:p w:rsidR="00A81517" w:rsidRPr="003B2EC6" w:rsidRDefault="00A81517" w:rsidP="00A81517">
      <w:pPr>
        <w:autoSpaceDE w:val="0"/>
        <w:autoSpaceDN w:val="0"/>
        <w:adjustRightInd w:val="0"/>
        <w:rPr>
          <w:rFonts w:eastAsia="Calibri" w:cs="TimesNewRomanPSMT"/>
        </w:rPr>
      </w:pPr>
      <w:r w:rsidRPr="00CD3C89">
        <w:rPr>
          <w:rFonts w:eastAsia="Calibri" w:cs="TimesNewRomanPSMT"/>
        </w:rPr>
        <w:t xml:space="preserve">The clinical efficacy </w:t>
      </w:r>
      <w:r>
        <w:rPr>
          <w:rFonts w:eastAsia="Calibri" w:cs="TimesNewRomanPSMT"/>
        </w:rPr>
        <w:t>program</w:t>
      </w:r>
      <w:r w:rsidRPr="00CD3C89">
        <w:rPr>
          <w:rFonts w:eastAsia="Calibri" w:cs="TimesNewRomanPSMT"/>
        </w:rPr>
        <w:t xml:space="preserve"> for aclidinium bromide 20</w:t>
      </w:r>
      <w:r>
        <w:rPr>
          <w:rFonts w:eastAsia="Calibri" w:cs="TimesNewRomanPSMT"/>
        </w:rPr>
        <w:t>0 µ</w:t>
      </w:r>
      <w:r w:rsidRPr="00CD3C89">
        <w:rPr>
          <w:rFonts w:eastAsia="Calibri" w:cs="TimesNewRomanPSMT"/>
        </w:rPr>
        <w:t>g and 40</w:t>
      </w:r>
      <w:r>
        <w:rPr>
          <w:rFonts w:eastAsia="Calibri" w:cs="TimesNewRomanPSMT"/>
        </w:rPr>
        <w:t>0 µ</w:t>
      </w:r>
      <w:r w:rsidRPr="00CD3C89">
        <w:rPr>
          <w:rFonts w:eastAsia="Calibri" w:cs="TimesNewRomanPSMT"/>
        </w:rPr>
        <w:t xml:space="preserve">g, administered </w:t>
      </w:r>
      <w:r w:rsidRPr="007B5D9C">
        <w:rPr>
          <w:rFonts w:eastAsia="Calibri" w:cs="TimesNewRomanPSMT"/>
        </w:rPr>
        <w:t>BD</w:t>
      </w:r>
      <w:r w:rsidRPr="00CD3C89">
        <w:rPr>
          <w:rFonts w:eastAsia="Calibri" w:cs="TimesNewRomanPSMT"/>
        </w:rPr>
        <w:t xml:space="preserve">, </w:t>
      </w:r>
      <w:r w:rsidRPr="003B2EC6">
        <w:rPr>
          <w:rFonts w:eastAsia="Calibri" w:cs="TimesNewRomanPSMT"/>
        </w:rPr>
        <w:t>was conducted in North America, Europe and South Africa, and comprises three pivotal studies (</w:t>
      </w:r>
      <w:r w:rsidRPr="003B2EC6">
        <w:rPr>
          <w:rFonts w:eastAsia="Calibri" w:cs="TimesNewRomanPS-BoldMT"/>
          <w:bCs/>
        </w:rPr>
        <w:t>M/34273/34</w:t>
      </w:r>
      <w:r w:rsidRPr="003B2EC6">
        <w:rPr>
          <w:rFonts w:eastAsia="Calibri" w:cs="TimesNewRomanPSMT"/>
        </w:rPr>
        <w:t xml:space="preserve">, </w:t>
      </w:r>
      <w:r w:rsidRPr="003B2EC6">
        <w:rPr>
          <w:rFonts w:eastAsia="Calibri" w:cs="TimesNewRomanPS-BoldMT"/>
          <w:bCs/>
        </w:rPr>
        <w:t xml:space="preserve">LAS-MD-33 </w:t>
      </w:r>
      <w:r w:rsidRPr="003B2EC6">
        <w:rPr>
          <w:rFonts w:eastAsia="Calibri" w:cs="TimesNewRomanPSMT"/>
        </w:rPr>
        <w:t xml:space="preserve">and </w:t>
      </w:r>
      <w:r w:rsidRPr="003B2EC6">
        <w:rPr>
          <w:rFonts w:eastAsia="Calibri" w:cs="TimesNewRomanPS-BoldMT"/>
          <w:bCs/>
        </w:rPr>
        <w:t>LAS-MD-38 Part A</w:t>
      </w:r>
      <w:r w:rsidRPr="003B2EC6">
        <w:rPr>
          <w:rFonts w:eastAsia="Calibri" w:cs="TimesNewRomanPSMT"/>
        </w:rPr>
        <w:t>) and five supportive studies, two Phase II studies (</w:t>
      </w:r>
      <w:r w:rsidRPr="003B2EC6">
        <w:rPr>
          <w:rFonts w:eastAsia="Calibri" w:cs="TimesNewRomanPS-BoldMT"/>
          <w:bCs/>
        </w:rPr>
        <w:t xml:space="preserve">M/34273/23 </w:t>
      </w:r>
      <w:r w:rsidRPr="003B2EC6">
        <w:rPr>
          <w:rFonts w:eastAsia="Calibri" w:cs="TimesNewRomanPSMT"/>
        </w:rPr>
        <w:t xml:space="preserve">and </w:t>
      </w:r>
      <w:r w:rsidRPr="003B2EC6">
        <w:rPr>
          <w:rFonts w:eastAsia="Calibri" w:cs="TimesNewRomanPS-BoldMT"/>
          <w:bCs/>
        </w:rPr>
        <w:t>M/34273/29</w:t>
      </w:r>
      <w:r w:rsidRPr="003B2EC6">
        <w:rPr>
          <w:rFonts w:eastAsia="Calibri" w:cs="TimesNewRomanPSMT"/>
        </w:rPr>
        <w:t>) and three Phase III long term safety studies (</w:t>
      </w:r>
      <w:r w:rsidRPr="003B2EC6">
        <w:rPr>
          <w:rFonts w:eastAsia="Calibri" w:cs="TimesNewRomanPS-BoldMT"/>
          <w:bCs/>
        </w:rPr>
        <w:t>LAS-MD-35</w:t>
      </w:r>
      <w:r w:rsidRPr="003B2EC6">
        <w:rPr>
          <w:rFonts w:eastAsia="Calibri" w:cs="TimesNewRomanPSMT"/>
        </w:rPr>
        <w:t xml:space="preserve">, </w:t>
      </w:r>
      <w:r w:rsidRPr="003B2EC6">
        <w:rPr>
          <w:rFonts w:eastAsia="Calibri" w:cs="TimesNewRomanPS-BoldMT"/>
          <w:bCs/>
        </w:rPr>
        <w:t xml:space="preserve">LAS-MD-36 </w:t>
      </w:r>
      <w:r w:rsidRPr="003B2EC6">
        <w:rPr>
          <w:rFonts w:eastAsia="Calibri" w:cs="TimesNewRomanPSMT"/>
        </w:rPr>
        <w:t xml:space="preserve">and </w:t>
      </w:r>
      <w:r w:rsidRPr="003B2EC6">
        <w:rPr>
          <w:rFonts w:eastAsia="Calibri" w:cs="TimesNewRomanPS-BoldMT"/>
          <w:bCs/>
        </w:rPr>
        <w:t>LAS-MD-38 Part B</w:t>
      </w:r>
      <w:r w:rsidR="006721C0">
        <w:rPr>
          <w:rFonts w:eastAsia="Calibri" w:cs="TimesNewRomanPSMT"/>
        </w:rPr>
        <w:t>).</w:t>
      </w:r>
    </w:p>
    <w:p w:rsidR="00A81517" w:rsidRPr="003B2EC6" w:rsidRDefault="00A81517" w:rsidP="006721C0">
      <w:r w:rsidRPr="003B2EC6">
        <w:rPr>
          <w:color w:val="000000"/>
        </w:rPr>
        <w:t xml:space="preserve">The primary evidence of the efficacy of aclidinium bromide is from the 6 month pivotal </w:t>
      </w:r>
      <w:r w:rsidRPr="003B2EC6">
        <w:t>Study M/</w:t>
      </w:r>
      <w:r w:rsidRPr="003B2EC6">
        <w:rPr>
          <w:rFonts w:cs="TimesNewRomanPS-BoldMT"/>
          <w:bCs/>
        </w:rPr>
        <w:t>34273/34</w:t>
      </w:r>
      <w:r w:rsidRPr="003B2EC6">
        <w:t xml:space="preserve">. This study showed aclidinium bromide 400 µg BD to be associated with clinically and statistically significant effects with respect to bronchodilation, symptomatic improvements including exacerbation control and improvements in disease-specific health status. The results of pivotal Study </w:t>
      </w:r>
      <w:r w:rsidRPr="003B2EC6">
        <w:rPr>
          <w:rFonts w:cs="TimesNewRomanPS-BoldMT"/>
          <w:bCs/>
        </w:rPr>
        <w:t xml:space="preserve">LAS-MD-33 </w:t>
      </w:r>
      <w:r w:rsidRPr="003B2EC6">
        <w:t xml:space="preserve">were comparable to those of Study M/34273/34. Further evidence of the benefits of aclidinium bromide was to be obtained from pivotal Study </w:t>
      </w:r>
      <w:r w:rsidRPr="003B2EC6">
        <w:rPr>
          <w:rFonts w:cs="TimesNewRomanPS-BoldMT"/>
          <w:bCs/>
        </w:rPr>
        <w:t>LAS-MD-38 Part A</w:t>
      </w:r>
      <w:r w:rsidRPr="003B2EC6">
        <w:t xml:space="preserve"> but due to an imbalance between treatment groups at baseline in lung function and COPD severity in Study LAS-MD-38 Part A the sponsor considers that although statistically significant results were obtained for its primary and secondary endpoints, the study may not provide a reliable estimate of the true treatment effect due to imbalance in baseline COPD characteristics. Supportive evidence of efficacy is derived from Phase II Studies M/</w:t>
      </w:r>
      <w:r w:rsidRPr="003B2EC6">
        <w:rPr>
          <w:rFonts w:cs="TimesNewRomanPS-BoldMT"/>
          <w:bCs/>
        </w:rPr>
        <w:t xml:space="preserve">34273/23 </w:t>
      </w:r>
      <w:r w:rsidRPr="003B2EC6">
        <w:t xml:space="preserve">and </w:t>
      </w:r>
      <w:r w:rsidRPr="003B2EC6">
        <w:rPr>
          <w:rFonts w:cs="TimesNewRomanPS-BoldMT"/>
          <w:bCs/>
        </w:rPr>
        <w:t xml:space="preserve">M/34273/29 </w:t>
      </w:r>
      <w:r w:rsidRPr="003B2EC6">
        <w:t xml:space="preserve">and long term studies </w:t>
      </w:r>
      <w:r w:rsidRPr="003B2EC6">
        <w:rPr>
          <w:rFonts w:cs="TimesNewRomanPS-BoldMT"/>
          <w:bCs/>
        </w:rPr>
        <w:t xml:space="preserve">LAS-MD-35 </w:t>
      </w:r>
      <w:r w:rsidRPr="003B2EC6">
        <w:t xml:space="preserve">and </w:t>
      </w:r>
      <w:r w:rsidRPr="003B2EC6">
        <w:rPr>
          <w:rFonts w:cs="TimesNewRomanPS-BoldMT"/>
          <w:bCs/>
        </w:rPr>
        <w:t>LAS-MD-36</w:t>
      </w:r>
      <w:r w:rsidRPr="003B2EC6">
        <w:t>.</w:t>
      </w:r>
    </w:p>
    <w:p w:rsidR="00A81517" w:rsidRPr="006721C0" w:rsidRDefault="00A81517" w:rsidP="006721C0">
      <w:pPr>
        <w:pStyle w:val="Heading4"/>
        <w:rPr>
          <w:rStyle w:val="Heading4Char"/>
          <w:b/>
          <w:bCs/>
        </w:rPr>
      </w:pPr>
      <w:r w:rsidRPr="006721C0">
        <w:rPr>
          <w:rStyle w:val="Heading4Char"/>
          <w:b/>
          <w:bCs/>
        </w:rPr>
        <w:t>Patient population</w:t>
      </w:r>
    </w:p>
    <w:p w:rsidR="00A81517" w:rsidRPr="00CD3C89" w:rsidRDefault="00A81517" w:rsidP="006721C0">
      <w:pPr>
        <w:rPr>
          <w:rFonts w:cs="TimesNewRoman"/>
        </w:rPr>
      </w:pPr>
      <w:r w:rsidRPr="00CD3C89">
        <w:t>The pivotal studies included male and females aged &gt; 40 years</w:t>
      </w:r>
      <w:r>
        <w:t>,</w:t>
      </w:r>
      <w:r w:rsidRPr="00CD3C89">
        <w:t xml:space="preserve"> </w:t>
      </w:r>
      <w:r>
        <w:t>c</w:t>
      </w:r>
      <w:r w:rsidRPr="00CD3C89">
        <w:t>urrent or ex-smokers of more than or equal to 10 pack years with a clinical diagnosis of moderate to severe stable COPD</w:t>
      </w:r>
      <w:r>
        <w:t xml:space="preserve"> (</w:t>
      </w:r>
      <w:r w:rsidRPr="00CD3C89">
        <w:t>as per the Global Initiative for Chronic Lung Disease (GOLD) criteria</w:t>
      </w:r>
      <w:r>
        <w:t>)</w:t>
      </w:r>
      <w:r w:rsidRPr="00CD3C89">
        <w:t xml:space="preserve"> </w:t>
      </w:r>
      <w:r>
        <w:t>with</w:t>
      </w:r>
      <w:r w:rsidRPr="00CD3C89">
        <w:t xml:space="preserve"> postbronchodilator FEV1 &lt;80% predicted and </w:t>
      </w:r>
      <w:r w:rsidRPr="00CD3C89">
        <w:rPr>
          <w:u w:val="single"/>
        </w:rPr>
        <w:t>&gt;</w:t>
      </w:r>
      <w:r w:rsidRPr="00CD3C89">
        <w:t>30% of predicted and FEV1/FVC less than 0.7</w:t>
      </w:r>
      <w:r>
        <w:t xml:space="preserve"> and an</w:t>
      </w:r>
      <w:r w:rsidRPr="00CD3C89">
        <w:t xml:space="preserve"> absence of respiratory tract infection or COPD exacerbation in the 6 weeks (3 months if hospitalisation was required) prior to the screening visit. The inclusion and exclusion </w:t>
      </w:r>
      <w:r w:rsidR="003C0BF8" w:rsidRPr="00CD3C89">
        <w:t>criteria</w:t>
      </w:r>
      <w:r w:rsidRPr="00CD3C89">
        <w:t xml:space="preserve"> confirmed that patients included in the studies were representative of the target patient population for aclidinium bromide (namely patients with moderate to severe COPD). In the pivotal studies and </w:t>
      </w:r>
      <w:r>
        <w:t>long term</w:t>
      </w:r>
      <w:r w:rsidRPr="00CD3C89">
        <w:t xml:space="preserve"> safety studies, patients were permitted to continue treatment with stable doses of inhaled corticosteroids, oral sustained release theophylline and/or oxygen as required (≤15 hours per day). Stable doses of oral and/or parenteral corticosteroids (≤10 mg/day) were also permitted. Patients were provided with a marketed salbutamol metered dose inhaler to be taken as needed. Thus, the Phase III clinical studies have been performed in the patient population in which therapy with aclidinium bromide would be appr</w:t>
      </w:r>
      <w:r w:rsidR="006721C0">
        <w:t>opriate.</w:t>
      </w:r>
    </w:p>
    <w:p w:rsidR="00A81517" w:rsidRPr="006721C0" w:rsidRDefault="00A81517" w:rsidP="006721C0">
      <w:pPr>
        <w:pStyle w:val="Heading4"/>
      </w:pPr>
      <w:r w:rsidRPr="00CD3C89">
        <w:t>Efficacy endpoints</w:t>
      </w:r>
    </w:p>
    <w:p w:rsidR="00A81517" w:rsidRPr="00CD3C89" w:rsidRDefault="00A81517" w:rsidP="006721C0">
      <w:r w:rsidRPr="00CD3C89">
        <w:t xml:space="preserve">FEV1 is a well-established measure of treatment efficacy that is commonly used to evaluate lung function improvement in COPD trials; its use in the diagnosis of COPD is supported by GOLD guidelines (2008). </w:t>
      </w:r>
      <w:r w:rsidRPr="00CD3C89">
        <w:rPr>
          <w:rFonts w:cs="TimesNewRomanPSMT"/>
        </w:rPr>
        <w:t xml:space="preserve">The CPMP </w:t>
      </w:r>
      <w:r w:rsidRPr="00CD3C89">
        <w:rPr>
          <w:rFonts w:cs="TimesNewRomanPS-ItalicMT"/>
          <w:i/>
          <w:iCs/>
        </w:rPr>
        <w:t xml:space="preserve">“Points to Consider on Clinical Investigation of Medicinal Products in the Treatment of Patients with Chronic Obstructive Pulmonary Disease” </w:t>
      </w:r>
      <w:r w:rsidRPr="00CD3C89">
        <w:rPr>
          <w:rFonts w:cs="TimesNewRomanPSMT"/>
        </w:rPr>
        <w:t xml:space="preserve">(CPMP/EWP/562/98) states that for an indication of symptomatic relief of COPD, statistically significant benefit should be demonstrated not only for FEV1 but also for a pre-specified measure of symptomatic benefit. In </w:t>
      </w:r>
      <w:r w:rsidRPr="003B2EC6">
        <w:rPr>
          <w:rFonts w:cs="TimesNewRomanPSMT"/>
        </w:rPr>
        <w:t>Study M/</w:t>
      </w:r>
      <w:r w:rsidRPr="003B2EC6">
        <w:rPr>
          <w:rFonts w:cs="TimesNewRomanPS-BoldMT"/>
          <w:bCs/>
        </w:rPr>
        <w:t>34273/34 (the only study with recommended 24 week study duration)</w:t>
      </w:r>
      <w:r w:rsidRPr="003B2EC6">
        <w:rPr>
          <w:rFonts w:cs="TimesNewRomanPSMT"/>
        </w:rPr>
        <w:t>, the proportion of patients with a clinically significant improvement in the Mahler Transition Dyspnoea Index (TDI) Focal score was pre-specified as the dominant symptomatic endpoint. The proportion of patients with a clinically significant improvement in the St George’s Respiratory Questionnaire (SGRQ) Total score</w:t>
      </w:r>
      <w:r w:rsidRPr="003B2EC6">
        <w:rPr>
          <w:rFonts w:cs="TimesNewRomanPS-BoldMT"/>
          <w:bCs/>
        </w:rPr>
        <w:t xml:space="preserve"> </w:t>
      </w:r>
      <w:r w:rsidRPr="003B2EC6">
        <w:rPr>
          <w:rFonts w:cs="TimesNewRomanPSMT"/>
        </w:rPr>
        <w:t xml:space="preserve">was evaluated as a further secondary endpoint. These efficacy measures were assessed as additional efficacy variables in studies </w:t>
      </w:r>
      <w:r w:rsidRPr="003B2EC6">
        <w:rPr>
          <w:rFonts w:cs="TimesNewRomanPS-BoldMT"/>
          <w:bCs/>
        </w:rPr>
        <w:t xml:space="preserve">LAS-MD-33 </w:t>
      </w:r>
      <w:r w:rsidRPr="003B2EC6">
        <w:rPr>
          <w:rFonts w:cs="TimesNewRomanPSMT"/>
        </w:rPr>
        <w:t xml:space="preserve">and </w:t>
      </w:r>
      <w:r w:rsidRPr="003B2EC6">
        <w:rPr>
          <w:rFonts w:cs="TimesNewRomanPS-BoldMT"/>
          <w:bCs/>
        </w:rPr>
        <w:t xml:space="preserve">LAS-MD-38 Part A </w:t>
      </w:r>
      <w:r w:rsidRPr="003B2EC6">
        <w:rPr>
          <w:rFonts w:cs="TimesNewRomanPSMT"/>
        </w:rPr>
        <w:t>due to the shorter treatment duration (12 weeks). Daily COPD</w:t>
      </w:r>
      <w:r w:rsidRPr="00CD3C89">
        <w:rPr>
          <w:rFonts w:cs="TimesNewRomanPSMT"/>
        </w:rPr>
        <w:t xml:space="preserve"> symptoms were additional efficacy variables in </w:t>
      </w:r>
      <w:r>
        <w:rPr>
          <w:rFonts w:cs="TimesNewRomanPSMT"/>
        </w:rPr>
        <w:t xml:space="preserve">Study </w:t>
      </w:r>
      <w:r w:rsidRPr="006F2D17">
        <w:rPr>
          <w:rFonts w:cs="TimesNewRomanPSMT"/>
        </w:rPr>
        <w:t>M/</w:t>
      </w:r>
      <w:r w:rsidRPr="00CD3C89">
        <w:rPr>
          <w:rFonts w:cs="TimesNewRomanPSMT"/>
        </w:rPr>
        <w:t>34273/34. Daily symptoms were assessed according to the Exacerbations of Chronic Pulmonary Disease Tool - Respiratory Symptoms (E-RS)</w:t>
      </w:r>
      <w:r w:rsidRPr="00CD3C89">
        <w:rPr>
          <w:rStyle w:val="FootnoteReference"/>
          <w:rFonts w:eastAsia="Calibri" w:cs="TimesNewRomanPSMT"/>
        </w:rPr>
        <w:footnoteReference w:id="17"/>
      </w:r>
      <w:r w:rsidRPr="00CD3C89">
        <w:rPr>
          <w:rFonts w:cs="TimesNewRomanPSMT"/>
        </w:rPr>
        <w:t xml:space="preserve">. </w:t>
      </w:r>
      <w:r w:rsidRPr="00CD3C89">
        <w:t>COPD exacerbations by PROs in 12</w:t>
      </w:r>
      <w:r>
        <w:t xml:space="preserve"> week </w:t>
      </w:r>
      <w:r w:rsidRPr="00CD3C89">
        <w:t xml:space="preserve">studies 33 and 38A; however, investigated by PRO and EXACT criteria in pivotal </w:t>
      </w:r>
      <w:r>
        <w:t>S</w:t>
      </w:r>
      <w:r w:rsidRPr="00CD3C89">
        <w:t xml:space="preserve">tudy 34. Other supportive endpoints such as use of relief medication were also used in all pivotal studies. Spirometric substudies within each of the 3 pivotal </w:t>
      </w:r>
      <w:r w:rsidRPr="00E15644">
        <w:t>Phase III</w:t>
      </w:r>
      <w:r w:rsidRPr="00CD3C89">
        <w:t xml:space="preserve"> studies further evaluated detailed bronchod</w:t>
      </w:r>
      <w:r w:rsidR="00E74309">
        <w:t>i</w:t>
      </w:r>
      <w:r w:rsidRPr="00CD3C89">
        <w:t>latory profile of aclidinium bromide 200 and 40</w:t>
      </w:r>
      <w:r>
        <w:t>0 µg</w:t>
      </w:r>
      <w:r w:rsidRPr="00CD3C89">
        <w:t xml:space="preserve"> </w:t>
      </w:r>
      <w:r w:rsidRPr="007B5D9C">
        <w:t>BD</w:t>
      </w:r>
      <w:r w:rsidR="006721C0">
        <w:t>.</w:t>
      </w:r>
    </w:p>
    <w:p w:rsidR="00A81517" w:rsidRPr="006721C0" w:rsidRDefault="006721C0" w:rsidP="006721C0">
      <w:pPr>
        <w:pStyle w:val="Heading4"/>
      </w:pPr>
      <w:r>
        <w:t>Efficacy results</w:t>
      </w:r>
    </w:p>
    <w:p w:rsidR="00A81517" w:rsidRDefault="00A81517" w:rsidP="006721C0">
      <w:pPr>
        <w:pStyle w:val="Heading5"/>
        <w:rPr>
          <w:rStyle w:val="Heading5Char"/>
          <w:rFonts w:eastAsia="Calibri"/>
        </w:rPr>
      </w:pPr>
      <w:proofErr w:type="spellStart"/>
      <w:r w:rsidRPr="006721C0">
        <w:rPr>
          <w:rStyle w:val="Heading5Char"/>
          <w:rFonts w:eastAsia="Calibri"/>
          <w:b/>
          <w:bCs/>
          <w:i/>
        </w:rPr>
        <w:t>Bronchodilation</w:t>
      </w:r>
      <w:proofErr w:type="spellEnd"/>
    </w:p>
    <w:p w:rsidR="00A81517" w:rsidRPr="00593F73" w:rsidRDefault="00A81517" w:rsidP="006721C0">
      <w:r w:rsidRPr="00CD3C89">
        <w:t>In each of the pivotal studies and in the analysis of the pooled populations, aclidinium bromide 40</w:t>
      </w:r>
      <w:r>
        <w:t>0 µ</w:t>
      </w:r>
      <w:r w:rsidRPr="00CD3C89">
        <w:t xml:space="preserve">g was associated with </w:t>
      </w:r>
      <w:r w:rsidRPr="003B2EC6">
        <w:t xml:space="preserve">greater numerical improvements versus placebo in the change from baseline to Week 12 and/or Week 24 in </w:t>
      </w:r>
      <w:r w:rsidRPr="003B2EC6">
        <w:rPr>
          <w:rFonts w:cs="TimesNewRomanPS-BoldMT"/>
          <w:bCs/>
        </w:rPr>
        <w:t xml:space="preserve">M/34273/34 </w:t>
      </w:r>
      <w:r w:rsidRPr="003B2EC6">
        <w:t>in trough FEV1 than the 200 µg dose. The treatment differences between aclidinium bromide 400 µg and placebo were of a magnitude (</w:t>
      </w:r>
      <w:r w:rsidRPr="003B2EC6">
        <w:rPr>
          <w:u w:val="single"/>
        </w:rPr>
        <w:t>&gt;</w:t>
      </w:r>
      <w:r w:rsidRPr="003B2EC6">
        <w:t>100ml difference from placebo in trough FEV1) considered clinically significant</w:t>
      </w:r>
      <w:r w:rsidRPr="003B2EC6">
        <w:rPr>
          <w:rStyle w:val="FootnoteReference"/>
          <w:rFonts w:eastAsia="Calibri" w:cs="TimesNewRomanPSMT"/>
        </w:rPr>
        <w:footnoteReference w:id="18"/>
      </w:r>
      <w:r w:rsidRPr="003B2EC6">
        <w:t xml:space="preserve"> in Studies M/34273/34 and </w:t>
      </w:r>
      <w:r w:rsidRPr="003B2EC6">
        <w:rPr>
          <w:rFonts w:cs="TimesNewRomanPS-BoldMT"/>
          <w:bCs/>
        </w:rPr>
        <w:t xml:space="preserve">LAS-MD-33 </w:t>
      </w:r>
      <w:r w:rsidRPr="003B2EC6">
        <w:t xml:space="preserve">and in both pooled analyses. Clinically significant treatment differences between aclidinium bromide 200 µg and placebo in the change from baseline in trough FEV1 were not observed in any of the pivotal studies or in the pooled analysis. Statistical superiority of the 400 µg dose over the 200 µg dose in the change from baseline in trough FEV1 was observed in the pooled population of </w:t>
      </w:r>
      <w:r w:rsidRPr="003B2EC6">
        <w:rPr>
          <w:rFonts w:cs="TimesNewRomanPS-BoldMT"/>
          <w:bCs/>
        </w:rPr>
        <w:t xml:space="preserve">M/34273/34 </w:t>
      </w:r>
      <w:r w:rsidRPr="003B2EC6">
        <w:t xml:space="preserve">and </w:t>
      </w:r>
      <w:r w:rsidRPr="003B2EC6">
        <w:rPr>
          <w:rFonts w:cs="TimesNewRomanPS-BoldMT"/>
          <w:bCs/>
        </w:rPr>
        <w:t xml:space="preserve">LAS-MD-33 </w:t>
      </w:r>
      <w:r w:rsidRPr="003B2EC6">
        <w:t>and in</w:t>
      </w:r>
      <w:r w:rsidRPr="00CD3C89">
        <w:t xml:space="preserve"> the pooled population of all three pivotal studies but not in the individual pivotal </w:t>
      </w:r>
      <w:r w:rsidRPr="00593F73">
        <w:t>studies (Table</w:t>
      </w:r>
      <w:r w:rsidR="00D43103">
        <w:t xml:space="preserve"> 6</w:t>
      </w:r>
      <w:r w:rsidRPr="00593F73">
        <w:t>).</w:t>
      </w:r>
    </w:p>
    <w:p w:rsidR="00593F73" w:rsidRPr="002C2239" w:rsidRDefault="00593F73" w:rsidP="002C2239">
      <w:pPr>
        <w:pStyle w:val="TableTitle"/>
      </w:pPr>
      <w:proofErr w:type="gramStart"/>
      <w:r>
        <w:t xml:space="preserve">Table  </w:t>
      </w:r>
      <w:r w:rsidR="00D43103">
        <w:t>6</w:t>
      </w:r>
      <w:proofErr w:type="gramEnd"/>
      <w:r>
        <w:t xml:space="preserve">. LS Mean Treatment differences between </w:t>
      </w:r>
      <w:r w:rsidRPr="00CD3C89">
        <w:t>aclidinium bromide</w:t>
      </w:r>
      <w:r>
        <w:t xml:space="preserve"> 400 µg or 2</w:t>
      </w:r>
      <w:r w:rsidR="00145C30">
        <w:t>00</w:t>
      </w:r>
      <w:r>
        <w:t xml:space="preserve"> µg and placebo in the change from baseline in trough and peak FEV1 in pivotal studies </w:t>
      </w:r>
      <w:r w:rsidRPr="006F2D17">
        <w:rPr>
          <w:rFonts w:cs="TimesNewRomanPS-BoldMT"/>
          <w:bCs/>
        </w:rPr>
        <w:t>M/</w:t>
      </w:r>
      <w:r w:rsidRPr="00CD3C89">
        <w:rPr>
          <w:rFonts w:cs="TimesNewRomanPS-BoldMT"/>
          <w:bCs/>
        </w:rPr>
        <w:t xml:space="preserve">34273/34 </w:t>
      </w:r>
      <w:r w:rsidRPr="00CD3C89">
        <w:t xml:space="preserve">and </w:t>
      </w:r>
      <w:r w:rsidRPr="00CD3C89">
        <w:rPr>
          <w:rFonts w:cs="TimesNewRomanPS-BoldMT"/>
          <w:bCs/>
        </w:rPr>
        <w:t>LAS-MD-33</w:t>
      </w:r>
      <w:r>
        <w:rPr>
          <w:rFonts w:cs="TimesNewRomanPS-BoldMT"/>
          <w:bCs/>
        </w:rPr>
        <w:t xml:space="preserve"> and LAS-MD-38 Part A and the pooled population. </w:t>
      </w:r>
      <w:proofErr w:type="gramStart"/>
      <w:r>
        <w:rPr>
          <w:rFonts w:cs="TimesNewRomanPS-BoldMT"/>
          <w:bCs/>
        </w:rPr>
        <w:t>ITT populations.</w:t>
      </w:r>
      <w:proofErr w:type="gramEnd"/>
    </w:p>
    <w:p w:rsidR="00A81517" w:rsidRPr="00CD3C89" w:rsidRDefault="00A81517" w:rsidP="002C2239">
      <w:pPr>
        <w:rPr>
          <w:rFonts w:eastAsia="Calibri" w:cs="TimesNewRomanPSMT"/>
        </w:rPr>
      </w:pPr>
      <w:r>
        <w:rPr>
          <w:noProof/>
          <w:lang w:eastAsia="en-AU"/>
        </w:rPr>
        <w:drawing>
          <wp:inline distT="0" distB="0" distL="0" distR="0" wp14:anchorId="3321B769" wp14:editId="2F860512">
            <wp:extent cx="5467350" cy="4017386"/>
            <wp:effectExtent l="0" t="0" r="0" b="0"/>
            <wp:docPr id="60" name="Picture 60" descr="Table 6. LS Mean Treatment differences between aclidinium bromide 400 µg or 299 µg and placebo in the change from baseline in trough and peak FEV1 in pivotal studies M/34273/34 and LAS-MD-33 and LAS-MD-38 Part A and the pooled population. ITT popul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4651" t="4093"/>
                    <a:stretch/>
                  </pic:blipFill>
                  <pic:spPr bwMode="auto">
                    <a:xfrm>
                      <a:off x="0" y="0"/>
                      <a:ext cx="5464928" cy="4015606"/>
                    </a:xfrm>
                    <a:prstGeom prst="rect">
                      <a:avLst/>
                    </a:prstGeom>
                    <a:ln>
                      <a:noFill/>
                    </a:ln>
                    <a:extLst>
                      <a:ext uri="{53640926-AAD7-44D8-BBD7-CCE9431645EC}">
                        <a14:shadowObscured xmlns:a14="http://schemas.microsoft.com/office/drawing/2010/main"/>
                      </a:ext>
                    </a:extLst>
                  </pic:spPr>
                </pic:pic>
              </a:graphicData>
            </a:graphic>
          </wp:inline>
        </w:drawing>
      </w:r>
    </w:p>
    <w:p w:rsidR="00A81517" w:rsidRDefault="00A81517" w:rsidP="002C2239">
      <w:r w:rsidRPr="00CD3C89">
        <w:t>In the 6</w:t>
      </w:r>
      <w:r>
        <w:t xml:space="preserve"> </w:t>
      </w:r>
      <w:r w:rsidRPr="00CD3C89">
        <w:t xml:space="preserve">month pivotal </w:t>
      </w:r>
      <w:r>
        <w:t xml:space="preserve">Study </w:t>
      </w:r>
      <w:r w:rsidRPr="006F2D17">
        <w:t>M/</w:t>
      </w:r>
      <w:r w:rsidRPr="00CD3C89">
        <w:t>34273/34, clinically significant treatment differences in trough FEV1 were observed between aclidinium bromide 40</w:t>
      </w:r>
      <w:r>
        <w:t>0 µ</w:t>
      </w:r>
      <w:r w:rsidRPr="00CD3C89">
        <w:t>g and placebo at all time</w:t>
      </w:r>
      <w:r w:rsidR="00E74309">
        <w:t>-</w:t>
      </w:r>
      <w:r w:rsidRPr="00CD3C89">
        <w:t xml:space="preserve">points from </w:t>
      </w:r>
      <w:r w:rsidR="00E74309">
        <w:t>W</w:t>
      </w:r>
      <w:r w:rsidRPr="00CD3C89">
        <w:t xml:space="preserve">eek 1 up to </w:t>
      </w:r>
      <w:r w:rsidR="00E74309">
        <w:t>W</w:t>
      </w:r>
      <w:r w:rsidRPr="00CD3C89">
        <w:t>eek 24 but not between aclidinium bromide 20</w:t>
      </w:r>
      <w:r>
        <w:t>0 µg</w:t>
      </w:r>
      <w:r w:rsidRPr="00CD3C89">
        <w:t xml:space="preserve"> and </w:t>
      </w:r>
      <w:r w:rsidRPr="00F27942">
        <w:t>placebo (</w:t>
      </w:r>
      <w:r w:rsidRPr="00F27942">
        <w:rPr>
          <w:rFonts w:cs="TimesNewRomanPS-BoldMT"/>
          <w:bCs/>
        </w:rPr>
        <w:t xml:space="preserve">Figure </w:t>
      </w:r>
      <w:r w:rsidR="00F27942" w:rsidRPr="00F27942">
        <w:rPr>
          <w:rFonts w:cs="TimesNewRomanPS-BoldMT"/>
          <w:bCs/>
        </w:rPr>
        <w:t>2</w:t>
      </w:r>
      <w:r w:rsidRPr="00F27942">
        <w:rPr>
          <w:rFonts w:cs="TimesNewRomanPS-BoldMT"/>
          <w:bCs/>
        </w:rPr>
        <w:t>)</w:t>
      </w:r>
      <w:r w:rsidRPr="00F27942">
        <w:t>.</w:t>
      </w:r>
    </w:p>
    <w:p w:rsidR="00593F73" w:rsidRDefault="00593F73" w:rsidP="002C2239">
      <w:pPr>
        <w:pStyle w:val="FigureTitle"/>
        <w:rPr>
          <w:rFonts w:eastAsia="Calibri" w:cs="TimesNewRomanPSMT"/>
        </w:rPr>
      </w:pPr>
      <w:proofErr w:type="gramStart"/>
      <w:r>
        <w:rPr>
          <w:rFonts w:eastAsia="Calibri" w:cs="TimesNewRomanPSMT"/>
        </w:rPr>
        <w:t xml:space="preserve">Figure </w:t>
      </w:r>
      <w:r w:rsidR="00F27942">
        <w:rPr>
          <w:rFonts w:eastAsia="Calibri" w:cs="TimesNewRomanPSMT"/>
        </w:rPr>
        <w:t>2</w:t>
      </w:r>
      <w:r>
        <w:rPr>
          <w:rFonts w:eastAsia="Calibri" w:cs="TimesNewRomanPSMT"/>
        </w:rPr>
        <w:t>.</w:t>
      </w:r>
      <w:proofErr w:type="gramEnd"/>
      <w:r>
        <w:rPr>
          <w:rFonts w:eastAsia="Calibri" w:cs="TimesNewRomanPSMT"/>
        </w:rPr>
        <w:t xml:space="preserve"> </w:t>
      </w:r>
      <w:proofErr w:type="gramStart"/>
      <w:r>
        <w:t xml:space="preserve">Changes from baseline in FEV1 up to 3 h postdose at Week 12 by treatment in the pooled populations of studies </w:t>
      </w:r>
      <w:r w:rsidRPr="006F2D17">
        <w:t>M/</w:t>
      </w:r>
      <w:r w:rsidRPr="009E0389">
        <w:rPr>
          <w:rFonts w:cs="TimesNewRomanPS-BoldMT"/>
          <w:bCs/>
        </w:rPr>
        <w:t>34273/34</w:t>
      </w:r>
      <w:r>
        <w:rPr>
          <w:rFonts w:cs="TimesNewRomanPS-BoldMT"/>
          <w:bCs/>
        </w:rPr>
        <w:t xml:space="preserve"> and </w:t>
      </w:r>
      <w:r w:rsidRPr="009E0389">
        <w:rPr>
          <w:rFonts w:cs="TimesNewRomanPS-BoldMT"/>
          <w:bCs/>
        </w:rPr>
        <w:t>LAS-MD-33</w:t>
      </w:r>
      <w:r>
        <w:rPr>
          <w:rFonts w:cs="TimesNewRomanPS-BoldMT"/>
          <w:bCs/>
        </w:rPr>
        <w:t xml:space="preserve"> ITT population.</w:t>
      </w:r>
      <w:proofErr w:type="gramEnd"/>
    </w:p>
    <w:p w:rsidR="00A81517" w:rsidRPr="00CD3C89" w:rsidRDefault="00A81517" w:rsidP="002C2239">
      <w:pPr>
        <w:rPr>
          <w:rFonts w:eastAsia="Calibri" w:cs="TimesNewRomanPSMT"/>
        </w:rPr>
      </w:pPr>
      <w:r>
        <w:rPr>
          <w:noProof/>
          <w:lang w:eastAsia="en-AU"/>
        </w:rPr>
        <w:drawing>
          <wp:inline distT="0" distB="0" distL="0" distR="0" wp14:anchorId="437D59C8" wp14:editId="3AEA2A1E">
            <wp:extent cx="4067175" cy="1555695"/>
            <wp:effectExtent l="0" t="0" r="0" b="0"/>
            <wp:docPr id="62" name="Picture 62" descr="Figure 2. Changes from baseline in FEV1 up to 3 h postdose at Week 12 by treatment in the pooled populations of studies M/34273/34 and LAS-MD-3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t="24778" b="6230"/>
                    <a:stretch/>
                  </pic:blipFill>
                  <pic:spPr bwMode="auto">
                    <a:xfrm>
                      <a:off x="0" y="0"/>
                      <a:ext cx="4074587" cy="1558530"/>
                    </a:xfrm>
                    <a:prstGeom prst="rect">
                      <a:avLst/>
                    </a:prstGeom>
                    <a:ln>
                      <a:noFill/>
                    </a:ln>
                    <a:extLst>
                      <a:ext uri="{53640926-AAD7-44D8-BBD7-CCE9431645EC}">
                        <a14:shadowObscured xmlns:a14="http://schemas.microsoft.com/office/drawing/2010/main"/>
                      </a:ext>
                    </a:extLst>
                  </pic:spPr>
                </pic:pic>
              </a:graphicData>
            </a:graphic>
          </wp:inline>
        </w:drawing>
      </w:r>
    </w:p>
    <w:p w:rsidR="00A81517" w:rsidRPr="00CD3C89" w:rsidRDefault="00A81517" w:rsidP="002C2239">
      <w:r w:rsidRPr="00CD3C89">
        <w:t>Aclidinium bromide 40</w:t>
      </w:r>
      <w:r>
        <w:t>0 µ</w:t>
      </w:r>
      <w:r w:rsidRPr="00CD3C89">
        <w:t>g was associated with greater numerical improvements versus placebo in the change from baseline to Week 24 and/or Week 12 in peak FEV1 than the 20</w:t>
      </w:r>
      <w:r>
        <w:t>0 µ</w:t>
      </w:r>
      <w:r w:rsidRPr="00CD3C89">
        <w:t xml:space="preserve">g dose in </w:t>
      </w:r>
      <w:r>
        <w:t xml:space="preserve">Studies </w:t>
      </w:r>
      <w:r w:rsidRPr="006F2D17">
        <w:t>M/</w:t>
      </w:r>
      <w:r w:rsidRPr="00CD3C89">
        <w:t xml:space="preserve">34273/34 and LAS-MD-33. Pooled analysis of </w:t>
      </w:r>
      <w:r>
        <w:t xml:space="preserve">Studies </w:t>
      </w:r>
      <w:r w:rsidRPr="006F2D17">
        <w:t>M/</w:t>
      </w:r>
      <w:r w:rsidRPr="00CD3C89">
        <w:t>34273/34 and LAS-MD-33 showed that the changes from baseline in peak FEV1 were numerically greater with the 40</w:t>
      </w:r>
      <w:r>
        <w:t>0 µ</w:t>
      </w:r>
      <w:r w:rsidRPr="00CD3C89">
        <w:t>g dose than with the 20</w:t>
      </w:r>
      <w:r>
        <w:t>0 µ</w:t>
      </w:r>
      <w:r w:rsidRPr="00CD3C89">
        <w:t xml:space="preserve">g dose at Weeks 1 (0.030 L, p=0.022), 4 (0.022 L, p=0.125), 8 (0.034 L, p=0.126) and 12 (0.024 L, p=0.130). Similar observations were made in the pooled analysis of three pivotal studies. In the pooled population of </w:t>
      </w:r>
      <w:r>
        <w:t xml:space="preserve">Studies </w:t>
      </w:r>
      <w:r w:rsidRPr="006F2D17">
        <w:t>M/</w:t>
      </w:r>
      <w:r w:rsidRPr="00CD3C89">
        <w:t>34273/34 and LAS-MD-33, the changes from baseline up to 3 hours post-dose were numerically greater with aclidinium bromide 40</w:t>
      </w:r>
      <w:r>
        <w:t>0 µ</w:t>
      </w:r>
      <w:r w:rsidRPr="00CD3C89">
        <w:t>g compared to aclidinium bromide 20</w:t>
      </w:r>
      <w:r>
        <w:t>0 µ</w:t>
      </w:r>
      <w:r w:rsidRPr="00CD3C89">
        <w:t>g at 0.5 hours (0.022 L, p=0.146), 1 hour (0.018 L, 0.250), 2 hours (0.032 L, p=0.042) and 3 hours (0.028 L, p=0.084) postdose. Similar observations were made for the pooled analysis of the three pivotal studies</w:t>
      </w:r>
      <w:r w:rsidR="002C2239">
        <w:t>.</w:t>
      </w:r>
    </w:p>
    <w:p w:rsidR="00A81517" w:rsidRPr="002C2239" w:rsidRDefault="002C2239" w:rsidP="002C2239">
      <w:pPr>
        <w:pStyle w:val="Heading5"/>
        <w:rPr>
          <w:rFonts w:eastAsia="Calibri"/>
        </w:rPr>
      </w:pPr>
      <w:r>
        <w:rPr>
          <w:rFonts w:eastAsia="Calibri"/>
        </w:rPr>
        <w:t>Symptomatic improvements</w:t>
      </w:r>
    </w:p>
    <w:p w:rsidR="00A81517" w:rsidRDefault="00A81517" w:rsidP="002C2239">
      <w:r w:rsidRPr="00BB124E">
        <w:rPr>
          <w:rFonts w:cs="TimesNewRomanPS-BoldMT"/>
          <w:bCs/>
        </w:rPr>
        <w:t>M/34273/34</w:t>
      </w:r>
      <w:r w:rsidRPr="00CD3C89">
        <w:t xml:space="preserve"> was the only </w:t>
      </w:r>
      <w:r>
        <w:t>placebo controlled</w:t>
      </w:r>
      <w:r w:rsidRPr="00CD3C89">
        <w:t xml:space="preserve"> study conducted with treatment duration of 6 months and was the most important study for evaluation of symptoms.</w:t>
      </w:r>
      <w:r>
        <w:t xml:space="preserve"> </w:t>
      </w:r>
      <w:r w:rsidRPr="00CD3C89">
        <w:t>A clinically significant increase in TDI Focal score is at least 1.0 unit</w:t>
      </w:r>
      <w:r w:rsidRPr="00CD3C89">
        <w:rPr>
          <w:rFonts w:cs="TimesNewRomanPS-BoldMT"/>
          <w:b/>
          <w:bCs/>
        </w:rPr>
        <w:t xml:space="preserve"> </w:t>
      </w:r>
      <w:r w:rsidRPr="00CD3C89">
        <w:t>and changes from baseline in TDI Focal score with aclidinium bromide 40</w:t>
      </w:r>
      <w:r>
        <w:t>0 µ</w:t>
      </w:r>
      <w:r w:rsidRPr="00CD3C89">
        <w:t xml:space="preserve">g compared to placebo in </w:t>
      </w:r>
      <w:r>
        <w:t xml:space="preserve">Studies </w:t>
      </w:r>
      <w:r w:rsidRPr="006F2D17">
        <w:t>M/</w:t>
      </w:r>
      <w:r w:rsidRPr="00CD3C89">
        <w:t>34273/34, LAS-MD-33 and LAS-MD-38 Part A and in the pooled analyses were either at the</w:t>
      </w:r>
      <w:r>
        <w:t xml:space="preserve"> </w:t>
      </w:r>
      <w:r w:rsidRPr="00CD3C89">
        <w:t>minimum clinical important difference</w:t>
      </w:r>
      <w:r>
        <w:t xml:space="preserve"> (</w:t>
      </w:r>
      <w:r w:rsidRPr="00CD3C89">
        <w:t>MCID</w:t>
      </w:r>
      <w:r>
        <w:t>)</w:t>
      </w:r>
      <w:r w:rsidRPr="00CD3C89">
        <w:t xml:space="preserve"> or very close but this was not observed for the 20</w:t>
      </w:r>
      <w:r>
        <w:t>0 µg</w:t>
      </w:r>
      <w:r w:rsidRPr="00CD3C89">
        <w:t xml:space="preserve"> dose.</w:t>
      </w:r>
      <w:r>
        <w:t xml:space="preserve"> </w:t>
      </w:r>
      <w:r w:rsidRPr="00CD3C89">
        <w:t xml:space="preserve">At Week 24 in </w:t>
      </w:r>
      <w:r>
        <w:t xml:space="preserve">Study </w:t>
      </w:r>
      <w:r w:rsidRPr="006F2D17">
        <w:t>M/</w:t>
      </w:r>
      <w:r w:rsidRPr="00CD3C89">
        <w:t>34273/34, greater numerical increases compared to placebo were observed for aclidinium bromide 40</w:t>
      </w:r>
      <w:r>
        <w:t>0 µ</w:t>
      </w:r>
      <w:r w:rsidRPr="00CD3C89">
        <w:t>g than 20</w:t>
      </w:r>
      <w:r>
        <w:t>0 µ</w:t>
      </w:r>
      <w:r w:rsidRPr="00CD3C89">
        <w:t>g in the likelihood of patients achieving a clinically significant improvement in SGRQ Total score and in the change from baseline to Week 24 in SGRQ Total score. The reduction in SGRQ Total score observed with aclidinium bromide 40</w:t>
      </w:r>
      <w:r>
        <w:t>0 µ</w:t>
      </w:r>
      <w:r w:rsidRPr="00CD3C89">
        <w:t xml:space="preserve">g in Study </w:t>
      </w:r>
      <w:r w:rsidRPr="006F2D17">
        <w:t>M/</w:t>
      </w:r>
      <w:r w:rsidRPr="00CD3C89">
        <w:t>34273/34 was of a magnitude considered to be clinically significant (</w:t>
      </w:r>
      <w:r>
        <w:t>that is,</w:t>
      </w:r>
      <w:r w:rsidRPr="00CD3C89">
        <w:t xml:space="preserve"> at least 4.0 units</w:t>
      </w:r>
      <w:r>
        <w:t>)</w:t>
      </w:r>
      <w:r w:rsidRPr="00CD3C89">
        <w:t xml:space="preserve">. This </w:t>
      </w:r>
      <w:r>
        <w:t>dose response</w:t>
      </w:r>
      <w:r w:rsidRPr="00CD3C89">
        <w:t xml:space="preserve"> relationship was not seen in </w:t>
      </w:r>
      <w:r>
        <w:t>S</w:t>
      </w:r>
      <w:r w:rsidRPr="00CD3C89">
        <w:t xml:space="preserve">tudies LAS-MD-33 or LAS-MD-38 Part </w:t>
      </w:r>
      <w:proofErr w:type="gramStart"/>
      <w:r w:rsidRPr="00CD3C89">
        <w:t>A</w:t>
      </w:r>
      <w:proofErr w:type="gramEnd"/>
      <w:r w:rsidRPr="00CD3C89">
        <w:t>; an observation which may reflect the relatively short duration of these studies for evaluation of this efficacy measure. Greater numerical increases compared to placebo in the changes from baseline in SGRQ Total score with the 40</w:t>
      </w:r>
      <w:r>
        <w:t>0 µ</w:t>
      </w:r>
      <w:r w:rsidRPr="00CD3C89">
        <w:t>g dose than with the 20</w:t>
      </w:r>
      <w:r>
        <w:t>0 µ</w:t>
      </w:r>
      <w:r w:rsidRPr="00CD3C89">
        <w:t xml:space="preserve">g dose were observed in the pooled analysis of </w:t>
      </w:r>
      <w:r>
        <w:t xml:space="preserve">Studies </w:t>
      </w:r>
      <w:r w:rsidRPr="006F2D17">
        <w:t>M/</w:t>
      </w:r>
      <w:r w:rsidRPr="00CD3C89">
        <w:t>34273/34 and LAS-MD-33. Aclidinium bromide 40</w:t>
      </w:r>
      <w:r>
        <w:t>0 µ</w:t>
      </w:r>
      <w:r w:rsidRPr="00CD3C89">
        <w:t>g and 20</w:t>
      </w:r>
      <w:r>
        <w:t>0 µ</w:t>
      </w:r>
      <w:r w:rsidRPr="00CD3C89">
        <w:t>g were associated with statistically significant reductions in exacerbation rate of approximately 30% (exacerbations defined on basis on Health Resource Utilisation or EXACT</w:t>
      </w:r>
      <w:r>
        <w:t>)</w:t>
      </w:r>
      <w:r w:rsidRPr="00CD3C89">
        <w:t>.</w:t>
      </w:r>
      <w:r>
        <w:t xml:space="preserve"> </w:t>
      </w:r>
      <w:r w:rsidRPr="00CD3C89">
        <w:t>C</w:t>
      </w:r>
      <w:r>
        <w:t>OPD exacerbations were categoris</w:t>
      </w:r>
      <w:r w:rsidRPr="00CD3C89">
        <w:t>ed</w:t>
      </w:r>
      <w:r>
        <w:t xml:space="preserve"> </w:t>
      </w:r>
      <w:r w:rsidRPr="00CD3C89">
        <w:t xml:space="preserve">by severity and defined as increased COPD symptoms of at least 2 consecutive days </w:t>
      </w:r>
      <w:r w:rsidR="002C2239">
        <w:t>requiring one of the following:</w:t>
      </w:r>
    </w:p>
    <w:p w:rsidR="00A81517" w:rsidRDefault="00A81517" w:rsidP="002C2239">
      <w:pPr>
        <w:pStyle w:val="Numberbullet0"/>
        <w:numPr>
          <w:ilvl w:val="0"/>
          <w:numId w:val="24"/>
        </w:numPr>
      </w:pPr>
      <w:r w:rsidRPr="00CD3C89">
        <w:t>increased rescue medications and/or inhaled corticos</w:t>
      </w:r>
      <w:r w:rsidR="002C2239">
        <w:t>teroid use (mild exacerbation);</w:t>
      </w:r>
    </w:p>
    <w:p w:rsidR="00A81517" w:rsidRDefault="00A81517" w:rsidP="002C2239">
      <w:pPr>
        <w:pStyle w:val="Numberbullet0"/>
      </w:pPr>
      <w:r w:rsidRPr="00CD3C89">
        <w:t>treatment with antibiotics and/or systemic corticosteroids (moderate</w:t>
      </w:r>
      <w:r w:rsidR="002C2239">
        <w:t xml:space="preserve"> exacerbation), or</w:t>
      </w:r>
    </w:p>
    <w:p w:rsidR="00A81517" w:rsidRDefault="00A81517" w:rsidP="002C2239">
      <w:pPr>
        <w:pStyle w:val="Numberbullet0"/>
      </w:pPr>
      <w:proofErr w:type="gramStart"/>
      <w:r>
        <w:t>hospitalis</w:t>
      </w:r>
      <w:r w:rsidRPr="00CD3C89">
        <w:t>ation</w:t>
      </w:r>
      <w:proofErr w:type="gramEnd"/>
      <w:r w:rsidRPr="00CD3C89">
        <w:t xml:space="preserve"> or emergency room t</w:t>
      </w:r>
      <w:r w:rsidR="002C2239">
        <w:t>reatment (severe exacerbation).</w:t>
      </w:r>
    </w:p>
    <w:p w:rsidR="00A81517" w:rsidRPr="00CD3C89" w:rsidRDefault="00A81517" w:rsidP="002C2239">
      <w:r w:rsidRPr="00CD3C89">
        <w:t xml:space="preserve">Exacerbation results from the six-month Study 34 suggested a decrease in exacerbations with aclidinium bromide treatment. Results from the </w:t>
      </w:r>
      <w:r>
        <w:t xml:space="preserve">3 </w:t>
      </w:r>
      <w:r w:rsidRPr="00CD3C89">
        <w:t>month studies were less consistent although this variability may be due in part to a low background</w:t>
      </w:r>
      <w:r w:rsidR="002C2239">
        <w:t xml:space="preserve"> rate of exacerbations overall.</w:t>
      </w:r>
    </w:p>
    <w:p w:rsidR="00A81517" w:rsidRDefault="00A81517" w:rsidP="0003740C">
      <w:pPr>
        <w:pStyle w:val="Heading5"/>
      </w:pPr>
      <w:r w:rsidRPr="00CD3C89">
        <w:t>Long-</w:t>
      </w:r>
      <w:r w:rsidRPr="0003740C">
        <w:t>term</w:t>
      </w:r>
      <w:r w:rsidRPr="00CD3C89">
        <w:t xml:space="preserve"> efficacy of proposed dose</w:t>
      </w:r>
    </w:p>
    <w:p w:rsidR="00A81517" w:rsidRPr="003B2EC6" w:rsidRDefault="00A81517" w:rsidP="0003740C">
      <w:r w:rsidRPr="00CD3C89">
        <w:t>The treatment duration of the 3 long</w:t>
      </w:r>
      <w:r>
        <w:t xml:space="preserve"> </w:t>
      </w:r>
      <w:r w:rsidRPr="00CD3C89">
        <w:t>term studies (LAS-md 35, LAS-md-36 and LAS-md-38B) were consistent with ICH E1 “</w:t>
      </w:r>
      <w:r w:rsidRPr="00CD3C89">
        <w:rPr>
          <w:rFonts w:cs="TimesNewRomanPS-ItalicMT"/>
          <w:i/>
          <w:iCs/>
        </w:rPr>
        <w:t>Population Exposure: The Extent of Population Exposure to Assess Clinical Safety</w:t>
      </w:r>
      <w:r w:rsidRPr="00CD3C89">
        <w:t xml:space="preserve">” (CPMP/ICH/375/95). </w:t>
      </w:r>
      <w:r w:rsidRPr="00CD3C89">
        <w:rPr>
          <w:color w:val="000000"/>
        </w:rPr>
        <w:t>Results of the 6</w:t>
      </w:r>
      <w:r>
        <w:rPr>
          <w:color w:val="000000"/>
        </w:rPr>
        <w:t xml:space="preserve"> </w:t>
      </w:r>
      <w:r w:rsidRPr="00CD3C89">
        <w:rPr>
          <w:color w:val="000000"/>
        </w:rPr>
        <w:t xml:space="preserve">month pivotal </w:t>
      </w:r>
      <w:r>
        <w:rPr>
          <w:color w:val="000000"/>
        </w:rPr>
        <w:t xml:space="preserve">Study </w:t>
      </w:r>
      <w:r w:rsidRPr="006F2D17">
        <w:rPr>
          <w:color w:val="000000"/>
        </w:rPr>
        <w:t>M/</w:t>
      </w:r>
      <w:r w:rsidRPr="00CD3C89">
        <w:rPr>
          <w:color w:val="000000"/>
        </w:rPr>
        <w:t>34273/34 demonstrated consistent improvements with proposed dose of 40</w:t>
      </w:r>
      <w:r>
        <w:rPr>
          <w:color w:val="000000"/>
        </w:rPr>
        <w:t xml:space="preserve">0 µg BD </w:t>
      </w:r>
      <w:r w:rsidRPr="00CD3C89">
        <w:rPr>
          <w:color w:val="000000"/>
        </w:rPr>
        <w:t xml:space="preserve">in terms of bronchodilation (in trough FEV1, peak FEV1) and </w:t>
      </w:r>
      <w:r w:rsidRPr="00CD3C89">
        <w:t xml:space="preserve">symptoms (TDI score and SGRQ </w:t>
      </w:r>
      <w:r w:rsidRPr="003B2EC6">
        <w:t>total score) over the 24 week treatment duration. The results of the pivotal Study M/</w:t>
      </w:r>
      <w:r w:rsidRPr="003B2EC6">
        <w:rPr>
          <w:rFonts w:cs="TimesNewRomanPS-BoldMT"/>
          <w:bCs/>
        </w:rPr>
        <w:t xml:space="preserve">34273/34 </w:t>
      </w:r>
      <w:r w:rsidRPr="003B2EC6">
        <w:t xml:space="preserve">provide no indication of tachyphylaxis with aclidinium bromide when administered over </w:t>
      </w:r>
      <w:proofErr w:type="gramStart"/>
      <w:r w:rsidRPr="003B2EC6">
        <w:t>a 6</w:t>
      </w:r>
      <w:proofErr w:type="gramEnd"/>
      <w:r w:rsidRPr="003B2EC6">
        <w:t xml:space="preserve"> month treatment duration. Supportive evidence for persistence of efficacy is obtained from long term studies </w:t>
      </w:r>
      <w:r w:rsidRPr="003B2EC6">
        <w:rPr>
          <w:rFonts w:cs="TimesNewRomanPS-BoldMT"/>
          <w:bCs/>
        </w:rPr>
        <w:t xml:space="preserve">LAS-MD-35, LAS-MD-36 </w:t>
      </w:r>
      <w:r w:rsidRPr="003B2EC6">
        <w:t xml:space="preserve">and </w:t>
      </w:r>
      <w:r w:rsidRPr="003B2EC6">
        <w:rPr>
          <w:rFonts w:cs="TimesNewRomanPS-BoldMT"/>
          <w:bCs/>
        </w:rPr>
        <w:t>LAS-MD-38 Part B</w:t>
      </w:r>
      <w:r w:rsidRPr="003B2EC6">
        <w:t>. Across all three long term studies, increases from baseline in trough FEV1 showed some decline over the treatment period, an observation</w:t>
      </w:r>
      <w:r w:rsidRPr="00CD3C89">
        <w:t xml:space="preserve"> which is likely to reflect the known decrease in FEV1 that occurs over time in patients with COPD rather than a diminution of the efficacy of aclidinium bromide. Studies LAS-MD-35 LAS-MD-36 and LAS-MD-38 Part B provide evidence for the persistence of efficacy of aclidinium bromide over time and support the observations from pivotal </w:t>
      </w:r>
      <w:r w:rsidRPr="003B2EC6">
        <w:t>Study M/</w:t>
      </w:r>
      <w:r w:rsidRPr="003B2EC6">
        <w:rPr>
          <w:rFonts w:cs="TimesNewRomanPS-BoldMT"/>
          <w:bCs/>
        </w:rPr>
        <w:t xml:space="preserve">34273/34 </w:t>
      </w:r>
      <w:r w:rsidRPr="003B2EC6">
        <w:t>that there is no loss of efficacy with prolonged administration.</w:t>
      </w:r>
    </w:p>
    <w:p w:rsidR="00A81517" w:rsidRPr="0003740C" w:rsidRDefault="00A81517" w:rsidP="0003740C">
      <w:pPr>
        <w:pStyle w:val="Heading5"/>
        <w:rPr>
          <w:rFonts w:eastAsia="Calibri"/>
        </w:rPr>
      </w:pPr>
      <w:r w:rsidRPr="00CD3C89">
        <w:rPr>
          <w:rFonts w:eastAsia="Calibri"/>
        </w:rPr>
        <w:t>Efficacy in subgroups</w:t>
      </w:r>
    </w:p>
    <w:p w:rsidR="00A81517" w:rsidRPr="00CD3C89" w:rsidRDefault="00A81517" w:rsidP="0003740C">
      <w:pPr>
        <w:rPr>
          <w:b/>
        </w:rPr>
      </w:pPr>
      <w:r w:rsidRPr="00CD3C89">
        <w:t xml:space="preserve">Evaluation of the pooled population comprising </w:t>
      </w:r>
      <w:r>
        <w:t xml:space="preserve">Studies </w:t>
      </w:r>
      <w:r w:rsidRPr="006F2D17">
        <w:t>M/</w:t>
      </w:r>
      <w:r w:rsidRPr="00CD3C89">
        <w:t xml:space="preserve">34273/34 and LAS-MD-33 showed no statistically significant differences in the magnitudes of the adjusted mean treatment differences between aclidinium bromide and placebo based on sex (male or female), age group (&lt;60 years, 60 years to 69 years or </w:t>
      </w:r>
      <w:r>
        <w:rPr>
          <w:rFonts w:cs="Symbol"/>
        </w:rPr>
        <w:t>≥</w:t>
      </w:r>
      <w:r w:rsidRPr="00CD3C89">
        <w:t>70 years), BMI group (obese, pre</w:t>
      </w:r>
      <w:r w:rsidR="00E74309">
        <w:t>-</w:t>
      </w:r>
      <w:r w:rsidRPr="00CD3C89">
        <w:t>obese or normal weight/ underweight), COPD severity (mild/moderate or severe/very severe), smoking status (current smokers or ex-smokers), bronchodilator reversibility (reversible or non-reversible) or concomitant use of ICS (using ICS or not using ICS). Similar observations were made with the pooled population comprising studies</w:t>
      </w:r>
      <w:r>
        <w:t xml:space="preserve"> </w:t>
      </w:r>
      <w:r w:rsidRPr="00CD3C89">
        <w:t>LAS-MD-33 and LAS-MD-38 Part A with the exception of smoking status (increased treatment effect of the 40</w:t>
      </w:r>
      <w:r>
        <w:t>0 µ</w:t>
      </w:r>
      <w:r w:rsidRPr="00CD3C89">
        <w:t>g dose and reduced treatment effect of the 20</w:t>
      </w:r>
      <w:r>
        <w:t>0 µ</w:t>
      </w:r>
      <w:r w:rsidRPr="00CD3C89">
        <w:t>g dose in current smokers) and bronchodilator reversibility (reduced efficacy in non-reversible patients)</w:t>
      </w:r>
    </w:p>
    <w:p w:rsidR="00A81517" w:rsidRPr="0003740C" w:rsidRDefault="00A81517" w:rsidP="0003740C">
      <w:pPr>
        <w:pStyle w:val="Heading4"/>
      </w:pPr>
      <w:r w:rsidRPr="00CD3C89">
        <w:t>Justification for the proposed 40</w:t>
      </w:r>
      <w:r>
        <w:t xml:space="preserve">0 µg BD </w:t>
      </w:r>
      <w:r w:rsidRPr="00CD3C89">
        <w:t>dose</w:t>
      </w:r>
    </w:p>
    <w:p w:rsidR="00A81517" w:rsidRPr="00CD3C89" w:rsidRDefault="00A81517" w:rsidP="0003740C">
      <w:r w:rsidRPr="00CD3C89">
        <w:t>Dose selection and dosing frequency selection for aclidinium bromide were based on previously conducted studies that evaluated a dose of 20</w:t>
      </w:r>
      <w:r>
        <w:t>0 µg</w:t>
      </w:r>
      <w:r w:rsidRPr="00CD3C89">
        <w:t xml:space="preserve"> once daily and two additional studies, Study 23 and Study 29 that used tiotropium and formoterol for benchmark comparison. Data generated from these studies support a twice daily dosing frequency and the 40</w:t>
      </w:r>
      <w:r>
        <w:t>0 µg</w:t>
      </w:r>
      <w:r w:rsidRPr="00CD3C89">
        <w:t xml:space="preserve"> twice daily dose demonstrated a greater change in trough FEV1 and time profile serial FEV1 measurement compared to lower doses of 10</w:t>
      </w:r>
      <w:r>
        <w:t>0 µg</w:t>
      </w:r>
      <w:r w:rsidRPr="00CD3C89">
        <w:t xml:space="preserve"> and 20</w:t>
      </w:r>
      <w:r>
        <w:t>0 µg</w:t>
      </w:r>
      <w:r w:rsidRPr="00CD3C89">
        <w:t xml:space="preserve"> twice daily (Study </w:t>
      </w:r>
      <w:r w:rsidRPr="006F2D17">
        <w:t>M/</w:t>
      </w:r>
      <w:r w:rsidRPr="00CD3C89">
        <w:t>34273/29). The 40</w:t>
      </w:r>
      <w:r>
        <w:t>0 µ</w:t>
      </w:r>
      <w:r w:rsidRPr="00130921">
        <w:t>g</w:t>
      </w:r>
      <w:r w:rsidRPr="00CD3C89">
        <w:t xml:space="preserve"> twice daily doses in these studies generally performed better than lower doses and in a similar range to the two active comparators</w:t>
      </w:r>
      <w:r>
        <w:t xml:space="preserve">; </w:t>
      </w:r>
      <w:r w:rsidRPr="00CD3C89">
        <w:t xml:space="preserve">formoterol </w:t>
      </w:r>
      <w:r w:rsidRPr="007B5D9C">
        <w:t>12 μg</w:t>
      </w:r>
      <w:r w:rsidRPr="00CD3C89">
        <w:t xml:space="preserve"> in </w:t>
      </w:r>
      <w:r>
        <w:t>S</w:t>
      </w:r>
      <w:r w:rsidRPr="00CD3C89">
        <w:t>tudy 29 and tiotropim 18</w:t>
      </w:r>
      <w:r>
        <w:t xml:space="preserve"> μg</w:t>
      </w:r>
      <w:r w:rsidRPr="00CD3C89">
        <w:t xml:space="preserve"> in </w:t>
      </w:r>
      <w:r>
        <w:t>S</w:t>
      </w:r>
      <w:r w:rsidRPr="00CD3C89">
        <w:t>tudy 23. Based on these data and previous experience with the 20</w:t>
      </w:r>
      <w:r>
        <w:t>0 µ</w:t>
      </w:r>
      <w:r w:rsidRPr="00130921">
        <w:t>g</w:t>
      </w:r>
      <w:r w:rsidRPr="00CD3C89">
        <w:t xml:space="preserve"> once daily dose (20</w:t>
      </w:r>
      <w:r>
        <w:t>0 µg</w:t>
      </w:r>
      <w:r w:rsidRPr="00CD3C89">
        <w:t xml:space="preserve"> may be suboptimal and that </w:t>
      </w:r>
      <w:r>
        <w:t>night time</w:t>
      </w:r>
      <w:r w:rsidRPr="00CD3C89">
        <w:t xml:space="preserve"> bronchodilation achieved with once daily morning dose of aclidinium bromide may be insufficient), the selection of the 40</w:t>
      </w:r>
      <w:r>
        <w:t>0 µ</w:t>
      </w:r>
      <w:r w:rsidRPr="00CD3C89">
        <w:t>g twice daily dose for furt</w:t>
      </w:r>
      <w:r>
        <w:t>her evaluation in confirmatory P</w:t>
      </w:r>
      <w:r w:rsidRPr="00CD3C89">
        <w:t xml:space="preserve">hase </w:t>
      </w:r>
      <w:r>
        <w:t>III</w:t>
      </w:r>
      <w:r w:rsidR="0003740C">
        <w:t xml:space="preserve"> studies was reasonable.</w:t>
      </w:r>
    </w:p>
    <w:p w:rsidR="00A81517" w:rsidRPr="00CD3C89" w:rsidRDefault="00A81517" w:rsidP="0003740C">
      <w:r w:rsidRPr="00CD3C89">
        <w:t>However, there was no study directly comparing QD and</w:t>
      </w:r>
      <w:r>
        <w:t xml:space="preserve"> BD </w:t>
      </w:r>
      <w:r w:rsidRPr="00CD3C89">
        <w:t>dosing of proposed dose of 40</w:t>
      </w:r>
      <w:r>
        <w:t>0 µ</w:t>
      </w:r>
      <w:r w:rsidRPr="00CD3C89">
        <w:t xml:space="preserve">g aclidinium </w:t>
      </w:r>
      <w:proofErr w:type="gramStart"/>
      <w:r w:rsidRPr="00CD3C89">
        <w:t>bromide</w:t>
      </w:r>
      <w:proofErr w:type="gramEnd"/>
      <w:r w:rsidRPr="00CD3C89">
        <w:t xml:space="preserve"> which is particularly important considering the fact that 40</w:t>
      </w:r>
      <w:r>
        <w:t>0 µ</w:t>
      </w:r>
      <w:r w:rsidRPr="00CD3C89">
        <w:t xml:space="preserve">g QD showed a clinically relevant improvement in trough FEV1 after 4 weeks treatment in </w:t>
      </w:r>
      <w:r w:rsidRPr="00E15644">
        <w:t>Phase II</w:t>
      </w:r>
      <w:r w:rsidRPr="00CD3C89">
        <w:t xml:space="preserve"> </w:t>
      </w:r>
      <w:r>
        <w:t xml:space="preserve">Study </w:t>
      </w:r>
      <w:r w:rsidRPr="006F2D17">
        <w:t>M/</w:t>
      </w:r>
      <w:r w:rsidR="0003740C">
        <w:t>34273/22.</w:t>
      </w:r>
    </w:p>
    <w:p w:rsidR="00A81517" w:rsidRPr="00CD3C89" w:rsidRDefault="00A81517" w:rsidP="0003740C">
      <w:r w:rsidRPr="00CD3C89">
        <w:t xml:space="preserve">In all three pivotal </w:t>
      </w:r>
      <w:r w:rsidRPr="00E15644">
        <w:t>Phase III</w:t>
      </w:r>
      <w:r>
        <w:t xml:space="preserve"> BD </w:t>
      </w:r>
      <w:r w:rsidRPr="00CD3C89">
        <w:t>studies, a statistically and clinically significant increase from baseline in morning trough FEV1was observed for aclidinium bromide 40</w:t>
      </w:r>
      <w:r>
        <w:t xml:space="preserve">0 µg BD </w:t>
      </w:r>
      <w:r w:rsidRPr="00CD3C89">
        <w:t>compared with placebo. The effect size for the 40</w:t>
      </w:r>
      <w:r>
        <w:t>0 µ</w:t>
      </w:r>
      <w:r w:rsidRPr="00CD3C89">
        <w:t>g twice daily dose ranged from 72 ml to 124 m</w:t>
      </w:r>
      <w:r>
        <w:t>L</w:t>
      </w:r>
      <w:r w:rsidRPr="00CD3C89">
        <w:t xml:space="preserve"> across the three studies at </w:t>
      </w:r>
      <w:r>
        <w:t>W</w:t>
      </w:r>
      <w:r w:rsidRPr="00CD3C89">
        <w:t xml:space="preserve">eek 12, and the treatment effect appeared to persist when assessed at </w:t>
      </w:r>
      <w:r>
        <w:t>W</w:t>
      </w:r>
      <w:r w:rsidRPr="00CD3C89">
        <w:t>eek 24 in Study 34. The 20</w:t>
      </w:r>
      <w:r>
        <w:t>0 µg</w:t>
      </w:r>
      <w:r w:rsidRPr="00CD3C89">
        <w:t xml:space="preserve"> twice daily dose also demonstrated a statistically significant difference from placebo, although the magnitude of the trea</w:t>
      </w:r>
      <w:r>
        <w:t>tment difference was 51 to 86 mL</w:t>
      </w:r>
      <w:r w:rsidRPr="00CD3C89">
        <w:t xml:space="preserve"> which was smaller than the effect size observed for the 40</w:t>
      </w:r>
      <w:r>
        <w:t>0 µg</w:t>
      </w:r>
      <w:r w:rsidRPr="00CD3C89">
        <w:t xml:space="preserve"> twice daily dose. Other spirometry based efficacy variables such as peak FEV1 and time profile serial FEV1 curve also support 40</w:t>
      </w:r>
      <w:r>
        <w:t>0 µ</w:t>
      </w:r>
      <w:r w:rsidRPr="00CD3C89">
        <w:t>g twice daily as the appropriate bronchodilator dose for aclidinium bromide. The change from baseline in the SGRQ total symptom score was assessed as another efficacy variable in the three confirmatory studies. Greater decreases in total score were observed for aclidinium bromide compared to placebo and were generally supportive of efficacy but only Study 34 demonstrated a treatment difference between the 40</w:t>
      </w:r>
      <w:r>
        <w:t>0 µ</w:t>
      </w:r>
      <w:r w:rsidRPr="00CD3C89">
        <w:t>g twice daily dose and placebo that exceeded the minimum clinical important difference (MCID) threshold of a 4</w:t>
      </w:r>
      <w:r>
        <w:t xml:space="preserve"> </w:t>
      </w:r>
      <w:r w:rsidRPr="00CD3C89">
        <w:t>unit change</w:t>
      </w:r>
      <w:r w:rsidR="0003740C">
        <w:t>.</w:t>
      </w:r>
    </w:p>
    <w:p w:rsidR="00A81517" w:rsidRPr="0003740C" w:rsidRDefault="00A81517" w:rsidP="0003740C">
      <w:pPr>
        <w:pStyle w:val="Heading4"/>
      </w:pPr>
      <w:r w:rsidRPr="00CD3C89">
        <w:t>Limitations of data submitted</w:t>
      </w:r>
    </w:p>
    <w:p w:rsidR="00A81517" w:rsidRPr="00CD3C89" w:rsidRDefault="00A81517" w:rsidP="0003740C">
      <w:r w:rsidRPr="00CD3C89">
        <w:t>There was no study directly comparing QD and</w:t>
      </w:r>
      <w:r>
        <w:t xml:space="preserve"> BD </w:t>
      </w:r>
      <w:r w:rsidRPr="00CD3C89">
        <w:t>dosing with proposed dose of 40</w:t>
      </w:r>
      <w:r>
        <w:t>0 µ</w:t>
      </w:r>
      <w:r w:rsidRPr="00CD3C89">
        <w:t xml:space="preserve">g aclidinium </w:t>
      </w:r>
      <w:proofErr w:type="gramStart"/>
      <w:r w:rsidRPr="00CD3C89">
        <w:t>bromide</w:t>
      </w:r>
      <w:proofErr w:type="gramEnd"/>
      <w:r w:rsidRPr="00CD3C89">
        <w:t xml:space="preserve"> which is particularly important considering the fact that 40</w:t>
      </w:r>
      <w:r>
        <w:t>0 µ</w:t>
      </w:r>
      <w:r w:rsidRPr="00CD3C89">
        <w:t xml:space="preserve">g QD showed a clinically relevant improvement in trough FEV1 after 4 weeks treatment in </w:t>
      </w:r>
      <w:r w:rsidRPr="00E15644">
        <w:t>Phase II</w:t>
      </w:r>
      <w:r w:rsidRPr="00CD3C89">
        <w:t xml:space="preserve"> </w:t>
      </w:r>
      <w:r>
        <w:t xml:space="preserve">Study </w:t>
      </w:r>
      <w:r w:rsidRPr="006F2D17">
        <w:t>M/</w:t>
      </w:r>
      <w:r w:rsidR="0003740C">
        <w:t>34273/22.</w:t>
      </w:r>
    </w:p>
    <w:p w:rsidR="00A81517" w:rsidRPr="00586F98" w:rsidRDefault="00A81517" w:rsidP="0003740C">
      <w:pPr>
        <w:rPr>
          <w:lang w:eastAsia="ja-JP"/>
        </w:rPr>
      </w:pPr>
      <w:r w:rsidRPr="00CD3C89">
        <w:t xml:space="preserve">Change in smoking status, tobacco exposure and use of nicotine replacement therapy (as an aid to smoking cessation) </w:t>
      </w:r>
      <w:r w:rsidR="003C0BF8">
        <w:t>were</w:t>
      </w:r>
      <w:r w:rsidR="003C0BF8" w:rsidRPr="00CD3C89">
        <w:t xml:space="preserve"> </w:t>
      </w:r>
      <w:r w:rsidRPr="00CD3C89">
        <w:t>not recorded in the pivotal studies and its potential effect on efficacy outcomes was not evaluated.</w:t>
      </w:r>
    </w:p>
    <w:p w:rsidR="008E7846" w:rsidRPr="000E5DAC" w:rsidRDefault="008E7846" w:rsidP="000E5DAC">
      <w:pPr>
        <w:pStyle w:val="Heading3"/>
      </w:pPr>
      <w:bookmarkStart w:id="88" w:name="_Toc163441378"/>
      <w:bookmarkStart w:id="89" w:name="_Toc196046495"/>
      <w:bookmarkStart w:id="90" w:name="_Toc247691522"/>
      <w:bookmarkStart w:id="91" w:name="_Toc314842505"/>
      <w:bookmarkStart w:id="92" w:name="_Toc400115421"/>
      <w:bookmarkEnd w:id="84"/>
      <w:bookmarkEnd w:id="85"/>
      <w:bookmarkEnd w:id="86"/>
      <w:bookmarkEnd w:id="87"/>
      <w:r w:rsidRPr="002E238E">
        <w:t>Safety</w:t>
      </w:r>
      <w:bookmarkEnd w:id="88"/>
      <w:bookmarkEnd w:id="89"/>
      <w:bookmarkEnd w:id="90"/>
      <w:bookmarkEnd w:id="91"/>
      <w:bookmarkEnd w:id="92"/>
    </w:p>
    <w:p w:rsidR="00605AD4" w:rsidRPr="000E5DAC" w:rsidRDefault="00605AD4" w:rsidP="000E5DAC">
      <w:pPr>
        <w:pStyle w:val="Heading4"/>
      </w:pPr>
      <w:bookmarkStart w:id="93" w:name="_Toc247691524"/>
      <w:bookmarkStart w:id="94" w:name="_Toc314842508"/>
      <w:bookmarkStart w:id="95" w:name="_Toc196046504"/>
      <w:bookmarkStart w:id="96" w:name="_Toc163441390"/>
      <w:r w:rsidRPr="00605AD4">
        <w:t>Studies providing safety data</w:t>
      </w:r>
    </w:p>
    <w:p w:rsidR="00A81517" w:rsidRDefault="00A81517" w:rsidP="000E5DAC">
      <w:bookmarkStart w:id="97" w:name="_Ref268776745"/>
      <w:r w:rsidRPr="009E0389">
        <w:t xml:space="preserve">Two separate clinical development </w:t>
      </w:r>
      <w:r>
        <w:t>program</w:t>
      </w:r>
      <w:r w:rsidRPr="009E0389">
        <w:t xml:space="preserve">s of aclidinium bromide were conducted between 2000 and 2011, both in patients with moderate to severe COPD. The latter development </w:t>
      </w:r>
      <w:r>
        <w:t>program</w:t>
      </w:r>
      <w:r w:rsidRPr="009E0389">
        <w:t xml:space="preserve"> investigated the efficacy and safety of aclidinium bromide</w:t>
      </w:r>
      <w:r>
        <w:t xml:space="preserve"> BD </w:t>
      </w:r>
      <w:r w:rsidRPr="00F27942">
        <w:t xml:space="preserve">(Figure </w:t>
      </w:r>
      <w:r w:rsidR="00F27942" w:rsidRPr="00F27942">
        <w:t>3</w:t>
      </w:r>
      <w:r w:rsidRPr="00F27942">
        <w:t xml:space="preserve">) while the earlier program investigated the efficacy and safety of aclidinium bromide 200 µg QD (Figure </w:t>
      </w:r>
      <w:r w:rsidR="00F27942" w:rsidRPr="00F27942">
        <w:t>4</w:t>
      </w:r>
      <w:r w:rsidRPr="00F27942">
        <w:t>). Both</w:t>
      </w:r>
      <w:r w:rsidRPr="009E0389">
        <w:t xml:space="preserve"> </w:t>
      </w:r>
      <w:r>
        <w:t>program</w:t>
      </w:r>
      <w:r w:rsidRPr="009E0389">
        <w:t>s also included Phase</w:t>
      </w:r>
      <w:r w:rsidR="000E5DAC">
        <w:t xml:space="preserve"> I studies in healthy subjects.</w:t>
      </w:r>
    </w:p>
    <w:p w:rsidR="00A81517" w:rsidRPr="000E5DAC" w:rsidRDefault="00A81517" w:rsidP="000E5DAC">
      <w:pPr>
        <w:pStyle w:val="FigureTitle"/>
      </w:pPr>
      <w:proofErr w:type="gramStart"/>
      <w:r>
        <w:t xml:space="preserve">Figure </w:t>
      </w:r>
      <w:r w:rsidR="00F27942">
        <w:t>3.</w:t>
      </w:r>
      <w:proofErr w:type="gramEnd"/>
      <w:r w:rsidR="00F27942">
        <w:t xml:space="preserve"> </w:t>
      </w:r>
      <w:r>
        <w:t>Overview of aclidinium bromide BD clinical program</w:t>
      </w:r>
    </w:p>
    <w:p w:rsidR="00A81517" w:rsidRDefault="00A81517" w:rsidP="000E5DAC">
      <w:pPr>
        <w:rPr>
          <w:rFonts w:eastAsia="Calibri" w:cs="TimesNewRomanPSMT"/>
        </w:rPr>
      </w:pPr>
      <w:r>
        <w:rPr>
          <w:noProof/>
          <w:lang w:eastAsia="en-AU"/>
        </w:rPr>
        <w:drawing>
          <wp:inline distT="0" distB="0" distL="0" distR="0" wp14:anchorId="2577067F" wp14:editId="6240F453">
            <wp:extent cx="5625922" cy="3267075"/>
            <wp:effectExtent l="0" t="0" r="0" b="0"/>
            <wp:docPr id="34" name="Picture 34" descr="Figure 3. Overview of aclidinium bromide BD clinic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17"/>
                    <a:stretch/>
                  </pic:blipFill>
                  <pic:spPr bwMode="auto">
                    <a:xfrm>
                      <a:off x="0" y="0"/>
                      <a:ext cx="5629999" cy="3269442"/>
                    </a:xfrm>
                    <a:prstGeom prst="rect">
                      <a:avLst/>
                    </a:prstGeom>
                    <a:noFill/>
                    <a:ln>
                      <a:noFill/>
                    </a:ln>
                    <a:extLst>
                      <a:ext uri="{53640926-AAD7-44D8-BBD7-CCE9431645EC}">
                        <a14:shadowObscured xmlns:a14="http://schemas.microsoft.com/office/drawing/2010/main"/>
                      </a:ext>
                    </a:extLst>
                  </pic:spPr>
                </pic:pic>
              </a:graphicData>
            </a:graphic>
          </wp:inline>
        </w:drawing>
      </w:r>
    </w:p>
    <w:p w:rsidR="00A81517" w:rsidRPr="000E5DAC" w:rsidRDefault="00593F73" w:rsidP="000E5DAC">
      <w:pPr>
        <w:pStyle w:val="FigureTitle"/>
      </w:pPr>
      <w:proofErr w:type="gramStart"/>
      <w:r>
        <w:t>Figure</w:t>
      </w:r>
      <w:r w:rsidR="00F27942">
        <w:t xml:space="preserve">  4</w:t>
      </w:r>
      <w:proofErr w:type="gramEnd"/>
      <w:r>
        <w:t>.</w:t>
      </w:r>
      <w:r w:rsidR="005A7940">
        <w:t xml:space="preserve"> </w:t>
      </w:r>
      <w:r w:rsidR="00A81517">
        <w:t>Overview of aclidinium bromide QD clinical program</w:t>
      </w:r>
    </w:p>
    <w:p w:rsidR="00A81517" w:rsidRPr="009E0389" w:rsidRDefault="00A81517" w:rsidP="000E5DAC">
      <w:pPr>
        <w:rPr>
          <w:rFonts w:eastAsia="Calibri" w:cs="TimesNewRomanPSMT"/>
        </w:rPr>
      </w:pPr>
      <w:r>
        <w:rPr>
          <w:noProof/>
          <w:lang w:eastAsia="en-AU"/>
        </w:rPr>
        <w:drawing>
          <wp:inline distT="0" distB="0" distL="0" distR="0" wp14:anchorId="70EA0B36" wp14:editId="5DBD0882">
            <wp:extent cx="5589223" cy="4714875"/>
            <wp:effectExtent l="0" t="0" r="0" b="0"/>
            <wp:docPr id="46" name="Picture 46" descr="Figure  4.Overview of aclidinium bromide QD clinic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026"/>
                    <a:stretch/>
                  </pic:blipFill>
                  <pic:spPr bwMode="auto">
                    <a:xfrm>
                      <a:off x="0" y="0"/>
                      <a:ext cx="5590653" cy="4716082"/>
                    </a:xfrm>
                    <a:prstGeom prst="rect">
                      <a:avLst/>
                    </a:prstGeom>
                    <a:noFill/>
                    <a:ln>
                      <a:noFill/>
                    </a:ln>
                    <a:extLst>
                      <a:ext uri="{53640926-AAD7-44D8-BBD7-CCE9431645EC}">
                        <a14:shadowObscured xmlns:a14="http://schemas.microsoft.com/office/drawing/2010/main"/>
                      </a:ext>
                    </a:extLst>
                  </pic:spPr>
                </pic:pic>
              </a:graphicData>
            </a:graphic>
          </wp:inline>
        </w:drawing>
      </w:r>
    </w:p>
    <w:bookmarkEnd w:id="97"/>
    <w:p w:rsidR="00A81517" w:rsidRDefault="00A81517" w:rsidP="000E5DAC">
      <w:r w:rsidRPr="009E0389">
        <w:t>The primary evidence of the safety of aclidinium bromide</w:t>
      </w:r>
      <w:r>
        <w:t xml:space="preserve"> BD </w:t>
      </w:r>
      <w:r w:rsidRPr="009E0389">
        <w:t xml:space="preserve">is derived from the pooled analysis of the 3 </w:t>
      </w:r>
      <w:r>
        <w:t>double blind</w:t>
      </w:r>
      <w:r w:rsidRPr="009E0389">
        <w:t xml:space="preserve">, </w:t>
      </w:r>
      <w:r>
        <w:t>placebo controlled</w:t>
      </w:r>
      <w:r w:rsidRPr="009E0389">
        <w:t>, parallel-group Phase III studies, (</w:t>
      </w:r>
      <w:r w:rsidRPr="006F2D17">
        <w:rPr>
          <w:rFonts w:cs="TimesNewRomanPS-BoldMT"/>
          <w:bCs/>
        </w:rPr>
        <w:t>M/</w:t>
      </w:r>
      <w:r w:rsidRPr="003B2EC6">
        <w:rPr>
          <w:rFonts w:cs="TimesNewRomanPS-BoldMT"/>
          <w:bCs/>
        </w:rPr>
        <w:t xml:space="preserve">34274/34, LAS-MD-33, </w:t>
      </w:r>
      <w:r w:rsidRPr="003B2EC6">
        <w:t xml:space="preserve">and </w:t>
      </w:r>
      <w:r w:rsidRPr="003B2EC6">
        <w:rPr>
          <w:rFonts w:cs="TimesNewRomanPS-BoldMT"/>
          <w:bCs/>
        </w:rPr>
        <w:t>LAS-MD-38 Part A</w:t>
      </w:r>
      <w:r w:rsidRPr="003B2EC6">
        <w:rPr>
          <w:color w:val="000000"/>
        </w:rPr>
        <w:t xml:space="preserve"> referred to as “Pivotal Study Population” or BD Group 1A) conducted in patients with moderate to severe COPD. This Population was chosen for the primary evaluation of safety as the study designs were similar with all three studies being placebo controlled. </w:t>
      </w:r>
      <w:r w:rsidRPr="003B2EC6">
        <w:t>Supportive evidence of safety is based on the pooled data from the 3 long term safety studies (</w:t>
      </w:r>
      <w:r w:rsidRPr="003B2EC6">
        <w:rPr>
          <w:rFonts w:cs="TimesNewRomanPS-BoldMT"/>
          <w:bCs/>
        </w:rPr>
        <w:t xml:space="preserve">LAS-MD-33 </w:t>
      </w:r>
      <w:r w:rsidRPr="003B2EC6">
        <w:t xml:space="preserve">and </w:t>
      </w:r>
      <w:r w:rsidRPr="003B2EC6">
        <w:rPr>
          <w:rFonts w:cs="TimesNewRomanPS-BoldMT"/>
          <w:bCs/>
        </w:rPr>
        <w:t xml:space="preserve">LAS-MD-36 </w:t>
      </w:r>
      <w:r w:rsidRPr="003B2EC6">
        <w:t xml:space="preserve">combined; </w:t>
      </w:r>
      <w:r w:rsidRPr="003B2EC6">
        <w:rPr>
          <w:rFonts w:cs="TimesNewRomanPS-BoldMT"/>
          <w:bCs/>
        </w:rPr>
        <w:t xml:space="preserve">LAS-MD-38 Part A and Part B </w:t>
      </w:r>
      <w:r w:rsidRPr="003B2EC6">
        <w:t xml:space="preserve">combined, and </w:t>
      </w:r>
      <w:r w:rsidRPr="003B2EC6">
        <w:rPr>
          <w:rFonts w:cs="TimesNewRomanPS-BoldMT"/>
          <w:bCs/>
        </w:rPr>
        <w:t>LAS-MD-35)</w:t>
      </w:r>
      <w:r w:rsidRPr="003B2EC6">
        <w:t xml:space="preserve"> referred to “Long-term Study Population” of BD</w:t>
      </w:r>
      <w:r w:rsidR="00F27942" w:rsidRPr="003B2EC6">
        <w:t xml:space="preserve"> </w:t>
      </w:r>
      <w:r w:rsidRPr="003B2EC6">
        <w:t xml:space="preserve">Group 1B (Figure </w:t>
      </w:r>
      <w:r w:rsidR="00911E72" w:rsidRPr="003B2EC6">
        <w:t>5</w:t>
      </w:r>
      <w:r w:rsidRPr="003B2EC6">
        <w:t xml:space="preserve">). </w:t>
      </w:r>
      <w:r w:rsidRPr="003B2EC6">
        <w:rPr>
          <w:color w:val="000000"/>
        </w:rPr>
        <w:t xml:space="preserve">Additional supportive data from the BD clinical program is provided by a single completed Phase I, single-blind, placebo controlled, parallel </w:t>
      </w:r>
      <w:r w:rsidRPr="003B2EC6">
        <w:t>group, dose-escalation, safety, tolerability and PK study (</w:t>
      </w:r>
      <w:r w:rsidRPr="003B2EC6">
        <w:rPr>
          <w:rFonts w:cs="TimesNewRomanPS-BoldMT"/>
          <w:bCs/>
        </w:rPr>
        <w:t>LAS-PK-12</w:t>
      </w:r>
      <w:r w:rsidRPr="003B2EC6">
        <w:t>)</w:t>
      </w:r>
      <w:r w:rsidRPr="009E0389">
        <w:t xml:space="preserve"> conducted in 30 healthy volunteers.</w:t>
      </w:r>
      <w:r>
        <w:t xml:space="preserve"> </w:t>
      </w:r>
      <w:r w:rsidRPr="009E0389">
        <w:t>The size of the safety database is adequate.</w:t>
      </w:r>
    </w:p>
    <w:p w:rsidR="00911E72" w:rsidRPr="009E0389" w:rsidRDefault="00911E72" w:rsidP="000E5DAC">
      <w:pPr>
        <w:pStyle w:val="FigureTitle"/>
      </w:pPr>
      <w:bookmarkStart w:id="98" w:name="_Toc370463183"/>
      <w:proofErr w:type="gramStart"/>
      <w:r w:rsidRPr="009E0389">
        <w:t>Figure</w:t>
      </w:r>
      <w:r>
        <w:t xml:space="preserve"> 5</w:t>
      </w:r>
      <w:bookmarkEnd w:id="98"/>
      <w:r>
        <w:t>.</w:t>
      </w:r>
      <w:proofErr w:type="gramEnd"/>
      <w:r>
        <w:t xml:space="preserve"> Study </w:t>
      </w:r>
      <w:r w:rsidRPr="000E5DAC">
        <w:t>groupings</w:t>
      </w:r>
      <w:r>
        <w:t xml:space="preserve"> for the </w:t>
      </w:r>
      <w:proofErr w:type="gramStart"/>
      <w:r>
        <w:t>Integrated</w:t>
      </w:r>
      <w:proofErr w:type="gramEnd"/>
      <w:r>
        <w:t xml:space="preserve"> summary of safety</w:t>
      </w:r>
    </w:p>
    <w:p w:rsidR="00911E72" w:rsidRDefault="00911E72" w:rsidP="000E5DAC">
      <w:r>
        <w:rPr>
          <w:noProof/>
          <w:lang w:eastAsia="en-AU"/>
        </w:rPr>
        <w:drawing>
          <wp:inline distT="0" distB="0" distL="0" distR="0" wp14:anchorId="37FC40AA" wp14:editId="634980A3">
            <wp:extent cx="5167492" cy="4972050"/>
            <wp:effectExtent l="0" t="0" r="0" b="0"/>
            <wp:docPr id="5" name="Picture 5" descr="Figure 5. Study groupings for the Integrated summary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grayscl/>
                      <a:extLst>
                        <a:ext uri="{28A0092B-C50C-407E-A947-70E740481C1C}">
                          <a14:useLocalDpi xmlns:a14="http://schemas.microsoft.com/office/drawing/2010/main" val="0"/>
                        </a:ext>
                      </a:extLst>
                    </a:blip>
                    <a:srcRect t="9749"/>
                    <a:stretch/>
                  </pic:blipFill>
                  <pic:spPr bwMode="auto">
                    <a:xfrm>
                      <a:off x="0" y="0"/>
                      <a:ext cx="5180262" cy="4984337"/>
                    </a:xfrm>
                    <a:prstGeom prst="rect">
                      <a:avLst/>
                    </a:prstGeom>
                    <a:noFill/>
                    <a:ln>
                      <a:noFill/>
                    </a:ln>
                    <a:extLst>
                      <a:ext uri="{53640926-AAD7-44D8-BBD7-CCE9431645EC}">
                        <a14:shadowObscured xmlns:a14="http://schemas.microsoft.com/office/drawing/2010/main"/>
                      </a:ext>
                    </a:extLst>
                  </pic:spPr>
                </pic:pic>
              </a:graphicData>
            </a:graphic>
          </wp:inline>
        </w:drawing>
      </w:r>
    </w:p>
    <w:p w:rsidR="00605AD4" w:rsidRPr="000E5DAC" w:rsidRDefault="00605AD4" w:rsidP="000E5DAC">
      <w:pPr>
        <w:pStyle w:val="Heading4"/>
      </w:pPr>
      <w:r w:rsidRPr="00605AD4">
        <w:t>Patient exposure</w:t>
      </w:r>
    </w:p>
    <w:p w:rsidR="00A81517" w:rsidRPr="00593F73" w:rsidRDefault="00A81517" w:rsidP="000E5DAC">
      <w:r w:rsidRPr="009E0389">
        <w:t xml:space="preserve">Overall, inhaled </w:t>
      </w:r>
      <w:proofErr w:type="spellStart"/>
      <w:r w:rsidRPr="009E0389">
        <w:t>aclidinium</w:t>
      </w:r>
      <w:proofErr w:type="spellEnd"/>
      <w:r w:rsidRPr="009E0389">
        <w:t xml:space="preserve"> bromide (at any dose and dose regimen) has been evaluated in 234</w:t>
      </w:r>
      <w:r w:rsidRPr="009E0389">
        <w:rPr>
          <w:rFonts w:cs="TimesNewRomanPS-BoldMT"/>
          <w:bCs/>
        </w:rPr>
        <w:t xml:space="preserve">1 </w:t>
      </w:r>
      <w:r w:rsidRPr="009E0389">
        <w:t>healthy adult subjects and 4344</w:t>
      </w:r>
      <w:r w:rsidRPr="009E0389">
        <w:rPr>
          <w:rFonts w:cs="TimesNewRomanPS-BoldMT"/>
          <w:b/>
          <w:bCs/>
        </w:rPr>
        <w:t xml:space="preserve"> </w:t>
      </w:r>
      <w:r w:rsidRPr="009E0389">
        <w:t xml:space="preserve">patients with COPD. A total 2879 COPD patients were treated in clinical trials of aclidinium bromide </w:t>
      </w:r>
      <w:r w:rsidRPr="007B5D9C">
        <w:t>BD</w:t>
      </w:r>
      <w:r w:rsidRPr="009E0389">
        <w:t xml:space="preserve">. Of these, 2419 patients received at least one dose of aclidinium bromide </w:t>
      </w:r>
      <w:r w:rsidRPr="007B5D9C">
        <w:t>BD</w:t>
      </w:r>
      <w:r w:rsidRPr="009E0389">
        <w:t>. Of the 1471</w:t>
      </w:r>
      <w:r w:rsidRPr="009E0389">
        <w:rPr>
          <w:rFonts w:cs="TimesNewRomanPS-BoldMT"/>
          <w:b/>
          <w:bCs/>
        </w:rPr>
        <w:t xml:space="preserve"> </w:t>
      </w:r>
      <w:r w:rsidRPr="009E0389">
        <w:t>patients treated with proposed dose of aclidinium bromide 40</w:t>
      </w:r>
      <w:r>
        <w:t>0 µ</w:t>
      </w:r>
      <w:r w:rsidRPr="009E0389">
        <w:t>g, 970</w:t>
      </w:r>
      <w:r w:rsidRPr="009E0389">
        <w:rPr>
          <w:rFonts w:cs="TimesNewRomanPS-BoldMT"/>
          <w:b/>
          <w:bCs/>
        </w:rPr>
        <w:t xml:space="preserve"> </w:t>
      </w:r>
      <w:r w:rsidRPr="009E0389">
        <w:t>patients were treated for at least 6 months and 387</w:t>
      </w:r>
      <w:r w:rsidRPr="009E0389">
        <w:rPr>
          <w:rFonts w:cs="TimesNewRomanPS-BoldMT"/>
          <w:b/>
          <w:bCs/>
        </w:rPr>
        <w:t xml:space="preserve"> </w:t>
      </w:r>
      <w:r w:rsidRPr="009E0389">
        <w:t>patients were treated for at least one</w:t>
      </w:r>
      <w:r>
        <w:t xml:space="preserve"> </w:t>
      </w:r>
      <w:r w:rsidRPr="009E0389">
        <w:t xml:space="preserve">year. The extent of exposure at the time of submission meets the minimum of number of patients required for safety evaluation by </w:t>
      </w:r>
      <w:r>
        <w:t xml:space="preserve">the relevant by the International Conference </w:t>
      </w:r>
      <w:r w:rsidR="00E74309">
        <w:t>o</w:t>
      </w:r>
      <w:r>
        <w:t xml:space="preserve">n Harmonisation </w:t>
      </w:r>
      <w:r w:rsidR="00E74309">
        <w:t>o</w:t>
      </w:r>
      <w:r>
        <w:t xml:space="preserve">f Technical Requirements </w:t>
      </w:r>
      <w:r w:rsidR="00E74309">
        <w:t>f</w:t>
      </w:r>
      <w:r>
        <w:t xml:space="preserve">or Registration </w:t>
      </w:r>
      <w:r w:rsidR="00E74309">
        <w:t>o</w:t>
      </w:r>
      <w:r>
        <w:t xml:space="preserve">f Pharmaceuticals </w:t>
      </w:r>
      <w:r w:rsidR="00E74309">
        <w:t>f</w:t>
      </w:r>
      <w:r>
        <w:t>or Human Use Guideline</w:t>
      </w:r>
      <w:r w:rsidRPr="009E0389">
        <w:t>.</w:t>
      </w:r>
      <w:bookmarkStart w:id="99" w:name="_Ref391983294"/>
      <w:r>
        <w:rPr>
          <w:rStyle w:val="FootnoteReference"/>
          <w:rFonts w:eastAsia="Calibri" w:cs="TimesNewRomanPSMT"/>
        </w:rPr>
        <w:footnoteReference w:id="19"/>
      </w:r>
      <w:bookmarkEnd w:id="99"/>
      <w:r w:rsidRPr="009E0389">
        <w:t xml:space="preserve"> Additionally, a total of 2568</w:t>
      </w:r>
      <w:r w:rsidRPr="009E0389">
        <w:rPr>
          <w:rFonts w:cs="TimesNewRomanPS-BoldMT"/>
          <w:b/>
          <w:bCs/>
        </w:rPr>
        <w:t xml:space="preserve"> </w:t>
      </w:r>
      <w:r w:rsidRPr="009E0389">
        <w:t>COPD patients were included in studies of aclidinium bromide QD of whom 1925</w:t>
      </w:r>
      <w:r w:rsidRPr="009E0389">
        <w:rPr>
          <w:rFonts w:cs="TimesNewRomanPS-BoldMT"/>
          <w:b/>
          <w:bCs/>
        </w:rPr>
        <w:t xml:space="preserve"> </w:t>
      </w:r>
      <w:r w:rsidRPr="009E0389">
        <w:t>patients received aclidinium bromide QD for at least one day; 1066 patients received aclidinium bromide 20</w:t>
      </w:r>
      <w:r>
        <w:t>0 µ</w:t>
      </w:r>
      <w:r w:rsidRPr="009E0389">
        <w:t>g QD for at least 6 months and 767</w:t>
      </w:r>
      <w:r w:rsidRPr="009E0389">
        <w:rPr>
          <w:rFonts w:cs="TimesNewRomanPS-BoldMT"/>
          <w:b/>
          <w:bCs/>
        </w:rPr>
        <w:t xml:space="preserve"> </w:t>
      </w:r>
      <w:r w:rsidRPr="009E0389">
        <w:t>patients received aclidinium bromide 20</w:t>
      </w:r>
      <w:r>
        <w:t>0 µ</w:t>
      </w:r>
      <w:r w:rsidRPr="009E0389">
        <w:t xml:space="preserve">g QD for one </w:t>
      </w:r>
      <w:r w:rsidRPr="00593F73">
        <w:t xml:space="preserve">year (Table </w:t>
      </w:r>
      <w:r w:rsidR="00145C30">
        <w:t>7</w:t>
      </w:r>
      <w:r w:rsidRPr="00593F73">
        <w:t>).</w:t>
      </w:r>
    </w:p>
    <w:p w:rsidR="00A81517" w:rsidRPr="000E5DAC" w:rsidRDefault="00A81517" w:rsidP="000E5DAC">
      <w:pPr>
        <w:pStyle w:val="TableTitle"/>
      </w:pPr>
      <w:proofErr w:type="gramStart"/>
      <w:r>
        <w:t xml:space="preserve">Table </w:t>
      </w:r>
      <w:r w:rsidR="00145C30">
        <w:t>7</w:t>
      </w:r>
      <w:r w:rsidR="00593F73">
        <w:t>.</w:t>
      </w:r>
      <w:proofErr w:type="gramEnd"/>
      <w:r w:rsidR="00593F73">
        <w:t xml:space="preserve"> </w:t>
      </w:r>
      <w:proofErr w:type="gramStart"/>
      <w:r>
        <w:t>Extent of exposure to aclidinium bromide in patients with COPD.</w:t>
      </w:r>
      <w:proofErr w:type="gramEnd"/>
      <w:r>
        <w:t xml:space="preserve"> </w:t>
      </w:r>
      <w:proofErr w:type="gramStart"/>
      <w:r>
        <w:t>Twice daily and once daily admini</w:t>
      </w:r>
      <w:r w:rsidR="00593F73">
        <w:t>s</w:t>
      </w:r>
      <w:r>
        <w:t>trat</w:t>
      </w:r>
      <w:r w:rsidR="00593F73">
        <w:t>i</w:t>
      </w:r>
      <w:r>
        <w:t>on.</w:t>
      </w:r>
      <w:proofErr w:type="gramEnd"/>
    </w:p>
    <w:p w:rsidR="00A81517" w:rsidRPr="009E0389" w:rsidRDefault="00A81517" w:rsidP="000E5DAC">
      <w:pPr>
        <w:rPr>
          <w:rFonts w:eastAsia="Calibri" w:cs="TimesNewRomanPSMT"/>
        </w:rPr>
      </w:pPr>
      <w:r>
        <w:rPr>
          <w:noProof/>
          <w:lang w:eastAsia="en-AU"/>
        </w:rPr>
        <w:drawing>
          <wp:inline distT="0" distB="0" distL="0" distR="0" wp14:anchorId="15D8E6FA" wp14:editId="3D21BEAA">
            <wp:extent cx="5439881" cy="5543550"/>
            <wp:effectExtent l="0" t="0" r="0" b="0"/>
            <wp:docPr id="47" name="Picture 47" descr="Table 7. Extent of exposure to aclidinium bromide in patients with COPD. Twice daily and once daily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052"/>
                    <a:stretch/>
                  </pic:blipFill>
                  <pic:spPr bwMode="auto">
                    <a:xfrm>
                      <a:off x="0" y="0"/>
                      <a:ext cx="5441088" cy="5544780"/>
                    </a:xfrm>
                    <a:prstGeom prst="rect">
                      <a:avLst/>
                    </a:prstGeom>
                    <a:noFill/>
                    <a:ln>
                      <a:noFill/>
                    </a:ln>
                    <a:extLst>
                      <a:ext uri="{53640926-AAD7-44D8-BBD7-CCE9431645EC}">
                        <a14:shadowObscured xmlns:a14="http://schemas.microsoft.com/office/drawing/2010/main"/>
                      </a:ext>
                    </a:extLst>
                  </pic:spPr>
                </pic:pic>
              </a:graphicData>
            </a:graphic>
          </wp:inline>
        </w:drawing>
      </w:r>
    </w:p>
    <w:p w:rsidR="00A81517" w:rsidRPr="00D43103" w:rsidRDefault="00A81517" w:rsidP="000E5DAC">
      <w:pPr>
        <w:rPr>
          <w:b/>
        </w:rPr>
      </w:pPr>
      <w:r w:rsidRPr="009E0389">
        <w:t xml:space="preserve">These studies provide safety data from substantial cumulative exposure to aclidinium </w:t>
      </w:r>
      <w:proofErr w:type="gramStart"/>
      <w:r w:rsidRPr="009E0389">
        <w:t>bromide</w:t>
      </w:r>
      <w:proofErr w:type="gramEnd"/>
      <w:r w:rsidRPr="009E0389">
        <w:t xml:space="preserve"> totalling 1394.93 patient-years (PY) in the</w:t>
      </w:r>
      <w:r>
        <w:t xml:space="preserve"> BD program</w:t>
      </w:r>
      <w:r w:rsidRPr="009E0389">
        <w:t xml:space="preserve"> with exposure ranging from 1 week to </w:t>
      </w:r>
      <w:r>
        <w:t>≥</w:t>
      </w:r>
      <w:r w:rsidRPr="009E0389">
        <w:t>357 days (</w:t>
      </w:r>
      <w:r>
        <w:t>≥</w:t>
      </w:r>
      <w:r w:rsidRPr="009E0389">
        <w:t xml:space="preserve">51 weeks) in duration, and 1122.45 patient-years in the QD program. </w:t>
      </w:r>
      <w:r w:rsidRPr="009E0389">
        <w:rPr>
          <w:color w:val="000000"/>
        </w:rPr>
        <w:t>A total of 1921</w:t>
      </w:r>
      <w:r w:rsidRPr="009E0389">
        <w:rPr>
          <w:rFonts w:cs="TimesNewRomanPS-BoldMT"/>
          <w:b/>
          <w:bCs/>
          <w:color w:val="000000"/>
        </w:rPr>
        <w:t xml:space="preserve"> </w:t>
      </w:r>
      <w:r w:rsidRPr="009E0389">
        <w:rPr>
          <w:color w:val="000000"/>
        </w:rPr>
        <w:t>patients were included in the Safety Population of the Pivotal Study Population (</w:t>
      </w:r>
      <w:r w:rsidRPr="007B5D9C">
        <w:rPr>
          <w:color w:val="000000"/>
        </w:rPr>
        <w:t>BD</w:t>
      </w:r>
      <w:r w:rsidRPr="009E0389">
        <w:rPr>
          <w:color w:val="000000"/>
        </w:rPr>
        <w:t xml:space="preserve"> Group 1A) and 1573</w:t>
      </w:r>
      <w:r w:rsidRPr="009E0389">
        <w:rPr>
          <w:rFonts w:cs="TimesNewRomanPS-BoldMT"/>
          <w:b/>
          <w:bCs/>
          <w:color w:val="000000"/>
        </w:rPr>
        <w:t xml:space="preserve"> </w:t>
      </w:r>
      <w:r w:rsidRPr="009E0389">
        <w:rPr>
          <w:color w:val="000000"/>
        </w:rPr>
        <w:t xml:space="preserve">patients were included in the safety population of the Long-Term </w:t>
      </w:r>
      <w:r w:rsidRPr="009E0389">
        <w:t>Study Population (</w:t>
      </w:r>
      <w:r w:rsidRPr="007B5D9C">
        <w:t>BD</w:t>
      </w:r>
      <w:r w:rsidRPr="009E0389">
        <w:t xml:space="preserve"> Group 1B) from which safety data for </w:t>
      </w:r>
      <w:r>
        <w:t>long term</w:t>
      </w:r>
      <w:r w:rsidRPr="009E0389">
        <w:t xml:space="preserve"> exposure to aclidinium bromide is derived</w:t>
      </w:r>
      <w:r w:rsidRPr="009E0389">
        <w:rPr>
          <w:rFonts w:cs="TimesNewRomanPS-BoldMT"/>
          <w:b/>
          <w:bCs/>
        </w:rPr>
        <w:t xml:space="preserve">. </w:t>
      </w:r>
      <w:r w:rsidRPr="009E0389">
        <w:t>It should be noted that 500</w:t>
      </w:r>
      <w:r w:rsidRPr="009E0389">
        <w:rPr>
          <w:rFonts w:cs="TimesNewRomanPS-BoldMT"/>
          <w:b/>
          <w:bCs/>
        </w:rPr>
        <w:t xml:space="preserve"> </w:t>
      </w:r>
      <w:r w:rsidRPr="009E0389">
        <w:t xml:space="preserve">patients who participated in extension studies </w:t>
      </w:r>
      <w:r w:rsidRPr="003B2EC6">
        <w:rPr>
          <w:rFonts w:cs="TimesNewRomanPS-BoldMT"/>
          <w:bCs/>
        </w:rPr>
        <w:t xml:space="preserve">LAS-MD-36 </w:t>
      </w:r>
      <w:r w:rsidRPr="003B2EC6">
        <w:t xml:space="preserve">and </w:t>
      </w:r>
      <w:r w:rsidRPr="003B2EC6">
        <w:rPr>
          <w:rFonts w:cs="TimesNewRomanPS-BoldMT"/>
          <w:bCs/>
        </w:rPr>
        <w:t xml:space="preserve">LAS-MD-38 Part B </w:t>
      </w:r>
      <w:r w:rsidRPr="003B2EC6">
        <w:t xml:space="preserve">and received aclidinium bromide in lead-in studies </w:t>
      </w:r>
      <w:r w:rsidRPr="003B2EC6">
        <w:rPr>
          <w:rFonts w:cs="TimesNewRomanPS-BoldMT"/>
          <w:bCs/>
        </w:rPr>
        <w:t xml:space="preserve">LAS-MD-33 </w:t>
      </w:r>
      <w:r w:rsidRPr="003B2EC6">
        <w:t xml:space="preserve">and </w:t>
      </w:r>
      <w:r w:rsidRPr="003B2EC6">
        <w:rPr>
          <w:rFonts w:cs="TimesNewRomanPS-BoldMT"/>
          <w:bCs/>
        </w:rPr>
        <w:t>LAS-MD-38 Part A</w:t>
      </w:r>
      <w:r w:rsidR="003B2EC6">
        <w:rPr>
          <w:rFonts w:cs="TimesNewRomanPS-BoldMT"/>
          <w:bCs/>
        </w:rPr>
        <w:t>,</w:t>
      </w:r>
      <w:r w:rsidRPr="009E0389">
        <w:rPr>
          <w:rFonts w:cs="TimesNewRomanPS-BoldMT"/>
          <w:b/>
          <w:bCs/>
        </w:rPr>
        <w:t xml:space="preserve"> </w:t>
      </w:r>
      <w:r w:rsidRPr="009E0389">
        <w:t>respectively were included in both the Pivotal Study Population and the Long-Term Study Population. The Phase II Population (</w:t>
      </w:r>
      <w:r w:rsidRPr="007B5D9C">
        <w:t>BD</w:t>
      </w:r>
      <w:r w:rsidRPr="009E0389">
        <w:t xml:space="preserve"> Group 1C) included 300</w:t>
      </w:r>
      <w:r w:rsidRPr="009E0389">
        <w:rPr>
          <w:rFonts w:cs="TimesNewRomanPS-BoldMT"/>
          <w:b/>
          <w:bCs/>
        </w:rPr>
        <w:t xml:space="preserve"> </w:t>
      </w:r>
      <w:r w:rsidRPr="009E0389">
        <w:t>patients who received</w:t>
      </w:r>
      <w:r w:rsidRPr="009E0389">
        <w:rPr>
          <w:color w:val="000000"/>
        </w:rPr>
        <w:t xml:space="preserve"> aclidinium bromide of whom 197</w:t>
      </w:r>
      <w:r w:rsidRPr="009E0389">
        <w:rPr>
          <w:rFonts w:cs="TimesNewRomanPS-BoldMT"/>
          <w:b/>
          <w:bCs/>
          <w:color w:val="000000"/>
        </w:rPr>
        <w:t xml:space="preserve"> </w:t>
      </w:r>
      <w:r w:rsidRPr="009E0389">
        <w:rPr>
          <w:color w:val="000000"/>
        </w:rPr>
        <w:t>received aclidinium bromide 40</w:t>
      </w:r>
      <w:r>
        <w:rPr>
          <w:color w:val="000000"/>
        </w:rPr>
        <w:t>0 µ</w:t>
      </w:r>
      <w:r w:rsidRPr="009E0389">
        <w:rPr>
          <w:color w:val="000000"/>
        </w:rPr>
        <w:t>g, 173</w:t>
      </w:r>
      <w:r w:rsidRPr="009E0389">
        <w:rPr>
          <w:rFonts w:cs="TimesNewRomanPS-BoldMT"/>
          <w:b/>
          <w:bCs/>
          <w:color w:val="000000"/>
        </w:rPr>
        <w:t xml:space="preserve"> </w:t>
      </w:r>
      <w:r w:rsidRPr="009E0389">
        <w:rPr>
          <w:color w:val="000000"/>
        </w:rPr>
        <w:t>received aclidinium bromide 20</w:t>
      </w:r>
      <w:r>
        <w:rPr>
          <w:color w:val="000000"/>
        </w:rPr>
        <w:t>0 µ</w:t>
      </w:r>
      <w:r w:rsidRPr="009E0389">
        <w:rPr>
          <w:color w:val="000000"/>
        </w:rPr>
        <w:t>g, 73</w:t>
      </w:r>
      <w:r w:rsidRPr="009E0389">
        <w:rPr>
          <w:rFonts w:cs="TimesNewRomanPS-BoldMT"/>
          <w:b/>
          <w:bCs/>
          <w:color w:val="000000"/>
        </w:rPr>
        <w:t xml:space="preserve"> </w:t>
      </w:r>
      <w:r w:rsidRPr="009E0389">
        <w:rPr>
          <w:color w:val="000000"/>
        </w:rPr>
        <w:t>received aclidinium bromide 10</w:t>
      </w:r>
      <w:r>
        <w:rPr>
          <w:color w:val="000000"/>
        </w:rPr>
        <w:t>0 µ</w:t>
      </w:r>
      <w:r w:rsidRPr="009E0389">
        <w:rPr>
          <w:color w:val="000000"/>
        </w:rPr>
        <w:t>g and 299</w:t>
      </w:r>
      <w:r w:rsidRPr="009E0389">
        <w:rPr>
          <w:rFonts w:cs="TimesNewRomanPS-BoldMT"/>
          <w:b/>
          <w:bCs/>
          <w:color w:val="000000"/>
        </w:rPr>
        <w:t xml:space="preserve"> </w:t>
      </w:r>
      <w:r w:rsidRPr="009E0389">
        <w:rPr>
          <w:color w:val="000000"/>
        </w:rPr>
        <w:t xml:space="preserve">received placebo. Duration of exposure for all patients in these </w:t>
      </w:r>
      <w:r>
        <w:rPr>
          <w:color w:val="000000"/>
        </w:rPr>
        <w:t>short term</w:t>
      </w:r>
      <w:r w:rsidRPr="009E0389">
        <w:rPr>
          <w:color w:val="000000"/>
        </w:rPr>
        <w:t xml:space="preserve"> cross-over studies (</w:t>
      </w:r>
      <w:r w:rsidRPr="007B5D9C">
        <w:rPr>
          <w:color w:val="000000"/>
        </w:rPr>
        <w:t>BD</w:t>
      </w:r>
      <w:r w:rsidRPr="009E0389">
        <w:rPr>
          <w:color w:val="000000"/>
        </w:rPr>
        <w:t xml:space="preserve"> Group 1C) was up to 2 weeks</w:t>
      </w:r>
      <w:r>
        <w:rPr>
          <w:color w:val="000000"/>
        </w:rPr>
        <w:t xml:space="preserve"> and</w:t>
      </w:r>
      <w:r w:rsidRPr="009E0389">
        <w:rPr>
          <w:color w:val="000000"/>
        </w:rPr>
        <w:t xml:space="preserve"> 74</w:t>
      </w:r>
      <w:r w:rsidRPr="009E0389">
        <w:rPr>
          <w:rFonts w:cs="TimesNewRomanPS-BoldMT"/>
          <w:b/>
          <w:bCs/>
          <w:color w:val="000000"/>
        </w:rPr>
        <w:t xml:space="preserve"> </w:t>
      </w:r>
      <w:r w:rsidRPr="009E0389">
        <w:rPr>
          <w:color w:val="000000"/>
        </w:rPr>
        <w:t xml:space="preserve">patients received at least 3 weeks treatment with aclidinium bromide. </w:t>
      </w:r>
      <w:r w:rsidRPr="009E0389">
        <w:t>In general, extent of exposure by subgroup was balanced across treatment groups with the exception of subgroups of patients with severe/very severe COPD and patients aged 70 years or older who showed higher exposure to aclidinium bromide, in particular to aclidinium bromide 40</w:t>
      </w:r>
      <w:r>
        <w:t>0 µ</w:t>
      </w:r>
      <w:r w:rsidRPr="009E0389">
        <w:t xml:space="preserve">g, than </w:t>
      </w:r>
      <w:r w:rsidRPr="00D43103">
        <w:t>to placebo</w:t>
      </w:r>
      <w:r w:rsidR="00D43103" w:rsidRPr="00D43103">
        <w:t>.</w:t>
      </w:r>
    </w:p>
    <w:p w:rsidR="00605AD4" w:rsidRPr="00605AD4" w:rsidRDefault="00605AD4" w:rsidP="000E5DAC">
      <w:pPr>
        <w:pStyle w:val="Heading3"/>
      </w:pPr>
      <w:bookmarkStart w:id="100" w:name="_Toc400115422"/>
      <w:r w:rsidRPr="00D43103">
        <w:t xml:space="preserve">Safety issues with the potential for major regulatory </w:t>
      </w:r>
      <w:r w:rsidRPr="000E5DAC">
        <w:t>impact</w:t>
      </w:r>
      <w:bookmarkEnd w:id="100"/>
    </w:p>
    <w:p w:rsidR="00605AD4" w:rsidRPr="000E5DAC" w:rsidRDefault="00605AD4" w:rsidP="000E5DAC">
      <w:pPr>
        <w:pStyle w:val="Heading4"/>
      </w:pPr>
      <w:proofErr w:type="spellStart"/>
      <w:r w:rsidRPr="00605AD4">
        <w:t>Postmarketing</w:t>
      </w:r>
      <w:proofErr w:type="spellEnd"/>
      <w:r w:rsidRPr="00605AD4">
        <w:t xml:space="preserve"> data</w:t>
      </w:r>
    </w:p>
    <w:p w:rsidR="00A81517" w:rsidRPr="009E0389" w:rsidRDefault="00A81517" w:rsidP="000E5DAC">
      <w:pPr>
        <w:pStyle w:val="Heading5"/>
      </w:pPr>
      <w:bookmarkStart w:id="101" w:name="_Toc272414681"/>
      <w:bookmarkStart w:id="102" w:name="_Toc290846319"/>
      <w:bookmarkStart w:id="103" w:name="_Toc370463133"/>
      <w:r w:rsidRPr="009E0389">
        <w:t>Liver toxicity</w:t>
      </w:r>
      <w:bookmarkEnd w:id="101"/>
      <w:bookmarkEnd w:id="102"/>
      <w:bookmarkEnd w:id="103"/>
    </w:p>
    <w:p w:rsidR="00A81517" w:rsidRPr="009E0389" w:rsidRDefault="00A81517" w:rsidP="000E5DAC">
      <w:r w:rsidRPr="009E0389">
        <w:t>Although, there was some worsening of abnormal baseline blood chemistry parameters of GGT, glucose and AST at end-of-study, the incidences was low (</w:t>
      </w:r>
      <w:r w:rsidRPr="00686EAD">
        <w:t>≤</w:t>
      </w:r>
      <w:r w:rsidRPr="009E0389">
        <w:t>3% for each parameter) and not higher in the aclidinium bromide treatment groups compared to the placebo group. TEAEs of severe intensity were reported for 2 patients in the aclidinium bromide 20</w:t>
      </w:r>
      <w:r>
        <w:t>0 µ</w:t>
      </w:r>
      <w:r w:rsidRPr="009E0389">
        <w:t>g dose group (hepatitis C and white blood cell count increased); both events necessitated discontinuation of study drug treatment.</w:t>
      </w:r>
      <w:r>
        <w:t xml:space="preserve"> </w:t>
      </w:r>
      <w:r w:rsidRPr="009E0389">
        <w:t>There were no cases of ‘Hy’s Law cases’</w:t>
      </w:r>
      <w:r w:rsidRPr="009E0389">
        <w:rPr>
          <w:rStyle w:val="FootnoteReference"/>
          <w:rFonts w:eastAsia="Calibri" w:cs="TimesNewRomanPSMT"/>
        </w:rPr>
        <w:footnoteReference w:id="20"/>
      </w:r>
      <w:r w:rsidRPr="009E0389">
        <w:t xml:space="preserve"> in any of the clinical studies. Based on data provided, there did not appear to be any safety concerns related to liver toxicity associated with proposed dosing of aclidinium bromide 40</w:t>
      </w:r>
      <w:r>
        <w:t>0 µg</w:t>
      </w:r>
      <w:r w:rsidRPr="009E0389">
        <w:t xml:space="preserve"> </w:t>
      </w:r>
      <w:r w:rsidRPr="007B5D9C">
        <w:t>BD</w:t>
      </w:r>
      <w:r w:rsidR="000E5DAC">
        <w:t>.</w:t>
      </w:r>
    </w:p>
    <w:p w:rsidR="00A81517" w:rsidRPr="009E0389" w:rsidRDefault="00A81517" w:rsidP="000E5DAC">
      <w:pPr>
        <w:pStyle w:val="Heading5"/>
      </w:pPr>
      <w:bookmarkStart w:id="104" w:name="_Toc272414682"/>
      <w:bookmarkStart w:id="105" w:name="_Toc290846320"/>
      <w:bookmarkStart w:id="106" w:name="_Toc370463134"/>
      <w:r w:rsidRPr="009E0389">
        <w:t>Haematological toxicity</w:t>
      </w:r>
      <w:bookmarkEnd w:id="104"/>
      <w:bookmarkEnd w:id="105"/>
      <w:bookmarkEnd w:id="106"/>
    </w:p>
    <w:p w:rsidR="00A81517" w:rsidRPr="009E0389" w:rsidRDefault="00A81517" w:rsidP="000E5DAC">
      <w:r w:rsidRPr="009E0389">
        <w:t>Overall, there was no sign of a higher incidence of new haematology abnormalitites with aclidinium bromide compared to placebo. There was no worsening of baseline haematology abnormalities reported at an incidence above 1% at end-of-study. COPD (exacerbation) was the most frequently reported</w:t>
      </w:r>
      <w:r w:rsidR="005A7940">
        <w:t xml:space="preserve"> </w:t>
      </w:r>
      <w:r w:rsidR="005A7940" w:rsidRPr="007460FF">
        <w:rPr>
          <w:rFonts w:asciiTheme="minorHAnsi" w:hAnsiTheme="minorHAnsi"/>
          <w:sz w:val="20"/>
          <w:szCs w:val="20"/>
        </w:rPr>
        <w:t>treatment-emergent adverse event</w:t>
      </w:r>
      <w:r w:rsidRPr="009E0389">
        <w:t xml:space="preserve"> </w:t>
      </w:r>
      <w:r w:rsidR="005A7940">
        <w:t>(</w:t>
      </w:r>
      <w:r w:rsidRPr="009E0389">
        <w:t>TEAE</w:t>
      </w:r>
      <w:r w:rsidR="005A7940">
        <w:t>)</w:t>
      </w:r>
      <w:r w:rsidRPr="009E0389">
        <w:t xml:space="preserve"> associated with PCS clinical laboratory abnormalities (0.6%, 0.5% and 0.3% with placebo, aclidinium bromide 20</w:t>
      </w:r>
      <w:r>
        <w:t>0 µg</w:t>
      </w:r>
      <w:r w:rsidRPr="009E0389">
        <w:t xml:space="preserve"> and 40</w:t>
      </w:r>
      <w:r>
        <w:t>0 µg</w:t>
      </w:r>
      <w:r w:rsidRPr="009E0389">
        <w:t>, respectively). The PCS clinical laboratory abnormalities associated with COPD (exacerbation) were increases in at least one of neutrophils, lymphocytes and/or white blood cells. Based on data provided, there did not appear to be any safety concerns related to haematological toxicity with proposed dosing of aclidinium bromide 40</w:t>
      </w:r>
      <w:r>
        <w:t>0 µg</w:t>
      </w:r>
      <w:r w:rsidRPr="009E0389">
        <w:t xml:space="preserve"> </w:t>
      </w:r>
      <w:r w:rsidRPr="007B5D9C">
        <w:t>BD</w:t>
      </w:r>
      <w:r w:rsidR="000E5DAC">
        <w:t>.</w:t>
      </w:r>
    </w:p>
    <w:p w:rsidR="00A81517" w:rsidRPr="009E0389" w:rsidRDefault="00A81517" w:rsidP="000E5DAC">
      <w:pPr>
        <w:pStyle w:val="Heading5"/>
      </w:pPr>
      <w:bookmarkStart w:id="107" w:name="_Toc272414683"/>
      <w:bookmarkStart w:id="108" w:name="_Toc290846321"/>
      <w:bookmarkStart w:id="109" w:name="_Toc370463135"/>
      <w:r w:rsidRPr="009E0389">
        <w:t>Serious skin reactions</w:t>
      </w:r>
      <w:bookmarkEnd w:id="107"/>
      <w:bookmarkEnd w:id="108"/>
      <w:bookmarkEnd w:id="109"/>
    </w:p>
    <w:p w:rsidR="00A81517" w:rsidRPr="009E0389" w:rsidRDefault="00A81517" w:rsidP="000E5DAC">
      <w:proofErr w:type="gramStart"/>
      <w:r w:rsidRPr="009E0389">
        <w:t>None.</w:t>
      </w:r>
      <w:proofErr w:type="gramEnd"/>
    </w:p>
    <w:p w:rsidR="00A81517" w:rsidRPr="000059F4" w:rsidRDefault="00A81517" w:rsidP="000E5DAC">
      <w:pPr>
        <w:pStyle w:val="Heading5"/>
      </w:pPr>
      <w:bookmarkStart w:id="110" w:name="_Toc272414684"/>
      <w:bookmarkStart w:id="111" w:name="_Toc290846322"/>
      <w:bookmarkStart w:id="112" w:name="_Toc370463136"/>
      <w:r w:rsidRPr="000059F4">
        <w:t>Cardiovascular safety</w:t>
      </w:r>
      <w:bookmarkEnd w:id="110"/>
      <w:bookmarkEnd w:id="111"/>
      <w:bookmarkEnd w:id="112"/>
    </w:p>
    <w:p w:rsidR="00A81517" w:rsidRPr="00FF3927" w:rsidRDefault="00A81517" w:rsidP="000E5DAC">
      <w:bookmarkStart w:id="113" w:name="_Toc241374323"/>
      <w:bookmarkStart w:id="114" w:name="_Toc272414685"/>
      <w:bookmarkStart w:id="115" w:name="_Toc290846323"/>
      <w:r w:rsidRPr="00FF3927">
        <w:t>Cardiovascular adverse events are a specific safety event of interest for anticholinergic</w:t>
      </w:r>
      <w:r>
        <w:t xml:space="preserve"> </w:t>
      </w:r>
      <w:r w:rsidRPr="00FF3927">
        <w:t>drugs given the previous findings with tiotropium. To assess cardiovascular safety of aclidinium bromide, an analysis of major adverse cardiac events (MACE) was done. The MACE score is defined as the total number of cardiovascular deaths, nonfatal myocardial infarctions, and nonfatal strokes. The results do not indicate an increased overall MACE score for aclidinium bromide and do not show a definite signal of imbalance for any of the individual categories of events, but the strength of this assessment is limited by the relatively small sample size and a low event rate. Some of the differences seen in the studies were due to only one event, which is not enough to make a definitive conclusion. These data neither confirm nor prove any contribution of aclidinium bromide to cardiovascular risk and interpretation was limited by the limited number of events that were seen in the program</w:t>
      </w:r>
      <w:r w:rsidR="004A1DD5">
        <w:t>.</w:t>
      </w:r>
      <w:r w:rsidRPr="00FF3927">
        <w:t xml:space="preserve"> Furthermore, patients with a myocardial infarction during the previous 6 months, unstable angina, newly diagnosed arrhythmia within the previous 3 months or hospitalisation within the previous 12 months for heart failure functional classes III and IV as per the New York Heart Association were excluded from the clinical trials, the proposed PI does state that the safety of these patient groups has not been investigated and aclidinium bromide in these patient groups should be used with caution. Other safety assessments, such as ECGs, Holter monitoring and a thorough QT study, did not show any cardiac safety signals.</w:t>
      </w:r>
    </w:p>
    <w:p w:rsidR="00A81517" w:rsidRPr="009E0389" w:rsidRDefault="00A81517" w:rsidP="000E5DAC">
      <w:pPr>
        <w:pStyle w:val="Heading5"/>
      </w:pPr>
      <w:bookmarkStart w:id="116" w:name="_Toc370463137"/>
      <w:r w:rsidRPr="009E0389">
        <w:t>Unwanted immunological events</w:t>
      </w:r>
      <w:bookmarkEnd w:id="113"/>
      <w:bookmarkEnd w:id="114"/>
      <w:bookmarkEnd w:id="115"/>
      <w:bookmarkEnd w:id="116"/>
    </w:p>
    <w:p w:rsidR="00A81517" w:rsidRPr="009E0389" w:rsidRDefault="00A81517" w:rsidP="000E5DAC">
      <w:proofErr w:type="gramStart"/>
      <w:r w:rsidRPr="009E0389">
        <w:t>None.</w:t>
      </w:r>
      <w:proofErr w:type="gramEnd"/>
    </w:p>
    <w:p w:rsidR="00605AD4" w:rsidRDefault="00605AD4" w:rsidP="000E5DAC">
      <w:pPr>
        <w:pStyle w:val="Heading5"/>
      </w:pPr>
      <w:r w:rsidRPr="00605AD4">
        <w:t>Evaluator’s conclusions on safety</w:t>
      </w:r>
    </w:p>
    <w:p w:rsidR="00A81517" w:rsidRPr="002B5A1A" w:rsidRDefault="00A81517" w:rsidP="000E5DAC">
      <w:r w:rsidRPr="002B5A1A">
        <w:t>Overall, inhaled aclidinium bromide (at any dose and dose regimen) has been evaluated in 234</w:t>
      </w:r>
      <w:r w:rsidRPr="002B5A1A">
        <w:rPr>
          <w:rFonts w:cs="TimesNewRomanPS-BoldMT"/>
          <w:bCs/>
        </w:rPr>
        <w:t xml:space="preserve">1 </w:t>
      </w:r>
      <w:r w:rsidRPr="002B5A1A">
        <w:t>healthy adult subjects and 4344</w:t>
      </w:r>
      <w:r w:rsidRPr="002B5A1A">
        <w:rPr>
          <w:rFonts w:cs="TimesNewRomanPS-BoldMT"/>
          <w:b/>
          <w:bCs/>
        </w:rPr>
        <w:t xml:space="preserve"> </w:t>
      </w:r>
      <w:r w:rsidRPr="002B5A1A">
        <w:t>patients with COPD. A total 2879 COPD patients were treated in clinical trials of proposed</w:t>
      </w:r>
      <w:r>
        <w:t xml:space="preserve"> BD </w:t>
      </w:r>
      <w:r w:rsidRPr="002B5A1A">
        <w:t xml:space="preserve">dosing with aclidinium bromide. Of these, 2419 patients received at least one dose of aclidinium bromide </w:t>
      </w:r>
      <w:r w:rsidRPr="007B5D9C">
        <w:t>BD</w:t>
      </w:r>
      <w:r w:rsidRPr="002B5A1A">
        <w:t>. Of the 1471</w:t>
      </w:r>
      <w:r w:rsidRPr="002B5A1A">
        <w:rPr>
          <w:rFonts w:cs="TimesNewRomanPS-BoldMT"/>
          <w:b/>
          <w:bCs/>
        </w:rPr>
        <w:t xml:space="preserve"> </w:t>
      </w:r>
      <w:r w:rsidRPr="002B5A1A">
        <w:t>patients treated with aclidinium bromide 40</w:t>
      </w:r>
      <w:r>
        <w:t>0 µ</w:t>
      </w:r>
      <w:r w:rsidRPr="002B5A1A">
        <w:t>g, 970</w:t>
      </w:r>
      <w:r w:rsidRPr="002B5A1A">
        <w:rPr>
          <w:rFonts w:cs="TimesNewRomanPS-BoldMT"/>
          <w:b/>
          <w:bCs/>
        </w:rPr>
        <w:t xml:space="preserve"> </w:t>
      </w:r>
      <w:r w:rsidRPr="002B5A1A">
        <w:t>patients were treated for at least 6 months and 387</w:t>
      </w:r>
      <w:r w:rsidRPr="002B5A1A">
        <w:rPr>
          <w:rFonts w:cs="TimesNewRomanPS-BoldMT"/>
          <w:b/>
          <w:bCs/>
        </w:rPr>
        <w:t xml:space="preserve"> </w:t>
      </w:r>
      <w:r w:rsidRPr="002B5A1A">
        <w:t>patients were treated for at least one</w:t>
      </w:r>
      <w:r>
        <w:t xml:space="preserve"> </w:t>
      </w:r>
      <w:r w:rsidRPr="002B5A1A">
        <w:t>year. The extent of exposure at the time of submission meets the minimum of number of patients required for safety evaluation by ICH</w:t>
      </w:r>
      <w:r>
        <w:t xml:space="preserve"> </w:t>
      </w:r>
      <w:r w:rsidRPr="002B5A1A">
        <w:t>E1</w:t>
      </w:r>
      <w:r w:rsidR="00B465EC">
        <w:fldChar w:fldCharType="begin"/>
      </w:r>
      <w:r w:rsidR="00B465EC">
        <w:instrText xml:space="preserve"> NOTEREF _Ref391983294 \h  \* MERGEFORMAT </w:instrText>
      </w:r>
      <w:r w:rsidR="00B465EC">
        <w:fldChar w:fldCharType="separate"/>
      </w:r>
      <w:r w:rsidR="00AD354B" w:rsidRPr="00AD354B">
        <w:rPr>
          <w:vertAlign w:val="superscript"/>
        </w:rPr>
        <w:t>19</w:t>
      </w:r>
      <w:r w:rsidR="00B465EC">
        <w:fldChar w:fldCharType="end"/>
      </w:r>
      <w:r w:rsidRPr="002B5A1A">
        <w:t>. Additionally, a total of 2568</w:t>
      </w:r>
      <w:r w:rsidRPr="002B5A1A">
        <w:rPr>
          <w:rFonts w:cs="TimesNewRomanPS-BoldMT"/>
          <w:b/>
          <w:bCs/>
        </w:rPr>
        <w:t xml:space="preserve"> </w:t>
      </w:r>
      <w:r w:rsidRPr="002B5A1A">
        <w:t>COPD patients were included in studies of aclidinium bromide QD of whom 1925</w:t>
      </w:r>
      <w:r w:rsidRPr="002B5A1A">
        <w:rPr>
          <w:rFonts w:cs="TimesNewRomanPS-BoldMT"/>
          <w:b/>
          <w:bCs/>
        </w:rPr>
        <w:t xml:space="preserve"> </w:t>
      </w:r>
      <w:r w:rsidRPr="002B5A1A">
        <w:t>patients received aclidinium bromide QD for at least one day; 1066 patients received aclidinium bromide 20</w:t>
      </w:r>
      <w:r>
        <w:t>0 µ</w:t>
      </w:r>
      <w:r w:rsidRPr="002B5A1A">
        <w:t>g QD for at least 6 months and 767</w:t>
      </w:r>
      <w:r w:rsidRPr="002B5A1A">
        <w:rPr>
          <w:rFonts w:cs="TimesNewRomanPS-BoldMT"/>
          <w:b/>
          <w:bCs/>
        </w:rPr>
        <w:t xml:space="preserve"> </w:t>
      </w:r>
      <w:r w:rsidRPr="002B5A1A">
        <w:t>patients received aclidinium bromide 20</w:t>
      </w:r>
      <w:r>
        <w:t>0 µ</w:t>
      </w:r>
      <w:r w:rsidRPr="002B5A1A">
        <w:t>g QD for one year. The size of the safety database is adequate.</w:t>
      </w:r>
    </w:p>
    <w:p w:rsidR="00A81517" w:rsidRPr="002B5A1A" w:rsidRDefault="00A81517" w:rsidP="000E5DAC">
      <w:r w:rsidRPr="002B5A1A">
        <w:t>Aclidinium bromide 20</w:t>
      </w:r>
      <w:r>
        <w:t>0 µ</w:t>
      </w:r>
      <w:r w:rsidRPr="002B5A1A">
        <w:t>g or 40</w:t>
      </w:r>
      <w:r>
        <w:t>0 µ</w:t>
      </w:r>
      <w:r w:rsidRPr="002B5A1A">
        <w:t>g</w:t>
      </w:r>
      <w:r>
        <w:t xml:space="preserve"> BD </w:t>
      </w:r>
      <w:r w:rsidRPr="002B5A1A">
        <w:t>was well</w:t>
      </w:r>
      <w:r>
        <w:t xml:space="preserve"> </w:t>
      </w:r>
      <w:r w:rsidRPr="002B5A1A">
        <w:t xml:space="preserve">tolerated. The overall incidence of AEs was similar in the aclidinium bromide treated groups </w:t>
      </w:r>
      <w:r>
        <w:t>and</w:t>
      </w:r>
      <w:r w:rsidRPr="002B5A1A">
        <w:t xml:space="preserve"> the placebo group. Most AEs were mild or moderate in intensity. The incidence of </w:t>
      </w:r>
      <w:r>
        <w:t>adverse events (</w:t>
      </w:r>
      <w:r w:rsidRPr="002B5A1A">
        <w:t>AEs</w:t>
      </w:r>
      <w:r>
        <w:t>)</w:t>
      </w:r>
      <w:r w:rsidRPr="002B5A1A">
        <w:t xml:space="preserve"> of severe intensity was similar in the aclidinium bromide and placebo groups. The incidence of </w:t>
      </w:r>
      <w:r>
        <w:t>serious AEs (</w:t>
      </w:r>
      <w:r w:rsidRPr="002B5A1A">
        <w:t>SAEs</w:t>
      </w:r>
      <w:r>
        <w:t>)</w:t>
      </w:r>
      <w:r w:rsidRPr="002B5A1A">
        <w:t xml:space="preserve"> and adverse events leading to premature study discontinuation was similar for aclidinium bromide and placebo treatment groups. The most frequently reported AE (reported in more than 10% of patients) in the Pivotal Study Population and Long-Term Study Population was COPD (exacerbation) which was reported at a lower incidence in the aclidinium bromide treatment groups than in the placebo group in the Pivotal Study Population. Adverse drug reactions observed with aclidinium bromide 40</w:t>
      </w:r>
      <w:r>
        <w:t>0 µ</w:t>
      </w:r>
      <w:r w:rsidRPr="002B5A1A">
        <w:t>g</w:t>
      </w:r>
      <w:r>
        <w:t xml:space="preserve"> BD </w:t>
      </w:r>
      <w:r w:rsidRPr="002B5A1A">
        <w:t>are headache, nasopharyngitis, cough, diarrhoea and sinusitis.</w:t>
      </w:r>
    </w:p>
    <w:p w:rsidR="00A81517" w:rsidRDefault="00A81517" w:rsidP="000E5DAC">
      <w:r w:rsidRPr="002B5A1A">
        <w:t xml:space="preserve">The incidence rates per 1000 </w:t>
      </w:r>
      <w:r>
        <w:t>patient-years (</w:t>
      </w:r>
      <w:r w:rsidRPr="002B5A1A">
        <w:t>PY</w:t>
      </w:r>
      <w:r>
        <w:t>)</w:t>
      </w:r>
      <w:r w:rsidRPr="002B5A1A">
        <w:t xml:space="preserve"> of each of these events in the aclidinium bromide 20</w:t>
      </w:r>
      <w:r>
        <w:t>0 µ</w:t>
      </w:r>
      <w:r w:rsidRPr="002B5A1A">
        <w:t>g and 40</w:t>
      </w:r>
      <w:r>
        <w:t>0 µ</w:t>
      </w:r>
      <w:r w:rsidRPr="002B5A1A">
        <w:t>g groups were lower in the</w:t>
      </w:r>
      <w:r>
        <w:t xml:space="preserve"> BD </w:t>
      </w:r>
      <w:r w:rsidRPr="002B5A1A">
        <w:t xml:space="preserve">Group 1B </w:t>
      </w:r>
      <w:r>
        <w:t>long term</w:t>
      </w:r>
      <w:r w:rsidRPr="002B5A1A">
        <w:t xml:space="preserve"> studies than in the</w:t>
      </w:r>
      <w:r>
        <w:t xml:space="preserve"> BD </w:t>
      </w:r>
      <w:r w:rsidRPr="002B5A1A">
        <w:t>Group 1A placebo</w:t>
      </w:r>
      <w:r>
        <w:t xml:space="preserve"> </w:t>
      </w:r>
      <w:r w:rsidRPr="002B5A1A">
        <w:t>controlled studies suggesting that their frequency does not increase with increasing duration of exposure.</w:t>
      </w:r>
      <w:r>
        <w:t xml:space="preserve"> </w:t>
      </w:r>
      <w:r w:rsidRPr="002B5A1A">
        <w:t xml:space="preserve">Of the </w:t>
      </w:r>
      <w:r>
        <w:t>treatment-emergent AEs (</w:t>
      </w:r>
      <w:r w:rsidRPr="002B5A1A">
        <w:t>TEAEs</w:t>
      </w:r>
      <w:r>
        <w:t>)</w:t>
      </w:r>
      <w:r w:rsidRPr="002B5A1A">
        <w:t xml:space="preserve"> that were reported with an incidence </w:t>
      </w:r>
      <w:r>
        <w:t>≥</w:t>
      </w:r>
      <w:r w:rsidRPr="002B5A1A">
        <w:t xml:space="preserve"> 2% in either treatment group, TEAEs of upper respiratory tract infection, diarrhoea, </w:t>
      </w:r>
      <w:proofErr w:type="gramStart"/>
      <w:r w:rsidRPr="002B5A1A">
        <w:t>back</w:t>
      </w:r>
      <w:proofErr w:type="gramEnd"/>
      <w:r w:rsidRPr="002B5A1A">
        <w:t xml:space="preserve"> pain, hypertension and oropharyngeal pain exhibited numerically higher incidences and incidence rates in the aclidinium bromide 40</w:t>
      </w:r>
      <w:r>
        <w:t>0 µ</w:t>
      </w:r>
      <w:r w:rsidRPr="002B5A1A">
        <w:t>g group compared with the aclidinium bromide 20</w:t>
      </w:r>
      <w:r>
        <w:t>0 µ</w:t>
      </w:r>
      <w:r w:rsidRPr="002B5A1A">
        <w:t>g group.</w:t>
      </w:r>
      <w:r>
        <w:t xml:space="preserve"> </w:t>
      </w:r>
      <w:r w:rsidRPr="002B5A1A">
        <w:t xml:space="preserve">Of the common AEs of headache, </w:t>
      </w:r>
      <w:proofErr w:type="gramStart"/>
      <w:r w:rsidRPr="002B5A1A">
        <w:t>nasopharyngitis,</w:t>
      </w:r>
      <w:proofErr w:type="gramEnd"/>
      <w:r w:rsidRPr="002B5A1A">
        <w:t xml:space="preserve"> cough and diarrhoea only diarrhoea was reported with an increased incidence rate in the 40</w:t>
      </w:r>
      <w:r>
        <w:t>0 µ</w:t>
      </w:r>
      <w:r w:rsidRPr="002B5A1A">
        <w:t>g group compared to the 20</w:t>
      </w:r>
      <w:r>
        <w:t>0 µ</w:t>
      </w:r>
      <w:r w:rsidRPr="002B5A1A">
        <w:t>g group in</w:t>
      </w:r>
      <w:r>
        <w:t xml:space="preserve"> BD </w:t>
      </w:r>
      <w:r w:rsidRPr="002B5A1A">
        <w:t>Group 1B.</w:t>
      </w:r>
    </w:p>
    <w:p w:rsidR="00A81517" w:rsidRPr="002B5A1A" w:rsidRDefault="00A81517" w:rsidP="000E5DAC">
      <w:pPr>
        <w:rPr>
          <w:b/>
        </w:rPr>
      </w:pPr>
      <w:r w:rsidRPr="002B5A1A">
        <w:t>The percentages of patients in</w:t>
      </w:r>
      <w:r>
        <w:t xml:space="preserve"> BD </w:t>
      </w:r>
      <w:r w:rsidRPr="002B5A1A">
        <w:t>Group 1B with at least 1 TEAE of severe intensity was slightly higher in the aclidinium bromide 40</w:t>
      </w:r>
      <w:r>
        <w:t>0 µ</w:t>
      </w:r>
      <w:r w:rsidRPr="002B5A1A">
        <w:t>g group compared to 20</w:t>
      </w:r>
      <w:r>
        <w:t>0 µg</w:t>
      </w:r>
      <w:r w:rsidRPr="002B5A1A">
        <w:t xml:space="preserve"> (200</w:t>
      </w:r>
      <w:r w:rsidRPr="00492686">
        <w:t xml:space="preserve"> versus </w:t>
      </w:r>
      <w:r w:rsidRPr="002B5A1A">
        <w:t>40</w:t>
      </w:r>
      <w:r>
        <w:t>0 µg</w:t>
      </w:r>
      <w:r w:rsidRPr="002B5A1A">
        <w:t>: 11.4%</w:t>
      </w:r>
      <w:r w:rsidRPr="00492686">
        <w:t xml:space="preserve"> versus </w:t>
      </w:r>
      <w:r w:rsidRPr="002B5A1A">
        <w:t xml:space="preserve">12.8%) and </w:t>
      </w:r>
      <w:r w:rsidRPr="002B5A1A">
        <w:rPr>
          <w:color w:val="000000"/>
        </w:rPr>
        <w:t>COPD (exacerbation) was the most frequently reported severe TEAE (2.5%</w:t>
      </w:r>
      <w:r w:rsidRPr="00492686">
        <w:rPr>
          <w:color w:val="000000"/>
        </w:rPr>
        <w:t xml:space="preserve"> versus </w:t>
      </w:r>
      <w:r w:rsidRPr="002B5A1A">
        <w:rPr>
          <w:color w:val="000000"/>
        </w:rPr>
        <w:t>3.5%). The incidences of individual TEAEs of severe intensity were comparable for the aclidinium bromide 20</w:t>
      </w:r>
      <w:r>
        <w:rPr>
          <w:color w:val="000000"/>
        </w:rPr>
        <w:t>0 µ</w:t>
      </w:r>
      <w:r w:rsidRPr="002B5A1A">
        <w:rPr>
          <w:color w:val="000000"/>
        </w:rPr>
        <w:t>g and 40</w:t>
      </w:r>
      <w:r>
        <w:rPr>
          <w:color w:val="000000"/>
        </w:rPr>
        <w:t>0 µ</w:t>
      </w:r>
      <w:r w:rsidRPr="002B5A1A">
        <w:rPr>
          <w:color w:val="000000"/>
        </w:rPr>
        <w:t>g</w:t>
      </w:r>
      <w:r>
        <w:rPr>
          <w:color w:val="000000"/>
        </w:rPr>
        <w:t xml:space="preserve"> BD </w:t>
      </w:r>
      <w:r w:rsidRPr="002B5A1A">
        <w:rPr>
          <w:color w:val="000000"/>
        </w:rPr>
        <w:t>dose groups with the exception of cardiac failure congestive (0%</w:t>
      </w:r>
      <w:r w:rsidRPr="00492686">
        <w:rPr>
          <w:color w:val="000000"/>
        </w:rPr>
        <w:t xml:space="preserve"> versus </w:t>
      </w:r>
      <w:r w:rsidRPr="002B5A1A">
        <w:rPr>
          <w:color w:val="000000"/>
        </w:rPr>
        <w:t>0.5%) and headache (0%</w:t>
      </w:r>
      <w:r w:rsidRPr="00492686">
        <w:rPr>
          <w:color w:val="000000"/>
        </w:rPr>
        <w:t xml:space="preserve"> versus </w:t>
      </w:r>
      <w:r w:rsidRPr="002B5A1A">
        <w:rPr>
          <w:color w:val="000000"/>
        </w:rPr>
        <w:t>0.4%). The percentage of patients with at least 1 TEAE judged by the investigator to be related to study treatment was higher in the aclidinium bromide 40</w:t>
      </w:r>
      <w:r>
        <w:rPr>
          <w:color w:val="000000"/>
        </w:rPr>
        <w:t>0 µ</w:t>
      </w:r>
      <w:r w:rsidRPr="002B5A1A">
        <w:rPr>
          <w:color w:val="000000"/>
        </w:rPr>
        <w:t>g group compared with the aclidinium bromide 20</w:t>
      </w:r>
      <w:r>
        <w:rPr>
          <w:color w:val="000000"/>
        </w:rPr>
        <w:t>0 µ</w:t>
      </w:r>
      <w:r w:rsidRPr="002B5A1A">
        <w:rPr>
          <w:color w:val="000000"/>
        </w:rPr>
        <w:t>g group</w:t>
      </w:r>
      <w:r w:rsidR="00E74309">
        <w:rPr>
          <w:color w:val="000000"/>
        </w:rPr>
        <w:t>;</w:t>
      </w:r>
      <w:r w:rsidRPr="002B5A1A">
        <w:rPr>
          <w:color w:val="000000"/>
        </w:rPr>
        <w:t xml:space="preserve"> 13.4%</w:t>
      </w:r>
      <w:r w:rsidRPr="00492686">
        <w:rPr>
          <w:color w:val="000000"/>
        </w:rPr>
        <w:t xml:space="preserve"> versus </w:t>
      </w:r>
      <w:r w:rsidRPr="002B5A1A">
        <w:rPr>
          <w:color w:val="000000"/>
        </w:rPr>
        <w:t>10.0%, respectively</w:t>
      </w:r>
      <w:r>
        <w:rPr>
          <w:color w:val="000000"/>
        </w:rPr>
        <w:t>.</w:t>
      </w:r>
      <w:r w:rsidRPr="002B5A1A">
        <w:rPr>
          <w:color w:val="000000"/>
        </w:rPr>
        <w:t xml:space="preserve"> TEAEs related to investigational product with an incidence </w:t>
      </w:r>
      <w:r>
        <w:rPr>
          <w:color w:val="000000"/>
        </w:rPr>
        <w:t>≥</w:t>
      </w:r>
      <w:r w:rsidRPr="002B5A1A">
        <w:rPr>
          <w:color w:val="000000"/>
        </w:rPr>
        <w:t xml:space="preserve"> 1% in either treatment group were dry mouth (200</w:t>
      </w:r>
      <w:r w:rsidRPr="00492686">
        <w:rPr>
          <w:color w:val="000000"/>
        </w:rPr>
        <w:t xml:space="preserve"> versus </w:t>
      </w:r>
      <w:r w:rsidRPr="002B5A1A">
        <w:rPr>
          <w:color w:val="000000"/>
        </w:rPr>
        <w:t>40</w:t>
      </w:r>
      <w:r>
        <w:rPr>
          <w:color w:val="000000"/>
        </w:rPr>
        <w:t>0 µg</w:t>
      </w:r>
      <w:r w:rsidRPr="002B5A1A">
        <w:rPr>
          <w:color w:val="000000"/>
        </w:rPr>
        <w:t>: 1.1%</w:t>
      </w:r>
      <w:r w:rsidRPr="00492686">
        <w:rPr>
          <w:color w:val="000000"/>
        </w:rPr>
        <w:t xml:space="preserve"> versus </w:t>
      </w:r>
      <w:r w:rsidRPr="002B5A1A">
        <w:rPr>
          <w:color w:val="000000"/>
        </w:rPr>
        <w:t>1.5%), headache (0.2%</w:t>
      </w:r>
      <w:r w:rsidRPr="00492686">
        <w:rPr>
          <w:color w:val="000000"/>
        </w:rPr>
        <w:t xml:space="preserve"> versus </w:t>
      </w:r>
      <w:r w:rsidRPr="002B5A1A">
        <w:rPr>
          <w:color w:val="000000"/>
        </w:rPr>
        <w:t>1.6%) and cough (0.5%</w:t>
      </w:r>
      <w:r w:rsidRPr="00492686">
        <w:rPr>
          <w:color w:val="000000"/>
        </w:rPr>
        <w:t xml:space="preserve"> versus </w:t>
      </w:r>
      <w:r w:rsidRPr="002B5A1A">
        <w:rPr>
          <w:color w:val="000000"/>
        </w:rPr>
        <w:t>1.1%). The incidence of cardiac failure congestive was low but slightly higher in the aclidinium bromide 40</w:t>
      </w:r>
      <w:r>
        <w:rPr>
          <w:color w:val="000000"/>
        </w:rPr>
        <w:t>0 µ</w:t>
      </w:r>
      <w:r w:rsidRPr="002B5A1A">
        <w:rPr>
          <w:color w:val="000000"/>
        </w:rPr>
        <w:t>g group compared with the 20</w:t>
      </w:r>
      <w:r>
        <w:rPr>
          <w:color w:val="000000"/>
        </w:rPr>
        <w:t>0 µ</w:t>
      </w:r>
      <w:r w:rsidRPr="002B5A1A">
        <w:rPr>
          <w:color w:val="000000"/>
        </w:rPr>
        <w:t>g group (0.4%</w:t>
      </w:r>
      <w:r w:rsidRPr="00492686">
        <w:rPr>
          <w:color w:val="000000"/>
        </w:rPr>
        <w:t xml:space="preserve"> versus </w:t>
      </w:r>
      <w:r w:rsidRPr="002B5A1A">
        <w:rPr>
          <w:color w:val="000000"/>
        </w:rPr>
        <w:t>0.0%)</w:t>
      </w:r>
      <w:r w:rsidRPr="002B5A1A">
        <w:rPr>
          <w:b/>
          <w:color w:val="000000"/>
        </w:rPr>
        <w:t>.</w:t>
      </w:r>
    </w:p>
    <w:p w:rsidR="00A81517" w:rsidRPr="00F27942" w:rsidRDefault="00A81517" w:rsidP="000E5DAC">
      <w:r w:rsidRPr="002B5A1A">
        <w:t>Cardiovascular adverse events are a specific safety event of interest for anticholinergic</w:t>
      </w:r>
      <w:r w:rsidR="00E74309">
        <w:t xml:space="preserve"> </w:t>
      </w:r>
      <w:r w:rsidRPr="002B5A1A">
        <w:t xml:space="preserve">drugs given the previous findings with tiotropium. To assess cardiovascular safety of aclidinium bromide, an analysis of major adverse cardiac events (MACE) was done. The MACE score is defined as the total number of cardiovascular deaths, nonfatal </w:t>
      </w:r>
      <w:r w:rsidRPr="00F27942">
        <w:t xml:space="preserve">myocardial infarctions and nonfatal strokes and results of this analysis have been summarised in Tables </w:t>
      </w:r>
      <w:r w:rsidR="00145C30">
        <w:t>8</w:t>
      </w:r>
      <w:r w:rsidR="00F27942" w:rsidRPr="00F27942">
        <w:t xml:space="preserve"> and </w:t>
      </w:r>
      <w:r w:rsidR="00145C30">
        <w:t>9</w:t>
      </w:r>
      <w:r w:rsidR="000E5DAC">
        <w:t>.</w:t>
      </w:r>
    </w:p>
    <w:p w:rsidR="00A81517" w:rsidRDefault="00A81517" w:rsidP="000E5DAC">
      <w:pPr>
        <w:pStyle w:val="TableTitle"/>
      </w:pPr>
      <w:proofErr w:type="gramStart"/>
      <w:r w:rsidRPr="00F27942">
        <w:t xml:space="preserve">Table </w:t>
      </w:r>
      <w:r w:rsidR="00145C30">
        <w:t>8</w:t>
      </w:r>
      <w:r w:rsidR="00F27942" w:rsidRPr="00F27942">
        <w:t>.</w:t>
      </w:r>
      <w:proofErr w:type="gramEnd"/>
      <w:r w:rsidR="00F27942" w:rsidRPr="00F27942">
        <w:t xml:space="preserve"> </w:t>
      </w:r>
      <w:r w:rsidRPr="000E5DAC">
        <w:t>Incidence</w:t>
      </w:r>
      <w:r w:rsidRPr="00F27942">
        <w:t xml:space="preserve"> of patients with MACE:</w:t>
      </w:r>
      <w:r w:rsidR="00F27942" w:rsidRPr="00F27942">
        <w:t xml:space="preserve"> </w:t>
      </w:r>
      <w:r w:rsidRPr="00F27942">
        <w:t>Double-blind, placebo controlled studies of aclidinium bromide administered</w:t>
      </w:r>
      <w:r w:rsidR="00F27942" w:rsidRPr="00F27942">
        <w:t xml:space="preserve"> twice daily to </w:t>
      </w:r>
      <w:r w:rsidRPr="00F27942">
        <w:t>p</w:t>
      </w:r>
      <w:r w:rsidR="00F27942" w:rsidRPr="00F27942">
        <w:t>a</w:t>
      </w:r>
      <w:r w:rsidRPr="00F27942">
        <w:t>tients</w:t>
      </w:r>
      <w:r>
        <w:t xml:space="preserve"> with COPD BD Group 1A</w:t>
      </w:r>
    </w:p>
    <w:p w:rsidR="00A81517" w:rsidRDefault="00A81517" w:rsidP="000E5DAC">
      <w:pPr>
        <w:rPr>
          <w:rFonts w:eastAsia="Calibri" w:cs="TimesNewRomanPSMT"/>
        </w:rPr>
      </w:pPr>
      <w:r>
        <w:rPr>
          <w:noProof/>
          <w:lang w:eastAsia="en-AU"/>
        </w:rPr>
        <w:drawing>
          <wp:inline distT="0" distB="0" distL="0" distR="0" wp14:anchorId="529C624A" wp14:editId="54738540">
            <wp:extent cx="4448975" cy="1763485"/>
            <wp:effectExtent l="0" t="0" r="0" b="0"/>
            <wp:docPr id="69" name="Picture 69" descr="Table 8. Incidence of patients with MACE:Double-blind, placebo controlled studies of aclidinium bromide administered twice daily to aptients with COPD BD Group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963"/>
                    <a:stretch/>
                  </pic:blipFill>
                  <pic:spPr bwMode="auto">
                    <a:xfrm>
                      <a:off x="0" y="0"/>
                      <a:ext cx="4449127" cy="1763545"/>
                    </a:xfrm>
                    <a:prstGeom prst="rect">
                      <a:avLst/>
                    </a:prstGeom>
                    <a:noFill/>
                    <a:ln>
                      <a:noFill/>
                    </a:ln>
                    <a:extLst>
                      <a:ext uri="{53640926-AAD7-44D8-BBD7-CCE9431645EC}">
                        <a14:shadowObscured xmlns:a14="http://schemas.microsoft.com/office/drawing/2010/main"/>
                      </a:ext>
                    </a:extLst>
                  </pic:spPr>
                </pic:pic>
              </a:graphicData>
            </a:graphic>
          </wp:inline>
        </w:drawing>
      </w:r>
    </w:p>
    <w:p w:rsidR="00A81517" w:rsidRPr="000E5DAC" w:rsidRDefault="00A81517" w:rsidP="000E5DAC">
      <w:pPr>
        <w:pStyle w:val="TableTitle"/>
      </w:pPr>
      <w:proofErr w:type="gramStart"/>
      <w:r>
        <w:t xml:space="preserve">Table </w:t>
      </w:r>
      <w:r w:rsidR="00145C30">
        <w:t>9</w:t>
      </w:r>
      <w:r w:rsidR="00F27942">
        <w:t>.</w:t>
      </w:r>
      <w:proofErr w:type="gramEnd"/>
      <w:r w:rsidR="00F27942">
        <w:t xml:space="preserve"> </w:t>
      </w:r>
      <w:r>
        <w:t xml:space="preserve">Incidence of patients with MACE in studies LAS-MD-35, LAS-MD-36 and LAS-MD-38 Part B: </w:t>
      </w:r>
      <w:r w:rsidRPr="002B5A1A">
        <w:t>aclidinium bromide</w:t>
      </w:r>
      <w:r>
        <w:t xml:space="preserve"> administered twice daily to patients with COPD BD Group 1A</w:t>
      </w:r>
    </w:p>
    <w:p w:rsidR="00A81517" w:rsidRDefault="00A81517" w:rsidP="000E5DAC">
      <w:pPr>
        <w:rPr>
          <w:rFonts w:eastAsia="Calibri" w:cs="TimesNewRomanPSMT"/>
        </w:rPr>
      </w:pPr>
      <w:r>
        <w:rPr>
          <w:noProof/>
          <w:lang w:eastAsia="en-AU"/>
        </w:rPr>
        <w:drawing>
          <wp:inline distT="0" distB="0" distL="0" distR="0" wp14:anchorId="6ECBD651" wp14:editId="1CE9DB1D">
            <wp:extent cx="4429125" cy="2368638"/>
            <wp:effectExtent l="19050" t="19050" r="0" b="0"/>
            <wp:docPr id="70" name="Picture 70" descr="Table 9. Incidence of patients with MACE in studies LAS-MD-35, LAS-MD-36 and LAS-MD-38 Part B: aclidinium bromide administered twice daily to patients with COPD BD Group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733" r="853"/>
                    <a:stretch/>
                  </pic:blipFill>
                  <pic:spPr bwMode="auto">
                    <a:xfrm>
                      <a:off x="0" y="0"/>
                      <a:ext cx="4432611" cy="2370502"/>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81517" w:rsidRPr="002B5A1A" w:rsidRDefault="00A81517" w:rsidP="000E5DAC">
      <w:r w:rsidRPr="002B5A1A">
        <w:t xml:space="preserve">These results do not indicate an increased overall MACE score for aclidinium bromide and do not show a definite signal of imbalance for any of the individual categories of events but the strength of this assessment is limited by the relatively small sample size and a low event rate. Some of the differences seen in the studies were due to only one event which is not enough to make a definitive conclusion. These data neither confirm nor prove any contribution of aclidinium bromide to cardiovascular risk and interpretation was limited by the limited number of events that were seen in the program. Furthermore, patients with a myocardial infarction during the previous 6 months, unstable angina, newly diagnosed arrhythmia within the previous 3 months, or hospitalisation within the previous 12 months for Heart Failure </w:t>
      </w:r>
      <w:r>
        <w:t>F</w:t>
      </w:r>
      <w:r w:rsidRPr="002B5A1A">
        <w:t xml:space="preserve">unctional </w:t>
      </w:r>
      <w:r>
        <w:t>C</w:t>
      </w:r>
      <w:r w:rsidRPr="002B5A1A">
        <w:t>lasses III and IV as per the New York Heart Association</w:t>
      </w:r>
      <w:r>
        <w:rPr>
          <w:rStyle w:val="FootnoteReference"/>
          <w:rFonts w:eastAsia="Calibri" w:cs="TimesNewRomanPSMT"/>
        </w:rPr>
        <w:footnoteReference w:id="21"/>
      </w:r>
      <w:r w:rsidRPr="002B5A1A">
        <w:t xml:space="preserve"> were excluded from the clinical trials, the proposed PI does state that the safety of these patient groups has not been investigated and aclidinium bromide in these patient grou</w:t>
      </w:r>
      <w:r w:rsidR="000E5DAC">
        <w:t>ps should be used with caution.</w:t>
      </w:r>
    </w:p>
    <w:p w:rsidR="00A81517" w:rsidRPr="002B5A1A" w:rsidRDefault="00A81517" w:rsidP="000E5DAC">
      <w:r w:rsidRPr="002B5A1A">
        <w:t>The risk of patients with COPD developing pneumonias, bronchitis or respiratory failure was not increased with aclidinium bromide administration. The incidence of potential anticholinergic adverse events was low with no individual potential anticholinergic adverse event reported in more than 1.7% of patients in any treatment group of the Pivotal Study Population and no individual potential anticholinergic AE was reported in more than 1.1% of patients in the aclidinium bromide 40</w:t>
      </w:r>
      <w:r>
        <w:t>0 µ</w:t>
      </w:r>
      <w:r w:rsidRPr="002B5A1A">
        <w:t xml:space="preserve">g treatment </w:t>
      </w:r>
      <w:proofErr w:type="gramStart"/>
      <w:r w:rsidRPr="002B5A1A">
        <w:t>group</w:t>
      </w:r>
      <w:proofErr w:type="gramEnd"/>
      <w:r w:rsidRPr="002B5A1A">
        <w:t xml:space="preserve">. Potential anticholinergic AEs to be reported as </w:t>
      </w:r>
      <w:r>
        <w:t>adverse drug reactions (</w:t>
      </w:r>
      <w:r w:rsidRPr="002B5A1A">
        <w:t>ADRs</w:t>
      </w:r>
      <w:r>
        <w:t>)</w:t>
      </w:r>
      <w:r w:rsidRPr="002B5A1A">
        <w:t xml:space="preserve"> include dry mouth, dysphonia and tachycardia, although it should be noted that the difference in the incidence of these events between each aclidinium bromide dose group and placebo in the Pivotal Study Population did not exceed 3 patients and therefore the clinical relevance of the observ</w:t>
      </w:r>
      <w:r w:rsidR="000E5DAC">
        <w:t>ation remains to be determined.</w:t>
      </w:r>
    </w:p>
    <w:p w:rsidR="00A81517" w:rsidRPr="002B5A1A" w:rsidRDefault="00A81517" w:rsidP="00A81517">
      <w:pPr>
        <w:autoSpaceDE w:val="0"/>
        <w:autoSpaceDN w:val="0"/>
        <w:adjustRightInd w:val="0"/>
        <w:rPr>
          <w:rFonts w:eastAsia="Calibri" w:cs="TimesNewRomanPSMT"/>
        </w:rPr>
      </w:pPr>
      <w:r w:rsidRPr="002B5A1A">
        <w:rPr>
          <w:rFonts w:eastAsia="Calibri" w:cs="TimesNewRomanPSMT"/>
        </w:rPr>
        <w:t>A total of 14 on-treatment deaths were reported in</w:t>
      </w:r>
      <w:r>
        <w:rPr>
          <w:rFonts w:eastAsia="Calibri" w:cs="TimesNewRomanPSMT"/>
        </w:rPr>
        <w:t xml:space="preserve"> BD </w:t>
      </w:r>
      <w:r w:rsidRPr="002B5A1A">
        <w:rPr>
          <w:rFonts w:eastAsia="Calibri" w:cs="TimesNewRomanPSMT"/>
        </w:rPr>
        <w:t>Group 1 studies (all studies of aclidinium bromide</w:t>
      </w:r>
      <w:r>
        <w:rPr>
          <w:rFonts w:eastAsia="Calibri" w:cs="TimesNewRomanPSMT"/>
        </w:rPr>
        <w:t xml:space="preserve"> BD </w:t>
      </w:r>
      <w:r w:rsidRPr="002B5A1A">
        <w:rPr>
          <w:rFonts w:eastAsia="Calibri" w:cs="TimesNewRomanPSMT"/>
        </w:rPr>
        <w:t xml:space="preserve">in COPD patients). Of these 14 deaths, 6 were reported in </w:t>
      </w:r>
      <w:r>
        <w:rPr>
          <w:rFonts w:eastAsia="Calibri" w:cs="TimesNewRomanPSMT"/>
        </w:rPr>
        <w:t xml:space="preserve">placebo controlled BD </w:t>
      </w:r>
      <w:r w:rsidRPr="002B5A1A">
        <w:rPr>
          <w:rFonts w:eastAsia="Calibri" w:cs="TimesNewRomanPSMT"/>
        </w:rPr>
        <w:t xml:space="preserve">Group 1A studies and 8 were reported in the </w:t>
      </w:r>
      <w:r>
        <w:rPr>
          <w:rFonts w:eastAsia="Calibri" w:cs="TimesNewRomanPSMT"/>
        </w:rPr>
        <w:t>long term</w:t>
      </w:r>
      <w:r w:rsidRPr="002B5A1A">
        <w:rPr>
          <w:rFonts w:eastAsia="Calibri" w:cs="TimesNewRomanPSMT"/>
        </w:rPr>
        <w:t xml:space="preserve"> safety studies. No deaths were reported in the </w:t>
      </w:r>
      <w:r>
        <w:rPr>
          <w:rFonts w:eastAsia="Calibri" w:cs="TimesNewRomanPSMT"/>
        </w:rPr>
        <w:t xml:space="preserve">short term BD </w:t>
      </w:r>
      <w:r w:rsidRPr="002B5A1A">
        <w:rPr>
          <w:rFonts w:eastAsia="Calibri" w:cs="TimesNewRomanPSMT"/>
        </w:rPr>
        <w:t xml:space="preserve">Group 1C studies. </w:t>
      </w:r>
      <w:r>
        <w:rPr>
          <w:rFonts w:eastAsia="Calibri" w:cs="TimesNewRomanPSMT"/>
        </w:rPr>
        <w:t>N</w:t>
      </w:r>
      <w:r w:rsidRPr="002B5A1A">
        <w:rPr>
          <w:rFonts w:eastAsia="Calibri" w:cs="TimesNewRomanPSMT"/>
        </w:rPr>
        <w:t>o dose</w:t>
      </w:r>
      <w:r>
        <w:rPr>
          <w:rFonts w:eastAsia="Calibri" w:cs="TimesNewRomanPSMT"/>
        </w:rPr>
        <w:t xml:space="preserve"> </w:t>
      </w:r>
      <w:r w:rsidRPr="002B5A1A">
        <w:rPr>
          <w:rFonts w:eastAsia="Calibri" w:cs="TimesNewRomanPSMT"/>
        </w:rPr>
        <w:t>relationships were observed in the incidence of deaths. The incidence of death (all causes; per 1000 patient-years) in aclidinium bromide clinical trials was consistent with that observed in clinical trials of other medications used in the treatment of COPD.</w:t>
      </w:r>
      <w:r w:rsidRPr="002B5A1A">
        <w:rPr>
          <w:rFonts w:eastAsia="Calibri" w:cs="TimesNewRomanPSMT"/>
          <w:color w:val="000000"/>
        </w:rPr>
        <w:t xml:space="preserve"> The most common causes of death (by </w:t>
      </w:r>
      <w:r>
        <w:rPr>
          <w:rFonts w:eastAsia="Calibri" w:cs="TimesNewRomanPSMT"/>
          <w:color w:val="000000"/>
        </w:rPr>
        <w:t>Preferred term (</w:t>
      </w:r>
      <w:r w:rsidRPr="002B5A1A">
        <w:rPr>
          <w:rFonts w:eastAsia="Calibri" w:cs="TimesNewRomanPSMT"/>
          <w:color w:val="000000"/>
        </w:rPr>
        <w:t>PT</w:t>
      </w:r>
      <w:r>
        <w:rPr>
          <w:rFonts w:eastAsia="Calibri" w:cs="TimesNewRomanPSMT"/>
          <w:color w:val="000000"/>
        </w:rPr>
        <w:t>)</w:t>
      </w:r>
      <w:r w:rsidRPr="002B5A1A">
        <w:rPr>
          <w:rFonts w:eastAsia="Calibri" w:cs="TimesNewRomanPSMT"/>
          <w:color w:val="000000"/>
        </w:rPr>
        <w:t xml:space="preserve">) were in the Cardiac Disorders </w:t>
      </w:r>
      <w:r>
        <w:rPr>
          <w:rFonts w:eastAsia="Calibri" w:cs="TimesNewRomanPSMT"/>
          <w:color w:val="000000"/>
        </w:rPr>
        <w:t>System organ Class (</w:t>
      </w:r>
      <w:r w:rsidRPr="002B5A1A">
        <w:rPr>
          <w:rFonts w:eastAsia="Calibri" w:cs="TimesNewRomanPSMT"/>
          <w:color w:val="000000"/>
        </w:rPr>
        <w:t>SOC</w:t>
      </w:r>
      <w:r>
        <w:rPr>
          <w:rFonts w:eastAsia="Calibri" w:cs="TimesNewRomanPSMT"/>
          <w:color w:val="000000"/>
        </w:rPr>
        <w:t>)</w:t>
      </w:r>
      <w:r w:rsidRPr="002B5A1A">
        <w:rPr>
          <w:rFonts w:eastAsia="Calibri" w:cs="TimesNewRomanPSMT"/>
          <w:color w:val="000000"/>
        </w:rPr>
        <w:t xml:space="preserve"> (6 of 14 deaths but only 4 of these were adjudicated [by the independent adjudication committee] as cardiovascular deaths according to MACE followed by lung cancer (2 of 14 deaths). </w:t>
      </w:r>
      <w:r w:rsidRPr="002B5A1A">
        <w:rPr>
          <w:rFonts w:eastAsia="Calibri" w:cs="TimesNewRomanPSMT"/>
        </w:rPr>
        <w:t>The causes of death varied. Some cases appeared unlikely to be related to aclidinium (</w:t>
      </w:r>
      <w:r>
        <w:rPr>
          <w:rFonts w:eastAsia="Calibri" w:cs="TimesNewRomanPSMT"/>
        </w:rPr>
        <w:t>including</w:t>
      </w:r>
      <w:r w:rsidRPr="002B5A1A">
        <w:rPr>
          <w:rFonts w:eastAsia="Calibri" w:cs="TimesNewRomanPSMT"/>
        </w:rPr>
        <w:t xml:space="preserve"> lung cancer</w:t>
      </w:r>
      <w:r>
        <w:rPr>
          <w:rFonts w:eastAsia="Calibri" w:cs="TimesNewRomanPSMT"/>
        </w:rPr>
        <w:t xml:space="preserve"> and</w:t>
      </w:r>
      <w:r w:rsidRPr="002B5A1A">
        <w:rPr>
          <w:rFonts w:eastAsia="Calibri" w:cs="TimesNewRomanPSMT"/>
        </w:rPr>
        <w:t xml:space="preserve"> sepsis occurring a month after discontinuation) but in other cases causality could neit</w:t>
      </w:r>
      <w:r w:rsidR="000E5DAC">
        <w:rPr>
          <w:rFonts w:eastAsia="Calibri" w:cs="TimesNewRomanPSMT"/>
        </w:rPr>
        <w:t>her be confirmed nor ruled out.</w:t>
      </w:r>
    </w:p>
    <w:p w:rsidR="00A81517" w:rsidRPr="002B5A1A" w:rsidRDefault="00A81517" w:rsidP="000E5DAC">
      <w:r w:rsidRPr="002B5A1A">
        <w:t xml:space="preserve">The overall percentage of patients reporting at least one TEAE during the first 3 months of treatment in the </w:t>
      </w:r>
      <w:r>
        <w:t>long term</w:t>
      </w:r>
      <w:r w:rsidRPr="002B5A1A">
        <w:t>, double</w:t>
      </w:r>
      <w:r>
        <w:t xml:space="preserve"> </w:t>
      </w:r>
      <w:r w:rsidRPr="002B5A1A">
        <w:t xml:space="preserve">blind, </w:t>
      </w:r>
      <w:r>
        <w:t>placebo controlled</w:t>
      </w:r>
      <w:r w:rsidRPr="002B5A1A">
        <w:t xml:space="preserve"> studies with aclidinium bromide QD (QD Group 1A studies) was 42.7% for aclidinium bromide 20</w:t>
      </w:r>
      <w:r>
        <w:t>0 µ</w:t>
      </w:r>
      <w:r w:rsidRPr="002B5A1A">
        <w:t xml:space="preserve">g QD and 45.0% for placebo which was comparable to that observed for the same analysis of the </w:t>
      </w:r>
      <w:r>
        <w:t>double blind</w:t>
      </w:r>
      <w:r w:rsidRPr="002B5A1A">
        <w:t xml:space="preserve"> </w:t>
      </w:r>
      <w:r>
        <w:t xml:space="preserve">placebo controlled BD </w:t>
      </w:r>
      <w:r w:rsidRPr="002B5A1A">
        <w:t>Group 1A studies with aclidinium bromide</w:t>
      </w:r>
      <w:r>
        <w:t xml:space="preserve"> BD </w:t>
      </w:r>
      <w:r w:rsidRPr="002B5A1A">
        <w:t>(aclidinium bromide 20</w:t>
      </w:r>
      <w:r>
        <w:t>0 µ</w:t>
      </w:r>
      <w:r w:rsidRPr="002B5A1A">
        <w:t xml:space="preserve">g </w:t>
      </w:r>
      <w:r w:rsidRPr="007B5D9C">
        <w:t>BD</w:t>
      </w:r>
      <w:r w:rsidRPr="002B5A1A">
        <w:t>: 45.2%; aclidinium bromide 40</w:t>
      </w:r>
      <w:r>
        <w:t>0 µ</w:t>
      </w:r>
      <w:r w:rsidRPr="002B5A1A">
        <w:t xml:space="preserve">g </w:t>
      </w:r>
      <w:r w:rsidRPr="007B5D9C">
        <w:t>BD</w:t>
      </w:r>
      <w:r w:rsidR="000E5DAC">
        <w:t>: 44.8%; placebo: 47.1%).</w:t>
      </w:r>
    </w:p>
    <w:p w:rsidR="00A81517" w:rsidRPr="002B5A1A" w:rsidRDefault="00A81517" w:rsidP="000E5DAC">
      <w:r w:rsidRPr="002B5A1A">
        <w:t>There was no increase in the overall TEAE incidence with the change from QD to</w:t>
      </w:r>
      <w:r>
        <w:t xml:space="preserve"> BD </w:t>
      </w:r>
      <w:r w:rsidRPr="002B5A1A">
        <w:t>dosing and results suggest a lack of a dose</w:t>
      </w:r>
      <w:r>
        <w:t xml:space="preserve"> </w:t>
      </w:r>
      <w:r w:rsidRPr="002B5A1A">
        <w:t>response. Comparison of the most commonly reported SOCs and individual preferred terms in these QD and</w:t>
      </w:r>
      <w:r>
        <w:t xml:space="preserve"> BD </w:t>
      </w:r>
      <w:r w:rsidRPr="002B5A1A">
        <w:t xml:space="preserve">analyses also did not reveal a </w:t>
      </w:r>
      <w:r>
        <w:t>dose response</w:t>
      </w:r>
      <w:r w:rsidRPr="002B5A1A">
        <w:t xml:space="preserve"> effect.</w:t>
      </w:r>
    </w:p>
    <w:p w:rsidR="00A81517" w:rsidRPr="00586F98" w:rsidRDefault="00A81517" w:rsidP="000E5DAC">
      <w:pPr>
        <w:rPr>
          <w:lang w:eastAsia="ja-JP"/>
        </w:rPr>
      </w:pPr>
      <w:r w:rsidRPr="002B5A1A">
        <w:t>The safety data submitted as part of this submission demonstrate that aclidinium bromide 40</w:t>
      </w:r>
      <w:r>
        <w:t>0 µ</w:t>
      </w:r>
      <w:r w:rsidRPr="002B5A1A">
        <w:t>g</w:t>
      </w:r>
      <w:r>
        <w:t xml:space="preserve"> BD </w:t>
      </w:r>
      <w:r w:rsidRPr="002B5A1A">
        <w:t>is not associated with significant safety concerns. The pattern of AEs does not differ from that observed for other products of this class.</w:t>
      </w:r>
    </w:p>
    <w:p w:rsidR="00605AD4" w:rsidRPr="00605AD4" w:rsidRDefault="00605AD4" w:rsidP="00EE1AF0">
      <w:pPr>
        <w:pStyle w:val="Heading3"/>
        <w:rPr>
          <w:rFonts w:eastAsia="Cambria"/>
        </w:rPr>
      </w:pPr>
      <w:bookmarkStart w:id="117" w:name="_Toc400115423"/>
      <w:r w:rsidRPr="00605AD4">
        <w:rPr>
          <w:rFonts w:eastAsia="Cambria"/>
        </w:rPr>
        <w:t xml:space="preserve">First </w:t>
      </w:r>
      <w:r w:rsidR="00EE1AF0">
        <w:rPr>
          <w:rFonts w:eastAsia="Cambria"/>
        </w:rPr>
        <w:t>r</w:t>
      </w:r>
      <w:r w:rsidRPr="00605AD4">
        <w:rPr>
          <w:rFonts w:eastAsia="Cambria"/>
        </w:rPr>
        <w:t xml:space="preserve">ound </w:t>
      </w:r>
      <w:r w:rsidR="00EE1AF0">
        <w:rPr>
          <w:rFonts w:eastAsia="Cambria"/>
        </w:rPr>
        <w:t>b</w:t>
      </w:r>
      <w:r w:rsidRPr="00605AD4">
        <w:rPr>
          <w:rFonts w:eastAsia="Cambria"/>
        </w:rPr>
        <w:t>enefit-</w:t>
      </w:r>
      <w:r w:rsidR="00EE1AF0">
        <w:rPr>
          <w:rFonts w:eastAsia="Cambria"/>
        </w:rPr>
        <w:t>r</w:t>
      </w:r>
      <w:r w:rsidRPr="00605AD4">
        <w:rPr>
          <w:rFonts w:eastAsia="Cambria"/>
        </w:rPr>
        <w:t xml:space="preserve">isk </w:t>
      </w:r>
      <w:r w:rsidR="00EE1AF0" w:rsidRPr="00EE1AF0">
        <w:rPr>
          <w:rFonts w:eastAsia="Cambria"/>
        </w:rPr>
        <w:t>a</w:t>
      </w:r>
      <w:r w:rsidRPr="00EE1AF0">
        <w:rPr>
          <w:rFonts w:eastAsia="Cambria"/>
        </w:rPr>
        <w:t>ssessment</w:t>
      </w:r>
      <w:bookmarkEnd w:id="117"/>
    </w:p>
    <w:p w:rsidR="00A81517" w:rsidRPr="009E0389" w:rsidRDefault="00A81517" w:rsidP="00EE1AF0">
      <w:pPr>
        <w:pStyle w:val="Heading4"/>
      </w:pPr>
      <w:bookmarkStart w:id="118" w:name="_Toc236802592"/>
      <w:bookmarkStart w:id="119" w:name="_Toc241374331"/>
      <w:bookmarkStart w:id="120" w:name="_Ref272160836"/>
      <w:bookmarkStart w:id="121" w:name="_Toc272414693"/>
      <w:bookmarkStart w:id="122" w:name="_Toc290846331"/>
      <w:bookmarkStart w:id="123" w:name="_Toc370463146"/>
      <w:bookmarkStart w:id="124" w:name="_Toc391987567"/>
      <w:r w:rsidRPr="009E0389">
        <w:t>First round assessment of benefits</w:t>
      </w:r>
      <w:bookmarkEnd w:id="118"/>
      <w:bookmarkEnd w:id="119"/>
      <w:bookmarkEnd w:id="120"/>
      <w:bookmarkEnd w:id="121"/>
      <w:bookmarkEnd w:id="122"/>
      <w:bookmarkEnd w:id="123"/>
      <w:bookmarkEnd w:id="124"/>
    </w:p>
    <w:p w:rsidR="00A81517" w:rsidRPr="002B5A1A" w:rsidRDefault="00A81517" w:rsidP="00EE1AF0">
      <w:r w:rsidRPr="002B5A1A">
        <w:t>The benefits of aclidinium bromide 40</w:t>
      </w:r>
      <w:r>
        <w:t>0 µ</w:t>
      </w:r>
      <w:r w:rsidRPr="002B5A1A">
        <w:t>g</w:t>
      </w:r>
      <w:r>
        <w:t xml:space="preserve"> BD </w:t>
      </w:r>
      <w:r w:rsidRPr="002B5A1A">
        <w:t>in the proposed usage are:</w:t>
      </w:r>
    </w:p>
    <w:p w:rsidR="00A81517" w:rsidRPr="002B5A1A" w:rsidRDefault="00A81517" w:rsidP="00EE1AF0">
      <w:r w:rsidRPr="002B5A1A">
        <w:t>Low systemic exposure as inhaled aclidinium bromide has &lt;</w:t>
      </w:r>
      <w:r>
        <w:t>5</w:t>
      </w:r>
      <w:r w:rsidRPr="002B5A1A">
        <w:t>% bioavailability resulting from both pulmo</w:t>
      </w:r>
      <w:r w:rsidR="00EE1AF0">
        <w:t>nary and intestinal absorption.</w:t>
      </w:r>
    </w:p>
    <w:p w:rsidR="00A81517" w:rsidRPr="002B5A1A" w:rsidRDefault="00A81517" w:rsidP="00EE1AF0">
      <w:r w:rsidRPr="002B5A1A">
        <w:rPr>
          <w:rFonts w:cs="TimesNewRomanPS-BoldMT"/>
          <w:bCs/>
        </w:rPr>
        <w:t>Low potential for drug-drug interactions:</w:t>
      </w:r>
      <w:r w:rsidRPr="002B5A1A">
        <w:rPr>
          <w:rFonts w:cs="TimesNewRomanPS-BoldMT"/>
          <w:b/>
          <w:bCs/>
        </w:rPr>
        <w:t xml:space="preserve"> </w:t>
      </w:r>
      <w:r w:rsidRPr="00C760E4">
        <w:rPr>
          <w:rFonts w:cs="TimesNewRomanPS-ItalicMT"/>
          <w:iCs/>
        </w:rPr>
        <w:t>In vitro</w:t>
      </w:r>
      <w:r w:rsidRPr="002B5A1A">
        <w:rPr>
          <w:rFonts w:cs="TimesNewRomanPS-ItalicMT"/>
          <w:i/>
          <w:iCs/>
        </w:rPr>
        <w:t xml:space="preserve"> </w:t>
      </w:r>
      <w:r w:rsidRPr="002B5A1A">
        <w:t>drug-drug interaction studies indicate that inhaled aclidinium bromide is unlikely to alter the disposition of drugs metabolised by CYP450 enzymes or human esterases or to affect the disposition of co-administered P-glycoprotein substrate drugs. As a consequence of the serious nature of COPD coupled with the likely presence in the COPD population of co-morbid conditions, polypharmacy is common and the availability of additional therapeutic options without potential for drug-drug interactions would be a useful addition to the physicians’ armamentarium.</w:t>
      </w:r>
    </w:p>
    <w:p w:rsidR="00A81517" w:rsidRPr="002B5A1A" w:rsidRDefault="00A81517" w:rsidP="00EE1AF0">
      <w:r w:rsidRPr="002B5A1A">
        <w:rPr>
          <w:rFonts w:cs="TimesNewRomanPS-BoldMT"/>
          <w:bCs/>
        </w:rPr>
        <w:t xml:space="preserve">No requirement for dosage adjustment in the elderly or in renally or hepatically impaired populations: </w:t>
      </w:r>
      <w:r w:rsidRPr="002B5A1A">
        <w:t xml:space="preserve">No differences in systemic exposure to aclidinium bromide or in the adverse event profile were observed in elderly patients compared to young patients and in patients with renal impairment compared to patients without renal impairment (in </w:t>
      </w:r>
      <w:r>
        <w:t xml:space="preserve">Studies </w:t>
      </w:r>
      <w:r w:rsidRPr="006F2D17">
        <w:t>M/</w:t>
      </w:r>
      <w:r w:rsidRPr="002B5A1A">
        <w:rPr>
          <w:rFonts w:cs="TimesNewRomanPS-BoldMT"/>
          <w:bCs/>
        </w:rPr>
        <w:t xml:space="preserve">34273/09 </w:t>
      </w:r>
      <w:r w:rsidRPr="002B5A1A">
        <w:t xml:space="preserve">and </w:t>
      </w:r>
      <w:r w:rsidRPr="006F2D17">
        <w:rPr>
          <w:rFonts w:cs="TimesNewRomanPS-BoldMT"/>
          <w:bCs/>
        </w:rPr>
        <w:t>M/</w:t>
      </w:r>
      <w:r w:rsidRPr="002B5A1A">
        <w:rPr>
          <w:rFonts w:cs="TimesNewRomanPS-BoldMT"/>
          <w:bCs/>
        </w:rPr>
        <w:t>34273/08</w:t>
      </w:r>
      <w:r w:rsidRPr="002B5A1A">
        <w:t>, respectively). As aclidinium bromide is metabolised by chemical and enzymatic cleavage in plasma, hepatic dysfunction is very unlikely to alter its systemic exposure. There are no special dosage instructions therefore for elderly and patients with renal or hepatic impairment.</w:t>
      </w:r>
    </w:p>
    <w:p w:rsidR="00A81517" w:rsidRPr="003B2EC6" w:rsidRDefault="00A81517" w:rsidP="00EE1AF0">
      <w:r w:rsidRPr="002B5A1A">
        <w:rPr>
          <w:color w:val="000000"/>
        </w:rPr>
        <w:t>The primary evidence of the efficacy of aclidinium bromide is from the 6</w:t>
      </w:r>
      <w:r>
        <w:rPr>
          <w:color w:val="000000"/>
        </w:rPr>
        <w:t xml:space="preserve"> </w:t>
      </w:r>
      <w:r w:rsidRPr="002B5A1A">
        <w:rPr>
          <w:color w:val="000000"/>
        </w:rPr>
        <w:t xml:space="preserve">month pivotal </w:t>
      </w:r>
      <w:r>
        <w:t xml:space="preserve">Study </w:t>
      </w:r>
      <w:r w:rsidRPr="006F2D17">
        <w:t>M/</w:t>
      </w:r>
      <w:r w:rsidRPr="002B5A1A">
        <w:rPr>
          <w:rFonts w:cs="TimesNewRomanPS-BoldMT"/>
          <w:bCs/>
        </w:rPr>
        <w:t>34273/34</w:t>
      </w:r>
      <w:r w:rsidRPr="002B5A1A">
        <w:t>. This study showed aclidinium bromide 40</w:t>
      </w:r>
      <w:r>
        <w:t>0 µ</w:t>
      </w:r>
      <w:r w:rsidRPr="002B5A1A">
        <w:t>g</w:t>
      </w:r>
      <w:r>
        <w:t xml:space="preserve"> BD </w:t>
      </w:r>
      <w:r w:rsidRPr="002B5A1A">
        <w:t xml:space="preserve">to be associated with clinically and statistically significant effects with respect to bronchodilation, symptomatic improvements including exacerbation control and improvements in disease-specific health status. The results of pivotal study </w:t>
      </w:r>
      <w:r w:rsidRPr="002B5A1A">
        <w:rPr>
          <w:rFonts w:cs="TimesNewRomanPS-BoldMT"/>
          <w:bCs/>
        </w:rPr>
        <w:t xml:space="preserve">LAS-MD-33 </w:t>
      </w:r>
      <w:r w:rsidRPr="002B5A1A">
        <w:t xml:space="preserve">were comparable to those of </w:t>
      </w:r>
      <w:r>
        <w:t xml:space="preserve">Study </w:t>
      </w:r>
      <w:r w:rsidRPr="006F2D17">
        <w:t>M/</w:t>
      </w:r>
      <w:r w:rsidRPr="002B5A1A">
        <w:t xml:space="preserve">34273/34. Further evidence of the benefits of aclidinium bromide was to be obtained from pivotal </w:t>
      </w:r>
      <w:r w:rsidRPr="003B2EC6">
        <w:t xml:space="preserve">study </w:t>
      </w:r>
      <w:r w:rsidRPr="003B2EC6">
        <w:rPr>
          <w:rFonts w:cs="TimesNewRomanPS-BoldMT"/>
          <w:bCs/>
        </w:rPr>
        <w:t>LAS-MD-38 Part A</w:t>
      </w:r>
      <w:r w:rsidRPr="003B2EC6">
        <w:t xml:space="preserve"> but due to an imbalance between treatment groups at baseline in lung function and COPD severity in study LAS-MD-38 Part A the sponsor considers that although statistically significant results were obtained for its primary and secondary endpoints, the study may not provide a reliable estimate of the true treatment effect. Supportive evidence of efficacy is derived from Phase II Studies M/</w:t>
      </w:r>
      <w:r w:rsidRPr="003B2EC6">
        <w:rPr>
          <w:rFonts w:cs="TimesNewRomanPS-BoldMT"/>
          <w:bCs/>
        </w:rPr>
        <w:t xml:space="preserve">34273/23 </w:t>
      </w:r>
      <w:r w:rsidRPr="003B2EC6">
        <w:t xml:space="preserve">and </w:t>
      </w:r>
      <w:r w:rsidRPr="003B2EC6">
        <w:rPr>
          <w:rFonts w:cs="TimesNewRomanPS-BoldMT"/>
          <w:bCs/>
        </w:rPr>
        <w:t xml:space="preserve">M/34273/29 </w:t>
      </w:r>
      <w:r w:rsidRPr="003B2EC6">
        <w:t xml:space="preserve">and long term studies </w:t>
      </w:r>
      <w:r w:rsidRPr="003B2EC6">
        <w:rPr>
          <w:rFonts w:cs="TimesNewRomanPS-BoldMT"/>
          <w:bCs/>
        </w:rPr>
        <w:t xml:space="preserve">LAS-MD-35 </w:t>
      </w:r>
      <w:r w:rsidRPr="003B2EC6">
        <w:t xml:space="preserve">and </w:t>
      </w:r>
      <w:r w:rsidRPr="003B2EC6">
        <w:rPr>
          <w:rFonts w:cs="TimesNewRomanPS-BoldMT"/>
          <w:bCs/>
        </w:rPr>
        <w:t>LAS-MD-36</w:t>
      </w:r>
      <w:r w:rsidRPr="003B2EC6">
        <w:t>.</w:t>
      </w:r>
    </w:p>
    <w:p w:rsidR="00A81517" w:rsidRPr="003B2EC6" w:rsidRDefault="00A81517" w:rsidP="00EE1AF0">
      <w:r w:rsidRPr="003B2EC6">
        <w:t>Principal benefits of aclidinium bromide include:</w:t>
      </w:r>
    </w:p>
    <w:p w:rsidR="00A81517" w:rsidRPr="00382763" w:rsidRDefault="00A81517" w:rsidP="00EE1AF0">
      <w:r w:rsidRPr="00382763">
        <w:rPr>
          <w:rFonts w:cs="TimesNewRomanPS-BoldMT"/>
          <w:bCs/>
          <w:i/>
        </w:rPr>
        <w:t>Bronchodilation</w:t>
      </w:r>
      <w:r w:rsidRPr="00382763">
        <w:rPr>
          <w:rFonts w:cs="TimesNewRomanPS-BoldMT"/>
          <w:bCs/>
        </w:rPr>
        <w:t xml:space="preserve">: </w:t>
      </w:r>
      <w:r w:rsidRPr="00382763">
        <w:t>Aclidinium bromide 400 µg BD is associated with clinically significant bronchodilatory effects in the 12 hours following morning and evening administration, which are observed within 30 minutes of the first dose. Peak bronchodilation compared to baseline is achieved within 1 hour to 3 hours following dosing and is maintained for the duration of the study treatment period. Furthermore, Phase II Studies M/34273/23 and M/34273/29 showed the overall bronchodilation of aclidinium bromide 400 µg BD to be broadly comparable to that of commercially available bronchodilators, tiotropium and formoterol.</w:t>
      </w:r>
    </w:p>
    <w:p w:rsidR="00A81517" w:rsidRPr="00382763" w:rsidRDefault="00A81517" w:rsidP="00EE1AF0">
      <w:r w:rsidRPr="00382763">
        <w:rPr>
          <w:rFonts w:cs="TimesNewRomanPS-BoldMT"/>
          <w:bCs/>
          <w:i/>
        </w:rPr>
        <w:t>Dyspnoea (</w:t>
      </w:r>
      <w:r w:rsidRPr="00382763">
        <w:rPr>
          <w:i/>
        </w:rPr>
        <w:t>Transitional Dyspnoea Index (TDI</w:t>
      </w:r>
      <w:r>
        <w:rPr>
          <w:rStyle w:val="FootnoteReference"/>
          <w:i/>
        </w:rPr>
        <w:footnoteReference w:id="22"/>
      </w:r>
      <w:r w:rsidRPr="00382763">
        <w:rPr>
          <w:i/>
        </w:rPr>
        <w:t>)</w:t>
      </w:r>
      <w:r w:rsidRPr="00382763">
        <w:rPr>
          <w:rFonts w:cs="TimesNewRomanPS-BoldMT"/>
          <w:bCs/>
          <w:i/>
        </w:rPr>
        <w:t xml:space="preserve"> Focal score):</w:t>
      </w:r>
      <w:r w:rsidRPr="00382763">
        <w:rPr>
          <w:rFonts w:cs="TimesNewRomanPS-BoldMT"/>
          <w:bCs/>
        </w:rPr>
        <w:t xml:space="preserve"> </w:t>
      </w:r>
      <w:r w:rsidRPr="00382763">
        <w:t xml:space="preserve">A statistically significantly greater percentage of patients treated with aclidinium bromide 400 µg BD compared to </w:t>
      </w:r>
      <w:proofErr w:type="gramStart"/>
      <w:r w:rsidRPr="00382763">
        <w:t>placebo</w:t>
      </w:r>
      <w:proofErr w:type="gramEnd"/>
      <w:r w:rsidRPr="00382763">
        <w:t xml:space="preserve"> had a clinically significant improvement in their breathlessness as assessed by the TDI Focal score (OR 1.7). In addition, the mean increase from baseline to Week 24 in TDI Focal score was of a clinically-significant magnitude.</w:t>
      </w:r>
    </w:p>
    <w:p w:rsidR="00A81517" w:rsidRPr="00382763" w:rsidRDefault="00A81517" w:rsidP="00EE1AF0">
      <w:r w:rsidRPr="00382763">
        <w:rPr>
          <w:rFonts w:cs="TimesNewRomanPS-BoldMT"/>
          <w:bCs/>
          <w:i/>
        </w:rPr>
        <w:t>Disease-specific health status (</w:t>
      </w:r>
      <w:r w:rsidRPr="00A62B36">
        <w:rPr>
          <w:rFonts w:asciiTheme="minorHAnsi" w:hAnsiTheme="minorHAnsi" w:cs="Arial"/>
          <w:bCs/>
          <w:i/>
        </w:rPr>
        <w:t>St. George's Respiratory Questionnaire</w:t>
      </w:r>
      <w:r>
        <w:rPr>
          <w:rFonts w:ascii="Arial" w:hAnsi="Arial" w:cs="Arial"/>
          <w:b/>
          <w:bCs/>
          <w:sz w:val="20"/>
          <w:szCs w:val="20"/>
        </w:rPr>
        <w:t xml:space="preserve"> </w:t>
      </w:r>
      <w:r w:rsidRPr="00A62B36">
        <w:rPr>
          <w:rFonts w:asciiTheme="minorHAnsi" w:hAnsiTheme="minorHAnsi" w:cs="Arial"/>
          <w:bCs/>
          <w:i/>
        </w:rPr>
        <w:t>(</w:t>
      </w:r>
      <w:r w:rsidRPr="00382763">
        <w:rPr>
          <w:rFonts w:cs="TimesNewRomanPS-BoldMT"/>
          <w:bCs/>
          <w:i/>
        </w:rPr>
        <w:t>SGRQ</w:t>
      </w:r>
      <w:r>
        <w:rPr>
          <w:rFonts w:cs="TimesNewRomanPS-BoldMT"/>
          <w:bCs/>
          <w:i/>
        </w:rPr>
        <w:t>)</w:t>
      </w:r>
      <w:r w:rsidRPr="00382763">
        <w:rPr>
          <w:rFonts w:cs="TimesNewRomanPS-BoldMT"/>
          <w:bCs/>
          <w:i/>
        </w:rPr>
        <w:t xml:space="preserve"> Total score</w:t>
      </w:r>
      <w:r>
        <w:rPr>
          <w:rStyle w:val="FootnoteReference"/>
          <w:rFonts w:cs="TimesNewRomanPS-BoldMT"/>
          <w:bCs/>
          <w:i/>
        </w:rPr>
        <w:footnoteReference w:id="23"/>
      </w:r>
      <w:r w:rsidRPr="00382763">
        <w:rPr>
          <w:rFonts w:cs="TimesNewRomanPS-BoldMT"/>
          <w:bCs/>
          <w:i/>
        </w:rPr>
        <w:t>):</w:t>
      </w:r>
      <w:r w:rsidRPr="00382763">
        <w:rPr>
          <w:rFonts w:cs="TimesNewRomanPS-BoldMT"/>
          <w:bCs/>
        </w:rPr>
        <w:t xml:space="preserve"> </w:t>
      </w:r>
      <w:r w:rsidRPr="00382763">
        <w:t>A statistically significantly higher percentage of patients treated with aclidinium bromide 400 µg BD compared to placebo had a clinically significant improvement in disease-specific health status as assessed by the SGRQ Total score (</w:t>
      </w:r>
      <w:r>
        <w:t>Odds Ratio (</w:t>
      </w:r>
      <w:r w:rsidRPr="00382763">
        <w:t>OR</w:t>
      </w:r>
      <w:r>
        <w:t>)</w:t>
      </w:r>
      <w:r w:rsidRPr="00382763">
        <w:t xml:space="preserve"> 1.9</w:t>
      </w:r>
      <w:r>
        <w:t xml:space="preserve"> </w:t>
      </w:r>
      <w:r w:rsidRPr="00382763">
        <w:t xml:space="preserve">fold). </w:t>
      </w:r>
      <w:r w:rsidR="00145C30">
        <w:t>T</w:t>
      </w:r>
      <w:r w:rsidR="00145C30" w:rsidRPr="00382763">
        <w:t xml:space="preserve">reatment </w:t>
      </w:r>
      <w:r w:rsidR="00145C30">
        <w:t>with a</w:t>
      </w:r>
      <w:r w:rsidRPr="00382763">
        <w:t>clidinium bromide 400 µg BD also resulted in a clinically significant improvement from baseline to the end of treatment in SGRQ Total score, compared to placebo.</w:t>
      </w:r>
    </w:p>
    <w:p w:rsidR="00A81517" w:rsidRPr="00382763" w:rsidRDefault="00A81517" w:rsidP="00EE1AF0">
      <w:r w:rsidRPr="00A62B36">
        <w:rPr>
          <w:rFonts w:cs="TimesNewRomanPS-BoldMT"/>
          <w:bCs/>
          <w:i/>
        </w:rPr>
        <w:t>Maintenance of effect</w:t>
      </w:r>
      <w:r w:rsidRPr="00382763">
        <w:rPr>
          <w:rFonts w:cs="TimesNewRomanPS-BoldMT"/>
          <w:bCs/>
        </w:rPr>
        <w:t xml:space="preserve">: </w:t>
      </w:r>
      <w:r w:rsidRPr="00382763">
        <w:t>The bronchodilatory effects of aclidinium bromide 400 µg BD were maintained from Week 1 for the duration of the 24 week study treatment period. The effects on dyspnoea and disease-specific health status were maintained from Week 4 for the duration of the 24 week study treatment period. Supportive evidence for the persistence of efficacy (FEV1 and SGRQ) when aclidinium bromide is administered over a one</w:t>
      </w:r>
      <w:r>
        <w:t xml:space="preserve"> </w:t>
      </w:r>
      <w:r w:rsidRPr="00382763">
        <w:t>year treatment period is obtained from long term</w:t>
      </w:r>
      <w:r>
        <w:t xml:space="preserve"> S</w:t>
      </w:r>
      <w:r w:rsidRPr="00382763">
        <w:t xml:space="preserve">tudies </w:t>
      </w:r>
      <w:r w:rsidRPr="00382763">
        <w:rPr>
          <w:rFonts w:cs="TimesNewRomanPS-BoldMT"/>
          <w:bCs/>
        </w:rPr>
        <w:t xml:space="preserve">LAS-MD-35, LAS-MD-36 </w:t>
      </w:r>
      <w:r w:rsidRPr="00382763">
        <w:t xml:space="preserve">and </w:t>
      </w:r>
      <w:r w:rsidRPr="00382763">
        <w:rPr>
          <w:rFonts w:cs="TimesNewRomanPS-BoldMT"/>
          <w:bCs/>
        </w:rPr>
        <w:t>LAS-MD-38 Part B</w:t>
      </w:r>
      <w:r w:rsidRPr="00382763">
        <w:t>.</w:t>
      </w:r>
    </w:p>
    <w:p w:rsidR="00A81517" w:rsidRPr="00382763" w:rsidRDefault="00A81517" w:rsidP="00EE1AF0">
      <w:r w:rsidRPr="00A62B36">
        <w:rPr>
          <w:rFonts w:cs="TimesNewRomanPS-BoldMT"/>
          <w:bCs/>
          <w:i/>
        </w:rPr>
        <w:t>Daily symptoms and night time and early morning symptoms</w:t>
      </w:r>
      <w:r w:rsidRPr="00382763">
        <w:rPr>
          <w:rFonts w:cs="TimesNewRomanPS-BoldMT"/>
          <w:bCs/>
        </w:rPr>
        <w:t xml:space="preserve">: </w:t>
      </w:r>
      <w:r w:rsidRPr="00382763">
        <w:t>Aclidinium bromide 400 µg BD resulted in statistically significant improvements compared to placebo in daily symptoms of breathlessness, chest symptoms and cough and sputum, in night time sputum production and in night time and morning symptoms of breathlessness and cough.</w:t>
      </w:r>
    </w:p>
    <w:p w:rsidR="00A81517" w:rsidRPr="00382763" w:rsidRDefault="00A81517" w:rsidP="00EE1AF0">
      <w:r w:rsidRPr="00A62B36">
        <w:rPr>
          <w:rFonts w:cs="TimesNewRomanPS-BoldMT"/>
          <w:bCs/>
          <w:i/>
        </w:rPr>
        <w:t>Rescue medication use</w:t>
      </w:r>
      <w:r w:rsidRPr="00382763">
        <w:rPr>
          <w:rFonts w:cs="TimesNewRomanPS-BoldMT"/>
          <w:bCs/>
        </w:rPr>
        <w:t xml:space="preserve">: </w:t>
      </w:r>
      <w:r w:rsidRPr="00382763">
        <w:t>Statistically significant reductions with aclidinium bromide 400 µg BD compared to placebo were observed in daily use of rescue medication; an observation which reflects the improvement in symptoms following treatment with aclidinium bromide 400 µg BD.</w:t>
      </w:r>
    </w:p>
    <w:p w:rsidR="00A81517" w:rsidRPr="00382763" w:rsidRDefault="00A81517" w:rsidP="00EE1AF0">
      <w:r w:rsidRPr="00A62B36">
        <w:rPr>
          <w:rFonts w:cs="TimesNewRomanPS-BoldMT"/>
          <w:bCs/>
          <w:i/>
        </w:rPr>
        <w:t>Exacerbation control</w:t>
      </w:r>
      <w:r w:rsidRPr="00382763">
        <w:rPr>
          <w:rFonts w:cs="TimesNewRomanPS-BoldMT"/>
          <w:bCs/>
        </w:rPr>
        <w:t xml:space="preserve">: </w:t>
      </w:r>
      <w:r w:rsidRPr="00382763">
        <w:t>A statistically significant reduction in exacerbation rate of approximately 30% was observed with aclidinium bromide 400 µg BD compared to placebo whether exacerbations were defined according to the validated EXACT daily diary or on the</w:t>
      </w:r>
      <w:r>
        <w:t xml:space="preserve"> basis of health resource utilis</w:t>
      </w:r>
      <w:r w:rsidRPr="00382763">
        <w:t>ation.</w:t>
      </w:r>
    </w:p>
    <w:p w:rsidR="00A81517" w:rsidRPr="00382763" w:rsidRDefault="00A81517" w:rsidP="00EE1AF0">
      <w:r w:rsidRPr="00A62B36">
        <w:rPr>
          <w:rFonts w:cs="TimesNewRomanPS-BoldMT"/>
          <w:bCs/>
          <w:i/>
        </w:rPr>
        <w:t>Inhalation device:</w:t>
      </w:r>
      <w:r w:rsidRPr="00382763">
        <w:rPr>
          <w:rFonts w:cs="TimesNewRomanPS-BoldMT"/>
          <w:bCs/>
        </w:rPr>
        <w:t xml:space="preserve"> </w:t>
      </w:r>
      <w:r w:rsidRPr="00382763">
        <w:t>Aclidinium bromide is administered via the Almirall inhaler, a multidose, device</w:t>
      </w:r>
      <w:r>
        <w:t xml:space="preserve"> </w:t>
      </w:r>
      <w:r w:rsidRPr="00382763">
        <w:t>metered, dry powder inhaler whose ease of use was reported by 85% or more of patients in Studies M/</w:t>
      </w:r>
      <w:r w:rsidRPr="00382763">
        <w:rPr>
          <w:rFonts w:cs="TimesNewRomanPS-BoldMT"/>
          <w:bCs/>
        </w:rPr>
        <w:t xml:space="preserve">34273/30, M/34273/31, M/34273/23 </w:t>
      </w:r>
      <w:r w:rsidRPr="00382763">
        <w:t xml:space="preserve">and </w:t>
      </w:r>
      <w:r w:rsidRPr="00382763">
        <w:rPr>
          <w:rFonts w:cs="TimesNewRomanPS-BoldMT"/>
          <w:bCs/>
        </w:rPr>
        <w:t>M/34273/29</w:t>
      </w:r>
      <w:r w:rsidRPr="00382763">
        <w:t>. The ease of use of the Almirall inhaler may represent an advantage over other devices used for long term bronchodilators. Indeed in Study M/34273/23, 50% preferred the Almirall inhaler to the tiotropium Handihaler®, while 10% preferred the Handihaler® to the Almirall inhaler</w:t>
      </w:r>
      <w:r>
        <w:t>. I</w:t>
      </w:r>
      <w:r w:rsidRPr="00382763">
        <w:t>n Study M/34273/29, 76% preferred the Almirall inhaler to the formoterol Aerolizer® while 10% preferred the Aerolizer® to the Almirall inhaler.</w:t>
      </w:r>
    </w:p>
    <w:p w:rsidR="00A81517" w:rsidRPr="00382763" w:rsidRDefault="00A81517" w:rsidP="00EE1AF0">
      <w:r w:rsidRPr="00A62B36">
        <w:rPr>
          <w:rFonts w:cs="TimesNewRomanPS-BoldMT"/>
          <w:bCs/>
          <w:i/>
        </w:rPr>
        <w:t>Good safety profile:</w:t>
      </w:r>
      <w:r w:rsidRPr="00382763">
        <w:rPr>
          <w:rFonts w:cs="TimesNewRomanPS-BoldMT"/>
          <w:bCs/>
        </w:rPr>
        <w:t xml:space="preserve"> </w:t>
      </w:r>
      <w:r w:rsidRPr="00382763">
        <w:t>Tolerability of medication is a particular challenge in COPD because patients commonly have comorbidities and often receive a number of concomitant medications. There was no increase in the overall TEAE incidence with the change from QD to BD dosing and results suggest a lack of a dose response. Comparison of the most commonly reported SOCs and individual preferred terms in these QD and BD analyses also did not reveal a dose response effect. The safety data submitted as part of this submission demonstrate that aclidinium bromide 400 µg BD is not associated with significant safety concerns. The pattern of AEs does not differ from that observed fo</w:t>
      </w:r>
      <w:r w:rsidR="00EE1AF0">
        <w:t>r other products of this class.</w:t>
      </w:r>
    </w:p>
    <w:p w:rsidR="00A81517" w:rsidRPr="002B5A1A" w:rsidRDefault="00A81517" w:rsidP="00EE1AF0">
      <w:pPr>
        <w:pStyle w:val="Heading4"/>
      </w:pPr>
      <w:bookmarkStart w:id="125" w:name="_Toc236802596"/>
      <w:bookmarkStart w:id="126" w:name="_Toc241374334"/>
      <w:bookmarkStart w:id="127" w:name="_Ref272160964"/>
      <w:bookmarkStart w:id="128" w:name="_Toc272414694"/>
      <w:bookmarkStart w:id="129" w:name="_Toc290846332"/>
      <w:bookmarkStart w:id="130" w:name="_Toc300307703"/>
      <w:bookmarkStart w:id="131" w:name="_Toc370463147"/>
      <w:bookmarkStart w:id="132" w:name="_Toc391987568"/>
      <w:r w:rsidRPr="002B5A1A">
        <w:t>First round assessment of risks</w:t>
      </w:r>
      <w:bookmarkEnd w:id="125"/>
      <w:bookmarkEnd w:id="126"/>
      <w:bookmarkEnd w:id="127"/>
      <w:bookmarkEnd w:id="128"/>
      <w:bookmarkEnd w:id="129"/>
      <w:bookmarkEnd w:id="130"/>
      <w:bookmarkEnd w:id="131"/>
      <w:bookmarkEnd w:id="132"/>
    </w:p>
    <w:p w:rsidR="00A81517" w:rsidRPr="002B5A1A" w:rsidRDefault="00A81517" w:rsidP="00EE1AF0">
      <w:r w:rsidRPr="002B5A1A">
        <w:t>The risks of aclidinium bromide 40</w:t>
      </w:r>
      <w:r>
        <w:t xml:space="preserve">0 µg BD </w:t>
      </w:r>
      <w:r w:rsidRPr="002B5A1A">
        <w:t>in the proposed usage are:</w:t>
      </w:r>
    </w:p>
    <w:p w:rsidR="00A81517" w:rsidRPr="002B5A1A" w:rsidRDefault="00A81517" w:rsidP="00EE1AF0">
      <w:proofErr w:type="gramStart"/>
      <w:r w:rsidRPr="00A62B36">
        <w:rPr>
          <w:i/>
        </w:rPr>
        <w:t>Lack of a study</w:t>
      </w:r>
      <w:r w:rsidRPr="002B5A1A">
        <w:t xml:space="preserve"> directly comparing efficacy and safety of QD and</w:t>
      </w:r>
      <w:r>
        <w:t xml:space="preserve"> BD </w:t>
      </w:r>
      <w:r w:rsidRPr="002B5A1A">
        <w:t>dosing with 40</w:t>
      </w:r>
      <w:r>
        <w:t>0 µg</w:t>
      </w:r>
      <w:r w:rsidRPr="002B5A1A">
        <w:t xml:space="preserve"> aclidinium bromide in COP</w:t>
      </w:r>
      <w:r w:rsidR="00EE1AF0">
        <w:t>D patients.</w:t>
      </w:r>
      <w:proofErr w:type="gramEnd"/>
    </w:p>
    <w:p w:rsidR="00A81517" w:rsidRPr="002B5A1A" w:rsidRDefault="00A81517" w:rsidP="00EE1AF0">
      <w:r w:rsidRPr="00A62B36">
        <w:rPr>
          <w:i/>
        </w:rPr>
        <w:t>Change in smoking status</w:t>
      </w:r>
      <w:r w:rsidRPr="002B5A1A">
        <w:t xml:space="preserve">, tobacco exposure and use of nicotine replacement therapy (as an aid to smoking cessation) </w:t>
      </w:r>
      <w:r w:rsidR="00D31ABE">
        <w:t>were</w:t>
      </w:r>
      <w:r w:rsidR="00D31ABE" w:rsidRPr="002B5A1A">
        <w:t xml:space="preserve"> </w:t>
      </w:r>
      <w:r w:rsidRPr="002B5A1A">
        <w:t>not recorded in the pivotal studies and its potential effect on efficacy outcomes was not evaluated.</w:t>
      </w:r>
    </w:p>
    <w:p w:rsidR="00A81517" w:rsidRPr="002B5A1A" w:rsidRDefault="00A81517" w:rsidP="00EE1AF0">
      <w:r w:rsidRPr="002B5A1A">
        <w:t>The cardiac and cerebrovascular safety of other anticholinergic agents has required regulatory discussions in the past. A detailed review of the cardiovascular and cerebrovascular risk associated with aclidinium bromide 40</w:t>
      </w:r>
      <w:r>
        <w:t>0 µ</w:t>
      </w:r>
      <w:r w:rsidRPr="002B5A1A">
        <w:t>g</w:t>
      </w:r>
      <w:r>
        <w:t xml:space="preserve"> BD </w:t>
      </w:r>
      <w:r w:rsidRPr="002B5A1A">
        <w:t xml:space="preserve">has been performed and showed no apparent evidence of an increased cardiovascular or cerebrovascular risk with aclidinium bromide. As patients with a myocardial infarction during the previous 6 months, unstable angina, newly diagnosed arrhythmia within the previous 3 months, or hospitalisation within the previous 12 months for heart failure Functional Classes III and IV as per the New York Heart Association have not been included in clinical trials, the </w:t>
      </w:r>
      <w:r>
        <w:t xml:space="preserve">EU Summary of </w:t>
      </w:r>
      <w:r w:rsidR="00D31ABE">
        <w:t>P</w:t>
      </w:r>
      <w:r>
        <w:t>roduct Characteristics (</w:t>
      </w:r>
      <w:r w:rsidRPr="002B5A1A">
        <w:t>SmPC</w:t>
      </w:r>
      <w:r>
        <w:t>)</w:t>
      </w:r>
      <w:r w:rsidRPr="002B5A1A">
        <w:t xml:space="preserve"> will state that the safety of these patient groups has not been investigated and aclidinium bromide in these patient groups should be used with caution.</w:t>
      </w:r>
    </w:p>
    <w:p w:rsidR="00A81517" w:rsidRPr="002B5A1A" w:rsidRDefault="00A81517" w:rsidP="00EE1AF0">
      <w:pPr>
        <w:rPr>
          <w:color w:val="000000"/>
        </w:rPr>
      </w:pPr>
      <w:r w:rsidRPr="00A62B36">
        <w:rPr>
          <w:rFonts w:cs="TimesNewRomanPS-BoldMT"/>
          <w:bCs/>
          <w:i/>
        </w:rPr>
        <w:t>Anticholinergic adverse effects</w:t>
      </w:r>
      <w:r w:rsidRPr="002B5A1A">
        <w:rPr>
          <w:rFonts w:cs="TimesNewRomanPS-BoldMT"/>
          <w:bCs/>
        </w:rPr>
        <w:t xml:space="preserve">: </w:t>
      </w:r>
      <w:r w:rsidRPr="002B5A1A">
        <w:t xml:space="preserve">The low bioavailability of inhaled aclidinium bromide suggests a low potential for systemic anticholinergic activity. A thorough review of potential anticholinergic adverse effects in the Pivotal Study Population showed the frequency of individual potential anticholinergic adverse events to be low (≤1.1% with aclidinium bromide </w:t>
      </w:r>
      <w:r>
        <w:t>400 µg</w:t>
      </w:r>
      <w:r w:rsidRPr="002B5A1A">
        <w:t>) and in the range of, or lower than, that reported for other anticholinergic drugs. Few potential anticholinergic adverse events are considered to be ADRs. Furthermore, as patients with symptomatic prostatic hyperplasia, bladder-neck obstruction or narrow-angle glaucoma have not been included in clinical trials the SmPC will state that consistent with the anticholinergic activity of aclidinium bromide it should be used with caution in these patient groups. The co</w:t>
      </w:r>
      <w:r w:rsidR="00E74309">
        <w:t>-</w:t>
      </w:r>
      <w:r w:rsidRPr="002B5A1A">
        <w:t>administration of aclidinium bromide with other anticholinergic drugs has not been studied and is not recommended.</w:t>
      </w:r>
    </w:p>
    <w:p w:rsidR="00A81517" w:rsidRPr="00EE1AF0" w:rsidRDefault="00A81517" w:rsidP="00EE1AF0">
      <w:pPr>
        <w:pStyle w:val="Heading4"/>
      </w:pPr>
      <w:bookmarkStart w:id="133" w:name="_Toc236802597"/>
      <w:bookmarkStart w:id="134" w:name="_Toc241374335"/>
      <w:bookmarkStart w:id="135" w:name="_Toc272414695"/>
      <w:bookmarkStart w:id="136" w:name="_Toc290846333"/>
      <w:bookmarkStart w:id="137" w:name="_Toc300307704"/>
      <w:bookmarkStart w:id="138" w:name="_Toc370463148"/>
      <w:bookmarkStart w:id="139" w:name="_Toc391987569"/>
      <w:r w:rsidRPr="002B5A1A">
        <w:t>First round assessment of benefit-risk balance</w:t>
      </w:r>
      <w:bookmarkEnd w:id="133"/>
      <w:bookmarkEnd w:id="134"/>
      <w:bookmarkEnd w:id="135"/>
      <w:bookmarkEnd w:id="136"/>
      <w:bookmarkEnd w:id="137"/>
      <w:bookmarkEnd w:id="138"/>
      <w:bookmarkEnd w:id="139"/>
    </w:p>
    <w:p w:rsidR="00A81517" w:rsidRPr="002B5A1A" w:rsidRDefault="00A81517" w:rsidP="00EE1AF0">
      <w:r w:rsidRPr="002B5A1A">
        <w:t>The benefit-risk balance of aclidinium bromide (Bretaris Genuair), given the proposed usage, is favourable.</w:t>
      </w:r>
    </w:p>
    <w:p w:rsidR="00A81517" w:rsidRPr="00586F98" w:rsidRDefault="00A81517" w:rsidP="00EE1AF0">
      <w:pPr>
        <w:rPr>
          <w:lang w:eastAsia="ja-JP"/>
        </w:rPr>
      </w:pPr>
      <w:r w:rsidRPr="002B5A1A">
        <w:t>Overall the benefit-risk profile is considered favourable for aclidinium bromide 40</w:t>
      </w:r>
      <w:r>
        <w:t>0 µ</w:t>
      </w:r>
      <w:r w:rsidRPr="002B5A1A">
        <w:t>g</w:t>
      </w:r>
      <w:r>
        <w:t xml:space="preserve"> BD </w:t>
      </w:r>
      <w:r w:rsidRPr="002B5A1A">
        <w:t xml:space="preserve">given the clinically and statistically significant treatment benefits (as assessed by measures of lung function, symptoms including exacerbations, disease specific health status and exercise tolerance) compared to the identified safety profile. </w:t>
      </w:r>
      <w:r w:rsidRPr="002B5A1A">
        <w:rPr>
          <w:color w:val="000000"/>
        </w:rPr>
        <w:t>Aclidinium bromide will provide physicians and COPD patients with an effective and safe alternative treatment option for a disease which has limited therapeutic options. Given the serious nature of COPD, the necessity of polypharmacy due to the presence of co-morbid conditions</w:t>
      </w:r>
      <w:r w:rsidRPr="002B5A1A">
        <w:rPr>
          <w:rFonts w:cs="TimesNewRomanPS-BoldMT"/>
          <w:b/>
          <w:bCs/>
          <w:color w:val="0000FF"/>
        </w:rPr>
        <w:t xml:space="preserve"> </w:t>
      </w:r>
      <w:r w:rsidRPr="002B5A1A">
        <w:rPr>
          <w:color w:val="000000"/>
        </w:rPr>
        <w:t>and the highly variable response of patients to treatment, the development of additional pharmacological options, especially those with a good efficacy and safety profile and reduced potential for drug interactions, is necessary.</w:t>
      </w:r>
    </w:p>
    <w:p w:rsidR="00605AD4" w:rsidRDefault="00605AD4" w:rsidP="00EE1AF0">
      <w:pPr>
        <w:pStyle w:val="Heading3"/>
        <w:rPr>
          <w:rFonts w:eastAsia="Cambria"/>
        </w:rPr>
      </w:pPr>
      <w:bookmarkStart w:id="140" w:name="_Toc400115424"/>
      <w:r w:rsidRPr="00605AD4">
        <w:rPr>
          <w:rFonts w:eastAsia="Cambria"/>
        </w:rPr>
        <w:t xml:space="preserve">First </w:t>
      </w:r>
      <w:r w:rsidR="00EE1AF0">
        <w:rPr>
          <w:rFonts w:eastAsia="Cambria"/>
        </w:rPr>
        <w:t>r</w:t>
      </w:r>
      <w:r w:rsidRPr="00605AD4">
        <w:rPr>
          <w:rFonts w:eastAsia="Cambria"/>
        </w:rPr>
        <w:t xml:space="preserve">ound </w:t>
      </w:r>
      <w:r w:rsidR="00EE1AF0">
        <w:rPr>
          <w:rFonts w:eastAsia="Cambria"/>
        </w:rPr>
        <w:t>r</w:t>
      </w:r>
      <w:r w:rsidRPr="00605AD4">
        <w:rPr>
          <w:rFonts w:eastAsia="Cambria"/>
        </w:rPr>
        <w:t xml:space="preserve">ecommendation </w:t>
      </w:r>
      <w:r w:rsidR="00EE1AF0">
        <w:rPr>
          <w:rFonts w:eastAsia="Cambria"/>
        </w:rPr>
        <w:t>r</w:t>
      </w:r>
      <w:r w:rsidRPr="00605AD4">
        <w:rPr>
          <w:rFonts w:eastAsia="Cambria"/>
        </w:rPr>
        <w:t xml:space="preserve">egarding </w:t>
      </w:r>
      <w:r w:rsidR="00EE1AF0" w:rsidRPr="00EE1AF0">
        <w:rPr>
          <w:rFonts w:eastAsia="Cambria"/>
        </w:rPr>
        <w:t>a</w:t>
      </w:r>
      <w:r w:rsidRPr="00EE1AF0">
        <w:rPr>
          <w:rFonts w:eastAsia="Cambria"/>
        </w:rPr>
        <w:t>uthorisation</w:t>
      </w:r>
      <w:bookmarkEnd w:id="140"/>
    </w:p>
    <w:p w:rsidR="00A81517" w:rsidRPr="002B5A1A" w:rsidRDefault="00A81517" w:rsidP="00EE1AF0">
      <w:r w:rsidRPr="002B5A1A">
        <w:t>It is recommended that Bretaris Genuair (aclidinium bromide 40</w:t>
      </w:r>
      <w:r>
        <w:t>0 µ</w:t>
      </w:r>
      <w:r w:rsidRPr="002B5A1A">
        <w:t>g twice daily by inha</w:t>
      </w:r>
      <w:r w:rsidR="00E74309">
        <w:t>la</w:t>
      </w:r>
      <w:r w:rsidRPr="002B5A1A">
        <w:t xml:space="preserve">tion) be approved for the </w:t>
      </w:r>
      <w:r>
        <w:t>long term</w:t>
      </w:r>
      <w:r w:rsidRPr="002B5A1A">
        <w:t xml:space="preserve"> maintenance bronchodilator treatment to relieve symptoms in adult patients with COPD.</w:t>
      </w:r>
      <w:r>
        <w:t xml:space="preserve"> However, t</w:t>
      </w:r>
      <w:r w:rsidRPr="002B5A1A">
        <w:t>he approval is subject to incorporation of sugges</w:t>
      </w:r>
      <w:r>
        <w:t xml:space="preserve">ted changes to the proposed PI </w:t>
      </w:r>
      <w:r w:rsidRPr="002B5A1A">
        <w:t>and satisfactory response to the clinical questions raised</w:t>
      </w:r>
      <w:r>
        <w:t xml:space="preserve"> in this</w:t>
      </w:r>
      <w:r w:rsidRPr="002B5A1A">
        <w:t xml:space="preserve"> report</w:t>
      </w:r>
      <w:r>
        <w:t xml:space="preserve"> (see below)</w:t>
      </w:r>
      <w:r w:rsidR="00EE1AF0">
        <w:t>.</w:t>
      </w:r>
    </w:p>
    <w:p w:rsidR="00605AD4" w:rsidRPr="00EE1AF0" w:rsidRDefault="00605AD4" w:rsidP="00EE1AF0">
      <w:pPr>
        <w:pStyle w:val="Heading3"/>
        <w:rPr>
          <w:rFonts w:eastAsia="Cambria"/>
        </w:rPr>
      </w:pPr>
      <w:bookmarkStart w:id="141" w:name="_Toc400115425"/>
      <w:r w:rsidRPr="00605AD4">
        <w:rPr>
          <w:rFonts w:eastAsia="Cambria"/>
        </w:rPr>
        <w:t xml:space="preserve">Clinical </w:t>
      </w:r>
      <w:r w:rsidR="00EE1AF0">
        <w:rPr>
          <w:rFonts w:eastAsia="Cambria"/>
        </w:rPr>
        <w:t>q</w:t>
      </w:r>
      <w:r w:rsidRPr="00605AD4">
        <w:rPr>
          <w:rFonts w:eastAsia="Cambria"/>
        </w:rPr>
        <w:t>uestions</w:t>
      </w:r>
      <w:bookmarkEnd w:id="141"/>
    </w:p>
    <w:p w:rsidR="00A81517" w:rsidRPr="002B5A1A" w:rsidRDefault="00A81517" w:rsidP="00EE1AF0">
      <w:pPr>
        <w:pStyle w:val="Heading4"/>
      </w:pPr>
      <w:bookmarkStart w:id="142" w:name="_Toc272414702"/>
      <w:bookmarkStart w:id="143" w:name="_Toc290846342"/>
      <w:bookmarkStart w:id="144" w:name="_Toc300307713"/>
      <w:bookmarkStart w:id="145" w:name="_Toc370463157"/>
      <w:bookmarkStart w:id="146" w:name="_Toc391987572"/>
      <w:r w:rsidRPr="00EE1AF0">
        <w:t>Pharmacokinetics</w:t>
      </w:r>
      <w:bookmarkEnd w:id="142"/>
      <w:bookmarkEnd w:id="143"/>
      <w:bookmarkEnd w:id="144"/>
      <w:bookmarkEnd w:id="145"/>
      <w:bookmarkEnd w:id="146"/>
    </w:p>
    <w:p w:rsidR="00A81517" w:rsidRPr="002B5A1A" w:rsidRDefault="00A81517" w:rsidP="00EE1AF0">
      <w:proofErr w:type="gramStart"/>
      <w:r w:rsidRPr="002B5A1A">
        <w:t>None.</w:t>
      </w:r>
      <w:proofErr w:type="gramEnd"/>
    </w:p>
    <w:p w:rsidR="00A81517" w:rsidRPr="002B5A1A" w:rsidRDefault="00A81517" w:rsidP="00EE1AF0">
      <w:pPr>
        <w:pStyle w:val="Heading4"/>
      </w:pPr>
      <w:bookmarkStart w:id="147" w:name="_Toc272414703"/>
      <w:bookmarkStart w:id="148" w:name="_Toc290846343"/>
      <w:bookmarkStart w:id="149" w:name="_Toc300307714"/>
      <w:bookmarkStart w:id="150" w:name="_Toc370463158"/>
      <w:bookmarkStart w:id="151" w:name="_Toc391987573"/>
      <w:r w:rsidRPr="002B5A1A">
        <w:t>Pharmacodynamics</w:t>
      </w:r>
      <w:bookmarkEnd w:id="147"/>
      <w:bookmarkEnd w:id="148"/>
      <w:bookmarkEnd w:id="149"/>
      <w:bookmarkEnd w:id="150"/>
      <w:bookmarkEnd w:id="151"/>
    </w:p>
    <w:p w:rsidR="00A81517" w:rsidRPr="002B5A1A" w:rsidRDefault="00A81517" w:rsidP="00EE1AF0">
      <w:proofErr w:type="gramStart"/>
      <w:r w:rsidRPr="002B5A1A">
        <w:t>None.</w:t>
      </w:r>
      <w:proofErr w:type="gramEnd"/>
    </w:p>
    <w:p w:rsidR="00A81517" w:rsidRPr="002B5A1A" w:rsidRDefault="00A81517" w:rsidP="00EE1AF0">
      <w:pPr>
        <w:pStyle w:val="Heading3"/>
      </w:pPr>
      <w:bookmarkStart w:id="152" w:name="_Toc272414704"/>
      <w:bookmarkStart w:id="153" w:name="_Toc290846344"/>
      <w:bookmarkStart w:id="154" w:name="_Toc300307715"/>
      <w:bookmarkStart w:id="155" w:name="_Toc370463159"/>
      <w:bookmarkStart w:id="156" w:name="_Toc391987574"/>
      <w:bookmarkStart w:id="157" w:name="_Toc400115426"/>
      <w:r w:rsidRPr="002B5A1A">
        <w:t>Efficacy</w:t>
      </w:r>
      <w:bookmarkEnd w:id="152"/>
      <w:bookmarkEnd w:id="153"/>
      <w:bookmarkEnd w:id="154"/>
      <w:bookmarkEnd w:id="155"/>
      <w:bookmarkEnd w:id="156"/>
      <w:bookmarkEnd w:id="157"/>
    </w:p>
    <w:p w:rsidR="00A81517" w:rsidRPr="00130921" w:rsidRDefault="00A81517" w:rsidP="00EE1AF0">
      <w:pPr>
        <w:pStyle w:val="Numberbullet0"/>
        <w:numPr>
          <w:ilvl w:val="0"/>
          <w:numId w:val="16"/>
        </w:numPr>
      </w:pPr>
      <w:r w:rsidRPr="00130921">
        <w:t>There was no study directly comparing QD and</w:t>
      </w:r>
      <w:r>
        <w:t xml:space="preserve"> BD </w:t>
      </w:r>
      <w:r w:rsidRPr="00130921">
        <w:t>dosing with proposed dose of 40</w:t>
      </w:r>
      <w:r>
        <w:t>0 µg</w:t>
      </w:r>
      <w:r w:rsidRPr="00130921">
        <w:t xml:space="preserve"> aclidinium </w:t>
      </w:r>
      <w:proofErr w:type="gramStart"/>
      <w:r w:rsidRPr="00130921">
        <w:t>bromide</w:t>
      </w:r>
      <w:proofErr w:type="gramEnd"/>
      <w:r w:rsidRPr="00130921">
        <w:t xml:space="preserve"> which is particularly important considering the fact that 40</w:t>
      </w:r>
      <w:r>
        <w:t>0 µg</w:t>
      </w:r>
      <w:r w:rsidRPr="00130921">
        <w:t xml:space="preserve"> QD showed a clinically relevant improvement in trough FEV1 after 4 weeks treatment in </w:t>
      </w:r>
      <w:r w:rsidRPr="00E15644">
        <w:t>Phase II</w:t>
      </w:r>
      <w:r w:rsidRPr="00130921">
        <w:t xml:space="preserve"> </w:t>
      </w:r>
      <w:r>
        <w:t xml:space="preserve">Study </w:t>
      </w:r>
      <w:r w:rsidRPr="006F2D17">
        <w:t>M/</w:t>
      </w:r>
      <w:r w:rsidRPr="00130921">
        <w:t xml:space="preserve">34273/22. </w:t>
      </w:r>
      <w:r w:rsidRPr="00EE1AF0">
        <w:rPr>
          <w:rFonts w:cs="Arial"/>
          <w:color w:val="000000"/>
          <w:lang w:val="en-US"/>
        </w:rPr>
        <w:t xml:space="preserve">Why would someone prescribe or use a BD product like </w:t>
      </w:r>
      <w:proofErr w:type="spellStart"/>
      <w:r w:rsidRPr="00EE1AF0">
        <w:rPr>
          <w:rFonts w:cs="Arial"/>
          <w:color w:val="000000"/>
          <w:lang w:val="en-US"/>
        </w:rPr>
        <w:t>aclidinium</w:t>
      </w:r>
      <w:proofErr w:type="spellEnd"/>
      <w:r w:rsidRPr="00EE1AF0">
        <w:rPr>
          <w:rFonts w:cs="Arial"/>
          <w:color w:val="000000"/>
          <w:lang w:val="en-US"/>
        </w:rPr>
        <w:t xml:space="preserve"> when a once daily product (</w:t>
      </w:r>
      <w:proofErr w:type="spellStart"/>
      <w:r w:rsidRPr="00EE1AF0">
        <w:rPr>
          <w:rFonts w:cs="Arial"/>
          <w:color w:val="000000"/>
          <w:lang w:val="en-US"/>
        </w:rPr>
        <w:t>tiotropium</w:t>
      </w:r>
      <w:proofErr w:type="spellEnd"/>
      <w:r w:rsidRPr="00EE1AF0">
        <w:rPr>
          <w:rFonts w:cs="Arial"/>
          <w:color w:val="000000"/>
          <w:lang w:val="en-US"/>
        </w:rPr>
        <w:t xml:space="preserve">) and now even </w:t>
      </w:r>
      <w:proofErr w:type="spellStart"/>
      <w:r w:rsidRPr="00EE1AF0">
        <w:rPr>
          <w:rFonts w:cs="Arial"/>
          <w:color w:val="000000"/>
          <w:lang w:val="en-US"/>
        </w:rPr>
        <w:t>Seebri</w:t>
      </w:r>
      <w:proofErr w:type="spellEnd"/>
      <w:r w:rsidRPr="00EE1AF0">
        <w:rPr>
          <w:rFonts w:cs="Arial"/>
          <w:color w:val="000000"/>
          <w:lang w:val="en-US"/>
        </w:rPr>
        <w:t xml:space="preserve"> (</w:t>
      </w:r>
      <w:proofErr w:type="spellStart"/>
      <w:r w:rsidRPr="00EE1AF0">
        <w:rPr>
          <w:rFonts w:cs="Arial"/>
          <w:color w:val="000000"/>
          <w:lang w:val="en-US"/>
        </w:rPr>
        <w:t>glycopyr</w:t>
      </w:r>
      <w:r w:rsidR="00E74309" w:rsidRPr="00EE1AF0">
        <w:rPr>
          <w:rFonts w:cs="Arial"/>
          <w:color w:val="000000"/>
          <w:lang w:val="en-US"/>
        </w:rPr>
        <w:t>r</w:t>
      </w:r>
      <w:r w:rsidRPr="00EE1AF0">
        <w:rPr>
          <w:rFonts w:cs="Arial"/>
          <w:color w:val="000000"/>
          <w:lang w:val="en-US"/>
        </w:rPr>
        <w:t>onium</w:t>
      </w:r>
      <w:proofErr w:type="spellEnd"/>
      <w:r w:rsidRPr="00EE1AF0">
        <w:rPr>
          <w:rFonts w:cs="Arial"/>
          <w:color w:val="000000"/>
          <w:lang w:val="en-US"/>
        </w:rPr>
        <w:t xml:space="preserve"> </w:t>
      </w:r>
      <w:r w:rsidRPr="00EE1AF0">
        <w:t>bromide</w:t>
      </w:r>
      <w:r w:rsidRPr="00EE1AF0">
        <w:rPr>
          <w:rFonts w:cs="Arial"/>
          <w:color w:val="000000"/>
          <w:lang w:val="en-US"/>
        </w:rPr>
        <w:t>) is available, efficacious and generally safe? The sponsors seem to claim that aclidinium reaches therapeutic levels within 2 days, compared to more than a week for tiotropium, and aclidinium resulted in higher night time FEV1s and also lower COPD symptom scores compared to tiotropium</w:t>
      </w:r>
      <w:r w:rsidRPr="00130921">
        <w:t>. However, the sponsors have not evaluated if a once daily dose of 40</w:t>
      </w:r>
      <w:r>
        <w:t>0 µg</w:t>
      </w:r>
      <w:r w:rsidRPr="00130921">
        <w:t xml:space="preserve"> would achieve the same effect as there is no direct comparison between twice daily and once daily dosing with 40</w:t>
      </w:r>
      <w:r>
        <w:t>0 µg</w:t>
      </w:r>
      <w:r w:rsidRPr="00130921">
        <w:t xml:space="preserve"> dose of aclidinium bromide. Could the sponsors please justify lack of such a direct comparison</w:t>
      </w:r>
      <w:r w:rsidR="00E74309">
        <w:t>?</w:t>
      </w:r>
    </w:p>
    <w:p w:rsidR="00A81517" w:rsidRPr="00130921" w:rsidRDefault="00A81517" w:rsidP="00EE1AF0">
      <w:pPr>
        <w:pStyle w:val="Numberbullet0"/>
      </w:pPr>
      <w:r w:rsidRPr="00130921">
        <w:t xml:space="preserve">In the </w:t>
      </w:r>
      <w:r w:rsidRPr="00E15644">
        <w:t>Phase II</w:t>
      </w:r>
      <w:r w:rsidRPr="00130921">
        <w:t xml:space="preserve"> </w:t>
      </w:r>
      <w:r w:rsidRPr="003C5DFB">
        <w:t xml:space="preserve">study </w:t>
      </w:r>
      <w:r w:rsidRPr="003C5DFB">
        <w:rPr>
          <w:rFonts w:cs="TimesNewRoman"/>
          <w:color w:val="000000"/>
        </w:rPr>
        <w:t>M34273/25, t</w:t>
      </w:r>
      <w:r w:rsidRPr="003C5DFB">
        <w:t>he</w:t>
      </w:r>
      <w:r w:rsidRPr="00130921">
        <w:t xml:space="preserve"> limited bronchodilatory effect during the night following once daily dosing with 20</w:t>
      </w:r>
      <w:r>
        <w:t>0 µ</w:t>
      </w:r>
      <w:r w:rsidRPr="00130921">
        <w:t xml:space="preserve">g </w:t>
      </w:r>
      <w:r w:rsidR="00E74309">
        <w:t>(</w:t>
      </w:r>
      <w:proofErr w:type="gramStart"/>
      <w:r w:rsidRPr="00130921">
        <w:t>am</w:t>
      </w:r>
      <w:proofErr w:type="gramEnd"/>
      <w:r w:rsidR="00E74309">
        <w:t>)</w:t>
      </w:r>
      <w:r w:rsidRPr="00130921">
        <w:t xml:space="preserve"> coupled with the known increase in nocturnal cholinergic tone may affect patients’ </w:t>
      </w:r>
      <w:r w:rsidR="00E74309" w:rsidRPr="00130921">
        <w:t>night time</w:t>
      </w:r>
      <w:r w:rsidRPr="00130921">
        <w:t>/early</w:t>
      </w:r>
      <w:r>
        <w:t xml:space="preserve"> </w:t>
      </w:r>
      <w:r w:rsidRPr="00130921">
        <w:t xml:space="preserve">morning symptom control. </w:t>
      </w:r>
      <w:r w:rsidRPr="00EE1AF0">
        <w:t>Nevertheless</w:t>
      </w:r>
      <w:r w:rsidRPr="00130921">
        <w:t>, the sponsor considered it unlikely that an increase in aclidinium bromide dose to 40</w:t>
      </w:r>
      <w:r>
        <w:t>0 µ</w:t>
      </w:r>
      <w:r w:rsidRPr="00130921">
        <w:t>g QD would provide clinically relevant night</w:t>
      </w:r>
      <w:r>
        <w:t xml:space="preserve"> </w:t>
      </w:r>
      <w:r w:rsidRPr="00130921">
        <w:t>time bronchodilat</w:t>
      </w:r>
      <w:r>
        <w:t xml:space="preserve">ion, given the negligible night </w:t>
      </w:r>
      <w:r w:rsidRPr="00130921">
        <w:t>time bronchodilation known to be associated with the 20</w:t>
      </w:r>
      <w:r>
        <w:t>0 µ</w:t>
      </w:r>
      <w:r w:rsidRPr="00130921">
        <w:t>g dose QD, and the relatively small increase in predose (trough) FEV1 (approximately 40 mL) between the 200 and 40</w:t>
      </w:r>
      <w:r>
        <w:t>0 µ</w:t>
      </w:r>
      <w:r w:rsidRPr="00130921">
        <w:t xml:space="preserve">g doses observed in the </w:t>
      </w:r>
      <w:r>
        <w:rPr>
          <w:rFonts w:cs="TimesNewRomanPS-ItalicMT"/>
          <w:iCs/>
        </w:rPr>
        <w:t>post hoc</w:t>
      </w:r>
      <w:r w:rsidRPr="00130921">
        <w:rPr>
          <w:rFonts w:cs="TimesNewRomanPS-ItalicMT"/>
          <w:i/>
          <w:iCs/>
        </w:rPr>
        <w:t xml:space="preserve"> </w:t>
      </w:r>
      <w:r w:rsidRPr="00130921">
        <w:t xml:space="preserve">analysis of </w:t>
      </w:r>
      <w:r>
        <w:t xml:space="preserve">Study </w:t>
      </w:r>
      <w:r w:rsidRPr="006F2D17">
        <w:t>M/</w:t>
      </w:r>
      <w:r w:rsidRPr="00130921">
        <w:t xml:space="preserve">34273/22. Indeed, it was considered likely that the increase in QD aclidinium bromide dose required to achieve </w:t>
      </w:r>
      <w:r>
        <w:t>night time</w:t>
      </w:r>
      <w:r w:rsidRPr="00130921">
        <w:t xml:space="preserve"> bronchodilation could be of a magnitude to compromise the safety profile and that a</w:t>
      </w:r>
      <w:r>
        <w:t xml:space="preserve"> BD </w:t>
      </w:r>
      <w:r w:rsidRPr="00130921">
        <w:t>dosing regimen may be the better option.</w:t>
      </w:r>
    </w:p>
    <w:p w:rsidR="00A81517" w:rsidRPr="00130921" w:rsidRDefault="00A81517" w:rsidP="00EE1AF0">
      <w:pPr>
        <w:pStyle w:val="Numberbullet0"/>
        <w:numPr>
          <w:ilvl w:val="0"/>
          <w:numId w:val="0"/>
        </w:numPr>
        <w:ind w:left="425"/>
      </w:pPr>
      <w:r w:rsidRPr="00130921">
        <w:t>The above statement does not seem justified considering the fact that the sponsors have not conducted any study to compare QD</w:t>
      </w:r>
      <w:r w:rsidRPr="00492686">
        <w:t xml:space="preserve"> versus </w:t>
      </w:r>
      <w:r>
        <w:t xml:space="preserve">BD </w:t>
      </w:r>
      <w:r w:rsidRPr="00130921">
        <w:t>dosing with the 2 doses of aclidinium bromide (20</w:t>
      </w:r>
      <w:r>
        <w:t>0 µg</w:t>
      </w:r>
      <w:r w:rsidRPr="00130921">
        <w:t xml:space="preserve"> and 40</w:t>
      </w:r>
      <w:r>
        <w:t>0 µg). I</w:t>
      </w:r>
      <w:r w:rsidRPr="00130921">
        <w:t>t would seem that a dose of 40</w:t>
      </w:r>
      <w:r>
        <w:t>0 µg</w:t>
      </w:r>
      <w:r w:rsidRPr="00130921">
        <w:t xml:space="preserve"> QD be likely to have less safety concerns than</w:t>
      </w:r>
      <w:r>
        <w:t xml:space="preserve"> BD </w:t>
      </w:r>
      <w:r w:rsidRPr="00130921">
        <w:t xml:space="preserve">dosing of the same dose? Could the sponsors please clarify what they mean by the above </w:t>
      </w:r>
      <w:r>
        <w:t>statement in the Company Study Report (CSR)?</w:t>
      </w:r>
    </w:p>
    <w:p w:rsidR="00A81517" w:rsidRPr="00130921" w:rsidRDefault="00A81517" w:rsidP="00EE1AF0">
      <w:pPr>
        <w:pStyle w:val="Numberbullet0"/>
        <w:rPr>
          <w:rFonts w:cs="TimesNewRomanPSMT"/>
        </w:rPr>
      </w:pPr>
      <w:r w:rsidRPr="00130921">
        <w:rPr>
          <w:rFonts w:cs="Arial"/>
          <w:color w:val="000000"/>
          <w:lang w:val="en-US"/>
        </w:rPr>
        <w:t xml:space="preserve"> </w:t>
      </w:r>
      <w:r w:rsidRPr="00130921">
        <w:t xml:space="preserve">Change in smoking status, tobacco exposure and use of nicotine replacement therapy (as an aid to smoking cessation) </w:t>
      </w:r>
      <w:r w:rsidR="00D31ABE">
        <w:t>were</w:t>
      </w:r>
      <w:r w:rsidR="00D31ABE" w:rsidRPr="00130921">
        <w:t xml:space="preserve"> </w:t>
      </w:r>
      <w:r w:rsidRPr="00130921">
        <w:t>not recorded in the pivotal studies and its potential effect on efficacy outcomes was not evaluated. Could the sponsors please provide information on this, especially if any analysis was done to evaluate effect of any change in these param</w:t>
      </w:r>
      <w:r>
        <w:t>eters on the efficacy outcomes?</w:t>
      </w:r>
    </w:p>
    <w:p w:rsidR="00A81517" w:rsidRPr="00130921" w:rsidRDefault="00A81517" w:rsidP="00EE1AF0">
      <w:pPr>
        <w:pStyle w:val="Numberbullet0"/>
      </w:pPr>
      <w:r w:rsidRPr="00130921">
        <w:t>Two clinical studies of aclidinium bromide 40</w:t>
      </w:r>
      <w:r>
        <w:t>0 µ</w:t>
      </w:r>
      <w:r w:rsidRPr="00130921">
        <w:t>g</w:t>
      </w:r>
      <w:r>
        <w:t xml:space="preserve"> BD </w:t>
      </w:r>
      <w:r w:rsidRPr="00130921">
        <w:t xml:space="preserve">are ongoing; one study to confirm the bronchodilatory profile over 24 hours compared to that of tiotropium </w:t>
      </w:r>
      <w:r w:rsidRPr="00BB124E">
        <w:t>(M/34273/39) and a further study to investigate effects on exercise tolerance (M/34273/40). Are</w:t>
      </w:r>
      <w:r w:rsidRPr="00130921">
        <w:t xml:space="preserve"> any results available from these studies and if they are could the sponsors provide the same for evaluation?</w:t>
      </w:r>
    </w:p>
    <w:p w:rsidR="00A81517" w:rsidRPr="00EE1AF0" w:rsidRDefault="00A81517" w:rsidP="00EE1AF0">
      <w:pPr>
        <w:pStyle w:val="Heading3"/>
      </w:pPr>
      <w:bookmarkStart w:id="158" w:name="_Toc300307716"/>
      <w:bookmarkStart w:id="159" w:name="_Toc370463160"/>
      <w:bookmarkStart w:id="160" w:name="_Toc391987575"/>
      <w:bookmarkStart w:id="161" w:name="_Toc400115427"/>
      <w:r w:rsidRPr="002B5A1A">
        <w:t>Safety</w:t>
      </w:r>
      <w:bookmarkEnd w:id="158"/>
      <w:bookmarkEnd w:id="159"/>
      <w:bookmarkEnd w:id="160"/>
      <w:bookmarkEnd w:id="161"/>
    </w:p>
    <w:p w:rsidR="00A81517" w:rsidRPr="00054658" w:rsidRDefault="00A81517" w:rsidP="00EE1AF0">
      <w:pPr>
        <w:pStyle w:val="Numberbullet0"/>
      </w:pPr>
      <w:r w:rsidRPr="00EE1AF0">
        <w:t>Cardiovascular</w:t>
      </w:r>
      <w:r w:rsidRPr="002B5A1A">
        <w:t xml:space="preserve"> adverse events are a specific safety event of interest for anticholinergic</w:t>
      </w:r>
      <w:r>
        <w:t xml:space="preserve"> </w:t>
      </w:r>
      <w:r w:rsidRPr="002B5A1A">
        <w:t xml:space="preserve">drugs given the previous findings with tiotropium. To assess cardiovascular safety of aclidinium bromide, an analysis of major adverse cardiac events (MACE) was done. The MACE score is defined as the total number of cardiovascular deaths, nonfatal myocardial infarctions, and nonfatal strokes and results of this analysis have been </w:t>
      </w:r>
      <w:r w:rsidRPr="00F27942">
        <w:t xml:space="preserve">summarised in Tables </w:t>
      </w:r>
      <w:r w:rsidR="00145C30">
        <w:t>8</w:t>
      </w:r>
      <w:r w:rsidR="00F27942" w:rsidRPr="00F27942">
        <w:t xml:space="preserve"> and </w:t>
      </w:r>
      <w:r w:rsidR="00145C30">
        <w:t>9</w:t>
      </w:r>
      <w:r w:rsidRPr="00F27942">
        <w:t>). These results do not indicate an increased overall MACE score for aclidinium bromide</w:t>
      </w:r>
      <w:r w:rsidRPr="002B5A1A">
        <w:t xml:space="preserve"> and do not show a definite signal of imbalance for any of the individual categories of events but the strength of this assessment is limited by the relatively small sample size and a low event rate. Some of the differences seen in the studies were due to only one event, which is not enough to make a definitive conclusion. These data neither confirm nor prove any contribution of aclidinium bromide to cardiovascular risk and interpretation was limited by the limited number of events that were seen in the program. Does the sponsor plan to conduct any postmarketing study to assess</w:t>
      </w:r>
      <w:r w:rsidR="00693A26">
        <w:t xml:space="preserve"> the</w:t>
      </w:r>
      <w:r w:rsidRPr="002B5A1A">
        <w:t xml:space="preserve"> </w:t>
      </w:r>
      <w:r w:rsidR="00693A26">
        <w:t>cardiovascular</w:t>
      </w:r>
      <w:r w:rsidR="00693A26" w:rsidRPr="002B5A1A">
        <w:t xml:space="preserve"> </w:t>
      </w:r>
      <w:r w:rsidRPr="002B5A1A">
        <w:t>safety of aclidinium bromide?</w:t>
      </w:r>
    </w:p>
    <w:p w:rsidR="00605AD4" w:rsidRPr="00605AD4" w:rsidRDefault="00605AD4" w:rsidP="007E732D">
      <w:pPr>
        <w:pStyle w:val="Heading3"/>
        <w:rPr>
          <w:rFonts w:eastAsia="Cambria"/>
        </w:rPr>
      </w:pPr>
      <w:bookmarkStart w:id="162" w:name="_Toc400115428"/>
      <w:r w:rsidRPr="00605AD4">
        <w:rPr>
          <w:rFonts w:eastAsia="Cambria"/>
        </w:rPr>
        <w:t xml:space="preserve">Second </w:t>
      </w:r>
      <w:r w:rsidR="00EE1AF0">
        <w:rPr>
          <w:rFonts w:eastAsia="Cambria"/>
        </w:rPr>
        <w:t>r</w:t>
      </w:r>
      <w:r w:rsidRPr="00605AD4">
        <w:rPr>
          <w:rFonts w:eastAsia="Cambria"/>
        </w:rPr>
        <w:t xml:space="preserve">ound </w:t>
      </w:r>
      <w:r w:rsidR="00EE1AF0" w:rsidRPr="007E732D">
        <w:rPr>
          <w:rFonts w:eastAsia="Cambria"/>
        </w:rPr>
        <w:t>e</w:t>
      </w:r>
      <w:r w:rsidRPr="007E732D">
        <w:rPr>
          <w:rFonts w:eastAsia="Cambria"/>
        </w:rPr>
        <w:t>valuation</w:t>
      </w:r>
      <w:r w:rsidRPr="00605AD4">
        <w:rPr>
          <w:rFonts w:eastAsia="Cambria"/>
        </w:rPr>
        <w:t xml:space="preserve"> of clinical data submitted in response to questions</w:t>
      </w:r>
      <w:bookmarkEnd w:id="162"/>
    </w:p>
    <w:p w:rsidR="00605AD4" w:rsidRDefault="00593F73" w:rsidP="007E732D">
      <w:r>
        <w:t xml:space="preserve">Details of the sponsor’s responses are included in Attachment 2 </w:t>
      </w:r>
      <w:r w:rsidR="003C5DFB">
        <w:t>of this</w:t>
      </w:r>
      <w:r>
        <w:t xml:space="preserve"> AusPAR.</w:t>
      </w:r>
      <w:r w:rsidR="00D54664">
        <w:t xml:space="preserve"> The following is the evaluator’s comments on the sponsor’s responses.</w:t>
      </w:r>
    </w:p>
    <w:p w:rsidR="009B2729" w:rsidRDefault="009B2729" w:rsidP="007E732D">
      <w:pPr>
        <w:pStyle w:val="Heading4"/>
      </w:pPr>
      <w:r>
        <w:t xml:space="preserve">Evaluator’s </w:t>
      </w:r>
      <w:r w:rsidRPr="007E732D">
        <w:t>comments</w:t>
      </w:r>
      <w:r>
        <w:t xml:space="preserve"> on sponsor’s response</w:t>
      </w:r>
    </w:p>
    <w:p w:rsidR="009B2729" w:rsidRDefault="009B2729" w:rsidP="007E732D">
      <w:pPr>
        <w:pStyle w:val="Heading5"/>
        <w:rPr>
          <w:rFonts w:eastAsiaTheme="minorHAnsi"/>
        </w:rPr>
      </w:pPr>
      <w:proofErr w:type="gramStart"/>
      <w:r>
        <w:rPr>
          <w:rFonts w:eastAsiaTheme="minorHAnsi"/>
        </w:rPr>
        <w:t>Question 1.</w:t>
      </w:r>
      <w:proofErr w:type="gramEnd"/>
    </w:p>
    <w:p w:rsidR="009B2729" w:rsidRDefault="009B2729" w:rsidP="007E732D">
      <w:r>
        <w:t>The sponsors have stated that twice daily dosing with an ‘easy to use’ inhaler would provide better 24</w:t>
      </w:r>
      <w:r w:rsidR="00D54664">
        <w:t xml:space="preserve"> </w:t>
      </w:r>
      <w:r>
        <w:t>hour bronchodilation especially to counter the increase in cholinergic tone at nigh</w:t>
      </w:r>
      <w:r w:rsidR="00D54664">
        <w:t xml:space="preserve"> </w:t>
      </w:r>
      <w:r>
        <w:t>time and this has been confirmed in the new study submitted by the sponsors (M34273/39). Overall, the sponsor’s response is acceptable.</w:t>
      </w:r>
    </w:p>
    <w:p w:rsidR="009B2729" w:rsidRDefault="009B2729" w:rsidP="007E732D">
      <w:pPr>
        <w:pStyle w:val="Heading5"/>
        <w:rPr>
          <w:rFonts w:eastAsiaTheme="minorHAnsi"/>
        </w:rPr>
      </w:pPr>
      <w:proofErr w:type="gramStart"/>
      <w:r>
        <w:rPr>
          <w:rFonts w:eastAsiaTheme="minorHAnsi"/>
        </w:rPr>
        <w:t>Question 2.</w:t>
      </w:r>
      <w:proofErr w:type="gramEnd"/>
    </w:p>
    <w:p w:rsidR="009B2729" w:rsidRDefault="009B2729" w:rsidP="007E732D">
      <w:r>
        <w:t>The sponsor’s response is acceptable.</w:t>
      </w:r>
    </w:p>
    <w:p w:rsidR="009B2729" w:rsidRDefault="009B2729" w:rsidP="007E732D">
      <w:pPr>
        <w:pStyle w:val="Heading5"/>
        <w:rPr>
          <w:rFonts w:eastAsiaTheme="minorHAnsi"/>
        </w:rPr>
      </w:pPr>
      <w:proofErr w:type="gramStart"/>
      <w:r>
        <w:rPr>
          <w:rFonts w:eastAsiaTheme="minorHAnsi"/>
        </w:rPr>
        <w:t>Question 3.</w:t>
      </w:r>
      <w:proofErr w:type="gramEnd"/>
    </w:p>
    <w:p w:rsidR="009B2729" w:rsidRDefault="009B2729" w:rsidP="007E732D">
      <w:r>
        <w:t>The CHMP guidelines for ‘</w:t>
      </w:r>
      <w:r w:rsidR="00D54664" w:rsidRPr="00D54664">
        <w:rPr>
          <w:i/>
        </w:rPr>
        <w:t>C</w:t>
      </w:r>
      <w:r w:rsidRPr="00D54664">
        <w:rPr>
          <w:i/>
        </w:rPr>
        <w:t>linical investigation of medicinal products in treatment of patients with COPD</w:t>
      </w:r>
      <w:r>
        <w:t>’ states that formal stratification of patients according to their smoking status (current</w:t>
      </w:r>
      <w:r w:rsidRPr="009B2729">
        <w:t xml:space="preserve"> </w:t>
      </w:r>
      <w:r>
        <w:t>smokers, ex-smokers) should be performed prior to randomisation. This was not done in any of the pivotal clinical studies for aclidinium bromide. Furthermore, tobacco exposure was not monitored during the study and any change in smoking status did not appear to be documented or reported.</w:t>
      </w:r>
    </w:p>
    <w:p w:rsidR="009B2729" w:rsidRDefault="009B2729" w:rsidP="007E732D">
      <w:r>
        <w:t xml:space="preserve">Use of nicotine replacement therapy or other smoking cessation aids such as </w:t>
      </w:r>
      <w:proofErr w:type="spellStart"/>
      <w:r>
        <w:t>varenicline</w:t>
      </w:r>
      <w:proofErr w:type="spellEnd"/>
      <w:r>
        <w:t xml:space="preserve"> was also not documented. The reason provided by the sponsors is not acceptable and this issue remains a limitation of this submission.</w:t>
      </w:r>
    </w:p>
    <w:p w:rsidR="009B2729" w:rsidRDefault="009B2729" w:rsidP="007E732D">
      <w:pPr>
        <w:pStyle w:val="Heading5"/>
        <w:rPr>
          <w:rFonts w:eastAsiaTheme="minorHAnsi"/>
        </w:rPr>
      </w:pPr>
      <w:proofErr w:type="gramStart"/>
      <w:r>
        <w:rPr>
          <w:rFonts w:eastAsiaTheme="minorHAnsi"/>
        </w:rPr>
        <w:t>Question 4.</w:t>
      </w:r>
      <w:proofErr w:type="gramEnd"/>
    </w:p>
    <w:p w:rsidR="009B2729" w:rsidRDefault="009B2729" w:rsidP="007E732D">
      <w:r>
        <w:t>These 2 studies have been evaluated</w:t>
      </w:r>
      <w:r w:rsidR="00D54664">
        <w:t>. In S</w:t>
      </w:r>
      <w:r>
        <w:t>tudy M34273/39, 24</w:t>
      </w:r>
      <w:r w:rsidR="00D54664">
        <w:t xml:space="preserve"> </w:t>
      </w:r>
      <w:r>
        <w:t>hour bronchodilation with aclidinium bromide 400</w:t>
      </w:r>
      <w:r w:rsidR="00D54664">
        <w:t xml:space="preserve"> µ</w:t>
      </w:r>
      <w:r>
        <w:t>g BD was similar to that of tiotropium OD although there was a trend for better night</w:t>
      </w:r>
      <w:r w:rsidR="00D54664">
        <w:t xml:space="preserve"> </w:t>
      </w:r>
      <w:r>
        <w:t>time bronchodilation with aclidinium bromide and numerically greater improvement in COPD symptoms as well as a greater preference for the Almirall inhaler compared to the Handihaler used for tiotropium.</w:t>
      </w:r>
    </w:p>
    <w:p w:rsidR="009B2729" w:rsidRDefault="009B2729" w:rsidP="007E732D">
      <w:r>
        <w:t>The aim of 3</w:t>
      </w:r>
      <w:r w:rsidR="00D54664">
        <w:t xml:space="preserve"> </w:t>
      </w:r>
      <w:r>
        <w:t xml:space="preserve">week, double-blind, crossover </w:t>
      </w:r>
      <w:r w:rsidR="00D54664">
        <w:t>S</w:t>
      </w:r>
      <w:r>
        <w:t xml:space="preserve">tudy M34273/40 was to evaluate the effect of aclidinium bromide 400 </w:t>
      </w:r>
      <w:r w:rsidR="00D54664">
        <w:t>µ</w:t>
      </w:r>
      <w:r>
        <w:t>g BD compared with placebo on exercise endurance, hyperinflation (as determined by</w:t>
      </w:r>
      <w:r w:rsidRPr="009B2729">
        <w:t xml:space="preserve"> </w:t>
      </w:r>
      <w:r>
        <w:t xml:space="preserve">inspiratory capacity [IC] and body </w:t>
      </w:r>
      <w:proofErr w:type="spellStart"/>
      <w:r>
        <w:t>plethysmography</w:t>
      </w:r>
      <w:proofErr w:type="spellEnd"/>
      <w:r>
        <w:t xml:space="preserve"> parameters. Results from this study showing improvements in exercise endurance, lung hyperinflation and daily physical activity over 3 weeks of treatment with aclidinium bromide 400</w:t>
      </w:r>
      <w:r w:rsidR="00D54664">
        <w:t xml:space="preserve"> µ</w:t>
      </w:r>
      <w:r>
        <w:t>g BD compared with placebo. However, interpretation was limited by crossover nature of the study.</w:t>
      </w:r>
    </w:p>
    <w:p w:rsidR="009B2729" w:rsidRDefault="009B2729" w:rsidP="007E732D">
      <w:r>
        <w:t xml:space="preserve">Results of these </w:t>
      </w:r>
      <w:r w:rsidR="00D54664">
        <w:t>two</w:t>
      </w:r>
      <w:r>
        <w:t xml:space="preserve"> studies help to confirm the positive benefit-risk profile of aclidinium bromide and the inclusion of the above statement regarding effects of aclidinium bromide on exercise tolerance in proposed PI also seems justified.</w:t>
      </w:r>
    </w:p>
    <w:p w:rsidR="009B2729" w:rsidRDefault="009B2729" w:rsidP="007E732D">
      <w:pPr>
        <w:pStyle w:val="Heading5"/>
        <w:rPr>
          <w:rFonts w:eastAsiaTheme="minorHAnsi"/>
        </w:rPr>
      </w:pPr>
      <w:proofErr w:type="gramStart"/>
      <w:r>
        <w:rPr>
          <w:rFonts w:eastAsiaTheme="minorHAnsi"/>
        </w:rPr>
        <w:t>Question 5.</w:t>
      </w:r>
      <w:proofErr w:type="gramEnd"/>
    </w:p>
    <w:p w:rsidR="009B2729" w:rsidRPr="00605AD4" w:rsidRDefault="009B2729" w:rsidP="007E732D">
      <w:r>
        <w:t xml:space="preserve">Review of the study protocols of the proposed ASCENT and the PASS study indicate that these 2 postmarketing studies should enable adequate assessment of </w:t>
      </w:r>
      <w:r w:rsidR="00D54664">
        <w:t>cardiovascular</w:t>
      </w:r>
      <w:r>
        <w:t xml:space="preserve"> safety of aclidinium bromide.</w:t>
      </w:r>
    </w:p>
    <w:p w:rsidR="00605AD4" w:rsidRDefault="00605AD4" w:rsidP="007E732D">
      <w:pPr>
        <w:pStyle w:val="Heading3"/>
        <w:rPr>
          <w:rFonts w:eastAsia="Cambria"/>
        </w:rPr>
      </w:pPr>
      <w:bookmarkStart w:id="163" w:name="_Toc400115429"/>
      <w:r w:rsidRPr="00605AD4">
        <w:rPr>
          <w:rFonts w:eastAsia="Cambria"/>
        </w:rPr>
        <w:t xml:space="preserve">Second </w:t>
      </w:r>
      <w:r w:rsidR="007E732D">
        <w:rPr>
          <w:rFonts w:eastAsia="Cambria"/>
        </w:rPr>
        <w:t>r</w:t>
      </w:r>
      <w:r w:rsidRPr="00605AD4">
        <w:rPr>
          <w:rFonts w:eastAsia="Cambria"/>
        </w:rPr>
        <w:t xml:space="preserve">ound </w:t>
      </w:r>
      <w:r w:rsidR="007E732D">
        <w:rPr>
          <w:rFonts w:eastAsia="Cambria"/>
        </w:rPr>
        <w:t>b</w:t>
      </w:r>
      <w:r w:rsidRPr="00605AD4">
        <w:rPr>
          <w:rFonts w:eastAsia="Cambria"/>
        </w:rPr>
        <w:t>enefit-</w:t>
      </w:r>
      <w:r w:rsidR="007E732D">
        <w:rPr>
          <w:rFonts w:eastAsia="Cambria"/>
        </w:rPr>
        <w:t>r</w:t>
      </w:r>
      <w:r w:rsidRPr="00605AD4">
        <w:rPr>
          <w:rFonts w:eastAsia="Cambria"/>
        </w:rPr>
        <w:t xml:space="preserve">isk </w:t>
      </w:r>
      <w:r w:rsidR="007E732D" w:rsidRPr="007E732D">
        <w:rPr>
          <w:rFonts w:eastAsia="Cambria"/>
        </w:rPr>
        <w:t>a</w:t>
      </w:r>
      <w:r w:rsidRPr="007E732D">
        <w:rPr>
          <w:rFonts w:eastAsia="Cambria"/>
        </w:rPr>
        <w:t>ssessment</w:t>
      </w:r>
      <w:bookmarkEnd w:id="163"/>
    </w:p>
    <w:p w:rsidR="00A81517" w:rsidRPr="009E0389" w:rsidRDefault="00A81517" w:rsidP="007E732D">
      <w:pPr>
        <w:pStyle w:val="Heading4"/>
      </w:pPr>
      <w:bookmarkStart w:id="164" w:name="_Toc272414709"/>
      <w:bookmarkStart w:id="165" w:name="_Toc290846349"/>
      <w:bookmarkStart w:id="166" w:name="_Toc370463166"/>
      <w:bookmarkStart w:id="167" w:name="_Toc391987580"/>
      <w:r w:rsidRPr="009E0389">
        <w:t>Second round assessment of benefits</w:t>
      </w:r>
      <w:bookmarkEnd w:id="164"/>
      <w:bookmarkEnd w:id="165"/>
      <w:bookmarkEnd w:id="166"/>
      <w:bookmarkEnd w:id="167"/>
    </w:p>
    <w:p w:rsidR="00A81517" w:rsidRPr="009E0389" w:rsidRDefault="00A81517" w:rsidP="007E732D">
      <w:bookmarkStart w:id="168" w:name="_Toc272414710"/>
      <w:bookmarkStart w:id="169" w:name="_Toc290846350"/>
      <w:r>
        <w:t>After consideration of the response to clinical questions, the benefits of aclidinium bromide 400 µg BD in the proposed usage are unchanged from those identified</w:t>
      </w:r>
      <w:r w:rsidR="007E732D">
        <w:t xml:space="preserve"> in the First Round Assessment.</w:t>
      </w:r>
    </w:p>
    <w:p w:rsidR="00A81517" w:rsidRPr="009E0389" w:rsidRDefault="00A81517" w:rsidP="007E732D">
      <w:pPr>
        <w:pStyle w:val="Heading4"/>
      </w:pPr>
      <w:bookmarkStart w:id="170" w:name="_Toc370463167"/>
      <w:bookmarkStart w:id="171" w:name="_Toc391987581"/>
      <w:r w:rsidRPr="009E0389">
        <w:t>Second round assessment of risks</w:t>
      </w:r>
      <w:bookmarkEnd w:id="168"/>
      <w:bookmarkEnd w:id="169"/>
      <w:bookmarkEnd w:id="170"/>
      <w:bookmarkEnd w:id="171"/>
    </w:p>
    <w:p w:rsidR="00A81517" w:rsidRPr="00F90B99" w:rsidRDefault="00A81517" w:rsidP="007E732D">
      <w:bookmarkStart w:id="172" w:name="_Toc272414711"/>
      <w:bookmarkStart w:id="173" w:name="_Toc290846351"/>
      <w:r w:rsidRPr="00F90B99">
        <w:t>After consideration of the response to clinical questions, the risks of aclid</w:t>
      </w:r>
      <w:r>
        <w:t>i</w:t>
      </w:r>
      <w:r w:rsidRPr="00F90B99">
        <w:t>nium bromide 400</w:t>
      </w:r>
      <w:r w:rsidR="004A1DD5">
        <w:t xml:space="preserve"> µ</w:t>
      </w:r>
      <w:r>
        <w:t>g BD in the proposed usage are:</w:t>
      </w:r>
    </w:p>
    <w:p w:rsidR="00A81517" w:rsidRPr="004A1DD5" w:rsidRDefault="00A81517" w:rsidP="007E732D">
      <w:pPr>
        <w:pStyle w:val="ListBullet"/>
      </w:pPr>
      <w:r w:rsidRPr="004A1DD5">
        <w:t>The CHMP guidelines for ‘</w:t>
      </w:r>
      <w:r w:rsidRPr="00D54664">
        <w:rPr>
          <w:i/>
        </w:rPr>
        <w:t>Clinical investigation of medicinal products in treatment of patients with COPD</w:t>
      </w:r>
      <w:r w:rsidRPr="004A1DD5">
        <w:t xml:space="preserve">’ states that formal stratification of patients according to their smoking status (current smokers, ex-smokers) should be performed prior to randomisation. This was not done in any of the pivotal clinical studies for aclidinium bromide. Furthermore, change in smoking status, tobacco exposure and use of nicotine replacement </w:t>
      </w:r>
      <w:r w:rsidRPr="007E732D">
        <w:t>therapy</w:t>
      </w:r>
      <w:r w:rsidRPr="004A1DD5">
        <w:t xml:space="preserve"> (as </w:t>
      </w:r>
      <w:proofErr w:type="gramStart"/>
      <w:r w:rsidRPr="004A1DD5">
        <w:t>an</w:t>
      </w:r>
      <w:proofErr w:type="gramEnd"/>
      <w:r w:rsidRPr="004A1DD5">
        <w:t xml:space="preserve"> aid to smoking cessation) </w:t>
      </w:r>
      <w:r w:rsidR="00D31ABE">
        <w:t>were</w:t>
      </w:r>
      <w:r w:rsidR="00D31ABE" w:rsidRPr="004A1DD5">
        <w:t xml:space="preserve"> </w:t>
      </w:r>
      <w:r w:rsidRPr="004A1DD5">
        <w:t xml:space="preserve">not recorded in the pivotal studies and </w:t>
      </w:r>
      <w:r w:rsidR="00D31ABE">
        <w:t>their</w:t>
      </w:r>
      <w:r w:rsidR="00D31ABE" w:rsidRPr="004A1DD5">
        <w:t xml:space="preserve"> </w:t>
      </w:r>
      <w:r w:rsidRPr="004A1DD5">
        <w:t>potential effect on efficacy outcomes was not evaluated.</w:t>
      </w:r>
    </w:p>
    <w:p w:rsidR="00A81517" w:rsidRPr="004A1DD5" w:rsidRDefault="00A81517" w:rsidP="007E732D">
      <w:pPr>
        <w:pStyle w:val="ListBullet"/>
      </w:pPr>
      <w:r w:rsidRPr="004A1DD5">
        <w:t>The cardiac and cerebrovascular safety of other anticholinergic agents has required regulatory discussions in the past. A detailed review of the cardiovascular and cerebrovascular risk associated with aclidinium bromide 400 µg BD has been performed and showed no apparent evidence of an increased cardiovascular or cerebrovascular risk with aclidinium bromide. As patients with a myocardial infarction during the previous 6 months, unstable angina, newly diagnosed arrhythmia within the previous 3 months or hospitalisation within the previous 12 months for heart failure Functional Classes III and IV as per the New York Heart Association have not been included in clinical trials, the SmPC will state that the safety of these patient groups has not been investigated and aclidinium bromide in these patient groups should be used with caution.</w:t>
      </w:r>
    </w:p>
    <w:p w:rsidR="00A81517" w:rsidRPr="004A1DD5" w:rsidRDefault="00A81517" w:rsidP="007E732D">
      <w:pPr>
        <w:pStyle w:val="ListBullet"/>
      </w:pPr>
      <w:r w:rsidRPr="004A1DD5">
        <w:t xml:space="preserve">Anticholinergic adverse effects: The low bioavailability of inhaled aclidinium bromide suggests a low </w:t>
      </w:r>
      <w:r w:rsidRPr="007E732D">
        <w:t>potential</w:t>
      </w:r>
      <w:r w:rsidRPr="004A1DD5">
        <w:t xml:space="preserve"> for systemic anticholinergic activity. A thorough review of potential anticholinergic adverse effects in the Pivotal Study Population showed the frequency of individual potential anticholinergic adverse events to be low (≤1.1% with aclidinium bromide 400 µg) and in the range of or lower than that reported for other anticholinergic drugs. Few potential anticholinergic adverse events are considered to be ADRs. Furthermore, as patients with symptomatic prostatic hyperplasia, bladder-neck obstruction or narrow-angle glaucoma have not been included in clinical trials the SmPC will state that consistent with the anticholinergic activity of aclidinium bromide, it should be used with caution in these patient groups. The co-administration of aclidinium bromide with other anticholinergic drugs has not been studied and is not recommended.</w:t>
      </w:r>
    </w:p>
    <w:p w:rsidR="00A81517" w:rsidRPr="009E0389" w:rsidRDefault="00A81517" w:rsidP="007E732D">
      <w:pPr>
        <w:pStyle w:val="Heading4"/>
      </w:pPr>
      <w:bookmarkStart w:id="174" w:name="_Toc370463168"/>
      <w:bookmarkStart w:id="175" w:name="_Toc391987582"/>
      <w:r w:rsidRPr="009E0389">
        <w:t>Second round assessment of benefit-risk balance</w:t>
      </w:r>
      <w:bookmarkEnd w:id="172"/>
      <w:bookmarkEnd w:id="173"/>
      <w:bookmarkEnd w:id="174"/>
      <w:bookmarkEnd w:id="175"/>
    </w:p>
    <w:p w:rsidR="00A81517" w:rsidRDefault="00A81517" w:rsidP="007E732D">
      <w:r>
        <w:t xml:space="preserve">After consideration of the response to clinical questions, the benefit-risk balance of aclidinium bromide 400 µg BD in the proposed usage </w:t>
      </w:r>
      <w:r w:rsidR="00D31ABE">
        <w:t xml:space="preserve">is </w:t>
      </w:r>
      <w:r>
        <w:t xml:space="preserve">unchanged from </w:t>
      </w:r>
      <w:r w:rsidR="00D31ABE">
        <w:t xml:space="preserve">that </w:t>
      </w:r>
      <w:r>
        <w:t>identi</w:t>
      </w:r>
      <w:r w:rsidR="007E732D">
        <w:t>fied in First Round Assessment.</w:t>
      </w:r>
    </w:p>
    <w:p w:rsidR="00A81517" w:rsidRDefault="00A81517" w:rsidP="007E732D">
      <w:pPr>
        <w:pStyle w:val="Heading3"/>
      </w:pPr>
      <w:bookmarkStart w:id="176" w:name="_Toc391987583"/>
      <w:bookmarkStart w:id="177" w:name="_Toc400115430"/>
      <w:r>
        <w:t xml:space="preserve">Second round </w:t>
      </w:r>
      <w:r w:rsidRPr="007E732D">
        <w:t>recommendation</w:t>
      </w:r>
      <w:r>
        <w:t xml:space="preserve"> regarding authorisation</w:t>
      </w:r>
      <w:bookmarkEnd w:id="176"/>
      <w:bookmarkEnd w:id="177"/>
    </w:p>
    <w:p w:rsidR="00A81517" w:rsidRPr="009E0389" w:rsidRDefault="00A81517" w:rsidP="00A81517">
      <w:pPr>
        <w:pStyle w:val="Bullet1"/>
        <w:numPr>
          <w:ilvl w:val="0"/>
          <w:numId w:val="0"/>
        </w:numPr>
        <w:spacing w:before="0" w:after="120"/>
        <w:rPr>
          <w:rFonts w:ascii="Cambria" w:hAnsi="Cambria"/>
          <w:kern w:val="0"/>
          <w:sz w:val="22"/>
          <w:szCs w:val="22"/>
        </w:rPr>
      </w:pPr>
      <w:r w:rsidRPr="002B5A1A">
        <w:rPr>
          <w:rFonts w:ascii="Cambria" w:hAnsi="Cambria"/>
          <w:kern w:val="0"/>
          <w:sz w:val="22"/>
          <w:szCs w:val="22"/>
        </w:rPr>
        <w:t>It is recommended that Bretaris Genuair (aclidinium bromide 40</w:t>
      </w:r>
      <w:r>
        <w:rPr>
          <w:rFonts w:ascii="Cambria" w:hAnsi="Cambria"/>
          <w:kern w:val="0"/>
          <w:sz w:val="22"/>
          <w:szCs w:val="22"/>
        </w:rPr>
        <w:t>0 µ</w:t>
      </w:r>
      <w:r w:rsidRPr="002B5A1A">
        <w:rPr>
          <w:rFonts w:ascii="Cambria" w:hAnsi="Cambria"/>
          <w:kern w:val="0"/>
          <w:sz w:val="22"/>
          <w:szCs w:val="22"/>
        </w:rPr>
        <w:t>g twice daily by inh</w:t>
      </w:r>
      <w:r>
        <w:rPr>
          <w:rFonts w:ascii="Cambria" w:hAnsi="Cambria"/>
          <w:kern w:val="0"/>
          <w:sz w:val="22"/>
          <w:szCs w:val="22"/>
        </w:rPr>
        <w:t>al</w:t>
      </w:r>
      <w:r w:rsidRPr="002B5A1A">
        <w:rPr>
          <w:rFonts w:ascii="Cambria" w:hAnsi="Cambria"/>
          <w:kern w:val="0"/>
          <w:sz w:val="22"/>
          <w:szCs w:val="22"/>
        </w:rPr>
        <w:t xml:space="preserve">ation) be approved for the </w:t>
      </w:r>
      <w:r>
        <w:rPr>
          <w:rFonts w:ascii="Cambria" w:hAnsi="Cambria"/>
          <w:kern w:val="0"/>
          <w:sz w:val="22"/>
          <w:szCs w:val="22"/>
        </w:rPr>
        <w:t>long term</w:t>
      </w:r>
      <w:r w:rsidRPr="002B5A1A">
        <w:rPr>
          <w:rFonts w:ascii="Cambria" w:hAnsi="Cambria"/>
          <w:kern w:val="0"/>
          <w:sz w:val="22"/>
          <w:szCs w:val="22"/>
        </w:rPr>
        <w:t xml:space="preserve"> maintenance bronchodilator treatment to relieve symptoms in adult patients with COPD.</w:t>
      </w:r>
      <w:r>
        <w:rPr>
          <w:rFonts w:ascii="Cambria" w:hAnsi="Cambria"/>
          <w:kern w:val="0"/>
          <w:sz w:val="22"/>
          <w:szCs w:val="22"/>
        </w:rPr>
        <w:t xml:space="preserve"> However, t</w:t>
      </w:r>
      <w:r w:rsidRPr="002B5A1A">
        <w:rPr>
          <w:rFonts w:ascii="Cambria" w:hAnsi="Cambria"/>
          <w:kern w:val="0"/>
          <w:sz w:val="22"/>
          <w:szCs w:val="22"/>
        </w:rPr>
        <w:t>he approval is subject to incorporation of sugges</w:t>
      </w:r>
      <w:r>
        <w:rPr>
          <w:rFonts w:ascii="Cambria" w:hAnsi="Cambria"/>
          <w:kern w:val="0"/>
          <w:sz w:val="22"/>
          <w:szCs w:val="22"/>
        </w:rPr>
        <w:t>ted changes to the proposed PI.</w:t>
      </w:r>
    </w:p>
    <w:p w:rsidR="008E7846" w:rsidRPr="00E41208" w:rsidRDefault="008E7846" w:rsidP="007E732D">
      <w:pPr>
        <w:pStyle w:val="Heading2"/>
      </w:pPr>
      <w:bookmarkStart w:id="178" w:name="_Toc400115431"/>
      <w:r w:rsidRPr="00E41208">
        <w:t xml:space="preserve">V. </w:t>
      </w:r>
      <w:proofErr w:type="spellStart"/>
      <w:r w:rsidRPr="007E732D">
        <w:t>Pharmacovigilance</w:t>
      </w:r>
      <w:proofErr w:type="spellEnd"/>
      <w:r w:rsidRPr="00E41208">
        <w:t xml:space="preserve"> </w:t>
      </w:r>
      <w:r>
        <w:t>f</w:t>
      </w:r>
      <w:r w:rsidRPr="00E41208">
        <w:t>indings</w:t>
      </w:r>
      <w:bookmarkEnd w:id="93"/>
      <w:bookmarkEnd w:id="94"/>
      <w:bookmarkEnd w:id="178"/>
    </w:p>
    <w:p w:rsidR="008E7846" w:rsidRDefault="00386150" w:rsidP="007E732D">
      <w:pPr>
        <w:pStyle w:val="Heading3"/>
        <w:rPr>
          <w:lang w:eastAsia="en-AU"/>
        </w:rPr>
      </w:pPr>
      <w:bookmarkStart w:id="179" w:name="_Toc247691526"/>
      <w:bookmarkStart w:id="180" w:name="_Toc314842509"/>
      <w:bookmarkStart w:id="181" w:name="_Toc400115432"/>
      <w:r>
        <w:rPr>
          <w:lang w:eastAsia="en-AU"/>
        </w:rPr>
        <w:t xml:space="preserve">Risk </w:t>
      </w:r>
      <w:r w:rsidRPr="007E732D">
        <w:t>m</w:t>
      </w:r>
      <w:r w:rsidR="008E7846" w:rsidRPr="007E732D">
        <w:t>anagement</w:t>
      </w:r>
      <w:r w:rsidR="008E7846">
        <w:rPr>
          <w:lang w:eastAsia="en-AU"/>
        </w:rPr>
        <w:t xml:space="preserve"> </w:t>
      </w:r>
      <w:r>
        <w:rPr>
          <w:lang w:eastAsia="en-AU"/>
        </w:rPr>
        <w:t>p</w:t>
      </w:r>
      <w:r w:rsidR="008E7846">
        <w:rPr>
          <w:lang w:eastAsia="en-AU"/>
        </w:rPr>
        <w:t>lan</w:t>
      </w:r>
      <w:bookmarkEnd w:id="179"/>
      <w:bookmarkEnd w:id="180"/>
      <w:bookmarkEnd w:id="181"/>
    </w:p>
    <w:p w:rsidR="008E7846" w:rsidRDefault="008E7846" w:rsidP="007E732D">
      <w:pPr>
        <w:rPr>
          <w:lang w:eastAsia="en-AU"/>
        </w:rPr>
      </w:pPr>
      <w:r>
        <w:rPr>
          <w:lang w:eastAsia="en-AU"/>
        </w:rPr>
        <w:t xml:space="preserve">The sponsor submitted a Risk </w:t>
      </w:r>
      <w:r w:rsidRPr="00F210E2">
        <w:t>Management Plan</w:t>
      </w:r>
      <w:r w:rsidR="006F25B8" w:rsidRPr="00F210E2">
        <w:t xml:space="preserve"> </w:t>
      </w:r>
      <w:r w:rsidR="00F210E2" w:rsidRPr="00F210E2">
        <w:rPr>
          <w:lang w:eastAsia="en-AU"/>
        </w:rPr>
        <w:t>EU</w:t>
      </w:r>
      <w:r w:rsidR="00F210E2" w:rsidRPr="00F210E2">
        <w:t xml:space="preserve"> </w:t>
      </w:r>
      <w:r w:rsidR="00F210E2" w:rsidRPr="00F210E2">
        <w:rPr>
          <w:lang w:eastAsia="en-AU"/>
        </w:rPr>
        <w:t>RMP Version 2.3 (dated 24</w:t>
      </w:r>
      <w:r w:rsidR="00F210E2" w:rsidRPr="00F210E2">
        <w:t xml:space="preserve"> May </w:t>
      </w:r>
      <w:r w:rsidR="00F210E2" w:rsidRPr="00F210E2">
        <w:rPr>
          <w:lang w:eastAsia="en-AU"/>
        </w:rPr>
        <w:t>2012, D</w:t>
      </w:r>
      <w:r w:rsidR="00F210E2" w:rsidRPr="00F210E2">
        <w:t xml:space="preserve">ata </w:t>
      </w:r>
      <w:r w:rsidR="00F210E2" w:rsidRPr="00F210E2">
        <w:rPr>
          <w:lang w:eastAsia="en-AU"/>
        </w:rPr>
        <w:t>L</w:t>
      </w:r>
      <w:r w:rsidR="00F210E2" w:rsidRPr="00F210E2">
        <w:t xml:space="preserve">ock </w:t>
      </w:r>
      <w:r w:rsidR="00F210E2" w:rsidRPr="00F210E2">
        <w:rPr>
          <w:lang w:eastAsia="en-AU"/>
        </w:rPr>
        <w:t>P</w:t>
      </w:r>
      <w:r w:rsidR="00F210E2" w:rsidRPr="00F210E2">
        <w:t>oint</w:t>
      </w:r>
      <w:r w:rsidR="00F210E2" w:rsidRPr="00F210E2">
        <w:rPr>
          <w:lang w:eastAsia="en-AU"/>
        </w:rPr>
        <w:t xml:space="preserve"> 1</w:t>
      </w:r>
      <w:r w:rsidR="00F210E2" w:rsidRPr="00F210E2">
        <w:t xml:space="preserve"> September </w:t>
      </w:r>
      <w:r w:rsidR="00F210E2" w:rsidRPr="00F210E2">
        <w:rPr>
          <w:lang w:eastAsia="en-AU"/>
        </w:rPr>
        <w:t>2011) and Australian Specific Annex (dated February 2013)</w:t>
      </w:r>
      <w:r w:rsidR="00F210E2" w:rsidRPr="00F210E2">
        <w:t xml:space="preserve"> </w:t>
      </w:r>
      <w:r w:rsidRPr="00F210E2">
        <w:t>which was reviewed by the TGA’s Office of Product Review (OPR</w:t>
      </w:r>
      <w:r>
        <w:rPr>
          <w:lang w:eastAsia="en-AU"/>
        </w:rPr>
        <w:t>).</w:t>
      </w:r>
    </w:p>
    <w:p w:rsidR="008E7846" w:rsidRDefault="00615C4C" w:rsidP="007E732D">
      <w:pPr>
        <w:pStyle w:val="Heading4"/>
        <w:rPr>
          <w:lang w:eastAsia="en-AU"/>
        </w:rPr>
      </w:pPr>
      <w:r>
        <w:rPr>
          <w:lang w:eastAsia="en-AU"/>
        </w:rPr>
        <w:t xml:space="preserve">Contents of the </w:t>
      </w:r>
      <w:r w:rsidRPr="007E732D">
        <w:t>submission</w:t>
      </w:r>
    </w:p>
    <w:p w:rsidR="00F210E2" w:rsidRPr="00145C30" w:rsidRDefault="00F210E2" w:rsidP="007E732D">
      <w:pPr>
        <w:rPr>
          <w:lang w:eastAsia="en-AU"/>
        </w:rPr>
      </w:pPr>
      <w:r>
        <w:rPr>
          <w:lang w:eastAsia="en-AU"/>
        </w:rPr>
        <w:t>A</w:t>
      </w:r>
      <w:r w:rsidRPr="00F210E2">
        <w:rPr>
          <w:lang w:eastAsia="en-AU"/>
        </w:rPr>
        <w:t xml:space="preserve"> summary </w:t>
      </w:r>
      <w:r w:rsidRPr="00145C30">
        <w:rPr>
          <w:lang w:eastAsia="en-AU"/>
        </w:rPr>
        <w:t xml:space="preserve">of the Ongoing Safety Concerns as specified by the sponsor is shown in the table below (Table </w:t>
      </w:r>
      <w:r w:rsidR="00145C30" w:rsidRPr="00145C30">
        <w:rPr>
          <w:lang w:eastAsia="en-AU"/>
        </w:rPr>
        <w:t>10</w:t>
      </w:r>
      <w:r w:rsidRPr="00145C30">
        <w:rPr>
          <w:lang w:eastAsia="en-AU"/>
        </w:rPr>
        <w:t>):</w:t>
      </w:r>
    </w:p>
    <w:p w:rsidR="00F210E2" w:rsidRDefault="00F210E2" w:rsidP="0013706A">
      <w:pPr>
        <w:pStyle w:val="TableTitle"/>
      </w:pPr>
      <w:proofErr w:type="gramStart"/>
      <w:r w:rsidRPr="00145C30">
        <w:t xml:space="preserve">Table </w:t>
      </w:r>
      <w:r w:rsidR="00145C30" w:rsidRPr="00145C30">
        <w:t>10</w:t>
      </w:r>
      <w:r w:rsidRPr="00145C30">
        <w:t>.</w:t>
      </w:r>
      <w:proofErr w:type="gramEnd"/>
      <w:r w:rsidRPr="00145C30">
        <w:t xml:space="preserve"> </w:t>
      </w:r>
      <w:proofErr w:type="gramStart"/>
      <w:r w:rsidRPr="00145C30">
        <w:t>Important identified and</w:t>
      </w:r>
      <w:r w:rsidRPr="00F30EE0">
        <w:t xml:space="preserve"> potential risks and missing information.</w:t>
      </w:r>
      <w:proofErr w:type="gramEnd"/>
    </w:p>
    <w:p w:rsidR="00F210E2" w:rsidRPr="00F30EE0" w:rsidRDefault="00F210E2" w:rsidP="0013706A">
      <w:r>
        <w:rPr>
          <w:noProof/>
          <w:lang w:eastAsia="en-AU"/>
        </w:rPr>
        <w:drawing>
          <wp:inline distT="0" distB="0" distL="0" distR="0" wp14:anchorId="52879A69" wp14:editId="373B94CC">
            <wp:extent cx="4665769" cy="3686175"/>
            <wp:effectExtent l="0" t="0" r="0" b="0"/>
            <wp:docPr id="2" name="Picture 2" descr="Table 10. Important identified and potential risks and miss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5769" cy="3686175"/>
                    </a:xfrm>
                    <a:prstGeom prst="rect">
                      <a:avLst/>
                    </a:prstGeom>
                    <a:noFill/>
                    <a:ln>
                      <a:noFill/>
                    </a:ln>
                  </pic:spPr>
                </pic:pic>
              </a:graphicData>
            </a:graphic>
          </wp:inline>
        </w:drawing>
      </w:r>
    </w:p>
    <w:p w:rsidR="00615C4C" w:rsidRDefault="00615C4C" w:rsidP="0013706A">
      <w:r w:rsidRPr="00F30EE0">
        <w:t xml:space="preserve">The sponsor proposes routine </w:t>
      </w:r>
      <w:r>
        <w:t xml:space="preserve">and additional </w:t>
      </w:r>
      <w:r w:rsidRPr="00F30EE0">
        <w:t>pharmacovigilance activities for important identified and potential</w:t>
      </w:r>
      <w:r w:rsidR="0013706A">
        <w:t xml:space="preserve"> risks and missing information.</w:t>
      </w:r>
    </w:p>
    <w:p w:rsidR="00615C4C" w:rsidRPr="00145C30" w:rsidRDefault="00615C4C" w:rsidP="0013706A">
      <w:r w:rsidRPr="00FE2D84">
        <w:t xml:space="preserve">The sponsor proposes routine pharmacovigilance activities for important identified and potential risks and missing information (as stated above). Furthermore, additional activities are planned for some of the risks. These activities are </w:t>
      </w:r>
      <w:r w:rsidRPr="00145C30">
        <w:t xml:space="preserve">summarised in Table </w:t>
      </w:r>
      <w:r w:rsidR="00145C30" w:rsidRPr="00145C30">
        <w:t>11</w:t>
      </w:r>
      <w:r w:rsidRPr="00145C30">
        <w:t>.</w:t>
      </w:r>
    </w:p>
    <w:p w:rsidR="00615C4C" w:rsidRPr="00FE2D84" w:rsidRDefault="00615C4C" w:rsidP="0013706A">
      <w:pPr>
        <w:pStyle w:val="TableTitle"/>
      </w:pPr>
      <w:proofErr w:type="gramStart"/>
      <w:r w:rsidRPr="00145C30">
        <w:t xml:space="preserve">Table </w:t>
      </w:r>
      <w:r w:rsidR="00145C30" w:rsidRPr="00145C30">
        <w:t>11</w:t>
      </w:r>
      <w:r w:rsidRPr="00145C30">
        <w:t>.</w:t>
      </w:r>
      <w:proofErr w:type="gramEnd"/>
      <w:r w:rsidRPr="00145C30">
        <w:t xml:space="preserve"> </w:t>
      </w:r>
      <w:proofErr w:type="gramStart"/>
      <w:r w:rsidRPr="00145C30">
        <w:t>Activities additional to routine planned by the sponsor regarding certain</w:t>
      </w:r>
      <w:r w:rsidRPr="00FE2D84">
        <w:t xml:space="preserve"> safety concerns.</w:t>
      </w:r>
      <w:proofErr w:type="gramEnd"/>
    </w:p>
    <w:tbl>
      <w:tblPr>
        <w:tblStyle w:val="TableTGAblue"/>
        <w:tblW w:w="0" w:type="auto"/>
        <w:tblLook w:val="04A0" w:firstRow="1" w:lastRow="0" w:firstColumn="1" w:lastColumn="0" w:noHBand="0" w:noVBand="1"/>
      </w:tblPr>
      <w:tblGrid>
        <w:gridCol w:w="1678"/>
        <w:gridCol w:w="2399"/>
        <w:gridCol w:w="2741"/>
        <w:gridCol w:w="1902"/>
      </w:tblGrid>
      <w:tr w:rsidR="00615C4C" w:rsidRPr="00107A9A" w:rsidTr="00BB124E">
        <w:trPr>
          <w:cnfStyle w:val="100000000000" w:firstRow="1" w:lastRow="0" w:firstColumn="0" w:lastColumn="0" w:oddVBand="0" w:evenVBand="0" w:oddHBand="0" w:evenHBand="0" w:firstRowFirstColumn="0" w:firstRowLastColumn="0" w:lastRowFirstColumn="0" w:lastRowLastColumn="0"/>
        </w:trPr>
        <w:tc>
          <w:tcPr>
            <w:tcW w:w="1678" w:type="dxa"/>
          </w:tcPr>
          <w:p w:rsidR="00615C4C" w:rsidRPr="00615C4C" w:rsidRDefault="00615C4C" w:rsidP="00F6348A">
            <w:pPr>
              <w:ind w:left="0" w:right="44"/>
            </w:pPr>
            <w:r w:rsidRPr="00615C4C">
              <w:t>Additional activity</w:t>
            </w:r>
          </w:p>
        </w:tc>
        <w:tc>
          <w:tcPr>
            <w:tcW w:w="2399" w:type="dxa"/>
          </w:tcPr>
          <w:p w:rsidR="00615C4C" w:rsidRPr="00615C4C" w:rsidRDefault="00615C4C" w:rsidP="00F6348A">
            <w:pPr>
              <w:ind w:left="23" w:right="33"/>
              <w:rPr>
                <w:rFonts w:eastAsia="Calibri"/>
              </w:rPr>
            </w:pPr>
            <w:r w:rsidRPr="00615C4C">
              <w:rPr>
                <w:rFonts w:eastAsia="Calibri"/>
              </w:rPr>
              <w:t>Assigned safety concern</w:t>
            </w:r>
          </w:p>
        </w:tc>
        <w:tc>
          <w:tcPr>
            <w:tcW w:w="2741" w:type="dxa"/>
          </w:tcPr>
          <w:p w:rsidR="00615C4C" w:rsidRPr="00615C4C" w:rsidRDefault="00615C4C" w:rsidP="00F6348A">
            <w:pPr>
              <w:ind w:left="34" w:right="81"/>
            </w:pPr>
            <w:r w:rsidRPr="00615C4C">
              <w:t>Actions/outcome proposed</w:t>
            </w:r>
          </w:p>
        </w:tc>
        <w:tc>
          <w:tcPr>
            <w:tcW w:w="1902" w:type="dxa"/>
          </w:tcPr>
          <w:p w:rsidR="00615C4C" w:rsidRPr="00615C4C" w:rsidRDefault="00615C4C" w:rsidP="00F6348A">
            <w:pPr>
              <w:ind w:left="0" w:right="0"/>
            </w:pPr>
            <w:r w:rsidRPr="00615C4C">
              <w:t>Planned submission of final data</w:t>
            </w:r>
          </w:p>
        </w:tc>
      </w:tr>
      <w:tr w:rsidR="00615C4C" w:rsidRPr="00107A9A" w:rsidTr="00BB124E">
        <w:tc>
          <w:tcPr>
            <w:tcW w:w="1678" w:type="dxa"/>
          </w:tcPr>
          <w:p w:rsidR="00615C4C" w:rsidRPr="00107A9A" w:rsidRDefault="00615C4C" w:rsidP="00F6348A">
            <w:pPr>
              <w:ind w:left="0" w:right="44"/>
            </w:pPr>
            <w:r>
              <w:t>PASS</w:t>
            </w:r>
          </w:p>
        </w:tc>
        <w:tc>
          <w:tcPr>
            <w:tcW w:w="2399" w:type="dxa"/>
          </w:tcPr>
          <w:p w:rsidR="00615C4C" w:rsidRDefault="00615C4C" w:rsidP="00F6348A">
            <w:pPr>
              <w:ind w:left="23" w:right="33"/>
              <w:rPr>
                <w:rFonts w:eastAsia="Calibri"/>
                <w:lang w:eastAsia="en-US"/>
              </w:rPr>
            </w:pPr>
            <w:r w:rsidRPr="00E7065A">
              <w:rPr>
                <w:rFonts w:eastAsia="Calibri"/>
                <w:lang w:eastAsia="en-US"/>
              </w:rPr>
              <w:t>Cardiac disorders</w:t>
            </w:r>
          </w:p>
          <w:p w:rsidR="00615C4C" w:rsidRDefault="00615C4C" w:rsidP="00F6348A">
            <w:pPr>
              <w:ind w:left="23" w:right="33"/>
              <w:rPr>
                <w:rFonts w:eastAsia="Calibri"/>
                <w:lang w:eastAsia="en-US"/>
              </w:rPr>
            </w:pPr>
            <w:r w:rsidRPr="00E7065A">
              <w:rPr>
                <w:rFonts w:eastAsia="Calibri"/>
                <w:lang w:eastAsia="en-US"/>
              </w:rPr>
              <w:t>Cerebrovascular</w:t>
            </w:r>
            <w:r>
              <w:rPr>
                <w:rFonts w:eastAsia="Calibri"/>
                <w:lang w:eastAsia="en-US"/>
              </w:rPr>
              <w:t xml:space="preserve"> </w:t>
            </w:r>
            <w:r w:rsidRPr="00E7065A">
              <w:rPr>
                <w:rFonts w:eastAsia="Calibri"/>
                <w:lang w:eastAsia="en-US"/>
              </w:rPr>
              <w:t>events</w:t>
            </w:r>
          </w:p>
          <w:p w:rsidR="00615C4C" w:rsidRPr="00E7065A" w:rsidRDefault="00615C4C" w:rsidP="00F6348A">
            <w:pPr>
              <w:ind w:left="23" w:right="33"/>
              <w:rPr>
                <w:rFonts w:eastAsia="Calibri"/>
                <w:lang w:eastAsia="en-US"/>
              </w:rPr>
            </w:pPr>
            <w:r w:rsidRPr="00E7065A">
              <w:rPr>
                <w:rFonts w:eastAsia="Calibri"/>
                <w:lang w:eastAsia="en-US"/>
              </w:rPr>
              <w:t>Mortality</w:t>
            </w:r>
          </w:p>
        </w:tc>
        <w:tc>
          <w:tcPr>
            <w:tcW w:w="2741" w:type="dxa"/>
          </w:tcPr>
          <w:p w:rsidR="00615C4C" w:rsidRPr="00C94C62" w:rsidRDefault="00615C4C" w:rsidP="00F6348A">
            <w:pPr>
              <w:ind w:left="34" w:right="81"/>
            </w:pPr>
            <w:r w:rsidRPr="00C94C62">
              <w:t>To establish a cohort of patients diagnosed with COPD initiating treatment with aclidinium bromide to evaluate the cardiovascular safety concerns and all-cause mortality described in the RMP, through sequential nested case</w:t>
            </w:r>
            <w:r>
              <w:t>-</w:t>
            </w:r>
            <w:r w:rsidRPr="00C94C62">
              <w:t>control</w:t>
            </w:r>
            <w:r>
              <w:t xml:space="preserve"> </w:t>
            </w:r>
            <w:r w:rsidRPr="00C94C62">
              <w:t>studies for each endpoint of interest.</w:t>
            </w:r>
          </w:p>
        </w:tc>
        <w:tc>
          <w:tcPr>
            <w:tcW w:w="1902" w:type="dxa"/>
          </w:tcPr>
          <w:p w:rsidR="00615C4C" w:rsidRPr="00C94C62" w:rsidRDefault="00615C4C" w:rsidP="00F6348A">
            <w:pPr>
              <w:ind w:left="0" w:right="0"/>
            </w:pPr>
            <w:r w:rsidRPr="00C94C62">
              <w:t>Study protocols to be submitted by September 2012.</w:t>
            </w:r>
          </w:p>
          <w:p w:rsidR="00615C4C" w:rsidRPr="00C94C62" w:rsidRDefault="00615C4C" w:rsidP="00F6348A">
            <w:pPr>
              <w:ind w:left="0" w:right="0"/>
            </w:pPr>
            <w:r w:rsidRPr="00C94C62">
              <w:t xml:space="preserve">PASS </w:t>
            </w:r>
            <w:r>
              <w:t xml:space="preserve">will start when there are 2,000 prescriptions of </w:t>
            </w:r>
            <w:r w:rsidRPr="00C94C62">
              <w:t>aclidinium bromide</w:t>
            </w:r>
            <w:r>
              <w:t xml:space="preserve"> </w:t>
            </w:r>
            <w:r w:rsidRPr="00C94C62">
              <w:t>in the defined database.</w:t>
            </w:r>
          </w:p>
        </w:tc>
      </w:tr>
      <w:tr w:rsidR="00615C4C" w:rsidRPr="00107A9A" w:rsidTr="00BB124E">
        <w:tc>
          <w:tcPr>
            <w:tcW w:w="1678" w:type="dxa"/>
          </w:tcPr>
          <w:p w:rsidR="00615C4C" w:rsidRPr="00107A9A" w:rsidRDefault="00615C4C" w:rsidP="00F6348A">
            <w:pPr>
              <w:ind w:left="0" w:right="44"/>
            </w:pPr>
            <w:r>
              <w:t>DUS</w:t>
            </w:r>
          </w:p>
        </w:tc>
        <w:tc>
          <w:tcPr>
            <w:tcW w:w="2399" w:type="dxa"/>
          </w:tcPr>
          <w:p w:rsidR="00615C4C" w:rsidRDefault="00615C4C" w:rsidP="00F6348A">
            <w:pPr>
              <w:ind w:left="23" w:right="33"/>
              <w:rPr>
                <w:rFonts w:eastAsia="Calibri"/>
                <w:lang w:eastAsia="en-US"/>
              </w:rPr>
            </w:pPr>
            <w:r w:rsidRPr="00E7065A">
              <w:rPr>
                <w:rFonts w:eastAsia="Calibri"/>
                <w:lang w:eastAsia="en-US"/>
              </w:rPr>
              <w:t>Paediatric (off-label</w:t>
            </w:r>
            <w:r>
              <w:rPr>
                <w:rFonts w:eastAsia="Calibri"/>
                <w:lang w:eastAsia="en-US"/>
              </w:rPr>
              <w:t xml:space="preserve"> </w:t>
            </w:r>
            <w:r w:rsidRPr="00E7065A">
              <w:rPr>
                <w:rFonts w:eastAsia="Calibri"/>
                <w:lang w:eastAsia="en-US"/>
              </w:rPr>
              <w:t>use)</w:t>
            </w:r>
          </w:p>
          <w:p w:rsidR="00615C4C" w:rsidRDefault="00615C4C" w:rsidP="00F6348A">
            <w:pPr>
              <w:ind w:left="23" w:right="33"/>
              <w:rPr>
                <w:rFonts w:eastAsia="Calibri"/>
                <w:lang w:eastAsia="en-US"/>
              </w:rPr>
            </w:pPr>
            <w:r w:rsidRPr="00E7065A">
              <w:rPr>
                <w:rFonts w:eastAsia="Calibri"/>
                <w:lang w:eastAsia="en-US"/>
              </w:rPr>
              <w:t>Off-label use in</w:t>
            </w:r>
            <w:r>
              <w:rPr>
                <w:rFonts w:eastAsia="Calibri"/>
                <w:lang w:eastAsia="en-US"/>
              </w:rPr>
              <w:t xml:space="preserve"> </w:t>
            </w:r>
            <w:r w:rsidRPr="00E7065A">
              <w:rPr>
                <w:rFonts w:eastAsia="Calibri"/>
                <w:lang w:eastAsia="en-US"/>
              </w:rPr>
              <w:t>pregnancy and</w:t>
            </w:r>
            <w:r>
              <w:rPr>
                <w:rFonts w:eastAsia="Calibri"/>
                <w:lang w:eastAsia="en-US"/>
              </w:rPr>
              <w:t xml:space="preserve"> </w:t>
            </w:r>
            <w:r w:rsidRPr="00E7065A">
              <w:rPr>
                <w:rFonts w:eastAsia="Calibri"/>
                <w:lang w:eastAsia="en-US"/>
              </w:rPr>
              <w:t>lactation</w:t>
            </w:r>
          </w:p>
          <w:p w:rsidR="00615C4C" w:rsidRDefault="00615C4C" w:rsidP="00F6348A">
            <w:pPr>
              <w:ind w:left="23" w:right="33"/>
              <w:rPr>
                <w:rFonts w:eastAsia="Calibri"/>
                <w:lang w:eastAsia="en-US"/>
              </w:rPr>
            </w:pPr>
            <w:r w:rsidRPr="00E7065A">
              <w:rPr>
                <w:rFonts w:eastAsia="Calibri"/>
                <w:lang w:eastAsia="en-US"/>
              </w:rPr>
              <w:t>Renal and hepatic</w:t>
            </w:r>
            <w:r>
              <w:rPr>
                <w:rFonts w:eastAsia="Calibri"/>
                <w:lang w:eastAsia="en-US"/>
              </w:rPr>
              <w:t xml:space="preserve"> </w:t>
            </w:r>
            <w:r w:rsidRPr="00E7065A">
              <w:rPr>
                <w:rFonts w:eastAsia="Calibri"/>
                <w:lang w:eastAsia="en-US"/>
              </w:rPr>
              <w:t>impairment</w:t>
            </w:r>
          </w:p>
          <w:p w:rsidR="00615C4C" w:rsidRDefault="00615C4C" w:rsidP="00F6348A">
            <w:pPr>
              <w:ind w:left="23" w:right="33"/>
              <w:rPr>
                <w:rFonts w:eastAsia="Calibri"/>
                <w:lang w:eastAsia="en-US"/>
              </w:rPr>
            </w:pPr>
            <w:r w:rsidRPr="009D4C62">
              <w:rPr>
                <w:rFonts w:eastAsia="Calibri"/>
                <w:lang w:eastAsia="en-US"/>
              </w:rPr>
              <w:t>Other patient</w:t>
            </w:r>
            <w:r>
              <w:rPr>
                <w:rFonts w:eastAsia="Calibri"/>
                <w:lang w:eastAsia="en-US"/>
              </w:rPr>
              <w:t xml:space="preserve"> </w:t>
            </w:r>
            <w:r w:rsidRPr="009D4C62">
              <w:rPr>
                <w:rFonts w:eastAsia="Calibri"/>
                <w:lang w:eastAsia="en-US"/>
              </w:rPr>
              <w:t>populations excluded</w:t>
            </w:r>
            <w:r>
              <w:rPr>
                <w:rFonts w:eastAsia="Calibri"/>
                <w:lang w:eastAsia="en-US"/>
              </w:rPr>
              <w:t xml:space="preserve"> </w:t>
            </w:r>
            <w:r w:rsidRPr="009D4C62">
              <w:rPr>
                <w:rFonts w:eastAsia="Calibri"/>
                <w:lang w:eastAsia="en-US"/>
              </w:rPr>
              <w:t>from the clinical</w:t>
            </w:r>
            <w:r>
              <w:rPr>
                <w:rFonts w:eastAsia="Calibri"/>
                <w:lang w:eastAsia="en-US"/>
              </w:rPr>
              <w:t xml:space="preserve"> </w:t>
            </w:r>
            <w:r w:rsidRPr="009D4C62">
              <w:rPr>
                <w:rFonts w:eastAsia="Calibri"/>
                <w:lang w:eastAsia="en-US"/>
              </w:rPr>
              <w:t>programme</w:t>
            </w:r>
          </w:p>
          <w:p w:rsidR="00615C4C" w:rsidRDefault="00615C4C" w:rsidP="00F6348A">
            <w:pPr>
              <w:ind w:left="23" w:right="33"/>
              <w:rPr>
                <w:rFonts w:eastAsia="Calibri"/>
                <w:lang w:eastAsia="en-US"/>
              </w:rPr>
            </w:pPr>
            <w:r w:rsidRPr="009D4C62">
              <w:rPr>
                <w:rFonts w:eastAsia="Calibri"/>
                <w:lang w:eastAsia="en-US"/>
              </w:rPr>
              <w:t>Interaction with other</w:t>
            </w:r>
            <w:r>
              <w:rPr>
                <w:rFonts w:eastAsia="Calibri"/>
                <w:lang w:eastAsia="en-US"/>
              </w:rPr>
              <w:t xml:space="preserve"> </w:t>
            </w:r>
            <w:r w:rsidRPr="009D4C62">
              <w:rPr>
                <w:rFonts w:eastAsia="Calibri"/>
                <w:lang w:eastAsia="en-US"/>
              </w:rPr>
              <w:t>medicinal products</w:t>
            </w:r>
          </w:p>
          <w:p w:rsidR="00615C4C" w:rsidRDefault="00615C4C" w:rsidP="00F6348A">
            <w:pPr>
              <w:ind w:left="23" w:right="33"/>
              <w:rPr>
                <w:rFonts w:eastAsia="Calibri"/>
                <w:lang w:eastAsia="en-US"/>
              </w:rPr>
            </w:pPr>
            <w:r w:rsidRPr="009D4C62">
              <w:rPr>
                <w:rFonts w:eastAsia="Calibri"/>
                <w:lang w:eastAsia="en-US"/>
              </w:rPr>
              <w:t>Patients who have</w:t>
            </w:r>
            <w:r>
              <w:rPr>
                <w:rFonts w:eastAsia="Calibri"/>
                <w:lang w:eastAsia="en-US"/>
              </w:rPr>
              <w:t xml:space="preserve"> </w:t>
            </w:r>
            <w:r w:rsidRPr="009D4C62">
              <w:rPr>
                <w:rFonts w:eastAsia="Calibri"/>
                <w:lang w:eastAsia="en-US"/>
              </w:rPr>
              <w:t>experienced a recent</w:t>
            </w:r>
            <w:r>
              <w:rPr>
                <w:rFonts w:eastAsia="Calibri"/>
                <w:lang w:eastAsia="en-US"/>
              </w:rPr>
              <w:t xml:space="preserve"> </w:t>
            </w:r>
            <w:r w:rsidRPr="009D4C62">
              <w:rPr>
                <w:rFonts w:eastAsia="Calibri"/>
                <w:lang w:eastAsia="en-US"/>
              </w:rPr>
              <w:t>exacerbation</w:t>
            </w:r>
          </w:p>
          <w:p w:rsidR="00615C4C" w:rsidRPr="00E7065A" w:rsidRDefault="00615C4C" w:rsidP="00F6348A">
            <w:pPr>
              <w:ind w:left="23" w:right="33"/>
              <w:rPr>
                <w:rFonts w:eastAsia="Calibri"/>
                <w:lang w:eastAsia="en-US"/>
              </w:rPr>
            </w:pPr>
            <w:r w:rsidRPr="009D4C62">
              <w:rPr>
                <w:rFonts w:eastAsia="Calibri"/>
                <w:lang w:eastAsia="en-US"/>
              </w:rPr>
              <w:t>Off-label use in</w:t>
            </w:r>
            <w:r>
              <w:rPr>
                <w:rFonts w:eastAsia="Calibri"/>
                <w:lang w:eastAsia="en-US"/>
              </w:rPr>
              <w:t xml:space="preserve"> </w:t>
            </w:r>
            <w:r w:rsidRPr="009D4C62">
              <w:rPr>
                <w:rFonts w:eastAsia="Calibri"/>
                <w:lang w:eastAsia="en-US"/>
              </w:rPr>
              <w:t>adults</w:t>
            </w:r>
          </w:p>
        </w:tc>
        <w:tc>
          <w:tcPr>
            <w:tcW w:w="2741" w:type="dxa"/>
          </w:tcPr>
          <w:p w:rsidR="00615C4C" w:rsidRPr="00B27983" w:rsidRDefault="00615C4C" w:rsidP="00F6348A">
            <w:pPr>
              <w:ind w:left="34" w:right="81"/>
            </w:pPr>
            <w:r w:rsidRPr="00B27983">
              <w:t>To describe the characteristics of new users of aclidinium bromide and of</w:t>
            </w:r>
            <w:r>
              <w:t xml:space="preserve"> </w:t>
            </w:r>
            <w:r w:rsidRPr="00B27983">
              <w:t>other selected COPD treatments, including agents in the same class, regarding</w:t>
            </w:r>
            <w:r>
              <w:t xml:space="preserve"> </w:t>
            </w:r>
            <w:r w:rsidRPr="00B27983">
              <w:t>age, sex, history of chronic disease including cardiovascular diseases, COPD</w:t>
            </w:r>
            <w:r>
              <w:t xml:space="preserve"> </w:t>
            </w:r>
            <w:r w:rsidRPr="00B27983">
              <w:t>severity, and prior use of COPD medications and other medications.</w:t>
            </w:r>
          </w:p>
          <w:p w:rsidR="00615C4C" w:rsidRPr="00B27983" w:rsidRDefault="00615C4C" w:rsidP="00F6348A">
            <w:pPr>
              <w:ind w:left="34" w:right="81"/>
            </w:pPr>
            <w:r w:rsidRPr="00B27983">
              <w:t>To describe the patterns of use of aclidinium bromide and other selected</w:t>
            </w:r>
            <w:r>
              <w:t xml:space="preserve"> </w:t>
            </w:r>
            <w:r w:rsidRPr="00B27983">
              <w:t>COPD treatments, among new users, regarding duration of treatment, dose,</w:t>
            </w:r>
            <w:r>
              <w:t xml:space="preserve"> </w:t>
            </w:r>
            <w:r w:rsidRPr="00B27983">
              <w:t>switching patterns, and use of concomitant medications</w:t>
            </w:r>
          </w:p>
          <w:p w:rsidR="00615C4C" w:rsidRPr="00C0282E" w:rsidRDefault="00615C4C" w:rsidP="00F6348A">
            <w:pPr>
              <w:ind w:left="34" w:right="81"/>
            </w:pPr>
            <w:r w:rsidRPr="00B27983">
              <w:t>To evaluate the potential off-label use of aclidinium bromide in adults and</w:t>
            </w:r>
            <w:r>
              <w:t xml:space="preserve"> </w:t>
            </w:r>
            <w:r w:rsidRPr="00C0282E">
              <w:t>children</w:t>
            </w:r>
          </w:p>
          <w:p w:rsidR="00615C4C" w:rsidRPr="00C0282E" w:rsidRDefault="00615C4C" w:rsidP="00F6348A">
            <w:pPr>
              <w:ind w:left="34" w:right="81"/>
            </w:pPr>
            <w:r w:rsidRPr="00B27983">
              <w:t>To identify and describe users of aclidinium bromide in patient subgroups for</w:t>
            </w:r>
            <w:r>
              <w:t xml:space="preserve"> </w:t>
            </w:r>
            <w:r w:rsidRPr="00C0282E">
              <w:t>which there is missing information in the RMP</w:t>
            </w:r>
          </w:p>
          <w:p w:rsidR="00615C4C" w:rsidRPr="00107A9A" w:rsidRDefault="00615C4C" w:rsidP="00F6348A">
            <w:pPr>
              <w:ind w:left="34" w:right="81"/>
            </w:pPr>
            <w:r w:rsidRPr="00B27983">
              <w:t>To establish the core of a cohort of new users of aclidinium bromide for the</w:t>
            </w:r>
            <w:r>
              <w:t xml:space="preserve"> </w:t>
            </w:r>
            <w:r w:rsidRPr="00C0282E">
              <w:t>future evaluation of safety concerns described in the RMP</w:t>
            </w:r>
          </w:p>
        </w:tc>
        <w:tc>
          <w:tcPr>
            <w:tcW w:w="1902" w:type="dxa"/>
          </w:tcPr>
          <w:p w:rsidR="00615C4C" w:rsidRPr="00C94C62" w:rsidRDefault="00615C4C" w:rsidP="00F6348A">
            <w:pPr>
              <w:ind w:left="0" w:right="0"/>
            </w:pPr>
            <w:r>
              <w:t xml:space="preserve">Study protocols: </w:t>
            </w:r>
            <w:r w:rsidRPr="00C94C62">
              <w:t>by September 2012.</w:t>
            </w:r>
          </w:p>
          <w:p w:rsidR="00615C4C" w:rsidRDefault="00615C4C" w:rsidP="00F6348A">
            <w:pPr>
              <w:ind w:left="0" w:right="0"/>
            </w:pPr>
            <w:r w:rsidRPr="00C94C62">
              <w:t xml:space="preserve">Phase </w:t>
            </w:r>
            <w:r w:rsidR="00BB124E">
              <w:t>I</w:t>
            </w:r>
            <w:r w:rsidRPr="00C94C62">
              <w:t xml:space="preserve"> analysis: second half of 2013 or first half of 2014 (time period will be</w:t>
            </w:r>
            <w:r>
              <w:t xml:space="preserve"> </w:t>
            </w:r>
            <w:r w:rsidRPr="00C94C62">
              <w:t>adjusted based on use in the target countries)</w:t>
            </w:r>
          </w:p>
          <w:p w:rsidR="00615C4C" w:rsidRPr="00C94C62" w:rsidRDefault="00615C4C" w:rsidP="00F6348A">
            <w:pPr>
              <w:ind w:left="0" w:right="0"/>
            </w:pPr>
            <w:r w:rsidRPr="00C94C62">
              <w:t xml:space="preserve">Phase </w:t>
            </w:r>
            <w:r w:rsidR="00BB124E">
              <w:t>II</w:t>
            </w:r>
            <w:r w:rsidRPr="00C94C62">
              <w:t xml:space="preserve"> analysis: 1 year after the phase 1 analysis</w:t>
            </w:r>
          </w:p>
        </w:tc>
      </w:tr>
      <w:tr w:rsidR="00615C4C" w:rsidRPr="00107A9A" w:rsidTr="00BB124E">
        <w:tc>
          <w:tcPr>
            <w:tcW w:w="1678" w:type="dxa"/>
          </w:tcPr>
          <w:p w:rsidR="00615C4C" w:rsidRPr="00107A9A" w:rsidRDefault="00615C4C" w:rsidP="00F6348A">
            <w:pPr>
              <w:ind w:left="0" w:right="44"/>
            </w:pPr>
            <w:r>
              <w:t xml:space="preserve">Clinical development in </w:t>
            </w:r>
            <w:r w:rsidRPr="00E7065A">
              <w:t>Japanese and Korean</w:t>
            </w:r>
            <w:r>
              <w:t xml:space="preserve"> </w:t>
            </w:r>
            <w:r w:rsidRPr="00E7065A">
              <w:t>patients</w:t>
            </w:r>
          </w:p>
        </w:tc>
        <w:tc>
          <w:tcPr>
            <w:tcW w:w="2399" w:type="dxa"/>
          </w:tcPr>
          <w:p w:rsidR="00615C4C" w:rsidRPr="00E7065A" w:rsidRDefault="00615C4C" w:rsidP="00F6348A">
            <w:pPr>
              <w:ind w:left="23" w:right="33"/>
              <w:rPr>
                <w:rFonts w:eastAsia="Calibri"/>
                <w:lang w:eastAsia="en-US"/>
              </w:rPr>
            </w:pPr>
            <w:r w:rsidRPr="00E7065A">
              <w:rPr>
                <w:rFonts w:eastAsia="Calibri"/>
                <w:lang w:eastAsia="en-US"/>
              </w:rPr>
              <w:t>Non-Caucasian</w:t>
            </w:r>
            <w:r>
              <w:rPr>
                <w:rFonts w:eastAsia="Calibri"/>
                <w:lang w:eastAsia="en-US"/>
              </w:rPr>
              <w:t xml:space="preserve"> </w:t>
            </w:r>
            <w:r w:rsidRPr="00E7065A">
              <w:rPr>
                <w:rFonts w:eastAsia="Calibri"/>
                <w:lang w:eastAsia="en-US"/>
              </w:rPr>
              <w:t>patients (including</w:t>
            </w:r>
            <w:r>
              <w:rPr>
                <w:rFonts w:eastAsia="Calibri"/>
                <w:lang w:eastAsia="en-US"/>
              </w:rPr>
              <w:t xml:space="preserve"> pharmacodynami</w:t>
            </w:r>
            <w:r w:rsidRPr="00E7065A">
              <w:rPr>
                <w:rFonts w:eastAsia="Calibri"/>
                <w:lang w:eastAsia="en-US"/>
              </w:rPr>
              <w:t>c</w:t>
            </w:r>
            <w:r>
              <w:rPr>
                <w:rFonts w:eastAsia="Calibri"/>
                <w:lang w:eastAsia="en-US"/>
              </w:rPr>
              <w:t xml:space="preserve"> </w:t>
            </w:r>
            <w:r w:rsidRPr="00E7065A">
              <w:rPr>
                <w:rFonts w:eastAsia="Calibri"/>
                <w:lang w:eastAsia="en-US"/>
              </w:rPr>
              <w:t>data)</w:t>
            </w:r>
          </w:p>
        </w:tc>
        <w:tc>
          <w:tcPr>
            <w:tcW w:w="2741" w:type="dxa"/>
          </w:tcPr>
          <w:p w:rsidR="00615C4C" w:rsidRPr="00107A9A" w:rsidRDefault="00615C4C" w:rsidP="00F6348A">
            <w:pPr>
              <w:ind w:left="34" w:right="81"/>
              <w:rPr>
                <w:rFonts w:eastAsia="Calibri"/>
              </w:rPr>
            </w:pPr>
          </w:p>
        </w:tc>
        <w:tc>
          <w:tcPr>
            <w:tcW w:w="1902" w:type="dxa"/>
          </w:tcPr>
          <w:p w:rsidR="00615C4C" w:rsidRPr="00107A9A" w:rsidRDefault="00615C4C" w:rsidP="00F6348A">
            <w:pPr>
              <w:ind w:left="0" w:right="0"/>
            </w:pPr>
          </w:p>
        </w:tc>
      </w:tr>
    </w:tbl>
    <w:p w:rsidR="00615C4C" w:rsidRPr="00F30EE0" w:rsidRDefault="00615C4C" w:rsidP="00F6348A">
      <w:r w:rsidRPr="00F30EE0">
        <w:t>The sponsor proposes routine risk minimisation activities for identified risks, important potential risks and missing information.</w:t>
      </w:r>
    </w:p>
    <w:p w:rsidR="00615C4C" w:rsidRDefault="00615C4C" w:rsidP="00F6348A">
      <w:r w:rsidRPr="00F30EE0">
        <w:t>The presenta</w:t>
      </w:r>
      <w:r>
        <w:t>tion of the sponsor’s written submission wa</w:t>
      </w:r>
      <w:r w:rsidRPr="00F30EE0">
        <w:t>s considered acceptable.</w:t>
      </w:r>
    </w:p>
    <w:p w:rsidR="00F210E2" w:rsidRPr="00F6348A" w:rsidRDefault="006F25B8" w:rsidP="00F6348A">
      <w:pPr>
        <w:pStyle w:val="Heading4"/>
      </w:pPr>
      <w:bookmarkStart w:id="182" w:name="_Toc247691527"/>
      <w:r w:rsidRPr="006F25B8">
        <w:rPr>
          <w:lang w:eastAsia="en-AU"/>
        </w:rPr>
        <w:t>Reconciliation of is</w:t>
      </w:r>
      <w:r w:rsidR="00F6348A">
        <w:rPr>
          <w:lang w:eastAsia="en-AU"/>
        </w:rPr>
        <w:t>sues outlined in the RMP report</w:t>
      </w:r>
    </w:p>
    <w:p w:rsidR="00F210E2" w:rsidRPr="00F210E2" w:rsidRDefault="00F210E2" w:rsidP="00F6348A">
      <w:pPr>
        <w:rPr>
          <w:lang w:eastAsia="en-AU"/>
        </w:rPr>
      </w:pPr>
      <w:r w:rsidRPr="007C5855">
        <w:t>It is considered that the sponsor’s response to the TGA</w:t>
      </w:r>
      <w:r>
        <w:t>’s</w:t>
      </w:r>
      <w:r w:rsidRPr="007C5855">
        <w:t xml:space="preserve"> </w:t>
      </w:r>
      <w:r>
        <w:t>r</w:t>
      </w:r>
      <w:r w:rsidRPr="007C5855">
        <w:t xml:space="preserve">equest </w:t>
      </w:r>
      <w:r>
        <w:t xml:space="preserve">for further information </w:t>
      </w:r>
      <w:r w:rsidRPr="007C5855">
        <w:t xml:space="preserve">has </w:t>
      </w:r>
      <w:r>
        <w:t xml:space="preserve">only partially </w:t>
      </w:r>
      <w:r w:rsidRPr="007C5855">
        <w:t>addressed the issues identified in the RMP evaluation report.</w:t>
      </w:r>
      <w:r w:rsidR="00895108">
        <w:t xml:space="preserve"> The RMP evaluator also recommended PI changes but the details of these are beyond the scope of this AusPAR</w:t>
      </w:r>
      <w:r w:rsidRPr="002F36EB">
        <w:t>.</w:t>
      </w:r>
      <w:r>
        <w:t xml:space="preserve"> </w:t>
      </w:r>
      <w:r w:rsidRPr="007C5855">
        <w:t>The outstanding issues are specified below.</w:t>
      </w:r>
      <w:r>
        <w:t xml:space="preserve"> Additional issues have been raised by the nonclinical evaluator.</w:t>
      </w:r>
    </w:p>
    <w:p w:rsidR="006F25B8" w:rsidRDefault="006F25B8" w:rsidP="00F6348A">
      <w:pPr>
        <w:rPr>
          <w:lang w:eastAsia="en-AU"/>
        </w:rPr>
      </w:pPr>
      <w:r>
        <w:rPr>
          <w:lang w:eastAsia="en-AU"/>
        </w:rPr>
        <w:t xml:space="preserve">Table </w:t>
      </w:r>
      <w:r w:rsidR="00145C30">
        <w:rPr>
          <w:lang w:eastAsia="en-AU"/>
        </w:rPr>
        <w:t>12</w:t>
      </w:r>
      <w:r>
        <w:rPr>
          <w:lang w:eastAsia="en-AU"/>
        </w:rPr>
        <w:t xml:space="preserve"> summarises the OPR’s first round evaluation of the RMP, the sponsor’s responses to issues raised by the OPR and the OPR’s evaluation of the sponsor’s responses.</w:t>
      </w:r>
    </w:p>
    <w:p w:rsidR="00F210E2" w:rsidRPr="00F6348A" w:rsidRDefault="00F210E2" w:rsidP="00F6348A">
      <w:pPr>
        <w:pStyle w:val="TableTitle"/>
      </w:pPr>
      <w:proofErr w:type="gramStart"/>
      <w:r>
        <w:t xml:space="preserve">Table </w:t>
      </w:r>
      <w:r w:rsidR="00145C30">
        <w:t>12</w:t>
      </w:r>
      <w:r>
        <w:t>.</w:t>
      </w:r>
      <w:proofErr w:type="gramEnd"/>
      <w:r>
        <w:t xml:space="preserve"> </w:t>
      </w:r>
      <w:r w:rsidRPr="00C31998">
        <w:t>Reconciliation of issues outlined in the RMP report</w:t>
      </w:r>
    </w:p>
    <w:tbl>
      <w:tblPr>
        <w:tblStyle w:val="TableTGAblue"/>
        <w:tblW w:w="5000" w:type="pct"/>
        <w:jc w:val="center"/>
        <w:tblLayout w:type="fixed"/>
        <w:tblCellMar>
          <w:left w:w="28" w:type="dxa"/>
          <w:right w:w="28" w:type="dxa"/>
        </w:tblCellMar>
        <w:tblLook w:val="04A0" w:firstRow="1" w:lastRow="0" w:firstColumn="1" w:lastColumn="0" w:noHBand="0" w:noVBand="1"/>
      </w:tblPr>
      <w:tblGrid>
        <w:gridCol w:w="2852"/>
        <w:gridCol w:w="3378"/>
        <w:gridCol w:w="2330"/>
      </w:tblGrid>
      <w:tr w:rsidR="00F210E2" w:rsidRPr="009F51F5" w:rsidTr="00F6348A">
        <w:trPr>
          <w:cnfStyle w:val="100000000000" w:firstRow="1" w:lastRow="0" w:firstColumn="0" w:lastColumn="0" w:oddVBand="0" w:evenVBand="0" w:oddHBand="0" w:evenHBand="0" w:firstRowFirstColumn="0" w:firstRowLastColumn="0" w:lastRowFirstColumn="0" w:lastRowLastColumn="0"/>
          <w:jc w:val="center"/>
        </w:trPr>
        <w:tc>
          <w:tcPr>
            <w:tcW w:w="1666" w:type="pct"/>
            <w:noWrap/>
          </w:tcPr>
          <w:p w:rsidR="00F210E2" w:rsidRPr="009F51F5" w:rsidRDefault="00F210E2" w:rsidP="00F6348A">
            <w:r w:rsidRPr="009F51F5">
              <w:t>Recommendation in RMP evaluation report</w:t>
            </w:r>
          </w:p>
        </w:tc>
        <w:tc>
          <w:tcPr>
            <w:tcW w:w="1973" w:type="pct"/>
            <w:noWrap/>
          </w:tcPr>
          <w:p w:rsidR="00F210E2" w:rsidRPr="009F51F5" w:rsidRDefault="00F210E2" w:rsidP="00F6348A">
            <w:r w:rsidRPr="009F51F5">
              <w:t>Sponsor’s response (or summary of the response)</w:t>
            </w:r>
          </w:p>
        </w:tc>
        <w:tc>
          <w:tcPr>
            <w:tcW w:w="1362" w:type="pct"/>
            <w:noWrap/>
          </w:tcPr>
          <w:p w:rsidR="00F210E2" w:rsidRPr="009F51F5" w:rsidRDefault="00F210E2" w:rsidP="00F6348A">
            <w:r w:rsidRPr="009F51F5">
              <w:t>OPR evaluator’s comment</w:t>
            </w:r>
          </w:p>
        </w:tc>
      </w:tr>
      <w:tr w:rsidR="00F210E2" w:rsidRPr="009F51F5" w:rsidTr="000E60AE">
        <w:trPr>
          <w:jc w:val="center"/>
        </w:trPr>
        <w:tc>
          <w:tcPr>
            <w:tcW w:w="16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710686" w:rsidP="00F6348A">
            <w:r w:rsidRPr="000E60AE">
              <w:t xml:space="preserve">Long term </w:t>
            </w:r>
            <w:r w:rsidR="00F210E2" w:rsidRPr="000E60AE">
              <w:t>safety (more than 12 months) should be added as Important Missing Information.</w:t>
            </w:r>
          </w:p>
        </w:tc>
        <w:tc>
          <w:tcPr>
            <w:tcW w:w="19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F6348A" w:rsidRDefault="00F210E2" w:rsidP="00F6348A">
            <w:pPr>
              <w:rPr>
                <w:i/>
              </w:rPr>
            </w:pPr>
            <w:r w:rsidRPr="00F6348A">
              <w:rPr>
                <w:i/>
              </w:rPr>
              <w:t xml:space="preserve">The aclidinium bromide Phase III clinical development program consisted of 3 key </w:t>
            </w:r>
            <w:r w:rsidR="00710686" w:rsidRPr="00F6348A">
              <w:rPr>
                <w:i/>
              </w:rPr>
              <w:t xml:space="preserve">long term </w:t>
            </w:r>
            <w:r w:rsidRPr="00F6348A">
              <w:rPr>
                <w:i/>
              </w:rPr>
              <w:t>safety studies as follows:</w:t>
            </w:r>
          </w:p>
          <w:p w:rsidR="00F210E2" w:rsidRPr="00F6348A" w:rsidRDefault="00F210E2" w:rsidP="00F6348A">
            <w:pPr>
              <w:rPr>
                <w:i/>
              </w:rPr>
            </w:pPr>
            <w:r w:rsidRPr="00F6348A">
              <w:rPr>
                <w:i/>
              </w:rPr>
              <w:t xml:space="preserve">LAS-35 [NCT01044459] which consisted of a randomised, </w:t>
            </w:r>
            <w:r w:rsidR="00710686" w:rsidRPr="00F6348A">
              <w:rPr>
                <w:i/>
              </w:rPr>
              <w:t>double blind</w:t>
            </w:r>
            <w:r w:rsidRPr="00F6348A">
              <w:rPr>
                <w:i/>
              </w:rPr>
              <w:t>, multicentre study of 52 weeks duration</w:t>
            </w:r>
          </w:p>
          <w:p w:rsidR="00F210E2" w:rsidRPr="00F6348A" w:rsidRDefault="00F210E2" w:rsidP="00F6348A">
            <w:pPr>
              <w:rPr>
                <w:i/>
              </w:rPr>
            </w:pPr>
            <w:r w:rsidRPr="00F6348A">
              <w:rPr>
                <w:i/>
              </w:rPr>
              <w:t>LAS-8B [NCT01045161] which consisted of an open-label treatment continuation of the 12-week ACCORD COPD II study and ran for 52 weeks</w:t>
            </w:r>
          </w:p>
          <w:p w:rsidR="00F210E2" w:rsidRPr="00F6348A" w:rsidRDefault="00F210E2" w:rsidP="00F6348A">
            <w:pPr>
              <w:rPr>
                <w:i/>
              </w:rPr>
            </w:pPr>
            <w:r w:rsidRPr="00F6348A">
              <w:rPr>
                <w:i/>
              </w:rPr>
              <w:t>LAS-36 [NCT00970268] which consisted of an open-label extension of the 12-week ACCORD COPDI study and ran for 64 weeks</w:t>
            </w:r>
          </w:p>
          <w:p w:rsidR="00F210E2" w:rsidRPr="00F6348A" w:rsidRDefault="00F210E2" w:rsidP="00F6348A">
            <w:pPr>
              <w:rPr>
                <w:i/>
              </w:rPr>
            </w:pPr>
            <w:r w:rsidRPr="00F6348A">
              <w:rPr>
                <w:i/>
              </w:rPr>
              <w:t xml:space="preserve">In addition, a </w:t>
            </w:r>
            <w:r w:rsidR="00710686" w:rsidRPr="00F6348A">
              <w:rPr>
                <w:i/>
              </w:rPr>
              <w:t>double blind</w:t>
            </w:r>
            <w:r w:rsidRPr="00F6348A">
              <w:rPr>
                <w:i/>
              </w:rPr>
              <w:t xml:space="preserve">, randomized, </w:t>
            </w:r>
            <w:r w:rsidR="00710686" w:rsidRPr="00F6348A">
              <w:rPr>
                <w:i/>
              </w:rPr>
              <w:t>placebo controlled</w:t>
            </w:r>
            <w:r w:rsidRPr="00F6348A">
              <w:rPr>
                <w:i/>
              </w:rPr>
              <w:t xml:space="preserve">, </w:t>
            </w:r>
            <w:r w:rsidR="00710686" w:rsidRPr="00F6348A">
              <w:rPr>
                <w:i/>
              </w:rPr>
              <w:t>parallel group</w:t>
            </w:r>
            <w:r w:rsidRPr="00F6348A">
              <w:rPr>
                <w:i/>
              </w:rPr>
              <w:t xml:space="preserve">, phase IV study to evaluate the effect of aclidinium bromide on </w:t>
            </w:r>
            <w:r w:rsidR="00710686" w:rsidRPr="00F6348A">
              <w:rPr>
                <w:i/>
              </w:rPr>
              <w:t xml:space="preserve">long term </w:t>
            </w:r>
            <w:r w:rsidRPr="00F6348A">
              <w:rPr>
                <w:i/>
              </w:rPr>
              <w:t>cardiovascular safety and COPD exacerbations in patients with moderate to very severe COPD (ASCENT COPD) is being conducted in US to assess the safety of aclidinium bromide on major adverse cardiovascular events (MACE), the overall safety of aclidinium bromide and whether aclidinium bromide reduces moderate or severe chronic obstructive pulmonary disease (COPD) exacerbations. A total of 4000 COPD patients will be included in this clinical trial and they will be treated to a maximum of 36 months. The first patient included in this trial was on 16th October 2013.</w:t>
            </w:r>
          </w:p>
          <w:p w:rsidR="00F210E2" w:rsidRPr="00F6348A" w:rsidRDefault="00F210E2" w:rsidP="00F6348A">
            <w:pPr>
              <w:rPr>
                <w:i/>
              </w:rPr>
            </w:pPr>
            <w:r w:rsidRPr="00F6348A">
              <w:rPr>
                <w:i/>
              </w:rPr>
              <w:t>Besides, the overall pharmacovigilance plan includes a drug utilisation study (DUS) that will cover aspects related to drug utilisation, off-label use, and identification of patient groups with missing information in the RMP.</w:t>
            </w:r>
          </w:p>
          <w:p w:rsidR="00F210E2" w:rsidRPr="000E60AE" w:rsidRDefault="00F210E2" w:rsidP="00F6348A">
            <w:r w:rsidRPr="00F6348A">
              <w:rPr>
                <w:i/>
              </w:rPr>
              <w:t>As more patients increase the size of the cohort of patients with diagnosed COPD a post</w:t>
            </w:r>
            <w:r w:rsidR="00B4787A" w:rsidRPr="00F6348A">
              <w:rPr>
                <w:i/>
              </w:rPr>
              <w:t xml:space="preserve"> </w:t>
            </w:r>
            <w:r w:rsidRPr="00F6348A">
              <w:rPr>
                <w:i/>
              </w:rPr>
              <w:t xml:space="preserve">authorisation safety study (PASS) will be conducted in the EU to assess the potential cardiovascular safety concerns described in the risk management plan (RMP) for aclidinium bromide. The cohort will include patients initiating treatment with aclidinium bromide, tiotropium, glycopyrronium bromide, fixed-dose combinations of LABA+ICS or LABAs. </w:t>
            </w:r>
            <w:r w:rsidR="00B4787A" w:rsidRPr="00F6348A">
              <w:rPr>
                <w:i/>
              </w:rPr>
              <w:t>The sponsor</w:t>
            </w:r>
            <w:r w:rsidRPr="00F6348A">
              <w:rPr>
                <w:i/>
              </w:rPr>
              <w:t xml:space="preserve"> will evaluate whether the use of aclidinium bromide is associated with increased risk of all-cause mortality and cardiovascular events such as congestive heart failure (CHF); acute myocardial infarction, including out-of-hospital coronary heart disease (CHD) death (“AMI”); and stroke. Four sequential nested case-control studies will be conducted to compare the risk of each study endpoint in new users of aclidinium bromide, tiotropium, glycopyrronium bromide, and LABA+ICS with the risk in users of LABAs and between users of aclidinium bromide and users of each of the other study medications.</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r w:rsidRPr="000E60AE">
              <w:t xml:space="preserve">It is noted that the sponsor refers to ASCENT COPD (NCT01966107) which is </w:t>
            </w:r>
            <w:r w:rsidR="00B4787A" w:rsidRPr="000E60AE">
              <w:t xml:space="preserve">not </w:t>
            </w:r>
            <w:r w:rsidRPr="000E60AE">
              <w:t>conducted by A Menarini.</w:t>
            </w:r>
          </w:p>
          <w:p w:rsidR="00F210E2" w:rsidRPr="000E60AE" w:rsidRDefault="00F210E2" w:rsidP="00F6348A">
            <w:r w:rsidRPr="000E60AE">
              <w:t>If A Menarini were able to access all data generated by this trial, were able to report regularly on results through PSURs or otherwise, provide a final study report, and use the data to inform updates to RMPs, this would be considered acceptable.</w:t>
            </w:r>
          </w:p>
        </w:tc>
      </w:tr>
      <w:tr w:rsidR="00F210E2" w:rsidRPr="009F51F5" w:rsidTr="000E60AE">
        <w:trPr>
          <w:jc w:val="center"/>
        </w:trPr>
        <w:tc>
          <w:tcPr>
            <w:tcW w:w="16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r w:rsidRPr="000E60AE">
              <w:t>The study protocol synopses submitted are considered acceptable in regard to the assigned safety concerns for RMP purposes. However, the sponsor is advised to submit the expected dates of availability of the final reports.</w:t>
            </w:r>
          </w:p>
        </w:tc>
        <w:tc>
          <w:tcPr>
            <w:tcW w:w="19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pPr>
              <w:rPr>
                <w:i/>
              </w:rPr>
            </w:pPr>
            <w:r w:rsidRPr="000E60AE">
              <w:rPr>
                <w:i/>
              </w:rPr>
              <w:t xml:space="preserve">The </w:t>
            </w:r>
            <w:r w:rsidR="00D225E8" w:rsidRPr="000E60AE">
              <w:rPr>
                <w:i/>
              </w:rPr>
              <w:t xml:space="preserve">sponsor submitted the </w:t>
            </w:r>
            <w:r w:rsidRPr="000E60AE">
              <w:rPr>
                <w:i/>
              </w:rPr>
              <w:t xml:space="preserve">expected dates of availability of data from the PASS and DUS </w:t>
            </w:r>
            <w:r w:rsidR="00D225E8" w:rsidRPr="000E60AE">
              <w:rPr>
                <w:i/>
              </w:rPr>
              <w:t>studies.</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r w:rsidRPr="000E60AE">
              <w:t>This is considered acceptable.</w:t>
            </w:r>
          </w:p>
        </w:tc>
      </w:tr>
      <w:tr w:rsidR="00F210E2" w:rsidRPr="009F51F5" w:rsidTr="000E60AE">
        <w:trPr>
          <w:jc w:val="center"/>
        </w:trPr>
        <w:tc>
          <w:tcPr>
            <w:tcW w:w="16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r w:rsidRPr="000E60AE">
              <w:t>Given the target population is likely to suffer from some form of cardiovascular disease as a co-morbidity, given that cardiac events and cerebrovascular events are classified Important Potential Risks and given that aclinidium will likely to be widely used, it is necessary to conduct a clinical trial to investigate these safety concerns further.</w:t>
            </w:r>
          </w:p>
        </w:tc>
        <w:tc>
          <w:tcPr>
            <w:tcW w:w="19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pPr>
              <w:rPr>
                <w:i/>
              </w:rPr>
            </w:pPr>
            <w:r w:rsidRPr="000E60AE">
              <w:rPr>
                <w:i/>
              </w:rPr>
              <w:t>‘Routine Pharmacovigilance monitoring and additional post-authorisation studies (ASCENT clinical trial and EU PASS) are designed to monitor this safety concern. (see above question 2)’</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r w:rsidRPr="000E60AE">
              <w:t>This is considered acceptable, if the ASCENT COPD trial becomes part of the pharmacovigilance plan, and if ‘cardiac events’ and ‘cerebrovascular events’ are both assigned to the ASCENT COPD trial in the pharmacovigilance plan, and if the RMP is updated accordingly.</w:t>
            </w:r>
          </w:p>
        </w:tc>
      </w:tr>
      <w:tr w:rsidR="00F210E2" w:rsidRPr="009F51F5" w:rsidTr="000E60AE">
        <w:trPr>
          <w:jc w:val="center"/>
        </w:trPr>
        <w:tc>
          <w:tcPr>
            <w:tcW w:w="16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r w:rsidRPr="000E60AE">
              <w:t>The sponsor should conduct an additional pharmacovigilance activity, or assign an existing activity, that assesses the safety of aclidinium beyond 12 months.</w:t>
            </w:r>
          </w:p>
        </w:tc>
        <w:tc>
          <w:tcPr>
            <w:tcW w:w="197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pPr>
              <w:rPr>
                <w:i/>
              </w:rPr>
            </w:pPr>
            <w:r w:rsidRPr="000E60AE">
              <w:rPr>
                <w:i/>
              </w:rPr>
              <w:t>‘Routine post marketing PV will be conducted alongside the PASS and DUS in the EU, and the ASCENT clinical trial in US to monitor any treatment emergent concerns should they arise. (see above question 2)’</w:t>
            </w:r>
          </w:p>
        </w:tc>
        <w:tc>
          <w:tcPr>
            <w:tcW w:w="136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210E2" w:rsidRPr="000E60AE" w:rsidRDefault="00F210E2" w:rsidP="00F6348A">
            <w:r w:rsidRPr="000E60AE">
              <w:t>This is considered acceptable, if the ASCENT COPD trial becomes part of the pharmacovigilance plan.</w:t>
            </w:r>
          </w:p>
        </w:tc>
      </w:tr>
    </w:tbl>
    <w:p w:rsidR="00D225E8" w:rsidRDefault="00D225E8" w:rsidP="00F6348A">
      <w:r>
        <w:t>The sponsor wa</w:t>
      </w:r>
      <w:r w:rsidRPr="00CB3578">
        <w:t xml:space="preserve">s advised to incorporate the </w:t>
      </w:r>
      <w:r>
        <w:t xml:space="preserve">PI </w:t>
      </w:r>
      <w:r w:rsidRPr="00CB3578">
        <w:t xml:space="preserve">changes recommended by the </w:t>
      </w:r>
      <w:r>
        <w:t>n</w:t>
      </w:r>
      <w:r w:rsidRPr="00CB3578">
        <w:t xml:space="preserve">onclinical </w:t>
      </w:r>
      <w:r>
        <w:t>e</w:t>
      </w:r>
      <w:r w:rsidRPr="00CB3578">
        <w:t>valuator.</w:t>
      </w:r>
    </w:p>
    <w:p w:rsidR="00B4787A" w:rsidRDefault="00B4787A" w:rsidP="00F6348A">
      <w:r w:rsidRPr="00B4787A">
        <w:rPr>
          <w:lang w:eastAsia="en-AU"/>
        </w:rPr>
        <w:t xml:space="preserve">In regard to the proposed routine risk minimisation activities, </w:t>
      </w:r>
      <w:r>
        <w:rPr>
          <w:lang w:eastAsia="en-AU"/>
        </w:rPr>
        <w:t>the OPR evaluator also</w:t>
      </w:r>
      <w:r w:rsidRPr="00B4787A">
        <w:rPr>
          <w:lang w:eastAsia="en-AU"/>
        </w:rPr>
        <w:t xml:space="preserve"> recommended to the Delegate that the draft product information document be revised</w:t>
      </w:r>
      <w:r w:rsidR="00D225E8">
        <w:rPr>
          <w:lang w:eastAsia="en-AU"/>
        </w:rPr>
        <w:t>. T</w:t>
      </w:r>
      <w:r>
        <w:rPr>
          <w:lang w:eastAsia="en-AU"/>
        </w:rPr>
        <w:t>he details of these recommendations are however b</w:t>
      </w:r>
      <w:r w:rsidR="00F6348A">
        <w:rPr>
          <w:lang w:eastAsia="en-AU"/>
        </w:rPr>
        <w:t xml:space="preserve">eyond the scope of this </w:t>
      </w:r>
      <w:proofErr w:type="spellStart"/>
      <w:r w:rsidR="00F6348A">
        <w:rPr>
          <w:lang w:eastAsia="en-AU"/>
        </w:rPr>
        <w:t>AusPAR</w:t>
      </w:r>
      <w:proofErr w:type="spellEnd"/>
      <w:r w:rsidR="00F6348A">
        <w:rPr>
          <w:lang w:eastAsia="en-AU"/>
        </w:rPr>
        <w:t>.</w:t>
      </w:r>
    </w:p>
    <w:p w:rsidR="008E7846" w:rsidRPr="00F6348A" w:rsidRDefault="008E7846" w:rsidP="00F6348A">
      <w:pPr>
        <w:pStyle w:val="Heading4"/>
      </w:pPr>
      <w:r>
        <w:rPr>
          <w:lang w:eastAsia="en-AU"/>
        </w:rPr>
        <w:t xml:space="preserve">Summary of </w:t>
      </w:r>
      <w:r w:rsidR="003A7F6C">
        <w:rPr>
          <w:lang w:eastAsia="en-AU"/>
        </w:rPr>
        <w:t>r</w:t>
      </w:r>
      <w:r>
        <w:rPr>
          <w:lang w:eastAsia="en-AU"/>
        </w:rPr>
        <w:t>ecommendations</w:t>
      </w:r>
    </w:p>
    <w:p w:rsidR="00F210E2" w:rsidRPr="00F6348A" w:rsidRDefault="00F6348A" w:rsidP="00F6348A">
      <w:pPr>
        <w:pStyle w:val="Heading5"/>
      </w:pPr>
      <w:bookmarkStart w:id="183" w:name="_Toc314842510"/>
      <w:r>
        <w:t>ASCENT COPD trial</w:t>
      </w:r>
    </w:p>
    <w:p w:rsidR="00F210E2" w:rsidRDefault="00F210E2" w:rsidP="00F6348A">
      <w:r w:rsidRPr="00CB3578">
        <w:t>The ASCENT COPD trial should become part of the pharmacovigilance plan. ‘Cardiac events’ and ‘cerebrovascular events’ should both be assigned to the ASCENT COPD trial in the pharmacovigilance plan. The sponsor should report on data generated by this trial through PSURs or otherwise, provide a final study report, and use the data to inform updates to RMPs.</w:t>
      </w:r>
    </w:p>
    <w:p w:rsidR="00F210E2" w:rsidRPr="00CB3578" w:rsidRDefault="00F210E2" w:rsidP="00F6348A">
      <w:r>
        <w:t>However, if the sponsor does not have access to all the data generated by the ASCENT COPD trial (as it is conducted by a different sponsor), other relevant pharmacovigilance activities as outlined in the RMP Evaluation Report should be conducted.</w:t>
      </w:r>
    </w:p>
    <w:p w:rsidR="00F210E2" w:rsidRPr="007C5855" w:rsidRDefault="00F210E2" w:rsidP="00F6348A">
      <w:pPr>
        <w:pStyle w:val="Heading4"/>
      </w:pPr>
      <w:r w:rsidRPr="007C5855">
        <w:t xml:space="preserve">Suggested wording </w:t>
      </w:r>
      <w:r w:rsidRPr="00F6348A">
        <w:t>for</w:t>
      </w:r>
      <w:r w:rsidRPr="007C5855">
        <w:t xml:space="preserve"> conditions of registration </w:t>
      </w:r>
    </w:p>
    <w:p w:rsidR="00F210E2" w:rsidRPr="00F6348A" w:rsidRDefault="00F210E2" w:rsidP="00F6348A">
      <w:pPr>
        <w:pStyle w:val="Heading5"/>
      </w:pPr>
      <w:r w:rsidRPr="00F77FF2">
        <w:t>RMP</w:t>
      </w:r>
    </w:p>
    <w:p w:rsidR="00F210E2" w:rsidRPr="00CB3578" w:rsidRDefault="00F210E2" w:rsidP="00F6348A">
      <w:r w:rsidRPr="007C5855">
        <w:t>Implement</w:t>
      </w:r>
      <w:r>
        <w:t xml:space="preserve"> </w:t>
      </w:r>
      <w:r w:rsidRPr="0080630B">
        <w:t>EU-RMP Version 2.3 (dated 24</w:t>
      </w:r>
      <w:r>
        <w:t xml:space="preserve"> May 2</w:t>
      </w:r>
      <w:r w:rsidRPr="0080630B">
        <w:t>012, D</w:t>
      </w:r>
      <w:r>
        <w:t xml:space="preserve">ata </w:t>
      </w:r>
      <w:r w:rsidRPr="0080630B">
        <w:t>L</w:t>
      </w:r>
      <w:r>
        <w:t xml:space="preserve">ock </w:t>
      </w:r>
      <w:r w:rsidRPr="0080630B">
        <w:t>P</w:t>
      </w:r>
      <w:r>
        <w:t>oint</w:t>
      </w:r>
      <w:r w:rsidRPr="0080630B">
        <w:t xml:space="preserve"> 01</w:t>
      </w:r>
      <w:r>
        <w:t xml:space="preserve"> September </w:t>
      </w:r>
      <w:r w:rsidRPr="0080630B">
        <w:t>2011) and Australian Specific Annex (dated February 2013)</w:t>
      </w:r>
      <w:r w:rsidRPr="007C5855">
        <w:t xml:space="preserve"> and any future updates </w:t>
      </w:r>
      <w:r>
        <w:t xml:space="preserve">(where approved) </w:t>
      </w:r>
      <w:r w:rsidRPr="007C5855">
        <w:t>as a condition of registratio</w:t>
      </w:r>
      <w:r>
        <w:t>n.</w:t>
      </w:r>
    </w:p>
    <w:p w:rsidR="008E7846" w:rsidRPr="00792A32" w:rsidRDefault="008E7846" w:rsidP="00D43492">
      <w:pPr>
        <w:pStyle w:val="Heading2"/>
      </w:pPr>
      <w:bookmarkStart w:id="184" w:name="_Toc40011543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5"/>
      <w:bookmarkEnd w:id="182"/>
      <w:bookmarkEnd w:id="183"/>
      <w:bookmarkEnd w:id="184"/>
    </w:p>
    <w:p w:rsidR="008E7846" w:rsidRDefault="008E7846" w:rsidP="00D43492">
      <w:bookmarkStart w:id="185" w:name="_Toc247691528"/>
      <w:r>
        <w:t xml:space="preserve">The submission was summarised in the following </w:t>
      </w:r>
      <w:r w:rsidRPr="00EF5C48">
        <w:t xml:space="preserve">Delegate’s </w:t>
      </w:r>
      <w:r>
        <w:t>overview</w:t>
      </w:r>
      <w:r w:rsidRPr="00EF5C48">
        <w:t xml:space="preserve"> and recommendation</w:t>
      </w:r>
      <w:r>
        <w:t>s:</w:t>
      </w:r>
    </w:p>
    <w:p w:rsidR="008E7846" w:rsidRPr="00D43492" w:rsidRDefault="008E7846" w:rsidP="00D43492">
      <w:pPr>
        <w:pStyle w:val="Heading3"/>
      </w:pPr>
      <w:bookmarkStart w:id="186" w:name="_Toc314842511"/>
      <w:bookmarkStart w:id="187" w:name="_Toc400115434"/>
      <w:r>
        <w:t>Quality</w:t>
      </w:r>
      <w:bookmarkEnd w:id="185"/>
      <w:bookmarkEnd w:id="186"/>
      <w:bookmarkEnd w:id="187"/>
    </w:p>
    <w:p w:rsidR="00240CE4" w:rsidRDefault="00240CE4" w:rsidP="00D43492">
      <w:proofErr w:type="spellStart"/>
      <w:r>
        <w:t>Aclidinium</w:t>
      </w:r>
      <w:proofErr w:type="spellEnd"/>
      <w:r>
        <w:t xml:space="preserve"> bromide is formulated as an inhalation powder and is comprised of a mixture of micronised aclidinium bromide and </w:t>
      </w:r>
      <w:r w:rsidR="00D225E8">
        <w:sym w:font="Symbol" w:char="F061"/>
      </w:r>
      <w:r>
        <w:t xml:space="preserve">-lactose monohydrate; the latter functions as a carrier. The mixture is delivered by the </w:t>
      </w:r>
      <w:r w:rsidR="00260933">
        <w:t>Genuair</w:t>
      </w:r>
      <w:r>
        <w:t xml:space="preserve"> inhaler device, a non-refillable, breath actuated, m</w:t>
      </w:r>
      <w:r w:rsidR="00D43492">
        <w:t>ulti dose, metered, DPI device.</w:t>
      </w:r>
    </w:p>
    <w:p w:rsidR="00240CE4" w:rsidRPr="00551E66" w:rsidRDefault="00240CE4" w:rsidP="00D43492">
      <w:r w:rsidRPr="00551E66">
        <w:t xml:space="preserve">Each metered dose contains 343 </w:t>
      </w:r>
      <w:r w:rsidR="00A5120F" w:rsidRPr="00551E66">
        <w:t>µ</w:t>
      </w:r>
      <w:r w:rsidRPr="00551E66">
        <w:t xml:space="preserve">g of aclidinium (as the bromide), which is equivalent to a metered dose of 400 </w:t>
      </w:r>
      <w:r w:rsidR="00A5120F" w:rsidRPr="00551E66">
        <w:t>µ</w:t>
      </w:r>
      <w:r w:rsidRPr="00551E66">
        <w:t>g aclidinium bromide (based on in</w:t>
      </w:r>
      <w:r w:rsidR="00260933" w:rsidRPr="00551E66">
        <w:t xml:space="preserve"> </w:t>
      </w:r>
      <w:r w:rsidRPr="00551E66">
        <w:t xml:space="preserve">vitro testing at a flow rate of 60 mL/min for 2 s). Each delivered dose (the dose leaving the mouthpiece) contains 322 </w:t>
      </w:r>
      <w:r w:rsidR="00A5120F" w:rsidRPr="00551E66">
        <w:t>µ</w:t>
      </w:r>
      <w:r w:rsidRPr="00551E66">
        <w:t xml:space="preserve">g of aclidinium equivalent to 375 </w:t>
      </w:r>
      <w:r w:rsidR="00A5120F" w:rsidRPr="00551E66">
        <w:t>µ</w:t>
      </w:r>
      <w:r w:rsidRPr="00551E66">
        <w:t xml:space="preserve">g of aclidinium bromide; (approximately 20 </w:t>
      </w:r>
      <w:r w:rsidR="00A5120F" w:rsidRPr="00551E66">
        <w:t>µ</w:t>
      </w:r>
      <w:r w:rsidRPr="00551E66">
        <w:t>g is lost in the device under standard testing conditions).</w:t>
      </w:r>
      <w:r w:rsidR="00AF3D89" w:rsidRPr="00551E66">
        <w:t xml:space="preserve"> </w:t>
      </w:r>
      <w:r w:rsidRPr="00551E66">
        <w:t xml:space="preserve">The recommended dose of aclidinium is one inhalation of 322 </w:t>
      </w:r>
      <w:r w:rsidR="00A5120F" w:rsidRPr="00551E66">
        <w:t>µ</w:t>
      </w:r>
      <w:r w:rsidR="00D43492">
        <w:t xml:space="preserve">g </w:t>
      </w:r>
      <w:proofErr w:type="spellStart"/>
      <w:r w:rsidR="00D43492">
        <w:t>aclidinium</w:t>
      </w:r>
      <w:proofErr w:type="spellEnd"/>
      <w:r w:rsidR="00D43492">
        <w:t xml:space="preserve"> twice daily.</w:t>
      </w:r>
    </w:p>
    <w:p w:rsidR="00240CE4" w:rsidRDefault="00240CE4" w:rsidP="00240CE4">
      <w:r w:rsidRPr="00551E66">
        <w:t>The powder for inhalation is isolated within the inhaler in a cartridge reservoir. The inhaler is white</w:t>
      </w:r>
      <w:r w:rsidR="00260933" w:rsidRPr="00551E66">
        <w:t xml:space="preserve"> </w:t>
      </w:r>
      <w:r w:rsidRPr="00551E66">
        <w:t>coloured with an integral dose indicator and a green dosage button. The mouthpiece is covered with a removable green protective cap. The inhaler is supplied sealed in a protective aluminium laminate pouch, placed in a cardboard carton.</w:t>
      </w:r>
    </w:p>
    <w:p w:rsidR="00240CE4" w:rsidRDefault="00240CE4" w:rsidP="00D43492">
      <w:r>
        <w:t xml:space="preserve">The </w:t>
      </w:r>
      <w:r w:rsidR="00260933">
        <w:t>Genuair</w:t>
      </w:r>
      <w:r>
        <w:t xml:space="preserve"> inhaler is a propellant</w:t>
      </w:r>
      <w:r w:rsidR="00260933">
        <w:t xml:space="preserve"> </w:t>
      </w:r>
      <w:r>
        <w:t xml:space="preserve">free metered dose inhalation device. The </w:t>
      </w:r>
      <w:r w:rsidR="00260933">
        <w:t>Genuair</w:t>
      </w:r>
      <w:r>
        <w:t xml:space="preserve"> inhaler does not appear to have been previously approved by the T</w:t>
      </w:r>
      <w:r w:rsidR="00D43492">
        <w:t>GA for any other drug products.</w:t>
      </w:r>
    </w:p>
    <w:p w:rsidR="00240CE4" w:rsidRDefault="00240CE4" w:rsidP="00D43492">
      <w:r>
        <w:t xml:space="preserve">The evaluator mentions the following: </w:t>
      </w:r>
      <w:r w:rsidR="001D13B2" w:rsidRPr="00D43492">
        <w:rPr>
          <w:i/>
        </w:rPr>
        <w:t>‘</w:t>
      </w:r>
      <w:proofErr w:type="gramStart"/>
      <w:r w:rsidRPr="00D43492">
        <w:rPr>
          <w:i/>
        </w:rPr>
        <w:t>The</w:t>
      </w:r>
      <w:proofErr w:type="gramEnd"/>
      <w:r w:rsidRPr="00D43492">
        <w:rPr>
          <w:i/>
        </w:rPr>
        <w:t xml:space="preserve"> quality of the drug product is controlled by a specification that includes limits for: the content of aclidinium bromide per cartridge; the levels of degradants and total impurities in the powder; the uniformity of the delivered dose; the mean delivered dose and the fine particle dose.</w:t>
      </w:r>
      <w:r w:rsidR="00AF3D89" w:rsidRPr="00D43492">
        <w:rPr>
          <w:i/>
        </w:rPr>
        <w:t xml:space="preserve"> </w:t>
      </w:r>
      <w:r w:rsidRPr="00D43492">
        <w:rPr>
          <w:i/>
        </w:rPr>
        <w:t>The microbial content of the powder is also adequately controlled</w:t>
      </w:r>
      <w:r w:rsidR="001D13B2" w:rsidRPr="00D43492">
        <w:rPr>
          <w:i/>
        </w:rPr>
        <w:t>’</w:t>
      </w:r>
      <w:r>
        <w:t>.</w:t>
      </w:r>
    </w:p>
    <w:p w:rsidR="00240CE4" w:rsidRDefault="00240CE4" w:rsidP="00D43492">
      <w:r>
        <w:t>Device robustness was assessed for functional</w:t>
      </w:r>
      <w:r w:rsidR="00D43492">
        <w:t>ity and found to be acceptable.</w:t>
      </w:r>
    </w:p>
    <w:p w:rsidR="00240CE4" w:rsidRDefault="00240CE4" w:rsidP="00D43492">
      <w:r>
        <w:t>Stability data were provided to support a shelf life for the product of 36 months when it is stored in the proposed packaging (the dry powder inhaler is contained in a heat sealed aluminium pouch) below 30ºC. Stability testing has also demonstrated that an in use period of 90 days from opening the pouch is justified.</w:t>
      </w:r>
    </w:p>
    <w:p w:rsidR="00240CE4" w:rsidRDefault="00240CE4" w:rsidP="00D43492">
      <w:r>
        <w:t xml:space="preserve">This submission has not been considered by </w:t>
      </w:r>
      <w:r w:rsidR="00866341">
        <w:t>Pharmaceutical Subcommittee (</w:t>
      </w:r>
      <w:r>
        <w:t>PSC</w:t>
      </w:r>
      <w:r w:rsidR="00866341">
        <w:t>) of the Advisory Committee on Prescription Medicines (ACPM)</w:t>
      </w:r>
      <w:r>
        <w:t>.</w:t>
      </w:r>
    </w:p>
    <w:p w:rsidR="00E45619" w:rsidRDefault="00240CE4" w:rsidP="00D43492">
      <w:r>
        <w:t>Overall, the evaluator recommends approval from a chemistry and quality control perspective.</w:t>
      </w:r>
    </w:p>
    <w:p w:rsidR="008E7846" w:rsidRPr="00D43492" w:rsidRDefault="008E7846" w:rsidP="00D43492">
      <w:pPr>
        <w:pStyle w:val="Heading3"/>
      </w:pPr>
      <w:bookmarkStart w:id="188" w:name="_Toc314842512"/>
      <w:bookmarkStart w:id="189" w:name="_Toc400115435"/>
      <w:r>
        <w:t>Nonclinical</w:t>
      </w:r>
      <w:bookmarkEnd w:id="188"/>
      <w:bookmarkEnd w:id="189"/>
    </w:p>
    <w:p w:rsidR="00866341" w:rsidRDefault="00240CE4" w:rsidP="00D43492">
      <w:pPr>
        <w:pStyle w:val="Heading4"/>
      </w:pPr>
      <w:r w:rsidRPr="00240CE4">
        <w:t xml:space="preserve">Primary </w:t>
      </w:r>
      <w:r w:rsidRPr="00D43492">
        <w:t>pharmacology</w:t>
      </w:r>
    </w:p>
    <w:p w:rsidR="00240CE4" w:rsidRPr="00240CE4" w:rsidRDefault="00240CE4" w:rsidP="00D43492">
      <w:r w:rsidRPr="00240CE4">
        <w:t>Aclidinium bromide is a competitive muscarinic receptor antagonist with subnanomolar affinity across all five human muscarinic receptor subtypes</w:t>
      </w:r>
      <w:r w:rsidR="00866341">
        <w:t xml:space="preserve"> and</w:t>
      </w:r>
      <w:r w:rsidRPr="00240CE4">
        <w:t xml:space="preserve"> this was seen in a series of in</w:t>
      </w:r>
      <w:r w:rsidR="00866341">
        <w:t xml:space="preserve"> </w:t>
      </w:r>
      <w:r w:rsidRPr="00240CE4">
        <w:t xml:space="preserve">vitro studies. The two main metabolites (hydrolysis products) and the drug’s other enantiomer (S-enantiomer; not included in the active ingredient) do not possess significant antimuscarinic activity. Potency was similar for aclidinium, tiotropium and ipratropium bromides in these studies but offset times/dissociation from the receptors was fastest for ipratropium bromide and </w:t>
      </w:r>
      <w:r w:rsidR="00D43492">
        <w:t xml:space="preserve">longest for </w:t>
      </w:r>
      <w:proofErr w:type="spellStart"/>
      <w:r w:rsidR="00D43492">
        <w:t>tiotropium</w:t>
      </w:r>
      <w:proofErr w:type="spellEnd"/>
      <w:r w:rsidR="00D43492">
        <w:t xml:space="preserve"> bromide.</w:t>
      </w:r>
    </w:p>
    <w:p w:rsidR="00240CE4" w:rsidRPr="00240CE4" w:rsidRDefault="00240CE4" w:rsidP="00D43492">
      <w:r w:rsidRPr="00240CE4">
        <w:t>In vivo, long</w:t>
      </w:r>
      <w:r w:rsidR="00866341">
        <w:t xml:space="preserve"> </w:t>
      </w:r>
      <w:r w:rsidRPr="00240CE4">
        <w:t xml:space="preserve">lasting antagonism of </w:t>
      </w:r>
      <w:r w:rsidR="00866341">
        <w:t xml:space="preserve">acetylcholine </w:t>
      </w:r>
      <w:r w:rsidRPr="00240CE4">
        <w:t xml:space="preserve">induced bronchoconstriction by inhaled aclidinium bromide was demonstrated in guinea pigs and dogs and was shown to be equally effective </w:t>
      </w:r>
      <w:r w:rsidR="00866341">
        <w:t>compared to</w:t>
      </w:r>
      <w:r w:rsidRPr="00240CE4">
        <w:t xml:space="preserve"> tiotropium and ipratropium.</w:t>
      </w:r>
    </w:p>
    <w:p w:rsidR="00240CE4" w:rsidRPr="00240CE4" w:rsidRDefault="00240CE4" w:rsidP="00D43492">
      <w:r w:rsidRPr="00240CE4">
        <w:t xml:space="preserve">The evaluator mentions that, </w:t>
      </w:r>
      <w:r w:rsidR="001D13B2" w:rsidRPr="00D43492">
        <w:rPr>
          <w:i/>
        </w:rPr>
        <w:t>‘</w:t>
      </w:r>
      <w:r w:rsidRPr="00D43492">
        <w:rPr>
          <w:i/>
        </w:rPr>
        <w:t>no clinically significant off-target activity was found for aclidinium bromide or its main metabolites in secondary pharmacology studies. Safety pharmacology studies covered the CNS, cardiovascular, respiratory, renal and gastrointestinal systems, with classic anticholinergic effects observed (</w:t>
      </w:r>
      <w:r w:rsidR="00866341" w:rsidRPr="00D43492">
        <w:rPr>
          <w:i/>
        </w:rPr>
        <w:t>for example</w:t>
      </w:r>
      <w:r w:rsidRPr="00D43492">
        <w:rPr>
          <w:i/>
        </w:rPr>
        <w:t>, tachycardia, dry mouth and decreased GI motility). Inhibition of the hERG K+ channel did not occur at clinically relevant concentrations</w:t>
      </w:r>
      <w:r w:rsidR="001D13B2" w:rsidRPr="00D43492">
        <w:rPr>
          <w:i/>
        </w:rPr>
        <w:t>’</w:t>
      </w:r>
      <w:r w:rsidRPr="00240CE4">
        <w:t xml:space="preserve">. These studies also included ipratropium and tiotropium. The results suggest that aclidinium bromide is less likely to induce urinary retention, dry mouth and/or constipation than tiotropium </w:t>
      </w:r>
      <w:r w:rsidR="00D43492">
        <w:t>bromide or ipratropium bromide.</w:t>
      </w:r>
    </w:p>
    <w:p w:rsidR="00866341" w:rsidRDefault="00240CE4" w:rsidP="00D43492">
      <w:pPr>
        <w:pStyle w:val="Heading4"/>
      </w:pPr>
      <w:r w:rsidRPr="00D43492">
        <w:t>Pharmacokinetics</w:t>
      </w:r>
    </w:p>
    <w:p w:rsidR="00240CE4" w:rsidRPr="00240CE4" w:rsidRDefault="00240CE4" w:rsidP="00D43492">
      <w:r w:rsidRPr="00240CE4">
        <w:t xml:space="preserve">Rapid absorption of aclidinium bromide after inhalation was shown in laboratory animal species and humans. Hydrolysis (mediated both enzymatically and non-enzymatically) gives rise to the two main metabolites, found in all species. The drug’s carboxylic acid metabolite is the major circulating component but unchanged drug is chiefly present in lung. Metabolism by CYPs was minor. There were no unique human metabolites. Limited tissue distribution after intratracheal administration was shown in rats and penetration of the blood-brain barrier in the species was low. Mass-balance studies using </w:t>
      </w:r>
      <w:r w:rsidRPr="00866341">
        <w:rPr>
          <w:vertAlign w:val="superscript"/>
        </w:rPr>
        <w:t>14</w:t>
      </w:r>
      <w:r w:rsidRPr="00240CE4">
        <w:t>C aclidinium bromide were conducted in mice, rats, pregnant rabbits, dogs and humans. The major route of excretion was generally the urine after intravenous administration. With PO and intratracheal administration, the main route of excretion was faeces, with the exception of dogs given intratracheal [glycolyl-U-</w:t>
      </w:r>
      <w:r w:rsidRPr="00866341">
        <w:rPr>
          <w:vertAlign w:val="superscript"/>
        </w:rPr>
        <w:t>14</w:t>
      </w:r>
      <w:r w:rsidRPr="00240CE4">
        <w:t>C]-aclidinium bromide where elimination of radioactivity was predominantly via the urine.</w:t>
      </w:r>
    </w:p>
    <w:p w:rsidR="00866341" w:rsidRPr="00D43492" w:rsidRDefault="00240CE4" w:rsidP="00D43492">
      <w:pPr>
        <w:pStyle w:val="Heading4"/>
      </w:pPr>
      <w:r w:rsidRPr="00240CE4">
        <w:t>Acute toxicity</w:t>
      </w:r>
    </w:p>
    <w:p w:rsidR="00240CE4" w:rsidRPr="00240CE4" w:rsidRDefault="00240CE4" w:rsidP="00D43492">
      <w:proofErr w:type="spellStart"/>
      <w:r w:rsidRPr="00240CE4">
        <w:t>Aclidinium</w:t>
      </w:r>
      <w:proofErr w:type="spellEnd"/>
      <w:r w:rsidRPr="00240CE4">
        <w:t xml:space="preserve"> bromide had a </w:t>
      </w:r>
      <w:r w:rsidR="001D13B2">
        <w:t>‘</w:t>
      </w:r>
      <w:r w:rsidRPr="00240CE4">
        <w:t>low order</w:t>
      </w:r>
      <w:r w:rsidR="001D13B2">
        <w:t>’</w:t>
      </w:r>
      <w:r w:rsidRPr="00240CE4">
        <w:t xml:space="preserve"> of acute toxicity via </w:t>
      </w:r>
      <w:r w:rsidR="00D43492">
        <w:t>the inhalational route in rats.</w:t>
      </w:r>
    </w:p>
    <w:p w:rsidR="00866341" w:rsidRPr="00D43492" w:rsidRDefault="00240CE4" w:rsidP="00D43492">
      <w:pPr>
        <w:pStyle w:val="Heading4"/>
      </w:pPr>
      <w:r w:rsidRPr="00240CE4">
        <w:t>Repeat dose toxicity</w:t>
      </w:r>
    </w:p>
    <w:p w:rsidR="00240CE4" w:rsidRPr="00D225E8" w:rsidRDefault="00240CE4" w:rsidP="00D43492">
      <w:r w:rsidRPr="00240CE4">
        <w:t xml:space="preserve">Pivotal repeat-dose toxicity studies were conducted in rats (6 months) and dogs (9 months) using the inhalational route; the major target organs for toxicity identified with inhalational administration were respiratory tract tissues (nasal cavity, larynx and lung), the Harderian gland (no analogous human gland) and the </w:t>
      </w:r>
      <w:r w:rsidRPr="00D225E8">
        <w:t>parotid gland with changes also observed in the liver</w:t>
      </w:r>
      <w:r w:rsidR="00866341" w:rsidRPr="00D225E8">
        <w:t>. E</w:t>
      </w:r>
      <w:r w:rsidRPr="00D225E8">
        <w:t>ffects on the eye and heart were also seen. The effects in the lung tissue were considered to be exaggerated pharmacological effects. There were also supporting studies using other routes of administration involving mice, rats and dogs. Safety margins for the proposed clinical dose, (maximum tolerated dose) identified from these stud</w:t>
      </w:r>
      <w:r w:rsidR="00D43492">
        <w:t>ies were deemed to be adequate.</w:t>
      </w:r>
    </w:p>
    <w:p w:rsidR="00866341" w:rsidRPr="00D43492" w:rsidRDefault="00240CE4" w:rsidP="00D43492">
      <w:pPr>
        <w:pStyle w:val="Heading5"/>
      </w:pPr>
      <w:proofErr w:type="spellStart"/>
      <w:r w:rsidRPr="00240CE4">
        <w:t>Genotoxicity</w:t>
      </w:r>
      <w:proofErr w:type="spellEnd"/>
    </w:p>
    <w:p w:rsidR="00240CE4" w:rsidRPr="00240CE4" w:rsidRDefault="00240CE4" w:rsidP="00D43492">
      <w:r w:rsidRPr="00240CE4">
        <w:t xml:space="preserve">In vitro </w:t>
      </w:r>
      <w:proofErr w:type="spellStart"/>
      <w:r w:rsidRPr="00240CE4">
        <w:t>genotoxicity</w:t>
      </w:r>
      <w:proofErr w:type="spellEnd"/>
      <w:r w:rsidRPr="00240CE4">
        <w:t xml:space="preserve"> studies showed negative, equivocal or weakly positive results. However, in vivo studies were negative for genotoxicity. Carcinogenicity studies in mice and rats, conducted by the inhalational route revealed no tumourigenicity at very high multiples of the clinical plasma AUC and high or very high multiples of the lung deposited dose.</w:t>
      </w:r>
    </w:p>
    <w:p w:rsidR="00866341" w:rsidRPr="00D43492" w:rsidRDefault="00866341" w:rsidP="00D43492">
      <w:pPr>
        <w:pStyle w:val="Heading5"/>
      </w:pPr>
      <w:r>
        <w:t>Reproductive toxicity</w:t>
      </w:r>
    </w:p>
    <w:p w:rsidR="00240CE4" w:rsidRPr="00240CE4" w:rsidRDefault="00240CE4" w:rsidP="00D43492">
      <w:proofErr w:type="spellStart"/>
      <w:r w:rsidRPr="00240CE4">
        <w:t>Aclidinium</w:t>
      </w:r>
      <w:proofErr w:type="spellEnd"/>
      <w:r w:rsidRPr="00240CE4">
        <w:t xml:space="preserve"> bromide and or its metabolites crossed the placenta and w</w:t>
      </w:r>
      <w:r w:rsidR="00866341">
        <w:t>ere</w:t>
      </w:r>
      <w:r w:rsidRPr="00240CE4">
        <w:t xml:space="preserve"> excreted in rats. Fertility was reduced in males and female rats with high doses. There was delayed ossification seen in rats and reduced foetal weight in rabbits. Teratogenicity was not observed in either species. Postnatal bodyweight gain was reduced in the offspring of rats treated with aclidinium bromide during gestation and lactation.</w:t>
      </w:r>
    </w:p>
    <w:p w:rsidR="00866341" w:rsidRPr="00D43492" w:rsidRDefault="00866341" w:rsidP="00D43492">
      <w:pPr>
        <w:pStyle w:val="Heading5"/>
      </w:pPr>
      <w:r>
        <w:t>Local tolerance and antigenicity</w:t>
      </w:r>
    </w:p>
    <w:p w:rsidR="00240CE4" w:rsidRPr="00240CE4" w:rsidRDefault="00240CE4" w:rsidP="00D43492">
      <w:r w:rsidRPr="00240CE4">
        <w:t>Local tolerance and antigenicity studies were negative in</w:t>
      </w:r>
      <w:r w:rsidR="00D43492">
        <w:t xml:space="preserve"> rabbits, mice and guinea pigs.</w:t>
      </w:r>
    </w:p>
    <w:p w:rsidR="00866341" w:rsidRPr="00D43492" w:rsidRDefault="00866341" w:rsidP="00D43492">
      <w:pPr>
        <w:pStyle w:val="Heading4"/>
      </w:pPr>
      <w:r>
        <w:t>Nonclinical recommendation</w:t>
      </w:r>
    </w:p>
    <w:p w:rsidR="00240CE4" w:rsidRPr="00240CE4" w:rsidRDefault="00866341" w:rsidP="00D43492">
      <w:r w:rsidRPr="00240CE4">
        <w:t>The evaluator recommends approval from a nonclinical point of view.</w:t>
      </w:r>
      <w:r>
        <w:t xml:space="preserve"> </w:t>
      </w:r>
      <w:r w:rsidR="00240CE4" w:rsidRPr="00240CE4">
        <w:t>Some PI amendments were recommended.</w:t>
      </w:r>
    </w:p>
    <w:p w:rsidR="008E7846" w:rsidRPr="00D43492" w:rsidRDefault="008E7846" w:rsidP="00D43492">
      <w:pPr>
        <w:pStyle w:val="Heading3"/>
      </w:pPr>
      <w:bookmarkStart w:id="190" w:name="_Toc247691530"/>
      <w:bookmarkStart w:id="191" w:name="_Toc314842513"/>
      <w:bookmarkStart w:id="192" w:name="_Toc400115436"/>
      <w:r>
        <w:t>Clinical</w:t>
      </w:r>
      <w:bookmarkEnd w:id="190"/>
      <w:bookmarkEnd w:id="191"/>
      <w:bookmarkEnd w:id="192"/>
    </w:p>
    <w:p w:rsidR="00AF3D89" w:rsidRPr="00D43492" w:rsidRDefault="00AF3D89" w:rsidP="00D43492">
      <w:pPr>
        <w:pStyle w:val="Heading4"/>
      </w:pPr>
      <w:r w:rsidRPr="00F107F4">
        <w:t>Pharmacokinetics</w:t>
      </w:r>
    </w:p>
    <w:p w:rsidR="00AF3D89" w:rsidRPr="00F107F4" w:rsidRDefault="00AF3D89" w:rsidP="00D43492">
      <w:r w:rsidRPr="00F107F4">
        <w:t>There are 4 single dose studies and 2 multidose studies on healthy volunteers</w:t>
      </w:r>
      <w:r w:rsidR="00D225E8">
        <w:t xml:space="preserve"> as well as</w:t>
      </w:r>
      <w:r w:rsidR="00D43492">
        <w:t xml:space="preserve"> 3 studies on patients.</w:t>
      </w:r>
    </w:p>
    <w:p w:rsidR="00AF3D89" w:rsidRPr="00D43492" w:rsidRDefault="00AF3D89" w:rsidP="00D43492">
      <w:pPr>
        <w:pStyle w:val="Heading5"/>
      </w:pPr>
      <w:r w:rsidRPr="00F107F4">
        <w:t>Absorption</w:t>
      </w:r>
    </w:p>
    <w:p w:rsidR="00AF3D89" w:rsidRPr="00F107F4" w:rsidRDefault="00AF3D89" w:rsidP="00D43492">
      <w:proofErr w:type="spellStart"/>
      <w:r w:rsidRPr="00F107F4">
        <w:t>Aclidinium</w:t>
      </w:r>
      <w:proofErr w:type="spellEnd"/>
      <w:r w:rsidRPr="00F107F4">
        <w:t xml:space="preserve"> bromide is rapidly absorbed following inhalation. In healthy subjects C</w:t>
      </w:r>
      <w:r w:rsidRPr="00F107F4">
        <w:rPr>
          <w:vertAlign w:val="subscript"/>
        </w:rPr>
        <w:t>max</w:t>
      </w:r>
      <w:r w:rsidRPr="00F107F4">
        <w:t xml:space="preserve"> is achieved approximately 5 minutes following inhalation. In COPD patients</w:t>
      </w:r>
      <w:r w:rsidR="00D225E8">
        <w:t>,</w:t>
      </w:r>
      <w:r w:rsidRPr="00F107F4">
        <w:t xml:space="preserve"> C</w:t>
      </w:r>
      <w:r w:rsidRPr="00F107F4">
        <w:rPr>
          <w:vertAlign w:val="subscript"/>
        </w:rPr>
        <w:t>max</w:t>
      </w:r>
      <w:r w:rsidRPr="00F107F4">
        <w:t xml:space="preserve"> is achieved approximately 10 to 15 minutes postdose. Aclidinium bromide plasma exposure increased with increasing single inhaled doses up to 4200 </w:t>
      </w:r>
      <w:r w:rsidR="00A5120F">
        <w:t>µ</w:t>
      </w:r>
      <w:r w:rsidRPr="00F107F4">
        <w:t>g; and exhibited linear and time</w:t>
      </w:r>
      <w:r>
        <w:t xml:space="preserve"> </w:t>
      </w:r>
      <w:r w:rsidRPr="00F107F4">
        <w:t xml:space="preserve">independent pharmacokinetic behaviour following multiple dose inhaled administration of 200 </w:t>
      </w:r>
      <w:r w:rsidR="00A5120F">
        <w:t>µ</w:t>
      </w:r>
      <w:r w:rsidRPr="00F107F4">
        <w:t xml:space="preserve">g or 400 </w:t>
      </w:r>
      <w:r w:rsidR="00A5120F">
        <w:t>µ</w:t>
      </w:r>
      <w:r w:rsidRPr="00F107F4">
        <w:t xml:space="preserve">g </w:t>
      </w:r>
      <w:r w:rsidR="00D225E8" w:rsidRPr="00D225E8">
        <w:t>once day (</w:t>
      </w:r>
      <w:r w:rsidRPr="00D225E8">
        <w:t>QD</w:t>
      </w:r>
      <w:r w:rsidR="00D225E8" w:rsidRPr="00D225E8">
        <w:t>)</w:t>
      </w:r>
      <w:r w:rsidRPr="00D225E8">
        <w:t xml:space="preserve"> or 200 </w:t>
      </w:r>
      <w:r w:rsidR="00A5120F">
        <w:t>µ</w:t>
      </w:r>
      <w:r w:rsidRPr="00D225E8">
        <w:t xml:space="preserve">g, 400 </w:t>
      </w:r>
      <w:r w:rsidR="00A5120F">
        <w:t>µ</w:t>
      </w:r>
      <w:r w:rsidRPr="00D225E8">
        <w:t xml:space="preserve">g or 800 </w:t>
      </w:r>
      <w:r w:rsidR="00A5120F">
        <w:t>µ</w:t>
      </w:r>
      <w:r w:rsidRPr="00D225E8">
        <w:t xml:space="preserve">g </w:t>
      </w:r>
      <w:r w:rsidR="00D225E8" w:rsidRPr="00D225E8">
        <w:t>twice a day (</w:t>
      </w:r>
      <w:r w:rsidRPr="00D225E8">
        <w:t>BD</w:t>
      </w:r>
      <w:r w:rsidR="00D225E8" w:rsidRPr="00D225E8">
        <w:t>)</w:t>
      </w:r>
      <w:r w:rsidRPr="00D225E8">
        <w:t>.</w:t>
      </w:r>
      <w:r w:rsidRPr="00F107F4">
        <w:t xml:space="preserve"> Aclidinium bromide has </w:t>
      </w:r>
      <w:r w:rsidR="00D43492">
        <w:t>a low absolute bioavailability.</w:t>
      </w:r>
    </w:p>
    <w:p w:rsidR="00AF3D89" w:rsidRPr="00D43492" w:rsidRDefault="00AF3D89" w:rsidP="00D43492">
      <w:pPr>
        <w:pStyle w:val="Heading5"/>
      </w:pPr>
      <w:r w:rsidRPr="00F107F4">
        <w:t>Bioequivalence</w:t>
      </w:r>
    </w:p>
    <w:p w:rsidR="00AF3D89" w:rsidRDefault="00AF3D89" w:rsidP="00D43492">
      <w:pPr>
        <w:rPr>
          <w:bCs/>
        </w:rPr>
      </w:pPr>
      <w:r w:rsidRPr="00F107F4">
        <w:t xml:space="preserve">The formulation of the DPI was unchanged during the development process. However, the inhalation device varied. Early studies were conducted using a </w:t>
      </w:r>
      <w:proofErr w:type="spellStart"/>
      <w:r w:rsidRPr="00F107F4">
        <w:t>CyclohalerR</w:t>
      </w:r>
      <w:proofErr w:type="spellEnd"/>
      <w:r w:rsidRPr="00F107F4">
        <w:t xml:space="preserve"> capsule</w:t>
      </w:r>
      <w:r w:rsidR="00AC5820">
        <w:t xml:space="preserve"> </w:t>
      </w:r>
      <w:r w:rsidRPr="00F107F4">
        <w:t>based inhalation device.</w:t>
      </w:r>
      <w:r>
        <w:t xml:space="preserve"> </w:t>
      </w:r>
      <w:r w:rsidRPr="00F107F4">
        <w:t xml:space="preserve">All subsequent trials used the Almirall inhaler which was developed as an improved version of the marketed Novolizer DPI (the latter is marketed for use in delivery of salbutamol, budesonide and formoterol in Europe). </w:t>
      </w:r>
      <w:r>
        <w:t>The p</w:t>
      </w:r>
      <w:r w:rsidRPr="00AF3D89">
        <w:rPr>
          <w:bCs/>
        </w:rPr>
        <w:t>roposed Almirall device (to be marketed as Genuair) used for delivery of aclidinium is a modification of this marketed Novolizer device.</w:t>
      </w:r>
    </w:p>
    <w:p w:rsidR="00AF3D89" w:rsidRPr="00F107F4" w:rsidRDefault="00AF3D89" w:rsidP="00D43492">
      <w:r w:rsidRPr="00F107F4">
        <w:t xml:space="preserve">No clinical trials were performed with the marketed Novolizer. Therapeutic equivalence between the </w:t>
      </w:r>
      <w:proofErr w:type="spellStart"/>
      <w:r w:rsidRPr="00F107F4">
        <w:t>CyclohalerR</w:t>
      </w:r>
      <w:proofErr w:type="spellEnd"/>
      <w:r w:rsidRPr="00F107F4">
        <w:t xml:space="preserve"> device and the Almirall inhaler was not demonstrated as the </w:t>
      </w:r>
      <w:proofErr w:type="spellStart"/>
      <w:r w:rsidRPr="00F107F4">
        <w:t>CyclohalerR</w:t>
      </w:r>
      <w:proofErr w:type="spellEnd"/>
      <w:r w:rsidRPr="00F107F4">
        <w:t xml:space="preserve"> was used as the delivery device for early exploratory studies only. The evaluator mentions that several modifications were made to the Almirall inhaler d</w:t>
      </w:r>
      <w:r>
        <w:t>uring the course of development</w:t>
      </w:r>
      <w:r w:rsidRPr="00F107F4">
        <w:t xml:space="preserve">. However, it is stated that, </w:t>
      </w:r>
      <w:r w:rsidR="001D13B2">
        <w:t>‘</w:t>
      </w:r>
      <w:r w:rsidRPr="00AF3D89">
        <w:rPr>
          <w:i/>
          <w:iCs/>
        </w:rPr>
        <w:t xml:space="preserve">in vitro </w:t>
      </w:r>
      <w:r w:rsidRPr="00AF3D89">
        <w:rPr>
          <w:i/>
        </w:rPr>
        <w:t>data demonstrate that the iterative development of the Almirall inhaler during the full development process of aclidinium bromide did not affect its aerodynamic performance</w:t>
      </w:r>
      <w:r w:rsidR="001D13B2">
        <w:t>’</w:t>
      </w:r>
      <w:r w:rsidRPr="00F107F4">
        <w:t xml:space="preserve">. The evaluator opines that </w:t>
      </w:r>
      <w:r w:rsidR="001D13B2">
        <w:t>‘</w:t>
      </w:r>
      <w:r w:rsidRPr="00AF3D89">
        <w:rPr>
          <w:i/>
        </w:rPr>
        <w:t>the clinical efficacy results obtained with the different Almirall inhaler prototypes can be compared across trials</w:t>
      </w:r>
      <w:r w:rsidR="001D13B2">
        <w:t>’</w:t>
      </w:r>
      <w:r w:rsidRPr="00F107F4">
        <w:t>.</w:t>
      </w:r>
      <w:r>
        <w:t xml:space="preserve"> </w:t>
      </w:r>
      <w:r w:rsidRPr="00F107F4">
        <w:t>These studies also showed that the aerodynamic behaviour of aclidinium bromide DPI within the Almirall inhaler device was independent of flow rate over the range likely to be generated by the patients using the device.</w:t>
      </w:r>
    </w:p>
    <w:p w:rsidR="00AF3D89" w:rsidRPr="00D43492" w:rsidRDefault="00AF3D89" w:rsidP="00D43492">
      <w:pPr>
        <w:pStyle w:val="Heading5"/>
      </w:pPr>
      <w:r w:rsidRPr="00F107F4">
        <w:t>Distribution</w:t>
      </w:r>
    </w:p>
    <w:p w:rsidR="00AF3D89" w:rsidRPr="00F107F4" w:rsidRDefault="00AF3D89" w:rsidP="00D43492">
      <w:r w:rsidRPr="00F107F4">
        <w:t xml:space="preserve">Following intravenous administration of 25 </w:t>
      </w:r>
      <w:r w:rsidR="00A5120F">
        <w:t>µ</w:t>
      </w:r>
      <w:r w:rsidRPr="00F107F4">
        <w:t xml:space="preserve">g to 400 </w:t>
      </w:r>
      <w:r w:rsidR="00A5120F">
        <w:t>µ</w:t>
      </w:r>
      <w:r w:rsidRPr="00F107F4">
        <w:t xml:space="preserve">g aclidinium bromide in study </w:t>
      </w:r>
      <w:r w:rsidRPr="00AF3D89">
        <w:t>M34273/05,</w:t>
      </w:r>
      <w:r w:rsidRPr="00F107F4">
        <w:t xml:space="preserve"> </w:t>
      </w:r>
      <w:r w:rsidRPr="00F107F4">
        <w:rPr>
          <w:iCs/>
        </w:rPr>
        <w:t xml:space="preserve">the mean apparent volume of distribution increased (with ascending dose from 200 </w:t>
      </w:r>
      <w:r w:rsidR="00A5120F">
        <w:t>µ</w:t>
      </w:r>
      <w:r w:rsidRPr="00F107F4">
        <w:t>g</w:t>
      </w:r>
      <w:r w:rsidRPr="00F107F4">
        <w:rPr>
          <w:iCs/>
        </w:rPr>
        <w:t xml:space="preserve"> to 400 </w:t>
      </w:r>
      <w:r w:rsidR="00A5120F">
        <w:t>µ</w:t>
      </w:r>
      <w:r w:rsidRPr="00F107F4">
        <w:t>g</w:t>
      </w:r>
      <w:r w:rsidRPr="00F107F4">
        <w:rPr>
          <w:iCs/>
        </w:rPr>
        <w:t>) from 140 to 302 L</w:t>
      </w:r>
      <w:r w:rsidRPr="00F107F4">
        <w:t xml:space="preserve">. The results were highly variable and the evaluator attributes the differences to, </w:t>
      </w:r>
      <w:r w:rsidR="001D13B2">
        <w:t>‘</w:t>
      </w:r>
      <w:r w:rsidRPr="00AF3D89">
        <w:rPr>
          <w:i/>
        </w:rPr>
        <w:t>the small number of subjects per dose level rather than to changes in this parameter (</w:t>
      </w:r>
      <w:r w:rsidR="000E60AE">
        <w:rPr>
          <w:i/>
        </w:rPr>
        <w:t xml:space="preserve">Coefficient of </w:t>
      </w:r>
      <w:proofErr w:type="gramStart"/>
      <w:r w:rsidR="000E60AE">
        <w:rPr>
          <w:i/>
        </w:rPr>
        <w:t xml:space="preserve">variation </w:t>
      </w:r>
      <w:r w:rsidRPr="00AF3D89">
        <w:rPr>
          <w:i/>
        </w:rPr>
        <w:t xml:space="preserve"> of</w:t>
      </w:r>
      <w:proofErr w:type="gramEnd"/>
      <w:r w:rsidRPr="00AF3D89">
        <w:rPr>
          <w:i/>
        </w:rPr>
        <w:t xml:space="preserve"> 81% and 79% with the 200 </w:t>
      </w:r>
      <w:r w:rsidR="00A5120F">
        <w:rPr>
          <w:i/>
        </w:rPr>
        <w:t>µ</w:t>
      </w:r>
      <w:r w:rsidRPr="00AF3D89">
        <w:rPr>
          <w:i/>
        </w:rPr>
        <w:t xml:space="preserve">g and 400 </w:t>
      </w:r>
      <w:r w:rsidR="00A5120F">
        <w:rPr>
          <w:i/>
        </w:rPr>
        <w:t>µ</w:t>
      </w:r>
      <w:r w:rsidRPr="00AF3D89">
        <w:rPr>
          <w:i/>
        </w:rPr>
        <w:t>g intravenous doses, respectively)</w:t>
      </w:r>
      <w:r w:rsidR="001D13B2">
        <w:t>’</w:t>
      </w:r>
      <w:r w:rsidRPr="00F107F4">
        <w:t>.</w:t>
      </w:r>
    </w:p>
    <w:p w:rsidR="00AF3D89" w:rsidRPr="001570AB" w:rsidRDefault="00AF3D89" w:rsidP="00D43492">
      <w:pPr>
        <w:pStyle w:val="Heading5"/>
      </w:pPr>
      <w:r w:rsidRPr="00F107F4">
        <w:t>Protein binding</w:t>
      </w:r>
    </w:p>
    <w:p w:rsidR="00AF3D89" w:rsidRPr="00F107F4" w:rsidRDefault="00AF3D89" w:rsidP="00D43492">
      <w:r w:rsidRPr="00F107F4">
        <w:t xml:space="preserve">The inactive metabolites of aclidinium bromide were highly protein bound with the acid metabolite (LAS34850) demonstrating a protein binding of </w:t>
      </w:r>
      <w:r w:rsidR="006101DB">
        <w:t xml:space="preserve">87% </w:t>
      </w:r>
      <w:r w:rsidRPr="00F107F4">
        <w:t>and the alcohol metabolite (LAS34823) demonstrating a protein binding of</w:t>
      </w:r>
      <w:r w:rsidR="006101DB">
        <w:t xml:space="preserve"> 15%</w:t>
      </w:r>
      <w:r w:rsidRPr="00F107F4">
        <w:t>. Protein binding of the parent aclidinium bromide could not be ascertained owing to the rapid metabolis</w:t>
      </w:r>
      <w:r w:rsidR="00E74309">
        <w:t>m</w:t>
      </w:r>
      <w:r w:rsidR="00D43492">
        <w:t xml:space="preserve"> in plasma.</w:t>
      </w:r>
    </w:p>
    <w:p w:rsidR="00AF3D89" w:rsidRDefault="00AF3D89" w:rsidP="00D43492">
      <w:r w:rsidRPr="001570AB">
        <w:rPr>
          <w:rStyle w:val="Heading6Char"/>
          <w:rFonts w:eastAsia="Cambria"/>
        </w:rPr>
        <w:t>Tissue distribution</w:t>
      </w:r>
      <w:r w:rsidRPr="00F107F4">
        <w:t xml:space="preserve"> was examined in one </w:t>
      </w:r>
      <w:r w:rsidR="00046D9E">
        <w:t>Phase I</w:t>
      </w:r>
      <w:r w:rsidRPr="00F107F4">
        <w:t xml:space="preserve"> study (</w:t>
      </w:r>
      <w:r w:rsidRPr="00046D9E">
        <w:t>M34273/03</w:t>
      </w:r>
      <w:r w:rsidRPr="00F107F4">
        <w:t>) in 12 healthy males where the mean whole lung deposition was 30%. The mean peak inhaled flow rate generated in this clinical study was 79</w:t>
      </w:r>
      <w:r w:rsidR="00AC5820">
        <w:t xml:space="preserve"> </w:t>
      </w:r>
      <w:r w:rsidRPr="00F107F4">
        <w:t>L/min rather than the targeted value of 90</w:t>
      </w:r>
      <w:r w:rsidR="00AC5820">
        <w:t xml:space="preserve"> </w:t>
      </w:r>
      <w:r w:rsidR="00D43492">
        <w:t>L/min.</w:t>
      </w:r>
    </w:p>
    <w:p w:rsidR="00AF3D89" w:rsidRPr="00F107F4" w:rsidRDefault="00AF3D89" w:rsidP="00AF3D89">
      <w:pPr>
        <w:spacing w:before="0" w:after="0" w:line="240" w:lineRule="auto"/>
      </w:pPr>
      <w:r w:rsidRPr="00F107F4">
        <w:t xml:space="preserve">The evaluator mentions that, </w:t>
      </w:r>
      <w:r w:rsidR="001D13B2">
        <w:t>‘</w:t>
      </w:r>
      <w:r w:rsidRPr="00046D9E">
        <w:rPr>
          <w:i/>
        </w:rPr>
        <w:t>in the breath actuated DPI, drug delivery is likely to be dependent on the peak inhaled flow rate achieved by the subject. Maximum inspiratory effort and high peak inhaled flow (PIF) rate may be required to ensure that de-aggregation of drug particles and the separation of drug particles from carrier particles is as efficient as possible which allows lung deposition to be optimal. The PI and CMI should give adequate instructions so that there is adequate PIF</w:t>
      </w:r>
      <w:r w:rsidR="001D13B2">
        <w:t>’</w:t>
      </w:r>
      <w:r w:rsidRPr="00F107F4">
        <w:t>.</w:t>
      </w:r>
    </w:p>
    <w:p w:rsidR="00046D9E" w:rsidRPr="00AC5820" w:rsidRDefault="00AF3D89" w:rsidP="00D43492">
      <w:pPr>
        <w:pStyle w:val="Heading5"/>
      </w:pPr>
      <w:r w:rsidRPr="00F107F4">
        <w:t>Metabolism</w:t>
      </w:r>
    </w:p>
    <w:p w:rsidR="00AF3D89" w:rsidRPr="00F107F4" w:rsidRDefault="00AF3D89" w:rsidP="00D43492">
      <w:r w:rsidRPr="00F107F4">
        <w:t>The mass balance study (</w:t>
      </w:r>
      <w:r w:rsidRPr="00046D9E">
        <w:t>M/34273/04</w:t>
      </w:r>
      <w:r w:rsidRPr="00F107F4">
        <w:t>) confirmed that aclidinium bromide was rapidly hydrol</w:t>
      </w:r>
      <w:r w:rsidR="00E74309">
        <w:t>y</w:t>
      </w:r>
      <w:r w:rsidRPr="00F107F4">
        <w:t xml:space="preserve">sed in plasma to an alcohol (LAS34823) and acid metabolite (LAS34850). The evaluator mentions that </w:t>
      </w:r>
      <w:r w:rsidRPr="00046D9E">
        <w:t>in vitro studies</w:t>
      </w:r>
      <w:r w:rsidRPr="00F107F4">
        <w:t xml:space="preserve"> confirmed minimum activity of CYP450 isozymes in the clearance of aclidinium bromide. As no additional metabolite in significant quantity was observed, it may be concluded that almost the entire dose of </w:t>
      </w:r>
      <w:r w:rsidRPr="00F107F4">
        <w:rPr>
          <w:iCs/>
        </w:rPr>
        <w:t>aclidinium bromide</w:t>
      </w:r>
      <w:r w:rsidRPr="00F107F4">
        <w:rPr>
          <w:i/>
          <w:iCs/>
        </w:rPr>
        <w:t xml:space="preserve"> </w:t>
      </w:r>
      <w:r w:rsidRPr="00F107F4">
        <w:t>was eliminated by hydrolysis to its alcohol (LAS34823 cation) and acid (LAS34850 free acid) metabolites. Aclidinium bromide is rapidly metabolised in plasma so that only 0.1% of the dose, administered by inhalation, is excreted in the urine. The metabolites are mainly excreted in the urine, some unchanged (30-50%) and the rest after further hydroxylation. Approximately 30% of the metaboli</w:t>
      </w:r>
      <w:r w:rsidR="00D43492">
        <w:t>tes are excreted in the faeces.</w:t>
      </w:r>
    </w:p>
    <w:p w:rsidR="00046D9E" w:rsidRPr="00D43492" w:rsidRDefault="00AF3D89" w:rsidP="00D43492">
      <w:pPr>
        <w:pStyle w:val="Heading5"/>
      </w:pPr>
      <w:r w:rsidRPr="00F107F4">
        <w:t>Dose proportionality</w:t>
      </w:r>
    </w:p>
    <w:p w:rsidR="00AF3D89" w:rsidRPr="00F107F4" w:rsidRDefault="00AF3D89" w:rsidP="00D43492">
      <w:r w:rsidRPr="00F107F4">
        <w:t>The evaluator discussed 2 single dose studies (</w:t>
      </w:r>
      <w:r w:rsidRPr="00046D9E">
        <w:t>M/34273/01 and M/34273/05</w:t>
      </w:r>
      <w:r w:rsidRPr="00F107F4">
        <w:t>) and a multidose study (</w:t>
      </w:r>
      <w:r w:rsidRPr="00046D9E">
        <w:t>M/3427/06</w:t>
      </w:r>
      <w:r w:rsidRPr="00F107F4">
        <w:t>). Dose proportionality was not seen in relation to aclidinium bromide or its metabolites in relation to C</w:t>
      </w:r>
      <w:r w:rsidRPr="00F107F4">
        <w:rPr>
          <w:vertAlign w:val="subscript"/>
        </w:rPr>
        <w:t>max</w:t>
      </w:r>
      <w:r w:rsidRPr="00F107F4">
        <w:t xml:space="preserve"> or AUC in doses up to 4800 </w:t>
      </w:r>
      <w:r w:rsidR="00A5120F">
        <w:t>µ</w:t>
      </w:r>
      <w:r w:rsidRPr="00F107F4">
        <w:t>g (</w:t>
      </w:r>
      <w:r w:rsidRPr="00046D9E">
        <w:t>M/34273/01</w:t>
      </w:r>
      <w:r w:rsidRPr="00F107F4">
        <w:t>).</w:t>
      </w:r>
      <w:r>
        <w:t xml:space="preserve"> </w:t>
      </w:r>
      <w:r w:rsidRPr="00F107F4">
        <w:t xml:space="preserve">In Study </w:t>
      </w:r>
      <w:r w:rsidRPr="00046D9E">
        <w:t>M/34273/05</w:t>
      </w:r>
      <w:r w:rsidRPr="00F107F4">
        <w:t xml:space="preserve"> dose proportionality was seen at 50 to 300 </w:t>
      </w:r>
      <w:r w:rsidR="00A5120F">
        <w:t>µ</w:t>
      </w:r>
      <w:r w:rsidRPr="00F107F4">
        <w:t>g (where it reached a plateau). In the multidose study there was an increase observed although it was less than dose proportional. There was no accumulation seen in this study after twice daily dosing for 7 days.</w:t>
      </w:r>
    </w:p>
    <w:p w:rsidR="00046D9E" w:rsidRDefault="00AF3D89" w:rsidP="00D43492">
      <w:pPr>
        <w:pStyle w:val="Heading5"/>
      </w:pPr>
      <w:r w:rsidRPr="001570AB">
        <w:rPr>
          <w:rFonts w:eastAsia="Cambria"/>
        </w:rPr>
        <w:t>Pharmacokinetics in COPD</w:t>
      </w:r>
    </w:p>
    <w:p w:rsidR="00AF3D89" w:rsidRPr="00F107F4" w:rsidRDefault="00AF3D89" w:rsidP="00D43492">
      <w:r w:rsidRPr="00F107F4">
        <w:t xml:space="preserve">This was studied in </w:t>
      </w:r>
      <w:r w:rsidRPr="00046D9E">
        <w:t>M/34273/09</w:t>
      </w:r>
      <w:r w:rsidRPr="00F107F4">
        <w:t xml:space="preserve"> where 200 </w:t>
      </w:r>
      <w:r w:rsidR="00A5120F">
        <w:t>µ</w:t>
      </w:r>
      <w:r w:rsidRPr="00F107F4">
        <w:t xml:space="preserve">g or 400 </w:t>
      </w:r>
      <w:r w:rsidR="00A5120F">
        <w:t>µ</w:t>
      </w:r>
      <w:r w:rsidRPr="00F107F4">
        <w:t>g</w:t>
      </w:r>
      <w:r w:rsidR="00931F95">
        <w:t xml:space="preserve"> QD</w:t>
      </w:r>
      <w:r w:rsidRPr="00F107F4">
        <w:t xml:space="preserve"> was administered over 3 days. Based on C</w:t>
      </w:r>
      <w:r w:rsidRPr="00F107F4">
        <w:rPr>
          <w:vertAlign w:val="subscript"/>
        </w:rPr>
        <w:t>max</w:t>
      </w:r>
      <w:r w:rsidRPr="00F107F4">
        <w:t xml:space="preserve">, </w:t>
      </w:r>
      <w:proofErr w:type="gramStart"/>
      <w:r w:rsidRPr="00F107F4">
        <w:t>AUC</w:t>
      </w:r>
      <w:r w:rsidRPr="00E74309">
        <w:rPr>
          <w:vertAlign w:val="subscript"/>
        </w:rPr>
        <w:t>(</w:t>
      </w:r>
      <w:proofErr w:type="gramEnd"/>
      <w:r w:rsidRPr="00F107F4">
        <w:rPr>
          <w:vertAlign w:val="subscript"/>
        </w:rPr>
        <w:t>0-t</w:t>
      </w:r>
      <w:r w:rsidRPr="00E74309">
        <w:rPr>
          <w:vertAlign w:val="subscript"/>
        </w:rPr>
        <w:t>)</w:t>
      </w:r>
      <w:r w:rsidRPr="00F107F4">
        <w:t>, AUC and AUC</w:t>
      </w:r>
      <w:r w:rsidRPr="00F107F4">
        <w:rPr>
          <w:vertAlign w:val="subscript"/>
        </w:rPr>
        <w:t>τ</w:t>
      </w:r>
      <w:r w:rsidRPr="00F107F4">
        <w:t xml:space="preserve"> there were no differences in the rate and extent of exposure between age group, dose level or day. </w:t>
      </w:r>
      <w:proofErr w:type="gramStart"/>
      <w:r w:rsidRPr="00F107F4">
        <w:t>AUC</w:t>
      </w:r>
      <w:r w:rsidRPr="00F107F4">
        <w:rPr>
          <w:vertAlign w:val="subscript"/>
        </w:rPr>
        <w:t>(</w:t>
      </w:r>
      <w:proofErr w:type="gramEnd"/>
      <w:r w:rsidRPr="00F107F4">
        <w:rPr>
          <w:vertAlign w:val="subscript"/>
        </w:rPr>
        <w:t>0-t</w:t>
      </w:r>
      <w:r w:rsidRPr="00046D9E">
        <w:rPr>
          <w:vertAlign w:val="subscript"/>
        </w:rPr>
        <w:t>)</w:t>
      </w:r>
      <w:r w:rsidRPr="00F107F4">
        <w:t xml:space="preserve"> and C</w:t>
      </w:r>
      <w:r w:rsidRPr="00F107F4">
        <w:rPr>
          <w:vertAlign w:val="subscript"/>
        </w:rPr>
        <w:t>max</w:t>
      </w:r>
      <w:r w:rsidRPr="00F107F4">
        <w:t xml:space="preserve"> for </w:t>
      </w:r>
      <w:r w:rsidRPr="00F107F4">
        <w:rPr>
          <w:iCs/>
        </w:rPr>
        <w:t xml:space="preserve">aclidinium bromide </w:t>
      </w:r>
      <w:r w:rsidRPr="00F107F4">
        <w:t>appeared to increase in a dose-proportional manner on both days in the young and elderly. The evaluator states that the pharmacokinetics following the dose proposed for marketing has not b</w:t>
      </w:r>
      <w:r w:rsidR="00D43492">
        <w:t>een studied in this submission.</w:t>
      </w:r>
    </w:p>
    <w:p w:rsidR="00046D9E" w:rsidRPr="00D43492" w:rsidRDefault="00AF3D89" w:rsidP="00D43492">
      <w:pPr>
        <w:pStyle w:val="Heading5"/>
      </w:pPr>
      <w:r w:rsidRPr="00F107F4">
        <w:t>Renal impairment</w:t>
      </w:r>
    </w:p>
    <w:p w:rsidR="00AF3D89" w:rsidRPr="00F107F4" w:rsidRDefault="00AF3D89" w:rsidP="00D43492">
      <w:r w:rsidRPr="00F107F4">
        <w:t xml:space="preserve">This was investigated in </w:t>
      </w:r>
      <w:r w:rsidRPr="00046D9E">
        <w:t>M34273/08</w:t>
      </w:r>
      <w:r w:rsidRPr="00F107F4">
        <w:t xml:space="preserve"> where single inhaled doses of aclidinium bromide 400 </w:t>
      </w:r>
      <w:r w:rsidR="00A5120F">
        <w:t>µ</w:t>
      </w:r>
      <w:r w:rsidRPr="00F107F4">
        <w:t>g in subjects with normal renal function and with mild, moderate and severe renal impairment was administered.</w:t>
      </w:r>
      <w:r>
        <w:t xml:space="preserve"> </w:t>
      </w:r>
      <w:r w:rsidRPr="00F107F4">
        <w:t xml:space="preserve">The </w:t>
      </w:r>
      <w:proofErr w:type="gramStart"/>
      <w:r w:rsidRPr="00F107F4">
        <w:t>AUC</w:t>
      </w:r>
      <w:r w:rsidRPr="00F107F4">
        <w:rPr>
          <w:vertAlign w:val="subscript"/>
        </w:rPr>
        <w:t>(</w:t>
      </w:r>
      <w:proofErr w:type="gramEnd"/>
      <w:r w:rsidRPr="00F107F4">
        <w:rPr>
          <w:vertAlign w:val="subscript"/>
        </w:rPr>
        <w:t>0-t)</w:t>
      </w:r>
      <w:r w:rsidRPr="00F107F4">
        <w:t xml:space="preserve"> was similar across the groups of patients with mild to severe renal impairment and higher than in the healthy controls.</w:t>
      </w:r>
      <w:r>
        <w:t xml:space="preserve"> </w:t>
      </w:r>
      <w:r w:rsidR="00046D9E">
        <w:t>The half-life (t</w:t>
      </w:r>
      <w:r w:rsidRPr="00F107F4">
        <w:rPr>
          <w:vertAlign w:val="subscript"/>
        </w:rPr>
        <w:t>1/2</w:t>
      </w:r>
      <w:r w:rsidR="00046D9E" w:rsidRPr="00046D9E">
        <w:t xml:space="preserve">) </w:t>
      </w:r>
      <w:r w:rsidRPr="00F107F4">
        <w:t>and the elimination rate constant were higher in the renally impaired groups compared with the healthy subjects; the apparent total plasma clearance (Cl/f) tended to be lower. The pattern wa</w:t>
      </w:r>
      <w:r w:rsidR="00D43492">
        <w:t>s similar with the metabolites.</w:t>
      </w:r>
    </w:p>
    <w:p w:rsidR="00AF3D89" w:rsidRPr="00F107F4" w:rsidRDefault="00AF3D89" w:rsidP="00D43492">
      <w:r w:rsidRPr="00F107F4">
        <w:t xml:space="preserve">The evaluator mentions that, </w:t>
      </w:r>
      <w:r w:rsidR="001D13B2" w:rsidRPr="00D43492">
        <w:rPr>
          <w:i/>
        </w:rPr>
        <w:t>‘</w:t>
      </w:r>
      <w:r w:rsidRPr="00D43492">
        <w:rPr>
          <w:i/>
        </w:rPr>
        <w:t xml:space="preserve">considering the wide therapeutic index of </w:t>
      </w:r>
      <w:r w:rsidRPr="00D43492">
        <w:rPr>
          <w:i/>
          <w:iCs/>
        </w:rPr>
        <w:t xml:space="preserve">aclidinium bromide </w:t>
      </w:r>
      <w:r w:rsidRPr="00D43492">
        <w:rPr>
          <w:i/>
        </w:rPr>
        <w:t xml:space="preserve">(inhaled doses up to 6000μg [30-fold the expected therapeutic dose] have been safely administered to healthy subjects), and the safety, tolerability and PK results found in the present study, it can be concluded that the PK behaviour of </w:t>
      </w:r>
      <w:r w:rsidRPr="00D43492">
        <w:rPr>
          <w:i/>
          <w:iCs/>
        </w:rPr>
        <w:t xml:space="preserve">aclidinium bromide </w:t>
      </w:r>
      <w:r w:rsidRPr="00D43492">
        <w:rPr>
          <w:i/>
        </w:rPr>
        <w:t>and its two main inactive metabolites is not altered to a clinically significant extent in subjects with impaired renal function. As such, a dosage adjustment in patients with mild, moderate or severe renal impairment is not needed</w:t>
      </w:r>
      <w:r w:rsidR="001D13B2" w:rsidRPr="00D43492">
        <w:rPr>
          <w:i/>
        </w:rPr>
        <w:t>’</w:t>
      </w:r>
      <w:r w:rsidRPr="00F107F4">
        <w:t>.</w:t>
      </w:r>
    </w:p>
    <w:p w:rsidR="00AF3D89" w:rsidRPr="00F107F4" w:rsidRDefault="00AF3D89" w:rsidP="00D43492">
      <w:r w:rsidRPr="00F107F4">
        <w:t xml:space="preserve">It was considered that a single dose study was sufficient and was in accordance with the </w:t>
      </w:r>
      <w:r w:rsidR="001570AB">
        <w:t>relevant EU Guideline</w:t>
      </w:r>
      <w:r w:rsidR="001570AB">
        <w:rPr>
          <w:rStyle w:val="FootnoteReference"/>
        </w:rPr>
        <w:footnoteReference w:id="24"/>
      </w:r>
      <w:r w:rsidR="001570AB">
        <w:t xml:space="preserve"> </w:t>
      </w:r>
      <w:r w:rsidRPr="00F107F4">
        <w:t>that states that this is sufficient when the drug exhibits linear and tim</w:t>
      </w:r>
      <w:r w:rsidR="00D43492">
        <w:t>e independent pharmacokinetics.</w:t>
      </w:r>
    </w:p>
    <w:p w:rsidR="00046D9E" w:rsidRPr="00D43492" w:rsidRDefault="00AF3D89" w:rsidP="00D43492">
      <w:pPr>
        <w:pStyle w:val="Heading5"/>
      </w:pPr>
      <w:r w:rsidRPr="00F107F4">
        <w:t>Hepatic impairment</w:t>
      </w:r>
    </w:p>
    <w:p w:rsidR="00AF3D89" w:rsidRPr="00F107F4" w:rsidRDefault="00AF3D89" w:rsidP="00D43492">
      <w:r w:rsidRPr="00F107F4">
        <w:t>No study was conducted. Since hepatic metabolism plays an</w:t>
      </w:r>
      <w:r>
        <w:t xml:space="preserve"> </w:t>
      </w:r>
      <w:r w:rsidRPr="00F107F4">
        <w:t xml:space="preserve">insignificant role in the clearance of </w:t>
      </w:r>
      <w:r w:rsidRPr="00F107F4">
        <w:rPr>
          <w:iCs/>
        </w:rPr>
        <w:t>aclidinium bromide</w:t>
      </w:r>
      <w:r w:rsidRPr="00F107F4">
        <w:t xml:space="preserve">, the lack of such a </w:t>
      </w:r>
      <w:r w:rsidR="00D43492">
        <w:t>study is considered acceptable.</w:t>
      </w:r>
    </w:p>
    <w:p w:rsidR="00046D9E" w:rsidRPr="00D43492" w:rsidRDefault="00AF3D89" w:rsidP="00D43492">
      <w:pPr>
        <w:pStyle w:val="Heading5"/>
      </w:pPr>
      <w:r w:rsidRPr="00F107F4">
        <w:t>Pharmacokinetics according to age</w:t>
      </w:r>
    </w:p>
    <w:p w:rsidR="00AF3D89" w:rsidRPr="00F107F4" w:rsidRDefault="00AF3D89" w:rsidP="00D43492">
      <w:r w:rsidRPr="00F107F4">
        <w:t xml:space="preserve">This was investigated in </w:t>
      </w:r>
      <w:r w:rsidRPr="00046D9E">
        <w:t>M/34273/09</w:t>
      </w:r>
      <w:r w:rsidRPr="00F107F4">
        <w:t xml:space="preserve"> where doses of aclidinium bromide 200 </w:t>
      </w:r>
      <w:r w:rsidR="00A5120F">
        <w:t>µ</w:t>
      </w:r>
      <w:r w:rsidR="00046D9E">
        <w:t>g or 400 </w:t>
      </w:r>
      <w:r w:rsidR="00A5120F">
        <w:t>µ</w:t>
      </w:r>
      <w:r w:rsidRPr="00F107F4">
        <w:t xml:space="preserve">g QD for 3 days were investigated in moderate to severe COPD patients aged 40 to 59 years and aged 70 years and over. The overall exposure of the </w:t>
      </w:r>
      <w:r>
        <w:t>elderly</w:t>
      </w:r>
      <w:r w:rsidRPr="00F107F4">
        <w:t xml:space="preserve"> group was not increased compared to the young at the dose levels investigated. Whilst the acid and alcohol metabolites showed a higher exposure in the elderly, they are unlikely to be clinically relevant a</w:t>
      </w:r>
      <w:r w:rsidR="00D43492">
        <w:t>s the metabolites are inactive.</w:t>
      </w:r>
    </w:p>
    <w:p w:rsidR="00046D9E" w:rsidRPr="00D43492" w:rsidRDefault="00AF3D89" w:rsidP="00D43492">
      <w:pPr>
        <w:pStyle w:val="Heading5"/>
      </w:pPr>
      <w:r w:rsidRPr="00F107F4">
        <w:t>Phar</w:t>
      </w:r>
      <w:r w:rsidR="00D43492">
        <w:t>macokinetic interaction studies</w:t>
      </w:r>
    </w:p>
    <w:p w:rsidR="00AF3D89" w:rsidRPr="00F107F4" w:rsidRDefault="00AF3D89" w:rsidP="00D43492">
      <w:r w:rsidRPr="00F107F4">
        <w:t xml:space="preserve">None </w:t>
      </w:r>
      <w:r w:rsidR="00046D9E">
        <w:t>were</w:t>
      </w:r>
      <w:r w:rsidRPr="00F107F4">
        <w:t xml:space="preserve"> submitted. The evaluator states that based on the metabolism of </w:t>
      </w:r>
      <w:r w:rsidRPr="00F107F4">
        <w:rPr>
          <w:iCs/>
        </w:rPr>
        <w:t>aclidinium bromide</w:t>
      </w:r>
      <w:r w:rsidRPr="00F107F4">
        <w:rPr>
          <w:i/>
          <w:iCs/>
        </w:rPr>
        <w:t xml:space="preserve"> </w:t>
      </w:r>
      <w:r w:rsidRPr="00F107F4">
        <w:t xml:space="preserve">and the results of </w:t>
      </w:r>
      <w:r w:rsidRPr="00046D9E">
        <w:t>in vitro</w:t>
      </w:r>
      <w:r w:rsidRPr="00F107F4">
        <w:t xml:space="preserve"> studies it could be concluded that the potential to interact is low. In addition</w:t>
      </w:r>
      <w:r>
        <w:t>,</w:t>
      </w:r>
      <w:r w:rsidRPr="00F107F4">
        <w:t xml:space="preserve"> the systemic absorption is low and it is very rapidly metabolised. Metabolism</w:t>
      </w:r>
      <w:r w:rsidR="00AC5820">
        <w:t>s</w:t>
      </w:r>
      <w:r w:rsidRPr="00F107F4">
        <w:t xml:space="preserve"> via CYP450 and P glycoprotein have limited impact on the pharmacokinetics of </w:t>
      </w:r>
      <w:r w:rsidRPr="00F107F4">
        <w:rPr>
          <w:iCs/>
        </w:rPr>
        <w:t>aclidinium bromide</w:t>
      </w:r>
      <w:r w:rsidRPr="00F107F4">
        <w:t xml:space="preserve">; drugs that are substrates or metabolised via these pathways are unlikely to affect </w:t>
      </w:r>
      <w:proofErr w:type="spellStart"/>
      <w:r w:rsidRPr="00F107F4">
        <w:rPr>
          <w:iCs/>
        </w:rPr>
        <w:t>aclidinium</w:t>
      </w:r>
      <w:proofErr w:type="spellEnd"/>
      <w:r w:rsidRPr="00F107F4">
        <w:rPr>
          <w:iCs/>
        </w:rPr>
        <w:t xml:space="preserve"> bromide</w:t>
      </w:r>
      <w:r w:rsidR="00D43492">
        <w:rPr>
          <w:i/>
          <w:iCs/>
        </w:rPr>
        <w:t>.</w:t>
      </w:r>
    </w:p>
    <w:p w:rsidR="00AF3D89" w:rsidRPr="00D43492" w:rsidRDefault="00AF3D89" w:rsidP="00D43492">
      <w:pPr>
        <w:pStyle w:val="Heading4"/>
      </w:pPr>
      <w:r w:rsidRPr="00046D9E">
        <w:t>Pharmacodynamics</w:t>
      </w:r>
    </w:p>
    <w:p w:rsidR="00AF3D89" w:rsidRPr="00046D9E" w:rsidRDefault="00AF3D89" w:rsidP="00D43492">
      <w:r w:rsidRPr="00F107F4">
        <w:rPr>
          <w:lang w:val="en-US"/>
        </w:rPr>
        <w:t xml:space="preserve">Three studies </w:t>
      </w:r>
      <w:r w:rsidRPr="00046D9E">
        <w:rPr>
          <w:lang w:val="en-US"/>
        </w:rPr>
        <w:t xml:space="preserve">(M/34723/00, </w:t>
      </w:r>
      <w:r w:rsidRPr="00046D9E">
        <w:t xml:space="preserve">M34273/21 and M34273/11A) </w:t>
      </w:r>
      <w:r w:rsidR="00046D9E" w:rsidRPr="00046D9E">
        <w:t>were</w:t>
      </w:r>
      <w:r w:rsidR="00D43492">
        <w:t xml:space="preserve"> discussed.</w:t>
      </w:r>
    </w:p>
    <w:p w:rsidR="00AF3D89" w:rsidRPr="00046D9E" w:rsidRDefault="00AF3D89" w:rsidP="00D43492">
      <w:r w:rsidRPr="00046D9E">
        <w:t xml:space="preserve">Study </w:t>
      </w:r>
      <w:r w:rsidRPr="00046D9E">
        <w:rPr>
          <w:lang w:val="en-US"/>
        </w:rPr>
        <w:t xml:space="preserve">M/34723/00 which was a pilot study showed that </w:t>
      </w:r>
      <w:r w:rsidRPr="00046D9E">
        <w:t xml:space="preserve">aclidinium bromide is effective in improving specific airway conductance and reducing </w:t>
      </w:r>
      <w:r w:rsidR="00D43492">
        <w:t>bronchial hyper-responsiveness.</w:t>
      </w:r>
    </w:p>
    <w:p w:rsidR="00AF3D89" w:rsidRPr="00F107F4" w:rsidRDefault="00AF3D89" w:rsidP="00D43492">
      <w:r w:rsidRPr="00046D9E">
        <w:t>In relation to M34273/21</w:t>
      </w:r>
      <w:r w:rsidRPr="00F107F4">
        <w:rPr>
          <w:b/>
        </w:rPr>
        <w:t xml:space="preserve">, </w:t>
      </w:r>
      <w:r w:rsidR="00046D9E">
        <w:t>a Phase II</w:t>
      </w:r>
      <w:r w:rsidRPr="00F107F4">
        <w:t xml:space="preserve">, single ascending dose, </w:t>
      </w:r>
      <w:r w:rsidR="00710686">
        <w:t>placebo controlled</w:t>
      </w:r>
      <w:r w:rsidRPr="00F107F4">
        <w:t>, crossover study in 17 COPD male patients,</w:t>
      </w:r>
      <w:r w:rsidRPr="00F107F4">
        <w:rPr>
          <w:b/>
        </w:rPr>
        <w:t xml:space="preserve"> </w:t>
      </w:r>
      <w:r w:rsidRPr="00F107F4">
        <w:t>there was</w:t>
      </w:r>
      <w:r w:rsidRPr="00F107F4">
        <w:rPr>
          <w:b/>
        </w:rPr>
        <w:t xml:space="preserve"> </w:t>
      </w:r>
      <w:r w:rsidRPr="00F107F4">
        <w:t xml:space="preserve">statistically significant improvement in the 4 </w:t>
      </w:r>
      <w:proofErr w:type="spellStart"/>
      <w:r w:rsidRPr="00F107F4">
        <w:t>spirometric</w:t>
      </w:r>
      <w:proofErr w:type="spellEnd"/>
      <w:r w:rsidRPr="00F107F4">
        <w:t xml:space="preserve"> parameters measured (</w:t>
      </w:r>
      <w:r w:rsidR="001570AB" w:rsidRPr="001570AB">
        <w:t xml:space="preserve">forced expiratory volume in 1 second </w:t>
      </w:r>
      <w:r w:rsidR="001570AB">
        <w:t>(</w:t>
      </w:r>
      <w:r w:rsidRPr="00F107F4">
        <w:t>FEV1</w:t>
      </w:r>
      <w:r w:rsidR="001570AB">
        <w:t>)</w:t>
      </w:r>
      <w:r w:rsidRPr="00F107F4">
        <w:t xml:space="preserve">, </w:t>
      </w:r>
      <w:r w:rsidR="001570AB" w:rsidRPr="001570AB">
        <w:t xml:space="preserve">Forced expiratory ratio </w:t>
      </w:r>
      <w:r w:rsidR="001570AB">
        <w:t>(</w:t>
      </w:r>
      <w:r w:rsidRPr="00F107F4">
        <w:t>FVC</w:t>
      </w:r>
      <w:r w:rsidR="001570AB">
        <w:t>)</w:t>
      </w:r>
      <w:r w:rsidRPr="00F107F4">
        <w:t xml:space="preserve">, </w:t>
      </w:r>
      <w:r w:rsidR="001570AB" w:rsidRPr="001570AB">
        <w:t xml:space="preserve">peak expiratory flow rate </w:t>
      </w:r>
      <w:r w:rsidR="001570AB">
        <w:t>(</w:t>
      </w:r>
      <w:r w:rsidRPr="00F107F4">
        <w:t>PEFR</w:t>
      </w:r>
      <w:r w:rsidR="001570AB">
        <w:t>)</w:t>
      </w:r>
      <w:r w:rsidRPr="00F107F4">
        <w:t xml:space="preserve">, </w:t>
      </w:r>
      <w:r w:rsidR="001570AB" w:rsidRPr="001570AB">
        <w:t>forced expiratory flow, mid</w:t>
      </w:r>
      <w:r w:rsidR="00E74309">
        <w:t xml:space="preserve"> </w:t>
      </w:r>
      <w:r w:rsidR="001570AB" w:rsidRPr="001570AB">
        <w:t xml:space="preserve">expiratory phase </w:t>
      </w:r>
      <w:r w:rsidR="001570AB">
        <w:t>(</w:t>
      </w:r>
      <w:r w:rsidRPr="00F107F4">
        <w:t>FEF</w:t>
      </w:r>
      <w:r w:rsidRPr="00F107F4">
        <w:rPr>
          <w:vertAlign w:val="subscript"/>
        </w:rPr>
        <w:t>25-75</w:t>
      </w:r>
      <w:r w:rsidRPr="00F107F4">
        <w:t>)</w:t>
      </w:r>
      <w:r w:rsidR="001570AB">
        <w:t>)</w:t>
      </w:r>
      <w:r w:rsidRPr="00F107F4">
        <w:t xml:space="preserve"> following single inhalation of aclidinium bromide</w:t>
      </w:r>
      <w:r>
        <w:t xml:space="preserve"> </w:t>
      </w:r>
      <w:r w:rsidRPr="00F107F4">
        <w:t xml:space="preserve">(100 </w:t>
      </w:r>
      <w:r w:rsidR="00A5120F">
        <w:t>µ</w:t>
      </w:r>
      <w:r w:rsidRPr="00F107F4">
        <w:t xml:space="preserve">g, 300 </w:t>
      </w:r>
      <w:r w:rsidR="00A5120F">
        <w:t>µ</w:t>
      </w:r>
      <w:r w:rsidRPr="00F107F4">
        <w:t xml:space="preserve">g and 900 </w:t>
      </w:r>
      <w:r w:rsidR="00A5120F">
        <w:t>µ</w:t>
      </w:r>
      <w:r w:rsidRPr="00F107F4">
        <w:t>g). Compared to placebo, all three aclidinium bromide</w:t>
      </w:r>
      <w:r>
        <w:t xml:space="preserve"> </w:t>
      </w:r>
      <w:r w:rsidRPr="00F107F4">
        <w:t xml:space="preserve">doses showed statistically significant improvement in FEV1 and FVC to suggest the bronchodilatory effect; however, there was no significant difference between the 3 doses although the time to maximal efficacy was faster with 300 </w:t>
      </w:r>
      <w:r w:rsidR="00A5120F">
        <w:t>µ</w:t>
      </w:r>
      <w:r w:rsidRPr="00F107F4">
        <w:t>g and 900</w:t>
      </w:r>
      <w:r w:rsidR="00046D9E">
        <w:t> </w:t>
      </w:r>
      <w:r w:rsidR="00A5120F">
        <w:t>µ</w:t>
      </w:r>
      <w:r w:rsidRPr="00F107F4">
        <w:t xml:space="preserve">g doses (2 hours) compared to the 100 </w:t>
      </w:r>
      <w:r w:rsidR="00A5120F">
        <w:t>µ</w:t>
      </w:r>
      <w:r w:rsidRPr="00F107F4">
        <w:t>g dose (2 hours). The ons</w:t>
      </w:r>
      <w:r w:rsidR="00D43492">
        <w:t>et of action is fast (15 mins).</w:t>
      </w:r>
    </w:p>
    <w:p w:rsidR="00AF3D89" w:rsidRPr="00F107F4" w:rsidRDefault="00AF3D89" w:rsidP="00D43492">
      <w:pPr>
        <w:rPr>
          <w:lang w:val="en-US"/>
        </w:rPr>
      </w:pPr>
      <w:r w:rsidRPr="00F107F4">
        <w:t xml:space="preserve">Based on these results the sponsor conducted 2 Phase III studies investigating 200 </w:t>
      </w:r>
      <w:r w:rsidR="00A5120F">
        <w:t>µ</w:t>
      </w:r>
      <w:r w:rsidRPr="001570AB">
        <w:t>g QD;</w:t>
      </w:r>
      <w:r w:rsidRPr="00F107F4">
        <w:t xml:space="preserve"> in these studies the trough FEV1 was lower than the 100 mL considered </w:t>
      </w:r>
      <w:proofErr w:type="gramStart"/>
      <w:r w:rsidRPr="00F107F4">
        <w:t>to be</w:t>
      </w:r>
      <w:proofErr w:type="gramEnd"/>
      <w:r w:rsidRPr="00F107F4">
        <w:t xml:space="preserve"> clinically relevant. Thus, doses of 200 </w:t>
      </w:r>
      <w:r w:rsidR="00A5120F">
        <w:t>µ</w:t>
      </w:r>
      <w:r w:rsidRPr="00F107F4">
        <w:t xml:space="preserve">g and 400 </w:t>
      </w:r>
      <w:r w:rsidR="00A5120F">
        <w:t>µ</w:t>
      </w:r>
      <w:r w:rsidRPr="00F107F4">
        <w:t>g BD were carried forward in the second</w:t>
      </w:r>
      <w:r>
        <w:t>,</w:t>
      </w:r>
      <w:r w:rsidR="00D43492">
        <w:t xml:space="preserve"> Phase III development program.</w:t>
      </w:r>
    </w:p>
    <w:p w:rsidR="00046D9E" w:rsidRPr="00D43492" w:rsidRDefault="00AF3D89" w:rsidP="00D43492">
      <w:pPr>
        <w:pStyle w:val="Heading5"/>
      </w:pPr>
      <w:r w:rsidRPr="00F107F4">
        <w:rPr>
          <w:lang w:val="en-US"/>
        </w:rPr>
        <w:t>QT prolongation</w:t>
      </w:r>
    </w:p>
    <w:p w:rsidR="00AF3D89" w:rsidRPr="00F107F4" w:rsidRDefault="00AF3D89" w:rsidP="00D43492">
      <w:r w:rsidRPr="00F107F4">
        <w:t xml:space="preserve">The Phase </w:t>
      </w:r>
      <w:r w:rsidR="00046D9E">
        <w:t>I</w:t>
      </w:r>
      <w:r w:rsidRPr="00F107F4">
        <w:t>, prospective, multiple dose, randomised, parallel group, placebo and positive</w:t>
      </w:r>
      <w:r w:rsidR="00046D9E">
        <w:t xml:space="preserve"> </w:t>
      </w:r>
      <w:r w:rsidRPr="00F107F4">
        <w:t xml:space="preserve">controlled study in 272 male and female healthy </w:t>
      </w:r>
      <w:r w:rsidRPr="00046D9E">
        <w:t>volunteers (M34273/11) showed</w:t>
      </w:r>
      <w:r w:rsidRPr="00F107F4">
        <w:t xml:space="preserve"> that LAS34273 at therapeutic dose (200 </w:t>
      </w:r>
      <w:r w:rsidR="00A5120F">
        <w:t>µ</w:t>
      </w:r>
      <w:r w:rsidRPr="00F107F4">
        <w:t>g) or supra</w:t>
      </w:r>
      <w:r w:rsidR="00A5120F">
        <w:t xml:space="preserve"> </w:t>
      </w:r>
      <w:r w:rsidRPr="00F107F4">
        <w:t xml:space="preserve">therapeutic doses (800 </w:t>
      </w:r>
      <w:r w:rsidR="00A5120F">
        <w:t>µ</w:t>
      </w:r>
      <w:r w:rsidRPr="00F107F4">
        <w:t xml:space="preserve">g) did not produce any clinically relevant effect on </w:t>
      </w:r>
      <w:r w:rsidR="001570AB" w:rsidRPr="001570AB">
        <w:t>individual</w:t>
      </w:r>
      <w:r w:rsidR="00A5120F">
        <w:t xml:space="preserve"> </w:t>
      </w:r>
      <w:r w:rsidR="001570AB" w:rsidRPr="001570AB">
        <w:t>based corrected QT interval</w:t>
      </w:r>
      <w:r w:rsidR="00AC200D">
        <w:rPr>
          <w:rStyle w:val="FootnoteReference"/>
          <w:bCs/>
        </w:rPr>
        <w:footnoteReference w:id="25"/>
      </w:r>
      <w:r w:rsidR="001570AB" w:rsidRPr="001570AB">
        <w:t xml:space="preserve"> </w:t>
      </w:r>
      <w:r w:rsidR="001570AB">
        <w:t>(</w:t>
      </w:r>
      <w:r w:rsidRPr="00F107F4">
        <w:t>QTci</w:t>
      </w:r>
      <w:r w:rsidR="001570AB">
        <w:t>)</w:t>
      </w:r>
      <w:r w:rsidRPr="00F107F4">
        <w:t xml:space="preserve">/ </w:t>
      </w:r>
      <w:r w:rsidR="001570AB" w:rsidRPr="001570AB">
        <w:t xml:space="preserve">Fridericia's formula QT correction </w:t>
      </w:r>
      <w:r w:rsidR="001570AB">
        <w:t>(</w:t>
      </w:r>
      <w:r w:rsidRPr="00F107F4">
        <w:t>QTcF</w:t>
      </w:r>
      <w:r w:rsidR="001570AB">
        <w:t>)</w:t>
      </w:r>
      <w:r w:rsidRPr="00F107F4">
        <w:t xml:space="preserve">, </w:t>
      </w:r>
      <w:r w:rsidR="001570AB" w:rsidRPr="001570AB">
        <w:t xml:space="preserve">Bazett QT correction </w:t>
      </w:r>
      <w:r w:rsidR="001570AB">
        <w:t>(</w:t>
      </w:r>
      <w:r w:rsidRPr="00F107F4">
        <w:t>QTcB</w:t>
      </w:r>
      <w:r w:rsidR="001570AB">
        <w:t>)</w:t>
      </w:r>
      <w:r w:rsidRPr="00F107F4">
        <w:t>/ QT.</w:t>
      </w:r>
      <w:r>
        <w:t xml:space="preserve"> </w:t>
      </w:r>
      <w:r w:rsidRPr="00F107F4">
        <w:t xml:space="preserve">The assay sensitivity of the study was confirmed as moxafloxacin 400 </w:t>
      </w:r>
      <w:r w:rsidR="00A5120F">
        <w:t>µ</w:t>
      </w:r>
      <w:r w:rsidRPr="00F107F4">
        <w:t xml:space="preserve">g (positive control) produced significant increase in QT intervals compared with placebo. No evidence of a clinically relevant effect on QTc interval </w:t>
      </w:r>
      <w:r w:rsidR="00D43492">
        <w:t>was demonstrated in this study.</w:t>
      </w:r>
    </w:p>
    <w:p w:rsidR="00AF3D89" w:rsidRPr="00D43492" w:rsidRDefault="00AF3D89" w:rsidP="00D43492">
      <w:pPr>
        <w:pStyle w:val="Heading5"/>
      </w:pPr>
      <w:r w:rsidRPr="00F107F4">
        <w:t xml:space="preserve">Time course for </w:t>
      </w:r>
      <w:proofErr w:type="spellStart"/>
      <w:r w:rsidRPr="00F107F4">
        <w:t>pharmacodynamic</w:t>
      </w:r>
      <w:proofErr w:type="spellEnd"/>
      <w:r w:rsidRPr="00F107F4">
        <w:t xml:space="preserve"> effects</w:t>
      </w:r>
    </w:p>
    <w:p w:rsidR="00AF3D89" w:rsidRPr="00F107F4" w:rsidRDefault="00AF3D89" w:rsidP="00D43492">
      <w:r w:rsidRPr="00F107F4">
        <w:t xml:space="preserve">In the Phase </w:t>
      </w:r>
      <w:r w:rsidR="00046D9E">
        <w:t>II</w:t>
      </w:r>
      <w:r w:rsidRPr="00F107F4">
        <w:t xml:space="preserve"> </w:t>
      </w:r>
      <w:r w:rsidRPr="00046D9E">
        <w:t>study (M34273/21),</w:t>
      </w:r>
      <w:r w:rsidRPr="00F107F4">
        <w:t xml:space="preserve"> statistically significant improvements compared with placebo for FEV1 and FVC were observed for all aclidinium bromide </w:t>
      </w:r>
      <w:r>
        <w:t xml:space="preserve">single ascending </w:t>
      </w:r>
      <w:r w:rsidRPr="00F107F4">
        <w:t xml:space="preserve">doses (100 </w:t>
      </w:r>
      <w:r w:rsidR="00A5120F">
        <w:t>µ</w:t>
      </w:r>
      <w:r w:rsidRPr="00F107F4">
        <w:t xml:space="preserve">g, 300 </w:t>
      </w:r>
      <w:r w:rsidR="00A5120F">
        <w:t>µ</w:t>
      </w:r>
      <w:r w:rsidRPr="00F107F4">
        <w:t xml:space="preserve">g and 900 </w:t>
      </w:r>
      <w:r w:rsidR="00A5120F">
        <w:t>µ</w:t>
      </w:r>
      <w:r w:rsidRPr="00F107F4">
        <w:t xml:space="preserve">g) from 15 min to 24 hours after single inhalation. The results showed highest degree of reversibility with the dose of 300 </w:t>
      </w:r>
      <w:r w:rsidR="00A5120F">
        <w:t>µ</w:t>
      </w:r>
      <w:r w:rsidRPr="00F107F4">
        <w:t>g. The onset of action is fast (15 mins) and efficacy is maintained until 24</w:t>
      </w:r>
      <w:r w:rsidR="00046D9E">
        <w:t xml:space="preserve"> to </w:t>
      </w:r>
      <w:r w:rsidRPr="00F107F4">
        <w:t xml:space="preserve">32 hours postdose for the 300 </w:t>
      </w:r>
      <w:r w:rsidR="00A5120F">
        <w:t>µ</w:t>
      </w:r>
      <w:r w:rsidRPr="00F107F4">
        <w:t xml:space="preserve">g and 900 </w:t>
      </w:r>
      <w:r w:rsidR="00A5120F">
        <w:t>µ</w:t>
      </w:r>
      <w:r w:rsidRPr="00F107F4">
        <w:t>g doses supporting a once daily administration dosing regimen. However</w:t>
      </w:r>
      <w:r>
        <w:t>,</w:t>
      </w:r>
      <w:r w:rsidRPr="00F107F4">
        <w:t xml:space="preserve"> this</w:t>
      </w:r>
      <w:r>
        <w:t xml:space="preserve"> (OD) </w:t>
      </w:r>
      <w:r w:rsidRPr="00F107F4">
        <w:t>was shelved as the change in FEV1 was less than clinically relevant.</w:t>
      </w:r>
    </w:p>
    <w:p w:rsidR="00FE41C1" w:rsidRPr="00D43492" w:rsidRDefault="00AF3D89" w:rsidP="00D43492">
      <w:pPr>
        <w:pStyle w:val="Heading5"/>
      </w:pPr>
      <w:r w:rsidRPr="00F107F4">
        <w:t>Comparison of drug delivery devices</w:t>
      </w:r>
    </w:p>
    <w:p w:rsidR="00AF3D89" w:rsidRPr="00F107F4" w:rsidRDefault="00AF3D89" w:rsidP="00D43492">
      <w:pPr>
        <w:rPr>
          <w:b/>
          <w:bCs/>
          <w:lang w:val="en-US"/>
        </w:rPr>
      </w:pPr>
      <w:r w:rsidRPr="00A5120F">
        <w:t xml:space="preserve">The evaluator discusses the findings of a Phase II open-label, cross-over, randomised, placebo dose, medical device trial that evaluated the </w:t>
      </w:r>
      <w:r w:rsidR="00AC200D" w:rsidRPr="00A5120F">
        <w:t>Peak inspiratory flow (</w:t>
      </w:r>
      <w:r w:rsidRPr="00A5120F">
        <w:t>PIF</w:t>
      </w:r>
      <w:r w:rsidR="00AC200D" w:rsidRPr="00A5120F">
        <w:t>)</w:t>
      </w:r>
      <w:r w:rsidRPr="00A5120F">
        <w:t xml:space="preserve"> generated through the Novolizer and HandiHaler dry powder inhalers by 48 patients with moderate and severe COPD (M34273/07). There was a marked higher mean PIF generated through the Novolizer (92.0 L/min) compared to the HandiHaler (46.1 L/min), confirming the lower resistance of the Novolizer. The evaluator states that COPD patients with a wide range of disease (moderate and severe) are able to generate sufficient inspiratory airflow through the Novolizer to reliably inhale the full dose and activate the trigger threshold. For both the moderate and severe COPD groups, the highest and mean inhalation volumes</w:t>
      </w:r>
      <w:r w:rsidRPr="00AC200D">
        <w:t xml:space="preserve"> were similar for the Novolizer and HandiHaler (A) and were slightly greater than HandiHaler (B).</w:t>
      </w:r>
      <w:r w:rsidRPr="00F107F4">
        <w:rPr>
          <w:bCs/>
        </w:rPr>
        <w:t xml:space="preserve"> Based on the study findings, the evaluator opines that, </w:t>
      </w:r>
      <w:r w:rsidR="001D13B2">
        <w:rPr>
          <w:bCs/>
        </w:rPr>
        <w:t>‘</w:t>
      </w:r>
      <w:r w:rsidRPr="00FE41C1">
        <w:rPr>
          <w:bCs/>
          <w:i/>
        </w:rPr>
        <w:t>COPD patients with a wide range of disease (moderate and severe) are able to generate sufficient inspiratory airflow through the Novolizer to reliably inhale the full dose and activate the trigger threshold</w:t>
      </w:r>
      <w:r w:rsidR="001D13B2">
        <w:rPr>
          <w:bCs/>
        </w:rPr>
        <w:t>’</w:t>
      </w:r>
      <w:r w:rsidR="00D43492">
        <w:rPr>
          <w:bCs/>
        </w:rPr>
        <w:t>.</w:t>
      </w:r>
    </w:p>
    <w:p w:rsidR="00FE41C1" w:rsidRDefault="00AF3D89" w:rsidP="00D43492">
      <w:pPr>
        <w:pStyle w:val="Heading5"/>
      </w:pPr>
      <w:r w:rsidRPr="00F107F4">
        <w:t xml:space="preserve">Dose </w:t>
      </w:r>
      <w:r w:rsidRPr="00D43492">
        <w:t>ranging</w:t>
      </w:r>
      <w:r w:rsidRPr="00F107F4">
        <w:t xml:space="preserve"> studies</w:t>
      </w:r>
    </w:p>
    <w:p w:rsidR="00AF3D89" w:rsidRPr="00F107F4" w:rsidRDefault="00FE41C1" w:rsidP="00D43492">
      <w:r w:rsidRPr="00FE41C1">
        <w:t>Two</w:t>
      </w:r>
      <w:r w:rsidR="00AF3D89" w:rsidRPr="00F107F4">
        <w:t xml:space="preserve"> Phase II studies </w:t>
      </w:r>
      <w:r>
        <w:t>were</w:t>
      </w:r>
      <w:r w:rsidR="00AF3D89" w:rsidRPr="00F107F4">
        <w:t xml:space="preserve"> discussed (</w:t>
      </w:r>
      <w:r w:rsidR="00AF3D89" w:rsidRPr="00FE41C1">
        <w:t>M/34273/29 and M/34273/23</w:t>
      </w:r>
      <w:r w:rsidR="00AF3D89" w:rsidRPr="00F107F4">
        <w:t xml:space="preserve">). Study </w:t>
      </w:r>
      <w:r w:rsidR="00AF3D89" w:rsidRPr="00FE41C1">
        <w:t xml:space="preserve">M/34273/29 used a range of doses (100, 200 and 400 </w:t>
      </w:r>
      <w:r w:rsidR="00A5120F">
        <w:t>µ</w:t>
      </w:r>
      <w:r w:rsidR="00AF3D89" w:rsidRPr="00FE41C1">
        <w:t>g) and Study M/34273/23 used</w:t>
      </w:r>
      <w:r w:rsidR="00AF3D89" w:rsidRPr="00F107F4">
        <w:t xml:space="preserve"> 400 </w:t>
      </w:r>
      <w:r w:rsidR="00A5120F">
        <w:t>µ</w:t>
      </w:r>
      <w:r w:rsidR="00D43492">
        <w:t>g BD only.</w:t>
      </w:r>
    </w:p>
    <w:p w:rsidR="00AF3D89" w:rsidRDefault="00AF3D89" w:rsidP="00D43492">
      <w:r w:rsidRPr="00F107F4">
        <w:t xml:space="preserve">They were </w:t>
      </w:r>
      <w:proofErr w:type="gramStart"/>
      <w:r w:rsidRPr="00F107F4">
        <w:t>randomised,</w:t>
      </w:r>
      <w:proofErr w:type="gramEnd"/>
      <w:r w:rsidRPr="00F107F4">
        <w:t xml:space="preserve"> double blind, placebo and active controlled crossover studies. The design </w:t>
      </w:r>
      <w:r w:rsidR="00FE41C1">
        <w:t xml:space="preserve">of the two studies </w:t>
      </w:r>
      <w:r w:rsidRPr="00F107F4">
        <w:t xml:space="preserve">was similar overall </w:t>
      </w:r>
      <w:r w:rsidR="00A5120F">
        <w:t>but</w:t>
      </w:r>
      <w:r w:rsidRPr="00F107F4">
        <w:t xml:space="preserve"> there were </w:t>
      </w:r>
      <w:r w:rsidR="00A5120F">
        <w:t xml:space="preserve">also </w:t>
      </w:r>
      <w:r w:rsidRPr="00F107F4">
        <w:t xml:space="preserve">notable differences </w:t>
      </w:r>
      <w:r w:rsidR="00A5120F">
        <w:t xml:space="preserve">(see </w:t>
      </w:r>
      <w:r w:rsidR="000E60AE">
        <w:t xml:space="preserve">Table </w:t>
      </w:r>
      <w:r w:rsidR="00C22964">
        <w:t xml:space="preserve">13 </w:t>
      </w:r>
      <w:r w:rsidR="00A5120F">
        <w:t>below)</w:t>
      </w:r>
      <w:r w:rsidRPr="00F107F4">
        <w:t>.</w:t>
      </w:r>
    </w:p>
    <w:p w:rsidR="00FE41C1" w:rsidRPr="00F107F4" w:rsidRDefault="00FE41C1" w:rsidP="00D43492">
      <w:pPr>
        <w:pStyle w:val="TableTitle"/>
      </w:pPr>
      <w:proofErr w:type="gramStart"/>
      <w:r>
        <w:t>Table</w:t>
      </w:r>
      <w:r w:rsidR="00F27942">
        <w:t xml:space="preserve"> 1</w:t>
      </w:r>
      <w:r w:rsidR="00145C30">
        <w:t>3</w:t>
      </w:r>
      <w:r>
        <w:t>.</w:t>
      </w:r>
      <w:proofErr w:type="gramEnd"/>
      <w:r>
        <w:t xml:space="preserve"> Design </w:t>
      </w:r>
      <w:r w:rsidRPr="00D43492">
        <w:t>differences</w:t>
      </w:r>
      <w:r>
        <w:t xml:space="preserve"> in Studies </w:t>
      </w:r>
      <w:r w:rsidRPr="00FE41C1">
        <w:t>M/34273/29 and M/34273/23</w:t>
      </w:r>
    </w:p>
    <w:tbl>
      <w:tblPr>
        <w:tblStyle w:val="TableTGAblue"/>
        <w:tblW w:w="0" w:type="auto"/>
        <w:tblLook w:val="04A0" w:firstRow="1" w:lastRow="0" w:firstColumn="1" w:lastColumn="0" w:noHBand="0" w:noVBand="1"/>
      </w:tblPr>
      <w:tblGrid>
        <w:gridCol w:w="2895"/>
        <w:gridCol w:w="2906"/>
        <w:gridCol w:w="2919"/>
      </w:tblGrid>
      <w:tr w:rsidR="00AF3D89" w:rsidRPr="00F107F4" w:rsidTr="00FE41C1">
        <w:trPr>
          <w:cnfStyle w:val="100000000000" w:firstRow="1" w:lastRow="0" w:firstColumn="0" w:lastColumn="0" w:oddVBand="0" w:evenVBand="0" w:oddHBand="0" w:evenHBand="0" w:firstRowFirstColumn="0" w:firstRowLastColumn="0" w:lastRowFirstColumn="0" w:lastRowLastColumn="0"/>
        </w:trPr>
        <w:tc>
          <w:tcPr>
            <w:tcW w:w="2895" w:type="dxa"/>
          </w:tcPr>
          <w:p w:rsidR="00AF3D89" w:rsidRPr="00FE41C1" w:rsidRDefault="00AF3D89" w:rsidP="00D43492"/>
        </w:tc>
        <w:tc>
          <w:tcPr>
            <w:tcW w:w="2906" w:type="dxa"/>
          </w:tcPr>
          <w:p w:rsidR="00AF3D89" w:rsidRPr="00FE41C1" w:rsidRDefault="00AF3D89" w:rsidP="00D43492">
            <w:r w:rsidRPr="00FE41C1">
              <w:t>M34273/23</w:t>
            </w:r>
          </w:p>
        </w:tc>
        <w:tc>
          <w:tcPr>
            <w:tcW w:w="2919" w:type="dxa"/>
          </w:tcPr>
          <w:p w:rsidR="00AF3D89" w:rsidRPr="00FE41C1" w:rsidRDefault="00AF3D89" w:rsidP="00D43492">
            <w:r w:rsidRPr="00FE41C1">
              <w:t>M/34273/29</w:t>
            </w:r>
          </w:p>
        </w:tc>
      </w:tr>
      <w:tr w:rsidR="00AF3D89" w:rsidRPr="00F107F4" w:rsidTr="00FE41C1">
        <w:tc>
          <w:tcPr>
            <w:tcW w:w="2895" w:type="dxa"/>
          </w:tcPr>
          <w:p w:rsidR="00AF3D89" w:rsidRPr="00FE41C1" w:rsidRDefault="00AF3D89" w:rsidP="00D43492">
            <w:r w:rsidRPr="00FE41C1">
              <w:t>Active comparator</w:t>
            </w:r>
          </w:p>
        </w:tc>
        <w:tc>
          <w:tcPr>
            <w:tcW w:w="2906" w:type="dxa"/>
          </w:tcPr>
          <w:p w:rsidR="00AF3D89" w:rsidRPr="00FE41C1" w:rsidRDefault="00AF3D89" w:rsidP="00D43492">
            <w:r w:rsidRPr="00FE41C1">
              <w:t xml:space="preserve">Tiotropium 18 </w:t>
            </w:r>
            <w:r w:rsidR="00A5120F">
              <w:t>µ</w:t>
            </w:r>
            <w:r w:rsidRPr="00FE41C1">
              <w:t>g BD</w:t>
            </w:r>
          </w:p>
        </w:tc>
        <w:tc>
          <w:tcPr>
            <w:tcW w:w="2919" w:type="dxa"/>
          </w:tcPr>
          <w:p w:rsidR="00AF3D89" w:rsidRPr="00FE41C1" w:rsidRDefault="00AF3D89" w:rsidP="00D43492">
            <w:r w:rsidRPr="00FE41C1">
              <w:t xml:space="preserve">Formoterol 12 </w:t>
            </w:r>
            <w:r w:rsidR="00A5120F">
              <w:t>µ</w:t>
            </w:r>
            <w:r w:rsidRPr="00FE41C1">
              <w:t>g BD</w:t>
            </w:r>
          </w:p>
        </w:tc>
      </w:tr>
      <w:tr w:rsidR="00AF3D89" w:rsidRPr="00F107F4" w:rsidTr="00FE41C1">
        <w:tc>
          <w:tcPr>
            <w:tcW w:w="2895" w:type="dxa"/>
          </w:tcPr>
          <w:p w:rsidR="00AF3D89" w:rsidRPr="00FE41C1" w:rsidRDefault="00AF3D89" w:rsidP="00D43492">
            <w:r w:rsidRPr="00FE41C1">
              <w:t>Aclinidium dose</w:t>
            </w:r>
          </w:p>
        </w:tc>
        <w:tc>
          <w:tcPr>
            <w:tcW w:w="2906" w:type="dxa"/>
          </w:tcPr>
          <w:p w:rsidR="00AF3D89" w:rsidRPr="00FE41C1" w:rsidRDefault="00AF3D89" w:rsidP="00D43492">
            <w:r w:rsidRPr="00FE41C1">
              <w:t xml:space="preserve">400 </w:t>
            </w:r>
            <w:r w:rsidR="00A5120F">
              <w:t>µ</w:t>
            </w:r>
            <w:r w:rsidRPr="00FE41C1">
              <w:t>g BD</w:t>
            </w:r>
          </w:p>
        </w:tc>
        <w:tc>
          <w:tcPr>
            <w:tcW w:w="2919" w:type="dxa"/>
          </w:tcPr>
          <w:p w:rsidR="00AF3D89" w:rsidRPr="00FE41C1" w:rsidRDefault="00AF3D89" w:rsidP="00D43492">
            <w:r w:rsidRPr="00FE41C1">
              <w:t xml:space="preserve">400 </w:t>
            </w:r>
            <w:r w:rsidR="00A5120F">
              <w:t>µ</w:t>
            </w:r>
            <w:r w:rsidRPr="00FE41C1">
              <w:t>g BD</w:t>
            </w:r>
          </w:p>
          <w:p w:rsidR="00AF3D89" w:rsidRPr="00FE41C1" w:rsidRDefault="00AF3D89" w:rsidP="00D43492">
            <w:r w:rsidRPr="00FE41C1">
              <w:t xml:space="preserve">200 </w:t>
            </w:r>
            <w:r w:rsidR="00A5120F">
              <w:t>µ</w:t>
            </w:r>
            <w:r w:rsidRPr="00FE41C1">
              <w:t>g BD</w:t>
            </w:r>
          </w:p>
          <w:p w:rsidR="00AF3D89" w:rsidRPr="00FE41C1" w:rsidRDefault="00AF3D89" w:rsidP="00D43492">
            <w:r w:rsidRPr="00FE41C1">
              <w:t xml:space="preserve">100 </w:t>
            </w:r>
            <w:r w:rsidR="00A5120F">
              <w:t>µ</w:t>
            </w:r>
            <w:r w:rsidRPr="00FE41C1">
              <w:t>g BD</w:t>
            </w:r>
          </w:p>
        </w:tc>
      </w:tr>
      <w:tr w:rsidR="00AF3D89" w:rsidRPr="00F107F4" w:rsidTr="00FE41C1">
        <w:tc>
          <w:tcPr>
            <w:tcW w:w="2895" w:type="dxa"/>
          </w:tcPr>
          <w:p w:rsidR="00AF3D89" w:rsidRPr="00FE41C1" w:rsidRDefault="00D43492" w:rsidP="00D43492">
            <w:r>
              <w:t>Duration of run in period</w:t>
            </w:r>
          </w:p>
        </w:tc>
        <w:tc>
          <w:tcPr>
            <w:tcW w:w="2906" w:type="dxa"/>
          </w:tcPr>
          <w:p w:rsidR="00AF3D89" w:rsidRPr="00FE41C1" w:rsidRDefault="00FE41C1" w:rsidP="00D43492">
            <w:r>
              <w:t xml:space="preserve">5 to </w:t>
            </w:r>
            <w:r w:rsidR="00AF3D89" w:rsidRPr="00FE41C1">
              <w:t>9 days</w:t>
            </w:r>
          </w:p>
        </w:tc>
        <w:tc>
          <w:tcPr>
            <w:tcW w:w="2919" w:type="dxa"/>
          </w:tcPr>
          <w:p w:rsidR="00AF3D89" w:rsidRPr="00FE41C1" w:rsidRDefault="00AF3D89" w:rsidP="00D43492">
            <w:r w:rsidRPr="00FE41C1">
              <w:t xml:space="preserve">14 </w:t>
            </w:r>
            <w:r w:rsidR="00FE41C1">
              <w:t>±</w:t>
            </w:r>
            <w:r w:rsidRPr="00FE41C1">
              <w:t xml:space="preserve"> 3 days</w:t>
            </w:r>
          </w:p>
        </w:tc>
      </w:tr>
      <w:tr w:rsidR="00AF3D89" w:rsidRPr="00F107F4" w:rsidTr="00FE41C1">
        <w:tc>
          <w:tcPr>
            <w:tcW w:w="2895" w:type="dxa"/>
          </w:tcPr>
          <w:p w:rsidR="00AF3D89" w:rsidRPr="00FE41C1" w:rsidRDefault="00D43492" w:rsidP="00D43492">
            <w:r>
              <w:t>Duration of treatment period</w:t>
            </w:r>
          </w:p>
        </w:tc>
        <w:tc>
          <w:tcPr>
            <w:tcW w:w="2906" w:type="dxa"/>
          </w:tcPr>
          <w:p w:rsidR="00AF3D89" w:rsidRPr="00FE41C1" w:rsidRDefault="00AF3D89" w:rsidP="00D43492">
            <w:r w:rsidRPr="00FE41C1">
              <w:t>15 days</w:t>
            </w:r>
          </w:p>
        </w:tc>
        <w:tc>
          <w:tcPr>
            <w:tcW w:w="2919" w:type="dxa"/>
          </w:tcPr>
          <w:p w:rsidR="00AF3D89" w:rsidRPr="00FE41C1" w:rsidRDefault="00AF3D89" w:rsidP="00D43492">
            <w:r w:rsidRPr="00FE41C1">
              <w:t>7 days</w:t>
            </w:r>
          </w:p>
        </w:tc>
      </w:tr>
      <w:tr w:rsidR="00AF3D89" w:rsidRPr="00F107F4" w:rsidTr="00FE41C1">
        <w:tc>
          <w:tcPr>
            <w:tcW w:w="2895" w:type="dxa"/>
          </w:tcPr>
          <w:p w:rsidR="00AF3D89" w:rsidRPr="00FE41C1" w:rsidRDefault="00D43492" w:rsidP="00D43492">
            <w:r>
              <w:t>Washout interval</w:t>
            </w:r>
          </w:p>
        </w:tc>
        <w:tc>
          <w:tcPr>
            <w:tcW w:w="2906" w:type="dxa"/>
          </w:tcPr>
          <w:p w:rsidR="00AF3D89" w:rsidRPr="00FE41C1" w:rsidRDefault="00AF3D89" w:rsidP="00D43492">
            <w:r w:rsidRPr="00FE41C1">
              <w:t>9 days</w:t>
            </w:r>
          </w:p>
        </w:tc>
        <w:tc>
          <w:tcPr>
            <w:tcW w:w="2919" w:type="dxa"/>
          </w:tcPr>
          <w:p w:rsidR="00AF3D89" w:rsidRPr="00FE41C1" w:rsidRDefault="00AF3D89" w:rsidP="00D43492">
            <w:r w:rsidRPr="00FE41C1">
              <w:t>5 days</w:t>
            </w:r>
          </w:p>
        </w:tc>
      </w:tr>
    </w:tbl>
    <w:p w:rsidR="00AF3D89" w:rsidRDefault="00AF3D89" w:rsidP="00D43492">
      <w:r w:rsidRPr="00F107F4">
        <w:t>The primary efficacy variable was Change from baseline in normalised FEV1 area under the curve (AUC) over the 12 hour (h) period immediately after morning study drug administration (AUC</w:t>
      </w:r>
      <w:r w:rsidRPr="00AC200D">
        <w:rPr>
          <w:vertAlign w:val="subscript"/>
        </w:rPr>
        <w:t>0-12</w:t>
      </w:r>
      <w:r w:rsidRPr="00F107F4">
        <w:t xml:space="preserve">) at Day 7 on treatment. The results are </w:t>
      </w:r>
      <w:r w:rsidR="00FE41C1">
        <w:t xml:space="preserve">shown </w:t>
      </w:r>
      <w:r w:rsidR="00C22964">
        <w:t xml:space="preserve">in Table 14 and Figure 6 </w:t>
      </w:r>
      <w:r w:rsidR="00FE41C1">
        <w:t>below.</w:t>
      </w:r>
    </w:p>
    <w:p w:rsidR="00FE41C1" w:rsidRPr="00F107F4" w:rsidRDefault="00FE41C1" w:rsidP="00D43492">
      <w:pPr>
        <w:pStyle w:val="TableTitle"/>
      </w:pPr>
      <w:proofErr w:type="gramStart"/>
      <w:r>
        <w:t>Table</w:t>
      </w:r>
      <w:r w:rsidR="00F27942">
        <w:t xml:space="preserve"> 1</w:t>
      </w:r>
      <w:r w:rsidR="00145C30">
        <w:t>4</w:t>
      </w:r>
      <w:r>
        <w:t>.</w:t>
      </w:r>
      <w:proofErr w:type="gramEnd"/>
      <w:r>
        <w:t xml:space="preserve"> Results from Study </w:t>
      </w:r>
      <w:r w:rsidRPr="00FE41C1">
        <w:rPr>
          <w:sz w:val="20"/>
          <w:szCs w:val="20"/>
        </w:rPr>
        <w:t>M/34273/23</w:t>
      </w:r>
    </w:p>
    <w:tbl>
      <w:tblPr>
        <w:tblStyle w:val="TableTGAblue"/>
        <w:tblW w:w="0" w:type="auto"/>
        <w:tblLook w:val="04A0" w:firstRow="1" w:lastRow="0" w:firstColumn="1" w:lastColumn="0" w:noHBand="0" w:noVBand="1"/>
      </w:tblPr>
      <w:tblGrid>
        <w:gridCol w:w="3369"/>
        <w:gridCol w:w="2493"/>
        <w:gridCol w:w="2858"/>
      </w:tblGrid>
      <w:tr w:rsidR="00AF3D89" w:rsidRPr="00F107F4" w:rsidTr="00FE41C1">
        <w:trPr>
          <w:cnfStyle w:val="100000000000" w:firstRow="1" w:lastRow="0" w:firstColumn="0" w:lastColumn="0" w:oddVBand="0" w:evenVBand="0" w:oddHBand="0" w:evenHBand="0" w:firstRowFirstColumn="0" w:firstRowLastColumn="0" w:lastRowFirstColumn="0" w:lastRowLastColumn="0"/>
        </w:trPr>
        <w:tc>
          <w:tcPr>
            <w:tcW w:w="3369" w:type="dxa"/>
          </w:tcPr>
          <w:p w:rsidR="00AF3D89" w:rsidRPr="00FE41C1" w:rsidRDefault="00AF3D89" w:rsidP="00D43492">
            <w:r w:rsidRPr="00FE41C1">
              <w:t>Trial M/34273/23 (Day 15)</w:t>
            </w:r>
          </w:p>
        </w:tc>
        <w:tc>
          <w:tcPr>
            <w:tcW w:w="2493" w:type="dxa"/>
          </w:tcPr>
          <w:p w:rsidR="00AF3D89" w:rsidRPr="00FE41C1" w:rsidRDefault="00AF3D89" w:rsidP="00D43492">
            <w:r w:rsidRPr="00FE41C1">
              <w:t>LS Mean</w:t>
            </w:r>
          </w:p>
        </w:tc>
        <w:tc>
          <w:tcPr>
            <w:tcW w:w="2858" w:type="dxa"/>
          </w:tcPr>
          <w:p w:rsidR="00AF3D89" w:rsidRPr="00FE41C1" w:rsidRDefault="00AF3D89" w:rsidP="00D43492">
            <w:r w:rsidRPr="00FE41C1">
              <w:t>p-value</w:t>
            </w:r>
          </w:p>
        </w:tc>
      </w:tr>
      <w:tr w:rsidR="00AF3D89" w:rsidRPr="00F107F4" w:rsidTr="00FE41C1">
        <w:tc>
          <w:tcPr>
            <w:tcW w:w="3369" w:type="dxa"/>
          </w:tcPr>
          <w:p w:rsidR="00AF3D89" w:rsidRPr="00FE41C1" w:rsidRDefault="00AF3D89" w:rsidP="00D43492">
            <w:r w:rsidRPr="00FE41C1">
              <w:t xml:space="preserve">A 400 </w:t>
            </w:r>
            <w:r w:rsidR="00A5120F">
              <w:t>µ</w:t>
            </w:r>
            <w:r w:rsidRPr="00FE41C1">
              <w:t>g v</w:t>
            </w:r>
            <w:r w:rsidR="00FE41C1">
              <w:t>ersu</w:t>
            </w:r>
            <w:r w:rsidR="00D43492">
              <w:t>s P</w:t>
            </w:r>
          </w:p>
        </w:tc>
        <w:tc>
          <w:tcPr>
            <w:tcW w:w="2493" w:type="dxa"/>
          </w:tcPr>
          <w:p w:rsidR="00AF3D89" w:rsidRPr="00FE41C1" w:rsidRDefault="00AF3D89" w:rsidP="00D43492">
            <w:r w:rsidRPr="00FE41C1">
              <w:t>0.221</w:t>
            </w:r>
          </w:p>
        </w:tc>
        <w:tc>
          <w:tcPr>
            <w:tcW w:w="2858" w:type="dxa"/>
          </w:tcPr>
          <w:p w:rsidR="00AF3D89" w:rsidRPr="00FE41C1" w:rsidRDefault="00AF3D89" w:rsidP="00D43492">
            <w:r w:rsidRPr="00FE41C1">
              <w:t>&lt;0.0001</w:t>
            </w:r>
          </w:p>
        </w:tc>
      </w:tr>
      <w:tr w:rsidR="00AF3D89" w:rsidRPr="00F107F4" w:rsidTr="00FE41C1">
        <w:tc>
          <w:tcPr>
            <w:tcW w:w="3369" w:type="dxa"/>
          </w:tcPr>
          <w:p w:rsidR="00AF3D89" w:rsidRPr="00FE41C1" w:rsidRDefault="00AF3D89" w:rsidP="00D43492">
            <w:r w:rsidRPr="00FE41C1">
              <w:t>Tio v</w:t>
            </w:r>
            <w:r w:rsidR="00FE41C1">
              <w:t>ersu</w:t>
            </w:r>
            <w:r w:rsidRPr="00FE41C1">
              <w:t>s P</w:t>
            </w:r>
          </w:p>
        </w:tc>
        <w:tc>
          <w:tcPr>
            <w:tcW w:w="2493" w:type="dxa"/>
          </w:tcPr>
          <w:p w:rsidR="00AF3D89" w:rsidRPr="00FE41C1" w:rsidRDefault="00AF3D89" w:rsidP="00D43492">
            <w:r w:rsidRPr="00FE41C1">
              <w:t>0.244</w:t>
            </w:r>
          </w:p>
        </w:tc>
        <w:tc>
          <w:tcPr>
            <w:tcW w:w="2858" w:type="dxa"/>
          </w:tcPr>
          <w:p w:rsidR="00AF3D89" w:rsidRPr="00FE41C1" w:rsidRDefault="00AF3D89" w:rsidP="00D43492">
            <w:r w:rsidRPr="00FE41C1">
              <w:t>&lt;0.0001</w:t>
            </w:r>
          </w:p>
        </w:tc>
      </w:tr>
      <w:tr w:rsidR="00AF3D89" w:rsidRPr="00F107F4" w:rsidTr="00FE41C1">
        <w:tc>
          <w:tcPr>
            <w:tcW w:w="3369" w:type="dxa"/>
          </w:tcPr>
          <w:p w:rsidR="00AF3D89" w:rsidRPr="00FE41C1" w:rsidRDefault="00AF3D89" w:rsidP="00D43492">
            <w:r w:rsidRPr="00FE41C1">
              <w:t xml:space="preserve">A 400 </w:t>
            </w:r>
            <w:r w:rsidR="00A5120F">
              <w:t>µ</w:t>
            </w:r>
            <w:r w:rsidRPr="00FE41C1">
              <w:t>g v</w:t>
            </w:r>
            <w:r w:rsidR="00FE41C1">
              <w:t>ersu</w:t>
            </w:r>
            <w:r w:rsidRPr="00FE41C1">
              <w:t>s Tio</w:t>
            </w:r>
          </w:p>
        </w:tc>
        <w:tc>
          <w:tcPr>
            <w:tcW w:w="2493" w:type="dxa"/>
          </w:tcPr>
          <w:p w:rsidR="00AF3D89" w:rsidRPr="00FE41C1" w:rsidRDefault="00AF3D89" w:rsidP="00D43492">
            <w:r w:rsidRPr="00FE41C1">
              <w:t>0.023</w:t>
            </w:r>
          </w:p>
        </w:tc>
        <w:tc>
          <w:tcPr>
            <w:tcW w:w="2858" w:type="dxa"/>
          </w:tcPr>
          <w:p w:rsidR="00AF3D89" w:rsidRPr="00FE41C1" w:rsidRDefault="00AF3D89" w:rsidP="00D43492">
            <w:r w:rsidRPr="00FE41C1">
              <w:t>0.572</w:t>
            </w:r>
          </w:p>
        </w:tc>
      </w:tr>
      <w:tr w:rsidR="00AF3D89" w:rsidRPr="00F107F4" w:rsidTr="00FE41C1">
        <w:tc>
          <w:tcPr>
            <w:tcW w:w="3369" w:type="dxa"/>
          </w:tcPr>
          <w:p w:rsidR="00AF3D89" w:rsidRPr="00FE41C1" w:rsidRDefault="00AF3D89" w:rsidP="00D43492">
            <w:r w:rsidRPr="00FE41C1">
              <w:t>Trial M/34273/29 (Day 7)</w:t>
            </w:r>
          </w:p>
        </w:tc>
        <w:tc>
          <w:tcPr>
            <w:tcW w:w="2493" w:type="dxa"/>
          </w:tcPr>
          <w:p w:rsidR="00AF3D89" w:rsidRPr="00FE41C1" w:rsidRDefault="00AF3D89" w:rsidP="00D43492"/>
        </w:tc>
        <w:tc>
          <w:tcPr>
            <w:tcW w:w="2858" w:type="dxa"/>
          </w:tcPr>
          <w:p w:rsidR="00AF3D89" w:rsidRPr="00FE41C1" w:rsidRDefault="00AF3D89" w:rsidP="00D43492"/>
        </w:tc>
      </w:tr>
      <w:tr w:rsidR="00AF3D89" w:rsidRPr="00F107F4" w:rsidTr="00FE41C1">
        <w:tc>
          <w:tcPr>
            <w:tcW w:w="3369" w:type="dxa"/>
          </w:tcPr>
          <w:p w:rsidR="00AF3D89" w:rsidRPr="00FE41C1" w:rsidRDefault="00AF3D89" w:rsidP="00D43492">
            <w:r w:rsidRPr="00FE41C1">
              <w:t xml:space="preserve">A 400 </w:t>
            </w:r>
            <w:r w:rsidR="00A5120F">
              <w:t>µ</w:t>
            </w:r>
            <w:r w:rsidRPr="00FE41C1">
              <w:t>g v</w:t>
            </w:r>
            <w:r w:rsidR="00FE41C1">
              <w:t>ersu</w:t>
            </w:r>
            <w:r w:rsidRPr="00FE41C1">
              <w:t xml:space="preserve">s P </w:t>
            </w:r>
          </w:p>
        </w:tc>
        <w:tc>
          <w:tcPr>
            <w:tcW w:w="2493" w:type="dxa"/>
          </w:tcPr>
          <w:p w:rsidR="00AF3D89" w:rsidRPr="00FE41C1" w:rsidRDefault="00AF3D89" w:rsidP="00D43492">
            <w:r w:rsidRPr="00FE41C1">
              <w:t>0.208</w:t>
            </w:r>
          </w:p>
        </w:tc>
        <w:tc>
          <w:tcPr>
            <w:tcW w:w="2858" w:type="dxa"/>
          </w:tcPr>
          <w:p w:rsidR="00AF3D89" w:rsidRPr="00FE41C1" w:rsidRDefault="00AF3D89" w:rsidP="00D43492">
            <w:r w:rsidRPr="00FE41C1">
              <w:t>&lt;0.0001</w:t>
            </w:r>
          </w:p>
        </w:tc>
      </w:tr>
      <w:tr w:rsidR="00AF3D89" w:rsidRPr="00F107F4" w:rsidTr="00FE41C1">
        <w:tc>
          <w:tcPr>
            <w:tcW w:w="3369" w:type="dxa"/>
          </w:tcPr>
          <w:p w:rsidR="00AF3D89" w:rsidRPr="00FE41C1" w:rsidRDefault="00AF3D89" w:rsidP="00D43492">
            <w:r w:rsidRPr="00FE41C1">
              <w:t xml:space="preserve">A 200 </w:t>
            </w:r>
            <w:r w:rsidR="00A5120F">
              <w:t>µ</w:t>
            </w:r>
            <w:r w:rsidRPr="00FE41C1">
              <w:t>g v</w:t>
            </w:r>
            <w:r w:rsidR="00FE41C1">
              <w:t>ersu</w:t>
            </w:r>
            <w:r w:rsidRPr="00FE41C1">
              <w:t>s P</w:t>
            </w:r>
          </w:p>
        </w:tc>
        <w:tc>
          <w:tcPr>
            <w:tcW w:w="2493" w:type="dxa"/>
          </w:tcPr>
          <w:p w:rsidR="00AF3D89" w:rsidRPr="00FE41C1" w:rsidRDefault="00AF3D89" w:rsidP="00D43492">
            <w:r w:rsidRPr="00FE41C1">
              <w:t>0.176</w:t>
            </w:r>
          </w:p>
        </w:tc>
        <w:tc>
          <w:tcPr>
            <w:tcW w:w="2858" w:type="dxa"/>
          </w:tcPr>
          <w:p w:rsidR="00AF3D89" w:rsidRPr="00FE41C1" w:rsidRDefault="00AF3D89" w:rsidP="00D43492">
            <w:r w:rsidRPr="00FE41C1">
              <w:t>&lt;0.0001</w:t>
            </w:r>
          </w:p>
        </w:tc>
      </w:tr>
      <w:tr w:rsidR="00AF3D89" w:rsidRPr="00F107F4" w:rsidTr="00FE41C1">
        <w:tc>
          <w:tcPr>
            <w:tcW w:w="3369" w:type="dxa"/>
          </w:tcPr>
          <w:p w:rsidR="00AF3D89" w:rsidRPr="00FE41C1" w:rsidRDefault="00AF3D89" w:rsidP="00D43492">
            <w:r w:rsidRPr="00FE41C1">
              <w:t xml:space="preserve">A 100 </w:t>
            </w:r>
            <w:r w:rsidR="00A5120F">
              <w:t>µ</w:t>
            </w:r>
            <w:r w:rsidRPr="00FE41C1">
              <w:t>g v</w:t>
            </w:r>
            <w:r w:rsidR="00FE41C1">
              <w:t>ersu</w:t>
            </w:r>
            <w:r w:rsidRPr="00FE41C1">
              <w:t>s P</w:t>
            </w:r>
          </w:p>
        </w:tc>
        <w:tc>
          <w:tcPr>
            <w:tcW w:w="2493" w:type="dxa"/>
          </w:tcPr>
          <w:p w:rsidR="00AF3D89" w:rsidRPr="00FE41C1" w:rsidRDefault="00AF3D89" w:rsidP="00D43492">
            <w:r w:rsidRPr="00FE41C1">
              <w:t>0.154</w:t>
            </w:r>
          </w:p>
        </w:tc>
        <w:tc>
          <w:tcPr>
            <w:tcW w:w="2858" w:type="dxa"/>
          </w:tcPr>
          <w:p w:rsidR="00AF3D89" w:rsidRPr="00FE41C1" w:rsidRDefault="00AF3D89" w:rsidP="00D43492">
            <w:r w:rsidRPr="00FE41C1">
              <w:t>&lt;0.0001</w:t>
            </w:r>
          </w:p>
        </w:tc>
      </w:tr>
      <w:tr w:rsidR="00AF3D89" w:rsidRPr="00F107F4" w:rsidTr="00FE41C1">
        <w:tc>
          <w:tcPr>
            <w:tcW w:w="3369" w:type="dxa"/>
          </w:tcPr>
          <w:p w:rsidR="00AF3D89" w:rsidRPr="00FE41C1" w:rsidRDefault="00AF3D89" w:rsidP="00D43492">
            <w:r w:rsidRPr="00FE41C1">
              <w:t>F v</w:t>
            </w:r>
            <w:r w:rsidR="00FE41C1">
              <w:t>ersu</w:t>
            </w:r>
            <w:r w:rsidRPr="00FE41C1">
              <w:t>s P</w:t>
            </w:r>
          </w:p>
        </w:tc>
        <w:tc>
          <w:tcPr>
            <w:tcW w:w="2493" w:type="dxa"/>
          </w:tcPr>
          <w:p w:rsidR="00AF3D89" w:rsidRPr="00FE41C1" w:rsidRDefault="00AF3D89" w:rsidP="00D43492">
            <w:r w:rsidRPr="00FE41C1">
              <w:t>0.210</w:t>
            </w:r>
          </w:p>
        </w:tc>
        <w:tc>
          <w:tcPr>
            <w:tcW w:w="2858" w:type="dxa"/>
          </w:tcPr>
          <w:p w:rsidR="00AF3D89" w:rsidRPr="00FE41C1" w:rsidRDefault="00AF3D89" w:rsidP="00D43492">
            <w:r w:rsidRPr="00FE41C1">
              <w:t>&lt;0.0001</w:t>
            </w:r>
          </w:p>
        </w:tc>
      </w:tr>
    </w:tbl>
    <w:p w:rsidR="00AF3D89" w:rsidRDefault="00AF3D89" w:rsidP="00D43492">
      <w:pPr>
        <w:pStyle w:val="TableDescription"/>
      </w:pPr>
      <w:r w:rsidRPr="00FE41C1">
        <w:t xml:space="preserve">A=aclidinium; F=formoterol 12 </w:t>
      </w:r>
      <w:r w:rsidR="00A5120F">
        <w:t>µ</w:t>
      </w:r>
      <w:r w:rsidRPr="00FE41C1">
        <w:t>g BD, p=placebo;</w:t>
      </w:r>
      <w:r w:rsidR="00E74309">
        <w:t xml:space="preserve"> </w:t>
      </w:r>
      <w:r w:rsidRPr="00FE41C1">
        <w:t>tio=tiotropium; p-values from ANCOVA analysis.</w:t>
      </w:r>
    </w:p>
    <w:p w:rsidR="003B2EC6" w:rsidRPr="00FE41C1" w:rsidRDefault="003B2EC6" w:rsidP="00D43492">
      <w:pPr>
        <w:pStyle w:val="FigureTitle"/>
      </w:pPr>
      <w:proofErr w:type="gramStart"/>
      <w:r>
        <w:t>Figure 6.</w:t>
      </w:r>
      <w:proofErr w:type="gramEnd"/>
      <w:r>
        <w:t xml:space="preserve"> Data from Study </w:t>
      </w:r>
      <w:r w:rsidRPr="00FE41C1">
        <w:t>M/34273/23</w:t>
      </w:r>
      <w:r>
        <w:t xml:space="preserve"> Trial M/34273/</w:t>
      </w:r>
      <w:r w:rsidRPr="00D43492">
        <w:t>23</w:t>
      </w:r>
      <w:r>
        <w:t xml:space="preserve"> (Day 15)</w:t>
      </w:r>
    </w:p>
    <w:p w:rsidR="003B2EC6" w:rsidRDefault="003B2EC6" w:rsidP="00D43492">
      <w:pPr>
        <w:rPr>
          <w:sz w:val="20"/>
          <w:szCs w:val="20"/>
        </w:rPr>
      </w:pPr>
      <w:r>
        <w:rPr>
          <w:noProof/>
          <w:lang w:eastAsia="en-AU"/>
        </w:rPr>
        <w:drawing>
          <wp:inline distT="0" distB="0" distL="0" distR="0" wp14:anchorId="03C82A1C" wp14:editId="3104190A">
            <wp:extent cx="4572000" cy="3038475"/>
            <wp:effectExtent l="0" t="0" r="0" b="0"/>
            <wp:docPr id="16" name="Picture 16" descr="Figure 6. Data from Study M/34273/23 Trial M/34273/23 (Da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b="45800"/>
                    <a:stretch/>
                  </pic:blipFill>
                  <pic:spPr bwMode="auto">
                    <a:xfrm>
                      <a:off x="0" y="0"/>
                      <a:ext cx="4572000" cy="3038475"/>
                    </a:xfrm>
                    <a:prstGeom prst="rect">
                      <a:avLst/>
                    </a:prstGeom>
                    <a:ln>
                      <a:noFill/>
                    </a:ln>
                    <a:extLst>
                      <a:ext uri="{53640926-AAD7-44D8-BBD7-CCE9431645EC}">
                        <a14:shadowObscured xmlns:a14="http://schemas.microsoft.com/office/drawing/2010/main"/>
                      </a:ext>
                    </a:extLst>
                  </pic:spPr>
                </pic:pic>
              </a:graphicData>
            </a:graphic>
          </wp:inline>
        </w:drawing>
      </w:r>
    </w:p>
    <w:p w:rsidR="00A5120F" w:rsidRPr="00FE41C1" w:rsidRDefault="00FE41C1" w:rsidP="00D43492">
      <w:pPr>
        <w:pStyle w:val="FigureTitle"/>
      </w:pPr>
      <w:r>
        <w:t>Figure</w:t>
      </w:r>
      <w:r w:rsidR="00F27942">
        <w:t xml:space="preserve"> 6</w:t>
      </w:r>
      <w:r w:rsidR="003B2EC6">
        <w:t xml:space="preserve"> continued</w:t>
      </w:r>
      <w:r>
        <w:t xml:space="preserve">. Data from Study </w:t>
      </w:r>
      <w:r w:rsidRPr="00FE41C1">
        <w:t>M/34273/23</w:t>
      </w:r>
      <w:r w:rsidR="00145C30">
        <w:t xml:space="preserve"> </w:t>
      </w:r>
      <w:r w:rsidR="00A5120F">
        <w:t>Trial M/34273/23 (</w:t>
      </w:r>
      <w:r w:rsidR="00A5120F" w:rsidRPr="00D43492">
        <w:t>Day</w:t>
      </w:r>
      <w:r w:rsidR="00A5120F">
        <w:t xml:space="preserve"> 15)</w:t>
      </w:r>
    </w:p>
    <w:p w:rsidR="00AF3D89" w:rsidRPr="00F107F4" w:rsidRDefault="00145C30" w:rsidP="00D43492">
      <w:pPr>
        <w:rPr>
          <w:b/>
        </w:rPr>
      </w:pPr>
      <w:r>
        <w:rPr>
          <w:noProof/>
          <w:lang w:eastAsia="en-AU"/>
        </w:rPr>
        <w:drawing>
          <wp:inline distT="0" distB="0" distL="0" distR="0" wp14:anchorId="05415633" wp14:editId="36949388">
            <wp:extent cx="4572000" cy="2519923"/>
            <wp:effectExtent l="0" t="0" r="0" b="0"/>
            <wp:docPr id="6" name="Picture 6" descr="Figure 6 continued. Data from Study M/34273/23 Trial M/34273/23 (Da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55050"/>
                    <a:stretch/>
                  </pic:blipFill>
                  <pic:spPr bwMode="auto">
                    <a:xfrm>
                      <a:off x="0" y="0"/>
                      <a:ext cx="4572000" cy="2519923"/>
                    </a:xfrm>
                    <a:prstGeom prst="rect">
                      <a:avLst/>
                    </a:prstGeom>
                    <a:ln>
                      <a:noFill/>
                    </a:ln>
                    <a:extLst>
                      <a:ext uri="{53640926-AAD7-44D8-BBD7-CCE9431645EC}">
                        <a14:shadowObscured xmlns:a14="http://schemas.microsoft.com/office/drawing/2010/main"/>
                      </a:ext>
                    </a:extLst>
                  </pic:spPr>
                </pic:pic>
              </a:graphicData>
            </a:graphic>
          </wp:inline>
        </w:drawing>
      </w:r>
    </w:p>
    <w:p w:rsidR="00AF3D89" w:rsidRPr="00F107F4" w:rsidRDefault="00AF3D89" w:rsidP="00D43492">
      <w:r w:rsidRPr="00F107F4">
        <w:t xml:space="preserve">These data support the proposed dose of 400 </w:t>
      </w:r>
      <w:r w:rsidR="00A5120F">
        <w:t>µ</w:t>
      </w:r>
      <w:r w:rsidR="00FE41C1">
        <w:t>g BD for the Phase III</w:t>
      </w:r>
      <w:r w:rsidR="00D43492">
        <w:t xml:space="preserve"> studies.</w:t>
      </w:r>
    </w:p>
    <w:p w:rsidR="00FE41C1" w:rsidRPr="00D43492" w:rsidRDefault="00D43492" w:rsidP="00D43492">
      <w:pPr>
        <w:pStyle w:val="Heading4"/>
      </w:pPr>
      <w:r>
        <w:t>Efficacy studies</w:t>
      </w:r>
    </w:p>
    <w:p w:rsidR="00AF3D89" w:rsidRPr="00F107F4" w:rsidRDefault="00AF3D89" w:rsidP="00D43492">
      <w:r w:rsidRPr="00F107F4">
        <w:t xml:space="preserve">There were 3 efficacy studies that will be considered </w:t>
      </w:r>
      <w:r w:rsidR="00FE41C1">
        <w:t xml:space="preserve">which </w:t>
      </w:r>
      <w:r w:rsidRPr="00F107F4">
        <w:t>used the proposed dosing regimen and is considered ahead of the other studies. (The evaluator considers them pivotal however only one study (</w:t>
      </w:r>
      <w:r w:rsidRPr="00FE41C1">
        <w:t>M/34273/34</w:t>
      </w:r>
      <w:r w:rsidRPr="00F107F4">
        <w:t xml:space="preserve">) is of the </w:t>
      </w:r>
      <w:r w:rsidR="00A5120F" w:rsidRPr="00F107F4">
        <w:t xml:space="preserve">recommended </w:t>
      </w:r>
      <w:r w:rsidRPr="00F107F4">
        <w:t xml:space="preserve">duration (6 months) </w:t>
      </w:r>
      <w:r w:rsidR="00A5120F">
        <w:t>for</w:t>
      </w:r>
      <w:r w:rsidRPr="00F107F4">
        <w:t xml:space="preserve"> the chronic treatment of patients with COPD</w:t>
      </w:r>
      <w:bookmarkStart w:id="193" w:name="_Ref390765024"/>
      <w:r w:rsidR="00AC200D">
        <w:rPr>
          <w:rStyle w:val="FootnoteReference"/>
        </w:rPr>
        <w:footnoteReference w:id="26"/>
      </w:r>
      <w:bookmarkEnd w:id="193"/>
      <w:r w:rsidRPr="00F107F4">
        <w:t xml:space="preserve">. The basic design is given </w:t>
      </w:r>
      <w:r w:rsidR="00C22964">
        <w:t xml:space="preserve">in Table 15 </w:t>
      </w:r>
      <w:r w:rsidR="00D43492">
        <w:t>below.</w:t>
      </w:r>
    </w:p>
    <w:p w:rsidR="00AF3D89" w:rsidRDefault="00AF3D89" w:rsidP="00D43492">
      <w:r w:rsidRPr="00F107F4">
        <w:t>The design of these studies was similar with the main diffe</w:t>
      </w:r>
      <w:r w:rsidR="00D43492">
        <w:t>rence relating to the duration.</w:t>
      </w:r>
    </w:p>
    <w:p w:rsidR="00FE41C1" w:rsidRPr="00D43492" w:rsidRDefault="00FE41C1" w:rsidP="00D43492">
      <w:pPr>
        <w:pStyle w:val="TableTitle"/>
      </w:pPr>
      <w:proofErr w:type="gramStart"/>
      <w:r>
        <w:t>Table</w:t>
      </w:r>
      <w:r w:rsidR="00F27942">
        <w:t xml:space="preserve"> 1</w:t>
      </w:r>
      <w:r w:rsidR="00145C30">
        <w:t>5</w:t>
      </w:r>
      <w:r>
        <w:t>.</w:t>
      </w:r>
      <w:proofErr w:type="gramEnd"/>
      <w:r>
        <w:t xml:space="preserve"> </w:t>
      </w:r>
      <w:r w:rsidR="0090353D">
        <w:t>A comparison of the d</w:t>
      </w:r>
      <w:r>
        <w:t xml:space="preserve">esign </w:t>
      </w:r>
      <w:r w:rsidR="0090353D">
        <w:t>used in the three</w:t>
      </w:r>
      <w:r>
        <w:t xml:space="preserve"> studies</w:t>
      </w:r>
    </w:p>
    <w:tbl>
      <w:tblPr>
        <w:tblStyle w:val="TableTGAblue"/>
        <w:tblW w:w="0" w:type="auto"/>
        <w:tblInd w:w="108" w:type="dxa"/>
        <w:tblLayout w:type="fixed"/>
        <w:tblLook w:val="04A0" w:firstRow="1" w:lastRow="0" w:firstColumn="1" w:lastColumn="0" w:noHBand="0" w:noVBand="1"/>
      </w:tblPr>
      <w:tblGrid>
        <w:gridCol w:w="993"/>
        <w:gridCol w:w="992"/>
        <w:gridCol w:w="1134"/>
        <w:gridCol w:w="1134"/>
        <w:gridCol w:w="1417"/>
        <w:gridCol w:w="733"/>
        <w:gridCol w:w="1110"/>
        <w:gridCol w:w="1099"/>
      </w:tblGrid>
      <w:tr w:rsidR="00AF3D89" w:rsidRPr="00F107F4" w:rsidTr="00D43492">
        <w:trPr>
          <w:cnfStyle w:val="100000000000" w:firstRow="1" w:lastRow="0" w:firstColumn="0" w:lastColumn="0" w:oddVBand="0" w:evenVBand="0" w:oddHBand="0" w:evenHBand="0" w:firstRowFirstColumn="0" w:firstRowLastColumn="0" w:lastRowFirstColumn="0" w:lastRowLastColumn="0"/>
        </w:trPr>
        <w:tc>
          <w:tcPr>
            <w:tcW w:w="993" w:type="dxa"/>
            <w:vMerge w:val="restart"/>
          </w:tcPr>
          <w:p w:rsidR="00AF3D89" w:rsidRPr="00FE41C1" w:rsidRDefault="00AF3D89" w:rsidP="00D43492">
            <w:pPr>
              <w:ind w:left="0" w:right="34"/>
            </w:pPr>
            <w:r w:rsidRPr="00FE41C1">
              <w:t>Study</w:t>
            </w:r>
          </w:p>
        </w:tc>
        <w:tc>
          <w:tcPr>
            <w:tcW w:w="992" w:type="dxa"/>
            <w:vMerge w:val="restart"/>
          </w:tcPr>
          <w:p w:rsidR="00AF3D89" w:rsidRPr="00FE41C1" w:rsidRDefault="00FE41C1" w:rsidP="00D43492">
            <w:pPr>
              <w:ind w:left="33" w:right="34"/>
            </w:pPr>
            <w:r>
              <w:t>D</w:t>
            </w:r>
            <w:r w:rsidR="00AF3D89" w:rsidRPr="00FE41C1">
              <w:t xml:space="preserve">ose </w:t>
            </w:r>
            <w:r w:rsidR="00A5120F">
              <w:t>µ</w:t>
            </w:r>
            <w:r w:rsidR="00AF3D89" w:rsidRPr="00FE41C1">
              <w:t>g BD</w:t>
            </w:r>
          </w:p>
        </w:tc>
        <w:tc>
          <w:tcPr>
            <w:tcW w:w="1134" w:type="dxa"/>
            <w:vMerge w:val="restart"/>
          </w:tcPr>
          <w:p w:rsidR="00AF3D89" w:rsidRPr="00FE41C1" w:rsidRDefault="00AF3D89" w:rsidP="00D43492">
            <w:pPr>
              <w:ind w:left="34" w:right="34"/>
            </w:pPr>
            <w:r w:rsidRPr="00FE41C1">
              <w:t>Design</w:t>
            </w:r>
          </w:p>
        </w:tc>
        <w:tc>
          <w:tcPr>
            <w:tcW w:w="1134" w:type="dxa"/>
            <w:vMerge w:val="restart"/>
          </w:tcPr>
          <w:p w:rsidR="00AF3D89" w:rsidRPr="00FE41C1" w:rsidRDefault="00AF3D89" w:rsidP="00D43492">
            <w:pPr>
              <w:ind w:left="34" w:right="34"/>
            </w:pPr>
            <w:r w:rsidRPr="00FE41C1">
              <w:t>Control</w:t>
            </w:r>
          </w:p>
        </w:tc>
        <w:tc>
          <w:tcPr>
            <w:tcW w:w="1417" w:type="dxa"/>
            <w:vMerge w:val="restart"/>
          </w:tcPr>
          <w:p w:rsidR="00AF3D89" w:rsidRPr="00FE41C1" w:rsidRDefault="00AF3D89" w:rsidP="00D43492">
            <w:pPr>
              <w:ind w:left="34" w:right="33"/>
            </w:pPr>
            <w:r w:rsidRPr="00FE41C1">
              <w:t>Treatment duration</w:t>
            </w:r>
          </w:p>
        </w:tc>
        <w:tc>
          <w:tcPr>
            <w:tcW w:w="733" w:type="dxa"/>
            <w:vMerge w:val="restart"/>
          </w:tcPr>
          <w:p w:rsidR="00AF3D89" w:rsidRPr="00FE41C1" w:rsidRDefault="00AF3D89" w:rsidP="00D43492">
            <w:pPr>
              <w:ind w:left="34" w:right="58"/>
            </w:pPr>
            <w:r w:rsidRPr="00FE41C1">
              <w:t>N</w:t>
            </w:r>
          </w:p>
        </w:tc>
        <w:tc>
          <w:tcPr>
            <w:tcW w:w="2209" w:type="dxa"/>
            <w:gridSpan w:val="2"/>
          </w:tcPr>
          <w:p w:rsidR="00AF3D89" w:rsidRPr="00FE41C1" w:rsidRDefault="00AF3D89" w:rsidP="00D43492">
            <w:pPr>
              <w:ind w:left="10" w:right="34"/>
            </w:pPr>
            <w:r w:rsidRPr="00FE41C1">
              <w:t>Variables</w:t>
            </w:r>
          </w:p>
        </w:tc>
      </w:tr>
      <w:tr w:rsidR="00AF3D89" w:rsidRPr="00F107F4" w:rsidTr="00D43492">
        <w:trPr>
          <w:cnfStyle w:val="100000000000" w:firstRow="1" w:lastRow="0" w:firstColumn="0" w:lastColumn="0" w:oddVBand="0" w:evenVBand="0" w:oddHBand="0" w:evenHBand="0" w:firstRowFirstColumn="0" w:firstRowLastColumn="0" w:lastRowFirstColumn="0" w:lastRowLastColumn="0"/>
        </w:trPr>
        <w:tc>
          <w:tcPr>
            <w:tcW w:w="993" w:type="dxa"/>
            <w:vMerge/>
          </w:tcPr>
          <w:p w:rsidR="00AF3D89" w:rsidRPr="00FE41C1" w:rsidRDefault="00AF3D89" w:rsidP="00D43492">
            <w:pPr>
              <w:ind w:left="0" w:right="34"/>
            </w:pPr>
          </w:p>
        </w:tc>
        <w:tc>
          <w:tcPr>
            <w:tcW w:w="992" w:type="dxa"/>
            <w:vMerge/>
          </w:tcPr>
          <w:p w:rsidR="00AF3D89" w:rsidRPr="00FE41C1" w:rsidRDefault="00AF3D89" w:rsidP="00D43492">
            <w:pPr>
              <w:ind w:left="33" w:right="34"/>
            </w:pPr>
          </w:p>
        </w:tc>
        <w:tc>
          <w:tcPr>
            <w:tcW w:w="1134" w:type="dxa"/>
            <w:vMerge/>
          </w:tcPr>
          <w:p w:rsidR="00AF3D89" w:rsidRPr="00FE41C1" w:rsidRDefault="00AF3D89" w:rsidP="00D43492">
            <w:pPr>
              <w:ind w:left="34" w:right="34"/>
            </w:pPr>
          </w:p>
        </w:tc>
        <w:tc>
          <w:tcPr>
            <w:tcW w:w="1134" w:type="dxa"/>
            <w:vMerge/>
          </w:tcPr>
          <w:p w:rsidR="00AF3D89" w:rsidRPr="00FE41C1" w:rsidRDefault="00AF3D89" w:rsidP="00D43492">
            <w:pPr>
              <w:ind w:left="34" w:right="34"/>
            </w:pPr>
          </w:p>
        </w:tc>
        <w:tc>
          <w:tcPr>
            <w:tcW w:w="1417" w:type="dxa"/>
            <w:vMerge/>
          </w:tcPr>
          <w:p w:rsidR="00AF3D89" w:rsidRPr="00FE41C1" w:rsidRDefault="00AF3D89" w:rsidP="00D43492">
            <w:pPr>
              <w:ind w:left="34" w:right="33"/>
            </w:pPr>
          </w:p>
        </w:tc>
        <w:tc>
          <w:tcPr>
            <w:tcW w:w="733" w:type="dxa"/>
            <w:vMerge/>
          </w:tcPr>
          <w:p w:rsidR="00AF3D89" w:rsidRPr="00FE41C1" w:rsidRDefault="00AF3D89" w:rsidP="00D43492">
            <w:pPr>
              <w:ind w:left="34" w:right="58"/>
            </w:pPr>
          </w:p>
        </w:tc>
        <w:tc>
          <w:tcPr>
            <w:tcW w:w="1110" w:type="dxa"/>
          </w:tcPr>
          <w:p w:rsidR="00AF3D89" w:rsidRPr="00FE41C1" w:rsidRDefault="0090353D" w:rsidP="00D43492">
            <w:pPr>
              <w:ind w:left="10" w:right="34"/>
            </w:pPr>
            <w:r>
              <w:t>1</w:t>
            </w:r>
            <w:r w:rsidRPr="0090353D">
              <w:rPr>
                <w:vertAlign w:val="superscript"/>
              </w:rPr>
              <w:t>o</w:t>
            </w:r>
          </w:p>
        </w:tc>
        <w:tc>
          <w:tcPr>
            <w:tcW w:w="1099" w:type="dxa"/>
          </w:tcPr>
          <w:p w:rsidR="00AF3D89" w:rsidRPr="00FE41C1" w:rsidRDefault="0090353D" w:rsidP="00D43492">
            <w:pPr>
              <w:ind w:left="10" w:right="34"/>
            </w:pPr>
            <w:r>
              <w:t>2</w:t>
            </w:r>
            <w:r w:rsidRPr="0090353D">
              <w:rPr>
                <w:vertAlign w:val="superscript"/>
              </w:rPr>
              <w:t>O</w:t>
            </w:r>
            <w:r w:rsidR="00AF3D89" w:rsidRPr="00FE41C1">
              <w:t>*</w:t>
            </w:r>
          </w:p>
        </w:tc>
      </w:tr>
      <w:tr w:rsidR="00AF3D89" w:rsidRPr="00F107F4" w:rsidTr="00551E66">
        <w:tc>
          <w:tcPr>
            <w:tcW w:w="993" w:type="dxa"/>
          </w:tcPr>
          <w:p w:rsidR="00AF3D89" w:rsidRPr="00FE41C1" w:rsidRDefault="00AF3D89" w:rsidP="00D43492">
            <w:pPr>
              <w:ind w:left="0" w:right="34"/>
            </w:pPr>
            <w:r w:rsidRPr="00FE41C1">
              <w:t>M/34273/34:</w:t>
            </w:r>
          </w:p>
        </w:tc>
        <w:tc>
          <w:tcPr>
            <w:tcW w:w="992" w:type="dxa"/>
          </w:tcPr>
          <w:p w:rsidR="00AF3D89" w:rsidRPr="00FE41C1" w:rsidRDefault="00AF3D89" w:rsidP="00D43492">
            <w:pPr>
              <w:ind w:left="33" w:right="34"/>
            </w:pPr>
            <w:r w:rsidRPr="00FE41C1">
              <w:t>200,400</w:t>
            </w:r>
          </w:p>
        </w:tc>
        <w:tc>
          <w:tcPr>
            <w:tcW w:w="1134" w:type="dxa"/>
          </w:tcPr>
          <w:p w:rsidR="00AF3D89" w:rsidRPr="00FE41C1" w:rsidRDefault="00AF3D89" w:rsidP="00D43492">
            <w:pPr>
              <w:ind w:left="34" w:right="34"/>
            </w:pPr>
            <w:r w:rsidRPr="00FE41C1">
              <w:t>r, db,p</w:t>
            </w:r>
          </w:p>
        </w:tc>
        <w:tc>
          <w:tcPr>
            <w:tcW w:w="1134" w:type="dxa"/>
          </w:tcPr>
          <w:p w:rsidR="00AF3D89" w:rsidRPr="00FE41C1" w:rsidRDefault="00AF3D89" w:rsidP="00D43492">
            <w:pPr>
              <w:ind w:left="34" w:right="34"/>
            </w:pPr>
            <w:r w:rsidRPr="00FE41C1">
              <w:t>pbo</w:t>
            </w:r>
          </w:p>
        </w:tc>
        <w:tc>
          <w:tcPr>
            <w:tcW w:w="1417" w:type="dxa"/>
          </w:tcPr>
          <w:p w:rsidR="00AF3D89" w:rsidRPr="00FE41C1" w:rsidRDefault="00AF3D89" w:rsidP="00D43492">
            <w:pPr>
              <w:ind w:left="34" w:right="33"/>
            </w:pPr>
            <w:r w:rsidRPr="00FE41C1">
              <w:t>24 weeks</w:t>
            </w:r>
          </w:p>
        </w:tc>
        <w:tc>
          <w:tcPr>
            <w:tcW w:w="733" w:type="dxa"/>
          </w:tcPr>
          <w:p w:rsidR="00AF3D89" w:rsidRPr="00FE41C1" w:rsidRDefault="00AF3D89" w:rsidP="00D43492">
            <w:pPr>
              <w:ind w:left="34" w:right="58"/>
            </w:pPr>
            <w:r w:rsidRPr="00FE41C1">
              <w:t>828</w:t>
            </w:r>
          </w:p>
        </w:tc>
        <w:tc>
          <w:tcPr>
            <w:tcW w:w="1110" w:type="dxa"/>
          </w:tcPr>
          <w:p w:rsidR="00AF3D89" w:rsidRPr="00FE41C1" w:rsidRDefault="00AF3D89" w:rsidP="00D43492">
            <w:pPr>
              <w:ind w:left="10" w:right="34"/>
            </w:pPr>
            <w:r w:rsidRPr="00FE41C1">
              <w:t>Trough FEV1</w:t>
            </w:r>
          </w:p>
        </w:tc>
        <w:tc>
          <w:tcPr>
            <w:tcW w:w="1099" w:type="dxa"/>
          </w:tcPr>
          <w:p w:rsidR="00AF3D89" w:rsidRPr="00FE41C1" w:rsidRDefault="00AF3D89" w:rsidP="00D43492">
            <w:pPr>
              <w:ind w:left="10" w:right="34"/>
            </w:pPr>
            <w:r w:rsidRPr="00FE41C1">
              <w:t>Peak FEV1, TDI, SGRQ</w:t>
            </w:r>
          </w:p>
        </w:tc>
      </w:tr>
      <w:tr w:rsidR="00AF3D89" w:rsidRPr="00F107F4" w:rsidTr="00551E66">
        <w:tc>
          <w:tcPr>
            <w:tcW w:w="993" w:type="dxa"/>
          </w:tcPr>
          <w:p w:rsidR="00AF3D89" w:rsidRPr="00FE41C1" w:rsidRDefault="00AF3D89" w:rsidP="00D43492">
            <w:pPr>
              <w:ind w:left="0" w:right="34"/>
            </w:pPr>
            <w:r w:rsidRPr="00FE41C1">
              <w:t>LAS-MD-33:</w:t>
            </w:r>
          </w:p>
        </w:tc>
        <w:tc>
          <w:tcPr>
            <w:tcW w:w="992" w:type="dxa"/>
          </w:tcPr>
          <w:p w:rsidR="00AF3D89" w:rsidRPr="00FE41C1" w:rsidRDefault="00AF3D89" w:rsidP="00D43492">
            <w:pPr>
              <w:ind w:left="33" w:right="34"/>
            </w:pPr>
            <w:r w:rsidRPr="00FE41C1">
              <w:t>200,400</w:t>
            </w:r>
          </w:p>
        </w:tc>
        <w:tc>
          <w:tcPr>
            <w:tcW w:w="1134" w:type="dxa"/>
          </w:tcPr>
          <w:p w:rsidR="00AF3D89" w:rsidRPr="00FE41C1" w:rsidRDefault="00AF3D89" w:rsidP="00D43492">
            <w:pPr>
              <w:ind w:left="34" w:right="34"/>
            </w:pPr>
            <w:r w:rsidRPr="00FE41C1">
              <w:t>r, db,p</w:t>
            </w:r>
          </w:p>
        </w:tc>
        <w:tc>
          <w:tcPr>
            <w:tcW w:w="1134" w:type="dxa"/>
          </w:tcPr>
          <w:p w:rsidR="00AF3D89" w:rsidRPr="00FE41C1" w:rsidRDefault="00AF3D89" w:rsidP="00D43492">
            <w:pPr>
              <w:ind w:left="34" w:right="34"/>
            </w:pPr>
            <w:r w:rsidRPr="00FE41C1">
              <w:t>pbo</w:t>
            </w:r>
          </w:p>
        </w:tc>
        <w:tc>
          <w:tcPr>
            <w:tcW w:w="1417" w:type="dxa"/>
          </w:tcPr>
          <w:p w:rsidR="00AF3D89" w:rsidRPr="00FE41C1" w:rsidRDefault="00AF3D89" w:rsidP="00D43492">
            <w:pPr>
              <w:ind w:left="34" w:right="33"/>
            </w:pPr>
            <w:r w:rsidRPr="00FE41C1">
              <w:t>12 weeks</w:t>
            </w:r>
          </w:p>
        </w:tc>
        <w:tc>
          <w:tcPr>
            <w:tcW w:w="733" w:type="dxa"/>
          </w:tcPr>
          <w:p w:rsidR="00AF3D89" w:rsidRPr="00FE41C1" w:rsidRDefault="00AF3D89" w:rsidP="00D43492">
            <w:pPr>
              <w:ind w:left="34" w:right="58"/>
            </w:pPr>
            <w:r w:rsidRPr="00FE41C1">
              <w:t>561</w:t>
            </w:r>
          </w:p>
        </w:tc>
        <w:tc>
          <w:tcPr>
            <w:tcW w:w="1110" w:type="dxa"/>
          </w:tcPr>
          <w:p w:rsidR="00AF3D89" w:rsidRPr="00FE41C1" w:rsidRDefault="00AF3D89" w:rsidP="00D43492">
            <w:pPr>
              <w:ind w:left="10" w:right="34"/>
            </w:pPr>
            <w:r w:rsidRPr="00FE41C1">
              <w:t>Trough FEV1</w:t>
            </w:r>
          </w:p>
        </w:tc>
        <w:tc>
          <w:tcPr>
            <w:tcW w:w="1099" w:type="dxa"/>
          </w:tcPr>
          <w:p w:rsidR="00AF3D89" w:rsidRPr="00FE41C1" w:rsidRDefault="00AF3D89" w:rsidP="00D43492">
            <w:pPr>
              <w:ind w:left="10" w:right="34"/>
            </w:pPr>
            <w:r w:rsidRPr="00FE41C1">
              <w:t>Peak FEV1</w:t>
            </w:r>
          </w:p>
        </w:tc>
      </w:tr>
      <w:tr w:rsidR="00AF3D89" w:rsidRPr="00F107F4" w:rsidTr="00551E66">
        <w:tc>
          <w:tcPr>
            <w:tcW w:w="993" w:type="dxa"/>
          </w:tcPr>
          <w:p w:rsidR="00AF3D89" w:rsidRPr="00FE41C1" w:rsidRDefault="00AF3D89" w:rsidP="00D43492">
            <w:pPr>
              <w:ind w:left="0" w:right="34"/>
            </w:pPr>
            <w:r w:rsidRPr="00FE41C1">
              <w:t xml:space="preserve">LAS-MD-38: </w:t>
            </w:r>
          </w:p>
        </w:tc>
        <w:tc>
          <w:tcPr>
            <w:tcW w:w="992" w:type="dxa"/>
          </w:tcPr>
          <w:p w:rsidR="00AF3D89" w:rsidRPr="00FE41C1" w:rsidRDefault="00AF3D89" w:rsidP="00D43492">
            <w:pPr>
              <w:ind w:left="33" w:right="34"/>
            </w:pPr>
            <w:r w:rsidRPr="00FE41C1">
              <w:t>200,400</w:t>
            </w:r>
          </w:p>
        </w:tc>
        <w:tc>
          <w:tcPr>
            <w:tcW w:w="1134" w:type="dxa"/>
          </w:tcPr>
          <w:p w:rsidR="00AF3D89" w:rsidRPr="00FE41C1" w:rsidRDefault="00AF3D89" w:rsidP="00D43492">
            <w:pPr>
              <w:ind w:left="34" w:right="34"/>
            </w:pPr>
            <w:r w:rsidRPr="00FE41C1">
              <w:t>r, db,p</w:t>
            </w:r>
          </w:p>
        </w:tc>
        <w:tc>
          <w:tcPr>
            <w:tcW w:w="1134" w:type="dxa"/>
          </w:tcPr>
          <w:p w:rsidR="00AF3D89" w:rsidRPr="00FE41C1" w:rsidRDefault="00AF3D89" w:rsidP="00D43492">
            <w:pPr>
              <w:ind w:left="34" w:right="34"/>
            </w:pPr>
            <w:r w:rsidRPr="00FE41C1">
              <w:t>pbo</w:t>
            </w:r>
          </w:p>
        </w:tc>
        <w:tc>
          <w:tcPr>
            <w:tcW w:w="1417" w:type="dxa"/>
          </w:tcPr>
          <w:p w:rsidR="00AF3D89" w:rsidRPr="00FE41C1" w:rsidRDefault="00AF3D89" w:rsidP="00D43492">
            <w:pPr>
              <w:ind w:left="34" w:right="33"/>
            </w:pPr>
            <w:r w:rsidRPr="00FE41C1">
              <w:t>12 weeks</w:t>
            </w:r>
          </w:p>
        </w:tc>
        <w:tc>
          <w:tcPr>
            <w:tcW w:w="733" w:type="dxa"/>
          </w:tcPr>
          <w:p w:rsidR="00AF3D89" w:rsidRPr="00FE41C1" w:rsidRDefault="00AF3D89" w:rsidP="00D43492">
            <w:pPr>
              <w:ind w:left="34" w:right="58"/>
            </w:pPr>
            <w:r w:rsidRPr="00FE41C1">
              <w:t>544</w:t>
            </w:r>
          </w:p>
        </w:tc>
        <w:tc>
          <w:tcPr>
            <w:tcW w:w="1110" w:type="dxa"/>
          </w:tcPr>
          <w:p w:rsidR="00AF3D89" w:rsidRPr="00FE41C1" w:rsidRDefault="00AF3D89" w:rsidP="00D43492">
            <w:pPr>
              <w:ind w:left="10" w:right="34"/>
            </w:pPr>
            <w:r w:rsidRPr="00FE41C1">
              <w:t>Trough FEV1</w:t>
            </w:r>
          </w:p>
        </w:tc>
        <w:tc>
          <w:tcPr>
            <w:tcW w:w="1099" w:type="dxa"/>
          </w:tcPr>
          <w:p w:rsidR="00AF3D89" w:rsidRPr="00FE41C1" w:rsidRDefault="00AF3D89" w:rsidP="00D43492">
            <w:pPr>
              <w:ind w:left="10" w:right="34"/>
            </w:pPr>
            <w:r w:rsidRPr="00FE41C1">
              <w:t>Peak FEV1</w:t>
            </w:r>
          </w:p>
        </w:tc>
      </w:tr>
    </w:tbl>
    <w:p w:rsidR="0090353D" w:rsidRDefault="00AF3D89" w:rsidP="00D43492">
      <w:pPr>
        <w:pStyle w:val="TableDescription"/>
      </w:pPr>
      <w:r w:rsidRPr="00FE41C1">
        <w:t>BD-twice daily: db-double blind; FEV1-forced expiratory volume in one second; p-parallel; pbo-placebo.</w:t>
      </w:r>
      <w:r w:rsidR="0090353D">
        <w:t xml:space="preserve"> 1</w:t>
      </w:r>
      <w:r w:rsidR="0090353D" w:rsidRPr="0090353D">
        <w:rPr>
          <w:vertAlign w:val="superscript"/>
        </w:rPr>
        <w:t>o</w:t>
      </w:r>
      <w:r w:rsidR="0090353D">
        <w:t>=primary, 2</w:t>
      </w:r>
      <w:r w:rsidR="0090353D" w:rsidRPr="0090353D">
        <w:rPr>
          <w:vertAlign w:val="superscript"/>
        </w:rPr>
        <w:t>O</w:t>
      </w:r>
      <w:r w:rsidR="00D43492">
        <w:t>=secondary.</w:t>
      </w:r>
    </w:p>
    <w:p w:rsidR="00AF3D89" w:rsidRPr="00A5120F" w:rsidRDefault="00A5120F" w:rsidP="00D43492">
      <w:r w:rsidRPr="00A5120F">
        <w:t>Transition Dyspnoea Index (</w:t>
      </w:r>
      <w:r w:rsidR="00AF3D89" w:rsidRPr="00A5120F">
        <w:t>TDI</w:t>
      </w:r>
      <w:r w:rsidRPr="00A5120F">
        <w:t>)</w:t>
      </w:r>
      <w:r w:rsidR="00AF3D89" w:rsidRPr="00A5120F">
        <w:t xml:space="preserve"> and </w:t>
      </w:r>
      <w:r w:rsidRPr="00A5120F">
        <w:t>St. George's Respiratory Questionnaire (SGRQ)</w:t>
      </w:r>
      <w:r>
        <w:rPr>
          <w:rStyle w:val="FootnoteReference"/>
        </w:rPr>
        <w:footnoteReference w:id="27"/>
      </w:r>
      <w:r w:rsidRPr="00A5120F">
        <w:t xml:space="preserve"> </w:t>
      </w:r>
      <w:r w:rsidR="00AF3D89" w:rsidRPr="00A5120F">
        <w:t xml:space="preserve">were adjusted for multiplicity in </w:t>
      </w:r>
      <w:r w:rsidR="0090353D" w:rsidRPr="00A5120F">
        <w:t>S</w:t>
      </w:r>
      <w:r w:rsidR="00AF3D89" w:rsidRPr="00A5120F">
        <w:t>tudy M/34273/34</w:t>
      </w:r>
      <w:r w:rsidR="0090353D" w:rsidRPr="00A5120F">
        <w:t>.</w:t>
      </w:r>
    </w:p>
    <w:p w:rsidR="00AF3D89" w:rsidRPr="00F107F4" w:rsidRDefault="00AF3D89" w:rsidP="00D43492">
      <w:r w:rsidRPr="00F107F4">
        <w:t>The objectives were broadly to assess the efficacy and safety of aclidinium bromide</w:t>
      </w:r>
      <w:r>
        <w:t xml:space="preserve"> </w:t>
      </w:r>
      <w:r w:rsidRPr="00F107F4">
        <w:t xml:space="preserve">200 </w:t>
      </w:r>
      <w:r w:rsidR="00A5120F">
        <w:t>µ</w:t>
      </w:r>
      <w:r w:rsidRPr="00F107F4">
        <w:t xml:space="preserve">g or 400 </w:t>
      </w:r>
      <w:r w:rsidR="00A5120F">
        <w:t>µ</w:t>
      </w:r>
      <w:r w:rsidRPr="00F107F4">
        <w:t>g BD compared with placebo as a long term bronchodilator in patients with moderate to severe COPD. The studies were randomised double blind placebo controlled in design.</w:t>
      </w:r>
    </w:p>
    <w:p w:rsidR="00AF3D89" w:rsidRPr="00F107F4" w:rsidRDefault="00AF3D89" w:rsidP="00D43492">
      <w:r w:rsidRPr="00F107F4">
        <w:t xml:space="preserve">The treatment arms consisted of aclidinium bromide 200 </w:t>
      </w:r>
      <w:r w:rsidR="00A5120F">
        <w:t>µ</w:t>
      </w:r>
      <w:r w:rsidRPr="00F107F4">
        <w:t>g BD, aclidinium bromide 400</w:t>
      </w:r>
      <w:r w:rsidR="0090353D">
        <w:t> </w:t>
      </w:r>
      <w:r w:rsidR="00A5120F">
        <w:t>µ</w:t>
      </w:r>
      <w:r w:rsidRPr="00F107F4">
        <w:t>g BD or placebo BD. Treatment was to be delivered via the device</w:t>
      </w:r>
      <w:r w:rsidR="0090353D" w:rsidRPr="0090353D">
        <w:t xml:space="preserve"> </w:t>
      </w:r>
      <w:r w:rsidR="0090353D">
        <w:t>proposed for</w:t>
      </w:r>
      <w:r w:rsidR="0090353D" w:rsidRPr="00F107F4">
        <w:t xml:space="preserve"> market</w:t>
      </w:r>
      <w:r w:rsidR="0090353D">
        <w:t>ing</w:t>
      </w:r>
      <w:r w:rsidRPr="00F107F4">
        <w:t>.</w:t>
      </w:r>
    </w:p>
    <w:p w:rsidR="00AF3D89" w:rsidRPr="00F107F4" w:rsidRDefault="00AF3D89" w:rsidP="00D43492">
      <w:r w:rsidRPr="0090353D">
        <w:t>The main inclusion criteria were: adult male or female patients aged 40 years or older with stable moderate to severe</w:t>
      </w:r>
      <w:r w:rsidRPr="00F107F4">
        <w:t xml:space="preserve"> COPD (as defined by Global Initiative for Chronic Obstructive Lung Disease [GOLD] guidelines), current or ex-smokers of </w:t>
      </w:r>
      <w:r w:rsidR="00CA44CE">
        <w:t>≥</w:t>
      </w:r>
      <w:r w:rsidR="00AC200D">
        <w:t xml:space="preserve">10 pack years, post </w:t>
      </w:r>
      <w:r w:rsidRPr="00F107F4">
        <w:t xml:space="preserve">salbutamol FEV1 </w:t>
      </w:r>
      <w:r w:rsidR="00CA44CE">
        <w:t>≥</w:t>
      </w:r>
      <w:r w:rsidRPr="00F107F4">
        <w:t>30% and &lt;80% of predicted normal value and FEV1/forced vital capacity (FVC) &lt;70%. The main exclusion criteria were: history or current diagnosis of asthma; any respiratory tract infection (including the upper respiratory tract) or COPD exacerbation in the 6 weeks before the screening visit; patients who developed a respiratory tract infection or exacerbation during the run-in period were discontinued from the study before randomisation; hospitalised for an acute COPD exacerbation within 3 months prior to the screening visit</w:t>
      </w:r>
      <w:r w:rsidRPr="00AC7D96">
        <w:t xml:space="preserve">. Clinically significant cardiovascular disease was a significant exclusion criterion. </w:t>
      </w:r>
      <w:r w:rsidRPr="00F107F4">
        <w:t>These included myocardial infarction during the prior 6 months, newly diagnosed arrhythmias during the past 3 months,</w:t>
      </w:r>
      <w:r>
        <w:t xml:space="preserve"> </w:t>
      </w:r>
      <w:r w:rsidRPr="00F107F4">
        <w:t>unstable angina, unstable arr</w:t>
      </w:r>
      <w:r w:rsidR="00AC7D96">
        <w:t>h</w:t>
      </w:r>
      <w:r w:rsidRPr="00F107F4">
        <w:t xml:space="preserve">ythmia and/or </w:t>
      </w:r>
      <w:r w:rsidR="00CA44CE" w:rsidRPr="00CA44CE">
        <w:t xml:space="preserve">NYHA Functional Classification </w:t>
      </w:r>
      <w:r w:rsidR="00CA44CE">
        <w:t>III</w:t>
      </w:r>
      <w:r w:rsidRPr="00F107F4">
        <w:t xml:space="preserve"> or IV</w:t>
      </w:r>
      <w:r w:rsidR="000E49AC">
        <w:rPr>
          <w:rStyle w:val="FootnoteReference"/>
        </w:rPr>
        <w:footnoteReference w:id="28"/>
      </w:r>
      <w:r w:rsidRPr="00F107F4">
        <w:t xml:space="preserve"> heart failure requiring hospitalisation in the prior 12 months.</w:t>
      </w:r>
    </w:p>
    <w:p w:rsidR="00AF3D89" w:rsidRPr="00F107F4" w:rsidRDefault="00AF3D89" w:rsidP="00D43492">
      <w:r w:rsidRPr="00AC7D96">
        <w:rPr>
          <w:rStyle w:val="Heading6Char"/>
          <w:rFonts w:eastAsia="Cambria"/>
        </w:rPr>
        <w:t>The primary efficacy endpoint:</w:t>
      </w:r>
      <w:r w:rsidRPr="00F107F4">
        <w:t xml:space="preserve"> change from baseline in morning pre</w:t>
      </w:r>
      <w:r w:rsidR="00CA44CE">
        <w:t xml:space="preserve"> </w:t>
      </w:r>
      <w:r w:rsidRPr="00F107F4">
        <w:t>dose (trough) FEV1 at Week 24 for the European Union (EU) submission and Week 12 for the United States (US) submission. Trough FEV1 was defined as the mean of the 2 largest FEV1 measurements at approximately 11 and 12 hours after the evening dose.</w:t>
      </w:r>
    </w:p>
    <w:p w:rsidR="00AF3D89" w:rsidRPr="00F107F4" w:rsidRDefault="00AF3D89" w:rsidP="00D43492">
      <w:r w:rsidRPr="00F107F4">
        <w:t xml:space="preserve">The </w:t>
      </w:r>
      <w:r w:rsidRPr="00AC7D96">
        <w:rPr>
          <w:rStyle w:val="Heading6Char"/>
          <w:rFonts w:eastAsia="Cambria"/>
        </w:rPr>
        <w:t>main secondary efficacy endpoints</w:t>
      </w:r>
      <w:r w:rsidRPr="00F107F4">
        <w:t xml:space="preserve"> are listed in the table above. There have been additional endpoints also discussed under t</w:t>
      </w:r>
      <w:r w:rsidR="00D43492">
        <w:t>he individual study evaluation.</w:t>
      </w:r>
    </w:p>
    <w:p w:rsidR="00AF3D89" w:rsidRPr="00D43492" w:rsidRDefault="00AF3D89" w:rsidP="00D43492">
      <w:pPr>
        <w:pStyle w:val="Heading5"/>
      </w:pPr>
      <w:r w:rsidRPr="00F107F4">
        <w:t>Sample size c</w:t>
      </w:r>
      <w:r w:rsidR="00AC7D96">
        <w:t>alculations</w:t>
      </w:r>
    </w:p>
    <w:p w:rsidR="00AF3D89" w:rsidRPr="00F107F4" w:rsidRDefault="00AF3D89" w:rsidP="00D43492">
      <w:r w:rsidRPr="00AC7D96">
        <w:rPr>
          <w:rStyle w:val="Heading6Char"/>
          <w:rFonts w:eastAsia="Cambria"/>
        </w:rPr>
        <w:t>Study M/34273/34</w:t>
      </w:r>
      <w:r w:rsidRPr="00F107F4">
        <w:rPr>
          <w:b/>
        </w:rPr>
        <w:t xml:space="preserve"> </w:t>
      </w:r>
      <w:r w:rsidRPr="00F107F4">
        <w:t xml:space="preserve">A sample size of 244 evaluable patients per treatment group provided at least a 90% power to detect as significant a difference of 90 mL between any of the doses of aclidinium bromide and placebo in change from baseline in </w:t>
      </w:r>
      <w:r w:rsidR="00AC7D96">
        <w:t>morning pre</w:t>
      </w:r>
      <w:r w:rsidRPr="00F107F4">
        <w:t>dose (trough) FEV1 after 24 weeks of treatment for EU submission or 12 weeks of treatment for US submission; assuming a common standard deviation of 240</w:t>
      </w:r>
      <w:r w:rsidR="00AC7D96">
        <w:t xml:space="preserve"> </w:t>
      </w:r>
      <w:r w:rsidRPr="00F107F4">
        <w:t>mL using two-sided tests and adjusting for multiple treatment comparisons at the overall significance level of 0.05. The sample size also provided sufficient power to detect treatment differences in the secondary endpoints that were adjusted for multiplicity using a sequential approach to hypothesis testing.</w:t>
      </w:r>
    </w:p>
    <w:p w:rsidR="00AF3D89" w:rsidRPr="00F107F4" w:rsidRDefault="00AF3D89" w:rsidP="00D43492">
      <w:r w:rsidRPr="00F107F4">
        <w:t>The evaluator mentions that the justification for the difference of 90 mL is not submitted especially as other long acting anticholinergics have used a margin of 100</w:t>
      </w:r>
      <w:r w:rsidR="00D43492">
        <w:t xml:space="preserve"> mL or 120 </w:t>
      </w:r>
      <w:proofErr w:type="spellStart"/>
      <w:r w:rsidR="00D43492">
        <w:t>mL.</w:t>
      </w:r>
      <w:proofErr w:type="spellEnd"/>
    </w:p>
    <w:p w:rsidR="00AC7D96" w:rsidRDefault="00AF3D89" w:rsidP="00D43492">
      <w:r w:rsidRPr="00AC7D96">
        <w:rPr>
          <w:rStyle w:val="Heading6Char"/>
          <w:rFonts w:eastAsia="Cambria"/>
        </w:rPr>
        <w:t>Study LAS-MD-33</w:t>
      </w:r>
      <w:r w:rsidRPr="00F107F4">
        <w:t xml:space="preserve"> Calculations factored in a difference of 0.100 mL for the primary efficacy endpoint and were consider</w:t>
      </w:r>
      <w:r w:rsidR="00D43492">
        <w:t>ed acceptable to the evaluator.</w:t>
      </w:r>
    </w:p>
    <w:p w:rsidR="00AF3D89" w:rsidRPr="00F107F4" w:rsidRDefault="00AF3D89" w:rsidP="00D43492">
      <w:r w:rsidRPr="00AC7D96">
        <w:rPr>
          <w:rStyle w:val="Heading6Char"/>
          <w:rFonts w:eastAsia="Cambria"/>
        </w:rPr>
        <w:t>Study LAS-MD-38 A</w:t>
      </w:r>
      <w:r>
        <w:rPr>
          <w:b/>
        </w:rPr>
        <w:t xml:space="preserve"> </w:t>
      </w:r>
      <w:r w:rsidR="00CA44CE">
        <w:rPr>
          <w:b/>
        </w:rPr>
        <w:t>w</w:t>
      </w:r>
      <w:r w:rsidRPr="00F107F4">
        <w:t>as similar to the previous study.</w:t>
      </w:r>
    </w:p>
    <w:p w:rsidR="00AF3D89" w:rsidRPr="00D43492" w:rsidRDefault="00AF3D89" w:rsidP="00D43492">
      <w:pPr>
        <w:pStyle w:val="Heading5"/>
      </w:pPr>
      <w:r w:rsidRPr="00F107F4">
        <w:t>Results</w:t>
      </w:r>
    </w:p>
    <w:p w:rsidR="00AF3D89" w:rsidRPr="00D43492" w:rsidRDefault="00AF3D89" w:rsidP="00D43492">
      <w:pPr>
        <w:pStyle w:val="Heading6"/>
      </w:pPr>
      <w:r w:rsidRPr="00F107F4">
        <w:t>Demographics</w:t>
      </w:r>
    </w:p>
    <w:p w:rsidR="00CA44CE" w:rsidRDefault="00C9788D" w:rsidP="00D43492">
      <w:r>
        <w:t xml:space="preserve">The demographics of patients in the three studies are summarised </w:t>
      </w:r>
      <w:r w:rsidR="00C22964">
        <w:t xml:space="preserve">in Table 16 </w:t>
      </w:r>
      <w:r>
        <w:t>below.</w:t>
      </w:r>
    </w:p>
    <w:p w:rsidR="00C9788D" w:rsidRPr="00D43492" w:rsidRDefault="00C9788D" w:rsidP="00D43492">
      <w:pPr>
        <w:pStyle w:val="TableTitle"/>
      </w:pPr>
      <w:proofErr w:type="gramStart"/>
      <w:r>
        <w:t>Table</w:t>
      </w:r>
      <w:r w:rsidR="00F27942">
        <w:t xml:space="preserve"> 1</w:t>
      </w:r>
      <w:r w:rsidR="00145C30">
        <w:t>6</w:t>
      </w:r>
      <w:r>
        <w:t>.</w:t>
      </w:r>
      <w:proofErr w:type="gramEnd"/>
      <w:r>
        <w:t xml:space="preserve"> Demographics</w:t>
      </w:r>
    </w:p>
    <w:tbl>
      <w:tblPr>
        <w:tblStyle w:val="TableTGAblue"/>
        <w:tblW w:w="0" w:type="auto"/>
        <w:tblLook w:val="04A0" w:firstRow="1" w:lastRow="0" w:firstColumn="1" w:lastColumn="0" w:noHBand="0" w:noVBand="1"/>
      </w:tblPr>
      <w:tblGrid>
        <w:gridCol w:w="2646"/>
        <w:gridCol w:w="1757"/>
        <w:gridCol w:w="1844"/>
        <w:gridCol w:w="2083"/>
      </w:tblGrid>
      <w:tr w:rsidR="00CA44CE" w:rsidTr="00AD354B">
        <w:trPr>
          <w:cnfStyle w:val="100000000000" w:firstRow="1" w:lastRow="0" w:firstColumn="0" w:lastColumn="0" w:oddVBand="0" w:evenVBand="0" w:oddHBand="0" w:evenHBand="0" w:firstRowFirstColumn="0" w:firstRowLastColumn="0" w:lastRowFirstColumn="0" w:lastRowLastColumn="0"/>
        </w:trPr>
        <w:tc>
          <w:tcPr>
            <w:tcW w:w="2646" w:type="dxa"/>
          </w:tcPr>
          <w:p w:rsidR="00CA44CE" w:rsidRPr="00CA44CE" w:rsidRDefault="00CA44CE" w:rsidP="00AC62B4">
            <w:pPr>
              <w:ind w:left="0" w:right="20"/>
            </w:pPr>
            <w:r w:rsidRPr="00CA44CE">
              <w:t>Study</w:t>
            </w:r>
          </w:p>
        </w:tc>
        <w:tc>
          <w:tcPr>
            <w:tcW w:w="1757" w:type="dxa"/>
          </w:tcPr>
          <w:p w:rsidR="00CA44CE" w:rsidRPr="00AD354B" w:rsidRDefault="00CA44CE" w:rsidP="00AC62B4">
            <w:pPr>
              <w:ind w:left="48" w:right="76"/>
              <w:rPr>
                <w:i/>
              </w:rPr>
            </w:pPr>
            <w:r w:rsidRPr="00AC62B4">
              <w:rPr>
                <w:bCs/>
              </w:rPr>
              <w:t>M/34273/34</w:t>
            </w:r>
          </w:p>
        </w:tc>
        <w:tc>
          <w:tcPr>
            <w:tcW w:w="1844" w:type="dxa"/>
          </w:tcPr>
          <w:p w:rsidR="00CA44CE" w:rsidRPr="00AD354B" w:rsidRDefault="00CA44CE" w:rsidP="00AC62B4">
            <w:pPr>
              <w:ind w:left="0" w:right="77"/>
              <w:rPr>
                <w:i/>
              </w:rPr>
            </w:pPr>
            <w:r w:rsidRPr="00AC62B4">
              <w:t>LAS-MD-33:</w:t>
            </w:r>
          </w:p>
        </w:tc>
        <w:tc>
          <w:tcPr>
            <w:tcW w:w="2083" w:type="dxa"/>
          </w:tcPr>
          <w:p w:rsidR="00CA44CE" w:rsidRPr="00AD354B" w:rsidRDefault="00CA44CE" w:rsidP="00AC62B4">
            <w:pPr>
              <w:ind w:left="0" w:right="34"/>
              <w:rPr>
                <w:i/>
              </w:rPr>
            </w:pPr>
            <w:r w:rsidRPr="00AC62B4">
              <w:rPr>
                <w:bCs/>
              </w:rPr>
              <w:t>LAS-MD-38A</w:t>
            </w:r>
          </w:p>
        </w:tc>
      </w:tr>
      <w:tr w:rsidR="00CA44CE" w:rsidTr="00AD354B">
        <w:tc>
          <w:tcPr>
            <w:tcW w:w="2646" w:type="dxa"/>
          </w:tcPr>
          <w:p w:rsidR="00CA44CE" w:rsidRPr="00CA44CE" w:rsidRDefault="00CA44CE" w:rsidP="00AC62B4">
            <w:pPr>
              <w:ind w:left="0" w:right="20"/>
            </w:pPr>
            <w:r w:rsidRPr="00CA44CE">
              <w:t>No Patients randomised</w:t>
            </w:r>
          </w:p>
        </w:tc>
        <w:tc>
          <w:tcPr>
            <w:tcW w:w="1757" w:type="dxa"/>
          </w:tcPr>
          <w:p w:rsidR="00CA44CE" w:rsidRPr="00CA44CE" w:rsidRDefault="00C9788D" w:rsidP="00AC62B4">
            <w:pPr>
              <w:ind w:left="48" w:right="76"/>
            </w:pPr>
            <w:r>
              <w:t>828</w:t>
            </w:r>
          </w:p>
        </w:tc>
        <w:tc>
          <w:tcPr>
            <w:tcW w:w="1844" w:type="dxa"/>
          </w:tcPr>
          <w:p w:rsidR="00CA44CE" w:rsidRPr="00CA44CE" w:rsidRDefault="00C9788D" w:rsidP="00AC62B4">
            <w:pPr>
              <w:ind w:left="0" w:right="77"/>
            </w:pPr>
            <w:r>
              <w:t>561</w:t>
            </w:r>
          </w:p>
        </w:tc>
        <w:tc>
          <w:tcPr>
            <w:tcW w:w="2083" w:type="dxa"/>
          </w:tcPr>
          <w:p w:rsidR="00CA44CE" w:rsidRPr="00CA44CE" w:rsidRDefault="00C9788D" w:rsidP="00AC62B4">
            <w:pPr>
              <w:ind w:left="0" w:right="34"/>
            </w:pPr>
            <w:r>
              <w:t>544</w:t>
            </w:r>
          </w:p>
        </w:tc>
      </w:tr>
      <w:tr w:rsidR="00CA44CE" w:rsidTr="00AD354B">
        <w:tc>
          <w:tcPr>
            <w:tcW w:w="2646" w:type="dxa"/>
          </w:tcPr>
          <w:p w:rsidR="00CA44CE" w:rsidRPr="00CA44CE" w:rsidRDefault="00CA44CE" w:rsidP="00AC62B4">
            <w:pPr>
              <w:ind w:left="0" w:right="20"/>
            </w:pPr>
            <w:r w:rsidRPr="00CA44CE">
              <w:t>Mean age</w:t>
            </w:r>
          </w:p>
        </w:tc>
        <w:tc>
          <w:tcPr>
            <w:tcW w:w="1757" w:type="dxa"/>
          </w:tcPr>
          <w:p w:rsidR="00CA44CE" w:rsidRPr="00CA44CE" w:rsidRDefault="00C9788D" w:rsidP="00AC62B4">
            <w:pPr>
              <w:ind w:left="48" w:right="76"/>
            </w:pPr>
            <w:r>
              <w:t>62.4</w:t>
            </w:r>
          </w:p>
        </w:tc>
        <w:tc>
          <w:tcPr>
            <w:tcW w:w="1844" w:type="dxa"/>
          </w:tcPr>
          <w:p w:rsidR="00CA44CE" w:rsidRPr="00CA44CE" w:rsidRDefault="00C9788D" w:rsidP="00AC62B4">
            <w:pPr>
              <w:ind w:left="0" w:right="77"/>
            </w:pPr>
            <w:r>
              <w:t>64.3</w:t>
            </w:r>
          </w:p>
        </w:tc>
        <w:tc>
          <w:tcPr>
            <w:tcW w:w="2083" w:type="dxa"/>
          </w:tcPr>
          <w:p w:rsidR="00CA44CE" w:rsidRPr="00CA44CE" w:rsidRDefault="00C9788D" w:rsidP="00AC62B4">
            <w:pPr>
              <w:ind w:left="0" w:right="34"/>
            </w:pPr>
            <w:r>
              <w:t>62.8</w:t>
            </w:r>
          </w:p>
        </w:tc>
      </w:tr>
      <w:tr w:rsidR="00CA44CE" w:rsidTr="00AD354B">
        <w:tc>
          <w:tcPr>
            <w:tcW w:w="2646" w:type="dxa"/>
          </w:tcPr>
          <w:p w:rsidR="00CA44CE" w:rsidRPr="00CA44CE" w:rsidRDefault="00CA44CE" w:rsidP="00AC62B4">
            <w:pPr>
              <w:ind w:left="0" w:right="20"/>
            </w:pPr>
            <w:r w:rsidRPr="00CA44CE">
              <w:t>Males</w:t>
            </w:r>
            <w:r w:rsidR="00C9788D">
              <w:t xml:space="preserve"> (%)</w:t>
            </w:r>
          </w:p>
        </w:tc>
        <w:tc>
          <w:tcPr>
            <w:tcW w:w="1757" w:type="dxa"/>
          </w:tcPr>
          <w:p w:rsidR="00CA44CE" w:rsidRPr="00CA44CE" w:rsidRDefault="00C9788D" w:rsidP="00AC62B4">
            <w:pPr>
              <w:ind w:left="48" w:right="76"/>
            </w:pPr>
            <w:r>
              <w:t>67.4</w:t>
            </w:r>
          </w:p>
        </w:tc>
        <w:tc>
          <w:tcPr>
            <w:tcW w:w="1844" w:type="dxa"/>
          </w:tcPr>
          <w:p w:rsidR="00CA44CE" w:rsidRPr="00CA44CE" w:rsidRDefault="00C9788D" w:rsidP="00AC62B4">
            <w:pPr>
              <w:ind w:left="0" w:right="77"/>
            </w:pPr>
            <w:r>
              <w:t>53</w:t>
            </w:r>
          </w:p>
        </w:tc>
        <w:tc>
          <w:tcPr>
            <w:tcW w:w="2083" w:type="dxa"/>
          </w:tcPr>
          <w:p w:rsidR="00CA44CE" w:rsidRPr="00CA44CE" w:rsidRDefault="00C9788D" w:rsidP="00AC62B4">
            <w:pPr>
              <w:ind w:left="0" w:right="34"/>
            </w:pPr>
            <w:r>
              <w:t>53.1</w:t>
            </w:r>
          </w:p>
        </w:tc>
      </w:tr>
      <w:tr w:rsidR="00CA44CE" w:rsidTr="00AD354B">
        <w:tc>
          <w:tcPr>
            <w:tcW w:w="2646" w:type="dxa"/>
          </w:tcPr>
          <w:p w:rsidR="00CA44CE" w:rsidRPr="00CA44CE" w:rsidRDefault="00CA44CE" w:rsidP="00AC62B4">
            <w:pPr>
              <w:ind w:left="0" w:right="20"/>
            </w:pPr>
            <w:r w:rsidRPr="00CA44CE">
              <w:t>Caucasians</w:t>
            </w:r>
            <w:r w:rsidR="00C9788D">
              <w:t xml:space="preserve"> (%)</w:t>
            </w:r>
          </w:p>
        </w:tc>
        <w:tc>
          <w:tcPr>
            <w:tcW w:w="1757" w:type="dxa"/>
          </w:tcPr>
          <w:p w:rsidR="00CA44CE" w:rsidRPr="00CA44CE" w:rsidRDefault="00C9788D" w:rsidP="00AC62B4">
            <w:pPr>
              <w:ind w:left="48" w:right="76"/>
            </w:pPr>
            <w:r>
              <w:t>95.2</w:t>
            </w:r>
          </w:p>
        </w:tc>
        <w:tc>
          <w:tcPr>
            <w:tcW w:w="1844" w:type="dxa"/>
          </w:tcPr>
          <w:p w:rsidR="00CA44CE" w:rsidRPr="00CA44CE" w:rsidRDefault="00C9788D" w:rsidP="00AC62B4">
            <w:pPr>
              <w:ind w:left="0" w:right="77"/>
            </w:pPr>
            <w:r>
              <w:t>93.8</w:t>
            </w:r>
          </w:p>
        </w:tc>
        <w:tc>
          <w:tcPr>
            <w:tcW w:w="2083" w:type="dxa"/>
          </w:tcPr>
          <w:p w:rsidR="00CA44CE" w:rsidRPr="00CA44CE" w:rsidRDefault="00C9788D" w:rsidP="00AC62B4">
            <w:pPr>
              <w:ind w:left="0" w:right="34"/>
            </w:pPr>
            <w:r>
              <w:t>90.6</w:t>
            </w:r>
          </w:p>
        </w:tc>
      </w:tr>
      <w:tr w:rsidR="00CA44CE" w:rsidTr="00AD354B">
        <w:tc>
          <w:tcPr>
            <w:tcW w:w="2646" w:type="dxa"/>
          </w:tcPr>
          <w:p w:rsidR="00CA44CE" w:rsidRPr="00CA44CE" w:rsidRDefault="00CA44CE" w:rsidP="00AC62B4">
            <w:pPr>
              <w:ind w:left="0" w:right="20"/>
            </w:pPr>
            <w:r w:rsidRPr="00CA44CE">
              <w:t>COPD duration</w:t>
            </w:r>
            <w:r w:rsidR="00C9788D">
              <w:t xml:space="preserve"> (years)</w:t>
            </w:r>
          </w:p>
        </w:tc>
        <w:tc>
          <w:tcPr>
            <w:tcW w:w="1757" w:type="dxa"/>
          </w:tcPr>
          <w:p w:rsidR="00CA44CE" w:rsidRPr="00CA44CE" w:rsidRDefault="00C9788D" w:rsidP="00AC62B4">
            <w:pPr>
              <w:ind w:left="48" w:right="76"/>
            </w:pPr>
            <w:r>
              <w:t>6.8</w:t>
            </w:r>
          </w:p>
        </w:tc>
        <w:tc>
          <w:tcPr>
            <w:tcW w:w="1844" w:type="dxa"/>
          </w:tcPr>
          <w:p w:rsidR="00CA44CE" w:rsidRPr="00CA44CE" w:rsidRDefault="00C9788D" w:rsidP="00AC62B4">
            <w:pPr>
              <w:ind w:left="0" w:right="77"/>
            </w:pPr>
            <w:r>
              <w:t>8.6</w:t>
            </w:r>
          </w:p>
        </w:tc>
        <w:tc>
          <w:tcPr>
            <w:tcW w:w="2083" w:type="dxa"/>
          </w:tcPr>
          <w:p w:rsidR="00CA44CE" w:rsidRPr="00CA44CE" w:rsidRDefault="00C9788D" w:rsidP="00AC62B4">
            <w:pPr>
              <w:ind w:left="0" w:right="34"/>
            </w:pPr>
            <w:r>
              <w:t>8.0</w:t>
            </w:r>
          </w:p>
        </w:tc>
      </w:tr>
      <w:tr w:rsidR="00CA44CE" w:rsidTr="00AD354B">
        <w:tc>
          <w:tcPr>
            <w:tcW w:w="2646" w:type="dxa"/>
          </w:tcPr>
          <w:p w:rsidR="00CA44CE" w:rsidRPr="00CA44CE" w:rsidRDefault="00CA44CE" w:rsidP="00AC62B4">
            <w:pPr>
              <w:ind w:left="0" w:right="20"/>
            </w:pPr>
            <w:r w:rsidRPr="00CA44CE">
              <w:t>Moderate severity</w:t>
            </w:r>
            <w:r w:rsidR="00C9788D">
              <w:t xml:space="preserve"> (%)</w:t>
            </w:r>
          </w:p>
        </w:tc>
        <w:tc>
          <w:tcPr>
            <w:tcW w:w="1757" w:type="dxa"/>
          </w:tcPr>
          <w:p w:rsidR="00CA44CE" w:rsidRPr="00CA44CE" w:rsidRDefault="00C9788D" w:rsidP="00AC62B4">
            <w:pPr>
              <w:ind w:left="48" w:right="76"/>
            </w:pPr>
            <w:r>
              <w:t>68.1</w:t>
            </w:r>
          </w:p>
        </w:tc>
        <w:tc>
          <w:tcPr>
            <w:tcW w:w="1844" w:type="dxa"/>
          </w:tcPr>
          <w:p w:rsidR="00CA44CE" w:rsidRPr="00CA44CE" w:rsidRDefault="00C9788D" w:rsidP="00AC62B4">
            <w:pPr>
              <w:ind w:left="0" w:right="77"/>
            </w:pPr>
            <w:r>
              <w:t>58.4</w:t>
            </w:r>
          </w:p>
        </w:tc>
        <w:tc>
          <w:tcPr>
            <w:tcW w:w="2083" w:type="dxa"/>
          </w:tcPr>
          <w:p w:rsidR="00CA44CE" w:rsidRPr="00CA44CE" w:rsidRDefault="00C9788D" w:rsidP="00AC62B4">
            <w:pPr>
              <w:ind w:left="0" w:right="34"/>
            </w:pPr>
            <w:r>
              <w:t>53.0</w:t>
            </w:r>
          </w:p>
        </w:tc>
      </w:tr>
      <w:tr w:rsidR="00CA44CE" w:rsidTr="00AD354B">
        <w:tc>
          <w:tcPr>
            <w:tcW w:w="2646" w:type="dxa"/>
          </w:tcPr>
          <w:p w:rsidR="00CA44CE" w:rsidRPr="00CA44CE" w:rsidRDefault="00CA44CE" w:rsidP="00AC62B4">
            <w:pPr>
              <w:ind w:left="0" w:right="20"/>
            </w:pPr>
            <w:r w:rsidRPr="00CA44CE">
              <w:t>Severe severity</w:t>
            </w:r>
            <w:r w:rsidR="00C9788D">
              <w:t xml:space="preserve"> (%)</w:t>
            </w:r>
          </w:p>
        </w:tc>
        <w:tc>
          <w:tcPr>
            <w:tcW w:w="1757" w:type="dxa"/>
          </w:tcPr>
          <w:p w:rsidR="00CA44CE" w:rsidRPr="00CA44CE" w:rsidRDefault="00C9788D" w:rsidP="00AC62B4">
            <w:pPr>
              <w:ind w:left="48" w:right="76"/>
            </w:pPr>
            <w:r>
              <w:t>31.9</w:t>
            </w:r>
          </w:p>
        </w:tc>
        <w:tc>
          <w:tcPr>
            <w:tcW w:w="1844" w:type="dxa"/>
          </w:tcPr>
          <w:p w:rsidR="00CA44CE" w:rsidRPr="00CA44CE" w:rsidRDefault="00C9788D" w:rsidP="00AC62B4">
            <w:pPr>
              <w:ind w:left="0" w:right="77"/>
            </w:pPr>
            <w:r>
              <w:t>39.5</w:t>
            </w:r>
          </w:p>
        </w:tc>
        <w:tc>
          <w:tcPr>
            <w:tcW w:w="2083" w:type="dxa"/>
          </w:tcPr>
          <w:p w:rsidR="00CA44CE" w:rsidRPr="00CA44CE" w:rsidRDefault="00C9788D" w:rsidP="00AC62B4">
            <w:pPr>
              <w:ind w:left="0" w:right="34"/>
            </w:pPr>
            <w:r>
              <w:t>45.8</w:t>
            </w:r>
          </w:p>
        </w:tc>
      </w:tr>
      <w:tr w:rsidR="00CA44CE" w:rsidTr="00AD354B">
        <w:tc>
          <w:tcPr>
            <w:tcW w:w="2646" w:type="dxa"/>
          </w:tcPr>
          <w:p w:rsidR="00CA44CE" w:rsidRPr="00CA44CE" w:rsidRDefault="00CA44CE" w:rsidP="00AC62B4">
            <w:pPr>
              <w:ind w:left="0" w:right="20"/>
            </w:pPr>
            <w:r w:rsidRPr="00CA44CE">
              <w:t>Current Smokers</w:t>
            </w:r>
            <w:r w:rsidR="00C9788D">
              <w:t xml:space="preserve"> (%)</w:t>
            </w:r>
          </w:p>
        </w:tc>
        <w:tc>
          <w:tcPr>
            <w:tcW w:w="1757" w:type="dxa"/>
          </w:tcPr>
          <w:p w:rsidR="00CA44CE" w:rsidRPr="00CA44CE" w:rsidRDefault="00C9788D" w:rsidP="00AC62B4">
            <w:pPr>
              <w:ind w:left="48" w:right="76"/>
            </w:pPr>
            <w:r>
              <w:t>52.8</w:t>
            </w:r>
          </w:p>
        </w:tc>
        <w:tc>
          <w:tcPr>
            <w:tcW w:w="1844" w:type="dxa"/>
          </w:tcPr>
          <w:p w:rsidR="00CA44CE" w:rsidRPr="00CA44CE" w:rsidRDefault="00C9788D" w:rsidP="00AC62B4">
            <w:pPr>
              <w:ind w:left="0" w:right="77"/>
            </w:pPr>
            <w:r>
              <w:t>44.8</w:t>
            </w:r>
          </w:p>
        </w:tc>
        <w:tc>
          <w:tcPr>
            <w:tcW w:w="2083" w:type="dxa"/>
          </w:tcPr>
          <w:p w:rsidR="00CA44CE" w:rsidRPr="00CA44CE" w:rsidRDefault="00C9788D" w:rsidP="00AC62B4">
            <w:pPr>
              <w:ind w:left="0" w:right="34"/>
            </w:pPr>
            <w:r>
              <w:t>53.3</w:t>
            </w:r>
          </w:p>
        </w:tc>
      </w:tr>
      <w:tr w:rsidR="00CA44CE" w:rsidTr="00AD354B">
        <w:tc>
          <w:tcPr>
            <w:tcW w:w="2646" w:type="dxa"/>
          </w:tcPr>
          <w:p w:rsidR="00CA44CE" w:rsidRPr="00CA44CE" w:rsidRDefault="00CA44CE" w:rsidP="00AC62B4">
            <w:pPr>
              <w:ind w:left="0" w:right="20"/>
            </w:pPr>
            <w:r w:rsidRPr="00CA44CE">
              <w:t>Ex-smokers</w:t>
            </w:r>
            <w:r w:rsidR="00C9788D">
              <w:t xml:space="preserve"> (%)</w:t>
            </w:r>
          </w:p>
        </w:tc>
        <w:tc>
          <w:tcPr>
            <w:tcW w:w="1757" w:type="dxa"/>
          </w:tcPr>
          <w:p w:rsidR="00CA44CE" w:rsidRPr="00CA44CE" w:rsidRDefault="00C9788D" w:rsidP="00AC62B4">
            <w:pPr>
              <w:ind w:left="48" w:right="76"/>
            </w:pPr>
            <w:r>
              <w:t>47.3</w:t>
            </w:r>
          </w:p>
        </w:tc>
        <w:tc>
          <w:tcPr>
            <w:tcW w:w="1844" w:type="dxa"/>
          </w:tcPr>
          <w:p w:rsidR="00CA44CE" w:rsidRPr="00CA44CE" w:rsidRDefault="00C9788D" w:rsidP="00AC62B4">
            <w:pPr>
              <w:ind w:left="0" w:right="77"/>
            </w:pPr>
            <w:r>
              <w:t>55.2</w:t>
            </w:r>
          </w:p>
        </w:tc>
        <w:tc>
          <w:tcPr>
            <w:tcW w:w="2083" w:type="dxa"/>
          </w:tcPr>
          <w:p w:rsidR="00CA44CE" w:rsidRPr="00CA44CE" w:rsidRDefault="00C9788D" w:rsidP="00AC62B4">
            <w:pPr>
              <w:ind w:left="0" w:right="34"/>
            </w:pPr>
            <w:r>
              <w:t>46.7</w:t>
            </w:r>
          </w:p>
        </w:tc>
      </w:tr>
      <w:tr w:rsidR="00CA44CE" w:rsidTr="00AD354B">
        <w:tc>
          <w:tcPr>
            <w:tcW w:w="2646" w:type="dxa"/>
          </w:tcPr>
          <w:p w:rsidR="00CA44CE" w:rsidRPr="00CA44CE" w:rsidRDefault="00CA44CE" w:rsidP="00AC62B4">
            <w:pPr>
              <w:ind w:left="0" w:right="20"/>
            </w:pPr>
            <w:r w:rsidRPr="00CA44CE">
              <w:t>% predicted FEV1</w:t>
            </w:r>
          </w:p>
        </w:tc>
        <w:tc>
          <w:tcPr>
            <w:tcW w:w="1757" w:type="dxa"/>
          </w:tcPr>
          <w:p w:rsidR="00CA44CE" w:rsidRPr="00CA44CE" w:rsidRDefault="00C9788D" w:rsidP="00AC62B4">
            <w:pPr>
              <w:ind w:left="48" w:right="76"/>
            </w:pPr>
            <w:r>
              <w:t>51.8</w:t>
            </w:r>
          </w:p>
        </w:tc>
        <w:tc>
          <w:tcPr>
            <w:tcW w:w="1844" w:type="dxa"/>
          </w:tcPr>
          <w:p w:rsidR="00CA44CE" w:rsidRPr="00CA44CE" w:rsidRDefault="00C9788D" w:rsidP="00AC62B4">
            <w:pPr>
              <w:ind w:left="0" w:right="77"/>
            </w:pPr>
            <w:r>
              <w:t>47.21</w:t>
            </w:r>
          </w:p>
        </w:tc>
        <w:tc>
          <w:tcPr>
            <w:tcW w:w="2083" w:type="dxa"/>
          </w:tcPr>
          <w:p w:rsidR="00CA44CE" w:rsidRPr="00CA44CE" w:rsidRDefault="00C9788D" w:rsidP="00AC62B4">
            <w:pPr>
              <w:ind w:left="0" w:right="34"/>
            </w:pPr>
            <w:r>
              <w:t>46.15</w:t>
            </w:r>
          </w:p>
        </w:tc>
      </w:tr>
    </w:tbl>
    <w:p w:rsidR="00AF3D89" w:rsidRPr="00AC62B4" w:rsidRDefault="000E60AE" w:rsidP="00AC62B4">
      <w:pPr>
        <w:pStyle w:val="Heading6"/>
      </w:pPr>
      <w:r>
        <w:t>P</w:t>
      </w:r>
      <w:r w:rsidR="00AC62B4">
        <w:t>rimary efficacy endpoint</w:t>
      </w:r>
    </w:p>
    <w:p w:rsidR="000E60AE" w:rsidRPr="000E60AE" w:rsidRDefault="000E60AE" w:rsidP="00AC62B4">
      <w:r>
        <w:t>The primary efficacy endpoint (extracted from FDA website) is shown in Table 17 below.</w:t>
      </w:r>
    </w:p>
    <w:p w:rsidR="00AC62B4" w:rsidRDefault="00AC7D96" w:rsidP="00AC62B4">
      <w:pPr>
        <w:pStyle w:val="TableTitle"/>
      </w:pPr>
      <w:proofErr w:type="gramStart"/>
      <w:r>
        <w:t>Table</w:t>
      </w:r>
      <w:r w:rsidR="00F27942">
        <w:t xml:space="preserve"> 1</w:t>
      </w:r>
      <w:r w:rsidR="00145C30">
        <w:t>7</w:t>
      </w:r>
      <w:r>
        <w:t>.</w:t>
      </w:r>
      <w:proofErr w:type="gramEnd"/>
      <w:r>
        <w:t xml:space="preserve"> Change from baseline in morning predose (trough) FEV1 (L) at Week 12 or Week 24, Intent-to-Treat population.</w:t>
      </w:r>
    </w:p>
    <w:p w:rsidR="00BB124E" w:rsidRPr="00F107F4" w:rsidRDefault="00BB124E" w:rsidP="00AC62B4">
      <w:r>
        <w:rPr>
          <w:noProof/>
          <w:lang w:eastAsia="en-AU"/>
        </w:rPr>
        <w:drawing>
          <wp:inline distT="0" distB="0" distL="0" distR="0" wp14:anchorId="7CEC9A4D" wp14:editId="1BE86A45">
            <wp:extent cx="4733925" cy="4362450"/>
            <wp:effectExtent l="0" t="0" r="0" b="0"/>
            <wp:docPr id="3" name="Picture 3" descr="Table 17. Change from baseline in morning predose (trough) FEV1 (L) at Week 12 or Week 24,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33925" cy="4362450"/>
                    </a:xfrm>
                    <a:prstGeom prst="rect">
                      <a:avLst/>
                    </a:prstGeom>
                  </pic:spPr>
                </pic:pic>
              </a:graphicData>
            </a:graphic>
          </wp:inline>
        </w:drawing>
      </w:r>
    </w:p>
    <w:p w:rsidR="00AF3D89" w:rsidRPr="00F107F4" w:rsidRDefault="00AF3D89" w:rsidP="00AC62B4">
      <w:r w:rsidRPr="00F107F4">
        <w:t>The primary efficacy results showed a consistent statistically significant superiority of 400</w:t>
      </w:r>
      <w:r w:rsidR="00C9788D">
        <w:t> </w:t>
      </w:r>
      <w:r w:rsidR="00A5120F">
        <w:t>µ</w:t>
      </w:r>
      <w:r w:rsidRPr="00F107F4">
        <w:t>g v</w:t>
      </w:r>
      <w:r w:rsidR="00C457BC">
        <w:t>ersu</w:t>
      </w:r>
      <w:r w:rsidRPr="00F107F4">
        <w:t>s placebo. The</w:t>
      </w:r>
      <w:r>
        <w:t xml:space="preserve"> </w:t>
      </w:r>
      <w:r w:rsidRPr="00F107F4">
        <w:t xml:space="preserve">effect size in </w:t>
      </w:r>
      <w:r w:rsidRPr="00C457BC">
        <w:t>LAS-MD-38 Part A</w:t>
      </w:r>
      <w:r w:rsidRPr="00F107F4">
        <w:t xml:space="preserve"> is smaller (72 mL ) compared to </w:t>
      </w:r>
      <w:r w:rsidR="00C457BC">
        <w:t>Studies LAS</w:t>
      </w:r>
      <w:r w:rsidRPr="00C457BC">
        <w:t>-MD-33</w:t>
      </w:r>
      <w:r w:rsidRPr="00F107F4">
        <w:t xml:space="preserve"> (124 mL) and </w:t>
      </w:r>
      <w:r w:rsidRPr="00C457BC">
        <w:t>M/34273/34</w:t>
      </w:r>
      <w:r w:rsidRPr="00F107F4">
        <w:t xml:space="preserve"> (105 mL).This may have been attributed to</w:t>
      </w:r>
      <w:r>
        <w:t xml:space="preserve"> </w:t>
      </w:r>
      <w:r w:rsidRPr="00F107F4">
        <w:t xml:space="preserve">the imbalance in the severe COPD in the 400 </w:t>
      </w:r>
      <w:r w:rsidR="00A5120F">
        <w:t>µ</w:t>
      </w:r>
      <w:r w:rsidRPr="00F107F4">
        <w:t>g</w:t>
      </w:r>
      <w:r>
        <w:t xml:space="preserve"> </w:t>
      </w:r>
      <w:r w:rsidRPr="00F107F4">
        <w:t xml:space="preserve">groups in </w:t>
      </w:r>
      <w:r w:rsidR="00C457BC">
        <w:t>Study LAS</w:t>
      </w:r>
      <w:r w:rsidRPr="00F107F4">
        <w:rPr>
          <w:b/>
        </w:rPr>
        <w:t>-</w:t>
      </w:r>
      <w:r w:rsidRPr="00C457BC">
        <w:t>MD-33</w:t>
      </w:r>
      <w:r w:rsidRPr="00F107F4">
        <w:t xml:space="preserve"> (35%); in </w:t>
      </w:r>
      <w:r w:rsidR="0090353D">
        <w:t>Study M/</w:t>
      </w:r>
      <w:r w:rsidRPr="00C457BC">
        <w:t>34273/34</w:t>
      </w:r>
      <w:r>
        <w:t xml:space="preserve"> </w:t>
      </w:r>
      <w:r w:rsidRPr="00F107F4">
        <w:t xml:space="preserve">(31%) and in Study </w:t>
      </w:r>
      <w:r w:rsidRPr="00C457BC">
        <w:t>LAS-MD-38 Part A</w:t>
      </w:r>
      <w:r w:rsidRPr="00F107F4">
        <w:t xml:space="preserve"> (54%). There was also a superiority seen with the 200 </w:t>
      </w:r>
      <w:r w:rsidR="00A5120F">
        <w:t>µ</w:t>
      </w:r>
      <w:r w:rsidRPr="00F107F4">
        <w:t xml:space="preserve">g dose however the effect size was smaller than that observed with 400 </w:t>
      </w:r>
      <w:r w:rsidR="00A5120F">
        <w:t>µ</w:t>
      </w:r>
      <w:r w:rsidRPr="00F107F4">
        <w:t>g</w:t>
      </w:r>
      <w:r>
        <w:t xml:space="preserve"> </w:t>
      </w:r>
      <w:r w:rsidRPr="00F107F4">
        <w:t>and thus suggested</w:t>
      </w:r>
      <w:r>
        <w:t xml:space="preserve"> </w:t>
      </w:r>
      <w:r w:rsidR="00AC62B4">
        <w:t>a dose response.</w:t>
      </w:r>
    </w:p>
    <w:p w:rsidR="00AF3D89" w:rsidRPr="00AC62B4" w:rsidRDefault="00AF3D89" w:rsidP="00AC62B4">
      <w:pPr>
        <w:pStyle w:val="Heading6"/>
      </w:pPr>
      <w:r w:rsidRPr="00F107F4">
        <w:t>Secondary efficacy endpoints</w:t>
      </w:r>
    </w:p>
    <w:p w:rsidR="00943F2D" w:rsidRDefault="00943F2D" w:rsidP="00AC62B4">
      <w:r>
        <w:t>The following table</w:t>
      </w:r>
      <w:r w:rsidR="00C22964">
        <w:t xml:space="preserve"> (Table 18)</w:t>
      </w:r>
      <w:r>
        <w:t xml:space="preserve"> shows results for the secondary end points.</w:t>
      </w:r>
    </w:p>
    <w:p w:rsidR="00AF3D89" w:rsidRPr="00AC62B4" w:rsidRDefault="00C457BC" w:rsidP="00AC62B4">
      <w:pPr>
        <w:pStyle w:val="TableTitle"/>
      </w:pPr>
      <w:proofErr w:type="gramStart"/>
      <w:r>
        <w:t>Table</w:t>
      </w:r>
      <w:r w:rsidR="00F27942">
        <w:t xml:space="preserve"> 1</w:t>
      </w:r>
      <w:r w:rsidR="00145C30">
        <w:t>8</w:t>
      </w:r>
      <w:r>
        <w:t>.</w:t>
      </w:r>
      <w:proofErr w:type="gramEnd"/>
      <w:r>
        <w:t xml:space="preserve"> </w:t>
      </w:r>
      <w:r w:rsidR="00AF3D89" w:rsidRPr="00F107F4">
        <w:t>Mean change from baseline in peak FEV1 (c/w placebo)</w:t>
      </w:r>
    </w:p>
    <w:tbl>
      <w:tblPr>
        <w:tblStyle w:val="TableTGAblue"/>
        <w:tblW w:w="0" w:type="auto"/>
        <w:tblInd w:w="108" w:type="dxa"/>
        <w:tblLook w:val="04A0" w:firstRow="1" w:lastRow="0" w:firstColumn="1" w:lastColumn="0" w:noHBand="0" w:noVBand="1"/>
      </w:tblPr>
      <w:tblGrid>
        <w:gridCol w:w="2819"/>
        <w:gridCol w:w="2896"/>
        <w:gridCol w:w="2649"/>
      </w:tblGrid>
      <w:tr w:rsidR="00AF3D89" w:rsidRPr="00F107F4" w:rsidTr="00C9788D">
        <w:trPr>
          <w:cnfStyle w:val="100000000000" w:firstRow="1" w:lastRow="0" w:firstColumn="0" w:lastColumn="0" w:oddVBand="0" w:evenVBand="0" w:oddHBand="0" w:evenHBand="0" w:firstRowFirstColumn="0" w:firstRowLastColumn="0" w:lastRowFirstColumn="0" w:lastRowLastColumn="0"/>
        </w:trPr>
        <w:tc>
          <w:tcPr>
            <w:tcW w:w="2819" w:type="dxa"/>
          </w:tcPr>
          <w:p w:rsidR="00AF3D89" w:rsidRPr="00C457BC" w:rsidRDefault="00AF3D89" w:rsidP="00AC62B4">
            <w:pPr>
              <w:ind w:left="34" w:right="17"/>
            </w:pPr>
            <w:r w:rsidRPr="00C457BC">
              <w:t>Study</w:t>
            </w:r>
          </w:p>
        </w:tc>
        <w:tc>
          <w:tcPr>
            <w:tcW w:w="2896" w:type="dxa"/>
          </w:tcPr>
          <w:p w:rsidR="00AF3D89" w:rsidRPr="00C457BC" w:rsidRDefault="00AF3D89" w:rsidP="00AC62B4">
            <w:pPr>
              <w:ind w:left="50" w:right="78"/>
            </w:pPr>
            <w:r w:rsidRPr="00C457BC">
              <w:t xml:space="preserve">200 </w:t>
            </w:r>
            <w:r w:rsidR="00A5120F">
              <w:t>µ</w:t>
            </w:r>
            <w:r w:rsidRPr="00C457BC">
              <w:t>g aclidinium bromide</w:t>
            </w:r>
          </w:p>
        </w:tc>
        <w:tc>
          <w:tcPr>
            <w:tcW w:w="2649" w:type="dxa"/>
          </w:tcPr>
          <w:p w:rsidR="00AF3D89" w:rsidRPr="00C457BC" w:rsidRDefault="00AF3D89" w:rsidP="00AC62B4">
            <w:pPr>
              <w:ind w:left="0" w:right="34"/>
            </w:pPr>
            <w:r w:rsidRPr="00C457BC">
              <w:t xml:space="preserve">400 </w:t>
            </w:r>
            <w:r w:rsidR="00A5120F">
              <w:t>µ</w:t>
            </w:r>
            <w:r w:rsidRPr="00C457BC">
              <w:t>g aclidinium bromide</w:t>
            </w:r>
          </w:p>
        </w:tc>
      </w:tr>
      <w:tr w:rsidR="00AF3D89" w:rsidRPr="00F107F4" w:rsidTr="00C9788D">
        <w:tc>
          <w:tcPr>
            <w:tcW w:w="2819" w:type="dxa"/>
          </w:tcPr>
          <w:p w:rsidR="00AF3D89" w:rsidRPr="00AC62B4" w:rsidRDefault="00AF3D89" w:rsidP="00AC62B4">
            <w:pPr>
              <w:ind w:left="34" w:right="17"/>
              <w:rPr>
                <w:b/>
              </w:rPr>
            </w:pPr>
            <w:r w:rsidRPr="00AC62B4">
              <w:rPr>
                <w:b/>
              </w:rPr>
              <w:t>M/34273/34</w:t>
            </w:r>
          </w:p>
        </w:tc>
        <w:tc>
          <w:tcPr>
            <w:tcW w:w="2896" w:type="dxa"/>
          </w:tcPr>
          <w:p w:rsidR="00AF3D89" w:rsidRPr="00C457BC" w:rsidRDefault="00AF3D89" w:rsidP="00AC62B4">
            <w:pPr>
              <w:ind w:left="50" w:right="78"/>
            </w:pPr>
          </w:p>
        </w:tc>
        <w:tc>
          <w:tcPr>
            <w:tcW w:w="2649" w:type="dxa"/>
          </w:tcPr>
          <w:p w:rsidR="00AF3D89" w:rsidRPr="00C457BC" w:rsidRDefault="00AF3D89" w:rsidP="00AC62B4">
            <w:pPr>
              <w:ind w:left="0" w:right="34"/>
            </w:pPr>
          </w:p>
        </w:tc>
      </w:tr>
      <w:tr w:rsidR="00AF3D89" w:rsidRPr="00F107F4" w:rsidTr="00C9788D">
        <w:tc>
          <w:tcPr>
            <w:tcW w:w="2819" w:type="dxa"/>
          </w:tcPr>
          <w:p w:rsidR="00AF3D89" w:rsidRPr="00C457BC" w:rsidRDefault="00AF3D89" w:rsidP="00AC62B4">
            <w:pPr>
              <w:ind w:left="34" w:right="17"/>
            </w:pPr>
            <w:r w:rsidRPr="00C457BC">
              <w:t>12 weeks</w:t>
            </w:r>
          </w:p>
        </w:tc>
        <w:tc>
          <w:tcPr>
            <w:tcW w:w="2896" w:type="dxa"/>
          </w:tcPr>
          <w:p w:rsidR="00AF3D89" w:rsidRPr="00C457BC" w:rsidRDefault="00AF3D89" w:rsidP="00AC62B4">
            <w:pPr>
              <w:ind w:left="50" w:right="78"/>
            </w:pPr>
            <w:r w:rsidRPr="00C457BC">
              <w:t>0.182 L p&lt;0.0001</w:t>
            </w:r>
          </w:p>
        </w:tc>
        <w:tc>
          <w:tcPr>
            <w:tcW w:w="2649" w:type="dxa"/>
          </w:tcPr>
          <w:p w:rsidR="00AF3D89" w:rsidRPr="00C457BC" w:rsidRDefault="00AF3D89" w:rsidP="00AC62B4">
            <w:pPr>
              <w:ind w:left="0" w:right="34"/>
            </w:pPr>
            <w:r w:rsidRPr="00C457BC">
              <w:t>0.191 L p&lt;0.0001</w:t>
            </w:r>
          </w:p>
        </w:tc>
      </w:tr>
      <w:tr w:rsidR="00AF3D89" w:rsidRPr="00F107F4" w:rsidTr="00C9788D">
        <w:tc>
          <w:tcPr>
            <w:tcW w:w="2819" w:type="dxa"/>
          </w:tcPr>
          <w:p w:rsidR="00AF3D89" w:rsidRPr="00C457BC" w:rsidRDefault="00AF3D89" w:rsidP="00AC62B4">
            <w:pPr>
              <w:ind w:left="34" w:right="17"/>
            </w:pPr>
            <w:r w:rsidRPr="00C457BC">
              <w:t>24 weeks</w:t>
            </w:r>
          </w:p>
        </w:tc>
        <w:tc>
          <w:tcPr>
            <w:tcW w:w="2896" w:type="dxa"/>
          </w:tcPr>
          <w:p w:rsidR="00AF3D89" w:rsidRPr="00C457BC" w:rsidRDefault="00AF3D89" w:rsidP="00AC62B4">
            <w:pPr>
              <w:ind w:left="50" w:right="78"/>
            </w:pPr>
            <w:r w:rsidRPr="00C457BC">
              <w:t>0.185 L p&lt;0.0001</w:t>
            </w:r>
          </w:p>
        </w:tc>
        <w:tc>
          <w:tcPr>
            <w:tcW w:w="2649" w:type="dxa"/>
          </w:tcPr>
          <w:p w:rsidR="00AF3D89" w:rsidRPr="00C457BC" w:rsidRDefault="00AF3D89" w:rsidP="00AC62B4">
            <w:pPr>
              <w:ind w:left="0" w:right="34"/>
            </w:pPr>
            <w:r w:rsidRPr="00C457BC">
              <w:t>0.209 L p&lt;0.0001</w:t>
            </w:r>
          </w:p>
        </w:tc>
      </w:tr>
      <w:tr w:rsidR="00AF3D89" w:rsidRPr="00F107F4" w:rsidTr="00C9788D">
        <w:tc>
          <w:tcPr>
            <w:tcW w:w="2819" w:type="dxa"/>
          </w:tcPr>
          <w:p w:rsidR="00AF3D89" w:rsidRPr="00AC62B4" w:rsidRDefault="00AF3D89" w:rsidP="00AC62B4">
            <w:pPr>
              <w:ind w:left="34" w:right="17"/>
              <w:rPr>
                <w:b/>
              </w:rPr>
            </w:pPr>
            <w:r w:rsidRPr="00AC62B4">
              <w:rPr>
                <w:b/>
              </w:rPr>
              <w:t>LAS- MD-33</w:t>
            </w:r>
          </w:p>
        </w:tc>
        <w:tc>
          <w:tcPr>
            <w:tcW w:w="2896" w:type="dxa"/>
          </w:tcPr>
          <w:p w:rsidR="00AF3D89" w:rsidRPr="00C457BC" w:rsidRDefault="00AF3D89" w:rsidP="00AC62B4">
            <w:pPr>
              <w:ind w:left="50" w:right="78"/>
            </w:pPr>
          </w:p>
        </w:tc>
        <w:tc>
          <w:tcPr>
            <w:tcW w:w="2649" w:type="dxa"/>
          </w:tcPr>
          <w:p w:rsidR="00AF3D89" w:rsidRPr="00C457BC" w:rsidRDefault="00AF3D89" w:rsidP="00AC62B4">
            <w:pPr>
              <w:ind w:left="0" w:right="34"/>
            </w:pPr>
          </w:p>
        </w:tc>
      </w:tr>
      <w:tr w:rsidR="00AF3D89" w:rsidRPr="00F107F4" w:rsidTr="00C9788D">
        <w:tc>
          <w:tcPr>
            <w:tcW w:w="2819" w:type="dxa"/>
          </w:tcPr>
          <w:p w:rsidR="00AF3D89" w:rsidRPr="00C457BC" w:rsidRDefault="00AF3D89" w:rsidP="00AC62B4">
            <w:pPr>
              <w:ind w:left="34" w:right="17"/>
            </w:pPr>
            <w:r w:rsidRPr="00C457BC">
              <w:t>12 weeks</w:t>
            </w:r>
          </w:p>
        </w:tc>
        <w:tc>
          <w:tcPr>
            <w:tcW w:w="2896" w:type="dxa"/>
          </w:tcPr>
          <w:p w:rsidR="00AF3D89" w:rsidRPr="00C457BC" w:rsidRDefault="00AF3D89" w:rsidP="00AC62B4">
            <w:pPr>
              <w:ind w:left="50" w:right="78"/>
            </w:pPr>
            <w:r w:rsidRPr="00C457BC">
              <w:t>0.146 L p&lt;0.0001</w:t>
            </w:r>
          </w:p>
        </w:tc>
        <w:tc>
          <w:tcPr>
            <w:tcW w:w="2649" w:type="dxa"/>
          </w:tcPr>
          <w:p w:rsidR="00AF3D89" w:rsidRPr="00C457BC" w:rsidRDefault="00AF3D89" w:rsidP="00AC62B4">
            <w:pPr>
              <w:ind w:left="0" w:right="34"/>
            </w:pPr>
            <w:r w:rsidRPr="00C457BC">
              <w:t>0.192 L p&lt;0.0001</w:t>
            </w:r>
          </w:p>
        </w:tc>
      </w:tr>
      <w:tr w:rsidR="00AF3D89" w:rsidRPr="00F107F4" w:rsidTr="00C9788D">
        <w:tc>
          <w:tcPr>
            <w:tcW w:w="2819" w:type="dxa"/>
          </w:tcPr>
          <w:p w:rsidR="00AF3D89" w:rsidRPr="00AC62B4" w:rsidRDefault="00AF3D89" w:rsidP="00AC62B4">
            <w:pPr>
              <w:ind w:left="34" w:right="17"/>
              <w:rPr>
                <w:b/>
              </w:rPr>
            </w:pPr>
            <w:r w:rsidRPr="00AC62B4">
              <w:rPr>
                <w:b/>
              </w:rPr>
              <w:t>LAS-MD-38</w:t>
            </w:r>
          </w:p>
        </w:tc>
        <w:tc>
          <w:tcPr>
            <w:tcW w:w="2896" w:type="dxa"/>
          </w:tcPr>
          <w:p w:rsidR="00AF3D89" w:rsidRPr="00C457BC" w:rsidRDefault="00AF3D89" w:rsidP="00AC62B4">
            <w:pPr>
              <w:ind w:left="50" w:right="78"/>
            </w:pPr>
          </w:p>
        </w:tc>
        <w:tc>
          <w:tcPr>
            <w:tcW w:w="2649" w:type="dxa"/>
          </w:tcPr>
          <w:p w:rsidR="00AF3D89" w:rsidRPr="00C457BC" w:rsidRDefault="00AF3D89" w:rsidP="00AC62B4">
            <w:pPr>
              <w:ind w:left="0" w:right="34"/>
            </w:pPr>
          </w:p>
        </w:tc>
      </w:tr>
      <w:tr w:rsidR="00AF3D89" w:rsidRPr="00F107F4" w:rsidTr="00C9788D">
        <w:tc>
          <w:tcPr>
            <w:tcW w:w="2819" w:type="dxa"/>
          </w:tcPr>
          <w:p w:rsidR="00AF3D89" w:rsidRPr="00C457BC" w:rsidRDefault="00AF3D89" w:rsidP="00AC62B4">
            <w:pPr>
              <w:ind w:left="34" w:right="17"/>
            </w:pPr>
            <w:r w:rsidRPr="00C457BC">
              <w:t>12 weeks</w:t>
            </w:r>
          </w:p>
        </w:tc>
        <w:tc>
          <w:tcPr>
            <w:tcW w:w="2896" w:type="dxa"/>
          </w:tcPr>
          <w:p w:rsidR="00AF3D89" w:rsidRPr="00C457BC" w:rsidRDefault="00AF3D89" w:rsidP="00AC62B4">
            <w:pPr>
              <w:ind w:left="50" w:right="78"/>
            </w:pPr>
            <w:r w:rsidRPr="00C457BC">
              <w:t>0.115 L p&lt;0.0001</w:t>
            </w:r>
          </w:p>
        </w:tc>
        <w:tc>
          <w:tcPr>
            <w:tcW w:w="2649" w:type="dxa"/>
          </w:tcPr>
          <w:p w:rsidR="00AF3D89" w:rsidRPr="00C457BC" w:rsidRDefault="00AF3D89" w:rsidP="00AC62B4">
            <w:pPr>
              <w:ind w:left="0" w:right="34"/>
            </w:pPr>
            <w:r w:rsidRPr="00C457BC">
              <w:t>0.125 L p&lt;0.0001</w:t>
            </w:r>
          </w:p>
        </w:tc>
      </w:tr>
    </w:tbl>
    <w:p w:rsidR="00AF3D89" w:rsidRPr="00943F2D" w:rsidRDefault="00AF3D89" w:rsidP="00AC62B4">
      <w:r w:rsidRPr="00F107F4">
        <w:t xml:space="preserve">The difference between doses was statistically significant in Study </w:t>
      </w:r>
      <w:r w:rsidR="00AC62B4">
        <w:t>LAS-MD-33 only.</w:t>
      </w:r>
    </w:p>
    <w:p w:rsidR="00AF3D89" w:rsidRDefault="00AF3D89" w:rsidP="00AC62B4">
      <w:r w:rsidRPr="00943F2D">
        <w:t xml:space="preserve">Study M/34273/34 </w:t>
      </w:r>
      <w:r w:rsidRPr="00F107F4">
        <w:t>also assessed the TDI scores. The following</w:t>
      </w:r>
      <w:r w:rsidR="00C22964">
        <w:t xml:space="preserve"> (Table 19)</w:t>
      </w:r>
      <w:r w:rsidRPr="00F107F4">
        <w:t xml:space="preserve"> is extracted from the clinical report:</w:t>
      </w:r>
    </w:p>
    <w:p w:rsidR="00943F2D" w:rsidRPr="00AC62B4" w:rsidRDefault="00943F2D" w:rsidP="00AC62B4">
      <w:pPr>
        <w:pStyle w:val="TableTitle"/>
      </w:pPr>
      <w:proofErr w:type="gramStart"/>
      <w:r>
        <w:t>Table</w:t>
      </w:r>
      <w:r w:rsidR="00F27942">
        <w:t xml:space="preserve"> 1</w:t>
      </w:r>
      <w:r w:rsidR="00145C30">
        <w:t>9</w:t>
      </w:r>
      <w:r>
        <w:t>.</w:t>
      </w:r>
      <w:proofErr w:type="gramEnd"/>
      <w:r>
        <w:t xml:space="preserve"> TDI Focal score at Week 4, 12 and Week 24 of treatment. </w:t>
      </w:r>
      <w:proofErr w:type="gramStart"/>
      <w:r>
        <w:t>ANCOVA model treatment comparison.</w:t>
      </w:r>
      <w:proofErr w:type="gramEnd"/>
      <w:r>
        <w:t xml:space="preserve"> </w:t>
      </w:r>
      <w:proofErr w:type="gramStart"/>
      <w:r>
        <w:t>(ITT population (LOCF).</w:t>
      </w:r>
      <w:proofErr w:type="gramEnd"/>
    </w:p>
    <w:p w:rsidR="00AF3D89" w:rsidRPr="00F107F4" w:rsidRDefault="00AF3D89" w:rsidP="00AC62B4">
      <w:r>
        <w:rPr>
          <w:noProof/>
          <w:lang w:eastAsia="en-AU"/>
        </w:rPr>
        <w:drawing>
          <wp:inline distT="0" distB="0" distL="0" distR="0" wp14:anchorId="3E419AEE" wp14:editId="75E16956">
            <wp:extent cx="4600575" cy="2895600"/>
            <wp:effectExtent l="0" t="0" r="0" b="0"/>
            <wp:docPr id="12" name="Picture 12" descr="Table 19. TDI Focal score at Week 4, 12 and Week 24 of treatment. ANCOVA model treatment comparison. (ITT population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709"/>
                    <a:stretch/>
                  </pic:blipFill>
                  <pic:spPr bwMode="auto">
                    <a:xfrm>
                      <a:off x="0" y="0"/>
                      <a:ext cx="4600575" cy="2895600"/>
                    </a:xfrm>
                    <a:prstGeom prst="rect">
                      <a:avLst/>
                    </a:prstGeom>
                    <a:noFill/>
                    <a:ln>
                      <a:noFill/>
                    </a:ln>
                    <a:extLst>
                      <a:ext uri="{53640926-AAD7-44D8-BBD7-CCE9431645EC}">
                        <a14:shadowObscured xmlns:a14="http://schemas.microsoft.com/office/drawing/2010/main"/>
                      </a:ext>
                    </a:extLst>
                  </pic:spPr>
                </pic:pic>
              </a:graphicData>
            </a:graphic>
          </wp:inline>
        </w:drawing>
      </w:r>
    </w:p>
    <w:p w:rsidR="00AF3D89" w:rsidRPr="00F107F4" w:rsidRDefault="00AF3D89" w:rsidP="00AC62B4">
      <w:pPr>
        <w:rPr>
          <w:b/>
        </w:rPr>
      </w:pPr>
      <w:r w:rsidRPr="00F107F4">
        <w:t xml:space="preserve">The evaluator mentions that, </w:t>
      </w:r>
      <w:r w:rsidR="001D13B2" w:rsidRPr="00AC62B4">
        <w:rPr>
          <w:i/>
        </w:rPr>
        <w:t>‘</w:t>
      </w:r>
      <w:r w:rsidRPr="00AC62B4">
        <w:rPr>
          <w:i/>
        </w:rPr>
        <w:t xml:space="preserve">the percentage of patients with clinically relevant improvement in TDI focal score in the aclidinium bromide 400 </w:t>
      </w:r>
      <w:r w:rsidR="00A5120F" w:rsidRPr="00AC62B4">
        <w:rPr>
          <w:i/>
        </w:rPr>
        <w:t>µ</w:t>
      </w:r>
      <w:r w:rsidRPr="00AC62B4">
        <w:rPr>
          <w:i/>
        </w:rPr>
        <w:t xml:space="preserve">g group was always numerically larger than in the aclidinium bromide 200 </w:t>
      </w:r>
      <w:r w:rsidR="00A5120F" w:rsidRPr="00AC62B4">
        <w:rPr>
          <w:i/>
        </w:rPr>
        <w:t>µ</w:t>
      </w:r>
      <w:r w:rsidRPr="00AC62B4">
        <w:rPr>
          <w:i/>
        </w:rPr>
        <w:t>g group</w:t>
      </w:r>
      <w:r w:rsidR="001D13B2" w:rsidRPr="00AC62B4">
        <w:rPr>
          <w:i/>
        </w:rPr>
        <w:t>’</w:t>
      </w:r>
      <w:r w:rsidR="00AC62B4">
        <w:t>.</w:t>
      </w:r>
    </w:p>
    <w:p w:rsidR="00943F2D" w:rsidRPr="00AC62B4" w:rsidRDefault="00AF3D89" w:rsidP="00AC62B4">
      <w:pPr>
        <w:pStyle w:val="Heading6"/>
      </w:pPr>
      <w:r w:rsidRPr="00F107F4">
        <w:t xml:space="preserve">SGRQ scores in Study </w:t>
      </w:r>
      <w:r w:rsidRPr="00943F2D">
        <w:t>M34273/34</w:t>
      </w:r>
    </w:p>
    <w:p w:rsidR="00AF3D89" w:rsidRPr="00943F2D" w:rsidRDefault="00943F2D" w:rsidP="00AC62B4">
      <w:r>
        <w:t>Results for SGRQ scores in Study M34273/34 are shown below</w:t>
      </w:r>
      <w:r w:rsidR="00C22964">
        <w:t xml:space="preserve"> in Table 20</w:t>
      </w:r>
      <w:r>
        <w:t>.</w:t>
      </w:r>
    </w:p>
    <w:p w:rsidR="00943F2D" w:rsidRPr="00AC62B4" w:rsidRDefault="00943F2D" w:rsidP="00AC62B4">
      <w:pPr>
        <w:pStyle w:val="TableTitle"/>
      </w:pPr>
      <w:proofErr w:type="gramStart"/>
      <w:r>
        <w:t xml:space="preserve">Table </w:t>
      </w:r>
      <w:r w:rsidR="00145C30">
        <w:t>20</w:t>
      </w:r>
      <w:r w:rsidR="00F27942">
        <w:t>.</w:t>
      </w:r>
      <w:proofErr w:type="gramEnd"/>
      <w:r w:rsidR="00F27942">
        <w:t xml:space="preserve"> </w:t>
      </w:r>
      <w:proofErr w:type="gramStart"/>
      <w:r>
        <w:t>Number (%) of patients who achieved at least 4-point reduction from baseline in SGRQ total score at Weeks 4, 12 and 24 (ITT population (LOCF).</w:t>
      </w:r>
      <w:proofErr w:type="gramEnd"/>
    </w:p>
    <w:p w:rsidR="00AF3D89" w:rsidRPr="00F107F4" w:rsidRDefault="00AF3D89" w:rsidP="00AC62B4">
      <w:r>
        <w:rPr>
          <w:noProof/>
          <w:lang w:eastAsia="en-AU"/>
        </w:rPr>
        <w:drawing>
          <wp:inline distT="0" distB="0" distL="0" distR="0" wp14:anchorId="6392F004" wp14:editId="170EB953">
            <wp:extent cx="4895850" cy="3476625"/>
            <wp:effectExtent l="0" t="0" r="0" b="0"/>
            <wp:docPr id="11" name="Picture 11" descr="Table 20. Number (%) of patients who achieved at least 4-point reduction from baseline in SGRQ total score at Weeks 4, 12 and 24 (ITT population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829"/>
                    <a:stretch/>
                  </pic:blipFill>
                  <pic:spPr bwMode="auto">
                    <a:xfrm>
                      <a:off x="0" y="0"/>
                      <a:ext cx="4895850" cy="3476625"/>
                    </a:xfrm>
                    <a:prstGeom prst="rect">
                      <a:avLst/>
                    </a:prstGeom>
                    <a:noFill/>
                    <a:ln>
                      <a:noFill/>
                    </a:ln>
                    <a:extLst>
                      <a:ext uri="{53640926-AAD7-44D8-BBD7-CCE9431645EC}">
                        <a14:shadowObscured xmlns:a14="http://schemas.microsoft.com/office/drawing/2010/main"/>
                      </a:ext>
                    </a:extLst>
                  </pic:spPr>
                </pic:pic>
              </a:graphicData>
            </a:graphic>
          </wp:inline>
        </w:drawing>
      </w:r>
    </w:p>
    <w:p w:rsidR="00AF3D89" w:rsidRPr="00F107F4" w:rsidRDefault="00943F2D" w:rsidP="00AC62B4">
      <w:r>
        <w:t>At W</w:t>
      </w:r>
      <w:r w:rsidR="00AF3D89" w:rsidRPr="00F107F4">
        <w:t xml:space="preserve">eek 24 significantly more patients had a clinically relevant improvement in SGRQ total score for both doses compared with placebo. Whilst these endpoints were assessed in the other two studies, multiplicity adjustments were not factored in and thus </w:t>
      </w:r>
      <w:r w:rsidR="00AC62B4">
        <w:t>are only considered supportive.</w:t>
      </w:r>
    </w:p>
    <w:p w:rsidR="00AF3D89" w:rsidRPr="00943F2D" w:rsidRDefault="00AF3D89" w:rsidP="00AC62B4">
      <w:r w:rsidRPr="00943F2D">
        <w:rPr>
          <w:rStyle w:val="Heading6Char"/>
          <w:rFonts w:eastAsia="Cambria"/>
        </w:rPr>
        <w:t>A 24 hour PFT substudy</w:t>
      </w:r>
      <w:r w:rsidR="00943F2D">
        <w:rPr>
          <w:rStyle w:val="Heading6Char"/>
          <w:rFonts w:eastAsia="Cambria"/>
        </w:rPr>
        <w:t xml:space="preserve"> </w:t>
      </w:r>
      <w:r w:rsidRPr="00F107F4">
        <w:t xml:space="preserve">was also conducted in approximately 40% of </w:t>
      </w:r>
      <w:r w:rsidRPr="00943F2D">
        <w:t>M34273/31 and approximately 30% of the LA</w:t>
      </w:r>
      <w:r w:rsidR="00C9788D">
        <w:t>S</w:t>
      </w:r>
      <w:r w:rsidRPr="00943F2D">
        <w:t>–MD-33 and LAS-MD-38A</w:t>
      </w:r>
      <w:r w:rsidRPr="00F107F4">
        <w:t xml:space="preserve"> subjects.</w:t>
      </w:r>
      <w:r>
        <w:t xml:space="preserve"> </w:t>
      </w:r>
      <w:r w:rsidRPr="00F107F4">
        <w:t>These analyses are considered supportive to the primary endpoint and are of limited statistical validity. They are only briefly considered in this report:</w:t>
      </w:r>
      <w:r>
        <w:t xml:space="preserve"> 1) </w:t>
      </w:r>
      <w:r w:rsidRPr="00F107F4">
        <w:t>change in baseline FEV1</w:t>
      </w:r>
      <w:r w:rsidR="00C9788D">
        <w:t xml:space="preserve"> and</w:t>
      </w:r>
      <w:r w:rsidRPr="00F107F4">
        <w:t xml:space="preserve"> FVC</w:t>
      </w:r>
      <w:r>
        <w:t xml:space="preserve"> </w:t>
      </w:r>
      <w:r w:rsidRPr="00F107F4">
        <w:t xml:space="preserve">over 12 hours were supportive of the primary endpoints. </w:t>
      </w:r>
      <w:r>
        <w:t xml:space="preserve">2) </w:t>
      </w:r>
      <w:r w:rsidRPr="00F107F4">
        <w:t xml:space="preserve">COPD exacerbations defined as </w:t>
      </w:r>
      <w:r w:rsidR="001D13B2">
        <w:t>‘</w:t>
      </w:r>
      <w:r w:rsidRPr="00F107F4">
        <w:t>an increase in COPD symptoms during at least 2 consecutive days</w:t>
      </w:r>
      <w:r w:rsidR="001D13B2">
        <w:t>’</w:t>
      </w:r>
      <w:r w:rsidRPr="00F107F4">
        <w:t xml:space="preserve"> showed that 2 of the 3 studies (</w:t>
      </w:r>
      <w:r w:rsidRPr="00943F2D">
        <w:t>M/34273/34 and LAS –MD-33</w:t>
      </w:r>
      <w:r w:rsidRPr="00F107F4">
        <w:t xml:space="preserve">) showed statistically significant reduction. However, </w:t>
      </w:r>
      <w:r>
        <w:t xml:space="preserve">only TDI and SGRQ scores were considered valid secondary efficacy end points where </w:t>
      </w:r>
      <w:r w:rsidRPr="00F107F4">
        <w:t>multiplicity adjustments</w:t>
      </w:r>
      <w:r>
        <w:t xml:space="preserve"> were taken into considerations (</w:t>
      </w:r>
      <w:r w:rsidRPr="00943F2D">
        <w:t>M/34273/34 only</w:t>
      </w:r>
      <w:r>
        <w:t>)</w:t>
      </w:r>
      <w:r w:rsidRPr="00F107F4">
        <w:t>. There is a</w:t>
      </w:r>
      <w:r>
        <w:t xml:space="preserve"> </w:t>
      </w:r>
      <w:r w:rsidRPr="00F107F4">
        <w:t xml:space="preserve">statement in the draft PI, </w:t>
      </w:r>
      <w:r w:rsidR="001D13B2">
        <w:t>‘</w:t>
      </w:r>
      <w:r w:rsidRPr="00943F2D">
        <w:rPr>
          <w:i/>
        </w:rPr>
        <w:t>pooled efficacy analysis of the 6 month and 3 month placebo controlled studies demonstrated a statistically significant reduction in the rate of moderate to severe exacerbations (requiring treatment with antibiotics or corticosteroids or resulting in hospitalisations) with aclidinium 322 mcg twice daily compared to placebo (rate per patient per year</w:t>
      </w:r>
      <w:proofErr w:type="gramStart"/>
      <w:r w:rsidRPr="00943F2D">
        <w:rPr>
          <w:i/>
        </w:rPr>
        <w:t>:0.31</w:t>
      </w:r>
      <w:proofErr w:type="gramEnd"/>
      <w:r w:rsidRPr="00943F2D">
        <w:rPr>
          <w:i/>
        </w:rPr>
        <w:t xml:space="preserve"> vs 0.44 respectively; p=0.0149</w:t>
      </w:r>
      <w:r w:rsidRPr="00F107F4">
        <w:t>)</w:t>
      </w:r>
      <w:r w:rsidR="001D13B2">
        <w:t>’</w:t>
      </w:r>
      <w:r w:rsidRPr="00F107F4">
        <w:t>.</w:t>
      </w:r>
      <w:r>
        <w:t xml:space="preserve"> </w:t>
      </w:r>
      <w:r w:rsidRPr="00943F2D">
        <w:t>This should be removed as this is not based on valid statistical principles.</w:t>
      </w:r>
    </w:p>
    <w:p w:rsidR="00AF3D89" w:rsidRPr="00AC62B4" w:rsidRDefault="00AF3D89" w:rsidP="00AC62B4">
      <w:pPr>
        <w:pStyle w:val="Heading5"/>
      </w:pPr>
      <w:r w:rsidRPr="00F107F4">
        <w:t>Other efficacy studies</w:t>
      </w:r>
    </w:p>
    <w:p w:rsidR="00AF3D89" w:rsidRPr="00F107F4" w:rsidRDefault="00AF3D89" w:rsidP="00AC62B4">
      <w:r w:rsidRPr="00943F2D">
        <w:rPr>
          <w:rStyle w:val="Heading6Char"/>
          <w:rFonts w:eastAsia="Cambria"/>
        </w:rPr>
        <w:t>M/34273/23</w:t>
      </w:r>
      <w:r w:rsidRPr="00F107F4">
        <w:t xml:space="preserve"> is a Phase </w:t>
      </w:r>
      <w:r w:rsidR="00943F2D">
        <w:t>II</w:t>
      </w:r>
      <w:r w:rsidRPr="00F107F4">
        <w:t xml:space="preserve">a randomised, </w:t>
      </w:r>
      <w:r w:rsidR="00710686">
        <w:t>double blind</w:t>
      </w:r>
      <w:r w:rsidRPr="00F107F4">
        <w:t>, double-dummy, placebo and active comparator</w:t>
      </w:r>
      <w:r w:rsidR="00943F2D">
        <w:t xml:space="preserve"> </w:t>
      </w:r>
      <w:r w:rsidRPr="00F107F4">
        <w:t>controlled (tiotropium), 3-period cross-over study</w:t>
      </w:r>
      <w:r w:rsidRPr="00F107F4">
        <w:rPr>
          <w:b/>
          <w:bCs/>
        </w:rPr>
        <w:t xml:space="preserve"> </w:t>
      </w:r>
      <w:r w:rsidRPr="00F107F4">
        <w:t>was the first clinical study which investigated the 24</w:t>
      </w:r>
      <w:r w:rsidR="00943F2D">
        <w:t xml:space="preserve"> </w:t>
      </w:r>
      <w:r w:rsidRPr="00F107F4">
        <w:t xml:space="preserve">hour bronchodilatory profile of multiple doses of inhaled aclidinium bromide 400 </w:t>
      </w:r>
      <w:r w:rsidR="00A5120F">
        <w:t>µ</w:t>
      </w:r>
      <w:r w:rsidRPr="00F107F4">
        <w:t xml:space="preserve">g BD administered to 30 patients with stable moderate to severe COPD and other characteristics similar to that included in the pivotal studies of BD administration. </w:t>
      </w:r>
      <w:r w:rsidRPr="00943F2D">
        <w:t>The primary efficacy endpoint</w:t>
      </w:r>
      <w:r w:rsidRPr="00F107F4">
        <w:t xml:space="preserve"> was the change from baseline to Day 15 in the normalised area under the FEV1 versus time curve for the 12</w:t>
      </w:r>
      <w:r w:rsidR="00943F2D">
        <w:t xml:space="preserve"> </w:t>
      </w:r>
      <w:r w:rsidRPr="00F107F4">
        <w:t>hour period following the morning dose (FEV1 AUC</w:t>
      </w:r>
      <w:r w:rsidRPr="00C9788D">
        <w:rPr>
          <w:vertAlign w:val="subscript"/>
        </w:rPr>
        <w:t>0-12/12h</w:t>
      </w:r>
      <w:r w:rsidRPr="00F107F4">
        <w:t>).</w:t>
      </w:r>
      <w:r>
        <w:t xml:space="preserve"> </w:t>
      </w:r>
      <w:r w:rsidRPr="00F107F4">
        <w:t>Ac</w:t>
      </w:r>
      <w:r>
        <w:t>lidinium</w:t>
      </w:r>
      <w:r w:rsidRPr="00F107F4">
        <w:t xml:space="preserve"> bromide 400 </w:t>
      </w:r>
      <w:r w:rsidR="00A5120F">
        <w:t>µ</w:t>
      </w:r>
      <w:r w:rsidRPr="00F107F4">
        <w:t>g BD and tiotropium 18</w:t>
      </w:r>
      <w:r w:rsidR="00943F2D">
        <w:t> </w:t>
      </w:r>
      <w:r w:rsidR="00A5120F">
        <w:t>µ</w:t>
      </w:r>
      <w:r w:rsidRPr="00F107F4">
        <w:t>g QD were statistically significantly superior to placebo. There was no statistically significant difference</w:t>
      </w:r>
      <w:r w:rsidR="00AC62B4">
        <w:t xml:space="preserve"> between the two active agents.</w:t>
      </w:r>
    </w:p>
    <w:p w:rsidR="00AF3D89" w:rsidRPr="00F107F4" w:rsidRDefault="00C9788D" w:rsidP="00AC62B4">
      <w:r>
        <w:rPr>
          <w:rStyle w:val="Heading6Char"/>
          <w:rFonts w:eastAsia="Cambria"/>
        </w:rPr>
        <w:t xml:space="preserve">Study </w:t>
      </w:r>
      <w:r w:rsidR="00AF3D89" w:rsidRPr="00943F2D">
        <w:rPr>
          <w:rStyle w:val="Heading6Char"/>
          <w:rFonts w:eastAsia="Cambria"/>
        </w:rPr>
        <w:t>M/34273/29</w:t>
      </w:r>
      <w:r w:rsidR="00AF3D89" w:rsidRPr="00F107F4">
        <w:t xml:space="preserve"> has been</w:t>
      </w:r>
      <w:r w:rsidR="00AC62B4">
        <w:t xml:space="preserve"> discussed under dose response.</w:t>
      </w:r>
    </w:p>
    <w:p w:rsidR="00AF3D89" w:rsidRPr="00AC62B4" w:rsidRDefault="00AF3D89" w:rsidP="00AC62B4">
      <w:pPr>
        <w:pStyle w:val="Heading5"/>
      </w:pPr>
      <w:r w:rsidRPr="00F107F4">
        <w:t>Long term efficacy studies</w:t>
      </w:r>
    </w:p>
    <w:p w:rsidR="00AF3D89" w:rsidRPr="00F107F4" w:rsidRDefault="00AF3D89" w:rsidP="00AC62B4">
      <w:r w:rsidRPr="00F107F4">
        <w:t>The evaluator discusses 3 studies (</w:t>
      </w:r>
      <w:r w:rsidRPr="00943F2D">
        <w:t>LAS-MD-35, LAS-MD-36 and LAS-MD-38 Part B</w:t>
      </w:r>
      <w:r w:rsidRPr="00F107F4">
        <w:t>).</w:t>
      </w:r>
      <w:r w:rsidRPr="00F107F4">
        <w:rPr>
          <w:b/>
        </w:rPr>
        <w:t xml:space="preserve"> </w:t>
      </w:r>
      <w:r w:rsidRPr="00F107F4">
        <w:t xml:space="preserve">The evaluator states that they were designed primarily to assess </w:t>
      </w:r>
      <w:r w:rsidR="00710686">
        <w:t xml:space="preserve">long term </w:t>
      </w:r>
      <w:r w:rsidRPr="00F107F4">
        <w:t xml:space="preserve">safety of aclidinium bromide, some efficacy variables were also evaluated to add information on the </w:t>
      </w:r>
      <w:r w:rsidR="00710686">
        <w:t xml:space="preserve">long term </w:t>
      </w:r>
      <w:r w:rsidRPr="00F107F4">
        <w:t xml:space="preserve">COPD status of patients treated with aclidinium bromide. The primary efficacy endpoint was trough FEV1 and the secondary efficacy endpoint was peak FEV1. Additional efficacy measures evaluated were </w:t>
      </w:r>
      <w:proofErr w:type="spellStart"/>
      <w:r w:rsidRPr="00F107F4">
        <w:t>spirometric</w:t>
      </w:r>
      <w:proofErr w:type="spellEnd"/>
      <w:r w:rsidRPr="00F107F4">
        <w:t xml:space="preserve"> measures, SGRQ and use of rescue medication.</w:t>
      </w:r>
    </w:p>
    <w:p w:rsidR="00AF3D89" w:rsidRPr="00F107F4" w:rsidRDefault="00AF3D89" w:rsidP="00AC62B4">
      <w:pPr>
        <w:pStyle w:val="Heading6"/>
      </w:pPr>
      <w:r w:rsidRPr="00F107F4">
        <w:t>Study LAS-MD-</w:t>
      </w:r>
      <w:r w:rsidRPr="00AC62B4">
        <w:t>36</w:t>
      </w:r>
    </w:p>
    <w:p w:rsidR="00AF3D89" w:rsidRPr="00F107F4" w:rsidRDefault="00AF3D89" w:rsidP="00AC62B4">
      <w:r w:rsidRPr="00F107F4">
        <w:t xml:space="preserve">This was a long-term, </w:t>
      </w:r>
      <w:r w:rsidR="00D322DC">
        <w:t xml:space="preserve">double-blind </w:t>
      </w:r>
      <w:r w:rsidRPr="00F107F4">
        <w:t xml:space="preserve">extension study to evaluate efficacy and safety of aclidinium bromide 200 </w:t>
      </w:r>
      <w:r w:rsidR="00A5120F">
        <w:t>µ</w:t>
      </w:r>
      <w:r w:rsidRPr="00F107F4">
        <w:t xml:space="preserve">g and 400 </w:t>
      </w:r>
      <w:r w:rsidR="00A5120F">
        <w:t>µ</w:t>
      </w:r>
      <w:r w:rsidRPr="00F107F4">
        <w:t>g</w:t>
      </w:r>
      <w:r w:rsidR="00943F2D">
        <w:t xml:space="preserve"> BD</w:t>
      </w:r>
      <w:r w:rsidRPr="00F107F4">
        <w:t xml:space="preserve"> in patients who had completed the 12</w:t>
      </w:r>
      <w:r w:rsidR="00C9788D">
        <w:t xml:space="preserve"> </w:t>
      </w:r>
      <w:r w:rsidRPr="00F107F4">
        <w:t xml:space="preserve">week pivotal </w:t>
      </w:r>
      <w:r w:rsidR="00C457BC">
        <w:t xml:space="preserve">Study </w:t>
      </w:r>
      <w:r w:rsidR="00C457BC" w:rsidRPr="001D13B2">
        <w:t>LAS</w:t>
      </w:r>
      <w:r w:rsidRPr="001D13B2">
        <w:t>-MD-33. Patients</w:t>
      </w:r>
      <w:r w:rsidRPr="00F107F4">
        <w:t xml:space="preserve"> who received aclidinium bromide 200 </w:t>
      </w:r>
      <w:r w:rsidR="00A5120F">
        <w:t>µ</w:t>
      </w:r>
      <w:r w:rsidRPr="00F107F4">
        <w:t xml:space="preserve">g or 400 </w:t>
      </w:r>
      <w:r w:rsidR="00A5120F">
        <w:t>µ</w:t>
      </w:r>
      <w:r w:rsidRPr="00F107F4">
        <w:t>g</w:t>
      </w:r>
      <w:r w:rsidR="00943F2D">
        <w:t xml:space="preserve"> BD</w:t>
      </w:r>
      <w:r w:rsidRPr="00F107F4">
        <w:t xml:space="preserve"> in </w:t>
      </w:r>
      <w:r w:rsidRPr="001D13B2">
        <w:t>LAS-MD-33</w:t>
      </w:r>
      <w:r w:rsidRPr="00F107F4">
        <w:t xml:space="preserve"> continued to receive aclidinium bromide in this study at the same dose</w:t>
      </w:r>
      <w:r w:rsidR="00943F2D">
        <w:t xml:space="preserve"> BD</w:t>
      </w:r>
      <w:r w:rsidRPr="00F107F4">
        <w:t xml:space="preserve"> for a further 52 weeks. Patients who received placebo in </w:t>
      </w:r>
      <w:r w:rsidRPr="001D13B2">
        <w:t>LAS-MD-33</w:t>
      </w:r>
      <w:r w:rsidRPr="00F107F4">
        <w:t xml:space="preserve"> were randomised in a 1:1 ratio to receive in this study either aclidinium bromide 200 </w:t>
      </w:r>
      <w:r w:rsidR="00A5120F">
        <w:t>µ</w:t>
      </w:r>
      <w:r w:rsidRPr="00F107F4">
        <w:t xml:space="preserve">g or 400 </w:t>
      </w:r>
      <w:r w:rsidR="00A5120F">
        <w:t>µ</w:t>
      </w:r>
      <w:r w:rsidRPr="00F107F4">
        <w:t>g</w:t>
      </w:r>
      <w:r w:rsidR="00943F2D">
        <w:t xml:space="preserve"> BD</w:t>
      </w:r>
      <w:r w:rsidRPr="00F107F4">
        <w:t xml:space="preserve"> for up to 52 weeks. The primary efficacy endpoint was the change from baseline in morning predose (trough) FEV1 at Week 64. The secondary efficacy endpoint was the change from ba</w:t>
      </w:r>
      <w:r w:rsidR="00AC62B4">
        <w:t>seline in peak FEV1 at Week 64.</w:t>
      </w:r>
    </w:p>
    <w:p w:rsidR="00AF3D89" w:rsidRPr="00F107F4" w:rsidRDefault="001D13B2" w:rsidP="00AC62B4">
      <w:r>
        <w:t xml:space="preserve">Some </w:t>
      </w:r>
      <w:r w:rsidR="00AF3D89" w:rsidRPr="00F107F4">
        <w:t xml:space="preserve">114 subjects were randomised to the 200 </w:t>
      </w:r>
      <w:r w:rsidR="00A5120F">
        <w:t>µ</w:t>
      </w:r>
      <w:r w:rsidR="00AF3D89" w:rsidRPr="00F107F4">
        <w:t>g</w:t>
      </w:r>
      <w:r w:rsidR="00AF3D89">
        <w:t xml:space="preserve"> </w:t>
      </w:r>
      <w:r w:rsidR="00AF3D89" w:rsidRPr="00F107F4">
        <w:t xml:space="preserve">and 132 subjects to the 400 </w:t>
      </w:r>
      <w:r w:rsidR="00A5120F">
        <w:t>µ</w:t>
      </w:r>
      <w:r w:rsidR="00AF3D89" w:rsidRPr="00F107F4">
        <w:t xml:space="preserve">g </w:t>
      </w:r>
      <w:r>
        <w:t>BD</w:t>
      </w:r>
      <w:r w:rsidR="00AF3D89" w:rsidRPr="00F107F4">
        <w:t xml:space="preserve"> ac</w:t>
      </w:r>
      <w:r w:rsidR="00AF3D89">
        <w:t xml:space="preserve">lidinium </w:t>
      </w:r>
      <w:r w:rsidR="00AF3D89" w:rsidRPr="00F107F4">
        <w:t>bromide groups. The evaluator mentions that baseline character</w:t>
      </w:r>
      <w:r>
        <w:t>istics were ‘generally balanced’;</w:t>
      </w:r>
      <w:r w:rsidR="00AF3D89" w:rsidRPr="00F107F4">
        <w:t xml:space="preserve"> 93.4% were Caucasians; mean duration of COPD 7.9 (5.9) years. 61% had moderate COPD and 36.3 had severe COPD. 44% were current smokers; and 56% were ex</w:t>
      </w:r>
      <w:r>
        <w:t>-</w:t>
      </w:r>
      <w:r w:rsidR="00AC62B4">
        <w:t>smokers.</w:t>
      </w:r>
    </w:p>
    <w:p w:rsidR="00AF3D89" w:rsidRDefault="00AF3D89" w:rsidP="00AC62B4">
      <w:r w:rsidRPr="00F107F4">
        <w:t>The following figure</w:t>
      </w:r>
      <w:r w:rsidR="00C22964">
        <w:t xml:space="preserve"> (Figure 7)</w:t>
      </w:r>
      <w:r w:rsidRPr="00F107F4">
        <w:t xml:space="preserve"> is extracted from </w:t>
      </w:r>
      <w:r w:rsidR="001D13B2">
        <w:t>the European Public Assessment Report (</w:t>
      </w:r>
      <w:r w:rsidRPr="00F107F4">
        <w:t>EPAR</w:t>
      </w:r>
      <w:r w:rsidR="001D13B2">
        <w:t>)</w:t>
      </w:r>
      <w:r w:rsidRPr="00F107F4">
        <w:t>.</w:t>
      </w:r>
    </w:p>
    <w:p w:rsidR="001D13B2" w:rsidRPr="00AC62B4" w:rsidRDefault="001D13B2" w:rsidP="00AC62B4">
      <w:pPr>
        <w:pStyle w:val="FigureTitle"/>
      </w:pPr>
      <w:proofErr w:type="gramStart"/>
      <w:r>
        <w:t>Figure</w:t>
      </w:r>
      <w:r w:rsidR="00F27942">
        <w:t xml:space="preserve"> 7</w:t>
      </w:r>
      <w:r>
        <w:t>.</w:t>
      </w:r>
      <w:proofErr w:type="gramEnd"/>
      <w:r>
        <w:t xml:space="preserve"> Change from baseline in morning predose (trough) FEV1 (L) by Visit over 64 weeks: Studies LAS-MD-33 and LAS-MD-36 (ITT population).</w:t>
      </w:r>
    </w:p>
    <w:p w:rsidR="00AF3D89" w:rsidRPr="00F107F4" w:rsidRDefault="00AF3D89" w:rsidP="00AC62B4">
      <w:r>
        <w:rPr>
          <w:noProof/>
          <w:lang w:eastAsia="en-AU"/>
        </w:rPr>
        <w:drawing>
          <wp:inline distT="0" distB="0" distL="0" distR="0" wp14:anchorId="2AE85FE6" wp14:editId="2FB3BD9E">
            <wp:extent cx="4876800" cy="2714625"/>
            <wp:effectExtent l="0" t="0" r="0" b="0"/>
            <wp:docPr id="10" name="Picture 10" descr="Figure 7. Change from baseline in morning predose (trough) FEV1 (L) by Visit over 64 weeks: Studies LAS-MD-33 and LAS-MD-36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67" t="14157" r="7000"/>
                    <a:stretch/>
                  </pic:blipFill>
                  <pic:spPr bwMode="auto">
                    <a:xfrm>
                      <a:off x="0" y="0"/>
                      <a:ext cx="4876800" cy="2714625"/>
                    </a:xfrm>
                    <a:prstGeom prst="rect">
                      <a:avLst/>
                    </a:prstGeom>
                    <a:noFill/>
                    <a:ln>
                      <a:noFill/>
                    </a:ln>
                    <a:extLst>
                      <a:ext uri="{53640926-AAD7-44D8-BBD7-CCE9431645EC}">
                        <a14:shadowObscured xmlns:a14="http://schemas.microsoft.com/office/drawing/2010/main"/>
                      </a:ext>
                    </a:extLst>
                  </pic:spPr>
                </pic:pic>
              </a:graphicData>
            </a:graphic>
          </wp:inline>
        </w:drawing>
      </w:r>
    </w:p>
    <w:p w:rsidR="00AF3D89" w:rsidRPr="00F107F4" w:rsidRDefault="00AF3D89" w:rsidP="00AC62B4">
      <w:r w:rsidRPr="00F107F4">
        <w:t xml:space="preserve">The evaluator also mentions that, </w:t>
      </w:r>
      <w:r w:rsidR="001D13B2" w:rsidRPr="00AC62B4">
        <w:rPr>
          <w:i/>
        </w:rPr>
        <w:t>‘</w:t>
      </w:r>
      <w:r w:rsidRPr="00AC62B4">
        <w:rPr>
          <w:i/>
        </w:rPr>
        <w:t>improvement relative to baseline in mean morning pre-dose (trough) FEV1 at Week 64 was observed for patients who remained on active treatment in the extension study and for patients who were randomized to the placebo – aclidinium bromide 400μg treatment sequence. For those patients who were randomized to the placebo – aclidinium bromide 200μg treatment sequence, predose trough FEV1 was maintained over time but the effect declined substantially at Week 64. (Similar results were observed for the change from baseline in peak FEV1)</w:t>
      </w:r>
      <w:r w:rsidR="001D13B2" w:rsidRPr="00AC62B4">
        <w:rPr>
          <w:i/>
        </w:rPr>
        <w:t>’</w:t>
      </w:r>
      <w:r w:rsidRPr="00F107F4">
        <w:t>.</w:t>
      </w:r>
    </w:p>
    <w:p w:rsidR="00AF3D89" w:rsidRPr="00AC62B4" w:rsidRDefault="00931F95" w:rsidP="00AC62B4">
      <w:pPr>
        <w:pStyle w:val="Heading6"/>
      </w:pPr>
      <w:r>
        <w:t xml:space="preserve">Study </w:t>
      </w:r>
      <w:r w:rsidR="00AC62B4">
        <w:t>LAS-MD-35</w:t>
      </w:r>
    </w:p>
    <w:p w:rsidR="00AF3D89" w:rsidRPr="00F107F4" w:rsidRDefault="00AF3D89" w:rsidP="00AC62B4">
      <w:r w:rsidRPr="00F107F4">
        <w:t xml:space="preserve">This was a long-term, randomized, </w:t>
      </w:r>
      <w:r w:rsidR="00710686">
        <w:t>double blind</w:t>
      </w:r>
      <w:r w:rsidRPr="00F107F4">
        <w:t xml:space="preserve">, </w:t>
      </w:r>
      <w:r w:rsidR="00710686" w:rsidRPr="00F107F4">
        <w:t>multicentre</w:t>
      </w:r>
      <w:r w:rsidRPr="00F107F4">
        <w:t xml:space="preserve">, </w:t>
      </w:r>
      <w:r w:rsidR="00710686">
        <w:t>parallel group</w:t>
      </w:r>
      <w:r w:rsidRPr="00F107F4">
        <w:t xml:space="preserve"> study. Inhaled aclidinium bromide 200 </w:t>
      </w:r>
      <w:r w:rsidR="00A5120F">
        <w:t>µ</w:t>
      </w:r>
      <w:r w:rsidRPr="00F107F4">
        <w:t xml:space="preserve">g or 400 </w:t>
      </w:r>
      <w:r w:rsidR="00A5120F">
        <w:t>µ</w:t>
      </w:r>
      <w:r w:rsidRPr="00F107F4">
        <w:t xml:space="preserve">g was administered twice a day (BD), once in the morning and once in the evening, via a multidose dry-powder inhaler in 605 patients with moderate to severe, stable COPD for 52 weeks. The main inclusion and exclusion criteria were similar to those described in the pivotal Phase </w:t>
      </w:r>
      <w:r w:rsidR="001D13B2">
        <w:t>III</w:t>
      </w:r>
      <w:r w:rsidRPr="00F107F4">
        <w:t xml:space="preserve"> studies above. The primary efficacy variable was change from baseline in morning predose (trough) FEV1 at Week 52. The secondary endpoint was change from baseline in peak FEV1 at Week 52. There were additional efficacy endpoints as per the previous studies.</w:t>
      </w:r>
    </w:p>
    <w:p w:rsidR="00AF3D89" w:rsidRPr="00F107F4" w:rsidRDefault="00AF3D89" w:rsidP="00AC62B4">
      <w:r w:rsidRPr="00F107F4">
        <w:t xml:space="preserve">Of the 605 randomised patients, 600 (99.2%) had at least 1 post-baseline FEV1 assessment and qualified for the </w:t>
      </w:r>
      <w:r w:rsidR="00710686">
        <w:t>Intention-to-treat (</w:t>
      </w:r>
      <w:r w:rsidRPr="00F107F4">
        <w:t>ITT</w:t>
      </w:r>
      <w:r w:rsidR="00710686">
        <w:t>)</w:t>
      </w:r>
      <w:r w:rsidRPr="00F107F4">
        <w:t xml:space="preserve"> Population (aclidinium 200</w:t>
      </w:r>
      <w:r w:rsidR="00710686">
        <w:t> </w:t>
      </w:r>
      <w:r w:rsidR="00A5120F">
        <w:t>µ</w:t>
      </w:r>
      <w:r w:rsidRPr="00F107F4">
        <w:t xml:space="preserve">g=310 and 400 </w:t>
      </w:r>
      <w:r w:rsidR="00A5120F">
        <w:t>µ</w:t>
      </w:r>
      <w:r w:rsidRPr="00F107F4">
        <w:t xml:space="preserve">g=290). At the end of 52 weeks of treatment, the adjusted mean change from baseline in morning predose (trough) FEV1 was 0.034 L and 0.072 L in the aclidinium bromide 200 </w:t>
      </w:r>
      <w:r w:rsidR="00A5120F">
        <w:t>µ</w:t>
      </w:r>
      <w:r w:rsidRPr="00F107F4">
        <w:t>g and 400</w:t>
      </w:r>
      <w:r w:rsidR="001D13B2">
        <w:t> </w:t>
      </w:r>
      <w:r w:rsidR="00A5120F">
        <w:t>µ</w:t>
      </w:r>
      <w:r w:rsidRPr="00F107F4">
        <w:t xml:space="preserve">g groups, respectively with slightly greater numerical improvement in bronchodilation in the 400 </w:t>
      </w:r>
      <w:r w:rsidR="00A5120F">
        <w:t>µ</w:t>
      </w:r>
      <w:r w:rsidRPr="00F107F4">
        <w:t xml:space="preserve">g groups. Secondary endpoint of peak FEV1 from baseline and aclidinium bromide 400 </w:t>
      </w:r>
      <w:r w:rsidR="00A5120F">
        <w:t>µ</w:t>
      </w:r>
      <w:r w:rsidRPr="00F107F4">
        <w:t xml:space="preserve">g showed a numerically greater response than the 0.185 L in the aclidinium bromide 200 </w:t>
      </w:r>
      <w:r w:rsidR="00A5120F">
        <w:t>µ</w:t>
      </w:r>
      <w:r w:rsidRPr="00F107F4">
        <w:t xml:space="preserve">g </w:t>
      </w:r>
      <w:proofErr w:type="gramStart"/>
      <w:r w:rsidRPr="00F107F4">
        <w:t>group</w:t>
      </w:r>
      <w:proofErr w:type="gramEnd"/>
      <w:r w:rsidRPr="00F107F4">
        <w:t xml:space="preserve"> (0.185L and 0.214 L in in the aclidinium bromide 200</w:t>
      </w:r>
      <w:r w:rsidR="001D13B2">
        <w:t xml:space="preserve"> </w:t>
      </w:r>
      <w:r w:rsidR="00A5120F">
        <w:t>µ</w:t>
      </w:r>
      <w:r w:rsidRPr="00F107F4">
        <w:t>g and 400</w:t>
      </w:r>
      <w:r w:rsidR="001D13B2">
        <w:t xml:space="preserve"> </w:t>
      </w:r>
      <w:r w:rsidR="00A5120F">
        <w:t>µ</w:t>
      </w:r>
      <w:r w:rsidRPr="00F107F4">
        <w:t xml:space="preserve">g groups, respectively). In terms of the SGRQ total score, this was greater at all </w:t>
      </w:r>
      <w:r w:rsidR="001D13B2">
        <w:t xml:space="preserve">the </w:t>
      </w:r>
      <w:r w:rsidRPr="00F107F4">
        <w:t>time points with aclidinium bromide (and above the 4 unit threshold considered clinically significant).</w:t>
      </w:r>
    </w:p>
    <w:p w:rsidR="00AF3D89" w:rsidRPr="00AC62B4" w:rsidRDefault="00931F95" w:rsidP="00AC62B4">
      <w:pPr>
        <w:pStyle w:val="Heading6"/>
      </w:pPr>
      <w:r>
        <w:t xml:space="preserve">Study </w:t>
      </w:r>
      <w:r w:rsidR="00AF3D89" w:rsidRPr="00F107F4">
        <w:t>LAS-MD-38B</w:t>
      </w:r>
    </w:p>
    <w:p w:rsidR="00AF3D89" w:rsidRPr="00F107F4" w:rsidRDefault="00AF3D89" w:rsidP="00AC62B4">
      <w:r w:rsidRPr="00F107F4">
        <w:t>This was a multi</w:t>
      </w:r>
      <w:r w:rsidR="001D13B2">
        <w:t xml:space="preserve"> </w:t>
      </w:r>
      <w:r w:rsidRPr="00F107F4">
        <w:t>center, open-label 40</w:t>
      </w:r>
      <w:r w:rsidR="001D13B2">
        <w:t xml:space="preserve"> </w:t>
      </w:r>
      <w:r w:rsidRPr="00F107F4">
        <w:t xml:space="preserve">week </w:t>
      </w:r>
      <w:r w:rsidR="001D13B2" w:rsidRPr="00F107F4">
        <w:t xml:space="preserve">continuation </w:t>
      </w:r>
      <w:r w:rsidR="001D13B2">
        <w:t xml:space="preserve">of </w:t>
      </w:r>
      <w:r w:rsidRPr="00F107F4">
        <w:t xml:space="preserve">treatment </w:t>
      </w:r>
      <w:r w:rsidR="001D13B2">
        <w:t>in</w:t>
      </w:r>
      <w:r w:rsidRPr="00F107F4">
        <w:t xml:space="preserve"> patients enrolled in Part </w:t>
      </w:r>
      <w:proofErr w:type="gramStart"/>
      <w:r w:rsidRPr="00F107F4">
        <w:t>A</w:t>
      </w:r>
      <w:proofErr w:type="gramEnd"/>
      <w:r w:rsidRPr="00F107F4">
        <w:t xml:space="preserve"> of </w:t>
      </w:r>
      <w:r w:rsidR="00C457BC">
        <w:t xml:space="preserve">Study </w:t>
      </w:r>
      <w:r w:rsidR="00C457BC" w:rsidRPr="001D13B2">
        <w:t>LAS</w:t>
      </w:r>
      <w:r w:rsidRPr="001D13B2">
        <w:t>-</w:t>
      </w:r>
      <w:r w:rsidR="001D13B2" w:rsidRPr="001D13B2">
        <w:t>MD</w:t>
      </w:r>
      <w:r w:rsidRPr="001D13B2">
        <w:t>-38</w:t>
      </w:r>
      <w:r w:rsidRPr="00F107F4">
        <w:t xml:space="preserve">. The primary efficacy variable was change from baseline in morning predose (trough) FEV1 at Week 52. The secondary endpoint was change from baseline in peak FEV1 at Week 52. A total of 344 patients (76.8%) completed Part B of the study. At the end of 52 weeks of treatment, the adjusted mean change from baseline (Visit 2 in Part A) in morning predose (trough) FEV1 (LOCF) was 0.045 L, 0.030 L and 0.048 L for the placebo </w:t>
      </w:r>
      <w:r w:rsidR="001D13B2">
        <w:t>versus</w:t>
      </w:r>
      <w:r w:rsidRPr="00F107F4">
        <w:t xml:space="preserve"> aclidinium bromide 400</w:t>
      </w:r>
      <w:r w:rsidR="001D13B2">
        <w:t xml:space="preserve"> </w:t>
      </w:r>
      <w:r w:rsidR="00A5120F">
        <w:t>µ</w:t>
      </w:r>
      <w:r w:rsidRPr="00F107F4">
        <w:t>g, 200</w:t>
      </w:r>
      <w:r w:rsidR="001D13B2">
        <w:t xml:space="preserve"> </w:t>
      </w:r>
      <w:r w:rsidR="00A5120F">
        <w:t>µ</w:t>
      </w:r>
      <w:r w:rsidRPr="00F107F4">
        <w:t xml:space="preserve">g </w:t>
      </w:r>
      <w:r w:rsidR="001D13B2">
        <w:t>versus</w:t>
      </w:r>
      <w:r w:rsidRPr="00F107F4">
        <w:t xml:space="preserve"> 400</w:t>
      </w:r>
      <w:r w:rsidR="001D13B2">
        <w:t xml:space="preserve"> </w:t>
      </w:r>
      <w:r w:rsidR="00A5120F">
        <w:t>µ</w:t>
      </w:r>
      <w:r w:rsidRPr="00F107F4">
        <w:t>g and the 400</w:t>
      </w:r>
      <w:r w:rsidR="001D13B2">
        <w:t xml:space="preserve"> </w:t>
      </w:r>
      <w:r w:rsidR="00A5120F">
        <w:t>µ</w:t>
      </w:r>
      <w:r w:rsidRPr="00F107F4">
        <w:t>g 400</w:t>
      </w:r>
      <w:r w:rsidR="001D13B2">
        <w:t xml:space="preserve"> </w:t>
      </w:r>
      <w:r w:rsidR="00A5120F">
        <w:t>µ</w:t>
      </w:r>
      <w:r w:rsidRPr="00F107F4">
        <w:t>g treatment sequences, respectively.</w:t>
      </w:r>
      <w:r>
        <w:t xml:space="preserve"> </w:t>
      </w:r>
      <w:r w:rsidRPr="00F107F4">
        <w:t>Numerical improvement relative to baseline at Week 52 was observed in all treatment sequences</w:t>
      </w:r>
      <w:r w:rsidRPr="00F107F4">
        <w:rPr>
          <w:b/>
        </w:rPr>
        <w:t>.</w:t>
      </w:r>
      <w:r w:rsidRPr="00F107F4">
        <w:t xml:space="preserve"> Similar results were observed for the secondary endpoint of change from baseline in peak FEV1 (0.185L, 0.176 L and 0.172 L, respectively).</w:t>
      </w:r>
    </w:p>
    <w:p w:rsidR="00AF3D89" w:rsidRPr="00AC62B4" w:rsidRDefault="00AC62B4" w:rsidP="00AC62B4">
      <w:pPr>
        <w:pStyle w:val="Heading5"/>
      </w:pPr>
      <w:r>
        <w:t>Studies with once daily dosing</w:t>
      </w:r>
    </w:p>
    <w:p w:rsidR="00AF3D89" w:rsidRPr="00F107F4" w:rsidRDefault="00AF3D89" w:rsidP="00AC62B4">
      <w:r w:rsidRPr="00F107F4">
        <w:t xml:space="preserve">These are of limited relevance to this submission and </w:t>
      </w:r>
      <w:r w:rsidR="001D13B2">
        <w:t xml:space="preserve">will not be </w:t>
      </w:r>
      <w:r w:rsidRPr="00F107F4">
        <w:t>discussed</w:t>
      </w:r>
      <w:r w:rsidR="001D13B2">
        <w:t xml:space="preserve"> further</w:t>
      </w:r>
      <w:r w:rsidRPr="00F107F4">
        <w:t>.</w:t>
      </w:r>
    </w:p>
    <w:p w:rsidR="00AF3D89" w:rsidRPr="00AC62B4" w:rsidRDefault="00AC62B4" w:rsidP="00AC62B4">
      <w:pPr>
        <w:pStyle w:val="Heading5"/>
      </w:pPr>
      <w:r>
        <w:t>Pooled analysis</w:t>
      </w:r>
    </w:p>
    <w:p w:rsidR="00AF3D89" w:rsidRPr="00F107F4" w:rsidRDefault="00AF3D89" w:rsidP="00AC62B4">
      <w:r w:rsidRPr="00F107F4">
        <w:t xml:space="preserve">The pooled analysis of </w:t>
      </w:r>
      <w:r w:rsidR="001D13B2">
        <w:t>S</w:t>
      </w:r>
      <w:r w:rsidRPr="00F107F4">
        <w:t xml:space="preserve">tudies </w:t>
      </w:r>
      <w:r w:rsidRPr="001D13B2">
        <w:t>M/34723/34, LAS-MD033 and LAS-MD-38 Part A are discussed. They provide supportive information as on</w:t>
      </w:r>
      <w:r w:rsidR="001D13B2">
        <w:t>ly</w:t>
      </w:r>
      <w:r w:rsidRPr="001D13B2">
        <w:t xml:space="preserve"> one study (M/34723/34) </w:t>
      </w:r>
      <w:r w:rsidRPr="00F107F4">
        <w:t xml:space="preserve">was of 24 weeks duration. The evaluator mentions that </w:t>
      </w:r>
      <w:r w:rsidR="001D13B2">
        <w:t>‘</w:t>
      </w:r>
      <w:r w:rsidRPr="001D13B2">
        <w:rPr>
          <w:i/>
        </w:rPr>
        <w:t>the pooled analysis summary results also show results from individual studies allowing valid interpretation of results across studies</w:t>
      </w:r>
      <w:r w:rsidR="001D13B2" w:rsidRPr="001D13B2">
        <w:rPr>
          <w:i/>
        </w:rPr>
        <w:t>’</w:t>
      </w:r>
      <w:r w:rsidRPr="00F107F4">
        <w:t>.</w:t>
      </w:r>
    </w:p>
    <w:p w:rsidR="001D13B2" w:rsidRPr="00AC62B4" w:rsidRDefault="00AF3D89" w:rsidP="00AC62B4">
      <w:pPr>
        <w:pStyle w:val="Heading5"/>
      </w:pPr>
      <w:r>
        <w:t>Study</w:t>
      </w:r>
      <w:r w:rsidRPr="00F107F4">
        <w:t xml:space="preserve"> o</w:t>
      </w:r>
      <w:r w:rsidR="00AC62B4">
        <w:t>n exercise tolerance LAS-MD-CL6</w:t>
      </w:r>
    </w:p>
    <w:p w:rsidR="00AF3D89" w:rsidRPr="00F107F4" w:rsidRDefault="00AF3D89" w:rsidP="00AC62B4">
      <w:r w:rsidRPr="00F107F4">
        <w:t xml:space="preserve">This was a Phase III, randomised, </w:t>
      </w:r>
      <w:r w:rsidR="00710686">
        <w:t>double blind</w:t>
      </w:r>
      <w:r w:rsidRPr="00F107F4">
        <w:t xml:space="preserve">, </w:t>
      </w:r>
      <w:r w:rsidR="00710686">
        <w:t>placebo controlled</w:t>
      </w:r>
      <w:r w:rsidRPr="00F107F4">
        <w:t xml:space="preserve">, </w:t>
      </w:r>
      <w:r w:rsidR="00710686">
        <w:t>parallel group</w:t>
      </w:r>
      <w:r w:rsidRPr="00F107F4">
        <w:t xml:space="preserve"> study to examine the effect of inhaled aclidinium bromide 200 </w:t>
      </w:r>
      <w:r w:rsidR="00A5120F">
        <w:t>µ</w:t>
      </w:r>
      <w:r w:rsidRPr="00F107F4">
        <w:t xml:space="preserve">g QD on exercise endurance and on reducing resting and dynamic lung hyperinflation and to evaluate safety and tolerability in 181 patients with stable moderate/severe COPD. The primary efficacy endpoint of this study was the change from baseline to Week 6 in Endurance Time (ET). A total of 181 patients were randomised to aclidinium bromide 200 </w:t>
      </w:r>
      <w:r w:rsidR="00A5120F">
        <w:t>µ</w:t>
      </w:r>
      <w:r w:rsidRPr="00F107F4">
        <w:t xml:space="preserve">g (n=86) and placebo (n=95). The primary efficacy endpoint of this study was the change from baseline to Week 6 in Endurance Time (ET). The mean ETs at baseline were 414.1 seconds and 425.8 seconds in the aclidinium bromide and placebo </w:t>
      </w:r>
      <w:r w:rsidR="00AC62B4">
        <w:t>treatment groups, respectively.</w:t>
      </w:r>
    </w:p>
    <w:p w:rsidR="00AF3D89" w:rsidRPr="00AC62B4" w:rsidRDefault="00AF3D89" w:rsidP="00AC62B4">
      <w:pPr>
        <w:pStyle w:val="Heading5"/>
      </w:pPr>
      <w:r w:rsidRPr="00F107F4">
        <w:t>Overall conclusions on efficacy</w:t>
      </w:r>
    </w:p>
    <w:p w:rsidR="00AF3D89" w:rsidRPr="00F107F4" w:rsidRDefault="00AF3D89" w:rsidP="00AC62B4">
      <w:r w:rsidRPr="00F107F4">
        <w:t xml:space="preserve">The findings of the pivotal </w:t>
      </w:r>
      <w:r w:rsidR="001D13B2">
        <w:t>S</w:t>
      </w:r>
      <w:r w:rsidRPr="00F107F4">
        <w:t>tudy</w:t>
      </w:r>
      <w:r w:rsidRPr="001D13B2">
        <w:t xml:space="preserve"> M/34273/34</w:t>
      </w:r>
      <w:r w:rsidRPr="00F107F4">
        <w:t xml:space="preserve"> showed statistically significant improvement of aclidi</w:t>
      </w:r>
      <w:r>
        <w:t>ni</w:t>
      </w:r>
      <w:r w:rsidRPr="00F107F4">
        <w:t xml:space="preserve">um bromide 400 </w:t>
      </w:r>
      <w:r w:rsidR="00A5120F">
        <w:t>µ</w:t>
      </w:r>
      <w:r w:rsidRPr="00F107F4">
        <w:t>g BD over placebo in relation to morning pre-dose FEV1, TDI and SGRQ after 24 weeks.</w:t>
      </w:r>
      <w:r>
        <w:t xml:space="preserve"> </w:t>
      </w:r>
      <w:r w:rsidRPr="00F107F4">
        <w:t xml:space="preserve">The results of </w:t>
      </w:r>
      <w:r w:rsidRPr="001D13B2">
        <w:t xml:space="preserve">LAS-MD-33 and LAS-MD038 Part A </w:t>
      </w:r>
      <w:r w:rsidRPr="00F107F4">
        <w:t xml:space="preserve">provided limited evidence of efficacy (12 weeks). The evaluator mentions that the inclusion and exclusion criteria confirmed that patients included in the studies were representative of the target patient population for aclidinium bromide (namely patients with moderate to severe COPD). Supportive evidence for persistence of efficacy is obtained from </w:t>
      </w:r>
      <w:r w:rsidR="00710686">
        <w:t xml:space="preserve">long term </w:t>
      </w:r>
      <w:r w:rsidRPr="00F107F4">
        <w:t xml:space="preserve">studies </w:t>
      </w:r>
      <w:r w:rsidRPr="00931F95">
        <w:rPr>
          <w:bCs/>
        </w:rPr>
        <w:t xml:space="preserve">LAS-MD-35, LAS-MD-36 </w:t>
      </w:r>
      <w:r w:rsidRPr="00931F95">
        <w:t xml:space="preserve">and </w:t>
      </w:r>
      <w:r w:rsidRPr="00931F95">
        <w:rPr>
          <w:bCs/>
        </w:rPr>
        <w:t>LAS-MD-38 Part B</w:t>
      </w:r>
      <w:r w:rsidRPr="00931F95">
        <w:t>.</w:t>
      </w:r>
    </w:p>
    <w:p w:rsidR="00AF3D89" w:rsidRPr="00F107F4" w:rsidRDefault="00AF3D89" w:rsidP="00AC62B4">
      <w:r w:rsidRPr="00F107F4">
        <w:t xml:space="preserve">Subgroup analyses (sex, age, </w:t>
      </w:r>
      <w:r w:rsidR="00710686">
        <w:t>body mass index (</w:t>
      </w:r>
      <w:r w:rsidRPr="00F107F4">
        <w:t>BMI</w:t>
      </w:r>
      <w:r w:rsidR="00710686">
        <w:t>)</w:t>
      </w:r>
      <w:r w:rsidRPr="00F107F4">
        <w:t>, COPD severity, bronchodilator reversibility</w:t>
      </w:r>
      <w:r w:rsidR="00710686">
        <w:t xml:space="preserve"> and</w:t>
      </w:r>
      <w:r w:rsidRPr="00F107F4">
        <w:t xml:space="preserve"> conco</w:t>
      </w:r>
      <w:r w:rsidR="00710686">
        <w:t>m</w:t>
      </w:r>
      <w:r w:rsidRPr="00F107F4">
        <w:t>it</w:t>
      </w:r>
      <w:r w:rsidR="00710686">
        <w:t>a</w:t>
      </w:r>
      <w:r w:rsidRPr="00F107F4">
        <w:t xml:space="preserve">nt </w:t>
      </w:r>
      <w:r w:rsidR="00710686" w:rsidRPr="00710686">
        <w:t xml:space="preserve">inhaled corticosteroids </w:t>
      </w:r>
      <w:r w:rsidR="00710686">
        <w:t>(</w:t>
      </w:r>
      <w:r w:rsidRPr="00F107F4">
        <w:t>ICS</w:t>
      </w:r>
      <w:r w:rsidR="00710686">
        <w:t>)</w:t>
      </w:r>
      <w:r w:rsidRPr="00F107F4">
        <w:t xml:space="preserve"> use) did n</w:t>
      </w:r>
      <w:r w:rsidR="00AC62B4">
        <w:t>ot show any significant effect.</w:t>
      </w:r>
    </w:p>
    <w:p w:rsidR="00AF3D89" w:rsidRPr="00F107F4" w:rsidRDefault="00AF3D89" w:rsidP="00AC62B4">
      <w:r w:rsidRPr="00F107F4">
        <w:t xml:space="preserve">Long term studies </w:t>
      </w:r>
      <w:r w:rsidRPr="00931F95">
        <w:t>LAS-MD-35 and 36</w:t>
      </w:r>
      <w:r w:rsidRPr="00F107F4">
        <w:rPr>
          <w:b/>
        </w:rPr>
        <w:t xml:space="preserve"> </w:t>
      </w:r>
      <w:r w:rsidRPr="00F107F4">
        <w:t>demonstrated that the treatment effect of ac</w:t>
      </w:r>
      <w:r>
        <w:t>lidin</w:t>
      </w:r>
      <w:r w:rsidRPr="00F107F4">
        <w:t>ium bromide</w:t>
      </w:r>
      <w:r>
        <w:t xml:space="preserve"> </w:t>
      </w:r>
      <w:r w:rsidRPr="00F107F4">
        <w:t xml:space="preserve">400 </w:t>
      </w:r>
      <w:r w:rsidR="00A5120F">
        <w:t>µ</w:t>
      </w:r>
      <w:r w:rsidRPr="00F107F4">
        <w:t>g BD seen in the shorter pivotal study is maintained for up to 52 weeks with little deterioration; no firm conclusions can be drawn as these d</w:t>
      </w:r>
      <w:r w:rsidR="00AC62B4">
        <w:t>ata are not placebo controlled.</w:t>
      </w:r>
    </w:p>
    <w:p w:rsidR="00AF3D89" w:rsidRPr="00F107F4" w:rsidRDefault="00AF3D89" w:rsidP="00AC62B4">
      <w:r w:rsidRPr="00F107F4">
        <w:t>The evaluator also mentions that there are dose selection studies (</w:t>
      </w:r>
      <w:r w:rsidRPr="00931F95">
        <w:t>Studies M/34273/29 and M/34273/23)</w:t>
      </w:r>
      <w:r w:rsidRPr="00F107F4">
        <w:t xml:space="preserve"> that supported the 400 </w:t>
      </w:r>
      <w:r w:rsidR="00A5120F">
        <w:t>µ</w:t>
      </w:r>
      <w:r w:rsidRPr="00F107F4">
        <w:t>g BD dose. However the evaluator stated that there was no direct comparison of once daily v</w:t>
      </w:r>
      <w:r w:rsidR="00931F95">
        <w:t>ersu</w:t>
      </w:r>
      <w:r w:rsidR="00AC62B4">
        <w:t>s twice daily dosing.</w:t>
      </w:r>
    </w:p>
    <w:p w:rsidR="00AF3D89" w:rsidRPr="00AC62B4" w:rsidRDefault="00AF3D89" w:rsidP="00AC62B4">
      <w:pPr>
        <w:pStyle w:val="Heading4"/>
      </w:pPr>
      <w:r w:rsidRPr="00F107F4">
        <w:t>Safety</w:t>
      </w:r>
    </w:p>
    <w:p w:rsidR="00AF3D89" w:rsidRPr="00931F95" w:rsidRDefault="00AF3D89" w:rsidP="00AC62B4">
      <w:pPr>
        <w:rPr>
          <w:bCs/>
        </w:rPr>
      </w:pPr>
      <w:r w:rsidRPr="00F107F4">
        <w:t xml:space="preserve">The evaluator states that primary evidence of the safety of aclidinium bromide BD is derived from the pooled analysis of the 3 </w:t>
      </w:r>
      <w:r w:rsidR="00710686">
        <w:t>double blind</w:t>
      </w:r>
      <w:r w:rsidRPr="00F107F4">
        <w:t xml:space="preserve">, </w:t>
      </w:r>
      <w:r w:rsidR="00710686">
        <w:t>placebo controlled</w:t>
      </w:r>
      <w:r w:rsidRPr="00F107F4">
        <w:t xml:space="preserve">, </w:t>
      </w:r>
      <w:r w:rsidR="00710686">
        <w:t>parallel group</w:t>
      </w:r>
      <w:r w:rsidRPr="00F107F4">
        <w:t xml:space="preserve"> Phase III studies, </w:t>
      </w:r>
      <w:r w:rsidRPr="00931F95">
        <w:t>(</w:t>
      </w:r>
      <w:r w:rsidRPr="00931F95">
        <w:rPr>
          <w:bCs/>
        </w:rPr>
        <w:t xml:space="preserve">M/34274/34, LAS-MD-33, </w:t>
      </w:r>
      <w:r w:rsidRPr="00931F95">
        <w:t xml:space="preserve">and </w:t>
      </w:r>
      <w:r w:rsidRPr="00931F95">
        <w:rPr>
          <w:bCs/>
        </w:rPr>
        <w:t>LAS-MD-38 Part A)</w:t>
      </w:r>
      <w:r w:rsidRPr="00F107F4">
        <w:t xml:space="preserve"> conducted in patients with moderate to severe COPD. Supportive evidence of safety is based on the pooled data from the 3 </w:t>
      </w:r>
      <w:r w:rsidR="00710686">
        <w:t xml:space="preserve">long term </w:t>
      </w:r>
      <w:r w:rsidRPr="00F107F4">
        <w:t>safety studies (</w:t>
      </w:r>
      <w:r w:rsidRPr="00931F95">
        <w:rPr>
          <w:bCs/>
        </w:rPr>
        <w:t xml:space="preserve">LAS-MD-33 </w:t>
      </w:r>
      <w:r w:rsidRPr="00931F95">
        <w:t xml:space="preserve">and </w:t>
      </w:r>
      <w:r w:rsidRPr="00931F95">
        <w:rPr>
          <w:bCs/>
        </w:rPr>
        <w:t xml:space="preserve">LAS-MD-36 </w:t>
      </w:r>
      <w:r w:rsidRPr="00931F95">
        <w:t xml:space="preserve">combined; </w:t>
      </w:r>
      <w:r w:rsidRPr="00931F95">
        <w:rPr>
          <w:bCs/>
        </w:rPr>
        <w:t xml:space="preserve">LAS-MD-38 Part A and Part B </w:t>
      </w:r>
      <w:r w:rsidRPr="00931F95">
        <w:t xml:space="preserve">combined, and </w:t>
      </w:r>
      <w:r w:rsidRPr="00931F95">
        <w:rPr>
          <w:bCs/>
        </w:rPr>
        <w:t>LAS-MD-35).</w:t>
      </w:r>
    </w:p>
    <w:p w:rsidR="00AF3D89" w:rsidRPr="00F107F4" w:rsidRDefault="00AF3D89" w:rsidP="00AC62B4">
      <w:r w:rsidRPr="00F107F4">
        <w:t xml:space="preserve">The secondary safety data is drawn from the QD development program and consists of 8 </w:t>
      </w:r>
      <w:r w:rsidRPr="00551E66">
        <w:t>clinical studies conducted in a similar moderate to severe COPD population to that of the BD program.</w:t>
      </w:r>
    </w:p>
    <w:p w:rsidR="00AF3D89" w:rsidRPr="00F107F4" w:rsidRDefault="00AF3D89" w:rsidP="00AC62B4">
      <w:r w:rsidRPr="00F107F4">
        <w:t>Overall, the evaluator states that inhaled aclidinium bromide (at any dose and dose regimen) has been evaluated in 234</w:t>
      </w:r>
      <w:r w:rsidRPr="00F107F4">
        <w:rPr>
          <w:bCs/>
        </w:rPr>
        <w:t xml:space="preserve">1 </w:t>
      </w:r>
      <w:r w:rsidRPr="00F107F4">
        <w:t>healthy adult subjects and 4344</w:t>
      </w:r>
      <w:r w:rsidRPr="00F107F4">
        <w:rPr>
          <w:b/>
          <w:bCs/>
        </w:rPr>
        <w:t xml:space="preserve"> </w:t>
      </w:r>
      <w:r w:rsidRPr="00F107F4">
        <w:t>patients with COPD. A total 2879 COPD patients were treated in clinical trials of aclidinium bromide BD. A total of 2568</w:t>
      </w:r>
      <w:r w:rsidRPr="00F107F4">
        <w:rPr>
          <w:b/>
          <w:bCs/>
        </w:rPr>
        <w:t xml:space="preserve"> </w:t>
      </w:r>
      <w:r w:rsidRPr="00F107F4">
        <w:t>COPD patients were included in studies of aclidinium bromide QD.</w:t>
      </w:r>
    </w:p>
    <w:p w:rsidR="00931F95" w:rsidRDefault="00AF3D89" w:rsidP="00AC62B4">
      <w:r w:rsidRPr="00F107F4">
        <w:t>The adverse events from the pivotal studies are incl</w:t>
      </w:r>
      <w:r w:rsidR="00931F95">
        <w:t xml:space="preserve">uded in </w:t>
      </w:r>
      <w:r w:rsidR="00C22964">
        <w:t>T</w:t>
      </w:r>
      <w:r w:rsidR="00931F95">
        <w:t>able</w:t>
      </w:r>
      <w:r w:rsidR="00C22964">
        <w:t xml:space="preserve"> 21</w:t>
      </w:r>
      <w:r w:rsidR="00931F95">
        <w:t xml:space="preserve"> below. (This ha</w:t>
      </w:r>
      <w:r w:rsidRPr="00F107F4">
        <w:t>s</w:t>
      </w:r>
      <w:r w:rsidR="00931F95">
        <w:t xml:space="preserve"> been</w:t>
      </w:r>
      <w:r w:rsidRPr="00F107F4">
        <w:t xml:space="preserve"> extracted from the </w:t>
      </w:r>
      <w:r w:rsidR="00710686">
        <w:t xml:space="preserve">European Public Assessment Report for Bretaris </w:t>
      </w:r>
      <w:proofErr w:type="gramStart"/>
      <w:r w:rsidR="00710686">
        <w:t>Genuair(</w:t>
      </w:r>
      <w:proofErr w:type="gramEnd"/>
      <w:r w:rsidRPr="00F107F4">
        <w:t>EPAR</w:t>
      </w:r>
      <w:r w:rsidR="00710686">
        <w:t>)</w:t>
      </w:r>
      <w:r w:rsidR="00710686">
        <w:rPr>
          <w:rStyle w:val="FootnoteReference"/>
        </w:rPr>
        <w:footnoteReference w:id="29"/>
      </w:r>
      <w:r w:rsidRPr="00F107F4">
        <w:t>).</w:t>
      </w:r>
    </w:p>
    <w:p w:rsidR="00A91A20" w:rsidRDefault="00931F95" w:rsidP="00AC62B4">
      <w:pPr>
        <w:pStyle w:val="TableTitle"/>
      </w:pPr>
      <w:proofErr w:type="gramStart"/>
      <w:r>
        <w:t>Table</w:t>
      </w:r>
      <w:r w:rsidR="00F27942">
        <w:t xml:space="preserve"> </w:t>
      </w:r>
      <w:r w:rsidR="00145C30">
        <w:t>21</w:t>
      </w:r>
      <w:r>
        <w:t>.</w:t>
      </w:r>
      <w:proofErr w:type="gramEnd"/>
      <w:r>
        <w:t xml:space="preserve"> Adverse events by preferred term with an incidence of ≥2% in any treatment group in the pivotal study population: Studies M/34273, LAS-MD-33 and LAS-MD-38 Part A (Safety </w:t>
      </w:r>
      <w:r w:rsidRPr="00AC62B4">
        <w:t>population</w:t>
      </w:r>
      <w:r>
        <w:t>)</w:t>
      </w:r>
    </w:p>
    <w:p w:rsidR="003B2EC6" w:rsidRDefault="00AF3D89" w:rsidP="00AC62B4">
      <w:pPr>
        <w:rPr>
          <w:b/>
        </w:rPr>
      </w:pPr>
      <w:r>
        <w:rPr>
          <w:noProof/>
          <w:lang w:eastAsia="en-AU"/>
        </w:rPr>
        <w:drawing>
          <wp:inline distT="0" distB="0" distL="0" distR="0" wp14:anchorId="1D7E1FAE" wp14:editId="0A92226B">
            <wp:extent cx="4724400" cy="1677746"/>
            <wp:effectExtent l="0" t="0" r="0" b="0"/>
            <wp:docPr id="9" name="Picture 9" descr="Table 21. Adverse events by preferred term with an incidence of ≥2% in any treatment group in the pivotal study population: Studies M/34273, LAS-MD-33 and LAS-MD-38 Part 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824" t="24101" b="3597"/>
                    <a:stretch/>
                  </pic:blipFill>
                  <pic:spPr bwMode="auto">
                    <a:xfrm>
                      <a:off x="0" y="0"/>
                      <a:ext cx="4732601" cy="1680659"/>
                    </a:xfrm>
                    <a:prstGeom prst="rect">
                      <a:avLst/>
                    </a:prstGeom>
                    <a:noFill/>
                    <a:ln>
                      <a:noFill/>
                    </a:ln>
                    <a:extLst>
                      <a:ext uri="{53640926-AAD7-44D8-BBD7-CCE9431645EC}">
                        <a14:shadowObscured xmlns:a14="http://schemas.microsoft.com/office/drawing/2010/main"/>
                      </a:ext>
                    </a:extLst>
                  </pic:spPr>
                </pic:pic>
              </a:graphicData>
            </a:graphic>
          </wp:inline>
        </w:drawing>
      </w:r>
    </w:p>
    <w:p w:rsidR="00AF3D89" w:rsidRPr="00931F95" w:rsidRDefault="00AF3D89" w:rsidP="00AC62B4">
      <w:r w:rsidRPr="00931F95">
        <w:t xml:space="preserve">In the pivotal study population, aclidinium bromide 200 </w:t>
      </w:r>
      <w:r w:rsidR="00A5120F">
        <w:t>µ</w:t>
      </w:r>
      <w:r w:rsidRPr="00931F95">
        <w:t xml:space="preserve">g or 400 </w:t>
      </w:r>
      <w:r w:rsidR="00A5120F">
        <w:t>µ</w:t>
      </w:r>
      <w:r w:rsidRPr="00931F95">
        <w:t xml:space="preserve">g did not increase the percentage of patients with at least one AE, AE that led to discontinuation, </w:t>
      </w:r>
      <w:r w:rsidR="00931F95" w:rsidRPr="00931F95">
        <w:t>serious adverse events (</w:t>
      </w:r>
      <w:r w:rsidRPr="00931F95">
        <w:t>SAEs</w:t>
      </w:r>
      <w:r w:rsidR="00931F95" w:rsidRPr="00931F95">
        <w:t>)</w:t>
      </w:r>
      <w:r w:rsidRPr="00931F95">
        <w:t xml:space="preserve"> or deaths compared with placebo</w:t>
      </w:r>
      <w:r w:rsidR="00C22964">
        <w:t xml:space="preserve"> (Table 22)</w:t>
      </w:r>
      <w:r w:rsidR="00AC62B4">
        <w:t>.</w:t>
      </w:r>
    </w:p>
    <w:p w:rsidR="00931F95" w:rsidRPr="00AC62B4" w:rsidRDefault="00931F95" w:rsidP="00AC62B4">
      <w:pPr>
        <w:pStyle w:val="TableTitle"/>
      </w:pPr>
      <w:proofErr w:type="gramStart"/>
      <w:r>
        <w:t>Table</w:t>
      </w:r>
      <w:r w:rsidR="00F27942">
        <w:t xml:space="preserve"> 2</w:t>
      </w:r>
      <w:r w:rsidR="00145C30">
        <w:t>2</w:t>
      </w:r>
      <w:r>
        <w:t>.</w:t>
      </w:r>
      <w:proofErr w:type="gramEnd"/>
      <w:r>
        <w:t xml:space="preserve"> </w:t>
      </w:r>
      <w:proofErr w:type="gramStart"/>
      <w:r>
        <w:t>Number and percentage of [patients with adverse events in pivotal study population.</w:t>
      </w:r>
      <w:proofErr w:type="gramEnd"/>
      <w:r>
        <w:t xml:space="preserve"> Studies M34273/34, LAS-MD-33 and LAS-MD-38 Part A (Safety Population).</w:t>
      </w:r>
    </w:p>
    <w:p w:rsidR="00931F95" w:rsidRDefault="00A91A20" w:rsidP="00AC62B4">
      <w:r>
        <w:rPr>
          <w:noProof/>
          <w:lang w:eastAsia="en-AU"/>
        </w:rPr>
        <w:drawing>
          <wp:inline distT="0" distB="0" distL="0" distR="0" wp14:anchorId="233F0BEF" wp14:editId="44B997FB">
            <wp:extent cx="4305300" cy="1366257"/>
            <wp:effectExtent l="0" t="0" r="0" b="0"/>
            <wp:docPr id="8" name="Picture 8" descr="Table 22. Number and percentage of [patients with adverse events in pivotal study population. Studies M34273/34, LAS-MD-33 and LAS-MD-38 Part 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8840" r="6988" b="14237"/>
                    <a:stretch/>
                  </pic:blipFill>
                  <pic:spPr bwMode="auto">
                    <a:xfrm>
                      <a:off x="0" y="0"/>
                      <a:ext cx="4324082" cy="1372217"/>
                    </a:xfrm>
                    <a:prstGeom prst="rect">
                      <a:avLst/>
                    </a:prstGeom>
                    <a:noFill/>
                    <a:ln>
                      <a:noFill/>
                    </a:ln>
                    <a:extLst>
                      <a:ext uri="{53640926-AAD7-44D8-BBD7-CCE9431645EC}">
                        <a14:shadowObscured xmlns:a14="http://schemas.microsoft.com/office/drawing/2010/main"/>
                      </a:ext>
                    </a:extLst>
                  </pic:spPr>
                </pic:pic>
              </a:graphicData>
            </a:graphic>
          </wp:inline>
        </w:drawing>
      </w:r>
    </w:p>
    <w:p w:rsidR="00AF3D89" w:rsidRDefault="00AF3D89" w:rsidP="00AC62B4">
      <w:r w:rsidRPr="00F107F4">
        <w:t>No dose related trend in percentages of patients with adverse events was observed in the pivotal studies or in the long term study population. There appeared to be no impression that the adverse event incidence decreased with time; the overview of the adverse events from the long term studies is given</w:t>
      </w:r>
      <w:r w:rsidR="00C22964">
        <w:t xml:space="preserve"> in Table 23</w:t>
      </w:r>
      <w:r w:rsidR="00AC62B4">
        <w:t xml:space="preserve"> below.</w:t>
      </w:r>
    </w:p>
    <w:p w:rsidR="00A91A20" w:rsidRPr="00AC62B4" w:rsidRDefault="00A91A20" w:rsidP="00AC62B4">
      <w:pPr>
        <w:pStyle w:val="TableTitle"/>
      </w:pPr>
      <w:proofErr w:type="gramStart"/>
      <w:r>
        <w:t xml:space="preserve">Table </w:t>
      </w:r>
      <w:r w:rsidR="00F27942">
        <w:t>2</w:t>
      </w:r>
      <w:r w:rsidR="00145C30">
        <w:t>3</w:t>
      </w:r>
      <w:r w:rsidR="00F27942">
        <w:t>.</w:t>
      </w:r>
      <w:proofErr w:type="gramEnd"/>
      <w:r w:rsidR="00F27942">
        <w:t xml:space="preserve"> </w:t>
      </w:r>
      <w:proofErr w:type="gramStart"/>
      <w:r>
        <w:t>Overview of Adverse events.</w:t>
      </w:r>
      <w:proofErr w:type="gramEnd"/>
      <w:r>
        <w:t xml:space="preserve"> Long term safety studies of </w:t>
      </w:r>
      <w:proofErr w:type="spellStart"/>
      <w:r w:rsidRPr="00F107F4">
        <w:t>aclidinium</w:t>
      </w:r>
      <w:proofErr w:type="spellEnd"/>
      <w:r w:rsidRPr="00F107F4">
        <w:t xml:space="preserve"> bromide</w:t>
      </w:r>
      <w:r w:rsidR="00145C30">
        <w:t>.</w:t>
      </w:r>
    </w:p>
    <w:p w:rsidR="00AF3D89" w:rsidRPr="00F107F4" w:rsidRDefault="00AF3D89" w:rsidP="00AC62B4">
      <w:r>
        <w:rPr>
          <w:noProof/>
          <w:lang w:eastAsia="en-AU"/>
        </w:rPr>
        <w:drawing>
          <wp:inline distT="0" distB="0" distL="0" distR="0" wp14:anchorId="1F084EF4" wp14:editId="1CC9A728">
            <wp:extent cx="4339297" cy="2733675"/>
            <wp:effectExtent l="0" t="0" r="0" b="0"/>
            <wp:docPr id="7" name="Picture 7" descr="Table 23. Overview of Adverse events. Long term safety studies of aclidin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661" t="8287" r="8652"/>
                    <a:stretch/>
                  </pic:blipFill>
                  <pic:spPr bwMode="auto">
                    <a:xfrm>
                      <a:off x="0" y="0"/>
                      <a:ext cx="4345386" cy="2737511"/>
                    </a:xfrm>
                    <a:prstGeom prst="rect">
                      <a:avLst/>
                    </a:prstGeom>
                    <a:noFill/>
                    <a:ln>
                      <a:noFill/>
                    </a:ln>
                    <a:extLst>
                      <a:ext uri="{53640926-AAD7-44D8-BBD7-CCE9431645EC}">
                        <a14:shadowObscured xmlns:a14="http://schemas.microsoft.com/office/drawing/2010/main"/>
                      </a:ext>
                    </a:extLst>
                  </pic:spPr>
                </pic:pic>
              </a:graphicData>
            </a:graphic>
          </wp:inline>
        </w:drawing>
      </w:r>
    </w:p>
    <w:p w:rsidR="00AF3D89" w:rsidRPr="00AC62B4" w:rsidRDefault="00AC62B4" w:rsidP="00AC62B4">
      <w:pPr>
        <w:pStyle w:val="Heading5"/>
      </w:pPr>
      <w:r>
        <w:t>Serious adverse events</w:t>
      </w:r>
    </w:p>
    <w:p w:rsidR="00AF3D89" w:rsidRPr="00F107F4" w:rsidRDefault="00AF3D89" w:rsidP="00AC62B4">
      <w:r w:rsidRPr="00F107F4">
        <w:t>In the pivotal studies, the following were reported: placebo 4.8%,</w:t>
      </w:r>
      <w:r>
        <w:t xml:space="preserve"> </w:t>
      </w:r>
      <w:r w:rsidRPr="00F107F4">
        <w:t>aclidinium bromide 200</w:t>
      </w:r>
      <w:r w:rsidR="00A91A20">
        <w:t> </w:t>
      </w:r>
      <w:r w:rsidR="00A5120F">
        <w:t>µ</w:t>
      </w:r>
      <w:r w:rsidRPr="00F107F4">
        <w:t>g 4.8% and</w:t>
      </w:r>
      <w:r>
        <w:t xml:space="preserve"> </w:t>
      </w:r>
      <w:r w:rsidRPr="00F107F4">
        <w:t>aclidinium bromide</w:t>
      </w:r>
      <w:r>
        <w:t xml:space="preserve"> </w:t>
      </w:r>
      <w:r w:rsidRPr="00F107F4">
        <w:t xml:space="preserve">400 </w:t>
      </w:r>
      <w:r w:rsidR="00A5120F">
        <w:t>µ</w:t>
      </w:r>
      <w:r w:rsidRPr="00F107F4">
        <w:t xml:space="preserve">g 4.4%. The most frequently reported event was COPD exacerbation. This was lower in the aclidinium bromide 400 </w:t>
      </w:r>
      <w:r w:rsidR="00A5120F">
        <w:t>µ</w:t>
      </w:r>
      <w:r w:rsidRPr="00F107F4">
        <w:t xml:space="preserve">g group (1.6%) compared with the placebo (2.7%). Pneumonia was the only additional SAE reported in at least 1% of the patients- this was 0.6% in the 400 </w:t>
      </w:r>
      <w:r w:rsidR="00A5120F">
        <w:t>µ</w:t>
      </w:r>
      <w:r w:rsidRPr="00F107F4">
        <w:t>g aclidinium bromide</w:t>
      </w:r>
      <w:r>
        <w:t xml:space="preserve"> </w:t>
      </w:r>
      <w:r w:rsidRPr="00F107F4">
        <w:t xml:space="preserve">group and 1.1 % in the 200 </w:t>
      </w:r>
      <w:r w:rsidR="00A5120F">
        <w:t>µ</w:t>
      </w:r>
      <w:r w:rsidRPr="00F107F4">
        <w:t>g aclidinium bromide groups.</w:t>
      </w:r>
    </w:p>
    <w:p w:rsidR="00BB513B" w:rsidRPr="00AC62B4" w:rsidRDefault="00AC62B4" w:rsidP="00AC62B4">
      <w:pPr>
        <w:pStyle w:val="Heading5"/>
      </w:pPr>
      <w:r>
        <w:t>Deaths</w:t>
      </w:r>
    </w:p>
    <w:p w:rsidR="00AF3D89" w:rsidRPr="00F107F4" w:rsidRDefault="00AF3D89" w:rsidP="00AC62B4">
      <w:r w:rsidRPr="00F107F4">
        <w:t>A total of 16 are reported. Of these, 9 were reported in the once daily studies (2 in the 200</w:t>
      </w:r>
      <w:r w:rsidR="00BB513B">
        <w:t> </w:t>
      </w:r>
      <w:r w:rsidR="00A5120F">
        <w:t>µ</w:t>
      </w:r>
      <w:r w:rsidRPr="00F107F4">
        <w:t xml:space="preserve">g aclidinium bromide group; 5 in the 400 </w:t>
      </w:r>
      <w:r w:rsidR="00A5120F">
        <w:t>µ</w:t>
      </w:r>
      <w:r w:rsidRPr="00F107F4">
        <w:t>g aclidinium bromide</w:t>
      </w:r>
      <w:r>
        <w:t xml:space="preserve"> </w:t>
      </w:r>
      <w:r w:rsidRPr="00F107F4">
        <w:t xml:space="preserve">group and 2 in the placebo group). </w:t>
      </w:r>
      <w:r w:rsidR="00BB513B">
        <w:t>Five</w:t>
      </w:r>
      <w:r w:rsidRPr="00F107F4">
        <w:t xml:space="preserve"> deaths were considered </w:t>
      </w:r>
      <w:r w:rsidR="001D13B2">
        <w:t>‘</w:t>
      </w:r>
      <w:r w:rsidRPr="00F107F4">
        <w:t>by the adjudication committees to be cardiovascular</w:t>
      </w:r>
      <w:r w:rsidR="001D13B2">
        <w:t>’</w:t>
      </w:r>
      <w:r w:rsidRPr="00F107F4">
        <w:t xml:space="preserve">. Of the 5 </w:t>
      </w:r>
      <w:r w:rsidR="00BB513B">
        <w:t>cardiovascular</w:t>
      </w:r>
      <w:r w:rsidRPr="00F107F4">
        <w:t xml:space="preserve"> deaths, 2 were sudden cardiac deaths reported as cardiac arrest while the remaining deaths were due to: possible myocardial infarction, acute cardiac failure and subarachnoid haemorrhage. All 5 patients had extensive cardiovascular medical histories.</w:t>
      </w:r>
    </w:p>
    <w:p w:rsidR="00AF3D89" w:rsidRPr="00F107F4" w:rsidRDefault="00AF3D89" w:rsidP="00AC62B4">
      <w:r w:rsidRPr="00F107F4">
        <w:t>The evaluator does not attribute causality to the active</w:t>
      </w:r>
      <w:r w:rsidR="00AC62B4">
        <w:t xml:space="preserve"> treatment (in the BD studies).</w:t>
      </w:r>
    </w:p>
    <w:p w:rsidR="00AF3D89" w:rsidRPr="00AC62B4" w:rsidRDefault="00AF3D89" w:rsidP="00AC62B4">
      <w:pPr>
        <w:pStyle w:val="Heading5"/>
      </w:pPr>
      <w:r w:rsidRPr="00F107F4">
        <w:t>Laboratory investigations</w:t>
      </w:r>
    </w:p>
    <w:p w:rsidR="00AF3D89" w:rsidRPr="00F107F4" w:rsidRDefault="00AF3D89" w:rsidP="00AC62B4">
      <w:r w:rsidRPr="00F107F4">
        <w:t>There were no trends observed and no significant changes seen.</w:t>
      </w:r>
    </w:p>
    <w:p w:rsidR="00BB513B" w:rsidRPr="00AC62B4" w:rsidRDefault="00AF3D89" w:rsidP="00AC62B4">
      <w:pPr>
        <w:pStyle w:val="Heading5"/>
      </w:pPr>
      <w:r w:rsidRPr="00F107F4">
        <w:t>ECG changes</w:t>
      </w:r>
    </w:p>
    <w:p w:rsidR="00AF3D89" w:rsidRPr="00F107F4" w:rsidRDefault="00AF3D89" w:rsidP="00AC62B4">
      <w:r w:rsidRPr="00F107F4">
        <w:t xml:space="preserve">The individual events were low and balanced between groups. In the long term BD studies there were 3 instances of </w:t>
      </w:r>
      <w:r w:rsidR="00BB513B" w:rsidRPr="00BB513B">
        <w:t xml:space="preserve">Supraventricular Tachycardia </w:t>
      </w:r>
      <w:r w:rsidR="00BB513B">
        <w:t>(</w:t>
      </w:r>
      <w:r w:rsidRPr="00F107F4">
        <w:t>SVT</w:t>
      </w:r>
      <w:r w:rsidR="00BB513B">
        <w:t>)</w:t>
      </w:r>
      <w:r w:rsidRPr="00F107F4">
        <w:t xml:space="preserve"> reported as </w:t>
      </w:r>
      <w:r w:rsidR="00F350CB">
        <w:t>treatment emergent adverse events (</w:t>
      </w:r>
      <w:r w:rsidRPr="00F107F4">
        <w:t>TEAEs</w:t>
      </w:r>
      <w:r w:rsidR="00F350CB">
        <w:t>)</w:t>
      </w:r>
      <w:r w:rsidRPr="00F107F4">
        <w:t xml:space="preserve"> for the 400 </w:t>
      </w:r>
      <w:r w:rsidR="00A5120F">
        <w:t>µ</w:t>
      </w:r>
      <w:r w:rsidRPr="00F107F4">
        <w:t xml:space="preserve">g group (c/w 200 </w:t>
      </w:r>
      <w:r w:rsidR="00A5120F">
        <w:t>µ</w:t>
      </w:r>
      <w:r w:rsidRPr="00F107F4">
        <w:t xml:space="preserve">g). In the placebo controlled studies there was a trend towards a greater percentage of patients with a shift to increased PR interval across doses (2.6% placebo, aclinidium bromide 200 </w:t>
      </w:r>
      <w:r w:rsidR="00A5120F">
        <w:t>µ</w:t>
      </w:r>
      <w:r w:rsidRPr="00F107F4">
        <w:t>g BD 3.0% and 3.3 %</w:t>
      </w:r>
      <w:r>
        <w:t xml:space="preserve"> </w:t>
      </w:r>
      <w:r w:rsidRPr="00F107F4">
        <w:t>aclinidium bromide 400 BD). These were sm</w:t>
      </w:r>
      <w:r w:rsidR="00AC62B4">
        <w:t>all and difficult to interpret.</w:t>
      </w:r>
    </w:p>
    <w:p w:rsidR="00AF3D89" w:rsidRPr="00F107F4" w:rsidRDefault="00AF3D89" w:rsidP="00AC62B4">
      <w:r w:rsidRPr="00F107F4">
        <w:t>Holter monitoring was conducted in a subset of patients (</w:t>
      </w:r>
      <w:r w:rsidRPr="00BB513B">
        <w:t>LAS-MD-33 and 38A</w:t>
      </w:r>
      <w:r w:rsidRPr="00F107F4">
        <w:t xml:space="preserve">). Individual events were infrequent and balanced. Exceptions were </w:t>
      </w:r>
      <w:proofErr w:type="gramStart"/>
      <w:r w:rsidR="00F350CB" w:rsidRPr="00F350CB">
        <w:t>Premature</w:t>
      </w:r>
      <w:proofErr w:type="gramEnd"/>
      <w:r w:rsidR="00F350CB" w:rsidRPr="00F350CB">
        <w:t xml:space="preserve"> ventricular contractions </w:t>
      </w:r>
      <w:r w:rsidR="00F350CB">
        <w:t>(</w:t>
      </w:r>
      <w:r w:rsidRPr="00F107F4">
        <w:t>PVCs</w:t>
      </w:r>
      <w:r w:rsidR="00F350CB">
        <w:t>)</w:t>
      </w:r>
      <w:r w:rsidRPr="00F107F4">
        <w:t xml:space="preserve"> and non</w:t>
      </w:r>
      <w:r w:rsidR="00F350CB">
        <w:t>-</w:t>
      </w:r>
      <w:r w:rsidRPr="00F107F4">
        <w:t>sustained SVT (common with ac</w:t>
      </w:r>
      <w:r>
        <w:t>li</w:t>
      </w:r>
      <w:r w:rsidRPr="00F107F4">
        <w:t>di</w:t>
      </w:r>
      <w:r>
        <w:t>ni</w:t>
      </w:r>
      <w:r w:rsidRPr="00F107F4">
        <w:t xml:space="preserve">um bromide than placebo). There were no </w:t>
      </w:r>
      <w:r w:rsidR="00BB513B">
        <w:t>ventricular fibrillations (</w:t>
      </w:r>
      <w:r w:rsidRPr="00F107F4">
        <w:t>VF</w:t>
      </w:r>
      <w:r w:rsidR="00BB513B">
        <w:t>)</w:t>
      </w:r>
      <w:r w:rsidR="00AC62B4">
        <w:t xml:space="preserve"> or torsade de pointes.</w:t>
      </w:r>
    </w:p>
    <w:p w:rsidR="00BB513B" w:rsidRPr="00AC62B4" w:rsidRDefault="00AC62B4" w:rsidP="00AC62B4">
      <w:pPr>
        <w:pStyle w:val="Heading5"/>
      </w:pPr>
      <w:r>
        <w:t>Vital signs</w:t>
      </w:r>
    </w:p>
    <w:p w:rsidR="00AF3D89" w:rsidRPr="00F107F4" w:rsidRDefault="00AF3D89" w:rsidP="00AC62B4">
      <w:r w:rsidRPr="00F107F4">
        <w:t xml:space="preserve">Potentially clinically significant changes in </w:t>
      </w:r>
      <w:r w:rsidR="00BB513B">
        <w:t>systolic blood pressure (</w:t>
      </w:r>
      <w:r w:rsidRPr="00F107F4">
        <w:t>SBP</w:t>
      </w:r>
      <w:r w:rsidR="00BB513B">
        <w:t>)</w:t>
      </w:r>
      <w:r w:rsidRPr="00F107F4">
        <w:t xml:space="preserve"> and </w:t>
      </w:r>
      <w:r w:rsidR="00BB513B">
        <w:t>diastolic blood pressure (</w:t>
      </w:r>
      <w:r w:rsidRPr="00F107F4">
        <w:t>DBP</w:t>
      </w:r>
      <w:r w:rsidR="00BB513B">
        <w:t>)</w:t>
      </w:r>
      <w:r w:rsidRPr="00F107F4">
        <w:t xml:space="preserve"> were infrequent and balanced. Overall TEAEs relating to these events were low.</w:t>
      </w:r>
    </w:p>
    <w:p w:rsidR="00BB513B" w:rsidRPr="00AC62B4" w:rsidRDefault="00AF3D89" w:rsidP="00AC62B4">
      <w:pPr>
        <w:pStyle w:val="Heading5"/>
      </w:pPr>
      <w:r w:rsidRPr="00F107F4">
        <w:t>Cardiovascular events</w:t>
      </w:r>
    </w:p>
    <w:p w:rsidR="00AF3D89" w:rsidRPr="00F107F4" w:rsidRDefault="00AF3D89" w:rsidP="00AC62B4">
      <w:r w:rsidRPr="00F107F4">
        <w:t>The evaluator discusses 2 analyses (</w:t>
      </w:r>
      <w:r w:rsidR="00F350CB" w:rsidRPr="00F350CB">
        <w:t xml:space="preserve">major adverse cardiovascular events </w:t>
      </w:r>
      <w:r w:rsidR="00F350CB">
        <w:t>(</w:t>
      </w:r>
      <w:r w:rsidRPr="00F107F4">
        <w:t>MACE</w:t>
      </w:r>
      <w:r w:rsidR="00F350CB">
        <w:t>)</w:t>
      </w:r>
      <w:r w:rsidRPr="00F107F4">
        <w:t xml:space="preserve"> and events based on standardised MedRA</w:t>
      </w:r>
      <w:r w:rsidR="00F350CB">
        <w:rPr>
          <w:rStyle w:val="FootnoteReference"/>
        </w:rPr>
        <w:footnoteReference w:id="30"/>
      </w:r>
      <w:r w:rsidRPr="00F107F4">
        <w:t xml:space="preserve"> queries, </w:t>
      </w:r>
      <w:r w:rsidRPr="00F350CB">
        <w:t>SMQ</w:t>
      </w:r>
      <w:r w:rsidR="00F350CB" w:rsidRPr="00F350CB">
        <w:rPr>
          <w:rStyle w:val="FootnoteReference"/>
        </w:rPr>
        <w:footnoteReference w:id="31"/>
      </w:r>
      <w:r w:rsidRPr="00F350CB">
        <w:t xml:space="preserve">). </w:t>
      </w:r>
      <w:r w:rsidRPr="00F350CB">
        <w:rPr>
          <w:rStyle w:val="Heading6Char"/>
          <w:rFonts w:eastAsia="Cambria"/>
        </w:rPr>
        <w:t>MACE</w:t>
      </w:r>
      <w:r w:rsidR="00BB513B" w:rsidRPr="00F350CB">
        <w:t xml:space="preserve">: </w:t>
      </w:r>
      <w:r w:rsidR="00F350CB">
        <w:t xml:space="preserve">cardiovascular </w:t>
      </w:r>
      <w:r w:rsidR="00BB513B" w:rsidRPr="00F350CB">
        <w:t xml:space="preserve">deaths </w:t>
      </w:r>
      <w:r w:rsidRPr="00F350CB">
        <w:t>were in line with placebo groups of studies conducted with similar agents. MACE-</w:t>
      </w:r>
      <w:r w:rsidR="00F350CB" w:rsidRPr="00F350CB">
        <w:t xml:space="preserve"> acute myocardial infarction </w:t>
      </w:r>
      <w:r w:rsidR="00F350CB">
        <w:t>(</w:t>
      </w:r>
      <w:r w:rsidRPr="00F350CB">
        <w:t>AMI</w:t>
      </w:r>
      <w:r w:rsidR="00F350CB">
        <w:t>)</w:t>
      </w:r>
      <w:r w:rsidRPr="00F350CB">
        <w:t xml:space="preserve"> did not reveal any significant findings.</w:t>
      </w:r>
    </w:p>
    <w:p w:rsidR="00AF3D89" w:rsidRPr="00F107F4" w:rsidRDefault="00AF3D89" w:rsidP="00AC62B4">
      <w:r w:rsidRPr="00BB513B">
        <w:rPr>
          <w:i/>
        </w:rPr>
        <w:t>Cardiovascular SMQs</w:t>
      </w:r>
      <w:r w:rsidR="00BB513B" w:rsidRPr="00BB513B">
        <w:rPr>
          <w:i/>
        </w:rPr>
        <w:t>:</w:t>
      </w:r>
      <w:r w:rsidRPr="00F107F4">
        <w:t xml:space="preserve"> In the BD placebo controlled studies these events were generally balanced between groups. The notable imbalance was </w:t>
      </w:r>
      <w:r>
        <w:t>b</w:t>
      </w:r>
      <w:r w:rsidRPr="00F107F4">
        <w:t>rady</w:t>
      </w:r>
      <w:r w:rsidR="00E74309">
        <w:t>-</w:t>
      </w:r>
      <w:r w:rsidRPr="00F107F4">
        <w:t>arrhythmia/conduction defects/sinus node disorder which was 1.6% aclidinium</w:t>
      </w:r>
      <w:r>
        <w:t xml:space="preserve"> </w:t>
      </w:r>
      <w:r w:rsidRPr="00F107F4">
        <w:t xml:space="preserve">bromide 400 </w:t>
      </w:r>
      <w:r w:rsidR="00A5120F">
        <w:t>µ</w:t>
      </w:r>
      <w:r w:rsidRPr="00F107F4">
        <w:t xml:space="preserve">g, 0.9% for aclidinium bromide 200 </w:t>
      </w:r>
      <w:r w:rsidR="00A5120F">
        <w:t>µ</w:t>
      </w:r>
      <w:r w:rsidRPr="00F107F4">
        <w:t>g and 0.8% in the placebo arm. Also, cardiac failure was 0.8% in the aclidinium</w:t>
      </w:r>
      <w:r>
        <w:t xml:space="preserve"> </w:t>
      </w:r>
      <w:r w:rsidRPr="00F107F4">
        <w:t xml:space="preserve">bromide 400 </w:t>
      </w:r>
      <w:r w:rsidR="00A5120F">
        <w:t>µ</w:t>
      </w:r>
      <w:r w:rsidRPr="00F107F4">
        <w:t xml:space="preserve">g </w:t>
      </w:r>
      <w:proofErr w:type="gramStart"/>
      <w:r w:rsidRPr="00F107F4">
        <w:t>group</w:t>
      </w:r>
      <w:proofErr w:type="gramEnd"/>
      <w:r w:rsidRPr="00F107F4">
        <w:t>, 0.2% in the aclidinium</w:t>
      </w:r>
      <w:r>
        <w:t xml:space="preserve"> </w:t>
      </w:r>
      <w:r w:rsidRPr="00F107F4">
        <w:t xml:space="preserve">bromide 200 </w:t>
      </w:r>
      <w:r w:rsidR="00A5120F">
        <w:t>µ</w:t>
      </w:r>
      <w:r w:rsidRPr="00F107F4">
        <w:t xml:space="preserve">g group and 0.3% in </w:t>
      </w:r>
      <w:r w:rsidR="00AC62B4">
        <w:t>the placebo group respectively.</w:t>
      </w:r>
    </w:p>
    <w:p w:rsidR="00AC62B4" w:rsidRDefault="00BB513B" w:rsidP="00AC62B4">
      <w:pPr>
        <w:pStyle w:val="Heading6"/>
      </w:pPr>
      <w:r w:rsidRPr="00BB513B">
        <w:t>Strokes:</w:t>
      </w:r>
    </w:p>
    <w:p w:rsidR="00AF3D89" w:rsidRPr="00F107F4" w:rsidRDefault="00AF3D89" w:rsidP="00AC62B4">
      <w:r w:rsidRPr="00F107F4">
        <w:t>The numbers were low making it difficult to</w:t>
      </w:r>
      <w:r w:rsidR="00AC62B4">
        <w:t xml:space="preserve"> draw conclusions.</w:t>
      </w:r>
    </w:p>
    <w:p w:rsidR="00AC62B4" w:rsidRPr="00AC62B4" w:rsidRDefault="00AF3D89" w:rsidP="00AC62B4">
      <w:pPr>
        <w:pStyle w:val="Heading6"/>
      </w:pPr>
      <w:r w:rsidRPr="00AC62B4">
        <w:rPr>
          <w:rStyle w:val="Heading5Char"/>
          <w:rFonts w:eastAsia="Cambria"/>
          <w:b w:val="0"/>
          <w:bCs/>
          <w:i/>
          <w:color w:val="auto"/>
        </w:rPr>
        <w:t>Pneumonia</w:t>
      </w:r>
      <w:r w:rsidR="00BB513B" w:rsidRPr="00AC62B4">
        <w:rPr>
          <w:rStyle w:val="Heading5Char"/>
          <w:rFonts w:eastAsia="Cambria"/>
          <w:b w:val="0"/>
          <w:bCs/>
          <w:i/>
          <w:color w:val="auto"/>
        </w:rPr>
        <w:t>:</w:t>
      </w:r>
    </w:p>
    <w:p w:rsidR="00AF3D89" w:rsidRPr="00F107F4" w:rsidRDefault="00AF3D89" w:rsidP="00AC62B4">
      <w:r w:rsidRPr="00F107F4">
        <w:t>The incidence rate was low (10.1%) with aclidinium</w:t>
      </w:r>
      <w:r>
        <w:t xml:space="preserve"> </w:t>
      </w:r>
      <w:r w:rsidRPr="00F107F4">
        <w:t xml:space="preserve">bromide 400 </w:t>
      </w:r>
      <w:r w:rsidR="00A5120F">
        <w:t>µ</w:t>
      </w:r>
      <w:r w:rsidRPr="00F107F4">
        <w:t xml:space="preserve">g </w:t>
      </w:r>
      <w:r w:rsidR="00BB513B">
        <w:t>BD</w:t>
      </w:r>
      <w:r w:rsidRPr="00F107F4">
        <w:t xml:space="preserve"> v</w:t>
      </w:r>
      <w:r w:rsidR="00BB513B">
        <w:t>ersu</w:t>
      </w:r>
      <w:r w:rsidRPr="00F107F4">
        <w:t xml:space="preserve">s placebo (26.2%). The long term studies did not reveal any dose response. The risk of patients with COPD developing pneumonia, bronchitis or respiratory failure was not increased with </w:t>
      </w:r>
      <w:proofErr w:type="spellStart"/>
      <w:r w:rsidRPr="00F107F4">
        <w:t>aclidinium</w:t>
      </w:r>
      <w:proofErr w:type="spellEnd"/>
      <w:r w:rsidRPr="00F107F4">
        <w:t xml:space="preserve"> bromide administration.</w:t>
      </w:r>
    </w:p>
    <w:p w:rsidR="00AC62B4" w:rsidRPr="00AC62B4" w:rsidRDefault="00AF3D89" w:rsidP="00AC62B4">
      <w:pPr>
        <w:pStyle w:val="Heading6"/>
        <w:rPr>
          <w:rStyle w:val="Heading5Char"/>
          <w:rFonts w:eastAsia="Cambria"/>
          <w:b w:val="0"/>
          <w:bCs/>
          <w:i/>
          <w:color w:val="auto"/>
        </w:rPr>
      </w:pPr>
      <w:r w:rsidRPr="00AC62B4">
        <w:rPr>
          <w:rStyle w:val="Heading5Char"/>
          <w:rFonts w:eastAsia="Cambria"/>
          <w:b w:val="0"/>
          <w:bCs/>
          <w:i/>
          <w:color w:val="auto"/>
        </w:rPr>
        <w:t>Anticholinergic events</w:t>
      </w:r>
      <w:r w:rsidR="00BB513B" w:rsidRPr="00AC62B4">
        <w:rPr>
          <w:rStyle w:val="Heading5Char"/>
          <w:rFonts w:eastAsia="Cambria"/>
          <w:b w:val="0"/>
          <w:bCs/>
          <w:i/>
          <w:color w:val="auto"/>
        </w:rPr>
        <w:t>:</w:t>
      </w:r>
    </w:p>
    <w:p w:rsidR="00AF3D89" w:rsidRPr="00551E66" w:rsidRDefault="00AF3D89" w:rsidP="00AC62B4">
      <w:r w:rsidRPr="00F107F4">
        <w:t xml:space="preserve">There were no significant trends observed and the incidence was </w:t>
      </w:r>
      <w:r w:rsidR="00AC62B4">
        <w:t>low.</w:t>
      </w:r>
    </w:p>
    <w:p w:rsidR="00AF3D89" w:rsidRPr="00F107F4" w:rsidRDefault="00AF3D89" w:rsidP="00AC62B4">
      <w:r w:rsidRPr="00551E66">
        <w:t xml:space="preserve">Safety results from once daily dosing and the Phase </w:t>
      </w:r>
      <w:r w:rsidR="00BB513B" w:rsidRPr="00551E66">
        <w:t>I</w:t>
      </w:r>
      <w:r w:rsidRPr="00551E66">
        <w:t xml:space="preserve"> studies are also discussed </w:t>
      </w:r>
      <w:r w:rsidR="00BB513B" w:rsidRPr="00551E66">
        <w:t xml:space="preserve">in </w:t>
      </w:r>
      <w:r w:rsidR="00551E66">
        <w:t xml:space="preserve">Extract from the CER </w:t>
      </w:r>
      <w:r w:rsidR="00BB513B" w:rsidRPr="00551E66">
        <w:t>Attachment 2</w:t>
      </w:r>
      <w:r w:rsidRPr="00551E66">
        <w:t>.</w:t>
      </w:r>
      <w:r w:rsidRPr="00F107F4">
        <w:t xml:space="preserve"> This</w:t>
      </w:r>
      <w:r w:rsidR="00AC62B4">
        <w:t xml:space="preserve"> is considered supportive only.</w:t>
      </w:r>
    </w:p>
    <w:p w:rsidR="00AC62B4" w:rsidRPr="00AC62B4" w:rsidRDefault="00AF3D89" w:rsidP="00AC62B4">
      <w:pPr>
        <w:pStyle w:val="Heading6"/>
      </w:pPr>
      <w:r w:rsidRPr="00AC62B4">
        <w:rPr>
          <w:rStyle w:val="Heading5Char"/>
          <w:rFonts w:eastAsia="Cambria"/>
          <w:b w:val="0"/>
          <w:bCs/>
          <w:i/>
          <w:color w:val="auto"/>
        </w:rPr>
        <w:t>Safety in special populations:</w:t>
      </w:r>
    </w:p>
    <w:p w:rsidR="00AF3D89" w:rsidRPr="00F107F4" w:rsidRDefault="00AF3D89" w:rsidP="00AC62B4">
      <w:r w:rsidRPr="00F107F4">
        <w:t>Impact of age, sex, race, BMI, COPD severity and the concomitant use of ICS on adverse events were analysed. There were no significant findings.</w:t>
      </w:r>
    </w:p>
    <w:p w:rsidR="00AF3D89" w:rsidRPr="00AC62B4" w:rsidRDefault="00BB513B" w:rsidP="00AC62B4">
      <w:pPr>
        <w:pStyle w:val="Heading5"/>
      </w:pPr>
      <w:r>
        <w:t>Overall safety conclusion</w:t>
      </w:r>
    </w:p>
    <w:p w:rsidR="00AF3D89" w:rsidRPr="00F107F4" w:rsidRDefault="00AF3D89" w:rsidP="00AC62B4">
      <w:r w:rsidRPr="00F107F4">
        <w:t xml:space="preserve">The evaluator states that aclidinium bromide 200 </w:t>
      </w:r>
      <w:r w:rsidR="00A5120F">
        <w:t>µ</w:t>
      </w:r>
      <w:r w:rsidRPr="00F107F4">
        <w:t xml:space="preserve">g or 400 </w:t>
      </w:r>
      <w:r w:rsidR="00A5120F">
        <w:t>µ</w:t>
      </w:r>
      <w:r w:rsidRPr="00F107F4">
        <w:t>g</w:t>
      </w:r>
      <w:r w:rsidR="00943F2D">
        <w:t xml:space="preserve"> BD</w:t>
      </w:r>
      <w:r w:rsidRPr="00F107F4">
        <w:t xml:space="preserve"> was well</w:t>
      </w:r>
      <w:r w:rsidR="00BB513B">
        <w:t xml:space="preserve"> </w:t>
      </w:r>
      <w:r w:rsidRPr="00F107F4">
        <w:t>tolerated. The overall incidence of AEs was similar in the aclidinium bromide treated groups to that in the placebo group. Cardiovascular adverse events are a specific safety event of interest for anticholinergic drugs given the previous findings with tiotropium. The results do not indicate an increased overall MACE score for aclidinium bromide and do not show a definite signal of imbalance for any of the individual categories of events but the strength of this assessment is limited by the relatively small sample size and a low event rate. The risk of patients with COPD developing pneumonia, bronchitis or respiratory failure was not increased with aclidinium bromide administration. A total of 14 on-treatment deaths were reported in</w:t>
      </w:r>
      <w:r w:rsidR="00943F2D">
        <w:t xml:space="preserve"> BD</w:t>
      </w:r>
      <w:r w:rsidRPr="00F107F4">
        <w:t xml:space="preserve"> Group 1 studies (all studies of aclidinium bromide</w:t>
      </w:r>
      <w:r w:rsidR="00943F2D">
        <w:t xml:space="preserve"> BD</w:t>
      </w:r>
      <w:r w:rsidRPr="00F107F4">
        <w:t xml:space="preserve"> in COPD patients). There was no obvio</w:t>
      </w:r>
      <w:r w:rsidR="00AC62B4">
        <w:t xml:space="preserve">us causality to </w:t>
      </w:r>
      <w:proofErr w:type="spellStart"/>
      <w:r w:rsidR="00AC62B4">
        <w:t>aclidinium</w:t>
      </w:r>
      <w:proofErr w:type="spellEnd"/>
      <w:r w:rsidR="00AC62B4">
        <w:t xml:space="preserve"> use.</w:t>
      </w:r>
    </w:p>
    <w:p w:rsidR="002E5C64" w:rsidRPr="00AC62B4" w:rsidRDefault="00AF3D89" w:rsidP="00AC62B4">
      <w:pPr>
        <w:pStyle w:val="Heading5"/>
      </w:pPr>
      <w:r w:rsidRPr="00F107F4">
        <w:t xml:space="preserve">Response to </w:t>
      </w:r>
      <w:r w:rsidR="00FE15E3">
        <w:t>clinical evaluators</w:t>
      </w:r>
      <w:r w:rsidRPr="00F107F4">
        <w:t xml:space="preserve"> questions</w:t>
      </w:r>
      <w:r w:rsidR="00FE15E3">
        <w:t xml:space="preserve"> to the sponsor</w:t>
      </w:r>
    </w:p>
    <w:p w:rsidR="00AF3D89" w:rsidRPr="00F107F4" w:rsidRDefault="00AF3D89" w:rsidP="00AC62B4">
      <w:r w:rsidRPr="00F107F4">
        <w:t xml:space="preserve">The evaluator had requested answers to some questions. Most of the questions were answered to the satisfaction of the evaluator. The exception was the question on the smoking status: </w:t>
      </w:r>
      <w:r w:rsidRPr="00F107F4">
        <w:rPr>
          <w:i/>
        </w:rPr>
        <w:t xml:space="preserve">Change in smoking status, tobacco exposure and use of nicotine replacement therapy (as an aid to smoking cessation) was not recorded in the pivotal studies and its potential effect on efficacy outcomes was not evaluated. </w:t>
      </w:r>
      <w:r w:rsidRPr="00F107F4">
        <w:t xml:space="preserve">The sponsor states that </w:t>
      </w:r>
      <w:r w:rsidR="001D13B2">
        <w:t>‘</w:t>
      </w:r>
      <w:r w:rsidRPr="002E5C64">
        <w:rPr>
          <w:i/>
        </w:rPr>
        <w:t>the change in smoking status of the patients during these studies would be negligible and therefore for efficacy analyses the smoking status at the start of the study would be used</w:t>
      </w:r>
      <w:r w:rsidR="001D13B2">
        <w:t>’</w:t>
      </w:r>
      <w:r w:rsidRPr="00F107F4">
        <w:t>. The evaluator states that this remains unanswered and is a significant limitation.</w:t>
      </w:r>
    </w:p>
    <w:p w:rsidR="00AF3D89" w:rsidRPr="00F107F4" w:rsidRDefault="00AF3D89" w:rsidP="00AC62B4">
      <w:pPr>
        <w:pStyle w:val="Heading5"/>
      </w:pPr>
      <w:r w:rsidRPr="00FE15E3">
        <w:rPr>
          <w:rFonts w:eastAsia="Cambria"/>
        </w:rPr>
        <w:t xml:space="preserve">Overall </w:t>
      </w:r>
      <w:r w:rsidRPr="00AC62B4">
        <w:rPr>
          <w:rFonts w:eastAsia="Cambria"/>
        </w:rPr>
        <w:t>benefits</w:t>
      </w:r>
    </w:p>
    <w:p w:rsidR="00AF3D89" w:rsidRPr="00F107F4" w:rsidRDefault="00AF3D89" w:rsidP="00AC62B4">
      <w:r w:rsidRPr="00F107F4">
        <w:t xml:space="preserve">The evaluator lists low bioavailability, the low potential to cause drug interactions, the fact that there is no requirement to change the dosing in the elderly, renally impaired and hepatic impairment as benefits. In terms of efficacy, the clinical studies showed that aclidinium bromide 400 </w:t>
      </w:r>
      <w:r w:rsidR="00A5120F">
        <w:t>µ</w:t>
      </w:r>
      <w:r w:rsidRPr="00F107F4">
        <w:t>g BD provide statistically significant findings in relation to bronchodilation endpoints in those with COPD with replicate findings. TDI and SGRQ scores also showed significant change in the pivotal study. There was maintenance of eff</w:t>
      </w:r>
      <w:r w:rsidR="00AC62B4">
        <w:t>icacy in the long term studies.</w:t>
      </w:r>
    </w:p>
    <w:p w:rsidR="002E5C64" w:rsidRPr="00AC62B4" w:rsidRDefault="00AF3D89" w:rsidP="00AC62B4">
      <w:pPr>
        <w:pStyle w:val="Heading5"/>
      </w:pPr>
      <w:r w:rsidRPr="00F107F4">
        <w:t>Overall risks</w:t>
      </w:r>
    </w:p>
    <w:p w:rsidR="00AF3D89" w:rsidRPr="00F107F4" w:rsidRDefault="00AF3D89" w:rsidP="00AC62B4">
      <w:r w:rsidRPr="00F107F4">
        <w:t>The main risk identified is the lack of efficacy data on smoking status (</w:t>
      </w:r>
      <w:r w:rsidR="002E5C64">
        <w:t xml:space="preserve">that is, </w:t>
      </w:r>
      <w:r w:rsidRPr="00F107F4">
        <w:t>the subjects were not stratified according the smoking), and thus the impact of this on efficacy is not determined. The lack of data on those with significant cardiovascular history is also a significant finding.</w:t>
      </w:r>
    </w:p>
    <w:p w:rsidR="002E5C64" w:rsidRPr="00AC62B4" w:rsidRDefault="00AF3D89" w:rsidP="00AC62B4">
      <w:pPr>
        <w:pStyle w:val="Heading5"/>
      </w:pPr>
      <w:r w:rsidRPr="00F107F4">
        <w:t>Overall risk benefit assessment</w:t>
      </w:r>
    </w:p>
    <w:p w:rsidR="00AF3D89" w:rsidRPr="00F107F4" w:rsidRDefault="00AF3D89" w:rsidP="00AC62B4">
      <w:r w:rsidRPr="00F107F4">
        <w:t>This was deemed favourable, provided the sponsor incorpora</w:t>
      </w:r>
      <w:r w:rsidR="00AC62B4">
        <w:t>ted the PI changes recommended.</w:t>
      </w:r>
    </w:p>
    <w:p w:rsidR="002E5C64" w:rsidRPr="00AC62B4" w:rsidRDefault="00AF3D89" w:rsidP="00AC62B4">
      <w:pPr>
        <w:pStyle w:val="Heading5"/>
      </w:pPr>
      <w:r w:rsidRPr="00F107F4">
        <w:t>Sponsor’s response</w:t>
      </w:r>
    </w:p>
    <w:p w:rsidR="00AF3D89" w:rsidRPr="00F107F4" w:rsidRDefault="00FE15E3" w:rsidP="00AC62B4">
      <w:r>
        <w:t xml:space="preserve">The sponsor’s response to the TGA clinical evaluation: </w:t>
      </w:r>
      <w:r w:rsidR="00AF3D89" w:rsidRPr="00F107F4">
        <w:t>It mainly addresse</w:t>
      </w:r>
      <w:r>
        <w:t>d</w:t>
      </w:r>
      <w:r w:rsidR="00AF3D89" w:rsidRPr="00F107F4">
        <w:t xml:space="preserve"> some minor errors in the CER.</w:t>
      </w:r>
    </w:p>
    <w:p w:rsidR="007B6132" w:rsidRPr="00AC62B4" w:rsidRDefault="007B6132" w:rsidP="00AC62B4">
      <w:pPr>
        <w:pStyle w:val="Heading4"/>
      </w:pPr>
      <w:bookmarkStart w:id="194" w:name="_Toc314842514"/>
      <w:r w:rsidRPr="00FE15E3">
        <w:t>Clin</w:t>
      </w:r>
      <w:r w:rsidR="00AC62B4">
        <w:t>ical evaluator’s recommendation</w:t>
      </w:r>
    </w:p>
    <w:p w:rsidR="00FE15E3" w:rsidRPr="00FE15E3" w:rsidRDefault="00FE15E3" w:rsidP="00AC62B4">
      <w:r w:rsidRPr="00FE15E3">
        <w:t>The clinical evaluator recommended that Bretaris Genuair (aclidinium bromide 400μg twice daily by inhalation) be approved for the long-term maintenance bronchodilator treatment to relieve symptoms in adult patients with Chronic Obstructive Pulmonary Disease (COPD).  Howeve</w:t>
      </w:r>
      <w:r>
        <w:t>r, the recommended approval wa</w:t>
      </w:r>
      <w:r w:rsidRPr="00FE15E3">
        <w:t>s subject to incorporation of sugges</w:t>
      </w:r>
      <w:r>
        <w:t>ted changes to the draft PI</w:t>
      </w:r>
      <w:r w:rsidRPr="00FE15E3">
        <w:t>.</w:t>
      </w:r>
    </w:p>
    <w:p w:rsidR="008E7846" w:rsidRPr="00A9651E" w:rsidRDefault="00386150" w:rsidP="00A9651E">
      <w:pPr>
        <w:pStyle w:val="Heading3"/>
      </w:pPr>
      <w:bookmarkStart w:id="195" w:name="_Toc400115437"/>
      <w:r>
        <w:rPr>
          <w:lang w:eastAsia="en-AU"/>
        </w:rPr>
        <w:t>Risk m</w:t>
      </w:r>
      <w:r w:rsidR="008E7846">
        <w:rPr>
          <w:lang w:eastAsia="en-AU"/>
        </w:rPr>
        <w:t xml:space="preserve">anagement </w:t>
      </w:r>
      <w:r>
        <w:rPr>
          <w:lang w:eastAsia="en-AU"/>
        </w:rPr>
        <w:t>p</w:t>
      </w:r>
      <w:r w:rsidR="008E7846">
        <w:rPr>
          <w:lang w:eastAsia="en-AU"/>
        </w:rPr>
        <w:t>lan</w:t>
      </w:r>
      <w:bookmarkEnd w:id="194"/>
      <w:bookmarkEnd w:id="195"/>
    </w:p>
    <w:p w:rsidR="008E7846" w:rsidRDefault="00240CE4" w:rsidP="00A9651E">
      <w:r>
        <w:t>The evaluator mentions that routine pharmacovigilance and risk minimisation activities are proposed. Of note</w:t>
      </w:r>
      <w:r w:rsidR="00866341">
        <w:t>,</w:t>
      </w:r>
      <w:r>
        <w:t xml:space="preserve"> a long term Phase IV study is proposed. This study is to evaluate the effect of aclidinium bromide on long term cardiovascular safety and COPD exacerbations in patients with moderate to very severe COPD and is being conducted in the USA. This is being conducted by </w:t>
      </w:r>
      <w:r w:rsidR="00866341">
        <w:t>a different sponsor</w:t>
      </w:r>
      <w:r>
        <w:t xml:space="preserve">. The evaluator recommends all generated data should be reported regularly via </w:t>
      </w:r>
      <w:r w:rsidR="00FE15E3">
        <w:t>Periodic Safety Update Reports (</w:t>
      </w:r>
      <w:r>
        <w:t>PSURs</w:t>
      </w:r>
      <w:r w:rsidR="00FE15E3">
        <w:t>)</w:t>
      </w:r>
      <w:r>
        <w:t xml:space="preserve"> or as the final study reports.</w:t>
      </w:r>
    </w:p>
    <w:p w:rsidR="008E7846" w:rsidRDefault="00AA0ED0" w:rsidP="00A9651E">
      <w:pPr>
        <w:pStyle w:val="Heading3"/>
      </w:pPr>
      <w:bookmarkStart w:id="196" w:name="_Toc247691531"/>
      <w:bookmarkStart w:id="197" w:name="_Toc314842515"/>
      <w:bookmarkStart w:id="198" w:name="_Toc196046505"/>
      <w:bookmarkStart w:id="199" w:name="_Toc196046949"/>
      <w:bookmarkStart w:id="200" w:name="_Toc400115438"/>
      <w:r>
        <w:t>Risk-benefit a</w:t>
      </w:r>
      <w:r w:rsidR="008E7846">
        <w:t>nalysis</w:t>
      </w:r>
      <w:bookmarkEnd w:id="196"/>
      <w:bookmarkEnd w:id="197"/>
      <w:bookmarkEnd w:id="200"/>
    </w:p>
    <w:p w:rsidR="00D23139" w:rsidRPr="00FE15E3" w:rsidRDefault="00A9651E" w:rsidP="00A9651E">
      <w:pPr>
        <w:pStyle w:val="Heading4"/>
      </w:pPr>
      <w:r>
        <w:t>Delegate’s considerations</w:t>
      </w:r>
    </w:p>
    <w:p w:rsidR="00866341" w:rsidRPr="00A9651E" w:rsidRDefault="00240CE4" w:rsidP="00A9651E">
      <w:pPr>
        <w:pStyle w:val="Heading5"/>
      </w:pPr>
      <w:r>
        <w:t>Device</w:t>
      </w:r>
    </w:p>
    <w:p w:rsidR="00240CE4" w:rsidRDefault="00240CE4" w:rsidP="00A9651E">
      <w:r>
        <w:t xml:space="preserve">There are no outstanding issues relating to the proposed device. The proposed device was found to be acceptable from a functionality point of view. The devices used in the clinical studies have been shown to be sufficiently similar to that proposed for marketing. COPD patients with moderate to severe disease were found to be able to generate sufficient inspiratory flow to reliably inhale the full dose and activate the trigger threshold. Instructions for use of the device are included in the </w:t>
      </w:r>
      <w:r w:rsidR="00FE15E3">
        <w:t>Consumer Medicine Information (</w:t>
      </w:r>
      <w:r>
        <w:t>CMI</w:t>
      </w:r>
      <w:r w:rsidR="00FE15E3">
        <w:t>)</w:t>
      </w:r>
      <w:r>
        <w:t xml:space="preserve"> and are satisfactory.</w:t>
      </w:r>
    </w:p>
    <w:p w:rsidR="00866341" w:rsidRDefault="00866341" w:rsidP="00A9651E">
      <w:pPr>
        <w:pStyle w:val="Heading5"/>
      </w:pPr>
      <w:r>
        <w:t>Efficacy</w:t>
      </w:r>
    </w:p>
    <w:p w:rsidR="00240CE4" w:rsidRDefault="00240CE4" w:rsidP="00A9651E">
      <w:r>
        <w:t>E</w:t>
      </w:r>
      <w:r w:rsidR="00866341">
        <w:t>fficacy of the proposed dose wa</w:t>
      </w:r>
      <w:r>
        <w:t>s</w:t>
      </w:r>
      <w:r w:rsidR="00866341">
        <w:t xml:space="preserve"> s</w:t>
      </w:r>
      <w:r>
        <w:t>tudie</w:t>
      </w:r>
      <w:r w:rsidR="00866341">
        <w:t>d</w:t>
      </w:r>
      <w:r>
        <w:t xml:space="preserve"> in one pivotal study only. The findings are supported by other short term studies. The primary efficacy endpoint was trough FEV1 and is considered satisfactory. However no symptomatic endpoint was used as a co-primary endpoint and this is a deficiency. It is noted however that the pivotal study used TDI and SGRQ scores as secondary endpoints where multiplicity issues were factored in and therefore yielded statistically robust evidence of efficacy.</w:t>
      </w:r>
      <w:r w:rsidR="00AF3D89">
        <w:t xml:space="preserve"> </w:t>
      </w:r>
      <w:r>
        <w:t>However, in relation to COPD exacerbations, there was no robust evidence of efficacy and statements to this effect shoul</w:t>
      </w:r>
      <w:r w:rsidR="00A9651E">
        <w:t>d be removed from the draft PI.</w:t>
      </w:r>
    </w:p>
    <w:p w:rsidR="00240CE4" w:rsidRDefault="00240CE4" w:rsidP="00A9651E">
      <w:r>
        <w:t>Efficacy appears to be maintained over a 12 month period as evid</w:t>
      </w:r>
      <w:r w:rsidR="00A9651E">
        <w:t>enced in the long term studies.</w:t>
      </w:r>
    </w:p>
    <w:p w:rsidR="00240CE4" w:rsidRDefault="00240CE4" w:rsidP="00A9651E">
      <w:r>
        <w:t>There are no pivotal active comparator studies, especially wit</w:t>
      </w:r>
      <w:r w:rsidR="00A9651E">
        <w:t>h other anti-muscarinic agents.</w:t>
      </w:r>
    </w:p>
    <w:p w:rsidR="00866341" w:rsidRPr="00A9651E" w:rsidRDefault="00240CE4" w:rsidP="00A9651E">
      <w:pPr>
        <w:pStyle w:val="Heading5"/>
      </w:pPr>
      <w:r>
        <w:t>Safety</w:t>
      </w:r>
    </w:p>
    <w:p w:rsidR="00240CE4" w:rsidRDefault="00240CE4" w:rsidP="00A9651E">
      <w:r>
        <w:t xml:space="preserve">This submission has not been considered by </w:t>
      </w:r>
      <w:r w:rsidR="00866341">
        <w:t>the TGA’s Advisory Committee on the Safety of Medicines (</w:t>
      </w:r>
      <w:r>
        <w:t>ACSOM</w:t>
      </w:r>
      <w:r w:rsidR="00866341">
        <w:t>)</w:t>
      </w:r>
      <w:r>
        <w:t>.</w:t>
      </w:r>
    </w:p>
    <w:p w:rsidR="00240CE4" w:rsidRDefault="00240CE4" w:rsidP="00A9651E">
      <w:r>
        <w:t>An issue of concern is the potential for cardiovascular</w:t>
      </w:r>
      <w:r w:rsidR="00A9651E">
        <w:t xml:space="preserve"> events with LAMA.</w:t>
      </w:r>
    </w:p>
    <w:p w:rsidR="00240CE4" w:rsidRDefault="00240CE4" w:rsidP="00A9651E">
      <w:r>
        <w:t>A meta-analysis of 17 clinical trials with tiotropium showed such a signal, however a large 4 year placebo controlled trial (n=5992) with tiotropium</w:t>
      </w:r>
      <w:r w:rsidR="00AF3D89">
        <w:t xml:space="preserve"> </w:t>
      </w:r>
      <w:r>
        <w:t xml:space="preserve">(UPLIFT) did not show a safety signal. Recently, the FDA concluded that the available data (including results from the UPLIFT trial) that SPIRIVA HandiHaler (tiotropium) </w:t>
      </w:r>
      <w:proofErr w:type="gramStart"/>
      <w:r>
        <w:t>do</w:t>
      </w:r>
      <w:proofErr w:type="gramEnd"/>
      <w:r>
        <w:t xml:space="preserve"> not support the increased risk of stroke, heart attack or death from a cardiovascular cause. The relevant publication is: Michele TM, Pinheiro S, Iyasu S. </w:t>
      </w:r>
      <w:proofErr w:type="gramStart"/>
      <w:r>
        <w:t>The safety of tiotropium-the FDA’s conclusions.</w:t>
      </w:r>
      <w:proofErr w:type="gramEnd"/>
      <w:r>
        <w:t xml:space="preserve"> NEJM 2010; 363 (12):1097-9.</w:t>
      </w:r>
    </w:p>
    <w:p w:rsidR="00240CE4" w:rsidRDefault="00240CE4" w:rsidP="00A9651E">
      <w:r>
        <w:t>Cardiovascular events (MACE and SMQs) did not reveal any significant trends. However, the numbers are small and the populations are defined; those with significant cardiovascular disease were excluded and thus the study population may not reflect those who would be using this product in a real world setting. In addition, those exposed for one year (with the proposed dose) was 387 patients. This is a limited number of patients and does not allay the concerns r</w:t>
      </w:r>
      <w:r w:rsidR="00A9651E">
        <w:t>egarding cardiovascular safety.</w:t>
      </w:r>
    </w:p>
    <w:p w:rsidR="00240CE4" w:rsidRDefault="00240CE4" w:rsidP="00A9651E">
      <w:r>
        <w:t xml:space="preserve">The proposed long term study to assess cardiovascular safety discussed in the RMP should address this issue. This study is a double blind, randomised, placebo controlled Phase IV study that is currently being conducted in USA to assess long term cardiovascular safety in patients with moderate to very severe COPD. A total of 4000 COPD patients will be included and treated for a maximum of 36 months. The final study report should be submitted to the TGA on completion; this should </w:t>
      </w:r>
      <w:r w:rsidR="00A9651E">
        <w:t>be a condition of registration.</w:t>
      </w:r>
    </w:p>
    <w:p w:rsidR="00AF3D89" w:rsidRPr="00A9651E" w:rsidRDefault="00AF3D89" w:rsidP="00A9651E">
      <w:pPr>
        <w:pStyle w:val="Heading4"/>
      </w:pPr>
      <w:r>
        <w:t>Summary of issues</w:t>
      </w:r>
    </w:p>
    <w:p w:rsidR="00AF3D89" w:rsidRDefault="00AF3D89" w:rsidP="00A9651E">
      <w:r w:rsidRPr="00F107F4">
        <w:t>Efficacy of the proposed dose is studies in one pivotal study only. The primary efficacy endpoint was trough FEV1</w:t>
      </w:r>
      <w:r>
        <w:t>;</w:t>
      </w:r>
      <w:r w:rsidRPr="00F107F4">
        <w:t xml:space="preserve"> no symptomatic endpoint was used as a co-primary endpoint and this is a de</w:t>
      </w:r>
      <w:r w:rsidR="00A9651E">
        <w:t>ficiency.</w:t>
      </w:r>
    </w:p>
    <w:p w:rsidR="00AF3D89" w:rsidRDefault="00AF3D89" w:rsidP="00A9651E">
      <w:r>
        <w:t>I</w:t>
      </w:r>
      <w:r w:rsidRPr="00F107F4">
        <w:t>n relation to COPD exacerbations, there was no robust evidence of efficacy and statements to this effect shoul</w:t>
      </w:r>
      <w:r w:rsidR="00A9651E">
        <w:t>d be removed from the draft PI.</w:t>
      </w:r>
    </w:p>
    <w:p w:rsidR="00AF3D89" w:rsidRDefault="00AF3D89" w:rsidP="00A9651E">
      <w:r w:rsidRPr="00F107F4">
        <w:t xml:space="preserve">An issue of concern is the potential for cardiovascular events with LAMA. Safety findings did not raise any serious concerns. Cardiovascular events </w:t>
      </w:r>
      <w:r w:rsidRPr="00FE15E3">
        <w:t>(MACE and SMQs) did</w:t>
      </w:r>
      <w:r w:rsidRPr="00F107F4">
        <w:t xml:space="preserve"> not reveal any significant trends. However, the numbers are small and the populations are defined; those with significant cardiovascular disease were excluded</w:t>
      </w:r>
      <w:r>
        <w:t xml:space="preserve"> in the pivotal studies</w:t>
      </w:r>
      <w:r w:rsidRPr="00F107F4">
        <w:t xml:space="preserve"> </w:t>
      </w:r>
      <w:r w:rsidRPr="00AF3D89">
        <w:t>and thus the study population may not reflect those who would be using this product in a real world setting.</w:t>
      </w:r>
    </w:p>
    <w:p w:rsidR="00D23139" w:rsidRDefault="00D23139" w:rsidP="00A9651E">
      <w:pPr>
        <w:pStyle w:val="Heading4"/>
      </w:pPr>
      <w:r w:rsidRPr="00D23139">
        <w:t xml:space="preserve">Proposed </w:t>
      </w:r>
      <w:r w:rsidRPr="00A9651E">
        <w:t>action</w:t>
      </w:r>
    </w:p>
    <w:p w:rsidR="00AF3D89" w:rsidRPr="008E4321" w:rsidRDefault="00AF3D89" w:rsidP="00A9651E">
      <w:r>
        <w:t xml:space="preserve">The Delegate had </w:t>
      </w:r>
      <w:r w:rsidRPr="008E4321">
        <w:t>no reason to say, at this time, that the application should no</w:t>
      </w:r>
      <w:r w:rsidR="00A9651E">
        <w:t>t be approved for registration.</w:t>
      </w:r>
    </w:p>
    <w:p w:rsidR="00240CE4" w:rsidRDefault="00240CE4" w:rsidP="00A9651E">
      <w:r>
        <w:t xml:space="preserve">A condition of registration is the submission of the completed study report of the </w:t>
      </w:r>
      <w:r w:rsidR="00AF3D89">
        <w:t>P</w:t>
      </w:r>
      <w:r>
        <w:t>hase IV study that is currently being conducted to assess cardiovascular safety.</w:t>
      </w:r>
    </w:p>
    <w:p w:rsidR="00240CE4" w:rsidRPr="00240CE4" w:rsidRDefault="00240CE4" w:rsidP="00A9651E">
      <w:r>
        <w:t xml:space="preserve">The </w:t>
      </w:r>
      <w:r w:rsidR="00AF3D89">
        <w:t>ACPM’s advice wa</w:t>
      </w:r>
      <w:r w:rsidR="00A9651E">
        <w:t>s sought.</w:t>
      </w:r>
    </w:p>
    <w:p w:rsidR="00D23139" w:rsidRPr="00A9651E" w:rsidRDefault="00D23139" w:rsidP="00A9651E">
      <w:pPr>
        <w:pStyle w:val="Heading4"/>
      </w:pPr>
      <w:r w:rsidRPr="00D23139">
        <w:t>Request for ACPM advice</w:t>
      </w:r>
    </w:p>
    <w:p w:rsidR="00240CE4" w:rsidRDefault="00240CE4" w:rsidP="00A9651E">
      <w:r>
        <w:t>The follow</w:t>
      </w:r>
      <w:r w:rsidR="00AF3D89">
        <w:t xml:space="preserve">ing questions </w:t>
      </w:r>
      <w:r w:rsidR="00FE15E3">
        <w:t>were</w:t>
      </w:r>
      <w:r w:rsidR="00AF3D89">
        <w:t xml:space="preserve"> asked of the c</w:t>
      </w:r>
      <w:r>
        <w:t>ommittee:</w:t>
      </w:r>
    </w:p>
    <w:p w:rsidR="00240CE4" w:rsidRDefault="00240CE4" w:rsidP="00A9651E">
      <w:pPr>
        <w:pStyle w:val="Numberbullet0"/>
        <w:numPr>
          <w:ilvl w:val="0"/>
          <w:numId w:val="25"/>
        </w:numPr>
      </w:pPr>
      <w:r>
        <w:t xml:space="preserve">There is one pivotal </w:t>
      </w:r>
      <w:r w:rsidRPr="00A9651E">
        <w:t>efficacy</w:t>
      </w:r>
      <w:r>
        <w:t xml:space="preserve"> study that has one primary efficacy endpoint relating to bronchodilation. The TGA adopted EU Guideline, CPMP/EWP/562/98</w:t>
      </w:r>
      <w:r w:rsidR="00B465EC">
        <w:fldChar w:fldCharType="begin"/>
      </w:r>
      <w:r w:rsidR="00B465EC">
        <w:instrText xml:space="preserve"> NOTEREF _Ref390765024 \h  \* MERGEFORMAT </w:instrText>
      </w:r>
      <w:r w:rsidR="00B465EC">
        <w:fldChar w:fldCharType="separate"/>
      </w:r>
      <w:r w:rsidR="00AD354B" w:rsidRPr="00A9651E">
        <w:rPr>
          <w:vertAlign w:val="superscript"/>
        </w:rPr>
        <w:t>26</w:t>
      </w:r>
      <w:r w:rsidR="00B465EC">
        <w:fldChar w:fldCharType="end"/>
      </w:r>
      <w:r>
        <w:t>, recommends FEV1 as a measure of lung function and also a measure of symptomatic benefit as a primary endpo</w:t>
      </w:r>
      <w:r w:rsidR="00AF3D89">
        <w:t>int.</w:t>
      </w:r>
      <w:r>
        <w:t xml:space="preserve"> There are no primary endpoints that deal with symptomatic benefit in the pivotal study (or in any other clinical efficacy studies). Does the </w:t>
      </w:r>
      <w:r w:rsidR="00AF3D89">
        <w:t>c</w:t>
      </w:r>
      <w:r>
        <w:t xml:space="preserve">ommittee consider that the efficacy data are adequate to approve aclidinium bromide for </w:t>
      </w:r>
      <w:r w:rsidR="00710686">
        <w:t xml:space="preserve">long term </w:t>
      </w:r>
      <w:r>
        <w:t>maintenance bronchodilator treatment to relieve symptoms in adult patients with chronic obstructive pulmonary disease (COPD)?</w:t>
      </w:r>
    </w:p>
    <w:p w:rsidR="00240CE4" w:rsidRDefault="00240CE4" w:rsidP="00A9651E">
      <w:pPr>
        <w:pStyle w:val="Numberbullet0"/>
      </w:pPr>
      <w:r>
        <w:t xml:space="preserve">Does the </w:t>
      </w:r>
      <w:r w:rsidR="00AF3D89">
        <w:t>c</w:t>
      </w:r>
      <w:r>
        <w:t xml:space="preserve">ommittee agree with the </w:t>
      </w:r>
      <w:r w:rsidR="00FE15E3">
        <w:t>D</w:t>
      </w:r>
      <w:r>
        <w:t>elegate regarding the deletion of the statement in the draft PI, on claimed</w:t>
      </w:r>
      <w:r w:rsidR="00A9651E">
        <w:t xml:space="preserve"> benefits in COPD exacerbation?</w:t>
      </w:r>
    </w:p>
    <w:p w:rsidR="00240CE4" w:rsidRDefault="00AF3D89" w:rsidP="00A9651E">
      <w:pPr>
        <w:pStyle w:val="Numberbullet0"/>
      </w:pPr>
      <w:r>
        <w:t>D</w:t>
      </w:r>
      <w:r w:rsidR="00240CE4">
        <w:t xml:space="preserve">oes the </w:t>
      </w:r>
      <w:r>
        <w:t>c</w:t>
      </w:r>
      <w:r w:rsidR="00240CE4">
        <w:t xml:space="preserve">ommittee agree that there are adequate </w:t>
      </w:r>
      <w:r w:rsidR="00240CE4" w:rsidRPr="00A9651E">
        <w:t>evidence</w:t>
      </w:r>
      <w:r w:rsidR="00240CE4">
        <w:t xml:space="preserve"> for safety considering the size of the safety data base and overall duration of the studies?</w:t>
      </w:r>
    </w:p>
    <w:p w:rsidR="00240CE4" w:rsidRDefault="00240CE4" w:rsidP="00A9651E">
      <w:pPr>
        <w:pStyle w:val="Numberbullet0"/>
      </w:pPr>
      <w:r>
        <w:t xml:space="preserve">Does the </w:t>
      </w:r>
      <w:r w:rsidR="00AF3D89">
        <w:t>c</w:t>
      </w:r>
      <w:r>
        <w:t>ommittee agree that the RMP and the long term studies proposed are adequate to monitor for potential cardiac adverse events post registration?</w:t>
      </w:r>
    </w:p>
    <w:p w:rsidR="00240CE4" w:rsidRPr="00240CE4" w:rsidRDefault="00240CE4" w:rsidP="00A9651E">
      <w:pPr>
        <w:pStyle w:val="Numberbullet0"/>
      </w:pPr>
      <w:r>
        <w:t xml:space="preserve">Does the </w:t>
      </w:r>
      <w:r w:rsidR="00AF3D89">
        <w:t>c</w:t>
      </w:r>
      <w:r>
        <w:t xml:space="preserve">ommittee agree that the risk benefit profile is </w:t>
      </w:r>
      <w:r w:rsidRPr="00A9651E">
        <w:t>acceptable</w:t>
      </w:r>
      <w:r>
        <w:t xml:space="preserve"> to warrant registration?</w:t>
      </w:r>
    </w:p>
    <w:p w:rsidR="00D23139" w:rsidRPr="00A9651E" w:rsidRDefault="00A9651E" w:rsidP="00A9651E">
      <w:pPr>
        <w:pStyle w:val="Heading4"/>
      </w:pPr>
      <w:r>
        <w:t>Response from Sponsor</w:t>
      </w:r>
    </w:p>
    <w:p w:rsidR="007E69FD" w:rsidRDefault="007E69FD" w:rsidP="00A9651E">
      <w:pPr>
        <w:pStyle w:val="Heading5"/>
      </w:pPr>
      <w:r>
        <w:t xml:space="preserve">Overall </w:t>
      </w:r>
      <w:r w:rsidRPr="00A9651E">
        <w:t>recommendation</w:t>
      </w:r>
    </w:p>
    <w:p w:rsidR="007E69FD" w:rsidRDefault="007E69FD" w:rsidP="00A9651E">
      <w:r>
        <w:t>The sponsor agrees with the proposed recommendation by the Delegate to approve the registration of Bretaris Genuair for the following indication:</w:t>
      </w:r>
    </w:p>
    <w:p w:rsidR="007E69FD" w:rsidRPr="00A9651E" w:rsidRDefault="007E69FD" w:rsidP="00A9651E">
      <w:pPr>
        <w:ind w:left="720"/>
        <w:rPr>
          <w:i/>
        </w:rPr>
      </w:pPr>
      <w:r w:rsidRPr="00A9651E">
        <w:rPr>
          <w:i/>
        </w:rPr>
        <w:t xml:space="preserve">Bretaris Genuair is indicated as a </w:t>
      </w:r>
      <w:r w:rsidR="00710686" w:rsidRPr="00A9651E">
        <w:rPr>
          <w:i/>
        </w:rPr>
        <w:t xml:space="preserve">long term </w:t>
      </w:r>
      <w:r w:rsidRPr="00A9651E">
        <w:rPr>
          <w:i/>
        </w:rPr>
        <w:t>maintenance bronchodilator treatment to relieve symptoms in adult patients with COPD.</w:t>
      </w:r>
    </w:p>
    <w:p w:rsidR="007E69FD" w:rsidRPr="00FE15E3" w:rsidRDefault="00BF676E" w:rsidP="00BF676E">
      <w:pPr>
        <w:pStyle w:val="Heading5"/>
      </w:pPr>
      <w:r>
        <w:t xml:space="preserve">Symptomatic </w:t>
      </w:r>
      <w:r w:rsidRPr="00BF676E">
        <w:t>e</w:t>
      </w:r>
      <w:r w:rsidR="007E69FD" w:rsidRPr="00BF676E">
        <w:t>ndpoint</w:t>
      </w:r>
    </w:p>
    <w:p w:rsidR="00BF676E" w:rsidRDefault="007E69FD" w:rsidP="00BF676E">
      <w:pPr>
        <w:pStyle w:val="Heading6"/>
      </w:pPr>
      <w:r>
        <w:t xml:space="preserve">Issue </w:t>
      </w:r>
      <w:proofErr w:type="gramStart"/>
      <w:r w:rsidRPr="00BF676E">
        <w:t>raised</w:t>
      </w:r>
      <w:proofErr w:type="gramEnd"/>
      <w:r w:rsidR="00E74309">
        <w:t>:</w:t>
      </w:r>
    </w:p>
    <w:p w:rsidR="007E69FD" w:rsidRPr="00BF676E" w:rsidRDefault="007E69FD" w:rsidP="00BF676E">
      <w:pPr>
        <w:rPr>
          <w:i/>
        </w:rPr>
      </w:pPr>
      <w:r w:rsidRPr="00BF676E">
        <w:rPr>
          <w:i/>
        </w:rPr>
        <w:t>Efficacy of proposed dose is based on studies in one pivotal study only. The primary efficacy endpoint was trough FEV1; no symptomatic endpoint was used as a co-primary endpoint and this is a deficiency.</w:t>
      </w:r>
    </w:p>
    <w:p w:rsidR="007E69FD" w:rsidRPr="00BF676E" w:rsidRDefault="007E69FD" w:rsidP="00BF676E">
      <w:pPr>
        <w:pStyle w:val="Heading6"/>
      </w:pPr>
      <w:r>
        <w:t>Sponsor comment:</w:t>
      </w:r>
    </w:p>
    <w:p w:rsidR="007E69FD" w:rsidRDefault="007E69FD" w:rsidP="00BF676E">
      <w:r>
        <w:t xml:space="preserve">The CPMP </w:t>
      </w:r>
      <w:r w:rsidR="001D13B2">
        <w:t>‘</w:t>
      </w:r>
      <w:r w:rsidRPr="00AC5919">
        <w:rPr>
          <w:i/>
        </w:rPr>
        <w:t>Points to Consider on Clinical Investigation of Medicinal Products in the Chronic Treatment of Patients with COPD</w:t>
      </w:r>
      <w:r w:rsidR="001D13B2">
        <w:t>’</w:t>
      </w:r>
      <w:r>
        <w:t xml:space="preserve"> (CPMP/EWP/562/98) states that for an indication of symptomatic relief of COPD, statistically significant benefit should be demonstrated for co-primary endpoints of FEV1, as a measure of lung function and also for a measure of symptomatic benefit. The approach adopted for </w:t>
      </w:r>
      <w:r w:rsidR="0090353D">
        <w:t>Study M/</w:t>
      </w:r>
      <w:r>
        <w:t>34273/34 was that FEV1 was selected as the primary efficacy measure and that a pre-specified measure of symptomatic benefit was included as a ‘main’ secondary endpoint rather than as a co-primary endpoint. This study had a 6</w:t>
      </w:r>
      <w:r w:rsidR="00AC5919">
        <w:t xml:space="preserve"> </w:t>
      </w:r>
      <w:r>
        <w:t xml:space="preserve">month treatment duration allowing </w:t>
      </w:r>
      <w:r w:rsidR="00AC5919">
        <w:t xml:space="preserve">the </w:t>
      </w:r>
      <w:r>
        <w:t>assess</w:t>
      </w:r>
      <w:r w:rsidR="00AC5919">
        <w:t>ment of</w:t>
      </w:r>
      <w:r>
        <w:t xml:space="preserve"> symptomatic features while the other two pivotal trials were of 12</w:t>
      </w:r>
      <w:r w:rsidR="00AC5919">
        <w:t xml:space="preserve"> </w:t>
      </w:r>
      <w:r>
        <w:t>w</w:t>
      </w:r>
      <w:r w:rsidR="00AC5919">
        <w:t>ee</w:t>
      </w:r>
      <w:r>
        <w:t>ks duration and considered</w:t>
      </w:r>
      <w:r w:rsidR="00AC5919">
        <w:t xml:space="preserve"> not long enough for characteris</w:t>
      </w:r>
      <w:r>
        <w:t>ing symptoms. These two symptomatic variables were treated as confirmatory claim variables as agreed in the national scientific meetings with European regulatory agencies. Therefore multiplicity correction was pre</w:t>
      </w:r>
      <w:r w:rsidR="00FE15E3">
        <w:t xml:space="preserve"> </w:t>
      </w:r>
      <w:r>
        <w:t>planned in the statistical approach (Hochberg method and hierarchical testing methods applied). This approach is in line with the clinical developments of other long</w:t>
      </w:r>
      <w:r w:rsidR="00AC5919">
        <w:t xml:space="preserve"> </w:t>
      </w:r>
      <w:r>
        <w:t>acting anti-muscarinic agents approved in Australia for the treatment of COPD such as tiotropium bromide</w:t>
      </w:r>
      <w:r w:rsidR="00260933">
        <w:rPr>
          <w:rStyle w:val="FootnoteReference"/>
        </w:rPr>
        <w:footnoteReference w:id="32"/>
      </w:r>
      <w:r>
        <w:t xml:space="preserve"> or glycopyrronium bromide</w:t>
      </w:r>
      <w:r w:rsidR="00260933">
        <w:rPr>
          <w:rStyle w:val="FootnoteReference"/>
        </w:rPr>
        <w:footnoteReference w:id="33"/>
      </w:r>
      <w:r>
        <w:t xml:space="preserve"> and was agreed for aclidinium bromide at national Scientific Advice meetings, as was the choice of primary and secondary variables. Extracts of the minutes with the question where this approach was discussed </w:t>
      </w:r>
      <w:r w:rsidR="00AC5919">
        <w:t>were submitted to the TGA</w:t>
      </w:r>
      <w:r>
        <w:t>.</w:t>
      </w:r>
    </w:p>
    <w:p w:rsidR="007E69FD" w:rsidRPr="00BF676E" w:rsidRDefault="007E69FD" w:rsidP="00BF676E">
      <w:pPr>
        <w:pStyle w:val="Heading5"/>
      </w:pPr>
      <w:r>
        <w:t>COPD exacerbations</w:t>
      </w:r>
    </w:p>
    <w:p w:rsidR="00BF676E" w:rsidRDefault="007E69FD" w:rsidP="00BF676E">
      <w:pPr>
        <w:pStyle w:val="Heading6"/>
      </w:pPr>
      <w:r w:rsidRPr="00BF676E">
        <w:t>Issue</w:t>
      </w:r>
      <w:r>
        <w:t xml:space="preserve"> </w:t>
      </w:r>
      <w:proofErr w:type="gramStart"/>
      <w:r>
        <w:t>raised</w:t>
      </w:r>
      <w:proofErr w:type="gramEnd"/>
      <w:r w:rsidR="00E74309">
        <w:t>:</w:t>
      </w:r>
    </w:p>
    <w:p w:rsidR="007E69FD" w:rsidRPr="00BF676E" w:rsidRDefault="007E69FD" w:rsidP="00BF676E">
      <w:pPr>
        <w:rPr>
          <w:i/>
        </w:rPr>
      </w:pPr>
      <w:r w:rsidRPr="00BF676E">
        <w:rPr>
          <w:i/>
        </w:rPr>
        <w:t>In relation to COPD exacerbations, there was no robust evidence of efficacy and statements to this effect should be removed from the draft PI.</w:t>
      </w:r>
    </w:p>
    <w:p w:rsidR="007E69FD" w:rsidRPr="00BF676E" w:rsidRDefault="007E69FD" w:rsidP="00BF676E">
      <w:pPr>
        <w:pStyle w:val="Heading6"/>
      </w:pPr>
      <w:r>
        <w:t>Sponsor comment:</w:t>
      </w:r>
    </w:p>
    <w:p w:rsidR="007E69FD" w:rsidRDefault="00AC5919" w:rsidP="00BF676E">
      <w:r>
        <w:t>The s</w:t>
      </w:r>
      <w:r w:rsidR="007E69FD">
        <w:t xml:space="preserve">ponsor disagrees with the recommendation to remove the evidence of efficacy and statements to COPD exacerbations from the PI. The treatment effect of aclidinium bromide 400 </w:t>
      </w:r>
      <w:r w:rsidR="00A5120F">
        <w:t>µ</w:t>
      </w:r>
      <w:r w:rsidR="007E69FD">
        <w:t>g</w:t>
      </w:r>
      <w:r w:rsidR="00943F2D">
        <w:t xml:space="preserve"> BD</w:t>
      </w:r>
      <w:r w:rsidR="007E69FD">
        <w:t xml:space="preserve"> on the number of COPD exacerbations observed across pivotal trials and different exacerbation definitions is robust, indicating that aclidinium bromide reduces the rate of COPD exacerbations.</w:t>
      </w:r>
    </w:p>
    <w:p w:rsidR="007E69FD" w:rsidRDefault="007E69FD" w:rsidP="00BF676E">
      <w:r>
        <w:t xml:space="preserve">The magnitude of the effect is around 30% decrease in the number of patients suffering an exacerbation with respect to placebo-treated </w:t>
      </w:r>
      <w:r w:rsidRPr="00F27942">
        <w:t xml:space="preserve">patients (see Table </w:t>
      </w:r>
      <w:r w:rsidR="00F27942" w:rsidRPr="00F27942">
        <w:t>2</w:t>
      </w:r>
      <w:r w:rsidR="00145C30">
        <w:t>4</w:t>
      </w:r>
      <w:r w:rsidRPr="00F27942">
        <w:t>). The treatment effect is above the cut-off recently suggested as of meaningful clinically important dif</w:t>
      </w:r>
      <w:r w:rsidR="00E02F46" w:rsidRPr="00F27942">
        <w:t>ference for this endpoint (20%)</w:t>
      </w:r>
      <w:r w:rsidRPr="00F27942">
        <w:t>.</w:t>
      </w:r>
      <w:r w:rsidR="00E02F46" w:rsidRPr="00F27942">
        <w:rPr>
          <w:rStyle w:val="FootnoteReference"/>
        </w:rPr>
        <w:footnoteReference w:id="34"/>
      </w:r>
      <w:r w:rsidRPr="00F27942">
        <w:t xml:space="preserve"> This observed effect is in line to that </w:t>
      </w:r>
      <w:r w:rsidR="00E02F46" w:rsidRPr="00F27942">
        <w:t>seen in other approved products</w:t>
      </w:r>
      <w:r w:rsidRPr="00F27942">
        <w:t>.</w:t>
      </w:r>
      <w:r w:rsidR="00E02F46" w:rsidRPr="00F27942">
        <w:rPr>
          <w:rStyle w:val="FootnoteReference"/>
        </w:rPr>
        <w:footnoteReference w:id="35"/>
      </w:r>
      <w:r w:rsidRPr="00F27942">
        <w:t xml:space="preserve"> The results from the different exacerbation endpoints go in the same direction of aclidinium bromide decreasing the number of exacerbations (see Table </w:t>
      </w:r>
      <w:r w:rsidR="00F27942" w:rsidRPr="00F27942">
        <w:t>2</w:t>
      </w:r>
      <w:r w:rsidR="00145C30">
        <w:t>4</w:t>
      </w:r>
      <w:r w:rsidRPr="00F27942">
        <w:t>).</w:t>
      </w:r>
    </w:p>
    <w:p w:rsidR="00260933" w:rsidRDefault="00260933" w:rsidP="00BF676E">
      <w:pPr>
        <w:pStyle w:val="TableTitle"/>
      </w:pPr>
      <w:r>
        <w:t>Table</w:t>
      </w:r>
      <w:r w:rsidR="00F27942">
        <w:t xml:space="preserve"> </w:t>
      </w:r>
      <w:proofErr w:type="gramStart"/>
      <w:r w:rsidR="00F27942">
        <w:t>2</w:t>
      </w:r>
      <w:r w:rsidR="00145C30">
        <w:t>4</w:t>
      </w:r>
      <w:r>
        <w:t xml:space="preserve"> .</w:t>
      </w:r>
      <w:proofErr w:type="gramEnd"/>
      <w:r>
        <w:t xml:space="preserve"> </w:t>
      </w:r>
      <w:r w:rsidRPr="00260933">
        <w:t>Effect of Aclidinium Bromide 400μg</w:t>
      </w:r>
      <w:r w:rsidR="00943F2D">
        <w:t xml:space="preserve"> BD</w:t>
      </w:r>
      <w:r w:rsidRPr="00260933">
        <w:t xml:space="preserve"> compared to Placebo on exacerbation endpoints across trials</w:t>
      </w:r>
    </w:p>
    <w:tbl>
      <w:tblPr>
        <w:tblStyle w:val="TableTGAblue"/>
        <w:tblW w:w="0" w:type="auto"/>
        <w:tblInd w:w="108" w:type="dxa"/>
        <w:tblLook w:val="04A0" w:firstRow="1" w:lastRow="0" w:firstColumn="1" w:lastColumn="0" w:noHBand="0" w:noVBand="1"/>
      </w:tblPr>
      <w:tblGrid>
        <w:gridCol w:w="1685"/>
        <w:gridCol w:w="2309"/>
        <w:gridCol w:w="2309"/>
        <w:gridCol w:w="2309"/>
      </w:tblGrid>
      <w:tr w:rsidR="00E02F46" w:rsidTr="00551E66">
        <w:trPr>
          <w:cnfStyle w:val="100000000000" w:firstRow="1" w:lastRow="0" w:firstColumn="0" w:lastColumn="0" w:oddVBand="0" w:evenVBand="0" w:oddHBand="0" w:evenHBand="0" w:firstRowFirstColumn="0" w:firstRowLastColumn="0" w:lastRowFirstColumn="0" w:lastRowLastColumn="0"/>
        </w:trPr>
        <w:tc>
          <w:tcPr>
            <w:tcW w:w="1685" w:type="dxa"/>
          </w:tcPr>
          <w:p w:rsidR="00E02F46" w:rsidRPr="00260933" w:rsidRDefault="00260933" w:rsidP="00C06EA4">
            <w:pPr>
              <w:ind w:left="34" w:right="32"/>
            </w:pPr>
            <w:r>
              <w:t>Study</w:t>
            </w:r>
          </w:p>
        </w:tc>
        <w:tc>
          <w:tcPr>
            <w:tcW w:w="2309" w:type="dxa"/>
          </w:tcPr>
          <w:p w:rsidR="00E02F46" w:rsidRPr="00260933" w:rsidRDefault="00E02F46" w:rsidP="00C06EA4">
            <w:pPr>
              <w:ind w:left="0" w:right="30"/>
            </w:pPr>
            <w:r w:rsidRPr="00260933">
              <w:t>N</w:t>
            </w:r>
            <w:r w:rsidR="00260933">
              <w:t>umber</w:t>
            </w:r>
            <w:r w:rsidRPr="00260933">
              <w:t xml:space="preserve"> of moderate/severe COPD exacerbations</w:t>
            </w:r>
            <w:r w:rsidR="00260933">
              <w:t xml:space="preserve"> </w:t>
            </w:r>
            <w:r w:rsidRPr="00260933">
              <w:t>RR (95%CI)</w:t>
            </w:r>
          </w:p>
        </w:tc>
        <w:tc>
          <w:tcPr>
            <w:tcW w:w="2309" w:type="dxa"/>
          </w:tcPr>
          <w:p w:rsidR="00E02F46" w:rsidRPr="00260933" w:rsidRDefault="00E02F46" w:rsidP="00C06EA4">
            <w:pPr>
              <w:ind w:left="37" w:right="0"/>
            </w:pPr>
            <w:r w:rsidRPr="00260933">
              <w:t>Time to first moderate/severe COPD exacerbation</w:t>
            </w:r>
            <w:r w:rsidR="00260933">
              <w:t xml:space="preserve"> </w:t>
            </w:r>
            <w:r w:rsidRPr="00260933">
              <w:t>HR (95%CI)</w:t>
            </w:r>
          </w:p>
        </w:tc>
        <w:tc>
          <w:tcPr>
            <w:tcW w:w="2309" w:type="dxa"/>
          </w:tcPr>
          <w:p w:rsidR="00E02F46" w:rsidRPr="00260933" w:rsidRDefault="00E02F46" w:rsidP="00C06EA4">
            <w:pPr>
              <w:ind w:left="0" w:right="0"/>
            </w:pPr>
            <w:r w:rsidRPr="00260933">
              <w:t>Number of patients with at least one moderate/severe COPD exacerbation</w:t>
            </w:r>
            <w:r w:rsidR="00260933">
              <w:t xml:space="preserve"> </w:t>
            </w:r>
            <w:r w:rsidRPr="00260933">
              <w:t>OR (95%CI)</w:t>
            </w:r>
          </w:p>
        </w:tc>
      </w:tr>
      <w:tr w:rsidR="00E02F46" w:rsidTr="00551E66">
        <w:tc>
          <w:tcPr>
            <w:tcW w:w="1685" w:type="dxa"/>
          </w:tcPr>
          <w:p w:rsidR="00E02F46" w:rsidRPr="00260933" w:rsidRDefault="00E02F46" w:rsidP="00C06EA4">
            <w:pPr>
              <w:ind w:left="34" w:right="32"/>
            </w:pPr>
            <w:r w:rsidRPr="00260933">
              <w:t>M/34273/34</w:t>
            </w:r>
          </w:p>
        </w:tc>
        <w:tc>
          <w:tcPr>
            <w:tcW w:w="2309" w:type="dxa"/>
          </w:tcPr>
          <w:p w:rsidR="00E02F46" w:rsidRPr="00260933" w:rsidRDefault="00260933" w:rsidP="00C06EA4">
            <w:pPr>
              <w:ind w:left="0" w:right="30"/>
            </w:pPr>
            <w:r w:rsidRPr="00260933">
              <w:t>0.72</w:t>
            </w:r>
            <w:r>
              <w:t xml:space="preserve"> </w:t>
            </w:r>
            <w:r w:rsidRPr="00260933">
              <w:t>(0.51, 1.02)</w:t>
            </w:r>
          </w:p>
        </w:tc>
        <w:tc>
          <w:tcPr>
            <w:tcW w:w="2309" w:type="dxa"/>
          </w:tcPr>
          <w:p w:rsidR="00E02F46" w:rsidRPr="00260933" w:rsidRDefault="00260933" w:rsidP="00C06EA4">
            <w:pPr>
              <w:ind w:left="37" w:right="0"/>
            </w:pPr>
            <w:r w:rsidRPr="00260933">
              <w:t>0.71</w:t>
            </w:r>
            <w:r>
              <w:t xml:space="preserve"> (</w:t>
            </w:r>
            <w:r w:rsidRPr="00260933">
              <w:t>0.45, 1.12</w:t>
            </w:r>
            <w:r>
              <w:t>)</w:t>
            </w:r>
          </w:p>
        </w:tc>
        <w:tc>
          <w:tcPr>
            <w:tcW w:w="2309" w:type="dxa"/>
          </w:tcPr>
          <w:p w:rsidR="00E02F46" w:rsidRPr="00260933" w:rsidRDefault="00260933" w:rsidP="00C06EA4">
            <w:pPr>
              <w:ind w:left="0" w:right="0"/>
            </w:pPr>
            <w:r w:rsidRPr="00260933">
              <w:t>0.73</w:t>
            </w:r>
            <w:r>
              <w:t xml:space="preserve"> </w:t>
            </w:r>
            <w:r w:rsidRPr="00260933">
              <w:t>(0.45,1.19)</w:t>
            </w:r>
          </w:p>
        </w:tc>
      </w:tr>
      <w:tr w:rsidR="00E02F46" w:rsidTr="00551E66">
        <w:tc>
          <w:tcPr>
            <w:tcW w:w="1685" w:type="dxa"/>
          </w:tcPr>
          <w:p w:rsidR="00E02F46" w:rsidRPr="00260933" w:rsidRDefault="00E02F46" w:rsidP="00C06EA4">
            <w:pPr>
              <w:ind w:left="34" w:right="32"/>
            </w:pPr>
            <w:r w:rsidRPr="00260933">
              <w:t>LAS-MD-33</w:t>
            </w:r>
          </w:p>
        </w:tc>
        <w:tc>
          <w:tcPr>
            <w:tcW w:w="2309" w:type="dxa"/>
          </w:tcPr>
          <w:p w:rsidR="00E02F46" w:rsidRPr="00260933" w:rsidRDefault="00260933" w:rsidP="00C06EA4">
            <w:pPr>
              <w:ind w:left="0" w:right="30"/>
            </w:pPr>
            <w:r w:rsidRPr="00260933">
              <w:t>0.66</w:t>
            </w:r>
            <w:r>
              <w:t xml:space="preserve"> </w:t>
            </w:r>
            <w:r w:rsidRPr="00260933">
              <w:t>(0.41, 1.07)</w:t>
            </w:r>
          </w:p>
        </w:tc>
        <w:tc>
          <w:tcPr>
            <w:tcW w:w="2309" w:type="dxa"/>
          </w:tcPr>
          <w:p w:rsidR="00E02F46" w:rsidRPr="00260933" w:rsidRDefault="00260933" w:rsidP="00C06EA4">
            <w:pPr>
              <w:ind w:left="37" w:right="0"/>
            </w:pPr>
            <w:r w:rsidRPr="00260933">
              <w:t>0.67</w:t>
            </w:r>
            <w:r>
              <w:t xml:space="preserve"> </w:t>
            </w:r>
            <w:r w:rsidRPr="00260933">
              <w:t>(0.31, 1.45)</w:t>
            </w:r>
          </w:p>
        </w:tc>
        <w:tc>
          <w:tcPr>
            <w:tcW w:w="2309" w:type="dxa"/>
          </w:tcPr>
          <w:p w:rsidR="00E02F46" w:rsidRPr="00260933" w:rsidRDefault="00260933" w:rsidP="00C06EA4">
            <w:pPr>
              <w:ind w:left="0" w:right="0"/>
            </w:pPr>
            <w:r w:rsidRPr="00260933">
              <w:t>0.51*</w:t>
            </w:r>
            <w:r>
              <w:t xml:space="preserve"> </w:t>
            </w:r>
            <w:r w:rsidRPr="00260933">
              <w:t>(0.24,1.07)</w:t>
            </w:r>
          </w:p>
        </w:tc>
      </w:tr>
      <w:tr w:rsidR="00E02F46" w:rsidTr="00551E66">
        <w:tc>
          <w:tcPr>
            <w:tcW w:w="1685" w:type="dxa"/>
          </w:tcPr>
          <w:p w:rsidR="00E02F46" w:rsidRPr="00260933" w:rsidRDefault="00E02F46" w:rsidP="00C06EA4">
            <w:pPr>
              <w:ind w:left="34" w:right="32"/>
            </w:pPr>
            <w:r w:rsidRPr="00260933">
              <w:t>Pooling M/34273/34 &amp;</w:t>
            </w:r>
            <w:r w:rsidR="00260933">
              <w:t xml:space="preserve"> </w:t>
            </w:r>
            <w:r w:rsidRPr="00260933">
              <w:t>LAS-MD-33</w:t>
            </w:r>
          </w:p>
        </w:tc>
        <w:tc>
          <w:tcPr>
            <w:tcW w:w="2309" w:type="dxa"/>
          </w:tcPr>
          <w:p w:rsidR="00E02F46" w:rsidRPr="00260933" w:rsidRDefault="00260933" w:rsidP="00C06EA4">
            <w:pPr>
              <w:ind w:left="0" w:right="30"/>
            </w:pPr>
            <w:r w:rsidRPr="00260933">
              <w:t>0.71</w:t>
            </w:r>
            <w:r>
              <w:t xml:space="preserve"> </w:t>
            </w:r>
            <w:r w:rsidRPr="00260933">
              <w:t>(0.54, 0.94)</w:t>
            </w:r>
          </w:p>
        </w:tc>
        <w:tc>
          <w:tcPr>
            <w:tcW w:w="2309" w:type="dxa"/>
          </w:tcPr>
          <w:p w:rsidR="00E02F46" w:rsidRPr="00260933" w:rsidRDefault="00260933" w:rsidP="00C06EA4">
            <w:pPr>
              <w:ind w:left="37" w:right="0"/>
            </w:pPr>
            <w:r w:rsidRPr="00260933">
              <w:t>0.70</w:t>
            </w:r>
            <w:r>
              <w:t xml:space="preserve"> </w:t>
            </w:r>
            <w:r w:rsidRPr="00260933">
              <w:t>(0.47,1.03)</w:t>
            </w:r>
          </w:p>
        </w:tc>
        <w:tc>
          <w:tcPr>
            <w:tcW w:w="2309" w:type="dxa"/>
          </w:tcPr>
          <w:p w:rsidR="00E02F46" w:rsidRPr="00260933" w:rsidRDefault="00260933" w:rsidP="00C06EA4">
            <w:pPr>
              <w:ind w:left="0" w:right="0"/>
            </w:pPr>
            <w:r w:rsidRPr="00260933">
              <w:t>NA</w:t>
            </w:r>
          </w:p>
        </w:tc>
      </w:tr>
      <w:tr w:rsidR="00E02F46" w:rsidTr="00551E66">
        <w:tc>
          <w:tcPr>
            <w:tcW w:w="1685" w:type="dxa"/>
          </w:tcPr>
          <w:p w:rsidR="00E02F46" w:rsidRPr="00260933" w:rsidRDefault="00E02F46" w:rsidP="00C06EA4">
            <w:pPr>
              <w:ind w:left="34" w:right="32"/>
            </w:pPr>
            <w:r w:rsidRPr="00260933">
              <w:t>LAS-MD-38A</w:t>
            </w:r>
          </w:p>
        </w:tc>
        <w:tc>
          <w:tcPr>
            <w:tcW w:w="2309" w:type="dxa"/>
          </w:tcPr>
          <w:p w:rsidR="00E02F46" w:rsidRPr="00260933" w:rsidRDefault="00260933" w:rsidP="00C06EA4">
            <w:pPr>
              <w:ind w:left="0" w:right="30"/>
            </w:pPr>
            <w:r w:rsidRPr="00260933">
              <w:t>0.82</w:t>
            </w:r>
            <w:r>
              <w:t xml:space="preserve"> </w:t>
            </w:r>
            <w:r w:rsidRPr="00260933">
              <w:t>(0.52,1.29)</w:t>
            </w:r>
          </w:p>
        </w:tc>
        <w:tc>
          <w:tcPr>
            <w:tcW w:w="2309" w:type="dxa"/>
          </w:tcPr>
          <w:p w:rsidR="00E02F46" w:rsidRPr="00260933" w:rsidRDefault="00260933" w:rsidP="00C06EA4">
            <w:pPr>
              <w:ind w:left="37" w:right="0"/>
            </w:pPr>
            <w:r w:rsidRPr="00260933">
              <w:t>0.79</w:t>
            </w:r>
            <w:r>
              <w:t xml:space="preserve"> </w:t>
            </w:r>
            <w:r w:rsidRPr="00260933">
              <w:t>(0.40, 1.57)</w:t>
            </w:r>
          </w:p>
        </w:tc>
        <w:tc>
          <w:tcPr>
            <w:tcW w:w="2309" w:type="dxa"/>
          </w:tcPr>
          <w:p w:rsidR="00E02F46" w:rsidRPr="00260933" w:rsidRDefault="00260933" w:rsidP="00C06EA4">
            <w:pPr>
              <w:ind w:left="0" w:right="0"/>
            </w:pPr>
            <w:r w:rsidRPr="00260933">
              <w:t>0.95 *</w:t>
            </w:r>
            <w:r>
              <w:t xml:space="preserve"> </w:t>
            </w:r>
            <w:r w:rsidRPr="00260933">
              <w:t>(0.48, 1.88)</w:t>
            </w:r>
          </w:p>
        </w:tc>
      </w:tr>
      <w:tr w:rsidR="00E02F46" w:rsidTr="00551E66">
        <w:tc>
          <w:tcPr>
            <w:tcW w:w="1685" w:type="dxa"/>
          </w:tcPr>
          <w:p w:rsidR="00E02F46" w:rsidRPr="00895108" w:rsidRDefault="008C44AA" w:rsidP="00C06EA4">
            <w:pPr>
              <w:ind w:left="34" w:right="32"/>
              <w:rPr>
                <w:lang w:val="es-ES_tradnl"/>
              </w:rPr>
            </w:pPr>
            <w:r w:rsidRPr="00895108">
              <w:rPr>
                <w:lang w:val="es-ES_tradnl"/>
              </w:rPr>
              <w:t>Pooling M/34273/34, LAS-MD-33, LAS-MD-38A</w:t>
            </w:r>
          </w:p>
        </w:tc>
        <w:tc>
          <w:tcPr>
            <w:tcW w:w="2309" w:type="dxa"/>
          </w:tcPr>
          <w:p w:rsidR="00E02F46" w:rsidRPr="00260933" w:rsidRDefault="00260933" w:rsidP="00C06EA4">
            <w:pPr>
              <w:ind w:left="0" w:right="30"/>
            </w:pPr>
            <w:r w:rsidRPr="00260933">
              <w:t>0.74</w:t>
            </w:r>
            <w:r>
              <w:t xml:space="preserve"> </w:t>
            </w:r>
            <w:r w:rsidRPr="00260933">
              <w:t>(0.58, 0.93)</w:t>
            </w:r>
          </w:p>
        </w:tc>
        <w:tc>
          <w:tcPr>
            <w:tcW w:w="2309" w:type="dxa"/>
          </w:tcPr>
          <w:p w:rsidR="00E02F46" w:rsidRPr="00260933" w:rsidRDefault="00260933" w:rsidP="00C06EA4">
            <w:pPr>
              <w:ind w:left="37" w:right="0"/>
            </w:pPr>
            <w:r w:rsidRPr="00260933">
              <w:t>0.72</w:t>
            </w:r>
            <w:r>
              <w:t xml:space="preserve"> </w:t>
            </w:r>
            <w:r w:rsidRPr="00260933">
              <w:t>(0.52, 1.01)</w:t>
            </w:r>
          </w:p>
        </w:tc>
        <w:tc>
          <w:tcPr>
            <w:tcW w:w="2309" w:type="dxa"/>
          </w:tcPr>
          <w:p w:rsidR="00E02F46" w:rsidRPr="00260933" w:rsidRDefault="00260933" w:rsidP="00C06EA4">
            <w:pPr>
              <w:ind w:left="0" w:right="0"/>
            </w:pPr>
            <w:r w:rsidRPr="00260933">
              <w:t>NA</w:t>
            </w:r>
          </w:p>
        </w:tc>
      </w:tr>
    </w:tbl>
    <w:p w:rsidR="00E02F46" w:rsidRPr="00E02F46" w:rsidRDefault="00E02F46" w:rsidP="00C06EA4">
      <w:pPr>
        <w:pStyle w:val="TableDescription"/>
      </w:pPr>
      <w:r w:rsidRPr="00E02F46">
        <w:t xml:space="preserve">Note: RR: rate ratio; CI: confidence interval; HR: hazard ratio; OR: odds ratio; The rate of COPD exacerbations per patient-year is </w:t>
      </w:r>
      <w:r w:rsidR="00E74309" w:rsidRPr="00E02F46">
        <w:t>analysed</w:t>
      </w:r>
      <w:r w:rsidRPr="00E02F46">
        <w:t xml:space="preserve"> by means of a Poisson regression for rates and with treatment, sex, and baseline COPD severity as factors and age as covariate, adjusting for the log of the corresponding total exposure time in years for a patient (as an offset variable in the model); Hazard Ratio is derived from a Cox-Proportional Hazards model with time to first moderate or severe COPD exacerbation as response and treatment group, and sex as factors; Odds ratio is based on the logistic regression model for the number of patients with at least 1 COPD exacerbation as response with treatment group as factor along with COPD severity at baseline as covariate; NA: not available in the pre-specified pooled analysis.</w:t>
      </w:r>
    </w:p>
    <w:p w:rsidR="007E69FD" w:rsidRDefault="007E69FD" w:rsidP="00C06EA4">
      <w:r>
        <w:t xml:space="preserve">Two different tools to assess exacerbations were included in the </w:t>
      </w:r>
      <w:r w:rsidR="0090353D">
        <w:t>Study M/</w:t>
      </w:r>
      <w:r>
        <w:t>34273/34. Both EXACT, a patient reported outcome</w:t>
      </w:r>
      <w:r w:rsidR="00E02F46">
        <w:rPr>
          <w:rStyle w:val="FootnoteReference"/>
        </w:rPr>
        <w:footnoteReference w:id="36"/>
      </w:r>
      <w:r w:rsidRPr="00E02F46">
        <w:rPr>
          <w:vertAlign w:val="superscript"/>
        </w:rPr>
        <w:t>,</w:t>
      </w:r>
      <w:r w:rsidR="00E02F46">
        <w:rPr>
          <w:rStyle w:val="FootnoteReference"/>
        </w:rPr>
        <w:footnoteReference w:id="37"/>
      </w:r>
      <w:r w:rsidR="00AF3D89">
        <w:t xml:space="preserve"> </w:t>
      </w:r>
      <w:r>
        <w:t>and the Health Care Utilisation tools yielded consistent estimates of the effect of aclidinium bromide (around 30% reduction).</w:t>
      </w:r>
    </w:p>
    <w:p w:rsidR="007E69FD" w:rsidRDefault="007E69FD" w:rsidP="00C06EA4">
      <w:r>
        <w:t xml:space="preserve">The design of the pivotal trials is not the optimum for assessing exacerbations because it did not include enriched population and was for </w:t>
      </w:r>
      <w:proofErr w:type="gramStart"/>
      <w:r>
        <w:t>a treatment</w:t>
      </w:r>
      <w:proofErr w:type="gramEnd"/>
      <w:r>
        <w:t xml:space="preserve"> duration less than one year. However, trials with a duration inferior a 1</w:t>
      </w:r>
      <w:r w:rsidR="00AC5919">
        <w:t xml:space="preserve"> </w:t>
      </w:r>
      <w:r>
        <w:t>year treatment has been suggested to be a good predictor of trials of more than 1</w:t>
      </w:r>
      <w:r w:rsidR="00AC5919">
        <w:t xml:space="preserve"> </w:t>
      </w:r>
      <w:r>
        <w:t>year duration when assessing exacerbations</w:t>
      </w:r>
      <w:r w:rsidR="00E02F46">
        <w:rPr>
          <w:rStyle w:val="FootnoteReference"/>
        </w:rPr>
        <w:footnoteReference w:id="38"/>
      </w:r>
      <w:r>
        <w:t xml:space="preserve"> On the other hand, the use of not enriched population leads to a less sensitive population, even though an effect on exacerbations was observed.</w:t>
      </w:r>
    </w:p>
    <w:p w:rsidR="007E69FD" w:rsidRDefault="007E69FD" w:rsidP="00C06EA4">
      <w:r>
        <w:t xml:space="preserve">The results of the </w:t>
      </w:r>
      <w:r w:rsidR="00710686">
        <w:t>placebo controlled</w:t>
      </w:r>
      <w:r>
        <w:t xml:space="preserve"> pivotal studies, irrespectively of the endpoint and COPD exacerbation assessment </w:t>
      </w:r>
      <w:proofErr w:type="gramStart"/>
      <w:r>
        <w:t>tool,</w:t>
      </w:r>
      <w:proofErr w:type="gramEnd"/>
      <w:r>
        <w:t xml:space="preserve"> indicate that aclidinium bromide has an effect on decreasing t</w:t>
      </w:r>
      <w:r w:rsidR="00E02F46">
        <w:t>he number of COPD exacerbations</w:t>
      </w:r>
      <w:r>
        <w:t>.</w:t>
      </w:r>
      <w:r w:rsidR="00E02F46">
        <w:rPr>
          <w:rStyle w:val="FootnoteReference"/>
        </w:rPr>
        <w:footnoteReference w:id="39"/>
      </w:r>
      <w:r>
        <w:t xml:space="preserve"> Data on the rate of exacerbations of the </w:t>
      </w:r>
      <w:r w:rsidR="00710686">
        <w:t>placebo controlled</w:t>
      </w:r>
      <w:r>
        <w:t xml:space="preserve"> pivotal studies</w:t>
      </w:r>
      <w:r w:rsidR="00AC5919">
        <w:t xml:space="preserve"> was re-submitted to the TGA</w:t>
      </w:r>
      <w:r w:rsidR="00260933">
        <w:t>.</w:t>
      </w:r>
    </w:p>
    <w:p w:rsidR="007E69FD" w:rsidRPr="003F3810" w:rsidRDefault="007E69FD" w:rsidP="003F3810">
      <w:pPr>
        <w:pStyle w:val="Heading5"/>
      </w:pPr>
      <w:r>
        <w:t>Cardiovascular safety</w:t>
      </w:r>
    </w:p>
    <w:p w:rsidR="003F3810" w:rsidRDefault="003F3810" w:rsidP="00AC5919">
      <w:pPr>
        <w:pStyle w:val="Heading6"/>
      </w:pPr>
      <w:r>
        <w:t>Question raised (3):</w:t>
      </w:r>
    </w:p>
    <w:p w:rsidR="007E69FD" w:rsidRPr="003F3810" w:rsidRDefault="007E69FD" w:rsidP="003F3810">
      <w:pPr>
        <w:rPr>
          <w:i/>
        </w:rPr>
      </w:pPr>
      <w:r w:rsidRPr="003F3810">
        <w:rPr>
          <w:i/>
        </w:rPr>
        <w:t>Is there adequate evidence for safety considering the size of the safety database and overall duration of studies?</w:t>
      </w:r>
    </w:p>
    <w:p w:rsidR="003F3810" w:rsidRDefault="003F3810" w:rsidP="00AC5919">
      <w:pPr>
        <w:pStyle w:val="Heading6"/>
      </w:pPr>
      <w:r>
        <w:t>Question raised (4):</w:t>
      </w:r>
    </w:p>
    <w:p w:rsidR="007E69FD" w:rsidRPr="003F3810" w:rsidRDefault="007E69FD" w:rsidP="003F3810">
      <w:pPr>
        <w:rPr>
          <w:i/>
        </w:rPr>
      </w:pPr>
      <w:proofErr w:type="gramStart"/>
      <w:r w:rsidRPr="003F3810">
        <w:rPr>
          <w:i/>
        </w:rPr>
        <w:t>Is</w:t>
      </w:r>
      <w:proofErr w:type="gramEnd"/>
      <w:r w:rsidRPr="003F3810">
        <w:rPr>
          <w:i/>
        </w:rPr>
        <w:t xml:space="preserve"> the RMP and the long term studies proposed are adequate to monitor for potential cardiac adverse events post registration?</w:t>
      </w:r>
    </w:p>
    <w:p w:rsidR="007E69FD" w:rsidRDefault="007E69FD" w:rsidP="00AC5919">
      <w:pPr>
        <w:pStyle w:val="Heading6"/>
      </w:pPr>
      <w:r>
        <w:t>Sponsor comment:</w:t>
      </w:r>
    </w:p>
    <w:p w:rsidR="007E69FD" w:rsidRDefault="007E69FD" w:rsidP="003F3810">
      <w:r>
        <w:t xml:space="preserve">The </w:t>
      </w:r>
      <w:r w:rsidR="00E02F46">
        <w:t>s</w:t>
      </w:r>
      <w:r>
        <w:t>ponsor agrees with the Delegate that the size of the safety database and duration of studies is adequate and that RMP and long term studies are appropriate to monitor for potential cardiovascular events post registration.</w:t>
      </w:r>
    </w:p>
    <w:p w:rsidR="007E69FD" w:rsidRDefault="007E69FD" w:rsidP="003F3810">
      <w:r>
        <w:t xml:space="preserve">The </w:t>
      </w:r>
      <w:r w:rsidR="00E02F46">
        <w:t>s</w:t>
      </w:r>
      <w:r>
        <w:t>ponsor commits to submit to the TGA the final reports of the two on-going studies to assess the cardiovascular safety of aclidinium bromide (ASCENT and PASS) as soon as they are completed.</w:t>
      </w:r>
    </w:p>
    <w:p w:rsidR="007E69FD" w:rsidRDefault="007E69FD" w:rsidP="003F3810">
      <w:pPr>
        <w:pStyle w:val="Heading5"/>
      </w:pPr>
      <w:r>
        <w:t xml:space="preserve">Additional </w:t>
      </w:r>
      <w:r w:rsidRPr="003F3810">
        <w:t>comments</w:t>
      </w:r>
    </w:p>
    <w:p w:rsidR="00E02F46" w:rsidRDefault="00E02F46" w:rsidP="003F3810">
      <w:r>
        <w:t>The sponsor also commented on the PI changes that the evaluators recommended to the Delegate. The details of these comments are however beyond the scope of this AusPAR.</w:t>
      </w:r>
    </w:p>
    <w:p w:rsidR="008E7846" w:rsidRDefault="008E7846" w:rsidP="003F3810">
      <w:pPr>
        <w:pStyle w:val="Heading4"/>
      </w:pPr>
      <w:r>
        <w:t xml:space="preserve">Advisory </w:t>
      </w:r>
      <w:r w:rsidR="003F3810">
        <w:t>c</w:t>
      </w:r>
      <w:r w:rsidRPr="003F3810">
        <w:t>ommittee</w:t>
      </w:r>
      <w:r>
        <w:t xml:space="preserve"> </w:t>
      </w:r>
      <w:r w:rsidR="003F3810">
        <w:t>c</w:t>
      </w:r>
      <w:r>
        <w:t>onsiderations</w:t>
      </w:r>
    </w:p>
    <w:p w:rsidR="008E7846" w:rsidRDefault="00D23139" w:rsidP="009C6FB9">
      <w:r w:rsidRPr="00D23139">
        <w:t>The Advisory Committee on Prescription Medicines (ACPM), having considered the evaluations and the Delegate’s overview, as well as the sponsor’s response to these documents, advised the following:</w:t>
      </w:r>
    </w:p>
    <w:p w:rsidR="00240CE4" w:rsidRPr="00516568" w:rsidRDefault="00240CE4" w:rsidP="009C6FB9">
      <w:r w:rsidRPr="00516568">
        <w:t>The submission seeks to register a new chemical entity.</w:t>
      </w:r>
    </w:p>
    <w:p w:rsidR="00240CE4" w:rsidRPr="009C6FB9" w:rsidRDefault="00240CE4" w:rsidP="009C6FB9">
      <w:r w:rsidRPr="00516568">
        <w:t>The ACPM, taking into account the submitted evidence of efficacy, safety and quality, agreed</w:t>
      </w:r>
      <w:r w:rsidR="00AC5919">
        <w:t xml:space="preserve"> with the D</w:t>
      </w:r>
      <w:r w:rsidRPr="00516568">
        <w:t xml:space="preserve">elegate and considered </w:t>
      </w:r>
      <w:r w:rsidR="00AC5919" w:rsidRPr="00516568">
        <w:rPr>
          <w:bCs/>
        </w:rPr>
        <w:t>Bretaris Genuair</w:t>
      </w:r>
      <w:r w:rsidR="00AC5919" w:rsidRPr="00516568">
        <w:t xml:space="preserve"> </w:t>
      </w:r>
      <w:r w:rsidRPr="00516568">
        <w:rPr>
          <w:bCs/>
        </w:rPr>
        <w:t xml:space="preserve">Powder for inhalation containing </w:t>
      </w:r>
      <w:r w:rsidR="00130604">
        <w:rPr>
          <w:bCs/>
        </w:rPr>
        <w:t>400 µg</w:t>
      </w:r>
      <w:r w:rsidRPr="00516568">
        <w:rPr>
          <w:bCs/>
        </w:rPr>
        <w:t xml:space="preserve"> per actuation of aclidinium bromide</w:t>
      </w:r>
      <w:r w:rsidRPr="00516568">
        <w:rPr>
          <w:b/>
          <w:bCs/>
        </w:rPr>
        <w:t xml:space="preserve"> </w:t>
      </w:r>
      <w:r w:rsidRPr="00516568">
        <w:t>to have an overall positive benefit–risk profile for the indication</w:t>
      </w:r>
      <w:r w:rsidR="009C6FB9">
        <w:t>;</w:t>
      </w:r>
    </w:p>
    <w:p w:rsidR="00240CE4" w:rsidRPr="009C6FB9" w:rsidRDefault="00240CE4" w:rsidP="009C6FB9">
      <w:pPr>
        <w:ind w:left="720"/>
        <w:rPr>
          <w:bCs/>
          <w:i/>
        </w:rPr>
      </w:pPr>
      <w:proofErr w:type="spellStart"/>
      <w:r w:rsidRPr="009C6FB9">
        <w:rPr>
          <w:i/>
        </w:rPr>
        <w:t>Bretaris</w:t>
      </w:r>
      <w:proofErr w:type="spellEnd"/>
      <w:r w:rsidRPr="009C6FB9">
        <w:rPr>
          <w:i/>
        </w:rPr>
        <w:t xml:space="preserve"> </w:t>
      </w:r>
      <w:proofErr w:type="spellStart"/>
      <w:r w:rsidRPr="009C6FB9">
        <w:rPr>
          <w:i/>
        </w:rPr>
        <w:t>Genuair</w:t>
      </w:r>
      <w:proofErr w:type="spellEnd"/>
      <w:r w:rsidRPr="009C6FB9">
        <w:rPr>
          <w:i/>
        </w:rPr>
        <w:t xml:space="preserve"> is indicated as a </w:t>
      </w:r>
      <w:r w:rsidR="00710686" w:rsidRPr="009C6FB9">
        <w:rPr>
          <w:i/>
        </w:rPr>
        <w:t xml:space="preserve">long term </w:t>
      </w:r>
      <w:r w:rsidRPr="009C6FB9">
        <w:rPr>
          <w:i/>
        </w:rPr>
        <w:t>maintenance bronchodilator treatment to relieve symptoms in adult patients with chronic obstructive pulmonary disease (COPD).</w:t>
      </w:r>
    </w:p>
    <w:p w:rsidR="00240CE4" w:rsidRPr="00516568" w:rsidRDefault="00240CE4" w:rsidP="009C6FB9">
      <w:pPr>
        <w:pStyle w:val="Heading5"/>
      </w:pPr>
      <w:r w:rsidRPr="00516568">
        <w:t>Prop</w:t>
      </w:r>
      <w:r w:rsidR="00AC5919">
        <w:t xml:space="preserve">osed </w:t>
      </w:r>
      <w:r w:rsidR="00AC5919" w:rsidRPr="009C6FB9">
        <w:t>conditions</w:t>
      </w:r>
      <w:r w:rsidR="00AC5919">
        <w:t xml:space="preserve"> of registration</w:t>
      </w:r>
    </w:p>
    <w:p w:rsidR="00240CE4" w:rsidRPr="00516568" w:rsidRDefault="00AC5919" w:rsidP="009C6FB9">
      <w:r>
        <w:t>The ACPM agreed with the D</w:t>
      </w:r>
      <w:r w:rsidR="00240CE4" w:rsidRPr="00516568">
        <w:t>elegate on the proposed conditions of registration and specifically advised on the inclusion of the following:</w:t>
      </w:r>
    </w:p>
    <w:p w:rsidR="00240CE4" w:rsidRPr="00516568" w:rsidRDefault="00240CE4" w:rsidP="009C6FB9">
      <w:pPr>
        <w:pStyle w:val="ListBullet"/>
        <w:rPr>
          <w:lang w:val="en-GB"/>
        </w:rPr>
      </w:pPr>
      <w:r w:rsidRPr="00516568">
        <w:rPr>
          <w:lang w:val="en-GB"/>
        </w:rPr>
        <w:t xml:space="preserve">The </w:t>
      </w:r>
      <w:r w:rsidRPr="009C6FB9">
        <w:t>submission</w:t>
      </w:r>
      <w:r w:rsidRPr="00516568">
        <w:rPr>
          <w:lang w:val="en-GB"/>
        </w:rPr>
        <w:t xml:space="preserve"> as soon as practicable of the cardiovascular safety study currently underway.</w:t>
      </w:r>
    </w:p>
    <w:p w:rsidR="00240CE4" w:rsidRPr="00516568" w:rsidRDefault="00240CE4" w:rsidP="009C6FB9">
      <w:pPr>
        <w:pStyle w:val="Heading5"/>
        <w:rPr>
          <w:u w:val="single"/>
        </w:rPr>
      </w:pPr>
      <w:r w:rsidRPr="00516568">
        <w:t xml:space="preserve">Proposed </w:t>
      </w:r>
      <w:r w:rsidRPr="009C6FB9">
        <w:t>Product</w:t>
      </w:r>
      <w:r w:rsidRPr="00516568">
        <w:t xml:space="preserve"> Information (PI)/Consumer Medicine Information (CMI) amendments</w:t>
      </w:r>
    </w:p>
    <w:p w:rsidR="00240CE4" w:rsidRPr="00516568" w:rsidRDefault="00240CE4" w:rsidP="009C6FB9">
      <w:r w:rsidRPr="00516568">
        <w:t xml:space="preserve">The ACPM agreed with the </w:t>
      </w:r>
      <w:r w:rsidR="00130604">
        <w:t>D</w:t>
      </w:r>
      <w:r w:rsidRPr="00516568">
        <w:t>elegate to the proposed amendments to the PI and CMI.</w:t>
      </w:r>
    </w:p>
    <w:p w:rsidR="00240CE4" w:rsidRPr="00516568" w:rsidRDefault="00240CE4" w:rsidP="009C6FB9">
      <w:pPr>
        <w:pStyle w:val="Heading5"/>
        <w:rPr>
          <w:szCs w:val="22"/>
          <w:highlight w:val="yellow"/>
          <w:lang w:val="en-GB"/>
        </w:rPr>
      </w:pPr>
      <w:r w:rsidRPr="00516568">
        <w:rPr>
          <w:lang w:val="en-GB"/>
        </w:rPr>
        <w:t xml:space="preserve">Specific </w:t>
      </w:r>
      <w:r w:rsidR="009C6FB9">
        <w:t>a</w:t>
      </w:r>
      <w:r w:rsidRPr="009C6FB9">
        <w:t>dvice</w:t>
      </w:r>
    </w:p>
    <w:p w:rsidR="00240CE4" w:rsidRPr="009C6FB9" w:rsidRDefault="00240CE4" w:rsidP="009C6FB9">
      <w:pPr>
        <w:pStyle w:val="Numberbullet0"/>
        <w:numPr>
          <w:ilvl w:val="0"/>
          <w:numId w:val="11"/>
        </w:numPr>
        <w:rPr>
          <w:i/>
          <w:lang w:val="en-GB"/>
        </w:rPr>
      </w:pPr>
      <w:r w:rsidRPr="009C6FB9">
        <w:rPr>
          <w:i/>
        </w:rPr>
        <w:t>There</w:t>
      </w:r>
      <w:r w:rsidRPr="009C6FB9">
        <w:rPr>
          <w:i/>
          <w:lang w:val="en-GB"/>
        </w:rPr>
        <w:t xml:space="preserve"> is one pivotal efficacy study that has one primary efficacy endpoint relating to </w:t>
      </w:r>
      <w:proofErr w:type="spellStart"/>
      <w:r w:rsidRPr="009C6FB9">
        <w:rPr>
          <w:i/>
          <w:lang w:val="en-GB"/>
        </w:rPr>
        <w:t>bronchodilation</w:t>
      </w:r>
      <w:proofErr w:type="spellEnd"/>
      <w:r w:rsidRPr="009C6FB9">
        <w:rPr>
          <w:i/>
          <w:lang w:val="en-GB"/>
        </w:rPr>
        <w:t xml:space="preserve">. The TGA adopted EU Guideline, CPMP/EWP/562/98, recommends FEV1 as a measure of lung function; it also recommends a measure of symptomatic benefit as a primary endpoint, be included in the efficacy studies. There are no primary endpoints that deal with symptomatic benefit in the pivotal study (or in any other clinical efficacy studies). Does the </w:t>
      </w:r>
      <w:r w:rsidR="00AC5919" w:rsidRPr="009C6FB9">
        <w:rPr>
          <w:i/>
          <w:lang w:val="en-GB"/>
        </w:rPr>
        <w:t>c</w:t>
      </w:r>
      <w:r w:rsidRPr="009C6FB9">
        <w:rPr>
          <w:i/>
          <w:lang w:val="en-GB"/>
        </w:rPr>
        <w:t xml:space="preserve">ommittee consider that the efficacy data are adequate to approve aclidinium bromide for </w:t>
      </w:r>
      <w:r w:rsidR="00710686" w:rsidRPr="009C6FB9">
        <w:rPr>
          <w:i/>
          <w:lang w:val="en-GB"/>
        </w:rPr>
        <w:t xml:space="preserve">long term </w:t>
      </w:r>
      <w:r w:rsidRPr="009C6FB9">
        <w:rPr>
          <w:i/>
          <w:lang w:val="en-GB"/>
        </w:rPr>
        <w:t>maintenance bronchodilator treatment to relieve symptoms in adult patients with chronic obstructive pulmonary disease (COPD)?</w:t>
      </w:r>
    </w:p>
    <w:p w:rsidR="00240CE4" w:rsidRPr="00516568" w:rsidRDefault="00240CE4" w:rsidP="009C6FB9">
      <w:pPr>
        <w:rPr>
          <w:rFonts w:eastAsia="Times New Roman"/>
          <w:lang w:eastAsia="en-GB"/>
        </w:rPr>
      </w:pPr>
      <w:r w:rsidRPr="00516568">
        <w:rPr>
          <w:lang w:val="en-US" w:eastAsia="en-GB"/>
        </w:rPr>
        <w:t>The ACPM advised there is evidence submitted of clinically meaningful improvements in lung function and QOL measures to support the indication proposed.</w:t>
      </w:r>
    </w:p>
    <w:p w:rsidR="00240CE4" w:rsidRPr="009C6FB9" w:rsidRDefault="00240CE4" w:rsidP="009C6FB9">
      <w:pPr>
        <w:pStyle w:val="Numberbullet0"/>
        <w:rPr>
          <w:i/>
          <w:lang w:val="en-GB"/>
        </w:rPr>
      </w:pPr>
      <w:r w:rsidRPr="009C6FB9">
        <w:rPr>
          <w:i/>
          <w:lang w:val="en-GB"/>
        </w:rPr>
        <w:t>Doe</w:t>
      </w:r>
      <w:r w:rsidR="00AC5919" w:rsidRPr="009C6FB9">
        <w:rPr>
          <w:i/>
          <w:lang w:val="en-GB"/>
        </w:rPr>
        <w:t xml:space="preserve">s the </w:t>
      </w:r>
      <w:r w:rsidR="00AC5919" w:rsidRPr="009C6FB9">
        <w:rPr>
          <w:i/>
        </w:rPr>
        <w:t>committee</w:t>
      </w:r>
      <w:r w:rsidR="00AC5919" w:rsidRPr="009C6FB9">
        <w:rPr>
          <w:i/>
          <w:lang w:val="en-GB"/>
        </w:rPr>
        <w:t xml:space="preserve"> agree with the D</w:t>
      </w:r>
      <w:r w:rsidRPr="009C6FB9">
        <w:rPr>
          <w:i/>
          <w:lang w:val="en-GB"/>
        </w:rPr>
        <w:t>elegate regarding the deletion of the statement in the draft PI, on claimed benefits in COPD exacerbation?</w:t>
      </w:r>
    </w:p>
    <w:p w:rsidR="00240CE4" w:rsidRPr="00516568" w:rsidRDefault="00240CE4" w:rsidP="009C6FB9">
      <w:r w:rsidRPr="00516568">
        <w:t xml:space="preserve">The ACPM agreed with the </w:t>
      </w:r>
      <w:r w:rsidR="00AC5919">
        <w:t>D</w:t>
      </w:r>
      <w:r w:rsidRPr="00516568">
        <w:t>elegate that that the statement in the PI the reduction in the rate of exacerbations in COPD was not supported by effective evidence and the definition of exacerbations was non-standard.</w:t>
      </w:r>
    </w:p>
    <w:p w:rsidR="00240CE4" w:rsidRPr="009C6FB9" w:rsidRDefault="00AC5919" w:rsidP="009C6FB9">
      <w:pPr>
        <w:pStyle w:val="Numberbullet0"/>
        <w:rPr>
          <w:i/>
          <w:lang w:val="en-GB"/>
        </w:rPr>
      </w:pPr>
      <w:r w:rsidRPr="009C6FB9">
        <w:rPr>
          <w:i/>
          <w:lang w:val="en-GB"/>
        </w:rPr>
        <w:t>Does the c</w:t>
      </w:r>
      <w:r w:rsidR="00240CE4" w:rsidRPr="009C6FB9">
        <w:rPr>
          <w:i/>
          <w:lang w:val="en-GB"/>
        </w:rPr>
        <w:t xml:space="preserve">ommittee agree that there are adequate </w:t>
      </w:r>
      <w:r w:rsidR="00240CE4" w:rsidRPr="009C6FB9">
        <w:rPr>
          <w:i/>
        </w:rPr>
        <w:t>evidence</w:t>
      </w:r>
      <w:r w:rsidR="00240CE4" w:rsidRPr="009C6FB9">
        <w:rPr>
          <w:i/>
          <w:lang w:val="en-GB"/>
        </w:rPr>
        <w:t xml:space="preserve"> for safety considering the size of the safety data base and overall duration of the studies?</w:t>
      </w:r>
    </w:p>
    <w:p w:rsidR="00240CE4" w:rsidRPr="00516568" w:rsidRDefault="00240CE4" w:rsidP="009C6FB9">
      <w:r w:rsidRPr="00516568">
        <w:t>The ACPM were concerned that there was only 1 6 month randomised, placebo controlled trial. However, the 12 month studies are supportive and there were no clear safety signals of concern. There were an adequate number of subjects exposed to active medication. The ACPM was of the view that these are likely to be sufficient data.</w:t>
      </w:r>
    </w:p>
    <w:p w:rsidR="00240CE4" w:rsidRPr="009C6FB9" w:rsidRDefault="00240CE4" w:rsidP="009C6FB9">
      <w:pPr>
        <w:pStyle w:val="Numberbullet0"/>
        <w:rPr>
          <w:i/>
        </w:rPr>
      </w:pPr>
      <w:r w:rsidRPr="009C6FB9">
        <w:rPr>
          <w:i/>
        </w:rPr>
        <w:t xml:space="preserve">Does the </w:t>
      </w:r>
      <w:r w:rsidR="00AC5919" w:rsidRPr="009C6FB9">
        <w:rPr>
          <w:i/>
        </w:rPr>
        <w:t>c</w:t>
      </w:r>
      <w:r w:rsidRPr="009C6FB9">
        <w:rPr>
          <w:i/>
        </w:rPr>
        <w:t>ommittee agree that the RMP and the long term studies proposed are adequate to monitor for potential cardiac adverse events post registration?</w:t>
      </w:r>
    </w:p>
    <w:p w:rsidR="00240CE4" w:rsidRPr="00516568" w:rsidRDefault="00240CE4" w:rsidP="009C6FB9">
      <w:r w:rsidRPr="00516568">
        <w:t>The ACPM advised that the RMP was adequate in this regard.</w:t>
      </w:r>
    </w:p>
    <w:p w:rsidR="00240CE4" w:rsidRPr="009C6FB9" w:rsidRDefault="00240CE4" w:rsidP="009C6FB9">
      <w:pPr>
        <w:pStyle w:val="Numberbullet0"/>
        <w:rPr>
          <w:i/>
        </w:rPr>
      </w:pPr>
      <w:r w:rsidRPr="009C6FB9">
        <w:rPr>
          <w:i/>
        </w:rPr>
        <w:t xml:space="preserve">Does the </w:t>
      </w:r>
      <w:r w:rsidR="00130604" w:rsidRPr="009C6FB9">
        <w:rPr>
          <w:i/>
        </w:rPr>
        <w:t>c</w:t>
      </w:r>
      <w:r w:rsidRPr="009C6FB9">
        <w:rPr>
          <w:i/>
        </w:rPr>
        <w:t>ommittee agree that the risk benefit profile is acceptable to warrant registration</w:t>
      </w:r>
      <w:r w:rsidR="009C6FB9">
        <w:rPr>
          <w:i/>
        </w:rPr>
        <w:t>?</w:t>
      </w:r>
    </w:p>
    <w:p w:rsidR="00240CE4" w:rsidRPr="00516568" w:rsidRDefault="00240CE4" w:rsidP="009C6FB9">
      <w:r w:rsidRPr="00516568">
        <w:t>The ACPM was of the view that the risk-benefit profile is acceptable.</w:t>
      </w:r>
    </w:p>
    <w:p w:rsidR="00240CE4" w:rsidRPr="00A322B3" w:rsidRDefault="00240CE4" w:rsidP="009C6FB9">
      <w:r w:rsidRPr="00516568">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9C6FB9" w:rsidRDefault="008E7846" w:rsidP="009C6FB9">
      <w:pPr>
        <w:pStyle w:val="Heading3"/>
      </w:pPr>
      <w:bookmarkStart w:id="201" w:name="_Toc247691532"/>
      <w:bookmarkStart w:id="202" w:name="_Toc314842516"/>
      <w:bookmarkStart w:id="203" w:name="_Toc400115439"/>
      <w:bookmarkEnd w:id="96"/>
      <w:bookmarkEnd w:id="198"/>
      <w:bookmarkEnd w:id="199"/>
      <w:r>
        <w:t>Outcome</w:t>
      </w:r>
      <w:bookmarkEnd w:id="201"/>
      <w:bookmarkEnd w:id="202"/>
      <w:bookmarkEnd w:id="203"/>
    </w:p>
    <w:p w:rsidR="00D23139" w:rsidRPr="00D23139" w:rsidRDefault="00D23139" w:rsidP="009C6FB9">
      <w:bookmarkStart w:id="204" w:name="_Toc247691533"/>
      <w:bookmarkStart w:id="205" w:name="_Toc314842517"/>
      <w:r w:rsidRPr="00D23139">
        <w:t xml:space="preserve">Based on a review of quality, safety and efficacy, TGA approved the registration of </w:t>
      </w:r>
      <w:r w:rsidR="00AC5919">
        <w:t xml:space="preserve">Bretaris Genuair </w:t>
      </w:r>
      <w:r w:rsidR="007E69FD">
        <w:t xml:space="preserve">powder formulation delivering 322 </w:t>
      </w:r>
      <w:r w:rsidR="00130604">
        <w:t>µg</w:t>
      </w:r>
      <w:r w:rsidR="007E69FD">
        <w:t xml:space="preserve"> aclidinium (as</w:t>
      </w:r>
      <w:r w:rsidR="00AC5919">
        <w:t xml:space="preserve"> </w:t>
      </w:r>
      <w:r w:rsidR="007E69FD">
        <w:t xml:space="preserve">bromide) per actuation </w:t>
      </w:r>
      <w:r w:rsidR="00AC5919">
        <w:t>inhaler</w:t>
      </w:r>
      <w:r w:rsidR="00130604">
        <w:t xml:space="preserve"> </w:t>
      </w:r>
      <w:r w:rsidR="007E69FD">
        <w:t>dry powder</w:t>
      </w:r>
      <w:r w:rsidRPr="00D23139">
        <w:t>, indicated for:</w:t>
      </w:r>
    </w:p>
    <w:p w:rsidR="00D23139" w:rsidRPr="009C6FB9" w:rsidRDefault="007E69FD" w:rsidP="009C6FB9">
      <w:pPr>
        <w:ind w:left="720"/>
        <w:rPr>
          <w:i/>
        </w:rPr>
      </w:pPr>
      <w:r w:rsidRPr="009C6FB9">
        <w:rPr>
          <w:i/>
        </w:rPr>
        <w:t xml:space="preserve">Bretaris Genuair is indicated as a </w:t>
      </w:r>
      <w:r w:rsidR="00710686" w:rsidRPr="009C6FB9">
        <w:rPr>
          <w:i/>
        </w:rPr>
        <w:t xml:space="preserve">long term </w:t>
      </w:r>
      <w:r w:rsidRPr="009C6FB9">
        <w:rPr>
          <w:i/>
        </w:rPr>
        <w:t>maintenance bronchodilator treatment to relieve symptoms in adult patients with chronic obstructive pulmonary disease (COPD).</w:t>
      </w:r>
    </w:p>
    <w:p w:rsidR="00D23139" w:rsidRPr="00D23139" w:rsidRDefault="00D23139" w:rsidP="009C6FB9">
      <w:pPr>
        <w:pStyle w:val="Heading4"/>
      </w:pPr>
      <w:r w:rsidRPr="00D23139">
        <w:t xml:space="preserve">Specific </w:t>
      </w:r>
      <w:r w:rsidRPr="009C6FB9">
        <w:t>conditions</w:t>
      </w:r>
      <w:r w:rsidRPr="00D23139">
        <w:t xml:space="preserve"> of registration applying to these goods</w:t>
      </w:r>
    </w:p>
    <w:p w:rsidR="00AC5919" w:rsidRPr="00AC5919" w:rsidRDefault="00AC5919" w:rsidP="009C6FB9">
      <w:pPr>
        <w:pStyle w:val="Numberbullet0"/>
        <w:numPr>
          <w:ilvl w:val="0"/>
          <w:numId w:val="12"/>
        </w:numPr>
      </w:pPr>
      <w:r w:rsidRPr="009C6FB9">
        <w:rPr>
          <w:bCs/>
        </w:rPr>
        <w:t>T</w:t>
      </w:r>
      <w:r w:rsidRPr="00AC5919">
        <w:t xml:space="preserve">he </w:t>
      </w:r>
      <w:r w:rsidRPr="009C6FB9">
        <w:rPr>
          <w:bCs/>
        </w:rPr>
        <w:t>Bretaris Genuair (aclidinium bromide) EU Risk Ma</w:t>
      </w:r>
      <w:r w:rsidRPr="00AC5919">
        <w:t>nagement Plan (RMP,</w:t>
      </w:r>
      <w:r w:rsidRPr="009C6FB9">
        <w:rPr>
          <w:bCs/>
        </w:rPr>
        <w:t xml:space="preserve"> </w:t>
      </w:r>
      <w:r w:rsidRPr="00AC5919">
        <w:t>version 2.3 dated 24 May 2012 (data</w:t>
      </w:r>
      <w:r w:rsidRPr="009C6FB9">
        <w:rPr>
          <w:bCs/>
        </w:rPr>
        <w:t xml:space="preserve"> </w:t>
      </w:r>
      <w:r w:rsidRPr="00AC5919">
        <w:t xml:space="preserve">lock point </w:t>
      </w:r>
      <w:r w:rsidRPr="009C6FB9">
        <w:rPr>
          <w:bCs/>
        </w:rPr>
        <w:t>1</w:t>
      </w:r>
      <w:r w:rsidRPr="00AC5919">
        <w:t xml:space="preserve"> September 2011) with Australian</w:t>
      </w:r>
      <w:r w:rsidRPr="009C6FB9">
        <w:rPr>
          <w:bCs/>
        </w:rPr>
        <w:t xml:space="preserve"> </w:t>
      </w:r>
      <w:r w:rsidRPr="00AC5919">
        <w:t>Specific Annex dated February 2013, and any subsequent revisions, as agreed with the</w:t>
      </w:r>
      <w:r w:rsidRPr="009C6FB9">
        <w:rPr>
          <w:bCs/>
        </w:rPr>
        <w:t xml:space="preserve"> </w:t>
      </w:r>
      <w:r w:rsidRPr="00AC5919">
        <w:t>TGA will be implemented in Australia.</w:t>
      </w:r>
    </w:p>
    <w:p w:rsidR="00AC5919" w:rsidRPr="00AC5919" w:rsidRDefault="00AC5919" w:rsidP="009C6FB9">
      <w:pPr>
        <w:pStyle w:val="Numberbullet0"/>
        <w:numPr>
          <w:ilvl w:val="0"/>
          <w:numId w:val="0"/>
        </w:numPr>
        <w:ind w:left="425"/>
        <w:rPr>
          <w:bCs/>
        </w:rPr>
      </w:pPr>
      <w:r w:rsidRPr="00AC5919">
        <w:rPr>
          <w:bCs/>
        </w:rPr>
        <w:t>A</w:t>
      </w:r>
      <w:r w:rsidRPr="00AC5919">
        <w:t>n obligatory component of Risk Management Plans is Rou</w:t>
      </w:r>
      <w:r w:rsidRPr="00AC5919">
        <w:rPr>
          <w:bCs/>
        </w:rPr>
        <w:t>tine Pharmacovigil</w:t>
      </w:r>
      <w:r w:rsidRPr="00AC5919">
        <w:t>ance.</w:t>
      </w:r>
      <w:r w:rsidRPr="00AC5919">
        <w:rPr>
          <w:bCs/>
        </w:rPr>
        <w:t xml:space="preserve"> </w:t>
      </w:r>
      <w:r w:rsidRPr="00AC5919">
        <w:t xml:space="preserve">Routine Pharmacovigilance includes </w:t>
      </w:r>
      <w:r w:rsidRPr="00AC5919">
        <w:rPr>
          <w:bCs/>
        </w:rPr>
        <w:t>t</w:t>
      </w:r>
      <w:r w:rsidRPr="00AC5919">
        <w:t>he submission of Periodic Safety Update Reports</w:t>
      </w:r>
      <w:r w:rsidRPr="00AC5919">
        <w:rPr>
          <w:bCs/>
        </w:rPr>
        <w:t xml:space="preserve"> </w:t>
      </w:r>
      <w:r w:rsidRPr="00AC5919">
        <w:t>(PSURs</w:t>
      </w:r>
      <w:r w:rsidRPr="00AC5919">
        <w:rPr>
          <w:bCs/>
        </w:rPr>
        <w:t>)</w:t>
      </w:r>
      <w:r w:rsidRPr="00AC5919">
        <w:t>. Re</w:t>
      </w:r>
      <w:r w:rsidRPr="00AC5919">
        <w:rPr>
          <w:bCs/>
        </w:rPr>
        <w:t>p</w:t>
      </w:r>
      <w:r w:rsidRPr="00AC5919">
        <w:t xml:space="preserve">orts are </w:t>
      </w:r>
      <w:r w:rsidRPr="00AC5919">
        <w:rPr>
          <w:bCs/>
        </w:rPr>
        <w:t>t</w:t>
      </w:r>
      <w:r w:rsidRPr="00AC5919">
        <w:t>o be provided annually until the period covered by such reports</w:t>
      </w:r>
      <w:r w:rsidRPr="00AC5919">
        <w:rPr>
          <w:bCs/>
        </w:rPr>
        <w:t xml:space="preserve"> </w:t>
      </w:r>
      <w:r w:rsidRPr="00AC5919">
        <w:t>is not</w:t>
      </w:r>
      <w:r w:rsidRPr="00AC5919">
        <w:rPr>
          <w:bCs/>
        </w:rPr>
        <w:t xml:space="preserve"> </w:t>
      </w:r>
      <w:r w:rsidRPr="00AC5919">
        <w:t>less than three years from the date of this approval letter No fewer than three</w:t>
      </w:r>
      <w:r w:rsidRPr="00AC5919">
        <w:rPr>
          <w:bCs/>
        </w:rPr>
        <w:t xml:space="preserve"> </w:t>
      </w:r>
      <w:r w:rsidRPr="00AC5919">
        <w:t>annual reports are required.</w:t>
      </w:r>
    </w:p>
    <w:p w:rsidR="008E7846" w:rsidRDefault="008E7846" w:rsidP="009C6FB9">
      <w:pPr>
        <w:pStyle w:val="Heading2"/>
      </w:pPr>
      <w:bookmarkStart w:id="206" w:name="_Toc400115440"/>
      <w:proofErr w:type="gramStart"/>
      <w:r>
        <w:t>Attachment 1.</w:t>
      </w:r>
      <w:proofErr w:type="gramEnd"/>
      <w:r w:rsidR="009C6FB9">
        <w:t xml:space="preserve"> </w:t>
      </w:r>
      <w:r>
        <w:t xml:space="preserve">Product </w:t>
      </w:r>
      <w:r w:rsidR="00AA0ED0">
        <w:t>I</w:t>
      </w:r>
      <w:r>
        <w:t>nformation</w:t>
      </w:r>
      <w:bookmarkEnd w:id="204"/>
      <w:bookmarkEnd w:id="205"/>
      <w:bookmarkEnd w:id="206"/>
    </w:p>
    <w:p w:rsidR="00C80137" w:rsidRDefault="002B3624" w:rsidP="009C6FB9">
      <w:pPr>
        <w:rPr>
          <w:color w:val="000000"/>
          <w:lang w:eastAsia="en-AU"/>
        </w:rPr>
      </w:pPr>
      <w:r w:rsidRPr="002B3624">
        <w:t xml:space="preserve">The Product Information approved for main </w:t>
      </w:r>
      <w:r w:rsidR="007E69FD">
        <w:t>Bretaris Genuair</w:t>
      </w:r>
      <w:r w:rsidRPr="002B3624">
        <w:t xml:space="preserve"> at the time this AusPAR was published is at Attachment 1. For the most recent </w:t>
      </w:r>
      <w:r w:rsidR="00C500ED">
        <w:t>PI</w:t>
      </w:r>
      <w:r w:rsidRPr="002B3624">
        <w:t xml:space="preserve"> please refer to the TGA website at &lt;</w:t>
      </w:r>
      <w:hyperlink r:id="rId33" w:history="1">
        <w:r w:rsidRPr="000734D8">
          <w:rPr>
            <w:rStyle w:val="Hyperlink"/>
          </w:rPr>
          <w:t>http://www.tga.gov.au/hp/information-medicines-pi.htm</w:t>
        </w:r>
      </w:hyperlink>
      <w:r w:rsidR="009C6FB9">
        <w:t>&gt;.</w:t>
      </w:r>
    </w:p>
    <w:p w:rsidR="001C32CD" w:rsidRPr="009C6FB9" w:rsidRDefault="00C80137" w:rsidP="009C6FB9">
      <w:pPr>
        <w:pStyle w:val="Heading2"/>
      </w:pPr>
      <w:bookmarkStart w:id="207" w:name="_Toc400115441"/>
      <w:proofErr w:type="gramStart"/>
      <w:r>
        <w:rPr>
          <w:lang w:eastAsia="en-AU"/>
        </w:rPr>
        <w:t>Attachment 2.</w:t>
      </w:r>
      <w:proofErr w:type="gramEnd"/>
      <w:r>
        <w:rPr>
          <w:lang w:eastAsia="en-AU"/>
        </w:rPr>
        <w:t xml:space="preserve"> Extract from the Clinical Evaluation Report</w:t>
      </w:r>
      <w:bookmarkEnd w:id="207"/>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B0C14">
        <w:trPr>
          <w:trHeight w:hRule="exact" w:val="704"/>
        </w:trPr>
        <w:tc>
          <w:tcPr>
            <w:tcW w:w="9175" w:type="dxa"/>
          </w:tcPr>
          <w:p w:rsidR="001C32CD" w:rsidRPr="00487162" w:rsidRDefault="001C32CD" w:rsidP="00AB0C14">
            <w:pPr>
              <w:pStyle w:val="TGASignoff"/>
            </w:pPr>
            <w:r w:rsidRPr="00487162">
              <w:t>Therapeutic Goods Administration</w:t>
            </w:r>
          </w:p>
        </w:tc>
      </w:tr>
      <w:tr w:rsidR="001C32CD" w:rsidRPr="004C239D" w:rsidTr="00AB0C14">
        <w:trPr>
          <w:trHeight w:val="1221"/>
        </w:trPr>
        <w:tc>
          <w:tcPr>
            <w:tcW w:w="9175" w:type="dxa"/>
            <w:tcMar>
              <w:top w:w="28" w:type="dxa"/>
            </w:tcMar>
          </w:tcPr>
          <w:p w:rsidR="001C32CD" w:rsidRPr="00487162" w:rsidRDefault="001C32CD" w:rsidP="00AB0C14">
            <w:pPr>
              <w:pStyle w:val="Address"/>
            </w:pPr>
            <w:r w:rsidRPr="00487162">
              <w:t>PO Box 100 Woden ACT 2606 Australia</w:t>
            </w:r>
          </w:p>
          <w:p w:rsidR="001C32CD" w:rsidRPr="00487162" w:rsidRDefault="001C32CD" w:rsidP="00AB0C14">
            <w:pPr>
              <w:pStyle w:val="Address"/>
            </w:pPr>
            <w:r w:rsidRPr="00487162">
              <w:t xml:space="preserve">Email: </w:t>
            </w:r>
            <w:hyperlink r:id="rId38" w:history="1">
              <w:r w:rsidRPr="004C239D">
                <w:rPr>
                  <w:rStyle w:val="Hyperlink"/>
                </w:rPr>
                <w:t>info@tga.gov.au</w:t>
              </w:r>
            </w:hyperlink>
            <w:r w:rsidR="00AF3D89">
              <w:t xml:space="preserve"> </w:t>
            </w:r>
            <w:r w:rsidRPr="00487162">
              <w:t>Phone: 1800 020 653</w:t>
            </w:r>
            <w:r w:rsidR="00AF3D89">
              <w:t xml:space="preserve"> </w:t>
            </w:r>
            <w:r w:rsidRPr="00487162">
              <w:t>Fax: 02 6232 8605</w:t>
            </w:r>
          </w:p>
          <w:p w:rsidR="001C32CD" w:rsidRPr="004C239D" w:rsidRDefault="00EE054E" w:rsidP="00AB0C14">
            <w:pPr>
              <w:pStyle w:val="Address"/>
              <w:spacing w:line="260" w:lineRule="atLeast"/>
              <w:rPr>
                <w:b/>
                <w:color w:val="0000FF"/>
                <w:u w:val="single"/>
              </w:rPr>
            </w:pPr>
            <w:hyperlink r:id="rId39" w:history="1">
              <w:r w:rsidR="001C32CD" w:rsidRPr="00607888">
                <w:rPr>
                  <w:rStyle w:val="Hyperlink"/>
                  <w:b/>
                </w:rPr>
                <w:t>http://www.tga.gov.au</w:t>
              </w:r>
            </w:hyperlink>
          </w:p>
        </w:tc>
      </w:tr>
    </w:tbl>
    <w:p w:rsidR="00774E1D" w:rsidRPr="008A5E0B" w:rsidRDefault="00774E1D" w:rsidP="007E69F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54E" w:rsidRDefault="00EE054E" w:rsidP="00C40A36">
      <w:pPr>
        <w:spacing w:after="0"/>
      </w:pPr>
      <w:r>
        <w:separator/>
      </w:r>
    </w:p>
  </w:endnote>
  <w:endnote w:type="continuationSeparator" w:id="0">
    <w:p w:rsidR="00EE054E" w:rsidRDefault="00EE054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PS-BoldMT">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00"/>
    <w:family w:val="roman"/>
    <w:notTrueType/>
    <w:pitch w:val="default"/>
    <w:sig w:usb0="0000008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E054E" w:rsidRPr="00487162" w:rsidTr="00DB750B">
      <w:trPr>
        <w:trHeight w:val="269"/>
      </w:trPr>
      <w:tc>
        <w:tcPr>
          <w:tcW w:w="7371" w:type="dxa"/>
          <w:tcMar>
            <w:top w:w="142" w:type="dxa"/>
            <w:bottom w:w="0" w:type="dxa"/>
          </w:tcMar>
        </w:tcPr>
        <w:p w:rsidR="00EE054E" w:rsidRPr="00487162" w:rsidRDefault="00EE054E" w:rsidP="00AD354B">
          <w:pPr>
            <w:pStyle w:val="Footer"/>
          </w:pPr>
          <w:r w:rsidRPr="00487162">
            <w:t xml:space="preserve">AusPAR </w:t>
          </w:r>
          <w:r>
            <w:t>Bretaris Genuair Aclidinium bromide A Menarini Australia Pty Ltd</w:t>
          </w:r>
          <w:r w:rsidRPr="00487162">
            <w:t xml:space="preserve"> PM-20</w:t>
          </w:r>
          <w:r>
            <w:t>12</w:t>
          </w:r>
          <w:r w:rsidRPr="00487162">
            <w:t>-</w:t>
          </w:r>
          <w:r>
            <w:t>04170-1-5</w:t>
          </w:r>
          <w:r>
            <w:br/>
            <w:t>Final 8 September 2014</w:t>
          </w:r>
        </w:p>
      </w:tc>
      <w:tc>
        <w:tcPr>
          <w:tcW w:w="1490" w:type="dxa"/>
          <w:tcMar>
            <w:top w:w="142" w:type="dxa"/>
            <w:bottom w:w="0" w:type="dxa"/>
          </w:tcMar>
        </w:tcPr>
        <w:p w:rsidR="00EE054E" w:rsidRPr="00487162" w:rsidRDefault="00EE054E" w:rsidP="00DB750B">
          <w:pPr>
            <w:pStyle w:val="Footer"/>
            <w:jc w:val="right"/>
          </w:pPr>
          <w:r w:rsidRPr="00487162">
            <w:t xml:space="preserve">Page </w:t>
          </w:r>
          <w:r>
            <w:fldChar w:fldCharType="begin"/>
          </w:r>
          <w:r>
            <w:instrText xml:space="preserve"> PAGE  \* Arabic </w:instrText>
          </w:r>
          <w:r>
            <w:fldChar w:fldCharType="separate"/>
          </w:r>
          <w:r w:rsidR="00AB627D">
            <w:rPr>
              <w:noProof/>
            </w:rPr>
            <w:t>2</w:t>
          </w:r>
          <w:r>
            <w:fldChar w:fldCharType="end"/>
          </w:r>
          <w:r w:rsidRPr="00487162">
            <w:t xml:space="preserve"> of </w:t>
          </w:r>
          <w:r>
            <w:fldChar w:fldCharType="begin"/>
          </w:r>
          <w:r>
            <w:instrText xml:space="preserve"> NUMPAGES  \* Arabic </w:instrText>
          </w:r>
          <w:r>
            <w:fldChar w:fldCharType="separate"/>
          </w:r>
          <w:r w:rsidR="00AB627D">
            <w:rPr>
              <w:noProof/>
            </w:rPr>
            <w:t>86</w:t>
          </w:r>
          <w:r>
            <w:rPr>
              <w:noProof/>
            </w:rPr>
            <w:fldChar w:fldCharType="end"/>
          </w:r>
        </w:p>
      </w:tc>
    </w:tr>
  </w:tbl>
  <w:p w:rsidR="00EE054E" w:rsidRDefault="00EE054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E054E" w:rsidRPr="00487162" w:rsidTr="00E45619">
      <w:trPr>
        <w:trHeight w:val="269"/>
      </w:trPr>
      <w:tc>
        <w:tcPr>
          <w:tcW w:w="4519" w:type="dxa"/>
          <w:tcBorders>
            <w:top w:val="single" w:sz="4" w:space="0" w:color="auto"/>
          </w:tcBorders>
          <w:tcMar>
            <w:top w:w="142" w:type="dxa"/>
            <w:bottom w:w="0" w:type="dxa"/>
          </w:tcMar>
        </w:tcPr>
        <w:p w:rsidR="00EE054E" w:rsidRPr="00487162" w:rsidRDefault="00EE054E" w:rsidP="00FE1DEE">
          <w:pPr>
            <w:pStyle w:val="Footer"/>
          </w:pPr>
          <w:r w:rsidRPr="00487162">
            <w:t>Document title, Part #, Section # - Section title</w:t>
          </w:r>
        </w:p>
        <w:p w:rsidR="00EE054E" w:rsidRPr="00487162" w:rsidRDefault="00EE054E" w:rsidP="00FE1DEE">
          <w:pPr>
            <w:pStyle w:val="Footer"/>
          </w:pPr>
          <w:r w:rsidRPr="00487162">
            <w:t>V1.0 October 2010</w:t>
          </w:r>
        </w:p>
      </w:tc>
      <w:tc>
        <w:tcPr>
          <w:tcW w:w="4342" w:type="dxa"/>
          <w:tcBorders>
            <w:top w:val="single" w:sz="4" w:space="0" w:color="auto"/>
          </w:tcBorders>
          <w:tcMar>
            <w:top w:w="142" w:type="dxa"/>
            <w:bottom w:w="0" w:type="dxa"/>
          </w:tcMar>
        </w:tcPr>
        <w:p w:rsidR="00EE054E" w:rsidRPr="00487162" w:rsidRDefault="00EE054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EE054E" w:rsidRDefault="00EE05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54E" w:rsidRPr="001C32CD" w:rsidRDefault="00EE054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E054E" w:rsidTr="0010601F">
      <w:trPr>
        <w:trHeight w:val="108"/>
      </w:trPr>
      <w:tc>
        <w:tcPr>
          <w:tcW w:w="8875" w:type="dxa"/>
          <w:gridSpan w:val="2"/>
          <w:tcBorders>
            <w:bottom w:val="single" w:sz="4" w:space="0" w:color="auto"/>
          </w:tcBorders>
          <w:tcMar>
            <w:right w:w="284" w:type="dxa"/>
          </w:tcMar>
        </w:tcPr>
        <w:p w:rsidR="00EE054E" w:rsidRDefault="00EE054E" w:rsidP="006E08B3">
          <w:pPr>
            <w:pStyle w:val="Heading3"/>
          </w:pPr>
          <w:r>
            <w:t>Copyright</w:t>
          </w:r>
        </w:p>
        <w:p w:rsidR="00EE054E" w:rsidRDefault="00EE054E" w:rsidP="006E08B3">
          <w:r>
            <w:rPr>
              <w:rFonts w:cs="Arial"/>
            </w:rPr>
            <w:t>©</w:t>
          </w:r>
          <w:r>
            <w:t xml:space="preserve"> Commonwealth of Australia [add year]</w:t>
          </w:r>
        </w:p>
        <w:p w:rsidR="00EE054E" w:rsidRDefault="00EE054E" w:rsidP="006E08B3"/>
        <w:p w:rsidR="00EE054E" w:rsidRDefault="00EE054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E054E" w:rsidRDefault="00EE054E" w:rsidP="006E08B3"/>
        <w:p w:rsidR="00EE054E" w:rsidRDefault="00EE054E" w:rsidP="006E08B3">
          <w:pPr>
            <w:pStyle w:val="Heading3"/>
          </w:pPr>
          <w:r>
            <w:t>Confidentiality</w:t>
          </w:r>
        </w:p>
        <w:p w:rsidR="00EE054E" w:rsidRDefault="00EE054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E054E" w:rsidRDefault="00EE054E" w:rsidP="006E08B3"/>
        <w:p w:rsidR="00EE054E" w:rsidRDefault="00EE054E" w:rsidP="006E08B3">
          <w:r>
            <w:t>For submission made by individuals, all personal details, other than your name, will be removed from your submission before it is published on the TGA’s Internet site.</w:t>
          </w:r>
        </w:p>
        <w:p w:rsidR="00EE054E" w:rsidRDefault="00EE054E" w:rsidP="006E08B3"/>
        <w:p w:rsidR="00EE054E" w:rsidRDefault="00EE054E" w:rsidP="006E08B3">
          <w:r>
            <w:t>In addition, a list of parties making submissions will be published. If you do not wish to be identified with your submission you must specifically request this in the space provided ib the submission coversheet.</w:t>
          </w:r>
        </w:p>
      </w:tc>
    </w:tr>
    <w:tr w:rsidR="00EE054E" w:rsidTr="0010601F">
      <w:trPr>
        <w:trHeight w:val="417"/>
      </w:trPr>
      <w:tc>
        <w:tcPr>
          <w:tcW w:w="4519" w:type="dxa"/>
          <w:tcBorders>
            <w:top w:val="single" w:sz="4" w:space="0" w:color="auto"/>
          </w:tcBorders>
          <w:tcMar>
            <w:top w:w="142" w:type="dxa"/>
            <w:bottom w:w="0" w:type="dxa"/>
          </w:tcMar>
        </w:tcPr>
        <w:p w:rsidR="00EE054E" w:rsidRDefault="00EE054E" w:rsidP="006E08B3">
          <w:r>
            <w:t>Document title, Part #, Section # - Section title</w:t>
          </w:r>
        </w:p>
        <w:p w:rsidR="00EE054E" w:rsidRDefault="00EE054E" w:rsidP="006E08B3">
          <w:r>
            <w:t>V1.0 October 2010</w:t>
          </w:r>
        </w:p>
      </w:tc>
      <w:tc>
        <w:tcPr>
          <w:tcW w:w="4356" w:type="dxa"/>
          <w:tcBorders>
            <w:top w:val="single" w:sz="4" w:space="0" w:color="auto"/>
          </w:tcBorders>
          <w:tcMar>
            <w:top w:w="142" w:type="dxa"/>
            <w:bottom w:w="0" w:type="dxa"/>
          </w:tcMar>
        </w:tcPr>
        <w:p w:rsidR="00EE054E" w:rsidRDefault="00EE054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bookmarkStart w:id="208" w:name="_Toc196046425"/>
          <w:bookmarkStart w:id="209" w:name="_Toc247691501"/>
          <w:r>
            <w:t xml:space="preserve"> </w:t>
          </w:r>
        </w:p>
      </w:tc>
    </w:tr>
    <w:bookmarkEnd w:id="208"/>
    <w:bookmarkEnd w:id="209"/>
  </w:tbl>
  <w:p w:rsidR="00EE054E" w:rsidRDefault="00EE05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54E" w:rsidRDefault="00EE054E" w:rsidP="00C40A36">
      <w:pPr>
        <w:spacing w:after="0"/>
      </w:pPr>
      <w:r>
        <w:separator/>
      </w:r>
    </w:p>
  </w:footnote>
  <w:footnote w:type="continuationSeparator" w:id="0">
    <w:p w:rsidR="00EE054E" w:rsidRDefault="00EE054E" w:rsidP="00C40A36">
      <w:pPr>
        <w:spacing w:after="0"/>
      </w:pPr>
      <w:r>
        <w:continuationSeparator/>
      </w:r>
    </w:p>
  </w:footnote>
  <w:footnote w:id="1">
    <w:p w:rsidR="00EE054E" w:rsidRDefault="00EE054E" w:rsidP="00CA63DB">
      <w:pPr>
        <w:pStyle w:val="FootnoteText"/>
      </w:pPr>
      <w:r>
        <w:rPr>
          <w:rStyle w:val="FootnoteReference"/>
        </w:rPr>
        <w:footnoteRef/>
      </w:r>
      <w:r>
        <w:t xml:space="preserve"> </w:t>
      </w:r>
      <w:r w:rsidRPr="00615C4C">
        <w:t xml:space="preserve">Gosens R., Zaagsma J., Meurs H. and Halayko A.J. (2006) Muscarinic receptor signaling in the pathophysiology of asthma and COPD. </w:t>
      </w:r>
      <w:proofErr w:type="gramStart"/>
      <w:r w:rsidRPr="00615C4C">
        <w:t>Respir.</w:t>
      </w:r>
      <w:proofErr w:type="gramEnd"/>
      <w:r w:rsidRPr="00615C4C">
        <w:t xml:space="preserve"> Res. 7: 73</w:t>
      </w:r>
    </w:p>
  </w:footnote>
  <w:footnote w:id="2">
    <w:p w:rsidR="00EE054E" w:rsidRDefault="00EE054E" w:rsidP="00CA63DB">
      <w:pPr>
        <w:pStyle w:val="FootnoteText"/>
      </w:pPr>
      <w:r>
        <w:rPr>
          <w:rStyle w:val="FootnoteReference"/>
        </w:rPr>
        <w:footnoteRef/>
      </w:r>
      <w:r>
        <w:t xml:space="preserve"> </w:t>
      </w:r>
      <w:r w:rsidRPr="00615C4C">
        <w:t xml:space="preserve">Barnes P.J. (1993) </w:t>
      </w:r>
      <w:r w:rsidRPr="00CA63DB">
        <w:t>Muscarinic</w:t>
      </w:r>
      <w:r w:rsidRPr="00615C4C">
        <w:t xml:space="preserve"> receptor subtypes in airways. Life Sci. 52: 521–527</w:t>
      </w:r>
    </w:p>
  </w:footnote>
  <w:footnote w:id="3">
    <w:p w:rsidR="00EE054E" w:rsidRPr="000F5E03" w:rsidRDefault="00EE054E" w:rsidP="00EE054E">
      <w:pPr>
        <w:pStyle w:val="FootnoteText"/>
        <w:rPr>
          <w:color w:val="000000" w:themeColor="text1"/>
        </w:rPr>
      </w:pPr>
      <w:r w:rsidRPr="000F5E03">
        <w:rPr>
          <w:rStyle w:val="FootnoteReference"/>
          <w:sz w:val="20"/>
        </w:rPr>
        <w:footnoteRef/>
      </w:r>
      <w:r w:rsidRPr="000F5E03">
        <w:t xml:space="preserve"> QT interval is a measure of the time between the start of the Q wave and the end of the T wave in the heart's electrical cycle. A prolonged QT interval is a risk factor for ventricular tachyarrhythmias and sudden death. The QT interval is dependent on </w:t>
      </w:r>
      <w:r w:rsidRPr="000F5E03">
        <w:rPr>
          <w:color w:val="000000" w:themeColor="text1"/>
        </w:rPr>
        <w:t xml:space="preserve">the </w:t>
      </w:r>
      <w:hyperlink r:id="rId1" w:tgtFrame="_top" w:history="1">
        <w:r w:rsidRPr="000F5E03">
          <w:rPr>
            <w:rStyle w:val="Hyperlink"/>
            <w:color w:val="000000" w:themeColor="text1"/>
            <w:sz w:val="20"/>
            <w:u w:val="none"/>
          </w:rPr>
          <w:t>heart rate</w:t>
        </w:r>
      </w:hyperlink>
      <w:r w:rsidRPr="000F5E03">
        <w:rPr>
          <w:color w:val="000000" w:themeColor="text1"/>
        </w:rPr>
        <w:t xml:space="preserve"> (the faster the heart rate, the shorter the QT interval). To correct for changes in heart rate and thereby improve the detection of patients at increased risk of ventricular arrhythmia, a heart rate-corrected QT interval </w:t>
      </w:r>
      <w:r w:rsidRPr="000F5E03">
        <w:rPr>
          <w:b/>
          <w:i/>
          <w:iCs/>
          <w:color w:val="000000" w:themeColor="text1"/>
        </w:rPr>
        <w:t>QTc</w:t>
      </w:r>
      <w:r w:rsidRPr="000F5E03">
        <w:rPr>
          <w:b/>
          <w:iCs/>
          <w:color w:val="000000" w:themeColor="text1"/>
        </w:rPr>
        <w:t xml:space="preserve"> </w:t>
      </w:r>
      <w:r w:rsidRPr="000F5E03">
        <w:rPr>
          <w:iCs/>
          <w:color w:val="000000" w:themeColor="text1"/>
        </w:rPr>
        <w:t>is often calculated</w:t>
      </w:r>
      <w:r w:rsidRPr="000F5E03">
        <w:rPr>
          <w:color w:val="000000" w:themeColor="text1"/>
        </w:rPr>
        <w:t>.</w:t>
      </w:r>
    </w:p>
  </w:footnote>
  <w:footnote w:id="4">
    <w:p w:rsidR="00EE054E" w:rsidRPr="00EE054E" w:rsidRDefault="00EE054E" w:rsidP="00EE054E">
      <w:pPr>
        <w:pStyle w:val="FootnoteText"/>
      </w:pPr>
      <w:r>
        <w:rPr>
          <w:rStyle w:val="FootnoteReference"/>
        </w:rPr>
        <w:footnoteRef/>
      </w:r>
      <w:r>
        <w:t xml:space="preserve"> </w:t>
      </w:r>
      <w:r w:rsidRPr="009F217E">
        <w:t>EU 3BS1a Single dose toxicity</w:t>
      </w:r>
    </w:p>
  </w:footnote>
  <w:footnote w:id="5">
    <w:p w:rsidR="00EE054E" w:rsidRDefault="00EE054E" w:rsidP="00EE054E">
      <w:pPr>
        <w:pStyle w:val="FootnoteText"/>
      </w:pPr>
      <w:r>
        <w:rPr>
          <w:rStyle w:val="FootnoteReference"/>
        </w:rPr>
        <w:footnoteRef/>
      </w:r>
      <w:r>
        <w:t xml:space="preserve"> Wolff R.K. and </w:t>
      </w:r>
      <w:proofErr w:type="spellStart"/>
      <w:r>
        <w:t>Dorato</w:t>
      </w:r>
      <w:proofErr w:type="spellEnd"/>
      <w:r>
        <w:t xml:space="preserve"> M.A. (</w:t>
      </w:r>
      <w:r w:rsidRPr="00EE054E">
        <w:t>1993</w:t>
      </w:r>
      <w:r>
        <w:t xml:space="preserve">) </w:t>
      </w:r>
      <w:proofErr w:type="spellStart"/>
      <w:r>
        <w:t>Toxicologic</w:t>
      </w:r>
      <w:proofErr w:type="spellEnd"/>
      <w:r>
        <w:t xml:space="preserve"> testing of inhaled pharmaceutical aerosols.</w:t>
      </w:r>
    </w:p>
    <w:p w:rsidR="00EE054E" w:rsidRPr="00EE054E" w:rsidRDefault="00EE054E" w:rsidP="00EE054E">
      <w:pPr>
        <w:pStyle w:val="FootnoteText"/>
      </w:pPr>
      <w:r>
        <w:t>Crit. Rev. Toxicol. 23: 343–369</w:t>
      </w:r>
    </w:p>
  </w:footnote>
  <w:footnote w:id="6">
    <w:p w:rsidR="00EE054E" w:rsidRDefault="00EE054E" w:rsidP="00996974">
      <w:pPr>
        <w:pStyle w:val="FootnoteText"/>
      </w:pPr>
      <w:r>
        <w:rPr>
          <w:rStyle w:val="FootnoteReference"/>
        </w:rPr>
        <w:footnoteRef/>
      </w:r>
      <w:r>
        <w:t xml:space="preserve"> </w:t>
      </w:r>
      <w:proofErr w:type="spellStart"/>
      <w:r>
        <w:t>Osimitz</w:t>
      </w:r>
      <w:proofErr w:type="spellEnd"/>
      <w:r>
        <w:t xml:space="preserve"> T.G., </w:t>
      </w:r>
      <w:proofErr w:type="spellStart"/>
      <w:r>
        <w:t>Droege</w:t>
      </w:r>
      <w:proofErr w:type="spellEnd"/>
      <w:r>
        <w:t xml:space="preserve"> W. and Finch J.M. (</w:t>
      </w:r>
      <w:r w:rsidRPr="00996974">
        <w:t>2007</w:t>
      </w:r>
      <w:r>
        <w:t xml:space="preserve">) </w:t>
      </w:r>
      <w:proofErr w:type="spellStart"/>
      <w:r>
        <w:t>Toxicologic</w:t>
      </w:r>
      <w:proofErr w:type="spellEnd"/>
      <w:r>
        <w:t xml:space="preserve"> significance of histologic change in the larynx of the rat following inhalation exposure: a critical review. </w:t>
      </w:r>
      <w:proofErr w:type="gramStart"/>
      <w:r>
        <w:t>Toxicol.</w:t>
      </w:r>
      <w:proofErr w:type="gramEnd"/>
      <w:r>
        <w:t xml:space="preserve"> Appl. Pharmacol. 225:</w:t>
      </w:r>
    </w:p>
    <w:p w:rsidR="00EE054E" w:rsidRDefault="00EE054E" w:rsidP="00615C4C">
      <w:pPr>
        <w:pStyle w:val="FootnoteText"/>
      </w:pPr>
      <w:r>
        <w:t>229–237</w:t>
      </w:r>
    </w:p>
  </w:footnote>
  <w:footnote w:id="7">
    <w:p w:rsidR="00EE054E" w:rsidRPr="00C62519" w:rsidRDefault="00EE054E" w:rsidP="00EF7E13">
      <w:pPr>
        <w:pStyle w:val="FootnoteText"/>
      </w:pPr>
      <w:r w:rsidRPr="00C62519">
        <w:rPr>
          <w:rStyle w:val="FootnoteReference"/>
          <w:szCs w:val="18"/>
        </w:rPr>
        <w:footnoteRef/>
      </w:r>
      <w:r w:rsidRPr="00C62519">
        <w:t xml:space="preserve"> Postma DS, Keyzer JJ, Koeter GH, et al. Influence of the parasympathetic and sympathetic nervous system on nocturnal bronchial obstruction. </w:t>
      </w:r>
      <w:proofErr w:type="gramStart"/>
      <w:r w:rsidRPr="00C62519">
        <w:t>Clin Sci 1985; 69: 251-8.</w:t>
      </w:r>
      <w:proofErr w:type="gramEnd"/>
    </w:p>
  </w:footnote>
  <w:footnote w:id="8">
    <w:p w:rsidR="00EE054E" w:rsidRPr="00C62519" w:rsidRDefault="00EE054E" w:rsidP="00EF7E13">
      <w:pPr>
        <w:pStyle w:val="FootnoteText"/>
      </w:pPr>
      <w:r w:rsidRPr="00C62519">
        <w:rPr>
          <w:rStyle w:val="FootnoteReference"/>
          <w:szCs w:val="18"/>
        </w:rPr>
        <w:footnoteRef/>
      </w:r>
      <w:r w:rsidRPr="00C62519">
        <w:t xml:space="preserve"> Coulson FR, Fryer AD. </w:t>
      </w:r>
      <w:proofErr w:type="gramStart"/>
      <w:r w:rsidRPr="00C62519">
        <w:t>Muscarinic acetylcholine receptors and airway diseases.</w:t>
      </w:r>
      <w:proofErr w:type="gramEnd"/>
      <w:r w:rsidRPr="00C62519">
        <w:t xml:space="preserve"> Pharmacol Ther 2003; 98:59-69.</w:t>
      </w:r>
    </w:p>
  </w:footnote>
  <w:footnote w:id="9">
    <w:p w:rsidR="00EE054E" w:rsidRPr="00C62519" w:rsidRDefault="00EE054E" w:rsidP="00EF7E13">
      <w:pPr>
        <w:pStyle w:val="FootnoteText"/>
      </w:pPr>
      <w:r w:rsidRPr="00C62519">
        <w:rPr>
          <w:rStyle w:val="FootnoteReference"/>
          <w:szCs w:val="18"/>
        </w:rPr>
        <w:footnoteRef/>
      </w:r>
      <w:r w:rsidRPr="00C62519">
        <w:t xml:space="preserve"> </w:t>
      </w:r>
      <w:proofErr w:type="gramStart"/>
      <w:r w:rsidRPr="00C62519">
        <w:t xml:space="preserve">Ferguson GT, Cherniack RM. </w:t>
      </w:r>
      <w:r w:rsidRPr="00EF7E13">
        <w:t>Management</w:t>
      </w:r>
      <w:r w:rsidRPr="00C62519">
        <w:t xml:space="preserve"> of chronic obstructive pulmonary disease.</w:t>
      </w:r>
      <w:proofErr w:type="gramEnd"/>
      <w:r w:rsidRPr="00C62519">
        <w:t xml:space="preserve"> N Engl J Med 1993; 32:1017-22.</w:t>
      </w:r>
    </w:p>
  </w:footnote>
  <w:footnote w:id="10">
    <w:p w:rsidR="00EE054E" w:rsidRPr="00A87AAD" w:rsidRDefault="00EE054E" w:rsidP="00EF7E13">
      <w:pPr>
        <w:pStyle w:val="FootnoteText"/>
        <w:rPr>
          <w:lang w:val="fr-FR"/>
        </w:rPr>
      </w:pPr>
      <w:r>
        <w:rPr>
          <w:rStyle w:val="FootnoteReference"/>
        </w:rPr>
        <w:footnoteRef/>
      </w:r>
      <w:r>
        <w:t xml:space="preserve"> </w:t>
      </w:r>
      <w:r w:rsidRPr="00872F62">
        <w:t xml:space="preserve">Kesten S, Celli B, Decramer M, et al. </w:t>
      </w:r>
      <w:proofErr w:type="spellStart"/>
      <w:r w:rsidRPr="00EF7E13">
        <w:t>Tiotropium</w:t>
      </w:r>
      <w:proofErr w:type="spellEnd"/>
      <w:r w:rsidRPr="00872F62">
        <w:t xml:space="preserve"> </w:t>
      </w:r>
      <w:proofErr w:type="spellStart"/>
      <w:r w:rsidRPr="00872F62">
        <w:t>Handihaler</w:t>
      </w:r>
      <w:proofErr w:type="spellEnd"/>
      <w:r w:rsidRPr="00872F62">
        <w:t xml:space="preserve"> in the treatment of COPD: a safety review. </w:t>
      </w:r>
      <w:r w:rsidRPr="00A87AAD">
        <w:rPr>
          <w:lang w:val="fr-FR"/>
        </w:rPr>
        <w:t>Int J Chron Obstruct Pulmon Dis 2009; 4:397-409.</w:t>
      </w:r>
    </w:p>
  </w:footnote>
  <w:footnote w:id="11">
    <w:p w:rsidR="00EE054E" w:rsidRDefault="00EE054E" w:rsidP="00EF7E13">
      <w:pPr>
        <w:pStyle w:val="FootnoteText"/>
      </w:pPr>
      <w:r>
        <w:rPr>
          <w:rStyle w:val="FootnoteReference"/>
        </w:rPr>
        <w:footnoteRef/>
      </w:r>
      <w:r w:rsidRPr="00A87AAD">
        <w:rPr>
          <w:lang w:val="fr-FR"/>
        </w:rPr>
        <w:t xml:space="preserve"> </w:t>
      </w:r>
      <w:proofErr w:type="spellStart"/>
      <w:r w:rsidRPr="00A87AAD">
        <w:rPr>
          <w:lang w:val="fr-FR"/>
        </w:rPr>
        <w:t>Gavalda</w:t>
      </w:r>
      <w:proofErr w:type="spellEnd"/>
      <w:r w:rsidRPr="00A87AAD">
        <w:rPr>
          <w:lang w:val="fr-FR"/>
        </w:rPr>
        <w:t xml:space="preserve"> A, </w:t>
      </w:r>
      <w:proofErr w:type="spellStart"/>
      <w:r w:rsidRPr="00A87AAD">
        <w:rPr>
          <w:lang w:val="fr-FR"/>
        </w:rPr>
        <w:t>Miralpeix</w:t>
      </w:r>
      <w:proofErr w:type="spellEnd"/>
      <w:r w:rsidRPr="00A87AAD">
        <w:rPr>
          <w:lang w:val="fr-FR"/>
        </w:rPr>
        <w:t xml:space="preserve"> M, Ramos I, et </w:t>
      </w:r>
      <w:r w:rsidRPr="00EF7E13">
        <w:t>al</w:t>
      </w:r>
      <w:r w:rsidRPr="00A87AAD">
        <w:rPr>
          <w:lang w:val="fr-FR"/>
        </w:rPr>
        <w:t xml:space="preserve">. </w:t>
      </w:r>
      <w:r w:rsidRPr="00872F62">
        <w:t xml:space="preserve">Characterization of aclidinium bromide, a novel inhaled muscarinic antagonist, with long duration of action and a favourable pharmacological profile [published online ahead of print August 26, 2009]. </w:t>
      </w:r>
      <w:proofErr w:type="gramStart"/>
      <w:r w:rsidRPr="00872F62">
        <w:t>J Pharmacol Exp Ther.</w:t>
      </w:r>
      <w:proofErr w:type="gramEnd"/>
      <w:r w:rsidRPr="00872F62">
        <w:t xml:space="preserve"> oi:10.1124/jpet.109.151639.</w:t>
      </w:r>
    </w:p>
  </w:footnote>
  <w:footnote w:id="12">
    <w:p w:rsidR="00EE054E" w:rsidRDefault="00EE054E" w:rsidP="00EF7E13">
      <w:pPr>
        <w:pStyle w:val="FootnoteText"/>
      </w:pPr>
      <w:r>
        <w:rPr>
          <w:rStyle w:val="FootnoteReference"/>
        </w:rPr>
        <w:footnoteRef/>
      </w:r>
      <w:r>
        <w:t xml:space="preserve"> </w:t>
      </w:r>
      <w:r w:rsidRPr="00872F62">
        <w:t xml:space="preserve">Albertí J, Martinet A, </w:t>
      </w:r>
      <w:proofErr w:type="spellStart"/>
      <w:r w:rsidRPr="00872F62">
        <w:t>Sentellas</w:t>
      </w:r>
      <w:proofErr w:type="spellEnd"/>
      <w:r w:rsidRPr="00872F62">
        <w:t xml:space="preserve"> S, et </w:t>
      </w:r>
      <w:r w:rsidRPr="00EF7E13">
        <w:t>al</w:t>
      </w:r>
      <w:r w:rsidRPr="00872F62">
        <w:t xml:space="preserve">. Identification of the human enzymes responsible for the enzymatic hydrolysis of aclidinium bromide. </w:t>
      </w:r>
      <w:proofErr w:type="gramStart"/>
      <w:r w:rsidRPr="00872F62">
        <w:t>Drug Metab Dispos.</w:t>
      </w:r>
      <w:proofErr w:type="gramEnd"/>
      <w:r w:rsidRPr="00872F62">
        <w:t xml:space="preserve"> 2010 Jul</w:t>
      </w:r>
      <w:proofErr w:type="gramStart"/>
      <w:r w:rsidRPr="00872F62">
        <w:t>;38</w:t>
      </w:r>
      <w:proofErr w:type="gramEnd"/>
      <w:r w:rsidRPr="00872F62">
        <w:t>(7):1202-10.</w:t>
      </w:r>
    </w:p>
  </w:footnote>
  <w:footnote w:id="13">
    <w:p w:rsidR="00EE054E" w:rsidRPr="00872F62" w:rsidRDefault="00EE054E" w:rsidP="00130B62">
      <w:pPr>
        <w:pStyle w:val="FootnoteText"/>
      </w:pPr>
      <w:r w:rsidRPr="00872F62">
        <w:rPr>
          <w:rStyle w:val="FootnoteReference"/>
          <w:sz w:val="20"/>
        </w:rPr>
        <w:footnoteRef/>
      </w:r>
      <w:r w:rsidRPr="00872F62">
        <w:t xml:space="preserve"> Inhaled aclidinium bromide inhibited acetylcholine-induced </w:t>
      </w:r>
      <w:r w:rsidRPr="00130B62">
        <w:t>bronchoconstriction</w:t>
      </w:r>
      <w:r w:rsidRPr="00872F62">
        <w:t xml:space="preserve"> in anesthetised guineapigs, with a duration of action (expressed as the half-life for the bronchodilatory effect) of 29 hours; substantially longer than that of ipratropium (8 hours) but shorter than that of tiotropium (64 hours)</w:t>
      </w:r>
      <w:r w:rsidRPr="00872F62">
        <w:rPr>
          <w:rFonts w:cs="TimesNewRomanPS-BoldMT"/>
          <w:b/>
          <w:bCs/>
          <w:color w:val="0000FF"/>
        </w:rPr>
        <w:t>.</w:t>
      </w:r>
    </w:p>
  </w:footnote>
  <w:footnote w:id="14">
    <w:p w:rsidR="00EE054E" w:rsidRDefault="00EE054E" w:rsidP="00130B62">
      <w:pPr>
        <w:pStyle w:val="FootnoteText"/>
      </w:pPr>
      <w:r>
        <w:rPr>
          <w:rStyle w:val="FootnoteReference"/>
        </w:rPr>
        <w:footnoteRef/>
      </w:r>
      <w:r w:rsidRPr="00A87AAD">
        <w:rPr>
          <w:lang w:val="fr-FR"/>
        </w:rPr>
        <w:t xml:space="preserve"> Montero JL, Anton F, Viñals M, et al. </w:t>
      </w:r>
      <w:proofErr w:type="gramStart"/>
      <w:r w:rsidRPr="00872F62">
        <w:t>Effect of aclidinium bromide, a novel long-acting anticholinergic, on salivation, colonic motility and faecal output in different animal models.</w:t>
      </w:r>
      <w:proofErr w:type="gramEnd"/>
      <w:r w:rsidRPr="00872F62">
        <w:t xml:space="preserve"> Poster ERS Berlin 2008</w:t>
      </w:r>
    </w:p>
  </w:footnote>
  <w:footnote w:id="15">
    <w:p w:rsidR="00EE054E" w:rsidRDefault="00EE054E" w:rsidP="00130B62">
      <w:pPr>
        <w:pStyle w:val="FootnoteText"/>
      </w:pPr>
      <w:r>
        <w:rPr>
          <w:rStyle w:val="FootnoteReference"/>
        </w:rPr>
        <w:footnoteRef/>
      </w:r>
      <w:r>
        <w:t xml:space="preserve"> </w:t>
      </w:r>
      <w:r w:rsidRPr="00872F62">
        <w:t xml:space="preserve">Gras J, Llupia J, Llenas JL, et al. </w:t>
      </w:r>
      <w:proofErr w:type="gramStart"/>
      <w:r w:rsidRPr="00872F62">
        <w:t xml:space="preserve">The preclinical urinary and renal safety </w:t>
      </w:r>
      <w:r w:rsidRPr="00130B62">
        <w:t>profile</w:t>
      </w:r>
      <w:r w:rsidRPr="00872F62">
        <w:t xml:space="preserve"> of </w:t>
      </w:r>
      <w:proofErr w:type="spellStart"/>
      <w:r w:rsidRPr="00872F62">
        <w:t>aclidinium</w:t>
      </w:r>
      <w:proofErr w:type="spellEnd"/>
      <w:r w:rsidRPr="00872F62">
        <w:t xml:space="preserve"> bromide, a novel long-acting anticholinergic drug.</w:t>
      </w:r>
      <w:proofErr w:type="gramEnd"/>
      <w:r w:rsidRPr="00872F62">
        <w:t xml:space="preserve"> </w:t>
      </w:r>
      <w:proofErr w:type="gramStart"/>
      <w:r w:rsidRPr="00872F62">
        <w:t>Poster ERS Berlin 2008.</w:t>
      </w:r>
      <w:proofErr w:type="gramEnd"/>
    </w:p>
  </w:footnote>
  <w:footnote w:id="16">
    <w:p w:rsidR="00EE054E" w:rsidRPr="00895108" w:rsidRDefault="00EE054E" w:rsidP="006721C0">
      <w:pPr>
        <w:pStyle w:val="FootnoteText"/>
      </w:pPr>
      <w:r w:rsidRPr="00895108">
        <w:rPr>
          <w:rStyle w:val="FootnoteReference"/>
          <w:rFonts w:asciiTheme="minorHAnsi" w:hAnsiTheme="minorHAnsi"/>
          <w:sz w:val="20"/>
        </w:rPr>
        <w:footnoteRef/>
      </w:r>
      <w:r w:rsidRPr="00895108">
        <w:t xml:space="preserve"> Sponsor comment: </w:t>
      </w:r>
      <w:r>
        <w:t>“</w:t>
      </w:r>
      <w:r w:rsidRPr="00895108">
        <w:rPr>
          <w:lang w:val="en-US"/>
        </w:rPr>
        <w:t>This study was not conducted with the marketed Novolizer device but with an already modified device</w:t>
      </w:r>
      <w:r>
        <w:rPr>
          <w:lang w:val="en-US"/>
        </w:rPr>
        <w:t>;</w:t>
      </w:r>
      <w:r w:rsidRPr="00895108">
        <w:rPr>
          <w:lang w:val="en-US"/>
        </w:rPr>
        <w:t xml:space="preserve"> an intermediate version between Novolizer and Genuair.</w:t>
      </w:r>
      <w:r>
        <w:rPr>
          <w:lang w:val="en-US"/>
        </w:rPr>
        <w:t>”</w:t>
      </w:r>
    </w:p>
  </w:footnote>
  <w:footnote w:id="17">
    <w:p w:rsidR="00EE054E" w:rsidRPr="005C7D0B" w:rsidRDefault="00EE054E" w:rsidP="006721C0">
      <w:pPr>
        <w:pStyle w:val="FootnoteText"/>
      </w:pPr>
      <w:r w:rsidRPr="005C7D0B">
        <w:rPr>
          <w:rStyle w:val="FootnoteReference"/>
          <w:szCs w:val="18"/>
        </w:rPr>
        <w:footnoteRef/>
      </w:r>
      <w:r w:rsidRPr="005C7D0B">
        <w:t xml:space="preserve"> The E-RS is a patient-reported outcome tool developed to evaluate the severity of COPD symptoms (domains of breathlessness, cough and sputum, chest symptoms). An algorithm was used to calculate the E-RS Total Score from the domain scores. The items comprising the E-RS were selected from an existing measure, the Exacerbations of Chronic Obstructive Pulmonary Disease Tool (EXACT</w:t>
      </w:r>
      <w:proofErr w:type="gramStart"/>
      <w:r w:rsidRPr="005C7D0B">
        <w:t>)</w:t>
      </w:r>
      <w:r w:rsidRPr="005C7D0B">
        <w:rPr>
          <w:rFonts w:cs="TimesNewRomanPS-BoldMT"/>
          <w:b/>
          <w:bCs/>
        </w:rPr>
        <w:t>28,29</w:t>
      </w:r>
      <w:proofErr w:type="gramEnd"/>
      <w:r w:rsidRPr="005C7D0B">
        <w:rPr>
          <w:rFonts w:cs="TimesNewRomanPS-BoldMT"/>
          <w:b/>
          <w:bCs/>
        </w:rPr>
        <w:t xml:space="preserve"> </w:t>
      </w:r>
      <w:r w:rsidRPr="005C7D0B">
        <w:t>that was developed to assess frequency, severity and duration of exacerbations of COPD. The E-RS is designed as a daily diary to be completed nightly before bedtime via an electronic device, for example, a personal digital assistant (PDA).</w:t>
      </w:r>
    </w:p>
  </w:footnote>
  <w:footnote w:id="18">
    <w:p w:rsidR="00EE054E" w:rsidRPr="00AE6E81" w:rsidRDefault="00EE054E" w:rsidP="006721C0">
      <w:pPr>
        <w:pStyle w:val="FootnoteText"/>
      </w:pPr>
      <w:r w:rsidRPr="00AE6E81">
        <w:rPr>
          <w:rStyle w:val="FootnoteReference"/>
          <w:szCs w:val="18"/>
        </w:rPr>
        <w:footnoteRef/>
      </w:r>
      <w:r w:rsidRPr="00AE6E81">
        <w:t xml:space="preserve"> Cazzola M, MacNee W, Martinez FJ, et al. on behalf of the American Thoracic Society/European Respiratory Society Task Force on outcome of COPD. Outcomes for COPD pharmacological trials: from lung function to biomarkers. Eur Respir J 2008;31:416-68</w:t>
      </w:r>
    </w:p>
  </w:footnote>
  <w:footnote w:id="19">
    <w:p w:rsidR="00EE054E" w:rsidRPr="00476CF5" w:rsidRDefault="00EE054E" w:rsidP="000E5DAC">
      <w:pPr>
        <w:pStyle w:val="FootnoteText"/>
        <w:rPr>
          <w:color w:val="000000"/>
        </w:rPr>
      </w:pPr>
      <w:r w:rsidRPr="00476CF5">
        <w:rPr>
          <w:rStyle w:val="FootnoteReference"/>
          <w:rFonts w:asciiTheme="minorHAnsi" w:hAnsiTheme="minorHAnsi"/>
          <w:szCs w:val="18"/>
        </w:rPr>
        <w:footnoteRef/>
      </w:r>
      <w:r>
        <w:t xml:space="preserve">ICH E1: </w:t>
      </w:r>
      <w:r w:rsidRPr="00476CF5">
        <w:t xml:space="preserve">The extent of population exposure to assess clinical safety for drugs intended for long-term treatment of </w:t>
      </w:r>
      <w:r w:rsidRPr="00476CF5">
        <w:rPr>
          <w:color w:val="000000"/>
        </w:rPr>
        <w:t>Non-life-threatening conditions</w:t>
      </w:r>
      <w:r>
        <w:rPr>
          <w:color w:val="000000"/>
        </w:rPr>
        <w:t>.</w:t>
      </w:r>
    </w:p>
  </w:footnote>
  <w:footnote w:id="20">
    <w:p w:rsidR="00EE054E" w:rsidRPr="008431F5" w:rsidRDefault="00EE054E" w:rsidP="000E5DAC">
      <w:pPr>
        <w:pStyle w:val="FootnoteText"/>
      </w:pPr>
      <w:r w:rsidRPr="008431F5">
        <w:rPr>
          <w:rStyle w:val="FootnoteReference"/>
          <w:sz w:val="16"/>
          <w:szCs w:val="16"/>
        </w:rPr>
        <w:footnoteRef/>
      </w:r>
      <w:r w:rsidRPr="008431F5">
        <w:t xml:space="preserve"> According to the FDA document for Guidance for industry: Drug induced liver injury premarketing clinical evaluation, June 2009, a Hy’s law case requires </w:t>
      </w:r>
      <w:r w:rsidRPr="008431F5">
        <w:rPr>
          <w:u w:val="single"/>
        </w:rPr>
        <w:t>ALL</w:t>
      </w:r>
      <w:r w:rsidRPr="008431F5">
        <w:t xml:space="preserve"> of the following conditions to be satisfied: (1) Drug can cause hepatocellular injury generally shown by a higher incidence of ALT or AST elevations of &gt;3xupper limit of normal (ULN) compared to placebo or a non-hepatotoxic control drug. (2)In a trial subject with such a transaminase elevation, the subject also ahd elevation of total serum bilirubin (TBL) to &gt;2xULN without initial findings of cholestatis (elevated serum alkaline phosphatase) AND (3) No other reason can be found to explain the combination of increased transaminase and TBL, such as viral hepatitis A, B or C, pre-existing acute liver disease or another drug capable of causing the observed injury.</w:t>
      </w:r>
    </w:p>
  </w:footnote>
  <w:footnote w:id="21">
    <w:p w:rsidR="000E5DAC" w:rsidRDefault="00EE054E" w:rsidP="000E5DAC">
      <w:pPr>
        <w:pStyle w:val="FootnoteText"/>
        <w:rPr>
          <w:noProof/>
        </w:rPr>
      </w:pPr>
      <w:r>
        <w:rPr>
          <w:rStyle w:val="FootnoteReference"/>
        </w:rPr>
        <w:footnoteRef/>
      </w:r>
      <w:r>
        <w:t xml:space="preserve"> </w:t>
      </w:r>
      <w:r w:rsidRPr="002B5A1A">
        <w:t xml:space="preserve">Heart Failure </w:t>
      </w:r>
      <w:r>
        <w:t>F</w:t>
      </w:r>
      <w:r w:rsidRPr="002B5A1A">
        <w:t xml:space="preserve">unctional </w:t>
      </w:r>
      <w:r>
        <w:t>C</w:t>
      </w:r>
      <w:r w:rsidRPr="002B5A1A">
        <w:t xml:space="preserve">lasses III and IV as per the New York </w:t>
      </w:r>
      <w:r w:rsidRPr="000E5DAC">
        <w:t>Heart</w:t>
      </w:r>
      <w:r w:rsidRPr="002B5A1A">
        <w:t xml:space="preserve"> Association</w:t>
      </w:r>
      <w:r>
        <w:t>:</w:t>
      </w:r>
    </w:p>
    <w:p w:rsidR="00EE054E" w:rsidRPr="007010AE" w:rsidRDefault="00EE054E" w:rsidP="000E5DAC">
      <w:pPr>
        <w:pStyle w:val="FootnoteText"/>
      </w:pPr>
      <w:r w:rsidRPr="000E5DAC">
        <w:drawing>
          <wp:inline distT="0" distB="0" distL="0" distR="0" wp14:anchorId="6A42264A" wp14:editId="06C3E46A">
            <wp:extent cx="3067050" cy="1485144"/>
            <wp:effectExtent l="0" t="0" r="0" b="1270"/>
            <wp:docPr id="19" name="Picture 19" descr="Heart Failure Functional Classes III and IV as per the New York Hea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b="45306"/>
                    <a:stretch/>
                  </pic:blipFill>
                  <pic:spPr bwMode="auto">
                    <a:xfrm>
                      <a:off x="0" y="0"/>
                      <a:ext cx="3090470" cy="1496485"/>
                    </a:xfrm>
                    <a:prstGeom prst="rect">
                      <a:avLst/>
                    </a:prstGeom>
                    <a:ln>
                      <a:noFill/>
                    </a:ln>
                    <a:extLst>
                      <a:ext uri="{53640926-AAD7-44D8-BBD7-CCE9431645EC}">
                        <a14:shadowObscured xmlns:a14="http://schemas.microsoft.com/office/drawing/2010/main"/>
                      </a:ext>
                    </a:extLst>
                  </pic:spPr>
                </pic:pic>
              </a:graphicData>
            </a:graphic>
          </wp:inline>
        </w:drawing>
      </w:r>
    </w:p>
  </w:footnote>
  <w:footnote w:id="22">
    <w:p w:rsidR="00EE054E" w:rsidRPr="00A62B36" w:rsidRDefault="00EE054E" w:rsidP="00EE1AF0">
      <w:pPr>
        <w:pStyle w:val="FootnoteText"/>
      </w:pPr>
      <w:r w:rsidRPr="00A62B36">
        <w:rPr>
          <w:rStyle w:val="FootnoteReference"/>
          <w:rFonts w:asciiTheme="minorHAnsi" w:hAnsiTheme="minorHAnsi"/>
          <w:szCs w:val="18"/>
        </w:rPr>
        <w:footnoteRef/>
      </w:r>
      <w:r w:rsidRPr="00A62B36">
        <w:t xml:space="preserve"> </w:t>
      </w:r>
      <w:proofErr w:type="gramStart"/>
      <w:r w:rsidRPr="00A62B36">
        <w:t>Measures changes in dyspnea severity from the baseline.</w:t>
      </w:r>
      <w:proofErr w:type="gramEnd"/>
      <w:r w:rsidRPr="00A62B36">
        <w:t xml:space="preserve"> Rated by seven grades ranging from -3 (major deterioration) to +3 (major improvement). Total score ranging - 9 to + 9. </w:t>
      </w:r>
      <w:proofErr w:type="gramStart"/>
      <w:r w:rsidRPr="00A62B36">
        <w:t xml:space="preserve">The lower the score, the more deterioration in severity of </w:t>
      </w:r>
      <w:proofErr w:type="spellStart"/>
      <w:r w:rsidRPr="00A62B36">
        <w:t>dyspnea</w:t>
      </w:r>
      <w:proofErr w:type="spellEnd"/>
      <w:r w:rsidRPr="00A62B36">
        <w:t>.</w:t>
      </w:r>
      <w:proofErr w:type="gramEnd"/>
    </w:p>
  </w:footnote>
  <w:footnote w:id="23">
    <w:p w:rsidR="00EE054E" w:rsidRPr="00A62B36" w:rsidRDefault="00EE054E" w:rsidP="00EE1AF0">
      <w:pPr>
        <w:pStyle w:val="FootnoteText"/>
      </w:pPr>
      <w:r w:rsidRPr="00A62B36">
        <w:rPr>
          <w:rStyle w:val="FootnoteReference"/>
          <w:rFonts w:asciiTheme="minorHAnsi" w:hAnsiTheme="minorHAnsi"/>
          <w:szCs w:val="18"/>
        </w:rPr>
        <w:footnoteRef/>
      </w:r>
      <w:r w:rsidRPr="00A62B36">
        <w:t xml:space="preserve"> Disease-specific instrument </w:t>
      </w:r>
      <w:r w:rsidRPr="00EE1AF0">
        <w:t>designed</w:t>
      </w:r>
      <w:r w:rsidRPr="00A62B36">
        <w:t xml:space="preserve"> to measure impact on overall health, daily life, and perceived well-being in patients with obstructive airways disease. Scores range from 0 to 100, with higher scores indicating more limitations.</w:t>
      </w:r>
    </w:p>
  </w:footnote>
  <w:footnote w:id="24">
    <w:p w:rsidR="00EE054E" w:rsidRDefault="00EE054E" w:rsidP="00D43492">
      <w:pPr>
        <w:pStyle w:val="FootnoteText"/>
      </w:pPr>
      <w:r>
        <w:rPr>
          <w:rStyle w:val="FootnoteReference"/>
        </w:rPr>
        <w:footnoteRef/>
      </w:r>
      <w:proofErr w:type="gramStart"/>
      <w:r w:rsidRPr="001570AB">
        <w:t>CHMP/EWP/ 225/02</w:t>
      </w:r>
      <w:r>
        <w:t>.</w:t>
      </w:r>
      <w:proofErr w:type="gramEnd"/>
      <w:r>
        <w:t xml:space="preserve"> Note for Guidance on the evaluation of the pharmacokinetics of medicinal products in patients with impaired renal function.</w:t>
      </w:r>
    </w:p>
  </w:footnote>
  <w:footnote w:id="25">
    <w:p w:rsidR="00EE054E" w:rsidRPr="00AC200D" w:rsidRDefault="00EE054E" w:rsidP="00D43492">
      <w:pPr>
        <w:pStyle w:val="FootnoteText"/>
      </w:pPr>
      <w:r w:rsidRPr="00AC200D">
        <w:rPr>
          <w:rStyle w:val="FootnoteReference"/>
          <w:sz w:val="20"/>
        </w:rPr>
        <w:footnoteRef/>
      </w:r>
      <w:r w:rsidRPr="00AC200D">
        <w:t xml:space="preserve"> QT interval: a measure of the time between the start of the Q wave and the end of the T wave in the heart's electrical cycle. A prolonged QT interval is a risk factor for ventricular tachyarrhythmias and sudden death. The QT interval is dependent on the </w:t>
      </w:r>
      <w:hyperlink r:id="rId3" w:tgtFrame="_top" w:history="1">
        <w:r w:rsidRPr="00AC200D">
          <w:rPr>
            <w:rStyle w:val="Hyperlink"/>
            <w:color w:val="auto"/>
            <w:sz w:val="20"/>
            <w:u w:val="none"/>
          </w:rPr>
          <w:t>heart rate</w:t>
        </w:r>
      </w:hyperlink>
      <w:r w:rsidRPr="00AC200D">
        <w:t xml:space="preserve"> (the faster the heart rate, the shorter the QT interval). To correct for changes in heart rate and thereby improve the detection of patients at increased risk of ventricular arrhythmia, a heart rate-corrected QT interval </w:t>
      </w:r>
      <w:r w:rsidRPr="00AC200D">
        <w:rPr>
          <w:i/>
          <w:iCs/>
        </w:rPr>
        <w:t>QTc</w:t>
      </w:r>
      <w:r w:rsidRPr="00AC200D">
        <w:rPr>
          <w:iCs/>
        </w:rPr>
        <w:t xml:space="preserve"> is often calculated</w:t>
      </w:r>
      <w:r w:rsidRPr="00AC200D">
        <w:t xml:space="preserve">. </w:t>
      </w:r>
    </w:p>
  </w:footnote>
  <w:footnote w:id="26">
    <w:p w:rsidR="00EE054E" w:rsidRDefault="00EE054E" w:rsidP="00D43492">
      <w:pPr>
        <w:pStyle w:val="FootnoteText"/>
      </w:pPr>
      <w:r>
        <w:rPr>
          <w:rStyle w:val="FootnoteReference"/>
        </w:rPr>
        <w:footnoteRef/>
      </w:r>
      <w:r>
        <w:t xml:space="preserve"> </w:t>
      </w:r>
      <w:r w:rsidRPr="00AC200D">
        <w:t>CPMP/EWP/562/98</w:t>
      </w:r>
      <w:r>
        <w:t xml:space="preserve"> Points to consider on </w:t>
      </w:r>
      <w:r w:rsidRPr="00D43492">
        <w:t>clinical</w:t>
      </w:r>
      <w:r>
        <w:t xml:space="preserve"> investigation of medicinal products in the chronic treatment of patients with chronic obstructive pulmonary disease (COPD).</w:t>
      </w:r>
    </w:p>
  </w:footnote>
  <w:footnote w:id="27">
    <w:p w:rsidR="00EE054E" w:rsidRDefault="00EE054E" w:rsidP="00D43492">
      <w:pPr>
        <w:pStyle w:val="FootnoteText"/>
      </w:pPr>
      <w:r>
        <w:rPr>
          <w:rStyle w:val="FootnoteReference"/>
        </w:rPr>
        <w:footnoteRef/>
      </w:r>
      <w:r>
        <w:t xml:space="preserve"> The St George’s Respiratory Questionnaire (SGRQ) is an index designed to measure and quantify health related health status in patients with chronic airflow limitation including symptoms, activities that cause breathlessness and impacts (e.g. influence on employment, side effects of prescribed therapies).</w:t>
      </w:r>
    </w:p>
  </w:footnote>
  <w:footnote w:id="28">
    <w:p w:rsidR="00EE054E" w:rsidRDefault="00EE054E" w:rsidP="00D43492">
      <w:pPr>
        <w:pStyle w:val="FootnoteText"/>
      </w:pPr>
      <w:r>
        <w:rPr>
          <w:rStyle w:val="FootnoteReference"/>
        </w:rPr>
        <w:footnoteRef/>
      </w:r>
      <w:r>
        <w:t xml:space="preserve"> </w:t>
      </w:r>
      <w:r w:rsidRPr="00CA44CE">
        <w:t>The table below describes the most commonly used classification system</w:t>
      </w:r>
      <w:r>
        <w:t xml:space="preserve"> for heart failure</w:t>
      </w:r>
      <w:r w:rsidRPr="00CA44CE">
        <w:t>, the New York Heart Association (</w:t>
      </w:r>
      <w:r w:rsidRPr="00D43492">
        <w:t>NYHA</w:t>
      </w:r>
      <w:r w:rsidRPr="00CA44CE">
        <w:t>) Functional Classification. It places patients in one of four categories based on how much they are limited during physical activity</w:t>
      </w:r>
      <w:r>
        <w:t>.</w:t>
      </w:r>
    </w:p>
    <w:p w:rsidR="00EE054E" w:rsidRDefault="00EE054E" w:rsidP="00D43492">
      <w:pPr>
        <w:pStyle w:val="FootnoteText"/>
      </w:pPr>
      <w:r w:rsidRPr="00CA44CE">
        <w:rPr>
          <w:highlight w:val="yellow"/>
        </w:rPr>
        <w:t xml:space="preserve"> </w:t>
      </w:r>
      <w:r w:rsidRPr="00D43492">
        <w:drawing>
          <wp:inline distT="0" distB="0" distL="0" distR="0" wp14:anchorId="241E6FD4" wp14:editId="3EB4F022">
            <wp:extent cx="2609850" cy="1312154"/>
            <wp:effectExtent l="0" t="0" r="0" b="0"/>
            <wp:docPr id="20" name="Picture 20" descr="The table below describes the most commonly used classification system for heart failure, the New York Heart Association (NYHA) Functional Classification. It places patients in one of four categories based on how much they are limited during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4191"/>
                    <a:stretch/>
                  </pic:blipFill>
                  <pic:spPr bwMode="auto">
                    <a:xfrm>
                      <a:off x="0" y="0"/>
                      <a:ext cx="2619512" cy="1317012"/>
                    </a:xfrm>
                    <a:prstGeom prst="rect">
                      <a:avLst/>
                    </a:prstGeom>
                    <a:ln>
                      <a:noFill/>
                    </a:ln>
                    <a:extLst>
                      <a:ext uri="{53640926-AAD7-44D8-BBD7-CCE9431645EC}">
                        <a14:shadowObscured xmlns:a14="http://schemas.microsoft.com/office/drawing/2010/main"/>
                      </a:ext>
                    </a:extLst>
                  </pic:spPr>
                </pic:pic>
              </a:graphicData>
            </a:graphic>
          </wp:inline>
        </w:drawing>
      </w:r>
    </w:p>
  </w:footnote>
  <w:footnote w:id="29">
    <w:p w:rsidR="00EE054E" w:rsidRPr="00AC62B4" w:rsidRDefault="00EE054E" w:rsidP="00AC62B4">
      <w:pPr>
        <w:pStyle w:val="FootnoteText"/>
      </w:pPr>
      <w:r>
        <w:rPr>
          <w:rStyle w:val="FootnoteReference"/>
        </w:rPr>
        <w:footnoteRef/>
      </w:r>
      <w:r>
        <w:t xml:space="preserve"> </w:t>
      </w:r>
      <w:r w:rsidR="00AC62B4">
        <w:t>&lt;</w:t>
      </w:r>
      <w:hyperlink r:id="rId5" w:history="1">
        <w:r w:rsidRPr="00AC62B4">
          <w:rPr>
            <w:rStyle w:val="Hyperlink"/>
          </w:rPr>
          <w:t>http://www.ema.europa.eu/docs/en_GB/document_library/EPAR_-_Public_assessment_report/human/002706/WC500132734.pdf</w:t>
        </w:r>
      </w:hyperlink>
      <w:r w:rsidR="00AC62B4">
        <w:t>&gt;</w:t>
      </w:r>
    </w:p>
  </w:footnote>
  <w:footnote w:id="30">
    <w:p w:rsidR="00EE054E" w:rsidRDefault="00EE054E" w:rsidP="00AC62B4">
      <w:pPr>
        <w:pStyle w:val="FootnoteText"/>
      </w:pPr>
      <w:r>
        <w:rPr>
          <w:rStyle w:val="FootnoteReference"/>
        </w:rPr>
        <w:footnoteRef/>
      </w:r>
      <w:r>
        <w:t xml:space="preserve"> </w:t>
      </w:r>
      <w:proofErr w:type="spellStart"/>
      <w:r w:rsidRPr="00F350CB">
        <w:t>MedDRA</w:t>
      </w:r>
      <w:proofErr w:type="spellEnd"/>
      <w:r w:rsidRPr="00F350CB">
        <w:t xml:space="preserve"> </w:t>
      </w:r>
      <w:r>
        <w:t>(</w:t>
      </w:r>
      <w:r w:rsidRPr="00F350CB">
        <w:t xml:space="preserve">Medical Dictionary for Regulatory </w:t>
      </w:r>
      <w:r w:rsidRPr="00AC62B4">
        <w:t>Activities</w:t>
      </w:r>
      <w:r>
        <w:t xml:space="preserve">) </w:t>
      </w:r>
      <w:r w:rsidRPr="00F350CB">
        <w:t>is a clinically-validated international medical terminology used by regulatory authorities and the regulated biopharmaceutical industry. The terminology is used through the entire regulatory process, from pre-marketing to post-marketing, and for data entry, retrieval, evaluation, and presentation</w:t>
      </w:r>
    </w:p>
  </w:footnote>
  <w:footnote w:id="31">
    <w:p w:rsidR="00EE054E" w:rsidRDefault="00EE054E" w:rsidP="00AC62B4">
      <w:pPr>
        <w:pStyle w:val="FootnoteText"/>
      </w:pPr>
      <w:r>
        <w:rPr>
          <w:rStyle w:val="FootnoteReference"/>
        </w:rPr>
        <w:footnoteRef/>
      </w:r>
      <w:r>
        <w:t xml:space="preserve"> </w:t>
      </w:r>
      <w:r w:rsidRPr="00F350CB">
        <w:t xml:space="preserve">Standardised MedDRA Queries (SMQs) are groupings of MedDRA terms, ordinarily at the Preferred Term (PT) level that relate to a defined medical condition or area of interest. SMQs </w:t>
      </w:r>
      <w:r w:rsidRPr="00AC62B4">
        <w:t>are</w:t>
      </w:r>
      <w:r w:rsidRPr="00F350CB">
        <w:t xml:space="preserve"> intended to aid in the identification and retrieval of potentially relevant individual case safety reports.</w:t>
      </w:r>
    </w:p>
  </w:footnote>
  <w:footnote w:id="32">
    <w:p w:rsidR="00EE054E" w:rsidRDefault="00EE054E" w:rsidP="00C06EA4">
      <w:pPr>
        <w:pStyle w:val="FootnoteText"/>
      </w:pPr>
      <w:r>
        <w:rPr>
          <w:rStyle w:val="FootnoteReference"/>
        </w:rPr>
        <w:footnoteRef/>
      </w:r>
      <w:r>
        <w:t xml:space="preserve"> </w:t>
      </w:r>
      <w:r w:rsidRPr="00260933">
        <w:t xml:space="preserve">Netherlands Spiriva </w:t>
      </w:r>
      <w:proofErr w:type="spellStart"/>
      <w:r w:rsidRPr="00260933">
        <w:t>Handihaler</w:t>
      </w:r>
      <w:proofErr w:type="spellEnd"/>
      <w:r w:rsidRPr="00260933">
        <w:t xml:space="preserve"> assessment report </w:t>
      </w:r>
      <w:r w:rsidR="00C06EA4">
        <w:t>&lt;</w:t>
      </w:r>
      <w:hyperlink r:id="rId6" w:history="1">
        <w:r w:rsidRPr="00C06EA4">
          <w:rPr>
            <w:rStyle w:val="Hyperlink"/>
          </w:rPr>
          <w:t>http://db.cbg-meb.nl/mri/par/nlh-0718-001.pdf</w:t>
        </w:r>
      </w:hyperlink>
      <w:r w:rsidR="00C06EA4">
        <w:t>&gt;</w:t>
      </w:r>
    </w:p>
  </w:footnote>
  <w:footnote w:id="33">
    <w:p w:rsidR="00EE054E" w:rsidRDefault="00EE054E" w:rsidP="00C06EA4">
      <w:pPr>
        <w:pStyle w:val="FootnoteText"/>
      </w:pPr>
      <w:r>
        <w:rPr>
          <w:rStyle w:val="FootnoteReference"/>
        </w:rPr>
        <w:footnoteRef/>
      </w:r>
      <w:r>
        <w:t xml:space="preserve"> </w:t>
      </w:r>
      <w:proofErr w:type="spellStart"/>
      <w:r w:rsidRPr="00260933">
        <w:t>Seebri</w:t>
      </w:r>
      <w:proofErr w:type="spellEnd"/>
      <w:r w:rsidRPr="00260933">
        <w:t xml:space="preserve"> </w:t>
      </w:r>
      <w:proofErr w:type="spellStart"/>
      <w:r w:rsidRPr="00260933">
        <w:t>Breezehaler</w:t>
      </w:r>
      <w:proofErr w:type="spellEnd"/>
      <w:r w:rsidRPr="00260933">
        <w:t xml:space="preserve"> </w:t>
      </w:r>
      <w:proofErr w:type="spellStart"/>
      <w:r w:rsidRPr="00260933">
        <w:t>AusPAR</w:t>
      </w:r>
      <w:proofErr w:type="spellEnd"/>
      <w:r>
        <w:t xml:space="preserve"> </w:t>
      </w:r>
      <w:r w:rsidR="00C06EA4">
        <w:t>&lt;</w:t>
      </w:r>
      <w:hyperlink r:id="rId7" w:history="1">
        <w:r w:rsidRPr="00C06EA4">
          <w:rPr>
            <w:rStyle w:val="Hyperlink"/>
          </w:rPr>
          <w:t>http://www.tga.gov.au/pdf/auspar/auspar-glycopyrronium-130710.pdf</w:t>
        </w:r>
      </w:hyperlink>
      <w:r w:rsidR="00C06EA4">
        <w:t>&gt;</w:t>
      </w:r>
    </w:p>
  </w:footnote>
  <w:footnote w:id="34">
    <w:p w:rsidR="00EE054E" w:rsidRDefault="00EE054E" w:rsidP="00C06EA4">
      <w:pPr>
        <w:pStyle w:val="FootnoteText"/>
      </w:pPr>
      <w:r>
        <w:rPr>
          <w:rStyle w:val="FootnoteReference"/>
        </w:rPr>
        <w:footnoteRef/>
      </w:r>
      <w:r>
        <w:t xml:space="preserve"> </w:t>
      </w:r>
      <w:proofErr w:type="gramStart"/>
      <w:r w:rsidRPr="00E02F46">
        <w:t xml:space="preserve">Jones PW, Beeh KM, Chapman KR, Decramer M, Mahler DA and </w:t>
      </w:r>
      <w:proofErr w:type="spellStart"/>
      <w:r w:rsidRPr="00C06EA4">
        <w:t>Wedzicha</w:t>
      </w:r>
      <w:proofErr w:type="spellEnd"/>
      <w:r w:rsidRPr="00E02F46">
        <w:t xml:space="preserve"> JA.</w:t>
      </w:r>
      <w:proofErr w:type="gramEnd"/>
      <w:r w:rsidRPr="00E02F46">
        <w:t xml:space="preserve"> </w:t>
      </w:r>
      <w:proofErr w:type="gramStart"/>
      <w:r w:rsidRPr="00E02F46">
        <w:t>Minimal clinically important differences in pharmacological trials.</w:t>
      </w:r>
      <w:proofErr w:type="gramEnd"/>
      <w:r w:rsidRPr="00E02F46">
        <w:t xml:space="preserve"> </w:t>
      </w:r>
      <w:proofErr w:type="gramStart"/>
      <w:r w:rsidRPr="00E02F46">
        <w:t>AJRCCM.</w:t>
      </w:r>
      <w:proofErr w:type="gramEnd"/>
      <w:r w:rsidRPr="00E02F46">
        <w:t xml:space="preserve"> Posted on line 2 January 2014</w:t>
      </w:r>
    </w:p>
  </w:footnote>
  <w:footnote w:id="35">
    <w:p w:rsidR="00EE054E" w:rsidRDefault="00EE054E" w:rsidP="00C06EA4">
      <w:pPr>
        <w:pStyle w:val="FootnoteText"/>
      </w:pPr>
      <w:r>
        <w:rPr>
          <w:rStyle w:val="FootnoteReference"/>
        </w:rPr>
        <w:footnoteRef/>
      </w:r>
      <w:proofErr w:type="gramStart"/>
      <w:r w:rsidRPr="00E02F46">
        <w:t>Wedzicha J, Decramer M and Seemungal TA.</w:t>
      </w:r>
      <w:proofErr w:type="gramEnd"/>
      <w:r w:rsidRPr="00E02F46">
        <w:t xml:space="preserve"> </w:t>
      </w:r>
      <w:proofErr w:type="gramStart"/>
      <w:r w:rsidRPr="00E02F46">
        <w:t xml:space="preserve">The role of </w:t>
      </w:r>
      <w:r w:rsidRPr="00C06EA4">
        <w:t>bronchodilator</w:t>
      </w:r>
      <w:r w:rsidRPr="00E02F46">
        <w:t xml:space="preserve"> treatment in the prevention of exacerbations of COPD.</w:t>
      </w:r>
      <w:proofErr w:type="gramEnd"/>
      <w:r w:rsidRPr="00E02F46">
        <w:t xml:space="preserve"> Eur Respir J 2012; 40: 1545–1554</w:t>
      </w:r>
    </w:p>
  </w:footnote>
  <w:footnote w:id="36">
    <w:p w:rsidR="00EE054E" w:rsidRDefault="00EE054E" w:rsidP="003F3810">
      <w:pPr>
        <w:pStyle w:val="FootnoteText"/>
      </w:pPr>
      <w:r>
        <w:rPr>
          <w:rStyle w:val="FootnoteReference"/>
        </w:rPr>
        <w:footnoteRef/>
      </w:r>
      <w:r w:rsidRPr="00E02F46">
        <w:t xml:space="preserve">Leidy NK, Wilcox TK, Jones PW, Roberts L, Powers JH, Sethi S, and the EXACT-PRO Study </w:t>
      </w:r>
      <w:proofErr w:type="gramStart"/>
      <w:r w:rsidRPr="00E02F46">
        <w:t>Group .</w:t>
      </w:r>
      <w:proofErr w:type="gramEnd"/>
      <w:r w:rsidRPr="00E02F46">
        <w:t xml:space="preserve"> </w:t>
      </w:r>
      <w:proofErr w:type="gramStart"/>
      <w:r w:rsidRPr="00E02F46">
        <w:t>Standardizing Measurement of Chronic Obstructive Pulmonary Disease Exacerbations.</w:t>
      </w:r>
      <w:proofErr w:type="gramEnd"/>
      <w:r w:rsidRPr="00E02F46">
        <w:t xml:space="preserve"> </w:t>
      </w:r>
      <w:proofErr w:type="gramStart"/>
      <w:r w:rsidRPr="003F3810">
        <w:t>Reliability</w:t>
      </w:r>
      <w:r w:rsidRPr="00E02F46">
        <w:t xml:space="preserve"> and Validity of a Patient-reported Diary.</w:t>
      </w:r>
      <w:proofErr w:type="gramEnd"/>
      <w:r w:rsidRPr="00E02F46">
        <w:t xml:space="preserve"> Am J Respir Crit Care Med 2011; 183: 323–329 ; </w:t>
      </w:r>
    </w:p>
  </w:footnote>
  <w:footnote w:id="37">
    <w:p w:rsidR="00EE054E" w:rsidRDefault="00EE054E" w:rsidP="003F3810">
      <w:pPr>
        <w:pStyle w:val="FootnoteText"/>
      </w:pPr>
      <w:r>
        <w:rPr>
          <w:rStyle w:val="FootnoteReference"/>
        </w:rPr>
        <w:footnoteRef/>
      </w:r>
      <w:r>
        <w:t xml:space="preserve"> </w:t>
      </w:r>
      <w:r w:rsidRPr="00E02F46">
        <w:t xml:space="preserve">Leidy NK and Murray LT. Patient-reported Outcome (PRO) Measures for Clinical Trials of </w:t>
      </w:r>
      <w:r w:rsidRPr="003F3810">
        <w:t>COPD</w:t>
      </w:r>
      <w:r w:rsidRPr="00E02F46">
        <w:t>: The EXACT and E-RS. COPD, 10:393–398, 2013</w:t>
      </w:r>
    </w:p>
  </w:footnote>
  <w:footnote w:id="38">
    <w:p w:rsidR="00EE054E" w:rsidRDefault="00EE054E" w:rsidP="003F3810">
      <w:pPr>
        <w:pStyle w:val="FootnoteText"/>
      </w:pPr>
      <w:r>
        <w:rPr>
          <w:rStyle w:val="FootnoteReference"/>
        </w:rPr>
        <w:footnoteRef/>
      </w:r>
      <w:r w:rsidRPr="00E02F46">
        <w:t xml:space="preserve">Karner C, Chong J, Poole P. Tiotropium versus placebo for chronic obstructive pulmonary </w:t>
      </w:r>
      <w:r w:rsidRPr="003F3810">
        <w:t>disease</w:t>
      </w:r>
      <w:r w:rsidRPr="00E02F46">
        <w:t>. Cochrane Database of Systematic Reviews 2012, Issue 7. Art. No.: CD009285. DOI: 10.1002/14651858.CD009285.pub2.</w:t>
      </w:r>
    </w:p>
  </w:footnote>
  <w:footnote w:id="39">
    <w:p w:rsidR="00EE054E" w:rsidRDefault="00EE054E" w:rsidP="003F3810">
      <w:pPr>
        <w:pStyle w:val="FootnoteText"/>
      </w:pPr>
      <w:r>
        <w:rPr>
          <w:rStyle w:val="FootnoteReference"/>
        </w:rPr>
        <w:footnoteRef/>
      </w:r>
      <w:r w:rsidRPr="00E02F46">
        <w:t xml:space="preserve">Jones PW, Singh D, Kerwin E, Lamarca R, Caracta C, Garcia E. Reduced COPD exacerbations </w:t>
      </w:r>
      <w:r w:rsidRPr="003F3810">
        <w:t>associated</w:t>
      </w:r>
      <w:r w:rsidRPr="00E02F46">
        <w:t xml:space="preserve"> with </w:t>
      </w:r>
      <w:proofErr w:type="spellStart"/>
      <w:r w:rsidRPr="00E02F46">
        <w:t>aclidinium</w:t>
      </w:r>
      <w:proofErr w:type="spellEnd"/>
      <w:r w:rsidRPr="00E02F46">
        <w:t xml:space="preserve"> bromide versus placebo: a pooled analysis of Phase III data. Thorax 2012; 67(Suppl 2): A146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54E" w:rsidRDefault="00EE054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54E" w:rsidRDefault="00EE054E">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-1081709</wp:posOffset>
          </wp:positionH>
          <wp:positionV relativeFrom="paragraph">
            <wp:posOffset>-585470</wp:posOffset>
          </wp:positionV>
          <wp:extent cx="7572375" cy="10706100"/>
          <wp:effectExtent l="0" t="0" r="952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EE054E" w:rsidRDefault="00EE054E" w:rsidP="00593AD1">
    <w:pPr>
      <w:pStyle w:val="HeaderNoLine"/>
    </w:pPr>
    <w:r>
      <w:rPr>
        <w:noProof/>
        <w:lang w:eastAsia="en-AU"/>
      </w:rPr>
      <w:drawing>
        <wp:inline distT="0" distB="0" distL="0" distR="0">
          <wp:extent cx="5400040" cy="7632065"/>
          <wp:effectExtent l="0" t="0" r="0" b="6985"/>
          <wp:docPr id="15" name="Imagen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20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54E" w:rsidRDefault="00EE05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54E" w:rsidRDefault="00EE054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54E" w:rsidRDefault="00EE054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54E" w:rsidRDefault="00EE05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54E" w:rsidRDefault="00EE054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054E" w:rsidRDefault="00EE054E" w:rsidP="006E08B3">
    <w:r>
      <w:t>Therapeutic Goods Administration</w:t>
    </w:r>
  </w:p>
  <w:p w:rsidR="00EE054E" w:rsidRDefault="00EE054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00D110"/>
    <w:lvl w:ilvl="0">
      <w:start w:val="1"/>
      <w:numFmt w:val="decimal"/>
      <w:lvlText w:val="%1."/>
      <w:lvlJc w:val="left"/>
      <w:pPr>
        <w:tabs>
          <w:tab w:val="num" w:pos="1492"/>
        </w:tabs>
        <w:ind w:left="1492" w:hanging="360"/>
      </w:pPr>
    </w:lvl>
  </w:abstractNum>
  <w:abstractNum w:abstractNumId="1">
    <w:nsid w:val="FFFFFF7D"/>
    <w:multiLevelType w:val="singleLevel"/>
    <w:tmpl w:val="4552C1D0"/>
    <w:lvl w:ilvl="0">
      <w:start w:val="1"/>
      <w:numFmt w:val="decimal"/>
      <w:lvlText w:val="%1."/>
      <w:lvlJc w:val="left"/>
      <w:pPr>
        <w:tabs>
          <w:tab w:val="num" w:pos="1209"/>
        </w:tabs>
        <w:ind w:left="1209" w:hanging="360"/>
      </w:pPr>
    </w:lvl>
  </w:abstractNum>
  <w:abstractNum w:abstractNumId="2">
    <w:nsid w:val="FFFFFF7E"/>
    <w:multiLevelType w:val="singleLevel"/>
    <w:tmpl w:val="BF3ACD66"/>
    <w:lvl w:ilvl="0">
      <w:start w:val="1"/>
      <w:numFmt w:val="decimal"/>
      <w:lvlText w:val="%1."/>
      <w:lvlJc w:val="left"/>
      <w:pPr>
        <w:tabs>
          <w:tab w:val="num" w:pos="926"/>
        </w:tabs>
        <w:ind w:left="926" w:hanging="360"/>
      </w:pPr>
    </w:lvl>
  </w:abstractNum>
  <w:abstractNum w:abstractNumId="3">
    <w:nsid w:val="FFFFFF7F"/>
    <w:multiLevelType w:val="singleLevel"/>
    <w:tmpl w:val="D76CD0A0"/>
    <w:lvl w:ilvl="0">
      <w:start w:val="1"/>
      <w:numFmt w:val="decimal"/>
      <w:lvlText w:val="%1."/>
      <w:lvlJc w:val="left"/>
      <w:pPr>
        <w:tabs>
          <w:tab w:val="num" w:pos="643"/>
        </w:tabs>
        <w:ind w:left="643" w:hanging="360"/>
      </w:pPr>
    </w:lvl>
  </w:abstractNum>
  <w:abstractNum w:abstractNumId="4">
    <w:nsid w:val="FFFFFF80"/>
    <w:multiLevelType w:val="singleLevel"/>
    <w:tmpl w:val="57E689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AA658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15887CCE"/>
    <w:lvl w:ilvl="0">
      <w:start w:val="1"/>
      <w:numFmt w:val="decimal"/>
      <w:lvlText w:val="%1."/>
      <w:lvlJc w:val="left"/>
      <w:pPr>
        <w:tabs>
          <w:tab w:val="num" w:pos="360"/>
        </w:tabs>
        <w:ind w:left="360" w:hanging="360"/>
      </w:pPr>
    </w:lvl>
  </w:abstractNum>
  <w:abstractNum w:abstractNumId="7">
    <w:nsid w:val="01205999"/>
    <w:multiLevelType w:val="hybridMultilevel"/>
    <w:tmpl w:val="87729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0327E93"/>
    <w:multiLevelType w:val="hybridMultilevel"/>
    <w:tmpl w:val="596AB34E"/>
    <w:lvl w:ilvl="0" w:tplc="09E61F7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227F1A"/>
    <w:multiLevelType w:val="hybridMultilevel"/>
    <w:tmpl w:val="CB34F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43AA0832"/>
    <w:multiLevelType w:val="multilevel"/>
    <w:tmpl w:val="18D62A1A"/>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6">
    <w:nsid w:val="598A4402"/>
    <w:multiLevelType w:val="hybridMultilevel"/>
    <w:tmpl w:val="912484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10"/>
  </w:num>
  <w:num w:numId="4">
    <w:abstractNumId w:val="8"/>
  </w:num>
  <w:num w:numId="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9"/>
  </w:num>
  <w:num w:numId="7">
    <w:abstractNumId w:val="11"/>
  </w:num>
  <w:num w:numId="8">
    <w:abstractNumId w:val="16"/>
  </w:num>
  <w:num w:numId="9">
    <w:abstractNumId w:val="7"/>
  </w:num>
  <w:num w:numId="10">
    <w:abstractNumId w:val="1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num>
  <w:num w:numId="13">
    <w:abstractNumId w:val="14"/>
  </w:num>
  <w:num w:numId="14">
    <w:abstractNumId w:val="13"/>
  </w:num>
  <w:num w:numId="15">
    <w:abstractNumId w:val="15"/>
  </w:num>
  <w:num w:numId="1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5"/>
  </w:num>
  <w:num w:numId="18">
    <w:abstractNumId w:val="4"/>
  </w:num>
  <w:num w:numId="19">
    <w:abstractNumId w:val="6"/>
  </w:num>
  <w:num w:numId="20">
    <w:abstractNumId w:val="3"/>
  </w:num>
  <w:num w:numId="21">
    <w:abstractNumId w:val="2"/>
  </w:num>
  <w:num w:numId="22">
    <w:abstractNumId w:val="1"/>
  </w:num>
  <w:num w:numId="23">
    <w:abstractNumId w:val="0"/>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D60"/>
    <w:rsid w:val="00002031"/>
    <w:rsid w:val="00004734"/>
    <w:rsid w:val="00006B22"/>
    <w:rsid w:val="0001276A"/>
    <w:rsid w:val="000246AE"/>
    <w:rsid w:val="00025C67"/>
    <w:rsid w:val="0003740C"/>
    <w:rsid w:val="00044772"/>
    <w:rsid w:val="00046D9E"/>
    <w:rsid w:val="0005559E"/>
    <w:rsid w:val="000604D6"/>
    <w:rsid w:val="000734D8"/>
    <w:rsid w:val="00077775"/>
    <w:rsid w:val="00090471"/>
    <w:rsid w:val="00096AA7"/>
    <w:rsid w:val="000A3AED"/>
    <w:rsid w:val="000B3532"/>
    <w:rsid w:val="000B3A75"/>
    <w:rsid w:val="000C690F"/>
    <w:rsid w:val="000D046D"/>
    <w:rsid w:val="000D1295"/>
    <w:rsid w:val="000D391B"/>
    <w:rsid w:val="000D3D6D"/>
    <w:rsid w:val="000D4FC7"/>
    <w:rsid w:val="000E49AC"/>
    <w:rsid w:val="000E5DAC"/>
    <w:rsid w:val="000E60AE"/>
    <w:rsid w:val="000F4869"/>
    <w:rsid w:val="000F5B42"/>
    <w:rsid w:val="000F5E03"/>
    <w:rsid w:val="000F6E6F"/>
    <w:rsid w:val="00102BD6"/>
    <w:rsid w:val="0010601F"/>
    <w:rsid w:val="0010788A"/>
    <w:rsid w:val="00107A31"/>
    <w:rsid w:val="00110EA5"/>
    <w:rsid w:val="00112F56"/>
    <w:rsid w:val="00125318"/>
    <w:rsid w:val="001305A2"/>
    <w:rsid w:val="00130604"/>
    <w:rsid w:val="00130B62"/>
    <w:rsid w:val="00133238"/>
    <w:rsid w:val="0013706A"/>
    <w:rsid w:val="0014197B"/>
    <w:rsid w:val="001447CD"/>
    <w:rsid w:val="00145C30"/>
    <w:rsid w:val="001516B1"/>
    <w:rsid w:val="00154EBB"/>
    <w:rsid w:val="00156316"/>
    <w:rsid w:val="001570AB"/>
    <w:rsid w:val="00162D14"/>
    <w:rsid w:val="00165389"/>
    <w:rsid w:val="0017693F"/>
    <w:rsid w:val="0018110E"/>
    <w:rsid w:val="00181684"/>
    <w:rsid w:val="001843C6"/>
    <w:rsid w:val="001850E0"/>
    <w:rsid w:val="001A2158"/>
    <w:rsid w:val="001A525F"/>
    <w:rsid w:val="001B09F9"/>
    <w:rsid w:val="001B5C90"/>
    <w:rsid w:val="001B6448"/>
    <w:rsid w:val="001C32CD"/>
    <w:rsid w:val="001D13B2"/>
    <w:rsid w:val="001D2984"/>
    <w:rsid w:val="001E07CF"/>
    <w:rsid w:val="001E59F1"/>
    <w:rsid w:val="001F3996"/>
    <w:rsid w:val="001F49EB"/>
    <w:rsid w:val="001F6CBA"/>
    <w:rsid w:val="00201D4E"/>
    <w:rsid w:val="002076C9"/>
    <w:rsid w:val="00220B8A"/>
    <w:rsid w:val="00221495"/>
    <w:rsid w:val="002257F3"/>
    <w:rsid w:val="00233456"/>
    <w:rsid w:val="002339A5"/>
    <w:rsid w:val="00240CE4"/>
    <w:rsid w:val="00257848"/>
    <w:rsid w:val="00260933"/>
    <w:rsid w:val="0027084A"/>
    <w:rsid w:val="00286434"/>
    <w:rsid w:val="00286C59"/>
    <w:rsid w:val="00291957"/>
    <w:rsid w:val="002942D1"/>
    <w:rsid w:val="0029501A"/>
    <w:rsid w:val="002B1638"/>
    <w:rsid w:val="002B3624"/>
    <w:rsid w:val="002B3FD4"/>
    <w:rsid w:val="002C2239"/>
    <w:rsid w:val="002E40B3"/>
    <w:rsid w:val="002E4C9A"/>
    <w:rsid w:val="002E5C64"/>
    <w:rsid w:val="002F11F8"/>
    <w:rsid w:val="002F3F56"/>
    <w:rsid w:val="002F44B5"/>
    <w:rsid w:val="00311AC0"/>
    <w:rsid w:val="0032583B"/>
    <w:rsid w:val="00327883"/>
    <w:rsid w:val="00335504"/>
    <w:rsid w:val="00347824"/>
    <w:rsid w:val="00350567"/>
    <w:rsid w:val="003521E8"/>
    <w:rsid w:val="003728F3"/>
    <w:rsid w:val="0037496E"/>
    <w:rsid w:val="00386150"/>
    <w:rsid w:val="003874CE"/>
    <w:rsid w:val="00390900"/>
    <w:rsid w:val="003A7F6C"/>
    <w:rsid w:val="003B2EC6"/>
    <w:rsid w:val="003B4D60"/>
    <w:rsid w:val="003B676F"/>
    <w:rsid w:val="003B7E39"/>
    <w:rsid w:val="003C0BF8"/>
    <w:rsid w:val="003C58DC"/>
    <w:rsid w:val="003C5DFB"/>
    <w:rsid w:val="003D1E62"/>
    <w:rsid w:val="003E1D6B"/>
    <w:rsid w:val="003E2486"/>
    <w:rsid w:val="003E3208"/>
    <w:rsid w:val="003F0B04"/>
    <w:rsid w:val="003F3810"/>
    <w:rsid w:val="0040134E"/>
    <w:rsid w:val="00426D07"/>
    <w:rsid w:val="004334C7"/>
    <w:rsid w:val="00440A2D"/>
    <w:rsid w:val="00443CE2"/>
    <w:rsid w:val="004564A7"/>
    <w:rsid w:val="004617BF"/>
    <w:rsid w:val="00463658"/>
    <w:rsid w:val="004722CC"/>
    <w:rsid w:val="0048791E"/>
    <w:rsid w:val="004936E4"/>
    <w:rsid w:val="00494E60"/>
    <w:rsid w:val="00497487"/>
    <w:rsid w:val="004A1DD5"/>
    <w:rsid w:val="004B7B76"/>
    <w:rsid w:val="004C239D"/>
    <w:rsid w:val="004C2DCA"/>
    <w:rsid w:val="004D1AC7"/>
    <w:rsid w:val="004E0479"/>
    <w:rsid w:val="004F0C4A"/>
    <w:rsid w:val="004F0F38"/>
    <w:rsid w:val="00501921"/>
    <w:rsid w:val="00530354"/>
    <w:rsid w:val="0053625B"/>
    <w:rsid w:val="005434C6"/>
    <w:rsid w:val="00543B39"/>
    <w:rsid w:val="00546154"/>
    <w:rsid w:val="00550096"/>
    <w:rsid w:val="005515BA"/>
    <w:rsid w:val="00551E66"/>
    <w:rsid w:val="00555280"/>
    <w:rsid w:val="00557FF9"/>
    <w:rsid w:val="00564D60"/>
    <w:rsid w:val="0057610D"/>
    <w:rsid w:val="00576378"/>
    <w:rsid w:val="00577130"/>
    <w:rsid w:val="00577945"/>
    <w:rsid w:val="00577E38"/>
    <w:rsid w:val="00585322"/>
    <w:rsid w:val="005857C6"/>
    <w:rsid w:val="00592F6E"/>
    <w:rsid w:val="00593AD1"/>
    <w:rsid w:val="00593F73"/>
    <w:rsid w:val="005A68B6"/>
    <w:rsid w:val="005A7940"/>
    <w:rsid w:val="005C0D76"/>
    <w:rsid w:val="005C5570"/>
    <w:rsid w:val="005C79A4"/>
    <w:rsid w:val="005D5442"/>
    <w:rsid w:val="00603F32"/>
    <w:rsid w:val="00605AD4"/>
    <w:rsid w:val="006101DB"/>
    <w:rsid w:val="00615C4C"/>
    <w:rsid w:val="00625A6E"/>
    <w:rsid w:val="00632398"/>
    <w:rsid w:val="00640FC3"/>
    <w:rsid w:val="00642020"/>
    <w:rsid w:val="0065337B"/>
    <w:rsid w:val="0065419D"/>
    <w:rsid w:val="00657156"/>
    <w:rsid w:val="006604D8"/>
    <w:rsid w:val="00664A5B"/>
    <w:rsid w:val="00670527"/>
    <w:rsid w:val="006721C0"/>
    <w:rsid w:val="006763D2"/>
    <w:rsid w:val="00680C08"/>
    <w:rsid w:val="00681D8B"/>
    <w:rsid w:val="006931B1"/>
    <w:rsid w:val="00693A26"/>
    <w:rsid w:val="006A15C0"/>
    <w:rsid w:val="006C30E8"/>
    <w:rsid w:val="006C3E2A"/>
    <w:rsid w:val="006C642F"/>
    <w:rsid w:val="006D03E5"/>
    <w:rsid w:val="006D5D3E"/>
    <w:rsid w:val="006E08B3"/>
    <w:rsid w:val="006F17AC"/>
    <w:rsid w:val="006F25B8"/>
    <w:rsid w:val="006F572E"/>
    <w:rsid w:val="006F7F8B"/>
    <w:rsid w:val="007046D6"/>
    <w:rsid w:val="00705DB0"/>
    <w:rsid w:val="00710686"/>
    <w:rsid w:val="00722B57"/>
    <w:rsid w:val="00730F8A"/>
    <w:rsid w:val="0074253D"/>
    <w:rsid w:val="0074429B"/>
    <w:rsid w:val="007460FF"/>
    <w:rsid w:val="007615BC"/>
    <w:rsid w:val="00762F05"/>
    <w:rsid w:val="007652FF"/>
    <w:rsid w:val="00770EF1"/>
    <w:rsid w:val="00773EF7"/>
    <w:rsid w:val="00774E1D"/>
    <w:rsid w:val="0077675A"/>
    <w:rsid w:val="00780355"/>
    <w:rsid w:val="007819FD"/>
    <w:rsid w:val="00785721"/>
    <w:rsid w:val="00793A59"/>
    <w:rsid w:val="007B6132"/>
    <w:rsid w:val="007B6E9F"/>
    <w:rsid w:val="007C1216"/>
    <w:rsid w:val="007C1AF7"/>
    <w:rsid w:val="007D25B9"/>
    <w:rsid w:val="007E69FD"/>
    <w:rsid w:val="007E732D"/>
    <w:rsid w:val="00805D27"/>
    <w:rsid w:val="00821776"/>
    <w:rsid w:val="008321F5"/>
    <w:rsid w:val="00832369"/>
    <w:rsid w:val="00834660"/>
    <w:rsid w:val="00836BC2"/>
    <w:rsid w:val="0085156D"/>
    <w:rsid w:val="0085641B"/>
    <w:rsid w:val="00857136"/>
    <w:rsid w:val="00866341"/>
    <w:rsid w:val="00872F62"/>
    <w:rsid w:val="00885B11"/>
    <w:rsid w:val="00886D15"/>
    <w:rsid w:val="00887DD8"/>
    <w:rsid w:val="00895108"/>
    <w:rsid w:val="00896018"/>
    <w:rsid w:val="008960DD"/>
    <w:rsid w:val="0089635C"/>
    <w:rsid w:val="008A2B9D"/>
    <w:rsid w:val="008A3D9F"/>
    <w:rsid w:val="008A4D8C"/>
    <w:rsid w:val="008A5E0B"/>
    <w:rsid w:val="008A6D59"/>
    <w:rsid w:val="008B4B03"/>
    <w:rsid w:val="008B596F"/>
    <w:rsid w:val="008C159F"/>
    <w:rsid w:val="008C1623"/>
    <w:rsid w:val="008C1850"/>
    <w:rsid w:val="008C44AA"/>
    <w:rsid w:val="008C51A9"/>
    <w:rsid w:val="008C5D26"/>
    <w:rsid w:val="008E0CBE"/>
    <w:rsid w:val="008E7846"/>
    <w:rsid w:val="008F1CCC"/>
    <w:rsid w:val="008F2967"/>
    <w:rsid w:val="008F6943"/>
    <w:rsid w:val="00902A21"/>
    <w:rsid w:val="0090353D"/>
    <w:rsid w:val="00911E72"/>
    <w:rsid w:val="00920330"/>
    <w:rsid w:val="009219D7"/>
    <w:rsid w:val="00922D53"/>
    <w:rsid w:val="00923B70"/>
    <w:rsid w:val="00924482"/>
    <w:rsid w:val="00930237"/>
    <w:rsid w:val="00931F95"/>
    <w:rsid w:val="00940A89"/>
    <w:rsid w:val="00943F2D"/>
    <w:rsid w:val="00946EA5"/>
    <w:rsid w:val="00963C08"/>
    <w:rsid w:val="0098585A"/>
    <w:rsid w:val="00994942"/>
    <w:rsid w:val="00996974"/>
    <w:rsid w:val="009A2DBE"/>
    <w:rsid w:val="009A4CED"/>
    <w:rsid w:val="009A690D"/>
    <w:rsid w:val="009B1D12"/>
    <w:rsid w:val="009B2729"/>
    <w:rsid w:val="009B416B"/>
    <w:rsid w:val="009C4BD5"/>
    <w:rsid w:val="009C6FB9"/>
    <w:rsid w:val="009D7B77"/>
    <w:rsid w:val="009E0BB0"/>
    <w:rsid w:val="009E3FBB"/>
    <w:rsid w:val="009F217E"/>
    <w:rsid w:val="009F4D91"/>
    <w:rsid w:val="00A06272"/>
    <w:rsid w:val="00A102E4"/>
    <w:rsid w:val="00A12C42"/>
    <w:rsid w:val="00A14DF7"/>
    <w:rsid w:val="00A3246D"/>
    <w:rsid w:val="00A36FA7"/>
    <w:rsid w:val="00A44DDB"/>
    <w:rsid w:val="00A475B7"/>
    <w:rsid w:val="00A47AF7"/>
    <w:rsid w:val="00A47C3E"/>
    <w:rsid w:val="00A50226"/>
    <w:rsid w:val="00A5120F"/>
    <w:rsid w:val="00A60BAD"/>
    <w:rsid w:val="00A81517"/>
    <w:rsid w:val="00A84E36"/>
    <w:rsid w:val="00A86E2A"/>
    <w:rsid w:val="00A87AAD"/>
    <w:rsid w:val="00A91A20"/>
    <w:rsid w:val="00A964D1"/>
    <w:rsid w:val="00A9651E"/>
    <w:rsid w:val="00AA0ED0"/>
    <w:rsid w:val="00AB0C14"/>
    <w:rsid w:val="00AB627D"/>
    <w:rsid w:val="00AC200D"/>
    <w:rsid w:val="00AC2B40"/>
    <w:rsid w:val="00AC2BB2"/>
    <w:rsid w:val="00AC2C3C"/>
    <w:rsid w:val="00AC512D"/>
    <w:rsid w:val="00AC5820"/>
    <w:rsid w:val="00AC5919"/>
    <w:rsid w:val="00AC62B4"/>
    <w:rsid w:val="00AC7D96"/>
    <w:rsid w:val="00AD0083"/>
    <w:rsid w:val="00AD354B"/>
    <w:rsid w:val="00AD3935"/>
    <w:rsid w:val="00AE65EB"/>
    <w:rsid w:val="00AE67A7"/>
    <w:rsid w:val="00AF1D94"/>
    <w:rsid w:val="00AF3D89"/>
    <w:rsid w:val="00AF60C5"/>
    <w:rsid w:val="00B009C6"/>
    <w:rsid w:val="00B01548"/>
    <w:rsid w:val="00B12A53"/>
    <w:rsid w:val="00B21D29"/>
    <w:rsid w:val="00B25034"/>
    <w:rsid w:val="00B33588"/>
    <w:rsid w:val="00B33863"/>
    <w:rsid w:val="00B37A85"/>
    <w:rsid w:val="00B37D17"/>
    <w:rsid w:val="00B4175E"/>
    <w:rsid w:val="00B452CE"/>
    <w:rsid w:val="00B465EC"/>
    <w:rsid w:val="00B4787A"/>
    <w:rsid w:val="00B54C25"/>
    <w:rsid w:val="00B76B91"/>
    <w:rsid w:val="00B77EB1"/>
    <w:rsid w:val="00B811C6"/>
    <w:rsid w:val="00B855B0"/>
    <w:rsid w:val="00B92E08"/>
    <w:rsid w:val="00BB124E"/>
    <w:rsid w:val="00BB513B"/>
    <w:rsid w:val="00BC622A"/>
    <w:rsid w:val="00BE0A78"/>
    <w:rsid w:val="00BE79F0"/>
    <w:rsid w:val="00BF046D"/>
    <w:rsid w:val="00BF1190"/>
    <w:rsid w:val="00BF5D04"/>
    <w:rsid w:val="00BF676E"/>
    <w:rsid w:val="00BF7E8B"/>
    <w:rsid w:val="00C06EA4"/>
    <w:rsid w:val="00C1164D"/>
    <w:rsid w:val="00C16861"/>
    <w:rsid w:val="00C22964"/>
    <w:rsid w:val="00C404A6"/>
    <w:rsid w:val="00C40A36"/>
    <w:rsid w:val="00C44419"/>
    <w:rsid w:val="00C457BC"/>
    <w:rsid w:val="00C45E7B"/>
    <w:rsid w:val="00C471B1"/>
    <w:rsid w:val="00C500ED"/>
    <w:rsid w:val="00C62519"/>
    <w:rsid w:val="00C6316B"/>
    <w:rsid w:val="00C634A9"/>
    <w:rsid w:val="00C64586"/>
    <w:rsid w:val="00C70D53"/>
    <w:rsid w:val="00C73D0B"/>
    <w:rsid w:val="00C772FF"/>
    <w:rsid w:val="00C80137"/>
    <w:rsid w:val="00C801AF"/>
    <w:rsid w:val="00C80256"/>
    <w:rsid w:val="00C9747E"/>
    <w:rsid w:val="00C9788D"/>
    <w:rsid w:val="00CA205A"/>
    <w:rsid w:val="00CA44CE"/>
    <w:rsid w:val="00CA63DB"/>
    <w:rsid w:val="00CB6BC0"/>
    <w:rsid w:val="00CC1B7C"/>
    <w:rsid w:val="00CC727F"/>
    <w:rsid w:val="00CE1B10"/>
    <w:rsid w:val="00CF15C3"/>
    <w:rsid w:val="00CF2B6F"/>
    <w:rsid w:val="00CF58B6"/>
    <w:rsid w:val="00D01092"/>
    <w:rsid w:val="00D017ED"/>
    <w:rsid w:val="00D040D3"/>
    <w:rsid w:val="00D04C65"/>
    <w:rsid w:val="00D06EF9"/>
    <w:rsid w:val="00D201D2"/>
    <w:rsid w:val="00D224FE"/>
    <w:rsid w:val="00D225E8"/>
    <w:rsid w:val="00D23139"/>
    <w:rsid w:val="00D31ABE"/>
    <w:rsid w:val="00D322DC"/>
    <w:rsid w:val="00D425BB"/>
    <w:rsid w:val="00D43103"/>
    <w:rsid w:val="00D43492"/>
    <w:rsid w:val="00D54664"/>
    <w:rsid w:val="00D57878"/>
    <w:rsid w:val="00D6493E"/>
    <w:rsid w:val="00D7195D"/>
    <w:rsid w:val="00D7301E"/>
    <w:rsid w:val="00D83AE1"/>
    <w:rsid w:val="00D855D4"/>
    <w:rsid w:val="00D92A4D"/>
    <w:rsid w:val="00D93466"/>
    <w:rsid w:val="00D94409"/>
    <w:rsid w:val="00DA1124"/>
    <w:rsid w:val="00DB6124"/>
    <w:rsid w:val="00DB750B"/>
    <w:rsid w:val="00DB75B7"/>
    <w:rsid w:val="00DC6E02"/>
    <w:rsid w:val="00DE02AE"/>
    <w:rsid w:val="00DF1D7F"/>
    <w:rsid w:val="00DF4BE4"/>
    <w:rsid w:val="00E02F46"/>
    <w:rsid w:val="00E02FB4"/>
    <w:rsid w:val="00E20571"/>
    <w:rsid w:val="00E235F7"/>
    <w:rsid w:val="00E23659"/>
    <w:rsid w:val="00E239D4"/>
    <w:rsid w:val="00E26130"/>
    <w:rsid w:val="00E40B22"/>
    <w:rsid w:val="00E45619"/>
    <w:rsid w:val="00E4588F"/>
    <w:rsid w:val="00E46DA3"/>
    <w:rsid w:val="00E51BB1"/>
    <w:rsid w:val="00E624A5"/>
    <w:rsid w:val="00E71E05"/>
    <w:rsid w:val="00E7344E"/>
    <w:rsid w:val="00E74309"/>
    <w:rsid w:val="00EB0798"/>
    <w:rsid w:val="00EB40AD"/>
    <w:rsid w:val="00EB586E"/>
    <w:rsid w:val="00EB5FC8"/>
    <w:rsid w:val="00EC7A85"/>
    <w:rsid w:val="00ED3CAD"/>
    <w:rsid w:val="00ED5A41"/>
    <w:rsid w:val="00ED6D9E"/>
    <w:rsid w:val="00EE054E"/>
    <w:rsid w:val="00EE1AF0"/>
    <w:rsid w:val="00EE1DE8"/>
    <w:rsid w:val="00EF7E13"/>
    <w:rsid w:val="00F033EC"/>
    <w:rsid w:val="00F04F68"/>
    <w:rsid w:val="00F12670"/>
    <w:rsid w:val="00F14B27"/>
    <w:rsid w:val="00F15271"/>
    <w:rsid w:val="00F210E2"/>
    <w:rsid w:val="00F272C1"/>
    <w:rsid w:val="00F27942"/>
    <w:rsid w:val="00F3148D"/>
    <w:rsid w:val="00F325C5"/>
    <w:rsid w:val="00F32FE0"/>
    <w:rsid w:val="00F350CB"/>
    <w:rsid w:val="00F35298"/>
    <w:rsid w:val="00F47333"/>
    <w:rsid w:val="00F47E37"/>
    <w:rsid w:val="00F53C07"/>
    <w:rsid w:val="00F54B65"/>
    <w:rsid w:val="00F5549F"/>
    <w:rsid w:val="00F6348A"/>
    <w:rsid w:val="00F640B6"/>
    <w:rsid w:val="00F64916"/>
    <w:rsid w:val="00F80E40"/>
    <w:rsid w:val="00F8127F"/>
    <w:rsid w:val="00F848D9"/>
    <w:rsid w:val="00F879AA"/>
    <w:rsid w:val="00FA33C6"/>
    <w:rsid w:val="00FA5B82"/>
    <w:rsid w:val="00FA639E"/>
    <w:rsid w:val="00FC25E4"/>
    <w:rsid w:val="00FC481E"/>
    <w:rsid w:val="00FC4EF7"/>
    <w:rsid w:val="00FD0824"/>
    <w:rsid w:val="00FD119B"/>
    <w:rsid w:val="00FE15E3"/>
    <w:rsid w:val="00FE1DEE"/>
    <w:rsid w:val="00FE41C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A63D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240CE4"/>
    <w:pPr>
      <w:adjustRightInd w:val="0"/>
      <w:snapToGrid w:val="0"/>
      <w:spacing w:before="0" w:after="0"/>
      <w:ind w:left="720"/>
      <w:contextualSpacing/>
    </w:pPr>
    <w:rPr>
      <w:rFonts w:eastAsia="MS Mincho"/>
      <w:szCs w:val="20"/>
      <w:lang w:eastAsia="ja-JP"/>
    </w:rPr>
  </w:style>
  <w:style w:type="paragraph" w:styleId="NormalWeb">
    <w:name w:val="Normal (Web)"/>
    <w:basedOn w:val="Normal"/>
    <w:rsid w:val="00F8127F"/>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Caption">
    <w:name w:val="Table Caption"/>
    <w:basedOn w:val="Normal"/>
    <w:next w:val="Normal"/>
    <w:link w:val="TableCaptionChar"/>
    <w:rsid w:val="004D1AC7"/>
    <w:pPr>
      <w:spacing w:before="60" w:after="440" w:line="215" w:lineRule="exact"/>
      <w:ind w:left="170"/>
    </w:pPr>
    <w:rPr>
      <w:sz w:val="19"/>
    </w:rPr>
  </w:style>
  <w:style w:type="character" w:customStyle="1" w:styleId="TabletextChar">
    <w:name w:val="Table text Char"/>
    <w:basedOn w:val="DefaultParagraphFont"/>
    <w:link w:val="Tabletext"/>
    <w:rsid w:val="004D1AC7"/>
    <w:rPr>
      <w:rFonts w:ascii="Cambria" w:eastAsia="Cambria" w:hAnsi="Cambria" w:cs="Times New Roman"/>
      <w:sz w:val="19"/>
    </w:rPr>
  </w:style>
  <w:style w:type="character" w:customStyle="1" w:styleId="TableCaptionChar">
    <w:name w:val="Table Caption Char"/>
    <w:basedOn w:val="TabletextChar"/>
    <w:link w:val="TableCaption"/>
    <w:rsid w:val="004D1AC7"/>
    <w:rPr>
      <w:rFonts w:ascii="Cambria" w:eastAsia="Cambria" w:hAnsi="Cambria" w:cs="Times New Roman"/>
      <w:sz w:val="19"/>
    </w:rPr>
  </w:style>
  <w:style w:type="numbering" w:styleId="1ai">
    <w:name w:val="Outline List 1"/>
    <w:basedOn w:val="NoList"/>
    <w:semiHidden/>
    <w:rsid w:val="004D1AC7"/>
    <w:pPr>
      <w:numPr>
        <w:numId w:val="7"/>
      </w:numPr>
    </w:pPr>
  </w:style>
  <w:style w:type="paragraph" w:customStyle="1" w:styleId="Bullet2">
    <w:name w:val="Bullet 2"/>
    <w:basedOn w:val="Normal"/>
    <w:rsid w:val="00872F62"/>
    <w:pPr>
      <w:numPr>
        <w:numId w:val="13"/>
      </w:numPr>
      <w:spacing w:after="0" w:line="240" w:lineRule="auto"/>
    </w:pPr>
    <w:rPr>
      <w:rFonts w:ascii="Times New Roman" w:eastAsia="Times New Roman" w:hAnsi="Times New Roman"/>
      <w:kern w:val="24"/>
      <w:sz w:val="24"/>
      <w:szCs w:val="24"/>
      <w:lang w:eastAsia="en-AU"/>
    </w:rPr>
  </w:style>
  <w:style w:type="paragraph" w:customStyle="1" w:styleId="Bullet1">
    <w:name w:val="Bullet 1"/>
    <w:basedOn w:val="Normal"/>
    <w:rsid w:val="00872F62"/>
    <w:pPr>
      <w:numPr>
        <w:numId w:val="14"/>
      </w:numPr>
      <w:spacing w:after="0" w:line="240" w:lineRule="auto"/>
    </w:pPr>
    <w:rPr>
      <w:rFonts w:ascii="Times New Roman" w:eastAsia="Times New Roman" w:hAnsi="Times New Roman"/>
      <w:kern w:val="24"/>
      <w:sz w:val="24"/>
      <w:szCs w:val="24"/>
      <w:lang w:eastAsia="en-AU"/>
    </w:rPr>
  </w:style>
  <w:style w:type="paragraph" w:customStyle="1" w:styleId="Default">
    <w:name w:val="Default"/>
    <w:rsid w:val="00872F62"/>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CommentReference">
    <w:name w:val="annotation reference"/>
    <w:rsid w:val="00A81517"/>
    <w:rPr>
      <w:sz w:val="16"/>
      <w:szCs w:val="16"/>
    </w:rPr>
  </w:style>
  <w:style w:type="paragraph" w:styleId="CommentText">
    <w:name w:val="annotation text"/>
    <w:basedOn w:val="Normal"/>
    <w:link w:val="CommentTextChar"/>
    <w:rsid w:val="00A815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A81517"/>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uiPriority w:val="99"/>
    <w:semiHidden/>
    <w:unhideWhenUsed/>
    <w:rsid w:val="00F5549F"/>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pPr>
    <w:rPr>
      <w:rFonts w:ascii="Cambria" w:eastAsia="Cambria" w:hAnsi="Cambria"/>
      <w:b/>
      <w:bCs/>
      <w:kern w:val="0"/>
      <w:lang w:eastAsia="en-US"/>
    </w:rPr>
  </w:style>
  <w:style w:type="character" w:customStyle="1" w:styleId="CommentSubjectChar">
    <w:name w:val="Comment Subject Char"/>
    <w:basedOn w:val="CommentTextChar"/>
    <w:link w:val="CommentSubject"/>
    <w:uiPriority w:val="99"/>
    <w:semiHidden/>
    <w:rsid w:val="00F5549F"/>
    <w:rPr>
      <w:rFonts w:ascii="Cambria" w:eastAsia="Cambria" w:hAnsi="Cambria" w:cs="Times New Roman"/>
      <w:b/>
      <w:bCs/>
      <w:kern w:val="16"/>
      <w:sz w:val="20"/>
      <w:szCs w:val="20"/>
      <w:lang w:eastAsia="en-AU"/>
    </w:rPr>
  </w:style>
  <w:style w:type="paragraph" w:styleId="Revision">
    <w:name w:val="Revision"/>
    <w:hidden/>
    <w:uiPriority w:val="99"/>
    <w:semiHidden/>
    <w:rsid w:val="00E74309"/>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A63D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ListParagraph">
    <w:name w:val="List Paragraph"/>
    <w:basedOn w:val="Normal"/>
    <w:uiPriority w:val="34"/>
    <w:qFormat/>
    <w:rsid w:val="00240CE4"/>
    <w:pPr>
      <w:adjustRightInd w:val="0"/>
      <w:snapToGrid w:val="0"/>
      <w:spacing w:before="0" w:after="0"/>
      <w:ind w:left="720"/>
      <w:contextualSpacing/>
    </w:pPr>
    <w:rPr>
      <w:rFonts w:eastAsia="MS Mincho"/>
      <w:szCs w:val="20"/>
      <w:lang w:eastAsia="ja-JP"/>
    </w:rPr>
  </w:style>
  <w:style w:type="paragraph" w:styleId="NormalWeb">
    <w:name w:val="Normal (Web)"/>
    <w:basedOn w:val="Normal"/>
    <w:rsid w:val="00F8127F"/>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Caption">
    <w:name w:val="Table Caption"/>
    <w:basedOn w:val="Normal"/>
    <w:next w:val="Normal"/>
    <w:link w:val="TableCaptionChar"/>
    <w:rsid w:val="004D1AC7"/>
    <w:pPr>
      <w:spacing w:before="60" w:after="440" w:line="215" w:lineRule="exact"/>
      <w:ind w:left="170"/>
    </w:pPr>
    <w:rPr>
      <w:sz w:val="19"/>
    </w:rPr>
  </w:style>
  <w:style w:type="character" w:customStyle="1" w:styleId="TabletextChar">
    <w:name w:val="Table text Char"/>
    <w:basedOn w:val="DefaultParagraphFont"/>
    <w:link w:val="Tabletext"/>
    <w:rsid w:val="004D1AC7"/>
    <w:rPr>
      <w:rFonts w:ascii="Cambria" w:eastAsia="Cambria" w:hAnsi="Cambria" w:cs="Times New Roman"/>
      <w:sz w:val="19"/>
    </w:rPr>
  </w:style>
  <w:style w:type="character" w:customStyle="1" w:styleId="TableCaptionChar">
    <w:name w:val="Table Caption Char"/>
    <w:basedOn w:val="TabletextChar"/>
    <w:link w:val="TableCaption"/>
    <w:rsid w:val="004D1AC7"/>
    <w:rPr>
      <w:rFonts w:ascii="Cambria" w:eastAsia="Cambria" w:hAnsi="Cambria" w:cs="Times New Roman"/>
      <w:sz w:val="19"/>
    </w:rPr>
  </w:style>
  <w:style w:type="numbering" w:styleId="1ai">
    <w:name w:val="Outline List 1"/>
    <w:basedOn w:val="NoList"/>
    <w:semiHidden/>
    <w:rsid w:val="004D1AC7"/>
    <w:pPr>
      <w:numPr>
        <w:numId w:val="7"/>
      </w:numPr>
    </w:pPr>
  </w:style>
  <w:style w:type="paragraph" w:customStyle="1" w:styleId="Bullet2">
    <w:name w:val="Bullet 2"/>
    <w:basedOn w:val="Normal"/>
    <w:rsid w:val="00872F62"/>
    <w:pPr>
      <w:numPr>
        <w:numId w:val="13"/>
      </w:numPr>
      <w:spacing w:after="0" w:line="240" w:lineRule="auto"/>
    </w:pPr>
    <w:rPr>
      <w:rFonts w:ascii="Times New Roman" w:eastAsia="Times New Roman" w:hAnsi="Times New Roman"/>
      <w:kern w:val="24"/>
      <w:sz w:val="24"/>
      <w:szCs w:val="24"/>
      <w:lang w:eastAsia="en-AU"/>
    </w:rPr>
  </w:style>
  <w:style w:type="paragraph" w:customStyle="1" w:styleId="Bullet1">
    <w:name w:val="Bullet 1"/>
    <w:basedOn w:val="Normal"/>
    <w:rsid w:val="00872F62"/>
    <w:pPr>
      <w:numPr>
        <w:numId w:val="14"/>
      </w:numPr>
      <w:spacing w:after="0" w:line="240" w:lineRule="auto"/>
    </w:pPr>
    <w:rPr>
      <w:rFonts w:ascii="Times New Roman" w:eastAsia="Times New Roman" w:hAnsi="Times New Roman"/>
      <w:kern w:val="24"/>
      <w:sz w:val="24"/>
      <w:szCs w:val="24"/>
      <w:lang w:eastAsia="en-AU"/>
    </w:rPr>
  </w:style>
  <w:style w:type="paragraph" w:customStyle="1" w:styleId="Default">
    <w:name w:val="Default"/>
    <w:rsid w:val="00872F62"/>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CommentReference">
    <w:name w:val="annotation reference"/>
    <w:rsid w:val="00A81517"/>
    <w:rPr>
      <w:sz w:val="16"/>
      <w:szCs w:val="16"/>
    </w:rPr>
  </w:style>
  <w:style w:type="paragraph" w:styleId="CommentText">
    <w:name w:val="annotation text"/>
    <w:basedOn w:val="Normal"/>
    <w:link w:val="CommentTextChar"/>
    <w:rsid w:val="00A8151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A81517"/>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uiPriority w:val="99"/>
    <w:semiHidden/>
    <w:unhideWhenUsed/>
    <w:rsid w:val="00F5549F"/>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pPr>
    <w:rPr>
      <w:rFonts w:ascii="Cambria" w:eastAsia="Cambria" w:hAnsi="Cambria"/>
      <w:b/>
      <w:bCs/>
      <w:kern w:val="0"/>
      <w:lang w:eastAsia="en-US"/>
    </w:rPr>
  </w:style>
  <w:style w:type="character" w:customStyle="1" w:styleId="CommentSubjectChar">
    <w:name w:val="Comment Subject Char"/>
    <w:basedOn w:val="CommentTextChar"/>
    <w:link w:val="CommentSubject"/>
    <w:uiPriority w:val="99"/>
    <w:semiHidden/>
    <w:rsid w:val="00F5549F"/>
    <w:rPr>
      <w:rFonts w:ascii="Cambria" w:eastAsia="Cambria" w:hAnsi="Cambria" w:cs="Times New Roman"/>
      <w:b/>
      <w:bCs/>
      <w:kern w:val="16"/>
      <w:sz w:val="20"/>
      <w:szCs w:val="20"/>
      <w:lang w:eastAsia="en-AU"/>
    </w:rPr>
  </w:style>
  <w:style w:type="paragraph" w:styleId="Revision">
    <w:name w:val="Revision"/>
    <w:hidden/>
    <w:uiPriority w:val="99"/>
    <w:semiHidden/>
    <w:rsid w:val="00E74309"/>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6472">
      <w:bodyDiv w:val="1"/>
      <w:marLeft w:val="0"/>
      <w:marRight w:val="0"/>
      <w:marTop w:val="0"/>
      <w:marBottom w:val="0"/>
      <w:divBdr>
        <w:top w:val="none" w:sz="0" w:space="0" w:color="auto"/>
        <w:left w:val="none" w:sz="0" w:space="0" w:color="auto"/>
        <w:bottom w:val="none" w:sz="0" w:space="0" w:color="auto"/>
        <w:right w:val="none" w:sz="0" w:space="0" w:color="auto"/>
      </w:divBdr>
    </w:div>
    <w:div w:id="642345825">
      <w:bodyDiv w:val="1"/>
      <w:marLeft w:val="0"/>
      <w:marRight w:val="0"/>
      <w:marTop w:val="0"/>
      <w:marBottom w:val="0"/>
      <w:divBdr>
        <w:top w:val="none" w:sz="0" w:space="0" w:color="auto"/>
        <w:left w:val="none" w:sz="0" w:space="0" w:color="auto"/>
        <w:bottom w:val="none" w:sz="0" w:space="0" w:color="auto"/>
        <w:right w:val="none" w:sz="0" w:space="0" w:color="auto"/>
      </w:divBdr>
    </w:div>
    <w:div w:id="697774010">
      <w:bodyDiv w:val="1"/>
      <w:marLeft w:val="0"/>
      <w:marRight w:val="0"/>
      <w:marTop w:val="0"/>
      <w:marBottom w:val="0"/>
      <w:divBdr>
        <w:top w:val="none" w:sz="0" w:space="0" w:color="auto"/>
        <w:left w:val="none" w:sz="0" w:space="0" w:color="auto"/>
        <w:bottom w:val="none" w:sz="0" w:space="0" w:color="auto"/>
        <w:right w:val="none" w:sz="0" w:space="0" w:color="auto"/>
      </w:divBdr>
    </w:div>
    <w:div w:id="802190071">
      <w:bodyDiv w:val="1"/>
      <w:marLeft w:val="0"/>
      <w:marRight w:val="0"/>
      <w:marTop w:val="0"/>
      <w:marBottom w:val="0"/>
      <w:divBdr>
        <w:top w:val="none" w:sz="0" w:space="0" w:color="auto"/>
        <w:left w:val="none" w:sz="0" w:space="0" w:color="auto"/>
        <w:bottom w:val="none" w:sz="0" w:space="0" w:color="auto"/>
        <w:right w:val="none" w:sz="0" w:space="0" w:color="auto"/>
      </w:divBdr>
    </w:div>
    <w:div w:id="956718076">
      <w:bodyDiv w:val="1"/>
      <w:marLeft w:val="0"/>
      <w:marRight w:val="0"/>
      <w:marTop w:val="0"/>
      <w:marBottom w:val="0"/>
      <w:divBdr>
        <w:top w:val="none" w:sz="0" w:space="0" w:color="auto"/>
        <w:left w:val="none" w:sz="0" w:space="0" w:color="auto"/>
        <w:bottom w:val="none" w:sz="0" w:space="0" w:color="auto"/>
        <w:right w:val="none" w:sz="0" w:space="0" w:color="auto"/>
      </w:divBdr>
    </w:div>
    <w:div w:id="977564107">
      <w:bodyDiv w:val="1"/>
      <w:marLeft w:val="0"/>
      <w:marRight w:val="0"/>
      <w:marTop w:val="0"/>
      <w:marBottom w:val="0"/>
      <w:divBdr>
        <w:top w:val="none" w:sz="0" w:space="0" w:color="auto"/>
        <w:left w:val="none" w:sz="0" w:space="0" w:color="auto"/>
        <w:bottom w:val="none" w:sz="0" w:space="0" w:color="auto"/>
        <w:right w:val="none" w:sz="0" w:space="0" w:color="auto"/>
      </w:divBdr>
    </w:div>
    <w:div w:id="1023017170">
      <w:bodyDiv w:val="1"/>
      <w:marLeft w:val="0"/>
      <w:marRight w:val="0"/>
      <w:marTop w:val="0"/>
      <w:marBottom w:val="0"/>
      <w:divBdr>
        <w:top w:val="none" w:sz="0" w:space="0" w:color="auto"/>
        <w:left w:val="none" w:sz="0" w:space="0" w:color="auto"/>
        <w:bottom w:val="none" w:sz="0" w:space="0" w:color="auto"/>
        <w:right w:val="none" w:sz="0" w:space="0" w:color="auto"/>
      </w:divBdr>
    </w:div>
    <w:div w:id="1065645547">
      <w:bodyDiv w:val="1"/>
      <w:marLeft w:val="0"/>
      <w:marRight w:val="0"/>
      <w:marTop w:val="0"/>
      <w:marBottom w:val="0"/>
      <w:divBdr>
        <w:top w:val="none" w:sz="0" w:space="0" w:color="auto"/>
        <w:left w:val="none" w:sz="0" w:space="0" w:color="auto"/>
        <w:bottom w:val="none" w:sz="0" w:space="0" w:color="auto"/>
        <w:right w:val="none" w:sz="0" w:space="0" w:color="auto"/>
      </w:divBdr>
      <w:divsChild>
        <w:div w:id="1090203439">
          <w:marLeft w:val="0"/>
          <w:marRight w:val="0"/>
          <w:marTop w:val="0"/>
          <w:marBottom w:val="0"/>
          <w:divBdr>
            <w:top w:val="none" w:sz="0" w:space="0" w:color="auto"/>
            <w:left w:val="none" w:sz="0" w:space="0" w:color="auto"/>
            <w:bottom w:val="none" w:sz="0" w:space="0" w:color="auto"/>
            <w:right w:val="none" w:sz="0" w:space="0" w:color="auto"/>
          </w:divBdr>
          <w:divsChild>
            <w:div w:id="1392079161">
              <w:marLeft w:val="0"/>
              <w:marRight w:val="0"/>
              <w:marTop w:val="0"/>
              <w:marBottom w:val="0"/>
              <w:divBdr>
                <w:top w:val="none" w:sz="0" w:space="0" w:color="auto"/>
                <w:left w:val="none" w:sz="0" w:space="0" w:color="auto"/>
                <w:bottom w:val="none" w:sz="0" w:space="0" w:color="auto"/>
                <w:right w:val="none" w:sz="0" w:space="0" w:color="auto"/>
              </w:divBdr>
              <w:divsChild>
                <w:div w:id="1711149887">
                  <w:marLeft w:val="0"/>
                  <w:marRight w:val="0"/>
                  <w:marTop w:val="0"/>
                  <w:marBottom w:val="0"/>
                  <w:divBdr>
                    <w:top w:val="none" w:sz="0" w:space="0" w:color="auto"/>
                    <w:left w:val="none" w:sz="0" w:space="0" w:color="auto"/>
                    <w:bottom w:val="none" w:sz="0" w:space="0" w:color="auto"/>
                    <w:right w:val="none" w:sz="0" w:space="0" w:color="auto"/>
                  </w:divBdr>
                  <w:divsChild>
                    <w:div w:id="815344185">
                      <w:marLeft w:val="0"/>
                      <w:marRight w:val="0"/>
                      <w:marTop w:val="0"/>
                      <w:marBottom w:val="0"/>
                      <w:divBdr>
                        <w:top w:val="none" w:sz="0" w:space="0" w:color="auto"/>
                        <w:left w:val="none" w:sz="0" w:space="0" w:color="auto"/>
                        <w:bottom w:val="none" w:sz="0" w:space="0" w:color="auto"/>
                        <w:right w:val="none" w:sz="0" w:space="0" w:color="auto"/>
                      </w:divBdr>
                      <w:divsChild>
                        <w:div w:id="645889718">
                          <w:marLeft w:val="0"/>
                          <w:marRight w:val="0"/>
                          <w:marTop w:val="0"/>
                          <w:marBottom w:val="0"/>
                          <w:divBdr>
                            <w:top w:val="none" w:sz="0" w:space="0" w:color="auto"/>
                            <w:left w:val="none" w:sz="0" w:space="0" w:color="auto"/>
                            <w:bottom w:val="none" w:sz="0" w:space="0" w:color="auto"/>
                            <w:right w:val="none" w:sz="0" w:space="0" w:color="auto"/>
                          </w:divBdr>
                          <w:divsChild>
                            <w:div w:id="1186940550">
                              <w:marLeft w:val="0"/>
                              <w:marRight w:val="0"/>
                              <w:marTop w:val="0"/>
                              <w:marBottom w:val="0"/>
                              <w:divBdr>
                                <w:top w:val="none" w:sz="0" w:space="0" w:color="auto"/>
                                <w:left w:val="none" w:sz="0" w:space="0" w:color="auto"/>
                                <w:bottom w:val="none" w:sz="0" w:space="0" w:color="auto"/>
                                <w:right w:val="none" w:sz="0" w:space="0" w:color="auto"/>
                              </w:divBdr>
                              <w:divsChild>
                                <w:div w:id="270867016">
                                  <w:marLeft w:val="0"/>
                                  <w:marRight w:val="0"/>
                                  <w:marTop w:val="0"/>
                                  <w:marBottom w:val="0"/>
                                  <w:divBdr>
                                    <w:top w:val="none" w:sz="0" w:space="0" w:color="auto"/>
                                    <w:left w:val="none" w:sz="0" w:space="0" w:color="auto"/>
                                    <w:bottom w:val="none" w:sz="0" w:space="0" w:color="auto"/>
                                    <w:right w:val="none" w:sz="0" w:space="0" w:color="auto"/>
                                  </w:divBdr>
                                  <w:divsChild>
                                    <w:div w:id="993753460">
                                      <w:marLeft w:val="0"/>
                                      <w:marRight w:val="0"/>
                                      <w:marTop w:val="0"/>
                                      <w:marBottom w:val="0"/>
                                      <w:divBdr>
                                        <w:top w:val="none" w:sz="0" w:space="0" w:color="auto"/>
                                        <w:left w:val="none" w:sz="0" w:space="0" w:color="auto"/>
                                        <w:bottom w:val="none" w:sz="0" w:space="0" w:color="auto"/>
                                        <w:right w:val="none" w:sz="0" w:space="0" w:color="auto"/>
                                      </w:divBdr>
                                      <w:divsChild>
                                        <w:div w:id="219563468">
                                          <w:marLeft w:val="0"/>
                                          <w:marRight w:val="0"/>
                                          <w:marTop w:val="0"/>
                                          <w:marBottom w:val="0"/>
                                          <w:divBdr>
                                            <w:top w:val="none" w:sz="0" w:space="0" w:color="auto"/>
                                            <w:left w:val="none" w:sz="0" w:space="0" w:color="auto"/>
                                            <w:bottom w:val="none" w:sz="0" w:space="0" w:color="auto"/>
                                            <w:right w:val="none" w:sz="0" w:space="0" w:color="auto"/>
                                          </w:divBdr>
                                          <w:divsChild>
                                            <w:div w:id="2066683188">
                                              <w:marLeft w:val="0"/>
                                              <w:marRight w:val="0"/>
                                              <w:marTop w:val="0"/>
                                              <w:marBottom w:val="0"/>
                                              <w:divBdr>
                                                <w:top w:val="none" w:sz="0" w:space="0" w:color="auto"/>
                                                <w:left w:val="none" w:sz="0" w:space="0" w:color="auto"/>
                                                <w:bottom w:val="none" w:sz="0" w:space="0" w:color="auto"/>
                                                <w:right w:val="none" w:sz="0" w:space="0" w:color="auto"/>
                                              </w:divBdr>
                                              <w:divsChild>
                                                <w:div w:id="2023966047">
                                                  <w:marLeft w:val="0"/>
                                                  <w:marRight w:val="0"/>
                                                  <w:marTop w:val="0"/>
                                                  <w:marBottom w:val="0"/>
                                                  <w:divBdr>
                                                    <w:top w:val="none" w:sz="0" w:space="0" w:color="auto"/>
                                                    <w:left w:val="none" w:sz="0" w:space="0" w:color="auto"/>
                                                    <w:bottom w:val="none" w:sz="0" w:space="0" w:color="auto"/>
                                                    <w:right w:val="none" w:sz="0" w:space="0" w:color="auto"/>
                                                  </w:divBdr>
                                                  <w:divsChild>
                                                    <w:div w:id="1298342927">
                                                      <w:marLeft w:val="0"/>
                                                      <w:marRight w:val="0"/>
                                                      <w:marTop w:val="0"/>
                                                      <w:marBottom w:val="0"/>
                                                      <w:divBdr>
                                                        <w:top w:val="none" w:sz="0" w:space="0" w:color="auto"/>
                                                        <w:left w:val="none" w:sz="0" w:space="0" w:color="auto"/>
                                                        <w:bottom w:val="none" w:sz="0" w:space="0" w:color="auto"/>
                                                        <w:right w:val="none" w:sz="0" w:space="0" w:color="auto"/>
                                                      </w:divBdr>
                                                      <w:divsChild>
                                                        <w:div w:id="1666737361">
                                                          <w:marLeft w:val="0"/>
                                                          <w:marRight w:val="0"/>
                                                          <w:marTop w:val="0"/>
                                                          <w:marBottom w:val="0"/>
                                                          <w:divBdr>
                                                            <w:top w:val="none" w:sz="0" w:space="0" w:color="auto"/>
                                                            <w:left w:val="none" w:sz="0" w:space="0" w:color="auto"/>
                                                            <w:bottom w:val="none" w:sz="0" w:space="0" w:color="auto"/>
                                                            <w:right w:val="none" w:sz="0" w:space="0" w:color="auto"/>
                                                          </w:divBdr>
                                                          <w:divsChild>
                                                            <w:div w:id="1970163990">
                                                              <w:marLeft w:val="0"/>
                                                              <w:marRight w:val="0"/>
                                                              <w:marTop w:val="0"/>
                                                              <w:marBottom w:val="0"/>
                                                              <w:divBdr>
                                                                <w:top w:val="none" w:sz="0" w:space="0" w:color="auto"/>
                                                                <w:left w:val="none" w:sz="0" w:space="0" w:color="auto"/>
                                                                <w:bottom w:val="none" w:sz="0" w:space="0" w:color="auto"/>
                                                                <w:right w:val="none" w:sz="0" w:space="0" w:color="auto"/>
                                                              </w:divBdr>
                                                              <w:divsChild>
                                                                <w:div w:id="823592079">
                                                                  <w:marLeft w:val="0"/>
                                                                  <w:marRight w:val="0"/>
                                                                  <w:marTop w:val="0"/>
                                                                  <w:marBottom w:val="0"/>
                                                                  <w:divBdr>
                                                                    <w:top w:val="none" w:sz="0" w:space="0" w:color="auto"/>
                                                                    <w:left w:val="none" w:sz="0" w:space="0" w:color="auto"/>
                                                                    <w:bottom w:val="none" w:sz="0" w:space="0" w:color="auto"/>
                                                                    <w:right w:val="none" w:sz="0" w:space="0" w:color="auto"/>
                                                                  </w:divBdr>
                                                                  <w:divsChild>
                                                                    <w:div w:id="1639993241">
                                                                      <w:marLeft w:val="0"/>
                                                                      <w:marRight w:val="0"/>
                                                                      <w:marTop w:val="0"/>
                                                                      <w:marBottom w:val="0"/>
                                                                      <w:divBdr>
                                                                        <w:top w:val="none" w:sz="0" w:space="0" w:color="auto"/>
                                                                        <w:left w:val="none" w:sz="0" w:space="0" w:color="auto"/>
                                                                        <w:bottom w:val="none" w:sz="0" w:space="0" w:color="auto"/>
                                                                        <w:right w:val="none" w:sz="0" w:space="0" w:color="auto"/>
                                                                      </w:divBdr>
                                                                      <w:divsChild>
                                                                        <w:div w:id="666514618">
                                                                          <w:marLeft w:val="0"/>
                                                                          <w:marRight w:val="0"/>
                                                                          <w:marTop w:val="0"/>
                                                                          <w:marBottom w:val="0"/>
                                                                          <w:divBdr>
                                                                            <w:top w:val="none" w:sz="0" w:space="0" w:color="auto"/>
                                                                            <w:left w:val="none" w:sz="0" w:space="0" w:color="auto"/>
                                                                            <w:bottom w:val="none" w:sz="0" w:space="0" w:color="auto"/>
                                                                            <w:right w:val="none" w:sz="0" w:space="0" w:color="auto"/>
                                                                          </w:divBdr>
                                                                          <w:divsChild>
                                                                            <w:div w:id="1206599685">
                                                                              <w:marLeft w:val="300"/>
                                                                              <w:marRight w:val="0"/>
                                                                              <w:marTop w:val="0"/>
                                                                              <w:marBottom w:val="0"/>
                                                                              <w:divBdr>
                                                                                <w:top w:val="none" w:sz="0" w:space="0" w:color="auto"/>
                                                                                <w:left w:val="none" w:sz="0" w:space="0" w:color="auto"/>
                                                                                <w:bottom w:val="none" w:sz="0" w:space="0" w:color="auto"/>
                                                                                <w:right w:val="none" w:sz="0" w:space="0" w:color="auto"/>
                                                                              </w:divBdr>
                                                                              <w:divsChild>
                                                                                <w:div w:id="485367548">
                                                                                  <w:marLeft w:val="-300"/>
                                                                                  <w:marRight w:val="0"/>
                                                                                  <w:marTop w:val="0"/>
                                                                                  <w:marBottom w:val="0"/>
                                                                                  <w:divBdr>
                                                                                    <w:top w:val="none" w:sz="0" w:space="0" w:color="auto"/>
                                                                                    <w:left w:val="none" w:sz="0" w:space="0" w:color="auto"/>
                                                                                    <w:bottom w:val="none" w:sz="0" w:space="0" w:color="auto"/>
                                                                                    <w:right w:val="none" w:sz="0" w:space="0" w:color="auto"/>
                                                                                  </w:divBdr>
                                                                                  <w:divsChild>
                                                                                    <w:div w:id="11744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230948">
      <w:bodyDiv w:val="1"/>
      <w:marLeft w:val="0"/>
      <w:marRight w:val="0"/>
      <w:marTop w:val="0"/>
      <w:marBottom w:val="0"/>
      <w:divBdr>
        <w:top w:val="none" w:sz="0" w:space="0" w:color="auto"/>
        <w:left w:val="none" w:sz="0" w:space="0" w:color="auto"/>
        <w:bottom w:val="none" w:sz="0" w:space="0" w:color="auto"/>
        <w:right w:val="none" w:sz="0" w:space="0" w:color="auto"/>
      </w:divBdr>
    </w:div>
    <w:div w:id="1171792433">
      <w:bodyDiv w:val="1"/>
      <w:marLeft w:val="0"/>
      <w:marRight w:val="0"/>
      <w:marTop w:val="0"/>
      <w:marBottom w:val="0"/>
      <w:divBdr>
        <w:top w:val="none" w:sz="0" w:space="0" w:color="auto"/>
        <w:left w:val="none" w:sz="0" w:space="0" w:color="auto"/>
        <w:bottom w:val="none" w:sz="0" w:space="0" w:color="auto"/>
        <w:right w:val="none" w:sz="0" w:space="0" w:color="auto"/>
      </w:divBdr>
    </w:div>
    <w:div w:id="1203056247">
      <w:bodyDiv w:val="1"/>
      <w:marLeft w:val="0"/>
      <w:marRight w:val="0"/>
      <w:marTop w:val="0"/>
      <w:marBottom w:val="0"/>
      <w:divBdr>
        <w:top w:val="none" w:sz="0" w:space="0" w:color="auto"/>
        <w:left w:val="none" w:sz="0" w:space="0" w:color="auto"/>
        <w:bottom w:val="none" w:sz="0" w:space="0" w:color="auto"/>
        <w:right w:val="none" w:sz="0" w:space="0" w:color="auto"/>
      </w:divBdr>
    </w:div>
    <w:div w:id="1252734845">
      <w:bodyDiv w:val="1"/>
      <w:marLeft w:val="0"/>
      <w:marRight w:val="0"/>
      <w:marTop w:val="0"/>
      <w:marBottom w:val="0"/>
      <w:divBdr>
        <w:top w:val="none" w:sz="0" w:space="0" w:color="auto"/>
        <w:left w:val="none" w:sz="0" w:space="0" w:color="auto"/>
        <w:bottom w:val="none" w:sz="0" w:space="0" w:color="auto"/>
        <w:right w:val="none" w:sz="0" w:space="0" w:color="auto"/>
      </w:divBdr>
    </w:div>
    <w:div w:id="1548033493">
      <w:bodyDiv w:val="1"/>
      <w:marLeft w:val="0"/>
      <w:marRight w:val="0"/>
      <w:marTop w:val="0"/>
      <w:marBottom w:val="0"/>
      <w:divBdr>
        <w:top w:val="none" w:sz="0" w:space="0" w:color="auto"/>
        <w:left w:val="none" w:sz="0" w:space="0" w:color="auto"/>
        <w:bottom w:val="none" w:sz="0" w:space="0" w:color="auto"/>
        <w:right w:val="none" w:sz="0" w:space="0" w:color="auto"/>
      </w:divBdr>
    </w:div>
    <w:div w:id="1678925450">
      <w:bodyDiv w:val="1"/>
      <w:marLeft w:val="0"/>
      <w:marRight w:val="0"/>
      <w:marTop w:val="0"/>
      <w:marBottom w:val="0"/>
      <w:divBdr>
        <w:top w:val="none" w:sz="0" w:space="0" w:color="auto"/>
        <w:left w:val="none" w:sz="0" w:space="0" w:color="auto"/>
        <w:bottom w:val="none" w:sz="0" w:space="0" w:color="auto"/>
        <w:right w:val="none" w:sz="0" w:space="0" w:color="auto"/>
      </w:divBdr>
    </w:div>
    <w:div w:id="1913810957">
      <w:bodyDiv w:val="1"/>
      <w:marLeft w:val="0"/>
      <w:marRight w:val="0"/>
      <w:marTop w:val="0"/>
      <w:marBottom w:val="0"/>
      <w:divBdr>
        <w:top w:val="none" w:sz="0" w:space="0" w:color="auto"/>
        <w:left w:val="none" w:sz="0" w:space="0" w:color="auto"/>
        <w:bottom w:val="none" w:sz="0" w:space="0" w:color="auto"/>
        <w:right w:val="none" w:sz="0" w:space="0" w:color="auto"/>
      </w:divBdr>
    </w:div>
    <w:div w:id="1948804220">
      <w:bodyDiv w:val="1"/>
      <w:marLeft w:val="0"/>
      <w:marRight w:val="0"/>
      <w:marTop w:val="0"/>
      <w:marBottom w:val="0"/>
      <w:divBdr>
        <w:top w:val="none" w:sz="0" w:space="0" w:color="auto"/>
        <w:left w:val="none" w:sz="0" w:space="0" w:color="auto"/>
        <w:bottom w:val="none" w:sz="0" w:space="0" w:color="auto"/>
        <w:right w:val="none" w:sz="0" w:space="0" w:color="auto"/>
      </w:divBdr>
    </w:div>
    <w:div w:id="2014454657">
      <w:bodyDiv w:val="1"/>
      <w:marLeft w:val="0"/>
      <w:marRight w:val="0"/>
      <w:marTop w:val="0"/>
      <w:marBottom w:val="0"/>
      <w:divBdr>
        <w:top w:val="none" w:sz="0" w:space="0" w:color="auto"/>
        <w:left w:val="none" w:sz="0" w:space="0" w:color="auto"/>
        <w:bottom w:val="none" w:sz="0" w:space="0" w:color="auto"/>
        <w:right w:val="none" w:sz="0" w:space="0" w:color="auto"/>
      </w:divBdr>
    </w:div>
    <w:div w:id="2081832571">
      <w:bodyDiv w:val="1"/>
      <w:marLeft w:val="0"/>
      <w:marRight w:val="0"/>
      <w:marTop w:val="0"/>
      <w:marBottom w:val="0"/>
      <w:divBdr>
        <w:top w:val="none" w:sz="0" w:space="0" w:color="auto"/>
        <w:left w:val="none" w:sz="0" w:space="0" w:color="auto"/>
        <w:bottom w:val="none" w:sz="0" w:space="0" w:color="auto"/>
        <w:right w:val="none" w:sz="0" w:space="0" w:color="auto"/>
      </w:divBdr>
    </w:div>
    <w:div w:id="2102874448">
      <w:bodyDiv w:val="1"/>
      <w:marLeft w:val="0"/>
      <w:marRight w:val="0"/>
      <w:marTop w:val="0"/>
      <w:marBottom w:val="0"/>
      <w:divBdr>
        <w:top w:val="none" w:sz="0" w:space="0" w:color="auto"/>
        <w:left w:val="none" w:sz="0" w:space="0" w:color="auto"/>
        <w:bottom w:val="none" w:sz="0" w:space="0" w:color="auto"/>
        <w:right w:val="none" w:sz="0" w:space="0" w:color="auto"/>
      </w:divBdr>
    </w:div>
    <w:div w:id="214612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6.png"/><Relationship Id="rId39" Type="http://schemas.openxmlformats.org/officeDocument/2006/relationships/hyperlink" Target="http://www.tga.gov.au"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hyperlink" Target="http://www.tga.gov.au/hp/information-medicines-pi.htm"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9.emf"/><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2.emf"/><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8.emf"/><Relationship Id="rId36" Type="http://schemas.openxmlformats.org/officeDocument/2006/relationships/header" Target="header5.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image" Target="media/image21.emf"/><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10.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www.answers.com/topic/heart-rate" TargetMode="External"/><Relationship Id="rId7" Type="http://schemas.openxmlformats.org/officeDocument/2006/relationships/hyperlink" Target="http://www.tga.gov.au/pdf/auspar/auspar-glycopyrronium-130710.pdf" TargetMode="External"/><Relationship Id="rId2" Type="http://schemas.openxmlformats.org/officeDocument/2006/relationships/image" Target="media/image12.png"/><Relationship Id="rId1" Type="http://schemas.openxmlformats.org/officeDocument/2006/relationships/hyperlink" Target="http://www.answers.com/topic/heart-rate" TargetMode="External"/><Relationship Id="rId6" Type="http://schemas.openxmlformats.org/officeDocument/2006/relationships/hyperlink" Target="http://db.cbg-meb.nl/mri/par/nlh-0718-001.pdf" TargetMode="External"/><Relationship Id="rId5" Type="http://schemas.openxmlformats.org/officeDocument/2006/relationships/hyperlink" Target="http://www.ema.europa.eu/docs/en_GB/document_library/EPAR_-_Public_assessment_report/human/002706/WC500132734.pdf" TargetMode="External"/><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71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FECB8-4D6C-4646-8705-C14DC201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210</TotalTime>
  <Pages>86</Pages>
  <Words>31764</Words>
  <Characters>181057</Characters>
  <Application>Microsoft Office Word</Application>
  <DocSecurity>0</DocSecurity>
  <Lines>1508</Lines>
  <Paragraphs>424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Australian public assessment for...</vt:lpstr>
      <vt:lpstr>Australian public assessment for...</vt:lpstr>
    </vt:vector>
  </TitlesOfParts>
  <Company>Department of Health Therapeutic Goods Administration</Company>
  <LinksUpToDate>false</LinksUpToDate>
  <CharactersWithSpaces>212397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Aclidinium bromide</dc:title>
  <dc:subject>prescription medicine regulation</dc:subject>
  <dc:creator>Therapeutic Goods Administration</dc:creator>
  <cp:keywords>auspar, prescription, medicine, assessment, regulation, australia, aclidinium, bromide, bretaris, genuair, menarini</cp:keywords>
  <cp:lastModifiedBy>Dixon, Jenna</cp:lastModifiedBy>
  <cp:revision>31</cp:revision>
  <cp:lastPrinted>2014-08-05T23:49:00Z</cp:lastPrinted>
  <dcterms:created xsi:type="dcterms:W3CDTF">2014-09-08T02:05:00Z</dcterms:created>
  <dcterms:modified xsi:type="dcterms:W3CDTF">2014-10-03T06:08:00Z</dcterms:modified>
  <cp:category>external publication</cp:category>
</cp:coreProperties>
</file>