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C9E10ED" w14:textId="77777777" w:rsidTr="00BF1190">
        <w:trPr>
          <w:trHeight w:val="1863"/>
        </w:trPr>
        <w:tc>
          <w:tcPr>
            <w:tcW w:w="3652" w:type="dxa"/>
            <w:tcBorders>
              <w:top w:val="nil"/>
              <w:left w:val="nil"/>
              <w:bottom w:val="nil"/>
              <w:right w:val="nil"/>
            </w:tcBorders>
          </w:tcPr>
          <w:p w14:paraId="5B07FDBD" w14:textId="6B2D0D3B" w:rsidR="008E7846" w:rsidRPr="00096AA7" w:rsidRDefault="007731DF" w:rsidP="00096AA7">
            <w:pPr>
              <w:rPr>
                <w:rFonts w:ascii="Arial" w:hAnsi="Arial" w:cs="Arial"/>
                <w:b/>
                <w:color w:val="002C47"/>
                <w:sz w:val="36"/>
                <w:szCs w:val="36"/>
              </w:rPr>
            </w:pPr>
            <w:r>
              <w:rPr>
                <w:rFonts w:ascii="Arial" w:hAnsi="Arial" w:cs="Arial"/>
                <w:b/>
                <w:color w:val="002C47"/>
                <w:sz w:val="36"/>
                <w:szCs w:val="36"/>
              </w:rPr>
              <w:t xml:space="preserve">February </w:t>
            </w:r>
            <w:r w:rsidR="00F82548">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78BB30C" w14:textId="77777777" w:rsidTr="0032583B">
        <w:trPr>
          <w:trHeight w:val="868"/>
        </w:trPr>
        <w:tc>
          <w:tcPr>
            <w:tcW w:w="9079" w:type="dxa"/>
          </w:tcPr>
          <w:p w14:paraId="36FC4910"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C55ACC" w:rsidRPr="00C55ACC">
              <w:rPr>
                <w:color w:val="FFFFFF" w:themeColor="background1"/>
              </w:rPr>
              <w:t>Acalabrutinib</w:t>
            </w:r>
            <w:proofErr w:type="spellEnd"/>
          </w:p>
        </w:tc>
      </w:tr>
      <w:tr w:rsidR="0032583B" w:rsidRPr="00B64760" w14:paraId="33B70AB1" w14:textId="77777777" w:rsidTr="0032583B">
        <w:tc>
          <w:tcPr>
            <w:tcW w:w="9079" w:type="dxa"/>
          </w:tcPr>
          <w:p w14:paraId="15608ABC" w14:textId="77777777"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C55ACC" w:rsidRPr="00C55ACC">
              <w:rPr>
                <w:color w:val="FFFFFF" w:themeColor="background1"/>
              </w:rPr>
              <w:t>Calquence</w:t>
            </w:r>
            <w:proofErr w:type="spellEnd"/>
          </w:p>
        </w:tc>
      </w:tr>
      <w:tr w:rsidR="0032583B" w:rsidRPr="00B64760" w14:paraId="00495854" w14:textId="77777777" w:rsidTr="0032583B">
        <w:trPr>
          <w:trHeight w:val="486"/>
        </w:trPr>
        <w:tc>
          <w:tcPr>
            <w:tcW w:w="9079" w:type="dxa"/>
          </w:tcPr>
          <w:p w14:paraId="1021EB37"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C55ACC" w:rsidRPr="00C55ACC">
              <w:rPr>
                <w:color w:val="FFFFFF" w:themeColor="background1"/>
              </w:rPr>
              <w:t>AstraZeneca Pty Ltd</w:t>
            </w:r>
          </w:p>
        </w:tc>
      </w:tr>
    </w:tbl>
    <w:p w14:paraId="18CE3C99" w14:textId="77777777" w:rsidR="008E7846" w:rsidRPr="0085156D" w:rsidRDefault="008E7846" w:rsidP="0085156D">
      <w:r w:rsidRPr="0085156D">
        <w:br w:type="page"/>
      </w:r>
    </w:p>
    <w:p w14:paraId="3AF78842" w14:textId="77777777" w:rsidR="008E7846" w:rsidRPr="001F6CBA" w:rsidRDefault="008E7846" w:rsidP="008E7846">
      <w:pPr>
        <w:pStyle w:val="NonTOCHeading2"/>
      </w:pPr>
      <w:r w:rsidRPr="001F6CBA">
        <w:lastRenderedPageBreak/>
        <w:t>About the Therapeutic Goods Administration (TGA)</w:t>
      </w:r>
    </w:p>
    <w:p w14:paraId="4533298B"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6CD962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8075700"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CA1713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88233FD"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561129EE" w14:textId="77777777" w:rsidR="008E7846" w:rsidRDefault="008E7846" w:rsidP="00875A6B">
      <w:pPr>
        <w:pStyle w:val="NonTOCHeading2"/>
      </w:pPr>
      <w:r>
        <w:t>About AusPARs</w:t>
      </w:r>
    </w:p>
    <w:p w14:paraId="6B827210"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65ED184" w14:textId="77777777" w:rsidR="008E7846" w:rsidRDefault="008E7846" w:rsidP="008E7846">
      <w:pPr>
        <w:pStyle w:val="ListBullet"/>
        <w:numPr>
          <w:ilvl w:val="0"/>
          <w:numId w:val="3"/>
        </w:numPr>
        <w:ind w:left="357" w:hanging="357"/>
      </w:pPr>
      <w:r>
        <w:t>AusPARs are prepared and published by the TGA.</w:t>
      </w:r>
    </w:p>
    <w:p w14:paraId="7E98789C"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3A57F9B3"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C1319C6"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3D0A149" w14:textId="77777777" w:rsidR="00924482" w:rsidRPr="00DF1D7F" w:rsidRDefault="00924482" w:rsidP="00F54B65">
      <w:pPr>
        <w:pStyle w:val="LegalSubheading"/>
        <w:spacing w:before="3120"/>
      </w:pPr>
      <w:r w:rsidRPr="00DF1D7F">
        <w:t>Copyright</w:t>
      </w:r>
    </w:p>
    <w:p w14:paraId="55C85DFC" w14:textId="7B77D4B4" w:rsidR="00924482" w:rsidRDefault="00924482" w:rsidP="00924482">
      <w:pPr>
        <w:pStyle w:val="LegalCopy"/>
      </w:pPr>
      <w:r w:rsidRPr="00191B3B">
        <w:rPr>
          <w:rFonts w:cs="Arial"/>
          <w:lang w:val="en-GB"/>
        </w:rPr>
        <w:t>© Comm</w:t>
      </w:r>
      <w:r>
        <w:rPr>
          <w:rFonts w:cs="Arial"/>
          <w:lang w:val="en-GB"/>
        </w:rPr>
        <w:t>onwealth of Australia 20</w:t>
      </w:r>
      <w:r w:rsidR="00E1111E">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02CA7F0B"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D786B17" w14:textId="77777777" w:rsidR="0089635C" w:rsidRPr="0089635C" w:rsidRDefault="0089635C" w:rsidP="0010788A">
          <w:pPr>
            <w:pStyle w:val="Contents"/>
          </w:pPr>
          <w:r w:rsidRPr="0010788A">
            <w:t>Cont</w:t>
          </w:r>
          <w:bookmarkStart w:id="2" w:name="_GoBack"/>
          <w:bookmarkEnd w:id="2"/>
          <w:r w:rsidRPr="0010788A">
            <w:t>ents</w:t>
          </w:r>
        </w:p>
        <w:p w14:paraId="74DBB407" w14:textId="3E68C693" w:rsidR="00AB501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4134740" w:history="1">
            <w:r w:rsidR="00AB5014" w:rsidRPr="003D0F02">
              <w:rPr>
                <w:rStyle w:val="Hyperlink"/>
                <w:noProof/>
              </w:rPr>
              <w:t>Common abbreviations</w:t>
            </w:r>
            <w:r w:rsidR="00AB5014">
              <w:rPr>
                <w:noProof/>
                <w:webHidden/>
              </w:rPr>
              <w:tab/>
            </w:r>
            <w:r w:rsidR="00AB5014">
              <w:rPr>
                <w:noProof/>
                <w:webHidden/>
              </w:rPr>
              <w:fldChar w:fldCharType="begin"/>
            </w:r>
            <w:r w:rsidR="00AB5014">
              <w:rPr>
                <w:noProof/>
                <w:webHidden/>
              </w:rPr>
              <w:instrText xml:space="preserve"> PAGEREF _Toc34134740 \h </w:instrText>
            </w:r>
            <w:r w:rsidR="00AB5014">
              <w:rPr>
                <w:noProof/>
                <w:webHidden/>
              </w:rPr>
            </w:r>
            <w:r w:rsidR="00AB5014">
              <w:rPr>
                <w:noProof/>
                <w:webHidden/>
              </w:rPr>
              <w:fldChar w:fldCharType="separate"/>
            </w:r>
            <w:r w:rsidR="00AB5014">
              <w:rPr>
                <w:noProof/>
                <w:webHidden/>
              </w:rPr>
              <w:t>4</w:t>
            </w:r>
            <w:r w:rsidR="00AB5014">
              <w:rPr>
                <w:noProof/>
                <w:webHidden/>
              </w:rPr>
              <w:fldChar w:fldCharType="end"/>
            </w:r>
          </w:hyperlink>
        </w:p>
        <w:p w14:paraId="2B967551" w14:textId="078C691B" w:rsidR="00AB5014" w:rsidRDefault="00AB5014">
          <w:pPr>
            <w:pStyle w:val="TOC2"/>
            <w:rPr>
              <w:rFonts w:asciiTheme="minorHAnsi" w:eastAsiaTheme="minorEastAsia" w:hAnsiTheme="minorHAnsi" w:cstheme="minorBidi"/>
              <w:b w:val="0"/>
              <w:noProof/>
              <w:sz w:val="22"/>
              <w:lang w:eastAsia="en-AU"/>
            </w:rPr>
          </w:pPr>
          <w:hyperlink w:anchor="_Toc34134741" w:history="1">
            <w:r w:rsidRPr="003D0F02">
              <w:rPr>
                <w:rStyle w:val="Hyperlink"/>
                <w:noProof/>
              </w:rPr>
              <w:t>I. Introduction to product submission</w:t>
            </w:r>
            <w:r>
              <w:rPr>
                <w:noProof/>
                <w:webHidden/>
              </w:rPr>
              <w:tab/>
            </w:r>
            <w:r>
              <w:rPr>
                <w:noProof/>
                <w:webHidden/>
              </w:rPr>
              <w:fldChar w:fldCharType="begin"/>
            </w:r>
            <w:r>
              <w:rPr>
                <w:noProof/>
                <w:webHidden/>
              </w:rPr>
              <w:instrText xml:space="preserve"> PAGEREF _Toc34134741 \h </w:instrText>
            </w:r>
            <w:r>
              <w:rPr>
                <w:noProof/>
                <w:webHidden/>
              </w:rPr>
            </w:r>
            <w:r>
              <w:rPr>
                <w:noProof/>
                <w:webHidden/>
              </w:rPr>
              <w:fldChar w:fldCharType="separate"/>
            </w:r>
            <w:r>
              <w:rPr>
                <w:noProof/>
                <w:webHidden/>
              </w:rPr>
              <w:t>6</w:t>
            </w:r>
            <w:r>
              <w:rPr>
                <w:noProof/>
                <w:webHidden/>
              </w:rPr>
              <w:fldChar w:fldCharType="end"/>
            </w:r>
          </w:hyperlink>
        </w:p>
        <w:p w14:paraId="461F792B" w14:textId="6B65C4FF" w:rsidR="00AB5014" w:rsidRDefault="00AB5014">
          <w:pPr>
            <w:pStyle w:val="TOC3"/>
            <w:rPr>
              <w:rFonts w:asciiTheme="minorHAnsi" w:eastAsiaTheme="minorEastAsia" w:hAnsiTheme="minorHAnsi" w:cstheme="minorBidi"/>
              <w:noProof/>
              <w:lang w:eastAsia="en-AU"/>
            </w:rPr>
          </w:pPr>
          <w:hyperlink w:anchor="_Toc34134742" w:history="1">
            <w:r w:rsidRPr="003D0F02">
              <w:rPr>
                <w:rStyle w:val="Hyperlink"/>
                <w:noProof/>
                <w:lang w:eastAsia="en-AU"/>
              </w:rPr>
              <w:t>Submission details</w:t>
            </w:r>
            <w:r>
              <w:rPr>
                <w:noProof/>
                <w:webHidden/>
              </w:rPr>
              <w:tab/>
            </w:r>
            <w:r>
              <w:rPr>
                <w:noProof/>
                <w:webHidden/>
              </w:rPr>
              <w:fldChar w:fldCharType="begin"/>
            </w:r>
            <w:r>
              <w:rPr>
                <w:noProof/>
                <w:webHidden/>
              </w:rPr>
              <w:instrText xml:space="preserve"> PAGEREF _Toc34134742 \h </w:instrText>
            </w:r>
            <w:r>
              <w:rPr>
                <w:noProof/>
                <w:webHidden/>
              </w:rPr>
            </w:r>
            <w:r>
              <w:rPr>
                <w:noProof/>
                <w:webHidden/>
              </w:rPr>
              <w:fldChar w:fldCharType="separate"/>
            </w:r>
            <w:r>
              <w:rPr>
                <w:noProof/>
                <w:webHidden/>
              </w:rPr>
              <w:t>6</w:t>
            </w:r>
            <w:r>
              <w:rPr>
                <w:noProof/>
                <w:webHidden/>
              </w:rPr>
              <w:fldChar w:fldCharType="end"/>
            </w:r>
          </w:hyperlink>
        </w:p>
        <w:p w14:paraId="4078512B" w14:textId="47114B6A" w:rsidR="00AB5014" w:rsidRDefault="00AB5014">
          <w:pPr>
            <w:pStyle w:val="TOC3"/>
            <w:rPr>
              <w:rFonts w:asciiTheme="minorHAnsi" w:eastAsiaTheme="minorEastAsia" w:hAnsiTheme="minorHAnsi" w:cstheme="minorBidi"/>
              <w:noProof/>
              <w:lang w:eastAsia="en-AU"/>
            </w:rPr>
          </w:pPr>
          <w:hyperlink w:anchor="_Toc34134743" w:history="1">
            <w:r w:rsidRPr="003D0F02">
              <w:rPr>
                <w:rStyle w:val="Hyperlink"/>
                <w:noProof/>
              </w:rPr>
              <w:t>Product background</w:t>
            </w:r>
            <w:r>
              <w:rPr>
                <w:noProof/>
                <w:webHidden/>
              </w:rPr>
              <w:tab/>
            </w:r>
            <w:r>
              <w:rPr>
                <w:noProof/>
                <w:webHidden/>
              </w:rPr>
              <w:fldChar w:fldCharType="begin"/>
            </w:r>
            <w:r>
              <w:rPr>
                <w:noProof/>
                <w:webHidden/>
              </w:rPr>
              <w:instrText xml:space="preserve"> PAGEREF _Toc34134743 \h </w:instrText>
            </w:r>
            <w:r>
              <w:rPr>
                <w:noProof/>
                <w:webHidden/>
              </w:rPr>
            </w:r>
            <w:r>
              <w:rPr>
                <w:noProof/>
                <w:webHidden/>
              </w:rPr>
              <w:fldChar w:fldCharType="separate"/>
            </w:r>
            <w:r>
              <w:rPr>
                <w:noProof/>
                <w:webHidden/>
              </w:rPr>
              <w:t>7</w:t>
            </w:r>
            <w:r>
              <w:rPr>
                <w:noProof/>
                <w:webHidden/>
              </w:rPr>
              <w:fldChar w:fldCharType="end"/>
            </w:r>
          </w:hyperlink>
        </w:p>
        <w:p w14:paraId="62CEC3B3" w14:textId="44879F47" w:rsidR="00AB5014" w:rsidRDefault="00AB5014">
          <w:pPr>
            <w:pStyle w:val="TOC3"/>
            <w:rPr>
              <w:rFonts w:asciiTheme="minorHAnsi" w:eastAsiaTheme="minorEastAsia" w:hAnsiTheme="minorHAnsi" w:cstheme="minorBidi"/>
              <w:noProof/>
              <w:lang w:eastAsia="en-AU"/>
            </w:rPr>
          </w:pPr>
          <w:hyperlink w:anchor="_Toc34134744" w:history="1">
            <w:r w:rsidRPr="003D0F02">
              <w:rPr>
                <w:rStyle w:val="Hyperlink"/>
                <w:noProof/>
              </w:rPr>
              <w:t>Regulatory status</w:t>
            </w:r>
            <w:r>
              <w:rPr>
                <w:noProof/>
                <w:webHidden/>
              </w:rPr>
              <w:tab/>
            </w:r>
            <w:r>
              <w:rPr>
                <w:noProof/>
                <w:webHidden/>
              </w:rPr>
              <w:fldChar w:fldCharType="begin"/>
            </w:r>
            <w:r>
              <w:rPr>
                <w:noProof/>
                <w:webHidden/>
              </w:rPr>
              <w:instrText xml:space="preserve"> PAGEREF _Toc34134744 \h </w:instrText>
            </w:r>
            <w:r>
              <w:rPr>
                <w:noProof/>
                <w:webHidden/>
              </w:rPr>
            </w:r>
            <w:r>
              <w:rPr>
                <w:noProof/>
                <w:webHidden/>
              </w:rPr>
              <w:fldChar w:fldCharType="separate"/>
            </w:r>
            <w:r>
              <w:rPr>
                <w:noProof/>
                <w:webHidden/>
              </w:rPr>
              <w:t>8</w:t>
            </w:r>
            <w:r>
              <w:rPr>
                <w:noProof/>
                <w:webHidden/>
              </w:rPr>
              <w:fldChar w:fldCharType="end"/>
            </w:r>
          </w:hyperlink>
        </w:p>
        <w:p w14:paraId="31368524" w14:textId="3C7A38F8" w:rsidR="00AB5014" w:rsidRDefault="00AB5014">
          <w:pPr>
            <w:pStyle w:val="TOC3"/>
            <w:rPr>
              <w:rFonts w:asciiTheme="minorHAnsi" w:eastAsiaTheme="minorEastAsia" w:hAnsiTheme="minorHAnsi" w:cstheme="minorBidi"/>
              <w:noProof/>
              <w:lang w:eastAsia="en-AU"/>
            </w:rPr>
          </w:pPr>
          <w:hyperlink w:anchor="_Toc34134745" w:history="1">
            <w:r w:rsidRPr="003D0F02">
              <w:rPr>
                <w:rStyle w:val="Hyperlink"/>
                <w:noProof/>
              </w:rPr>
              <w:t>Product Information</w:t>
            </w:r>
            <w:r>
              <w:rPr>
                <w:noProof/>
                <w:webHidden/>
              </w:rPr>
              <w:tab/>
            </w:r>
            <w:r>
              <w:rPr>
                <w:noProof/>
                <w:webHidden/>
              </w:rPr>
              <w:fldChar w:fldCharType="begin"/>
            </w:r>
            <w:r>
              <w:rPr>
                <w:noProof/>
                <w:webHidden/>
              </w:rPr>
              <w:instrText xml:space="preserve"> PAGEREF _Toc34134745 \h </w:instrText>
            </w:r>
            <w:r>
              <w:rPr>
                <w:noProof/>
                <w:webHidden/>
              </w:rPr>
            </w:r>
            <w:r>
              <w:rPr>
                <w:noProof/>
                <w:webHidden/>
              </w:rPr>
              <w:fldChar w:fldCharType="separate"/>
            </w:r>
            <w:r>
              <w:rPr>
                <w:noProof/>
                <w:webHidden/>
              </w:rPr>
              <w:t>8</w:t>
            </w:r>
            <w:r>
              <w:rPr>
                <w:noProof/>
                <w:webHidden/>
              </w:rPr>
              <w:fldChar w:fldCharType="end"/>
            </w:r>
          </w:hyperlink>
        </w:p>
        <w:p w14:paraId="139E8B20" w14:textId="060F9588" w:rsidR="00AB5014" w:rsidRDefault="00AB5014">
          <w:pPr>
            <w:pStyle w:val="TOC2"/>
            <w:rPr>
              <w:rFonts w:asciiTheme="minorHAnsi" w:eastAsiaTheme="minorEastAsia" w:hAnsiTheme="minorHAnsi" w:cstheme="minorBidi"/>
              <w:b w:val="0"/>
              <w:noProof/>
              <w:sz w:val="22"/>
              <w:lang w:eastAsia="en-AU"/>
            </w:rPr>
          </w:pPr>
          <w:hyperlink w:anchor="_Toc34134746" w:history="1">
            <w:r w:rsidRPr="003D0F02">
              <w:rPr>
                <w:rStyle w:val="Hyperlink"/>
                <w:noProof/>
              </w:rPr>
              <w:t>II. Registration timeline</w:t>
            </w:r>
            <w:r>
              <w:rPr>
                <w:noProof/>
                <w:webHidden/>
              </w:rPr>
              <w:tab/>
            </w:r>
            <w:r>
              <w:rPr>
                <w:noProof/>
                <w:webHidden/>
              </w:rPr>
              <w:fldChar w:fldCharType="begin"/>
            </w:r>
            <w:r>
              <w:rPr>
                <w:noProof/>
                <w:webHidden/>
              </w:rPr>
              <w:instrText xml:space="preserve"> PAGEREF _Toc34134746 \h </w:instrText>
            </w:r>
            <w:r>
              <w:rPr>
                <w:noProof/>
                <w:webHidden/>
              </w:rPr>
            </w:r>
            <w:r>
              <w:rPr>
                <w:noProof/>
                <w:webHidden/>
              </w:rPr>
              <w:fldChar w:fldCharType="separate"/>
            </w:r>
            <w:r>
              <w:rPr>
                <w:noProof/>
                <w:webHidden/>
              </w:rPr>
              <w:t>8</w:t>
            </w:r>
            <w:r>
              <w:rPr>
                <w:noProof/>
                <w:webHidden/>
              </w:rPr>
              <w:fldChar w:fldCharType="end"/>
            </w:r>
          </w:hyperlink>
        </w:p>
        <w:p w14:paraId="444C0452" w14:textId="16561A4C" w:rsidR="00AB5014" w:rsidRDefault="00AB5014">
          <w:pPr>
            <w:pStyle w:val="TOC2"/>
            <w:rPr>
              <w:rFonts w:asciiTheme="minorHAnsi" w:eastAsiaTheme="minorEastAsia" w:hAnsiTheme="minorHAnsi" w:cstheme="minorBidi"/>
              <w:b w:val="0"/>
              <w:noProof/>
              <w:sz w:val="22"/>
              <w:lang w:eastAsia="en-AU"/>
            </w:rPr>
          </w:pPr>
          <w:hyperlink w:anchor="_Toc34134747" w:history="1">
            <w:r w:rsidRPr="003D0F02">
              <w:rPr>
                <w:rStyle w:val="Hyperlink"/>
                <w:noProof/>
              </w:rPr>
              <w:t>III. Submission overview and risk/benefit assessment</w:t>
            </w:r>
            <w:r>
              <w:rPr>
                <w:noProof/>
                <w:webHidden/>
              </w:rPr>
              <w:tab/>
            </w:r>
            <w:r>
              <w:rPr>
                <w:noProof/>
                <w:webHidden/>
              </w:rPr>
              <w:fldChar w:fldCharType="begin"/>
            </w:r>
            <w:r>
              <w:rPr>
                <w:noProof/>
                <w:webHidden/>
              </w:rPr>
              <w:instrText xml:space="preserve"> PAGEREF _Toc34134747 \h </w:instrText>
            </w:r>
            <w:r>
              <w:rPr>
                <w:noProof/>
                <w:webHidden/>
              </w:rPr>
            </w:r>
            <w:r>
              <w:rPr>
                <w:noProof/>
                <w:webHidden/>
              </w:rPr>
              <w:fldChar w:fldCharType="separate"/>
            </w:r>
            <w:r>
              <w:rPr>
                <w:noProof/>
                <w:webHidden/>
              </w:rPr>
              <w:t>9</w:t>
            </w:r>
            <w:r>
              <w:rPr>
                <w:noProof/>
                <w:webHidden/>
              </w:rPr>
              <w:fldChar w:fldCharType="end"/>
            </w:r>
          </w:hyperlink>
        </w:p>
        <w:p w14:paraId="334E9262" w14:textId="7E5DC772" w:rsidR="00AB5014" w:rsidRDefault="00AB5014">
          <w:pPr>
            <w:pStyle w:val="TOC3"/>
            <w:rPr>
              <w:rFonts w:asciiTheme="minorHAnsi" w:eastAsiaTheme="minorEastAsia" w:hAnsiTheme="minorHAnsi" w:cstheme="minorBidi"/>
              <w:noProof/>
              <w:lang w:eastAsia="en-AU"/>
            </w:rPr>
          </w:pPr>
          <w:hyperlink w:anchor="_Toc34134748" w:history="1">
            <w:r w:rsidRPr="003D0F02">
              <w:rPr>
                <w:rStyle w:val="Hyperlink"/>
                <w:noProof/>
              </w:rPr>
              <w:t>Quality</w:t>
            </w:r>
            <w:r>
              <w:rPr>
                <w:noProof/>
                <w:webHidden/>
              </w:rPr>
              <w:tab/>
            </w:r>
            <w:r>
              <w:rPr>
                <w:noProof/>
                <w:webHidden/>
              </w:rPr>
              <w:fldChar w:fldCharType="begin"/>
            </w:r>
            <w:r>
              <w:rPr>
                <w:noProof/>
                <w:webHidden/>
              </w:rPr>
              <w:instrText xml:space="preserve"> PAGEREF _Toc34134748 \h </w:instrText>
            </w:r>
            <w:r>
              <w:rPr>
                <w:noProof/>
                <w:webHidden/>
              </w:rPr>
            </w:r>
            <w:r>
              <w:rPr>
                <w:noProof/>
                <w:webHidden/>
              </w:rPr>
              <w:fldChar w:fldCharType="separate"/>
            </w:r>
            <w:r>
              <w:rPr>
                <w:noProof/>
                <w:webHidden/>
              </w:rPr>
              <w:t>9</w:t>
            </w:r>
            <w:r>
              <w:rPr>
                <w:noProof/>
                <w:webHidden/>
              </w:rPr>
              <w:fldChar w:fldCharType="end"/>
            </w:r>
          </w:hyperlink>
        </w:p>
        <w:p w14:paraId="68529636" w14:textId="11C56E96" w:rsidR="00AB5014" w:rsidRDefault="00AB5014">
          <w:pPr>
            <w:pStyle w:val="TOC3"/>
            <w:rPr>
              <w:rFonts w:asciiTheme="minorHAnsi" w:eastAsiaTheme="minorEastAsia" w:hAnsiTheme="minorHAnsi" w:cstheme="minorBidi"/>
              <w:noProof/>
              <w:lang w:eastAsia="en-AU"/>
            </w:rPr>
          </w:pPr>
          <w:hyperlink w:anchor="_Toc34134749" w:history="1">
            <w:r w:rsidRPr="003D0F02">
              <w:rPr>
                <w:rStyle w:val="Hyperlink"/>
                <w:noProof/>
              </w:rPr>
              <w:t>Nonclinical</w:t>
            </w:r>
            <w:r>
              <w:rPr>
                <w:noProof/>
                <w:webHidden/>
              </w:rPr>
              <w:tab/>
            </w:r>
            <w:r>
              <w:rPr>
                <w:noProof/>
                <w:webHidden/>
              </w:rPr>
              <w:fldChar w:fldCharType="begin"/>
            </w:r>
            <w:r>
              <w:rPr>
                <w:noProof/>
                <w:webHidden/>
              </w:rPr>
              <w:instrText xml:space="preserve"> PAGEREF _Toc34134749 \h </w:instrText>
            </w:r>
            <w:r>
              <w:rPr>
                <w:noProof/>
                <w:webHidden/>
              </w:rPr>
            </w:r>
            <w:r>
              <w:rPr>
                <w:noProof/>
                <w:webHidden/>
              </w:rPr>
              <w:fldChar w:fldCharType="separate"/>
            </w:r>
            <w:r>
              <w:rPr>
                <w:noProof/>
                <w:webHidden/>
              </w:rPr>
              <w:t>10</w:t>
            </w:r>
            <w:r>
              <w:rPr>
                <w:noProof/>
                <w:webHidden/>
              </w:rPr>
              <w:fldChar w:fldCharType="end"/>
            </w:r>
          </w:hyperlink>
        </w:p>
        <w:p w14:paraId="435982F0" w14:textId="61D68921" w:rsidR="00AB5014" w:rsidRDefault="00AB5014">
          <w:pPr>
            <w:pStyle w:val="TOC3"/>
            <w:rPr>
              <w:rFonts w:asciiTheme="minorHAnsi" w:eastAsiaTheme="minorEastAsia" w:hAnsiTheme="minorHAnsi" w:cstheme="minorBidi"/>
              <w:noProof/>
              <w:lang w:eastAsia="en-AU"/>
            </w:rPr>
          </w:pPr>
          <w:hyperlink w:anchor="_Toc34134750" w:history="1">
            <w:r w:rsidRPr="003D0F02">
              <w:rPr>
                <w:rStyle w:val="Hyperlink"/>
                <w:noProof/>
              </w:rPr>
              <w:t>Clinical</w:t>
            </w:r>
            <w:r>
              <w:rPr>
                <w:noProof/>
                <w:webHidden/>
              </w:rPr>
              <w:tab/>
            </w:r>
            <w:r>
              <w:rPr>
                <w:noProof/>
                <w:webHidden/>
              </w:rPr>
              <w:fldChar w:fldCharType="begin"/>
            </w:r>
            <w:r>
              <w:rPr>
                <w:noProof/>
                <w:webHidden/>
              </w:rPr>
              <w:instrText xml:space="preserve"> PAGEREF _Toc34134750 \h </w:instrText>
            </w:r>
            <w:r>
              <w:rPr>
                <w:noProof/>
                <w:webHidden/>
              </w:rPr>
            </w:r>
            <w:r>
              <w:rPr>
                <w:noProof/>
                <w:webHidden/>
              </w:rPr>
              <w:fldChar w:fldCharType="separate"/>
            </w:r>
            <w:r>
              <w:rPr>
                <w:noProof/>
                <w:webHidden/>
              </w:rPr>
              <w:t>12</w:t>
            </w:r>
            <w:r>
              <w:rPr>
                <w:noProof/>
                <w:webHidden/>
              </w:rPr>
              <w:fldChar w:fldCharType="end"/>
            </w:r>
          </w:hyperlink>
        </w:p>
        <w:p w14:paraId="5C010B8D" w14:textId="5CA71766" w:rsidR="00AB5014" w:rsidRDefault="00AB5014">
          <w:pPr>
            <w:pStyle w:val="TOC3"/>
            <w:rPr>
              <w:rFonts w:asciiTheme="minorHAnsi" w:eastAsiaTheme="minorEastAsia" w:hAnsiTheme="minorHAnsi" w:cstheme="minorBidi"/>
              <w:noProof/>
              <w:lang w:eastAsia="en-AU"/>
            </w:rPr>
          </w:pPr>
          <w:hyperlink w:anchor="_Toc34134751" w:history="1">
            <w:r w:rsidRPr="003D0F02">
              <w:rPr>
                <w:rStyle w:val="Hyperlink"/>
                <w:noProof/>
                <w:lang w:eastAsia="en-AU"/>
              </w:rPr>
              <w:t>Risk management plan</w:t>
            </w:r>
            <w:r>
              <w:rPr>
                <w:noProof/>
                <w:webHidden/>
              </w:rPr>
              <w:tab/>
            </w:r>
            <w:r>
              <w:rPr>
                <w:noProof/>
                <w:webHidden/>
              </w:rPr>
              <w:fldChar w:fldCharType="begin"/>
            </w:r>
            <w:r>
              <w:rPr>
                <w:noProof/>
                <w:webHidden/>
              </w:rPr>
              <w:instrText xml:space="preserve"> PAGEREF _Toc34134751 \h </w:instrText>
            </w:r>
            <w:r>
              <w:rPr>
                <w:noProof/>
                <w:webHidden/>
              </w:rPr>
            </w:r>
            <w:r>
              <w:rPr>
                <w:noProof/>
                <w:webHidden/>
              </w:rPr>
              <w:fldChar w:fldCharType="separate"/>
            </w:r>
            <w:r>
              <w:rPr>
                <w:noProof/>
                <w:webHidden/>
              </w:rPr>
              <w:t>15</w:t>
            </w:r>
            <w:r>
              <w:rPr>
                <w:noProof/>
                <w:webHidden/>
              </w:rPr>
              <w:fldChar w:fldCharType="end"/>
            </w:r>
          </w:hyperlink>
        </w:p>
        <w:p w14:paraId="2F24FC50" w14:textId="29F4294D" w:rsidR="00AB5014" w:rsidRDefault="00AB5014">
          <w:pPr>
            <w:pStyle w:val="TOC3"/>
            <w:rPr>
              <w:rFonts w:asciiTheme="minorHAnsi" w:eastAsiaTheme="minorEastAsia" w:hAnsiTheme="minorHAnsi" w:cstheme="minorBidi"/>
              <w:noProof/>
              <w:lang w:eastAsia="en-AU"/>
            </w:rPr>
          </w:pPr>
          <w:hyperlink w:anchor="_Toc34134752" w:history="1">
            <w:r w:rsidRPr="003D0F02">
              <w:rPr>
                <w:rStyle w:val="Hyperlink"/>
                <w:noProof/>
              </w:rPr>
              <w:t>Risk-benefit analysis</w:t>
            </w:r>
            <w:r>
              <w:rPr>
                <w:noProof/>
                <w:webHidden/>
              </w:rPr>
              <w:tab/>
            </w:r>
            <w:r>
              <w:rPr>
                <w:noProof/>
                <w:webHidden/>
              </w:rPr>
              <w:fldChar w:fldCharType="begin"/>
            </w:r>
            <w:r>
              <w:rPr>
                <w:noProof/>
                <w:webHidden/>
              </w:rPr>
              <w:instrText xml:space="preserve"> PAGEREF _Toc34134752 \h </w:instrText>
            </w:r>
            <w:r>
              <w:rPr>
                <w:noProof/>
                <w:webHidden/>
              </w:rPr>
            </w:r>
            <w:r>
              <w:rPr>
                <w:noProof/>
                <w:webHidden/>
              </w:rPr>
              <w:fldChar w:fldCharType="separate"/>
            </w:r>
            <w:r>
              <w:rPr>
                <w:noProof/>
                <w:webHidden/>
              </w:rPr>
              <w:t>17</w:t>
            </w:r>
            <w:r>
              <w:rPr>
                <w:noProof/>
                <w:webHidden/>
              </w:rPr>
              <w:fldChar w:fldCharType="end"/>
            </w:r>
          </w:hyperlink>
        </w:p>
        <w:p w14:paraId="38F0459B" w14:textId="4334F223" w:rsidR="00AB5014" w:rsidRDefault="00AB5014">
          <w:pPr>
            <w:pStyle w:val="TOC3"/>
            <w:rPr>
              <w:rFonts w:asciiTheme="minorHAnsi" w:eastAsiaTheme="minorEastAsia" w:hAnsiTheme="minorHAnsi" w:cstheme="minorBidi"/>
              <w:noProof/>
              <w:lang w:eastAsia="en-AU"/>
            </w:rPr>
          </w:pPr>
          <w:hyperlink w:anchor="_Toc34134753" w:history="1">
            <w:r w:rsidRPr="003D0F02">
              <w:rPr>
                <w:rStyle w:val="Hyperlink"/>
                <w:noProof/>
              </w:rPr>
              <w:t>Outcome</w:t>
            </w:r>
            <w:r>
              <w:rPr>
                <w:noProof/>
                <w:webHidden/>
              </w:rPr>
              <w:tab/>
            </w:r>
            <w:r>
              <w:rPr>
                <w:noProof/>
                <w:webHidden/>
              </w:rPr>
              <w:fldChar w:fldCharType="begin"/>
            </w:r>
            <w:r>
              <w:rPr>
                <w:noProof/>
                <w:webHidden/>
              </w:rPr>
              <w:instrText xml:space="preserve"> PAGEREF _Toc34134753 \h </w:instrText>
            </w:r>
            <w:r>
              <w:rPr>
                <w:noProof/>
                <w:webHidden/>
              </w:rPr>
            </w:r>
            <w:r>
              <w:rPr>
                <w:noProof/>
                <w:webHidden/>
              </w:rPr>
              <w:fldChar w:fldCharType="separate"/>
            </w:r>
            <w:r>
              <w:rPr>
                <w:noProof/>
                <w:webHidden/>
              </w:rPr>
              <w:t>18</w:t>
            </w:r>
            <w:r>
              <w:rPr>
                <w:noProof/>
                <w:webHidden/>
              </w:rPr>
              <w:fldChar w:fldCharType="end"/>
            </w:r>
          </w:hyperlink>
        </w:p>
        <w:p w14:paraId="74AB1C27" w14:textId="18FF50E0" w:rsidR="00AB5014" w:rsidRDefault="00AB5014">
          <w:pPr>
            <w:pStyle w:val="TOC2"/>
            <w:rPr>
              <w:rFonts w:asciiTheme="minorHAnsi" w:eastAsiaTheme="minorEastAsia" w:hAnsiTheme="minorHAnsi" w:cstheme="minorBidi"/>
              <w:b w:val="0"/>
              <w:noProof/>
              <w:sz w:val="22"/>
              <w:lang w:eastAsia="en-AU"/>
            </w:rPr>
          </w:pPr>
          <w:hyperlink w:anchor="_Toc34134754" w:history="1">
            <w:r w:rsidRPr="003D0F02">
              <w:rPr>
                <w:rStyle w:val="Hyperlink"/>
                <w:noProof/>
              </w:rPr>
              <w:t>Attachment 1. Product Information</w:t>
            </w:r>
            <w:r>
              <w:rPr>
                <w:noProof/>
                <w:webHidden/>
              </w:rPr>
              <w:tab/>
            </w:r>
            <w:r>
              <w:rPr>
                <w:noProof/>
                <w:webHidden/>
              </w:rPr>
              <w:fldChar w:fldCharType="begin"/>
            </w:r>
            <w:r>
              <w:rPr>
                <w:noProof/>
                <w:webHidden/>
              </w:rPr>
              <w:instrText xml:space="preserve"> PAGEREF _Toc34134754 \h </w:instrText>
            </w:r>
            <w:r>
              <w:rPr>
                <w:noProof/>
                <w:webHidden/>
              </w:rPr>
            </w:r>
            <w:r>
              <w:rPr>
                <w:noProof/>
                <w:webHidden/>
              </w:rPr>
              <w:fldChar w:fldCharType="separate"/>
            </w:r>
            <w:r>
              <w:rPr>
                <w:noProof/>
                <w:webHidden/>
              </w:rPr>
              <w:t>19</w:t>
            </w:r>
            <w:r>
              <w:rPr>
                <w:noProof/>
                <w:webHidden/>
              </w:rPr>
              <w:fldChar w:fldCharType="end"/>
            </w:r>
          </w:hyperlink>
        </w:p>
        <w:p w14:paraId="15B02906" w14:textId="073E1C98" w:rsidR="003A7F6C" w:rsidRPr="00B811C6" w:rsidRDefault="00DB6124" w:rsidP="00B811C6">
          <w:pPr>
            <w:pStyle w:val="TOC2"/>
          </w:pPr>
          <w:r>
            <w:fldChar w:fldCharType="end"/>
          </w:r>
        </w:p>
      </w:sdtContent>
    </w:sdt>
    <w:bookmarkStart w:id="3" w:name="_Toc314842482" w:displacedByCustomXml="prev"/>
    <w:p w14:paraId="22229390" w14:textId="77777777" w:rsidR="00FD119B" w:rsidRDefault="00FD119B">
      <w:pPr>
        <w:spacing w:before="0" w:after="200" w:line="0" w:lineRule="auto"/>
      </w:pPr>
      <w:r>
        <w:br w:type="page"/>
      </w:r>
    </w:p>
    <w:p w14:paraId="2383C0A0" w14:textId="77777777" w:rsidR="00C52E24" w:rsidRPr="00C52E24" w:rsidRDefault="00441C3F" w:rsidP="00CB3937">
      <w:pPr>
        <w:pStyle w:val="Heading2"/>
      </w:pPr>
      <w:bookmarkStart w:id="4" w:name="_Toc351716269"/>
      <w:bookmarkStart w:id="5" w:name="_Toc351718881"/>
      <w:bookmarkStart w:id="6" w:name="_Toc355338616"/>
      <w:bookmarkStart w:id="7" w:name="_Toc356306144"/>
      <w:bookmarkStart w:id="8" w:name="_Toc34134740"/>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CB3937" w:rsidRPr="00FD119B" w14:paraId="01BE05CF"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10816E47" w14:textId="77777777" w:rsidR="00CB3937" w:rsidRPr="00FD119B" w:rsidRDefault="00CB3937" w:rsidP="00FD119B">
            <w:pPr>
              <w:keepNext w:val="0"/>
              <w:ind w:left="0" w:right="0"/>
              <w:rPr>
                <w:szCs w:val="22"/>
                <w:lang w:eastAsia="en-US"/>
              </w:rPr>
            </w:pPr>
            <w:r w:rsidRPr="00FD119B">
              <w:rPr>
                <w:szCs w:val="22"/>
                <w:lang w:eastAsia="en-US"/>
              </w:rPr>
              <w:t>Abbreviation</w:t>
            </w:r>
          </w:p>
        </w:tc>
        <w:tc>
          <w:tcPr>
            <w:tcW w:w="6911" w:type="dxa"/>
          </w:tcPr>
          <w:p w14:paraId="50705D74" w14:textId="77777777" w:rsidR="00CB3937" w:rsidRPr="00FD119B" w:rsidRDefault="00CB3937" w:rsidP="00FD119B">
            <w:pPr>
              <w:keepNext w:val="0"/>
              <w:ind w:left="0" w:right="0"/>
              <w:rPr>
                <w:szCs w:val="22"/>
                <w:lang w:eastAsia="en-US"/>
              </w:rPr>
            </w:pPr>
            <w:r w:rsidRPr="00FD119B">
              <w:rPr>
                <w:szCs w:val="22"/>
                <w:lang w:eastAsia="en-US"/>
              </w:rPr>
              <w:t>Meaning</w:t>
            </w:r>
          </w:p>
        </w:tc>
      </w:tr>
      <w:tr w:rsidR="00CB3937" w:rsidRPr="00FD119B" w14:paraId="55EFF5CF" w14:textId="77777777" w:rsidTr="00FD119B">
        <w:tc>
          <w:tcPr>
            <w:tcW w:w="1809" w:type="dxa"/>
          </w:tcPr>
          <w:p w14:paraId="71F1816E" w14:textId="77777777" w:rsidR="00CB3937" w:rsidRDefault="00CB3937" w:rsidP="00FD119B">
            <w:r>
              <w:t>ACP-196</w:t>
            </w:r>
          </w:p>
        </w:tc>
        <w:tc>
          <w:tcPr>
            <w:tcW w:w="6911" w:type="dxa"/>
          </w:tcPr>
          <w:p w14:paraId="58FF51BF" w14:textId="77777777" w:rsidR="00CB3937" w:rsidRDefault="00CB3937" w:rsidP="00CA22EE">
            <w:proofErr w:type="spellStart"/>
            <w:r>
              <w:t>Acalabrutinib</w:t>
            </w:r>
            <w:proofErr w:type="spellEnd"/>
            <w:r>
              <w:t xml:space="preserve"> (drug development name)</w:t>
            </w:r>
          </w:p>
        </w:tc>
      </w:tr>
      <w:tr w:rsidR="00CB3937" w:rsidRPr="00FD119B" w14:paraId="178934FC" w14:textId="77777777" w:rsidTr="00FD119B">
        <w:tc>
          <w:tcPr>
            <w:tcW w:w="1809" w:type="dxa"/>
          </w:tcPr>
          <w:p w14:paraId="71B5F5D7" w14:textId="77777777" w:rsidR="00CB3937" w:rsidRDefault="00CB3937" w:rsidP="00FD119B">
            <w:r w:rsidRPr="00E5742C">
              <w:t>ACP-5862</w:t>
            </w:r>
          </w:p>
        </w:tc>
        <w:tc>
          <w:tcPr>
            <w:tcW w:w="6911" w:type="dxa"/>
          </w:tcPr>
          <w:p w14:paraId="6CA52BAB" w14:textId="12DE59AB" w:rsidR="00CB3937" w:rsidRDefault="005021EE" w:rsidP="008D7FA1">
            <w:r>
              <w:t>A</w:t>
            </w:r>
            <w:r w:rsidR="00FB4D51" w:rsidRPr="00CF365E">
              <w:t xml:space="preserve">ctive metabolite of </w:t>
            </w:r>
            <w:proofErr w:type="spellStart"/>
            <w:r w:rsidR="00FB4D51" w:rsidRPr="00CF365E">
              <w:t>acalabrutinib</w:t>
            </w:r>
            <w:proofErr w:type="spellEnd"/>
          </w:p>
        </w:tc>
      </w:tr>
      <w:tr w:rsidR="00CB3937" w:rsidRPr="00FD119B" w14:paraId="41E07E21" w14:textId="77777777" w:rsidTr="00FD119B">
        <w:tc>
          <w:tcPr>
            <w:tcW w:w="1809" w:type="dxa"/>
          </w:tcPr>
          <w:p w14:paraId="05C276C0" w14:textId="77777777" w:rsidR="00CB3937" w:rsidRDefault="00CB3937" w:rsidP="00FD119B">
            <w:r>
              <w:t>AE</w:t>
            </w:r>
          </w:p>
        </w:tc>
        <w:tc>
          <w:tcPr>
            <w:tcW w:w="6911" w:type="dxa"/>
          </w:tcPr>
          <w:p w14:paraId="10525701" w14:textId="77777777" w:rsidR="00CB3937" w:rsidRDefault="00CB3937" w:rsidP="005972D4">
            <w:r>
              <w:t>Adverse event</w:t>
            </w:r>
          </w:p>
        </w:tc>
      </w:tr>
      <w:tr w:rsidR="00CB3937" w:rsidRPr="00FD119B" w14:paraId="750354F1" w14:textId="77777777" w:rsidTr="00FD119B">
        <w:tc>
          <w:tcPr>
            <w:tcW w:w="1809" w:type="dxa"/>
          </w:tcPr>
          <w:p w14:paraId="5C539DBD" w14:textId="77777777" w:rsidR="00CB3937" w:rsidRPr="00E5742C" w:rsidRDefault="00CB3937" w:rsidP="00FD119B">
            <w:r>
              <w:rPr>
                <w:szCs w:val="20"/>
              </w:rPr>
              <w:t>ALT</w:t>
            </w:r>
          </w:p>
        </w:tc>
        <w:tc>
          <w:tcPr>
            <w:tcW w:w="6911" w:type="dxa"/>
          </w:tcPr>
          <w:p w14:paraId="0ED74F21" w14:textId="77777777" w:rsidR="00CB3937" w:rsidRDefault="00CB3937" w:rsidP="008D7FA1">
            <w:r>
              <w:rPr>
                <w:szCs w:val="20"/>
              </w:rPr>
              <w:t>Alanine aminotransferase</w:t>
            </w:r>
          </w:p>
        </w:tc>
      </w:tr>
      <w:tr w:rsidR="00CB3937" w:rsidRPr="00FD119B" w14:paraId="1F701444" w14:textId="77777777" w:rsidTr="00FD119B">
        <w:tc>
          <w:tcPr>
            <w:tcW w:w="1809" w:type="dxa"/>
          </w:tcPr>
          <w:p w14:paraId="1BDE84FC" w14:textId="77777777" w:rsidR="00CB3937" w:rsidRPr="00FD119B" w:rsidRDefault="00CB3937" w:rsidP="00FD119B">
            <w:r>
              <w:t>ARTG</w:t>
            </w:r>
          </w:p>
        </w:tc>
        <w:tc>
          <w:tcPr>
            <w:tcW w:w="6911" w:type="dxa"/>
          </w:tcPr>
          <w:p w14:paraId="42A06C85" w14:textId="77777777" w:rsidR="00CB3937" w:rsidRPr="00FD119B" w:rsidRDefault="00CB3937" w:rsidP="00FD119B">
            <w:r>
              <w:t>Australian Register of Therapeutic Goods</w:t>
            </w:r>
          </w:p>
        </w:tc>
      </w:tr>
      <w:tr w:rsidR="00CB3937" w:rsidRPr="00FD119B" w14:paraId="08ABEBFB" w14:textId="77777777" w:rsidTr="00FD119B">
        <w:tc>
          <w:tcPr>
            <w:tcW w:w="1809" w:type="dxa"/>
          </w:tcPr>
          <w:p w14:paraId="29C64866" w14:textId="77777777" w:rsidR="00CB3937" w:rsidRPr="00904A64" w:rsidRDefault="00CB3937" w:rsidP="00FD119B">
            <w:r w:rsidRPr="00904A64">
              <w:t>ASA</w:t>
            </w:r>
          </w:p>
        </w:tc>
        <w:tc>
          <w:tcPr>
            <w:tcW w:w="6911" w:type="dxa"/>
          </w:tcPr>
          <w:p w14:paraId="36D446C6" w14:textId="4355EE0E" w:rsidR="00CB3937" w:rsidRDefault="00CB3937" w:rsidP="005972D4">
            <w:r>
              <w:t xml:space="preserve">Australian </w:t>
            </w:r>
            <w:r w:rsidR="007731DF">
              <w:t>s</w:t>
            </w:r>
            <w:r>
              <w:t>pecific Annex</w:t>
            </w:r>
          </w:p>
        </w:tc>
      </w:tr>
      <w:tr w:rsidR="00CB3937" w:rsidRPr="00FD119B" w14:paraId="2859515D" w14:textId="77777777" w:rsidTr="00FD119B">
        <w:tc>
          <w:tcPr>
            <w:tcW w:w="1809" w:type="dxa"/>
          </w:tcPr>
          <w:p w14:paraId="4688ABB0" w14:textId="77777777" w:rsidR="00CB3937" w:rsidRPr="00E5742C" w:rsidRDefault="00CB3937" w:rsidP="00FD119B">
            <w:r>
              <w:t>AST</w:t>
            </w:r>
          </w:p>
        </w:tc>
        <w:tc>
          <w:tcPr>
            <w:tcW w:w="6911" w:type="dxa"/>
          </w:tcPr>
          <w:p w14:paraId="042F5EED" w14:textId="77777777" w:rsidR="00CB3937" w:rsidRDefault="00CB3937" w:rsidP="008D7FA1">
            <w:r>
              <w:rPr>
                <w:szCs w:val="20"/>
              </w:rPr>
              <w:t>Aspartate aminotransferase</w:t>
            </w:r>
          </w:p>
        </w:tc>
      </w:tr>
      <w:tr w:rsidR="00CB3937" w:rsidRPr="00FD119B" w14:paraId="5B98D66B" w14:textId="77777777" w:rsidTr="00FD119B">
        <w:tc>
          <w:tcPr>
            <w:tcW w:w="1809" w:type="dxa"/>
          </w:tcPr>
          <w:p w14:paraId="05931728" w14:textId="77777777" w:rsidR="00CB3937" w:rsidRDefault="00CB3937" w:rsidP="00FD119B">
            <w:r>
              <w:t>AUC</w:t>
            </w:r>
          </w:p>
        </w:tc>
        <w:tc>
          <w:tcPr>
            <w:tcW w:w="6911" w:type="dxa"/>
          </w:tcPr>
          <w:p w14:paraId="76EC201C" w14:textId="77777777" w:rsidR="00CB3937" w:rsidRDefault="00CB3937" w:rsidP="00B84C38">
            <w:r>
              <w:t>Area under the concentration-time curve</w:t>
            </w:r>
          </w:p>
        </w:tc>
      </w:tr>
      <w:tr w:rsidR="00CB3937" w:rsidRPr="00FD119B" w14:paraId="0A03AC52" w14:textId="77777777" w:rsidTr="00FD119B">
        <w:tc>
          <w:tcPr>
            <w:tcW w:w="1809" w:type="dxa"/>
          </w:tcPr>
          <w:p w14:paraId="1166B7A4" w14:textId="77777777" w:rsidR="00CB3937" w:rsidRDefault="00CB3937" w:rsidP="00FD119B">
            <w:r w:rsidRPr="00D03EC1">
              <w:t>BCR</w:t>
            </w:r>
          </w:p>
        </w:tc>
        <w:tc>
          <w:tcPr>
            <w:tcW w:w="6911" w:type="dxa"/>
          </w:tcPr>
          <w:p w14:paraId="2C9FD038" w14:textId="77777777" w:rsidR="00CB3937" w:rsidRPr="00D03EC1" w:rsidRDefault="00CB3937" w:rsidP="00CA22EE">
            <w:r>
              <w:t>B cell antigen receptor</w:t>
            </w:r>
          </w:p>
        </w:tc>
      </w:tr>
      <w:tr w:rsidR="00CB3937" w:rsidRPr="00FD119B" w14:paraId="53545EDE" w14:textId="77777777" w:rsidTr="00FD119B">
        <w:tc>
          <w:tcPr>
            <w:tcW w:w="1809" w:type="dxa"/>
          </w:tcPr>
          <w:p w14:paraId="49F66D33" w14:textId="77777777" w:rsidR="00CB3937" w:rsidRDefault="00CB3937" w:rsidP="00FD119B">
            <w:r>
              <w:t>BCRP</w:t>
            </w:r>
          </w:p>
        </w:tc>
        <w:tc>
          <w:tcPr>
            <w:tcW w:w="6911" w:type="dxa"/>
          </w:tcPr>
          <w:p w14:paraId="0DC82C33" w14:textId="77777777" w:rsidR="00CB3937" w:rsidRDefault="00CB3937" w:rsidP="008D7FA1">
            <w:r>
              <w:t>Breast cancer resistance protein</w:t>
            </w:r>
          </w:p>
        </w:tc>
      </w:tr>
      <w:tr w:rsidR="00CB3937" w:rsidRPr="00FD119B" w14:paraId="7F801504" w14:textId="77777777" w:rsidTr="00FD119B">
        <w:tc>
          <w:tcPr>
            <w:tcW w:w="1809" w:type="dxa"/>
          </w:tcPr>
          <w:p w14:paraId="66C84948" w14:textId="77777777" w:rsidR="00CB3937" w:rsidRDefault="00CB3937" w:rsidP="00FD119B">
            <w:r>
              <w:t>BD</w:t>
            </w:r>
          </w:p>
        </w:tc>
        <w:tc>
          <w:tcPr>
            <w:tcW w:w="6911" w:type="dxa"/>
          </w:tcPr>
          <w:p w14:paraId="2CB038CF" w14:textId="77777777" w:rsidR="00CB3937" w:rsidRDefault="00CB3937" w:rsidP="005972D4">
            <w:r>
              <w:t xml:space="preserve">Twice daily; </w:t>
            </w:r>
            <w:proofErr w:type="spellStart"/>
            <w:r w:rsidRPr="005972D4">
              <w:rPr>
                <w:i/>
              </w:rPr>
              <w:t>bis</w:t>
            </w:r>
            <w:proofErr w:type="spellEnd"/>
            <w:r w:rsidRPr="005972D4">
              <w:rPr>
                <w:i/>
              </w:rPr>
              <w:t xml:space="preserve"> in die</w:t>
            </w:r>
            <w:r>
              <w:t xml:space="preserve"> (Latin)</w:t>
            </w:r>
          </w:p>
        </w:tc>
      </w:tr>
      <w:tr w:rsidR="00CB3937" w:rsidRPr="00FD119B" w14:paraId="7A95E2D0" w14:textId="77777777" w:rsidTr="00FD119B">
        <w:tc>
          <w:tcPr>
            <w:tcW w:w="1809" w:type="dxa"/>
          </w:tcPr>
          <w:p w14:paraId="6FB34704" w14:textId="77777777" w:rsidR="00CB3937" w:rsidRDefault="00CB3937" w:rsidP="00FD119B">
            <w:r>
              <w:t>BTK</w:t>
            </w:r>
          </w:p>
        </w:tc>
        <w:tc>
          <w:tcPr>
            <w:tcW w:w="6911" w:type="dxa"/>
          </w:tcPr>
          <w:p w14:paraId="4BB85B5D" w14:textId="77777777" w:rsidR="00CB3937" w:rsidRDefault="00CB3937" w:rsidP="00001A94">
            <w:proofErr w:type="spellStart"/>
            <w:r w:rsidRPr="00D03EC1">
              <w:t>Bruton</w:t>
            </w:r>
            <w:r>
              <w:t>’s</w:t>
            </w:r>
            <w:proofErr w:type="spellEnd"/>
            <w:r w:rsidRPr="00D03EC1">
              <w:t xml:space="preserve"> tyrosine kina</w:t>
            </w:r>
            <w:r>
              <w:t>se</w:t>
            </w:r>
          </w:p>
        </w:tc>
      </w:tr>
      <w:tr w:rsidR="00CB3937" w:rsidRPr="00FD119B" w14:paraId="18C7D20C" w14:textId="77777777" w:rsidTr="00FD119B">
        <w:tc>
          <w:tcPr>
            <w:tcW w:w="1809" w:type="dxa"/>
          </w:tcPr>
          <w:p w14:paraId="632B3235" w14:textId="77777777" w:rsidR="00CB3937" w:rsidRDefault="00CB3937" w:rsidP="00FD119B">
            <w:r>
              <w:rPr>
                <w:rFonts w:asciiTheme="minorHAnsi" w:hAnsiTheme="minorHAnsi"/>
                <w:szCs w:val="22"/>
              </w:rPr>
              <w:t>CLL</w:t>
            </w:r>
          </w:p>
        </w:tc>
        <w:tc>
          <w:tcPr>
            <w:tcW w:w="6911" w:type="dxa"/>
          </w:tcPr>
          <w:p w14:paraId="0B3203C8" w14:textId="77777777" w:rsidR="00CB3937" w:rsidRDefault="00CB3937" w:rsidP="00367925">
            <w:pPr>
              <w:rPr>
                <w:szCs w:val="20"/>
              </w:rPr>
            </w:pPr>
            <w:r>
              <w:rPr>
                <w:rFonts w:asciiTheme="minorHAnsi" w:hAnsiTheme="minorHAnsi"/>
              </w:rPr>
              <w:t>Chronic lymphocytic leukaemia</w:t>
            </w:r>
          </w:p>
        </w:tc>
      </w:tr>
      <w:tr w:rsidR="00CB3937" w:rsidRPr="00FD119B" w14:paraId="5FDEF39D" w14:textId="77777777" w:rsidTr="00FD119B">
        <w:tc>
          <w:tcPr>
            <w:tcW w:w="1809" w:type="dxa"/>
          </w:tcPr>
          <w:p w14:paraId="44D1C74A" w14:textId="77777777" w:rsidR="00CB3937" w:rsidRDefault="00CB3937" w:rsidP="00FD119B">
            <w:proofErr w:type="spellStart"/>
            <w:r>
              <w:t>C</w:t>
            </w:r>
            <w:r w:rsidRPr="00A61463">
              <w:rPr>
                <w:vertAlign w:val="subscript"/>
              </w:rPr>
              <w:t>max</w:t>
            </w:r>
            <w:proofErr w:type="spellEnd"/>
          </w:p>
        </w:tc>
        <w:tc>
          <w:tcPr>
            <w:tcW w:w="6911" w:type="dxa"/>
          </w:tcPr>
          <w:p w14:paraId="3ED72CD0" w14:textId="77777777" w:rsidR="00CB3937" w:rsidRDefault="00CB3937" w:rsidP="00B84C38">
            <w:r>
              <w:t>Maximum plasma concentration</w:t>
            </w:r>
          </w:p>
        </w:tc>
      </w:tr>
      <w:tr w:rsidR="00CB3937" w:rsidRPr="00FD119B" w14:paraId="0BAC154E" w14:textId="77777777" w:rsidTr="00FD119B">
        <w:tc>
          <w:tcPr>
            <w:tcW w:w="1809" w:type="dxa"/>
          </w:tcPr>
          <w:p w14:paraId="0734B5E4" w14:textId="77777777" w:rsidR="00CB3937" w:rsidRDefault="00CB3937" w:rsidP="00FD119B">
            <w:r>
              <w:t>CNS</w:t>
            </w:r>
          </w:p>
        </w:tc>
        <w:tc>
          <w:tcPr>
            <w:tcW w:w="6911" w:type="dxa"/>
          </w:tcPr>
          <w:p w14:paraId="0C3295DE" w14:textId="77777777" w:rsidR="00CB3937" w:rsidRDefault="00CB3937" w:rsidP="00B84C38">
            <w:r>
              <w:t>Central nervous system</w:t>
            </w:r>
          </w:p>
        </w:tc>
      </w:tr>
      <w:tr w:rsidR="00CB3937" w:rsidRPr="00FD119B" w14:paraId="1156BEE3" w14:textId="77777777" w:rsidTr="00FD119B">
        <w:tc>
          <w:tcPr>
            <w:tcW w:w="1809" w:type="dxa"/>
          </w:tcPr>
          <w:p w14:paraId="63BA18E4" w14:textId="347D5F7A" w:rsidR="00CB3937" w:rsidRDefault="00CB3937" w:rsidP="00FD119B">
            <w:r>
              <w:t>COR</w:t>
            </w:r>
            <w:r w:rsidR="00924C10">
              <w:t>-B</w:t>
            </w:r>
          </w:p>
        </w:tc>
        <w:tc>
          <w:tcPr>
            <w:tcW w:w="6911" w:type="dxa"/>
          </w:tcPr>
          <w:p w14:paraId="7559CE92" w14:textId="4B241B48" w:rsidR="00CB3937" w:rsidRDefault="00CB3937" w:rsidP="00367925">
            <w:pPr>
              <w:rPr>
                <w:szCs w:val="20"/>
              </w:rPr>
            </w:pPr>
            <w:r>
              <w:t>Comparable Overseas Regulator</w:t>
            </w:r>
            <w:r w:rsidR="00924C10">
              <w:t xml:space="preserve"> approach B</w:t>
            </w:r>
          </w:p>
        </w:tc>
      </w:tr>
      <w:tr w:rsidR="00CB3937" w:rsidRPr="00FD119B" w14:paraId="1ACF9E63" w14:textId="77777777" w:rsidTr="00FD119B">
        <w:tc>
          <w:tcPr>
            <w:tcW w:w="1809" w:type="dxa"/>
          </w:tcPr>
          <w:p w14:paraId="47E5CA14" w14:textId="77777777" w:rsidR="00CB3937" w:rsidRDefault="00CB3937" w:rsidP="00FD119B">
            <w:pPr>
              <w:rPr>
                <w:rFonts w:asciiTheme="minorHAnsi" w:hAnsiTheme="minorHAnsi"/>
              </w:rPr>
            </w:pPr>
            <w:r>
              <w:t>CR</w:t>
            </w:r>
          </w:p>
        </w:tc>
        <w:tc>
          <w:tcPr>
            <w:tcW w:w="6911" w:type="dxa"/>
          </w:tcPr>
          <w:p w14:paraId="55864345" w14:textId="77777777" w:rsidR="00CB3937" w:rsidRDefault="00CB3937" w:rsidP="005972D4">
            <w:pPr>
              <w:rPr>
                <w:rFonts w:asciiTheme="minorHAnsi" w:hAnsiTheme="minorHAnsi"/>
              </w:rPr>
            </w:pPr>
            <w:r>
              <w:t>Complete response</w:t>
            </w:r>
          </w:p>
        </w:tc>
      </w:tr>
      <w:tr w:rsidR="00CB3937" w:rsidRPr="00FD119B" w14:paraId="400E1FF6" w14:textId="77777777" w:rsidTr="00FD119B">
        <w:tc>
          <w:tcPr>
            <w:tcW w:w="1809" w:type="dxa"/>
          </w:tcPr>
          <w:p w14:paraId="29FBFA28" w14:textId="77777777" w:rsidR="00CB3937" w:rsidRDefault="00CB3937" w:rsidP="00FD119B">
            <w:r>
              <w:t>CYP3A4/5</w:t>
            </w:r>
          </w:p>
        </w:tc>
        <w:tc>
          <w:tcPr>
            <w:tcW w:w="6911" w:type="dxa"/>
          </w:tcPr>
          <w:p w14:paraId="42B8A13B" w14:textId="77777777" w:rsidR="00CB3937" w:rsidRDefault="00CB3937" w:rsidP="008D7FA1">
            <w:r>
              <w:t>C</w:t>
            </w:r>
            <w:r w:rsidRPr="008D7FA1">
              <w:t>ytochrome P450 3A4</w:t>
            </w:r>
            <w:r>
              <w:t>/5</w:t>
            </w:r>
          </w:p>
        </w:tc>
      </w:tr>
      <w:tr w:rsidR="00CB3937" w:rsidRPr="00FD119B" w14:paraId="205CFC64" w14:textId="77777777" w:rsidTr="00FD119B">
        <w:tc>
          <w:tcPr>
            <w:tcW w:w="1809" w:type="dxa"/>
          </w:tcPr>
          <w:p w14:paraId="78ECFDCD" w14:textId="77777777" w:rsidR="00CB3937" w:rsidRDefault="00CB3937" w:rsidP="00FD119B">
            <w:r w:rsidRPr="00904A64">
              <w:t>DLP</w:t>
            </w:r>
          </w:p>
        </w:tc>
        <w:tc>
          <w:tcPr>
            <w:tcW w:w="6911" w:type="dxa"/>
          </w:tcPr>
          <w:p w14:paraId="36D18EB8" w14:textId="77777777" w:rsidR="00CB3937" w:rsidRDefault="00CB3937" w:rsidP="005972D4">
            <w:r>
              <w:t>Data lock point</w:t>
            </w:r>
          </w:p>
        </w:tc>
      </w:tr>
      <w:tr w:rsidR="00CB3937" w:rsidRPr="00FD119B" w14:paraId="7749AFFC" w14:textId="77777777" w:rsidTr="00FD119B">
        <w:tc>
          <w:tcPr>
            <w:tcW w:w="1809" w:type="dxa"/>
          </w:tcPr>
          <w:p w14:paraId="2A4B501C" w14:textId="77777777" w:rsidR="00CB3937" w:rsidRDefault="00CB3937" w:rsidP="00FD119B">
            <w:pPr>
              <w:rPr>
                <w:rFonts w:asciiTheme="minorHAnsi" w:hAnsiTheme="minorHAnsi"/>
              </w:rPr>
            </w:pPr>
            <w:r>
              <w:t>DOR</w:t>
            </w:r>
          </w:p>
        </w:tc>
        <w:tc>
          <w:tcPr>
            <w:tcW w:w="6911" w:type="dxa"/>
          </w:tcPr>
          <w:p w14:paraId="264D1C76" w14:textId="77777777" w:rsidR="00CB3937" w:rsidRDefault="00CB3937" w:rsidP="005972D4">
            <w:pPr>
              <w:rPr>
                <w:rFonts w:asciiTheme="minorHAnsi" w:hAnsiTheme="minorHAnsi"/>
              </w:rPr>
            </w:pPr>
            <w:r>
              <w:t>Duration of response</w:t>
            </w:r>
          </w:p>
        </w:tc>
      </w:tr>
      <w:tr w:rsidR="00CB3937" w:rsidRPr="00FD119B" w14:paraId="5D354E3B" w14:textId="77777777" w:rsidTr="00FD119B">
        <w:tc>
          <w:tcPr>
            <w:tcW w:w="1809" w:type="dxa"/>
          </w:tcPr>
          <w:p w14:paraId="60F13D92" w14:textId="77777777" w:rsidR="00CB3937" w:rsidRPr="006249A9" w:rsidRDefault="00CB3937" w:rsidP="00FD119B">
            <w:r>
              <w:t>EMA</w:t>
            </w:r>
          </w:p>
        </w:tc>
        <w:tc>
          <w:tcPr>
            <w:tcW w:w="6911" w:type="dxa"/>
          </w:tcPr>
          <w:p w14:paraId="21D400F4" w14:textId="33A5AB47" w:rsidR="00CB3937" w:rsidRPr="006249A9" w:rsidRDefault="00CB3937" w:rsidP="00CA22EE">
            <w:r>
              <w:t>European Medicines Agency</w:t>
            </w:r>
            <w:r w:rsidR="007731DF">
              <w:t xml:space="preserve"> (EU)</w:t>
            </w:r>
          </w:p>
        </w:tc>
      </w:tr>
      <w:tr w:rsidR="007731DF" w:rsidRPr="00FD119B" w14:paraId="29FE4F43" w14:textId="77777777" w:rsidTr="00FD119B">
        <w:tc>
          <w:tcPr>
            <w:tcW w:w="1809" w:type="dxa"/>
          </w:tcPr>
          <w:p w14:paraId="501A4C0E" w14:textId="1C3392E9" w:rsidR="007731DF" w:rsidRDefault="007731DF" w:rsidP="00FD119B">
            <w:r>
              <w:t>EU</w:t>
            </w:r>
          </w:p>
        </w:tc>
        <w:tc>
          <w:tcPr>
            <w:tcW w:w="6911" w:type="dxa"/>
          </w:tcPr>
          <w:p w14:paraId="1BE48CE8" w14:textId="0197B8C2" w:rsidR="007731DF" w:rsidRDefault="007731DF" w:rsidP="00CA22EE">
            <w:r>
              <w:t>European Union</w:t>
            </w:r>
          </w:p>
        </w:tc>
      </w:tr>
      <w:tr w:rsidR="00CB3937" w:rsidRPr="00FD119B" w14:paraId="0F674B90" w14:textId="77777777" w:rsidTr="00FD119B">
        <w:tc>
          <w:tcPr>
            <w:tcW w:w="1809" w:type="dxa"/>
          </w:tcPr>
          <w:p w14:paraId="6107131C" w14:textId="77777777" w:rsidR="00CB3937" w:rsidRPr="00D03EC1" w:rsidRDefault="00CB3937" w:rsidP="00FD119B">
            <w:r w:rsidRPr="006249A9">
              <w:t>FDA</w:t>
            </w:r>
          </w:p>
        </w:tc>
        <w:tc>
          <w:tcPr>
            <w:tcW w:w="6911" w:type="dxa"/>
          </w:tcPr>
          <w:p w14:paraId="677505AA" w14:textId="77777777" w:rsidR="00CB3937" w:rsidRDefault="00CB3937" w:rsidP="00CA22EE">
            <w:r w:rsidRPr="006249A9">
              <w:t>Food and Drug Administration (</w:t>
            </w:r>
            <w:r>
              <w:t>US)</w:t>
            </w:r>
          </w:p>
        </w:tc>
      </w:tr>
      <w:tr w:rsidR="00CB3937" w:rsidRPr="00FD119B" w14:paraId="40E66407" w14:textId="77777777" w:rsidTr="00FD119B">
        <w:tc>
          <w:tcPr>
            <w:tcW w:w="1809" w:type="dxa"/>
          </w:tcPr>
          <w:p w14:paraId="08CA9002" w14:textId="77777777" w:rsidR="00CB3937" w:rsidRDefault="00CB3937" w:rsidP="00FD119B">
            <w:r>
              <w:t>GLP</w:t>
            </w:r>
          </w:p>
        </w:tc>
        <w:tc>
          <w:tcPr>
            <w:tcW w:w="6911" w:type="dxa"/>
          </w:tcPr>
          <w:p w14:paraId="5E035525" w14:textId="77777777" w:rsidR="00CB3937" w:rsidRDefault="00CB3937" w:rsidP="00B84C38">
            <w:r>
              <w:t>Good Laboratory Practice</w:t>
            </w:r>
          </w:p>
        </w:tc>
      </w:tr>
      <w:tr w:rsidR="00CB3937" w:rsidRPr="00FD119B" w14:paraId="6C453B81" w14:textId="77777777" w:rsidTr="00FD119B">
        <w:tc>
          <w:tcPr>
            <w:tcW w:w="1809" w:type="dxa"/>
          </w:tcPr>
          <w:p w14:paraId="6198367C" w14:textId="77777777" w:rsidR="00CB3937" w:rsidRPr="006249A9" w:rsidRDefault="00CB3937" w:rsidP="00FD119B">
            <w:r w:rsidRPr="006249A9">
              <w:t>HC</w:t>
            </w:r>
          </w:p>
        </w:tc>
        <w:tc>
          <w:tcPr>
            <w:tcW w:w="6911" w:type="dxa"/>
          </w:tcPr>
          <w:p w14:paraId="276F1A00" w14:textId="77777777" w:rsidR="00CB3937" w:rsidRPr="006249A9" w:rsidRDefault="00CB3937" w:rsidP="00CA22EE">
            <w:r w:rsidRPr="006249A9">
              <w:t>He</w:t>
            </w:r>
            <w:r>
              <w:t>alth Canada</w:t>
            </w:r>
          </w:p>
        </w:tc>
      </w:tr>
      <w:tr w:rsidR="00CB3937" w:rsidRPr="00FD119B" w14:paraId="5E006298" w14:textId="77777777" w:rsidTr="00FD119B">
        <w:tc>
          <w:tcPr>
            <w:tcW w:w="1809" w:type="dxa"/>
          </w:tcPr>
          <w:p w14:paraId="3708A4F9" w14:textId="77777777" w:rsidR="00CB3937" w:rsidRDefault="00CB3937" w:rsidP="00FD119B">
            <w:r w:rsidRPr="00367A5B">
              <w:lastRenderedPageBreak/>
              <w:t>ICH</w:t>
            </w:r>
          </w:p>
        </w:tc>
        <w:tc>
          <w:tcPr>
            <w:tcW w:w="6911" w:type="dxa"/>
          </w:tcPr>
          <w:p w14:paraId="61ADA784" w14:textId="77777777" w:rsidR="00CB3937" w:rsidRDefault="00CB3937" w:rsidP="00B84C38">
            <w:r w:rsidRPr="00B84C38">
              <w:t>International Council for Harmonisation</w:t>
            </w:r>
          </w:p>
        </w:tc>
      </w:tr>
      <w:tr w:rsidR="00CB3937" w:rsidRPr="00FD119B" w14:paraId="773D7E91" w14:textId="77777777" w:rsidTr="00FD119B">
        <w:tc>
          <w:tcPr>
            <w:tcW w:w="1809" w:type="dxa"/>
          </w:tcPr>
          <w:p w14:paraId="4FD353C9" w14:textId="77777777" w:rsidR="00CB3937" w:rsidRDefault="00CB3937" w:rsidP="00FD119B">
            <w:pPr>
              <w:rPr>
                <w:rFonts w:asciiTheme="minorHAnsi" w:hAnsiTheme="minorHAnsi"/>
              </w:rPr>
            </w:pPr>
            <w:r>
              <w:t>ISS</w:t>
            </w:r>
          </w:p>
        </w:tc>
        <w:tc>
          <w:tcPr>
            <w:tcW w:w="6911" w:type="dxa"/>
          </w:tcPr>
          <w:p w14:paraId="79421571" w14:textId="77777777" w:rsidR="00CB3937" w:rsidRDefault="00CB3937" w:rsidP="005972D4">
            <w:pPr>
              <w:rPr>
                <w:rFonts w:asciiTheme="minorHAnsi" w:hAnsiTheme="minorHAnsi"/>
              </w:rPr>
            </w:pPr>
            <w:r>
              <w:t>Integrated Summary of Safety</w:t>
            </w:r>
          </w:p>
        </w:tc>
      </w:tr>
      <w:tr w:rsidR="00CB3937" w:rsidRPr="00FD119B" w14:paraId="18962EC8" w14:textId="77777777" w:rsidTr="00FD119B">
        <w:tc>
          <w:tcPr>
            <w:tcW w:w="1809" w:type="dxa"/>
          </w:tcPr>
          <w:p w14:paraId="0D2D7DE2" w14:textId="77777777" w:rsidR="00CB3937" w:rsidRPr="00E5742C" w:rsidRDefault="00CB3937" w:rsidP="00FD119B">
            <w:r w:rsidRPr="00CD1FCF">
              <w:t>IV</w:t>
            </w:r>
          </w:p>
        </w:tc>
        <w:tc>
          <w:tcPr>
            <w:tcW w:w="6911" w:type="dxa"/>
          </w:tcPr>
          <w:p w14:paraId="25430EA9" w14:textId="77777777" w:rsidR="00CB3937" w:rsidRDefault="00CB3937" w:rsidP="008D7FA1">
            <w:r>
              <w:t>Intravenous</w:t>
            </w:r>
          </w:p>
        </w:tc>
      </w:tr>
      <w:tr w:rsidR="00CB3937" w:rsidRPr="00FD119B" w14:paraId="6BB5E46A" w14:textId="77777777" w:rsidTr="00FD119B">
        <w:tc>
          <w:tcPr>
            <w:tcW w:w="1809" w:type="dxa"/>
          </w:tcPr>
          <w:p w14:paraId="548D69C6" w14:textId="77777777" w:rsidR="00CB3937" w:rsidRPr="00E5742C" w:rsidRDefault="00CB3937" w:rsidP="00FD119B">
            <w:r w:rsidRPr="002B259D">
              <w:t>MATE1</w:t>
            </w:r>
          </w:p>
        </w:tc>
        <w:tc>
          <w:tcPr>
            <w:tcW w:w="6911" w:type="dxa"/>
          </w:tcPr>
          <w:p w14:paraId="501FB6D5" w14:textId="77777777" w:rsidR="00CB3937" w:rsidRDefault="00CB3937" w:rsidP="008D7FA1">
            <w:r>
              <w:t>M</w:t>
            </w:r>
            <w:r w:rsidRPr="008D7FA1">
              <w:t>ultidrug and toxin extrusion protein 1</w:t>
            </w:r>
          </w:p>
        </w:tc>
      </w:tr>
      <w:tr w:rsidR="00CB3937" w:rsidRPr="00FD119B" w14:paraId="26312EAE" w14:textId="77777777" w:rsidTr="00FD119B">
        <w:tc>
          <w:tcPr>
            <w:tcW w:w="1809" w:type="dxa"/>
          </w:tcPr>
          <w:p w14:paraId="3C08AAF2" w14:textId="77777777" w:rsidR="00CB3937" w:rsidRPr="00FD119B" w:rsidRDefault="00CB3937" w:rsidP="00FD119B">
            <w:r>
              <w:t>MCL</w:t>
            </w:r>
          </w:p>
        </w:tc>
        <w:tc>
          <w:tcPr>
            <w:tcW w:w="6911" w:type="dxa"/>
          </w:tcPr>
          <w:p w14:paraId="3392EA3E" w14:textId="77777777" w:rsidR="00CB3937" w:rsidRPr="00FD119B" w:rsidRDefault="00CB3937" w:rsidP="00FD119B">
            <w:r>
              <w:t>Mantle cell lymphoma</w:t>
            </w:r>
          </w:p>
        </w:tc>
      </w:tr>
      <w:tr w:rsidR="00CB3937" w:rsidRPr="00FD119B" w14:paraId="63D969EC" w14:textId="77777777" w:rsidTr="00FD119B">
        <w:tc>
          <w:tcPr>
            <w:tcW w:w="1809" w:type="dxa"/>
          </w:tcPr>
          <w:p w14:paraId="47D8A11A" w14:textId="77777777" w:rsidR="00CB3937" w:rsidRPr="00FD119B" w:rsidRDefault="00CB3937" w:rsidP="00FD119B">
            <w:r>
              <w:t>NHL</w:t>
            </w:r>
          </w:p>
        </w:tc>
        <w:tc>
          <w:tcPr>
            <w:tcW w:w="6911" w:type="dxa"/>
          </w:tcPr>
          <w:p w14:paraId="5CA93EC1" w14:textId="77777777" w:rsidR="00CB3937" w:rsidRPr="00FD119B" w:rsidRDefault="00CB3937" w:rsidP="00001A94">
            <w:r>
              <w:t>Non-Hodgkin lymphoma</w:t>
            </w:r>
          </w:p>
        </w:tc>
      </w:tr>
      <w:tr w:rsidR="00CB3937" w:rsidRPr="00FD119B" w14:paraId="2FF1F0DC" w14:textId="77777777" w:rsidTr="00FD119B">
        <w:tc>
          <w:tcPr>
            <w:tcW w:w="1809" w:type="dxa"/>
          </w:tcPr>
          <w:p w14:paraId="461B0080" w14:textId="77777777" w:rsidR="00CB3937" w:rsidRDefault="00CB3937" w:rsidP="00FD119B">
            <w:pPr>
              <w:rPr>
                <w:rFonts w:asciiTheme="minorHAnsi" w:hAnsiTheme="minorHAnsi"/>
              </w:rPr>
            </w:pPr>
            <w:r>
              <w:t>ORR</w:t>
            </w:r>
          </w:p>
        </w:tc>
        <w:tc>
          <w:tcPr>
            <w:tcW w:w="6911" w:type="dxa"/>
          </w:tcPr>
          <w:p w14:paraId="14EF0079" w14:textId="77777777" w:rsidR="00CB3937" w:rsidRDefault="00CB3937" w:rsidP="005972D4">
            <w:pPr>
              <w:rPr>
                <w:rFonts w:asciiTheme="minorHAnsi" w:hAnsiTheme="minorHAnsi"/>
              </w:rPr>
            </w:pPr>
            <w:r>
              <w:t>Overall response rate</w:t>
            </w:r>
          </w:p>
        </w:tc>
      </w:tr>
      <w:tr w:rsidR="00CB3937" w:rsidRPr="00FD119B" w14:paraId="0A3CC90F" w14:textId="77777777" w:rsidTr="00FD119B">
        <w:tc>
          <w:tcPr>
            <w:tcW w:w="1809" w:type="dxa"/>
          </w:tcPr>
          <w:p w14:paraId="6FB1E5A9" w14:textId="77777777" w:rsidR="00CB3937" w:rsidRPr="00FD119B" w:rsidRDefault="00CB3937" w:rsidP="00FD119B">
            <w:r>
              <w:t>OS</w:t>
            </w:r>
          </w:p>
        </w:tc>
        <w:tc>
          <w:tcPr>
            <w:tcW w:w="6911" w:type="dxa"/>
          </w:tcPr>
          <w:p w14:paraId="16C47803" w14:textId="77777777" w:rsidR="00CB3937" w:rsidRPr="00FD119B" w:rsidRDefault="00CB3937" w:rsidP="00001A94">
            <w:r>
              <w:t>Overall survival</w:t>
            </w:r>
          </w:p>
        </w:tc>
      </w:tr>
      <w:tr w:rsidR="00CB3937" w:rsidRPr="00FD119B" w14:paraId="297D18D2" w14:textId="77777777" w:rsidTr="00FD119B">
        <w:tc>
          <w:tcPr>
            <w:tcW w:w="1809" w:type="dxa"/>
          </w:tcPr>
          <w:p w14:paraId="58FA003E" w14:textId="77777777" w:rsidR="00CB3937" w:rsidRPr="00FD119B" w:rsidRDefault="00CB3937" w:rsidP="00FD119B">
            <w:r>
              <w:t>PFS</w:t>
            </w:r>
          </w:p>
        </w:tc>
        <w:tc>
          <w:tcPr>
            <w:tcW w:w="6911" w:type="dxa"/>
          </w:tcPr>
          <w:p w14:paraId="09E8226B" w14:textId="77777777" w:rsidR="00CB3937" w:rsidRPr="00FD119B" w:rsidRDefault="00CB3937" w:rsidP="00001A94">
            <w:r>
              <w:t>Progression free survival</w:t>
            </w:r>
          </w:p>
        </w:tc>
      </w:tr>
      <w:tr w:rsidR="00CB3937" w:rsidRPr="00FD119B" w14:paraId="63458A07" w14:textId="77777777" w:rsidTr="00FD119B">
        <w:tc>
          <w:tcPr>
            <w:tcW w:w="1809" w:type="dxa"/>
          </w:tcPr>
          <w:p w14:paraId="3F2E01BD" w14:textId="77777777" w:rsidR="00CB3937" w:rsidRDefault="00CB3937" w:rsidP="00FD119B">
            <w:r>
              <w:t>PI</w:t>
            </w:r>
          </w:p>
        </w:tc>
        <w:tc>
          <w:tcPr>
            <w:tcW w:w="6911" w:type="dxa"/>
          </w:tcPr>
          <w:p w14:paraId="63057425" w14:textId="77777777" w:rsidR="00CB3937" w:rsidRDefault="00CB3937" w:rsidP="008D7FA1">
            <w:pPr>
              <w:rPr>
                <w:szCs w:val="20"/>
              </w:rPr>
            </w:pPr>
            <w:r>
              <w:rPr>
                <w:szCs w:val="20"/>
              </w:rPr>
              <w:t>Product Information</w:t>
            </w:r>
          </w:p>
        </w:tc>
      </w:tr>
      <w:tr w:rsidR="00CB3937" w:rsidRPr="00FD119B" w14:paraId="411C4C1C" w14:textId="77777777" w:rsidTr="00FD119B">
        <w:tc>
          <w:tcPr>
            <w:tcW w:w="1809" w:type="dxa"/>
          </w:tcPr>
          <w:p w14:paraId="7DCD1F88" w14:textId="77777777" w:rsidR="00CB3937" w:rsidRPr="00E5742C" w:rsidRDefault="00CB3937" w:rsidP="00FD119B">
            <w:r>
              <w:t>PO</w:t>
            </w:r>
          </w:p>
        </w:tc>
        <w:tc>
          <w:tcPr>
            <w:tcW w:w="6911" w:type="dxa"/>
          </w:tcPr>
          <w:p w14:paraId="413FA150" w14:textId="77777777" w:rsidR="00CB3937" w:rsidRDefault="00CB3937" w:rsidP="008D7FA1">
            <w:r>
              <w:t xml:space="preserve">Oral; </w:t>
            </w:r>
            <w:r w:rsidRPr="008D7FA1">
              <w:rPr>
                <w:i/>
              </w:rPr>
              <w:t xml:space="preserve">per </w:t>
            </w:r>
            <w:proofErr w:type="spellStart"/>
            <w:r w:rsidRPr="008D7FA1">
              <w:rPr>
                <w:i/>
              </w:rPr>
              <w:t>os</w:t>
            </w:r>
            <w:proofErr w:type="spellEnd"/>
            <w:r>
              <w:t xml:space="preserve"> (Latin)</w:t>
            </w:r>
          </w:p>
        </w:tc>
      </w:tr>
      <w:tr w:rsidR="00CB3937" w:rsidRPr="00FD119B" w14:paraId="61ABC219" w14:textId="77777777" w:rsidTr="00FD119B">
        <w:tc>
          <w:tcPr>
            <w:tcW w:w="1809" w:type="dxa"/>
          </w:tcPr>
          <w:p w14:paraId="75A0A409" w14:textId="77777777" w:rsidR="00CB3937" w:rsidRDefault="00CB3937" w:rsidP="00FD119B">
            <w:pPr>
              <w:rPr>
                <w:rFonts w:asciiTheme="minorHAnsi" w:hAnsiTheme="minorHAnsi"/>
              </w:rPr>
            </w:pPr>
            <w:r>
              <w:rPr>
                <w:rFonts w:asciiTheme="minorHAnsi" w:hAnsiTheme="minorHAnsi"/>
              </w:rPr>
              <w:t>PR</w:t>
            </w:r>
          </w:p>
        </w:tc>
        <w:tc>
          <w:tcPr>
            <w:tcW w:w="6911" w:type="dxa"/>
          </w:tcPr>
          <w:p w14:paraId="2EC1F39E" w14:textId="77777777" w:rsidR="00CB3937" w:rsidRDefault="00CB3937" w:rsidP="005972D4">
            <w:pPr>
              <w:rPr>
                <w:rFonts w:asciiTheme="minorHAnsi" w:hAnsiTheme="minorHAnsi"/>
              </w:rPr>
            </w:pPr>
            <w:r>
              <w:rPr>
                <w:rFonts w:asciiTheme="minorHAnsi" w:hAnsiTheme="minorHAnsi"/>
              </w:rPr>
              <w:t>Partial response</w:t>
            </w:r>
          </w:p>
        </w:tc>
      </w:tr>
      <w:tr w:rsidR="00CB3937" w:rsidRPr="00FD119B" w14:paraId="39A429F2" w14:textId="77777777" w:rsidTr="00FD119B">
        <w:tc>
          <w:tcPr>
            <w:tcW w:w="1809" w:type="dxa"/>
          </w:tcPr>
          <w:p w14:paraId="154220C9" w14:textId="77777777" w:rsidR="00CB3937" w:rsidRDefault="00CB3937" w:rsidP="00FD119B">
            <w:r>
              <w:rPr>
                <w:rFonts w:asciiTheme="minorHAnsi" w:hAnsiTheme="minorHAnsi"/>
              </w:rPr>
              <w:t>QD</w:t>
            </w:r>
          </w:p>
        </w:tc>
        <w:tc>
          <w:tcPr>
            <w:tcW w:w="6911" w:type="dxa"/>
          </w:tcPr>
          <w:p w14:paraId="24F0817C" w14:textId="77777777" w:rsidR="00CB3937" w:rsidRDefault="00CB3937" w:rsidP="005972D4">
            <w:pPr>
              <w:rPr>
                <w:szCs w:val="20"/>
              </w:rPr>
            </w:pPr>
            <w:r>
              <w:rPr>
                <w:rFonts w:asciiTheme="minorHAnsi" w:hAnsiTheme="minorHAnsi"/>
              </w:rPr>
              <w:t>Once daily</w:t>
            </w:r>
          </w:p>
        </w:tc>
      </w:tr>
      <w:tr w:rsidR="00CB3937" w:rsidRPr="00FD119B" w14:paraId="2BBB232F" w14:textId="77777777" w:rsidTr="00FD119B">
        <w:tc>
          <w:tcPr>
            <w:tcW w:w="1809" w:type="dxa"/>
          </w:tcPr>
          <w:p w14:paraId="69E9EFB8" w14:textId="77777777" w:rsidR="00CB3937" w:rsidRPr="00FD119B" w:rsidRDefault="00CB3937" w:rsidP="00FD119B">
            <w:r>
              <w:t>R/R</w:t>
            </w:r>
          </w:p>
        </w:tc>
        <w:tc>
          <w:tcPr>
            <w:tcW w:w="6911" w:type="dxa"/>
          </w:tcPr>
          <w:p w14:paraId="4E9E58A2" w14:textId="7D80A74E" w:rsidR="00CB3937" w:rsidRPr="00FD119B" w:rsidRDefault="007731DF" w:rsidP="00001A94">
            <w:r>
              <w:t>R</w:t>
            </w:r>
            <w:r w:rsidR="00CB3937">
              <w:t>elapsed or refractory</w:t>
            </w:r>
          </w:p>
        </w:tc>
      </w:tr>
      <w:tr w:rsidR="00CB3937" w:rsidRPr="00FD119B" w14:paraId="4FBDDB72" w14:textId="77777777" w:rsidTr="00FD119B">
        <w:tc>
          <w:tcPr>
            <w:tcW w:w="1809" w:type="dxa"/>
          </w:tcPr>
          <w:p w14:paraId="45417DDE" w14:textId="77777777" w:rsidR="00CB3937" w:rsidRDefault="00CB3937" w:rsidP="00FD119B">
            <w:r>
              <w:t>RMP</w:t>
            </w:r>
          </w:p>
        </w:tc>
        <w:tc>
          <w:tcPr>
            <w:tcW w:w="6911" w:type="dxa"/>
          </w:tcPr>
          <w:p w14:paraId="7C868589" w14:textId="306C70E6" w:rsidR="00CB3937" w:rsidRDefault="00CB3937" w:rsidP="007731DF">
            <w:pPr>
              <w:rPr>
                <w:szCs w:val="20"/>
              </w:rPr>
            </w:pPr>
            <w:r>
              <w:t xml:space="preserve">Risk </w:t>
            </w:r>
            <w:r w:rsidR="007731DF">
              <w:t>management plan</w:t>
            </w:r>
          </w:p>
        </w:tc>
      </w:tr>
      <w:tr w:rsidR="00CB3937" w:rsidRPr="00FD119B" w14:paraId="24765728" w14:textId="77777777" w:rsidTr="00FD119B">
        <w:tc>
          <w:tcPr>
            <w:tcW w:w="1809" w:type="dxa"/>
          </w:tcPr>
          <w:p w14:paraId="419875DD" w14:textId="77777777" w:rsidR="00CB3937" w:rsidRDefault="00CB3937" w:rsidP="00FD119B">
            <w:r>
              <w:t>SAE</w:t>
            </w:r>
          </w:p>
        </w:tc>
        <w:tc>
          <w:tcPr>
            <w:tcW w:w="6911" w:type="dxa"/>
          </w:tcPr>
          <w:p w14:paraId="10EE63C6" w14:textId="77777777" w:rsidR="00CB3937" w:rsidRDefault="00CB3937" w:rsidP="005972D4">
            <w:r>
              <w:t>Serious adverse event(s)</w:t>
            </w:r>
          </w:p>
        </w:tc>
      </w:tr>
      <w:tr w:rsidR="00CB3937" w:rsidRPr="00FD119B" w14:paraId="38B14DBC" w14:textId="77777777" w:rsidTr="00FD119B">
        <w:tc>
          <w:tcPr>
            <w:tcW w:w="1809" w:type="dxa"/>
          </w:tcPr>
          <w:p w14:paraId="6AFA6428" w14:textId="77777777" w:rsidR="00CB3937" w:rsidRPr="006249A9" w:rsidRDefault="00CB3937" w:rsidP="00FD119B">
            <w:r>
              <w:t>TGA</w:t>
            </w:r>
          </w:p>
        </w:tc>
        <w:tc>
          <w:tcPr>
            <w:tcW w:w="6911" w:type="dxa"/>
          </w:tcPr>
          <w:p w14:paraId="22E14F70" w14:textId="77777777" w:rsidR="00CB3937" w:rsidRPr="006249A9" w:rsidRDefault="00CB3937" w:rsidP="00CA22EE">
            <w:r>
              <w:t>Therapeutic Goods Administration</w:t>
            </w:r>
          </w:p>
        </w:tc>
      </w:tr>
      <w:tr w:rsidR="00CB3937" w:rsidRPr="00FD119B" w14:paraId="77B9CA25" w14:textId="77777777" w:rsidTr="00FD119B">
        <w:tc>
          <w:tcPr>
            <w:tcW w:w="1809" w:type="dxa"/>
          </w:tcPr>
          <w:p w14:paraId="04FFFB2B" w14:textId="77777777" w:rsidR="00CB3937" w:rsidRDefault="00CB3937" w:rsidP="00FD119B">
            <w:proofErr w:type="spellStart"/>
            <w:r>
              <w:t>T</w:t>
            </w:r>
            <w:r w:rsidRPr="00A61463">
              <w:rPr>
                <w:vertAlign w:val="subscript"/>
              </w:rPr>
              <w:t>max</w:t>
            </w:r>
            <w:proofErr w:type="spellEnd"/>
          </w:p>
        </w:tc>
        <w:tc>
          <w:tcPr>
            <w:tcW w:w="6911" w:type="dxa"/>
          </w:tcPr>
          <w:p w14:paraId="6B535A3D" w14:textId="77777777" w:rsidR="00CB3937" w:rsidRDefault="00CB3937" w:rsidP="00B84C38">
            <w:r>
              <w:t>Time to maximum plasma concentration</w:t>
            </w:r>
          </w:p>
        </w:tc>
      </w:tr>
    </w:tbl>
    <w:p w14:paraId="2D8CF48A" w14:textId="77777777" w:rsidR="00FD119B" w:rsidRDefault="00FD119B" w:rsidP="00FD119B"/>
    <w:p w14:paraId="138E18C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D59E23C" w14:textId="77777777" w:rsidR="008E7846" w:rsidRDefault="00F53C07" w:rsidP="008E7846">
      <w:pPr>
        <w:pStyle w:val="Heading2"/>
      </w:pPr>
      <w:bookmarkStart w:id="9" w:name="_Toc34134741"/>
      <w:r>
        <w:lastRenderedPageBreak/>
        <w:t>I.</w:t>
      </w:r>
      <w:r w:rsidR="008E7846">
        <w:t xml:space="preserve"> Introduction to product submission</w:t>
      </w:r>
      <w:bookmarkEnd w:id="3"/>
      <w:bookmarkEnd w:id="0"/>
      <w:bookmarkEnd w:id="9"/>
    </w:p>
    <w:p w14:paraId="0C49045F" w14:textId="77777777" w:rsidR="008E7846" w:rsidRDefault="008E7846" w:rsidP="008E7846">
      <w:pPr>
        <w:pStyle w:val="Heading3"/>
        <w:rPr>
          <w:lang w:eastAsia="en-AU"/>
        </w:rPr>
      </w:pPr>
      <w:bookmarkStart w:id="10" w:name="_Toc247691502"/>
      <w:bookmarkStart w:id="11" w:name="_Toc314842483"/>
      <w:bookmarkStart w:id="12" w:name="_Toc3413474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6409E7A" w14:textId="77777777" w:rsidTr="003735BC">
        <w:tc>
          <w:tcPr>
            <w:tcW w:w="2907" w:type="dxa"/>
          </w:tcPr>
          <w:p w14:paraId="68396B8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DE00584" w14:textId="77777777" w:rsidR="008E7846" w:rsidRPr="003D1E62" w:rsidRDefault="008E7846" w:rsidP="00C55ACC">
            <w:r w:rsidRPr="003D1E62">
              <w:t xml:space="preserve">New </w:t>
            </w:r>
            <w:r w:rsidR="001B5C90">
              <w:t>c</w:t>
            </w:r>
            <w:r w:rsidRPr="003D1E62">
              <w:t xml:space="preserve">hemical </w:t>
            </w:r>
            <w:r w:rsidR="001B5C90">
              <w:t>e</w:t>
            </w:r>
            <w:r w:rsidR="00C55ACC">
              <w:t>ntity</w:t>
            </w:r>
          </w:p>
        </w:tc>
      </w:tr>
      <w:tr w:rsidR="008E7846" w:rsidRPr="003D1E62" w14:paraId="1FC68B90" w14:textId="77777777" w:rsidTr="003735BC">
        <w:tc>
          <w:tcPr>
            <w:tcW w:w="2907" w:type="dxa"/>
          </w:tcPr>
          <w:p w14:paraId="480C7C2C" w14:textId="77777777" w:rsidR="008E7846" w:rsidRPr="003D1E62" w:rsidRDefault="008E7846" w:rsidP="003D1E62">
            <w:r w:rsidRPr="003D1E62">
              <w:rPr>
                <w:i/>
              </w:rPr>
              <w:t>Decision</w:t>
            </w:r>
            <w:r w:rsidRPr="003D1E62">
              <w:t>:</w:t>
            </w:r>
          </w:p>
        </w:tc>
        <w:tc>
          <w:tcPr>
            <w:tcW w:w="6307" w:type="dxa"/>
          </w:tcPr>
          <w:p w14:paraId="22047343" w14:textId="77777777" w:rsidR="008E7846" w:rsidRPr="003D1E62" w:rsidRDefault="00C55ACC" w:rsidP="00C55ACC">
            <w:r>
              <w:t>Approved for provisional registration</w:t>
            </w:r>
          </w:p>
        </w:tc>
      </w:tr>
      <w:tr w:rsidR="00C55ACC" w:rsidRPr="003D1E62" w14:paraId="79E84DEE" w14:textId="77777777" w:rsidTr="003735BC">
        <w:tc>
          <w:tcPr>
            <w:tcW w:w="2907" w:type="dxa"/>
          </w:tcPr>
          <w:p w14:paraId="1EE4CBF6" w14:textId="77777777" w:rsidR="00C55ACC" w:rsidRPr="003D1E62" w:rsidRDefault="00C55ACC" w:rsidP="00C55ACC">
            <w:pPr>
              <w:rPr>
                <w:i/>
              </w:rPr>
            </w:pPr>
            <w:r w:rsidRPr="003D1E62">
              <w:rPr>
                <w:i/>
              </w:rPr>
              <w:t xml:space="preserve">Date of </w:t>
            </w:r>
            <w:r>
              <w:rPr>
                <w:i/>
              </w:rPr>
              <w:t>d</w:t>
            </w:r>
            <w:r w:rsidRPr="003D1E62">
              <w:rPr>
                <w:i/>
              </w:rPr>
              <w:t>ecision:</w:t>
            </w:r>
          </w:p>
        </w:tc>
        <w:tc>
          <w:tcPr>
            <w:tcW w:w="6307" w:type="dxa"/>
          </w:tcPr>
          <w:p w14:paraId="4A715C21" w14:textId="77777777" w:rsidR="00C55ACC" w:rsidRPr="00D03EC1" w:rsidRDefault="00C55ACC" w:rsidP="00C55ACC">
            <w:pPr>
              <w:rPr>
                <w:rFonts w:eastAsia="Calibri"/>
              </w:rPr>
            </w:pPr>
            <w:r w:rsidRPr="00D03EC1">
              <w:rPr>
                <w:rFonts w:eastAsia="Calibri"/>
              </w:rPr>
              <w:t>21 November 2019</w:t>
            </w:r>
          </w:p>
        </w:tc>
      </w:tr>
      <w:tr w:rsidR="00C55ACC" w:rsidRPr="003D1E62" w14:paraId="64033E6D" w14:textId="77777777" w:rsidTr="003735BC">
        <w:tc>
          <w:tcPr>
            <w:tcW w:w="2907" w:type="dxa"/>
          </w:tcPr>
          <w:p w14:paraId="60028B89" w14:textId="77777777" w:rsidR="00C55ACC" w:rsidRPr="00441C3F" w:rsidRDefault="00C55ACC" w:rsidP="00C55ACC">
            <w:pPr>
              <w:rPr>
                <w:i/>
              </w:rPr>
            </w:pPr>
            <w:r w:rsidRPr="00441C3F">
              <w:rPr>
                <w:i/>
              </w:rPr>
              <w:t>Date of entry onto ARTG</w:t>
            </w:r>
            <w:r>
              <w:rPr>
                <w:i/>
              </w:rPr>
              <w:t>:</w:t>
            </w:r>
          </w:p>
        </w:tc>
        <w:tc>
          <w:tcPr>
            <w:tcW w:w="6307" w:type="dxa"/>
          </w:tcPr>
          <w:p w14:paraId="5CAFEC25" w14:textId="77777777" w:rsidR="00C55ACC" w:rsidRPr="00D03EC1" w:rsidRDefault="00C55ACC" w:rsidP="00C55ACC">
            <w:pPr>
              <w:rPr>
                <w:rFonts w:eastAsia="Calibri"/>
              </w:rPr>
            </w:pPr>
            <w:r>
              <w:rPr>
                <w:rFonts w:eastAsia="Calibri"/>
              </w:rPr>
              <w:t>21</w:t>
            </w:r>
            <w:r w:rsidRPr="00D03EC1">
              <w:rPr>
                <w:rFonts w:eastAsia="Calibri"/>
              </w:rPr>
              <w:t xml:space="preserve"> November 2019</w:t>
            </w:r>
          </w:p>
        </w:tc>
      </w:tr>
      <w:tr w:rsidR="00C55ACC" w:rsidRPr="003D1E62" w14:paraId="0D8B0109" w14:textId="77777777" w:rsidTr="003735BC">
        <w:tc>
          <w:tcPr>
            <w:tcW w:w="2907" w:type="dxa"/>
          </w:tcPr>
          <w:p w14:paraId="6B7EC685" w14:textId="77777777" w:rsidR="00C55ACC" w:rsidRPr="00441C3F" w:rsidRDefault="00C55ACC" w:rsidP="00C55ACC">
            <w:pPr>
              <w:rPr>
                <w:i/>
              </w:rPr>
            </w:pPr>
            <w:r>
              <w:rPr>
                <w:i/>
              </w:rPr>
              <w:t>ARTG number:</w:t>
            </w:r>
          </w:p>
        </w:tc>
        <w:tc>
          <w:tcPr>
            <w:tcW w:w="6307" w:type="dxa"/>
          </w:tcPr>
          <w:p w14:paraId="7992BDDF" w14:textId="77777777" w:rsidR="00C55ACC" w:rsidRPr="00D03EC1" w:rsidRDefault="00C55ACC" w:rsidP="00C55ACC">
            <w:pPr>
              <w:rPr>
                <w:rFonts w:eastAsia="Calibri"/>
              </w:rPr>
            </w:pPr>
            <w:r w:rsidRPr="00D03EC1">
              <w:rPr>
                <w:rFonts w:eastAsia="Calibri"/>
              </w:rPr>
              <w:t>321419</w:t>
            </w:r>
          </w:p>
        </w:tc>
      </w:tr>
      <w:tr w:rsidR="003735BC" w:rsidRPr="003D1E62" w14:paraId="50D6E257" w14:textId="77777777" w:rsidTr="003735BC">
        <w:tc>
          <w:tcPr>
            <w:tcW w:w="2907" w:type="dxa"/>
          </w:tcPr>
          <w:p w14:paraId="28B374D6"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079602EC" w14:textId="77777777" w:rsidR="003735BC" w:rsidRDefault="00C55ACC" w:rsidP="003735BC">
            <w:r>
              <w:t>Yes</w:t>
            </w:r>
          </w:p>
          <w:p w14:paraId="20FACEA9" w14:textId="77777777" w:rsidR="003735BC" w:rsidRPr="00487162" w:rsidRDefault="00C55ACC" w:rsidP="003735BC">
            <w:r w:rsidRPr="00D75678">
              <w:rPr>
                <w:rFonts w:eastAsia="Calibri"/>
              </w:rPr>
              <w:t>This product will remain in the scheme for 5 years, starting on the date the product is first supplied in Australia</w:t>
            </w:r>
          </w:p>
        </w:tc>
      </w:tr>
      <w:tr w:rsidR="008E7846" w:rsidRPr="00487162" w14:paraId="69D9C3B1" w14:textId="77777777" w:rsidTr="00BF1190">
        <w:tc>
          <w:tcPr>
            <w:tcW w:w="2907" w:type="dxa"/>
          </w:tcPr>
          <w:p w14:paraId="070DCCFC" w14:textId="77777777" w:rsidR="008E7846" w:rsidRPr="00487162" w:rsidRDefault="00C55ACC" w:rsidP="00E45619">
            <w:pPr>
              <w:rPr>
                <w:i/>
              </w:rPr>
            </w:pPr>
            <w:r>
              <w:rPr>
                <w:i/>
              </w:rPr>
              <w:t>Active ingredient</w:t>
            </w:r>
            <w:r w:rsidR="001B5C90">
              <w:rPr>
                <w:i/>
              </w:rPr>
              <w:t>:</w:t>
            </w:r>
          </w:p>
        </w:tc>
        <w:tc>
          <w:tcPr>
            <w:tcW w:w="6307" w:type="dxa"/>
          </w:tcPr>
          <w:p w14:paraId="377DA2C2" w14:textId="77777777" w:rsidR="008E7846" w:rsidRPr="00487162" w:rsidRDefault="00C55ACC" w:rsidP="00E55CB0">
            <w:proofErr w:type="spellStart"/>
            <w:r>
              <w:rPr>
                <w:rFonts w:cs="Cambria"/>
                <w:lang w:eastAsia="en-AU"/>
              </w:rPr>
              <w:t>Acalabrutinib</w:t>
            </w:r>
            <w:proofErr w:type="spellEnd"/>
          </w:p>
        </w:tc>
      </w:tr>
      <w:tr w:rsidR="008E7846" w:rsidRPr="00487162" w14:paraId="57B16C16" w14:textId="77777777" w:rsidTr="00BF1190">
        <w:tc>
          <w:tcPr>
            <w:tcW w:w="2907" w:type="dxa"/>
          </w:tcPr>
          <w:p w14:paraId="6235479F" w14:textId="77777777" w:rsidR="008E7846" w:rsidRPr="00487162" w:rsidRDefault="008E7846" w:rsidP="001B5C90">
            <w:pPr>
              <w:rPr>
                <w:i/>
              </w:rPr>
            </w:pPr>
            <w:r w:rsidRPr="00487162">
              <w:rPr>
                <w:i/>
              </w:rPr>
              <w:t>Product</w:t>
            </w:r>
            <w:r w:rsidR="00C55ACC">
              <w:rPr>
                <w:i/>
              </w:rPr>
              <w:t xml:space="preserve"> name</w:t>
            </w:r>
            <w:r w:rsidR="001B5C90">
              <w:rPr>
                <w:i/>
              </w:rPr>
              <w:t>:</w:t>
            </w:r>
          </w:p>
        </w:tc>
        <w:tc>
          <w:tcPr>
            <w:tcW w:w="6307" w:type="dxa"/>
          </w:tcPr>
          <w:p w14:paraId="3109954D" w14:textId="77777777" w:rsidR="008E7846" w:rsidRPr="00487162" w:rsidRDefault="00C55ACC" w:rsidP="00C55ACC">
            <w:proofErr w:type="spellStart"/>
            <w:r w:rsidRPr="00D03EC1">
              <w:t>Calquence</w:t>
            </w:r>
            <w:proofErr w:type="spellEnd"/>
          </w:p>
        </w:tc>
      </w:tr>
      <w:tr w:rsidR="008E7846" w:rsidRPr="00487162" w14:paraId="2BCA6A71" w14:textId="77777777" w:rsidTr="00BF1190">
        <w:tc>
          <w:tcPr>
            <w:tcW w:w="2907" w:type="dxa"/>
          </w:tcPr>
          <w:p w14:paraId="4C8C5BE9"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FAEE445" w14:textId="77777777" w:rsidR="00C55ACC" w:rsidRDefault="00C55ACC" w:rsidP="00C55ACC">
            <w:r>
              <w:t>AstraZeneca Pty Ltd</w:t>
            </w:r>
          </w:p>
          <w:p w14:paraId="3377F0C0" w14:textId="77777777" w:rsidR="00C55ACC" w:rsidRDefault="00C55ACC" w:rsidP="00C55ACC">
            <w:r>
              <w:t>PO Box 131</w:t>
            </w:r>
          </w:p>
          <w:p w14:paraId="1B5BCCBF" w14:textId="77777777" w:rsidR="008E7846" w:rsidRPr="00487162" w:rsidRDefault="00C55ACC" w:rsidP="00C55ACC">
            <w:r>
              <w:t>North Ryde NSW 1670</w:t>
            </w:r>
          </w:p>
        </w:tc>
      </w:tr>
      <w:tr w:rsidR="008E7846" w:rsidRPr="00487162" w14:paraId="514E91F4" w14:textId="77777777" w:rsidTr="00BF1190">
        <w:tc>
          <w:tcPr>
            <w:tcW w:w="2907" w:type="dxa"/>
          </w:tcPr>
          <w:p w14:paraId="0F624D97" w14:textId="77777777" w:rsidR="008E7846" w:rsidRPr="00487162" w:rsidRDefault="00C55ACC" w:rsidP="00E45619">
            <w:pPr>
              <w:rPr>
                <w:i/>
              </w:rPr>
            </w:pPr>
            <w:r>
              <w:rPr>
                <w:i/>
              </w:rPr>
              <w:t>Dose form</w:t>
            </w:r>
            <w:r w:rsidR="001B5C90">
              <w:rPr>
                <w:i/>
              </w:rPr>
              <w:t>:</w:t>
            </w:r>
          </w:p>
        </w:tc>
        <w:tc>
          <w:tcPr>
            <w:tcW w:w="6307" w:type="dxa"/>
          </w:tcPr>
          <w:p w14:paraId="494759D8" w14:textId="77777777" w:rsidR="008E7846" w:rsidRPr="00487162" w:rsidRDefault="00C55ACC" w:rsidP="00E45619">
            <w:r w:rsidRPr="00D03EC1">
              <w:rPr>
                <w:rFonts w:eastAsia="Calibri"/>
              </w:rPr>
              <w:t>Hard capsule</w:t>
            </w:r>
          </w:p>
        </w:tc>
      </w:tr>
      <w:tr w:rsidR="008E7846" w:rsidRPr="00487162" w14:paraId="43B422B7" w14:textId="77777777" w:rsidTr="00BF1190">
        <w:tc>
          <w:tcPr>
            <w:tcW w:w="2907" w:type="dxa"/>
          </w:tcPr>
          <w:p w14:paraId="4E42195A" w14:textId="77777777" w:rsidR="008E7846" w:rsidRPr="00487162" w:rsidRDefault="00C55ACC" w:rsidP="00E45619">
            <w:pPr>
              <w:rPr>
                <w:i/>
              </w:rPr>
            </w:pPr>
            <w:r>
              <w:rPr>
                <w:i/>
              </w:rPr>
              <w:t>Strength</w:t>
            </w:r>
            <w:r w:rsidR="008E7846" w:rsidRPr="00487162">
              <w:rPr>
                <w:i/>
              </w:rPr>
              <w:t xml:space="preserve">: </w:t>
            </w:r>
          </w:p>
        </w:tc>
        <w:tc>
          <w:tcPr>
            <w:tcW w:w="6307" w:type="dxa"/>
          </w:tcPr>
          <w:p w14:paraId="58D3781F" w14:textId="77777777" w:rsidR="008E7846" w:rsidRPr="00487162" w:rsidRDefault="00C55ACC" w:rsidP="00E45619">
            <w:r w:rsidRPr="00D03EC1">
              <w:rPr>
                <w:rFonts w:eastAsia="Calibri"/>
              </w:rPr>
              <w:t>100 mg</w:t>
            </w:r>
          </w:p>
        </w:tc>
      </w:tr>
      <w:tr w:rsidR="008E7846" w:rsidRPr="00487162" w14:paraId="1C608E8A" w14:textId="77777777" w:rsidTr="00BF1190">
        <w:tc>
          <w:tcPr>
            <w:tcW w:w="2907" w:type="dxa"/>
          </w:tcPr>
          <w:p w14:paraId="70A49E12" w14:textId="77777777" w:rsidR="008E7846" w:rsidRPr="00487162" w:rsidRDefault="00C55ACC" w:rsidP="00E45619">
            <w:pPr>
              <w:rPr>
                <w:i/>
              </w:rPr>
            </w:pPr>
            <w:r>
              <w:rPr>
                <w:i/>
              </w:rPr>
              <w:t>Container</w:t>
            </w:r>
            <w:r w:rsidR="008E7846" w:rsidRPr="00487162">
              <w:rPr>
                <w:i/>
              </w:rPr>
              <w:t>:</w:t>
            </w:r>
          </w:p>
        </w:tc>
        <w:tc>
          <w:tcPr>
            <w:tcW w:w="6307" w:type="dxa"/>
          </w:tcPr>
          <w:p w14:paraId="7650FF56" w14:textId="77777777" w:rsidR="008E7846" w:rsidRPr="00487162" w:rsidRDefault="00C55ACC" w:rsidP="00E45619">
            <w:r w:rsidRPr="00D03EC1">
              <w:rPr>
                <w:rFonts w:eastAsia="Calibri"/>
              </w:rPr>
              <w:t>Blister pack</w:t>
            </w:r>
          </w:p>
        </w:tc>
      </w:tr>
      <w:tr w:rsidR="008E7846" w:rsidRPr="00487162" w14:paraId="47872B9E" w14:textId="77777777" w:rsidTr="00BF1190">
        <w:tc>
          <w:tcPr>
            <w:tcW w:w="2907" w:type="dxa"/>
          </w:tcPr>
          <w:p w14:paraId="3F490732" w14:textId="77777777" w:rsidR="008E7846" w:rsidRPr="00487162" w:rsidRDefault="00C55ACC" w:rsidP="00E45619">
            <w:pPr>
              <w:rPr>
                <w:i/>
              </w:rPr>
            </w:pPr>
            <w:r>
              <w:rPr>
                <w:i/>
              </w:rPr>
              <w:t>Pack size</w:t>
            </w:r>
            <w:r w:rsidR="008E7846" w:rsidRPr="00487162">
              <w:rPr>
                <w:i/>
              </w:rPr>
              <w:t>:</w:t>
            </w:r>
          </w:p>
        </w:tc>
        <w:tc>
          <w:tcPr>
            <w:tcW w:w="6307" w:type="dxa"/>
          </w:tcPr>
          <w:p w14:paraId="6FA5D271" w14:textId="77777777" w:rsidR="008E7846" w:rsidRPr="00487162" w:rsidRDefault="00C55ACC" w:rsidP="00E45619">
            <w:r w:rsidRPr="00F023FC">
              <w:rPr>
                <w:rFonts w:eastAsia="Calibri"/>
              </w:rPr>
              <w:t>56 capsules</w:t>
            </w:r>
          </w:p>
        </w:tc>
      </w:tr>
      <w:tr w:rsidR="008E7846" w:rsidRPr="00487162" w14:paraId="58F71663" w14:textId="77777777" w:rsidTr="00BF1190">
        <w:tc>
          <w:tcPr>
            <w:tcW w:w="2907" w:type="dxa"/>
          </w:tcPr>
          <w:p w14:paraId="27A11BE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AB815AD" w14:textId="77777777" w:rsidR="00C55ACC" w:rsidRDefault="00C55ACC" w:rsidP="00C55ACC">
            <w:pPr>
              <w:pStyle w:val="Figuredescription0"/>
              <w:rPr>
                <w:rFonts w:eastAsia="Calibri"/>
                <w:sz w:val="22"/>
                <w:szCs w:val="22"/>
              </w:rPr>
            </w:pPr>
            <w:proofErr w:type="spellStart"/>
            <w:r w:rsidRPr="00BC3730">
              <w:rPr>
                <w:rFonts w:eastAsia="Calibri"/>
                <w:sz w:val="22"/>
                <w:szCs w:val="22"/>
              </w:rPr>
              <w:t>Calquence</w:t>
            </w:r>
            <w:proofErr w:type="spellEnd"/>
            <w:r>
              <w:rPr>
                <w:rFonts w:eastAsia="Calibri"/>
                <w:sz w:val="22"/>
                <w:szCs w:val="22"/>
              </w:rPr>
              <w:t xml:space="preserve"> (</w:t>
            </w:r>
            <w:proofErr w:type="spellStart"/>
            <w:r>
              <w:rPr>
                <w:rFonts w:eastAsia="Calibri"/>
                <w:sz w:val="22"/>
                <w:szCs w:val="22"/>
              </w:rPr>
              <w:t>a</w:t>
            </w:r>
            <w:r w:rsidRPr="00BC3730">
              <w:rPr>
                <w:rFonts w:eastAsia="Calibri"/>
                <w:sz w:val="22"/>
                <w:szCs w:val="22"/>
              </w:rPr>
              <w:t>calabrutinib</w:t>
            </w:r>
            <w:proofErr w:type="spellEnd"/>
            <w:r>
              <w:rPr>
                <w:rFonts w:eastAsia="Calibri"/>
                <w:sz w:val="22"/>
                <w:szCs w:val="22"/>
              </w:rPr>
              <w:t>)</w:t>
            </w:r>
            <w:r w:rsidRPr="00D75678">
              <w:rPr>
                <w:rFonts w:eastAsia="Calibri"/>
                <w:sz w:val="22"/>
                <w:szCs w:val="22"/>
              </w:rPr>
              <w:t xml:space="preserve"> was </w:t>
            </w:r>
            <w:r w:rsidRPr="00BC3730">
              <w:rPr>
                <w:rFonts w:eastAsia="Calibri"/>
                <w:b/>
                <w:sz w:val="22"/>
                <w:szCs w:val="22"/>
              </w:rPr>
              <w:t>provisionally approved</w:t>
            </w:r>
            <w:r w:rsidRPr="00D75678">
              <w:rPr>
                <w:rFonts w:eastAsia="Calibri"/>
                <w:sz w:val="22"/>
                <w:szCs w:val="22"/>
              </w:rPr>
              <w:t xml:space="preserve"> for the following therapeutic use:</w:t>
            </w:r>
          </w:p>
          <w:p w14:paraId="332486DC" w14:textId="77777777" w:rsidR="00C55ACC" w:rsidRPr="00BC3730" w:rsidRDefault="00C55ACC" w:rsidP="00C55ACC">
            <w:pPr>
              <w:ind w:left="720"/>
              <w:rPr>
                <w:i/>
              </w:rPr>
            </w:pPr>
            <w:proofErr w:type="spellStart"/>
            <w:r w:rsidRPr="00BC3730">
              <w:rPr>
                <w:i/>
              </w:rPr>
              <w:t>Calquence</w:t>
            </w:r>
            <w:proofErr w:type="spellEnd"/>
            <w:r w:rsidRPr="00BC3730">
              <w:rPr>
                <w:i/>
              </w:rPr>
              <w:t xml:space="preserve"> is indicated for the treatment of patients with mantle cell lymphoma who have received at least one prior therapy.</w:t>
            </w:r>
          </w:p>
          <w:p w14:paraId="1B5666D0" w14:textId="77777777" w:rsidR="00C55ACC" w:rsidRDefault="00C55ACC" w:rsidP="00C55ACC">
            <w:r w:rsidRPr="00BC3730">
              <w:t xml:space="preserve">This indication is approved via the </w:t>
            </w:r>
            <w:r w:rsidRPr="00BC3730">
              <w:rPr>
                <w:b/>
              </w:rPr>
              <w:t>provisional approval</w:t>
            </w:r>
            <w:r w:rsidRPr="00BC3730">
              <w:t xml:space="preserve"> pathway, based on overall response rate. Full registration for this indication depends on verification and description of clinical benefit in confirmatory trials.</w:t>
            </w:r>
          </w:p>
          <w:p w14:paraId="5CB2F893" w14:textId="77777777" w:rsidR="008E7846" w:rsidRPr="00487162" w:rsidRDefault="00C55ACC" w:rsidP="00C55ACC">
            <w:pPr>
              <w:rPr>
                <w:rFonts w:eastAsia="MS Mincho"/>
                <w:lang w:eastAsia="ja-JP"/>
              </w:rPr>
            </w:pPr>
            <w:r>
              <w:t xml:space="preserve">The provisional registration period for the above medicine is </w:t>
            </w:r>
            <w:r w:rsidRPr="00BC3730">
              <w:rPr>
                <w:b/>
              </w:rPr>
              <w:t>two years</w:t>
            </w:r>
            <w:r>
              <w:t xml:space="preserve"> starting on the day specified in the ARTG certificate of registration.</w:t>
            </w:r>
          </w:p>
        </w:tc>
      </w:tr>
      <w:tr w:rsidR="008E7846" w:rsidRPr="00487162" w14:paraId="5EC868B0" w14:textId="77777777" w:rsidTr="00BF1190">
        <w:tc>
          <w:tcPr>
            <w:tcW w:w="2907" w:type="dxa"/>
          </w:tcPr>
          <w:p w14:paraId="1A22BEE4" w14:textId="77777777" w:rsidR="008E7846" w:rsidRPr="00487162" w:rsidRDefault="00C55ACC" w:rsidP="00E45619">
            <w:pPr>
              <w:rPr>
                <w:i/>
              </w:rPr>
            </w:pPr>
            <w:r>
              <w:rPr>
                <w:i/>
              </w:rPr>
              <w:t>Route</w:t>
            </w:r>
            <w:r w:rsidR="008E7846" w:rsidRPr="00487162">
              <w:rPr>
                <w:i/>
              </w:rPr>
              <w:t xml:space="preserve"> of administration:</w:t>
            </w:r>
          </w:p>
        </w:tc>
        <w:tc>
          <w:tcPr>
            <w:tcW w:w="6307" w:type="dxa"/>
          </w:tcPr>
          <w:p w14:paraId="4201EC06" w14:textId="77777777" w:rsidR="008E7846" w:rsidRPr="00487162" w:rsidRDefault="00C55ACC" w:rsidP="00E45619">
            <w:r w:rsidRPr="00F023FC">
              <w:rPr>
                <w:rFonts w:eastAsia="Calibri"/>
              </w:rPr>
              <w:t>Oral</w:t>
            </w:r>
          </w:p>
        </w:tc>
      </w:tr>
      <w:tr w:rsidR="008E7846" w:rsidRPr="00487162" w14:paraId="31DD6CD5" w14:textId="77777777" w:rsidTr="00BF1190">
        <w:tc>
          <w:tcPr>
            <w:tcW w:w="2907" w:type="dxa"/>
          </w:tcPr>
          <w:p w14:paraId="4964FEDB" w14:textId="77777777" w:rsidR="008E7846" w:rsidRPr="00487162" w:rsidRDefault="008E7846" w:rsidP="00E45619">
            <w:pPr>
              <w:rPr>
                <w:i/>
              </w:rPr>
            </w:pPr>
            <w:r w:rsidRPr="00487162">
              <w:rPr>
                <w:i/>
              </w:rPr>
              <w:t>Dosage:</w:t>
            </w:r>
          </w:p>
        </w:tc>
        <w:tc>
          <w:tcPr>
            <w:tcW w:w="6307" w:type="dxa"/>
          </w:tcPr>
          <w:p w14:paraId="4291E602" w14:textId="77777777" w:rsidR="00C55ACC" w:rsidRPr="00D03EC1" w:rsidRDefault="00C55ACC" w:rsidP="00C55ACC">
            <w:pPr>
              <w:spacing w:before="0" w:after="200" w:line="276" w:lineRule="auto"/>
              <w:rPr>
                <w:rFonts w:eastAsia="Calibri"/>
              </w:rPr>
            </w:pPr>
            <w:r w:rsidRPr="00D03EC1">
              <w:rPr>
                <w:rFonts w:eastAsia="Calibri"/>
              </w:rPr>
              <w:t xml:space="preserve">Treatment with </w:t>
            </w:r>
            <w:proofErr w:type="spellStart"/>
            <w:r w:rsidRPr="00D03EC1">
              <w:rPr>
                <w:rFonts w:eastAsia="Calibri"/>
              </w:rPr>
              <w:t>Calquence</w:t>
            </w:r>
            <w:proofErr w:type="spellEnd"/>
            <w:r w:rsidRPr="00D03EC1">
              <w:rPr>
                <w:rFonts w:eastAsia="Calibri"/>
              </w:rPr>
              <w:t xml:space="preserve"> should be initiated and supervised by </w:t>
            </w:r>
            <w:r w:rsidRPr="00D03EC1">
              <w:rPr>
                <w:rFonts w:eastAsia="Calibri"/>
              </w:rPr>
              <w:lastRenderedPageBreak/>
              <w:t>a physician experienced in the use of anticancer therapies.</w:t>
            </w:r>
          </w:p>
          <w:p w14:paraId="7231BB62" w14:textId="77777777" w:rsidR="00C55ACC" w:rsidRPr="00D03EC1" w:rsidRDefault="00C55ACC" w:rsidP="00C55ACC">
            <w:pPr>
              <w:spacing w:before="0" w:after="200" w:line="276" w:lineRule="auto"/>
              <w:rPr>
                <w:rFonts w:eastAsia="Calibri"/>
              </w:rPr>
            </w:pPr>
            <w:r w:rsidRPr="00D03EC1">
              <w:rPr>
                <w:rFonts w:eastAsia="Calibri"/>
              </w:rPr>
              <w:t xml:space="preserve">Recommended dosage (18 years and above): the recommended dose of </w:t>
            </w:r>
            <w:proofErr w:type="spellStart"/>
            <w:r w:rsidRPr="00D03EC1">
              <w:rPr>
                <w:rFonts w:eastAsia="Calibri"/>
              </w:rPr>
              <w:t>Calquence</w:t>
            </w:r>
            <w:proofErr w:type="spellEnd"/>
            <w:r w:rsidRPr="00D03EC1">
              <w:rPr>
                <w:rFonts w:eastAsia="Calibri"/>
              </w:rPr>
              <w:t xml:space="preserve"> is 100 mg twice daily (equivalent to a total daily dose of 200 mg). Doses should be separated by approximately 12 hours.</w:t>
            </w:r>
          </w:p>
          <w:p w14:paraId="78EE8493" w14:textId="77777777" w:rsidR="00C55ACC" w:rsidRPr="00D03EC1" w:rsidRDefault="00C55ACC" w:rsidP="00C55ACC">
            <w:pPr>
              <w:spacing w:before="0" w:after="200" w:line="276" w:lineRule="auto"/>
              <w:rPr>
                <w:rFonts w:eastAsia="Calibri"/>
              </w:rPr>
            </w:pPr>
            <w:r w:rsidRPr="00D03EC1">
              <w:rPr>
                <w:rFonts w:eastAsia="Calibri"/>
              </w:rPr>
              <w:t xml:space="preserve">Treatment with </w:t>
            </w:r>
            <w:proofErr w:type="spellStart"/>
            <w:r w:rsidRPr="00D03EC1">
              <w:rPr>
                <w:rFonts w:eastAsia="Calibri"/>
              </w:rPr>
              <w:t>Calquence</w:t>
            </w:r>
            <w:proofErr w:type="spellEnd"/>
            <w:r w:rsidRPr="00D03EC1">
              <w:rPr>
                <w:rFonts w:eastAsia="Calibri"/>
              </w:rPr>
              <w:t xml:space="preserve"> should continue until disease progression or unacceptable toxicity.</w:t>
            </w:r>
          </w:p>
          <w:p w14:paraId="716103D8" w14:textId="154140BC" w:rsidR="008E7846" w:rsidRPr="00487162" w:rsidRDefault="00C55ACC" w:rsidP="00C55ACC">
            <w:r w:rsidRPr="007473D5">
              <w:rPr>
                <w:rFonts w:eastAsia="Calibri"/>
              </w:rPr>
              <w:t>For further information refer to the Product Information.</w:t>
            </w:r>
          </w:p>
        </w:tc>
      </w:tr>
    </w:tbl>
    <w:p w14:paraId="16A4E87F" w14:textId="77777777" w:rsidR="008E7846" w:rsidRDefault="008E7846" w:rsidP="008E7846">
      <w:pPr>
        <w:pStyle w:val="Heading3"/>
      </w:pPr>
      <w:bookmarkStart w:id="13" w:name="_Toc247691503"/>
      <w:bookmarkStart w:id="14" w:name="_Toc314842484"/>
      <w:bookmarkStart w:id="15" w:name="_Toc34134743"/>
      <w:r>
        <w:lastRenderedPageBreak/>
        <w:t>Product background</w:t>
      </w:r>
      <w:bookmarkEnd w:id="13"/>
      <w:bookmarkEnd w:id="14"/>
      <w:bookmarkEnd w:id="15"/>
    </w:p>
    <w:p w14:paraId="4F77FDB1" w14:textId="77777777" w:rsidR="008E7846" w:rsidRDefault="00940A89" w:rsidP="00940A89">
      <w:r w:rsidRPr="00940A89">
        <w:t xml:space="preserve">This AusPAR describes the application by </w:t>
      </w:r>
      <w:r w:rsidR="006B7E35">
        <w:t>AstraZeneca Pty Ltd</w:t>
      </w:r>
      <w:r w:rsidR="006B7E35" w:rsidRPr="00940A89">
        <w:t xml:space="preserve"> </w:t>
      </w:r>
      <w:r w:rsidR="006B7E35">
        <w:t>(</w:t>
      </w:r>
      <w:r w:rsidRPr="00940A89">
        <w:t>the sponsor</w:t>
      </w:r>
      <w:r w:rsidR="006B7E35">
        <w:t>)</w:t>
      </w:r>
      <w:r w:rsidRPr="00940A89">
        <w:t xml:space="preserve"> to register </w:t>
      </w:r>
      <w:proofErr w:type="spellStart"/>
      <w:r w:rsidR="006B7E35" w:rsidRPr="00BC3730">
        <w:rPr>
          <w:rFonts w:eastAsia="Calibri"/>
        </w:rPr>
        <w:t>Calquence</w:t>
      </w:r>
      <w:proofErr w:type="spellEnd"/>
      <w:r w:rsidR="006B7E35">
        <w:rPr>
          <w:rFonts w:eastAsia="Calibri"/>
        </w:rPr>
        <w:t xml:space="preserve"> (</w:t>
      </w:r>
      <w:proofErr w:type="spellStart"/>
      <w:r w:rsidR="006B7E35">
        <w:rPr>
          <w:rFonts w:eastAsia="Calibri"/>
        </w:rPr>
        <w:t>a</w:t>
      </w:r>
      <w:r w:rsidR="006B7E35" w:rsidRPr="00BC3730">
        <w:rPr>
          <w:rFonts w:eastAsia="Calibri"/>
        </w:rPr>
        <w:t>calabrutinib</w:t>
      </w:r>
      <w:proofErr w:type="spellEnd"/>
      <w:r w:rsidR="006B7E35">
        <w:rPr>
          <w:rFonts w:eastAsia="Calibri"/>
        </w:rPr>
        <w:t>)</w:t>
      </w:r>
      <w:r w:rsidR="006B7E35" w:rsidRPr="00D23139">
        <w:t xml:space="preserve"> </w:t>
      </w:r>
      <w:r w:rsidR="006B7E35">
        <w:t>100 mg hard capsule</w:t>
      </w:r>
      <w:r w:rsidR="006B7E35" w:rsidRPr="00940A89">
        <w:t xml:space="preserve"> </w:t>
      </w:r>
      <w:r w:rsidRPr="00940A89">
        <w:t>for the following indication</w:t>
      </w:r>
      <w:r w:rsidR="006B7E35">
        <w:t>:</w:t>
      </w:r>
    </w:p>
    <w:p w14:paraId="494C59EC" w14:textId="77777777" w:rsidR="006B7E35" w:rsidRPr="006B7E35" w:rsidRDefault="006B7E35" w:rsidP="006B7E35">
      <w:pPr>
        <w:ind w:left="720"/>
        <w:rPr>
          <w:i/>
        </w:rPr>
      </w:pPr>
      <w:proofErr w:type="spellStart"/>
      <w:r w:rsidRPr="006B7E35">
        <w:rPr>
          <w:i/>
        </w:rPr>
        <w:t>Calquence</w:t>
      </w:r>
      <w:proofErr w:type="spellEnd"/>
      <w:r w:rsidRPr="006B7E35">
        <w:rPr>
          <w:i/>
        </w:rPr>
        <w:t xml:space="preserve"> is indicated for the treatment of patients with mantle cell lymphoma who have received at least one prior therapy.</w:t>
      </w:r>
    </w:p>
    <w:p w14:paraId="11229EC9" w14:textId="77777777" w:rsidR="00655DE1" w:rsidRDefault="00655DE1" w:rsidP="00655DE1">
      <w:r>
        <w:t>Mantle cell lymphoma (</w:t>
      </w:r>
      <w:r w:rsidR="00623543">
        <w:t>MCL</w:t>
      </w:r>
      <w:r>
        <w:t>)</w:t>
      </w:r>
      <w:r w:rsidR="00623543">
        <w:t xml:space="preserve"> </w:t>
      </w:r>
      <w:r w:rsidR="00B51704">
        <w:t xml:space="preserve">is a cancer of B cells within a region of the lymph node known as the mantle zone. It </w:t>
      </w:r>
      <w:r w:rsidR="00001A94">
        <w:t>is a rare form of non-Hodgkin l</w:t>
      </w:r>
      <w:r w:rsidR="00623543">
        <w:t>ymphoma (NHL), comprising about 7% of adult NHL. Most patients with MCL have advanced disease at diagnosis, with 75% presenting with lymphadenopathy an</w:t>
      </w:r>
      <w:r>
        <w:t>d 25% with extra-nodal disease.</w:t>
      </w:r>
    </w:p>
    <w:p w14:paraId="783235A5" w14:textId="77777777" w:rsidR="00655DE1" w:rsidRDefault="00623543" w:rsidP="00655DE1">
      <w:r>
        <w:t>Treatment for relapsed or refractory (R/R) patients has a variable response rate, but progr</w:t>
      </w:r>
      <w:r w:rsidR="00001A94">
        <w:t>ession free survival (PFS) and overall s</w:t>
      </w:r>
      <w:r>
        <w:t xml:space="preserve">urvival (OS) is generally less than two years. </w:t>
      </w:r>
      <w:r w:rsidR="00655DE1">
        <w:t>MCL is incurable with current therapies, with the exception of rare patients who achieve long-term disease-free survival after allogeneic stem cell transplantation.</w:t>
      </w:r>
    </w:p>
    <w:p w14:paraId="3940F6B9" w14:textId="77777777" w:rsidR="00623543" w:rsidRDefault="00655DE1" w:rsidP="00655DE1">
      <w:proofErr w:type="spellStart"/>
      <w:r w:rsidRPr="00D03EC1">
        <w:t>Bruton</w:t>
      </w:r>
      <w:r w:rsidR="00001A94">
        <w:t>’s</w:t>
      </w:r>
      <w:proofErr w:type="spellEnd"/>
      <w:r w:rsidRPr="00D03EC1">
        <w:t xml:space="preserve"> tyrosine kina</w:t>
      </w:r>
      <w:r>
        <w:t>se (BTK)</w:t>
      </w:r>
      <w:r w:rsidRPr="00D03EC1">
        <w:t xml:space="preserve"> is a signalling</w:t>
      </w:r>
      <w:r>
        <w:t xml:space="preserve"> molecule of the B cell antigen </w:t>
      </w:r>
      <w:r w:rsidRPr="00D03EC1">
        <w:t>receptor (BCR) and cytokine receptor pathways. In B cells, BTK sign</w:t>
      </w:r>
      <w:r>
        <w:t xml:space="preserve">alling results in activation of </w:t>
      </w:r>
      <w:r w:rsidRPr="00D03EC1">
        <w:t>pathways necessary for B-cell proliferation, trafficking, chemotaxi</w:t>
      </w:r>
      <w:r>
        <w:t xml:space="preserve">s, and adhesion. The first-generation BTK inhibitor </w:t>
      </w:r>
      <w:proofErr w:type="spellStart"/>
      <w:r>
        <w:t>i</w:t>
      </w:r>
      <w:r w:rsidR="00623543">
        <w:t>brutinib</w:t>
      </w:r>
      <w:proofErr w:type="spellEnd"/>
      <w:r w:rsidR="00623543">
        <w:t xml:space="preserve"> is currently part of the therapeutic options for R/R MCL. Latter gen</w:t>
      </w:r>
      <w:r>
        <w:t xml:space="preserve">eration BTK inhibitors such as </w:t>
      </w:r>
      <w:proofErr w:type="spellStart"/>
      <w:r>
        <w:t>a</w:t>
      </w:r>
      <w:r w:rsidR="00623543">
        <w:t>calabrutinib</w:t>
      </w:r>
      <w:proofErr w:type="spellEnd"/>
      <w:r w:rsidR="00623543">
        <w:t xml:space="preserve"> have been rapidly assessed for potentially having improved toxicity with favourable efficacy compared to first-generation BTK inhibitors.</w:t>
      </w:r>
    </w:p>
    <w:p w14:paraId="72A4A65F" w14:textId="241537B2" w:rsidR="00623543" w:rsidRDefault="001D1FA8" w:rsidP="007C00A6">
      <w:r>
        <w:t xml:space="preserve">This application was made through the TGA’s provisional registration process, which requires further clinical trials to be submitted to confirm efficacy and </w:t>
      </w:r>
      <w:r w:rsidR="00EA6DFE">
        <w:t>safety.</w:t>
      </w:r>
      <w:r w:rsidR="00EA6DFE" w:rsidRPr="00367925">
        <w:t xml:space="preserve"> This</w:t>
      </w:r>
      <w:r w:rsidRPr="00367925">
        <w:t xml:space="preserve"> application was submitted through the </w:t>
      </w:r>
      <w:r w:rsidR="00396838">
        <w:t xml:space="preserve">TGA’s </w:t>
      </w:r>
      <w:r>
        <w:t>Comparable Overseas Regulator</w:t>
      </w:r>
      <w:r w:rsidRPr="00367925">
        <w:t xml:space="preserve"> </w:t>
      </w:r>
      <w:r w:rsidR="00924C10">
        <w:t xml:space="preserve">approach B </w:t>
      </w:r>
      <w:r>
        <w:t>(COR</w:t>
      </w:r>
      <w:r w:rsidR="00924C10">
        <w:noBreakHyphen/>
        <w:t>B)</w:t>
      </w:r>
      <w:r w:rsidR="00EA6DFE">
        <w:t>;</w:t>
      </w:r>
      <w:bookmarkStart w:id="16" w:name="_Ref32819904"/>
      <w:r w:rsidR="00EA6DFE">
        <w:rPr>
          <w:rStyle w:val="FootnoteReference"/>
        </w:rPr>
        <w:footnoteReference w:id="1"/>
      </w:r>
      <w:bookmarkEnd w:id="16"/>
      <w:r>
        <w:t xml:space="preserve"> </w:t>
      </w:r>
      <w:r w:rsidRPr="00367925">
        <w:t>process</w:t>
      </w:r>
      <w:r w:rsidR="00DC2B25">
        <w:t xml:space="preserve"> (</w:t>
      </w:r>
      <w:r w:rsidR="0017663C">
        <w:t xml:space="preserve">United States (US) </w:t>
      </w:r>
      <w:r w:rsidR="00FE1408">
        <w:t>Food and Drug Administration (FDA)</w:t>
      </w:r>
      <w:r w:rsidR="00DC2B25">
        <w:t>)</w:t>
      </w:r>
      <w:r w:rsidRPr="00367925">
        <w:t>.</w:t>
      </w:r>
      <w:r>
        <w:t xml:space="preserve"> </w:t>
      </w:r>
      <w:r>
        <w:rPr>
          <w:rFonts w:asciiTheme="minorHAnsi" w:hAnsiTheme="minorHAnsi"/>
        </w:rPr>
        <w:t>The s</w:t>
      </w:r>
      <w:r w:rsidR="00FE1408">
        <w:rPr>
          <w:rFonts w:asciiTheme="minorHAnsi" w:hAnsiTheme="minorHAnsi"/>
        </w:rPr>
        <w:t xml:space="preserve">ubmission was made to register </w:t>
      </w:r>
      <w:proofErr w:type="spellStart"/>
      <w:r w:rsidR="00FE1408">
        <w:rPr>
          <w:rFonts w:asciiTheme="minorHAnsi" w:hAnsiTheme="minorHAnsi"/>
        </w:rPr>
        <w:t>a</w:t>
      </w:r>
      <w:r>
        <w:rPr>
          <w:rFonts w:asciiTheme="minorHAnsi" w:hAnsiTheme="minorHAnsi"/>
        </w:rPr>
        <w:t>calabrutinib</w:t>
      </w:r>
      <w:proofErr w:type="spellEnd"/>
      <w:r>
        <w:rPr>
          <w:rFonts w:asciiTheme="minorHAnsi" w:hAnsiTheme="minorHAnsi"/>
        </w:rPr>
        <w:t xml:space="preserve"> for the treatment of MCL, allowing an extension of indication application (for the treatment of chronic lymphocytic leukaemia (CLL)) to be considered contemporaneously under the inter-agency collaborative project </w:t>
      </w:r>
      <w:proofErr w:type="spellStart"/>
      <w:r>
        <w:rPr>
          <w:rFonts w:asciiTheme="minorHAnsi" w:hAnsiTheme="minorHAnsi"/>
        </w:rPr>
        <w:t>Orbis</w:t>
      </w:r>
      <w:proofErr w:type="spellEnd"/>
      <w:r>
        <w:rPr>
          <w:rFonts w:asciiTheme="minorHAnsi" w:hAnsiTheme="minorHAnsi"/>
        </w:rPr>
        <w:t>.</w:t>
      </w:r>
    </w:p>
    <w:p w14:paraId="6B7B9835" w14:textId="103A3387" w:rsidR="00180128" w:rsidRPr="007C00A6" w:rsidRDefault="00180128" w:rsidP="007C00A6">
      <w:r>
        <w:lastRenderedPageBreak/>
        <w:t>The clinical evidence</w:t>
      </w:r>
      <w:r w:rsidR="00B51704">
        <w:t xml:space="preserve"> in support of registration of </w:t>
      </w:r>
      <w:proofErr w:type="spellStart"/>
      <w:r w:rsidR="00B51704">
        <w:t>a</w:t>
      </w:r>
      <w:r>
        <w:t>calabrutinib</w:t>
      </w:r>
      <w:proofErr w:type="spellEnd"/>
      <w:r>
        <w:t xml:space="preserve"> is based mainly on a single pivotal trial, </w:t>
      </w:r>
      <w:r w:rsidR="00B51704">
        <w:t xml:space="preserve">Study </w:t>
      </w:r>
      <w:r w:rsidR="001D1FA8">
        <w:t>ACE-LY-004</w:t>
      </w:r>
      <w:r>
        <w:t>.</w:t>
      </w:r>
    </w:p>
    <w:p w14:paraId="7F8B16A5" w14:textId="77777777" w:rsidR="008E7846" w:rsidRPr="003F31A2" w:rsidRDefault="00386150" w:rsidP="008E7846">
      <w:pPr>
        <w:pStyle w:val="Heading3"/>
      </w:pPr>
      <w:bookmarkStart w:id="17" w:name="_Toc314842485"/>
      <w:bookmarkStart w:id="18" w:name="_Toc247691504"/>
      <w:bookmarkStart w:id="19" w:name="_Toc34134744"/>
      <w:r>
        <w:t>Regulatory s</w:t>
      </w:r>
      <w:r w:rsidR="008E7846">
        <w:t>tatus</w:t>
      </w:r>
      <w:bookmarkEnd w:id="17"/>
      <w:bookmarkEnd w:id="18"/>
      <w:bookmarkEnd w:id="19"/>
    </w:p>
    <w:p w14:paraId="15F0BFA4" w14:textId="77777777" w:rsidR="00940A89" w:rsidRDefault="00B51704" w:rsidP="00940A89">
      <w:bookmarkStart w:id="20" w:name="_Toc247691505"/>
      <w:bookmarkStart w:id="21" w:name="_Toc314842486"/>
      <w:r>
        <w:rPr>
          <w:rFonts w:eastAsia="Calibri"/>
        </w:rPr>
        <w:t xml:space="preserve">At the time this application was under consideration, </w:t>
      </w:r>
      <w:proofErr w:type="spellStart"/>
      <w:r w:rsidR="007C00A6" w:rsidRPr="00BC3730">
        <w:rPr>
          <w:rFonts w:eastAsia="Calibri"/>
        </w:rPr>
        <w:t>Calquence</w:t>
      </w:r>
      <w:proofErr w:type="spellEnd"/>
      <w:r w:rsidR="007C00A6">
        <w:rPr>
          <w:rFonts w:eastAsia="Calibri"/>
        </w:rPr>
        <w:t xml:space="preserve"> (</w:t>
      </w:r>
      <w:proofErr w:type="spellStart"/>
      <w:r w:rsidR="007C00A6">
        <w:rPr>
          <w:rFonts w:eastAsia="Calibri"/>
        </w:rPr>
        <w:t>a</w:t>
      </w:r>
      <w:r w:rsidR="007C00A6" w:rsidRPr="00BC3730">
        <w:rPr>
          <w:rFonts w:eastAsia="Calibri"/>
        </w:rPr>
        <w:t>calabrutinib</w:t>
      </w:r>
      <w:proofErr w:type="spellEnd"/>
      <w:r w:rsidR="007C00A6">
        <w:rPr>
          <w:rFonts w:eastAsia="Calibri"/>
        </w:rPr>
        <w:t>)</w:t>
      </w:r>
      <w:r>
        <w:rPr>
          <w:rFonts w:eastAsia="Calibri"/>
        </w:rPr>
        <w:t xml:space="preserve"> was</w:t>
      </w:r>
      <w:r w:rsidR="007C00A6">
        <w:rPr>
          <w:rFonts w:eastAsia="Calibri"/>
        </w:rPr>
        <w:t xml:space="preserve"> considered a new chemical entity for Australian regulatory purposes.</w:t>
      </w:r>
    </w:p>
    <w:p w14:paraId="4FF4A841" w14:textId="4AB37D04" w:rsidR="00940A89" w:rsidRDefault="007C00A6" w:rsidP="00940A89">
      <w:r>
        <w:t xml:space="preserve">Orphan designation for the indication of MCL was granted by the </w:t>
      </w:r>
      <w:r w:rsidR="00CA22EE">
        <w:t>FDA</w:t>
      </w:r>
      <w:r>
        <w:t xml:space="preserve"> on 21 September 2015, European Medicines Agency (EMA) on 18 February 2016 and </w:t>
      </w:r>
      <w:proofErr w:type="spellStart"/>
      <w:r>
        <w:t>Swissmedic</w:t>
      </w:r>
      <w:proofErr w:type="spellEnd"/>
      <w:r>
        <w:t xml:space="preserve"> on 1</w:t>
      </w:r>
      <w:r w:rsidR="00256DF6">
        <w:t> </w:t>
      </w:r>
      <w:r>
        <w:t xml:space="preserve">January 2017. </w:t>
      </w:r>
      <w:r w:rsidR="00940A89" w:rsidRPr="00940A89">
        <w:t xml:space="preserve">At the time the TGA considered this application, a similar application had been approved </w:t>
      </w:r>
      <w:r>
        <w:t xml:space="preserve">in the </w:t>
      </w:r>
      <w:r w:rsidR="00256DF6">
        <w:t>USA</w:t>
      </w:r>
      <w:r>
        <w:t xml:space="preserve"> (approved on 31 October 2017) and</w:t>
      </w:r>
      <w:r w:rsidR="00940A89" w:rsidRPr="00940A89">
        <w:t xml:space="preserve"> was under co</w:t>
      </w:r>
      <w:r w:rsidR="00940A89">
        <w:t xml:space="preserve">nsideration in </w:t>
      </w:r>
      <w:r>
        <w:t>Canada (</w:t>
      </w:r>
      <w:r>
        <w:fldChar w:fldCharType="begin"/>
      </w:r>
      <w:r>
        <w:instrText xml:space="preserve"> REF _Ref25824893 \h </w:instrText>
      </w:r>
      <w:r>
        <w:fldChar w:fldCharType="separate"/>
      </w:r>
      <w:r w:rsidR="00574595">
        <w:t xml:space="preserve">Table </w:t>
      </w:r>
      <w:r w:rsidR="00574595">
        <w:rPr>
          <w:noProof/>
        </w:rPr>
        <w:t>1</w:t>
      </w:r>
      <w:r>
        <w:fldChar w:fldCharType="end"/>
      </w:r>
      <w:r>
        <w:t>).</w:t>
      </w:r>
    </w:p>
    <w:p w14:paraId="77E7AFDC" w14:textId="5C700D86" w:rsidR="007C00A6" w:rsidRDefault="007C00A6" w:rsidP="00623543">
      <w:pPr>
        <w:pStyle w:val="TableTitle"/>
      </w:pPr>
      <w:bookmarkStart w:id="22" w:name="_Ref25824893"/>
      <w:r>
        <w:t xml:space="preserve">Table </w:t>
      </w:r>
      <w:fldSimple w:instr=" SEQ Table \* ARABIC ">
        <w:r w:rsidR="00574595">
          <w:rPr>
            <w:noProof/>
          </w:rPr>
          <w:t>1</w:t>
        </w:r>
      </w:fldSimple>
      <w:bookmarkEnd w:id="22"/>
      <w:r>
        <w:t xml:space="preserve">: International regulatory status of </w:t>
      </w:r>
      <w:proofErr w:type="spellStart"/>
      <w:r w:rsidRPr="00BC3730">
        <w:rPr>
          <w:rFonts w:eastAsia="Calibri"/>
        </w:rPr>
        <w:t>Calquence</w:t>
      </w:r>
      <w:proofErr w:type="spellEnd"/>
      <w:r>
        <w:rPr>
          <w:rFonts w:eastAsia="Calibri"/>
        </w:rPr>
        <w:t xml:space="preserve"> (</w:t>
      </w:r>
      <w:proofErr w:type="spellStart"/>
      <w:r>
        <w:rPr>
          <w:rFonts w:eastAsia="Calibri"/>
        </w:rPr>
        <w:t>a</w:t>
      </w:r>
      <w:r w:rsidRPr="00BC3730">
        <w:rPr>
          <w:rFonts w:eastAsia="Calibri"/>
        </w:rPr>
        <w:t>calabrutinib</w:t>
      </w:r>
      <w:proofErr w:type="spellEnd"/>
      <w:r>
        <w:rPr>
          <w:rFonts w:eastAsia="Calibri"/>
        </w:rPr>
        <w:t>) as of 31</w:t>
      </w:r>
      <w:r w:rsidR="00256DF6">
        <w:rPr>
          <w:rFonts w:eastAsia="Calibri"/>
        </w:rPr>
        <w:t> </w:t>
      </w:r>
      <w:r>
        <w:rPr>
          <w:rFonts w:eastAsia="Calibri"/>
        </w:rPr>
        <w:t>July</w:t>
      </w:r>
      <w:r w:rsidR="00256DF6">
        <w:rPr>
          <w:rFonts w:eastAsia="Calibri"/>
        </w:rPr>
        <w:t> </w:t>
      </w:r>
      <w:r>
        <w:rPr>
          <w:rFonts w:eastAsia="Calibri"/>
        </w:rPr>
        <w:t>2019</w:t>
      </w:r>
    </w:p>
    <w:tbl>
      <w:tblPr>
        <w:tblStyle w:val="TableTGAblue"/>
        <w:tblW w:w="0" w:type="auto"/>
        <w:tblLook w:val="04A0" w:firstRow="1" w:lastRow="0" w:firstColumn="1" w:lastColumn="0" w:noHBand="0" w:noVBand="1"/>
      </w:tblPr>
      <w:tblGrid>
        <w:gridCol w:w="1101"/>
        <w:gridCol w:w="1984"/>
        <w:gridCol w:w="1843"/>
        <w:gridCol w:w="3792"/>
      </w:tblGrid>
      <w:tr w:rsidR="007C00A6" w:rsidRPr="007C00A6" w14:paraId="3F83501C" w14:textId="77777777" w:rsidTr="00DC2B25">
        <w:trPr>
          <w:cnfStyle w:val="100000000000" w:firstRow="1" w:lastRow="0" w:firstColumn="0" w:lastColumn="0" w:oddVBand="0" w:evenVBand="0" w:oddHBand="0" w:evenHBand="0" w:firstRowFirstColumn="0" w:firstRowLastColumn="0" w:lastRowFirstColumn="0" w:lastRowLastColumn="0"/>
        </w:trPr>
        <w:tc>
          <w:tcPr>
            <w:tcW w:w="1101" w:type="dxa"/>
          </w:tcPr>
          <w:p w14:paraId="0E527A7E" w14:textId="77777777" w:rsidR="007C00A6" w:rsidRPr="007C00A6" w:rsidRDefault="007C00A6" w:rsidP="007C00A6">
            <w:pPr>
              <w:ind w:left="0" w:right="0"/>
              <w:rPr>
                <w:sz w:val="20"/>
                <w:szCs w:val="20"/>
              </w:rPr>
            </w:pPr>
            <w:r w:rsidRPr="007C00A6">
              <w:rPr>
                <w:sz w:val="20"/>
                <w:szCs w:val="20"/>
              </w:rPr>
              <w:t>Region</w:t>
            </w:r>
          </w:p>
        </w:tc>
        <w:tc>
          <w:tcPr>
            <w:tcW w:w="1984" w:type="dxa"/>
          </w:tcPr>
          <w:p w14:paraId="0D31F916" w14:textId="77777777" w:rsidR="007C00A6" w:rsidRPr="007C00A6" w:rsidRDefault="007C00A6" w:rsidP="007C00A6">
            <w:pPr>
              <w:ind w:left="0" w:right="0"/>
              <w:rPr>
                <w:sz w:val="20"/>
                <w:szCs w:val="20"/>
              </w:rPr>
            </w:pPr>
            <w:r w:rsidRPr="007C00A6">
              <w:rPr>
                <w:sz w:val="20"/>
                <w:szCs w:val="20"/>
              </w:rPr>
              <w:t>Submission date</w:t>
            </w:r>
          </w:p>
        </w:tc>
        <w:tc>
          <w:tcPr>
            <w:tcW w:w="1843" w:type="dxa"/>
          </w:tcPr>
          <w:p w14:paraId="512D7524" w14:textId="77777777" w:rsidR="007C00A6" w:rsidRPr="007C00A6" w:rsidRDefault="007C00A6" w:rsidP="007C00A6">
            <w:pPr>
              <w:ind w:left="0" w:right="0"/>
              <w:rPr>
                <w:sz w:val="20"/>
                <w:szCs w:val="20"/>
              </w:rPr>
            </w:pPr>
            <w:r w:rsidRPr="007C00A6">
              <w:rPr>
                <w:sz w:val="20"/>
                <w:szCs w:val="20"/>
              </w:rPr>
              <w:t>Status</w:t>
            </w:r>
          </w:p>
        </w:tc>
        <w:tc>
          <w:tcPr>
            <w:tcW w:w="3792" w:type="dxa"/>
          </w:tcPr>
          <w:p w14:paraId="57F3D01A" w14:textId="77777777" w:rsidR="007C00A6" w:rsidRPr="007C00A6" w:rsidRDefault="007C00A6" w:rsidP="007C00A6">
            <w:pPr>
              <w:ind w:left="0" w:right="0"/>
              <w:rPr>
                <w:sz w:val="20"/>
                <w:szCs w:val="20"/>
              </w:rPr>
            </w:pPr>
            <w:r w:rsidRPr="007C00A6">
              <w:rPr>
                <w:sz w:val="20"/>
                <w:szCs w:val="20"/>
              </w:rPr>
              <w:t>Indication</w:t>
            </w:r>
          </w:p>
        </w:tc>
      </w:tr>
      <w:tr w:rsidR="007C00A6" w:rsidRPr="007C00A6" w14:paraId="2528C21E" w14:textId="77777777" w:rsidTr="00DC2B25">
        <w:tc>
          <w:tcPr>
            <w:tcW w:w="1101" w:type="dxa"/>
          </w:tcPr>
          <w:p w14:paraId="2BA513C5" w14:textId="77777777" w:rsidR="007C00A6" w:rsidRPr="007C00A6" w:rsidRDefault="007C00A6" w:rsidP="007C00A6">
            <w:pPr>
              <w:ind w:left="0" w:right="0"/>
              <w:rPr>
                <w:sz w:val="20"/>
                <w:szCs w:val="20"/>
              </w:rPr>
            </w:pPr>
            <w:r w:rsidRPr="007C00A6">
              <w:rPr>
                <w:sz w:val="20"/>
                <w:szCs w:val="20"/>
              </w:rPr>
              <w:t>USA</w:t>
            </w:r>
          </w:p>
        </w:tc>
        <w:tc>
          <w:tcPr>
            <w:tcW w:w="1984" w:type="dxa"/>
          </w:tcPr>
          <w:p w14:paraId="76F43EFC" w14:textId="77777777" w:rsidR="007C00A6" w:rsidRPr="007C00A6" w:rsidRDefault="007C00A6" w:rsidP="007C00A6">
            <w:pPr>
              <w:ind w:left="0" w:right="0"/>
              <w:rPr>
                <w:sz w:val="20"/>
                <w:szCs w:val="20"/>
              </w:rPr>
            </w:pPr>
            <w:r w:rsidRPr="007C00A6">
              <w:rPr>
                <w:sz w:val="20"/>
                <w:szCs w:val="20"/>
              </w:rPr>
              <w:t>13 June 2017</w:t>
            </w:r>
          </w:p>
        </w:tc>
        <w:tc>
          <w:tcPr>
            <w:tcW w:w="1843" w:type="dxa"/>
          </w:tcPr>
          <w:p w14:paraId="677B1819" w14:textId="77777777" w:rsidR="00256DF6" w:rsidRDefault="007C00A6" w:rsidP="007C00A6">
            <w:pPr>
              <w:ind w:left="0" w:right="0"/>
              <w:rPr>
                <w:sz w:val="20"/>
                <w:szCs w:val="20"/>
              </w:rPr>
            </w:pPr>
            <w:r w:rsidRPr="007C00A6">
              <w:rPr>
                <w:sz w:val="20"/>
                <w:szCs w:val="20"/>
              </w:rPr>
              <w:t>Approved</w:t>
            </w:r>
            <w:r w:rsidR="00256DF6">
              <w:rPr>
                <w:sz w:val="20"/>
                <w:szCs w:val="20"/>
              </w:rPr>
              <w:t>:</w:t>
            </w:r>
          </w:p>
          <w:p w14:paraId="13214242" w14:textId="76589F04" w:rsidR="007C00A6" w:rsidRPr="007C00A6" w:rsidRDefault="007C00A6" w:rsidP="007C00A6">
            <w:pPr>
              <w:ind w:left="0" w:right="0"/>
              <w:rPr>
                <w:sz w:val="20"/>
                <w:szCs w:val="20"/>
              </w:rPr>
            </w:pPr>
            <w:r w:rsidRPr="007C00A6">
              <w:rPr>
                <w:sz w:val="20"/>
                <w:szCs w:val="20"/>
              </w:rPr>
              <w:t>31 October 2017</w:t>
            </w:r>
          </w:p>
        </w:tc>
        <w:tc>
          <w:tcPr>
            <w:tcW w:w="3792" w:type="dxa"/>
          </w:tcPr>
          <w:p w14:paraId="7DF7A96D" w14:textId="77777777" w:rsidR="007C00A6" w:rsidRPr="007C00A6" w:rsidRDefault="007C00A6" w:rsidP="007C00A6">
            <w:pPr>
              <w:ind w:left="0" w:right="0"/>
              <w:rPr>
                <w:i/>
                <w:sz w:val="20"/>
                <w:szCs w:val="20"/>
              </w:rPr>
            </w:pPr>
            <w:proofErr w:type="spellStart"/>
            <w:r w:rsidRPr="007C00A6">
              <w:rPr>
                <w:i/>
                <w:sz w:val="20"/>
                <w:szCs w:val="20"/>
              </w:rPr>
              <w:t>Calquence</w:t>
            </w:r>
            <w:proofErr w:type="spellEnd"/>
            <w:r w:rsidRPr="007C00A6">
              <w:rPr>
                <w:i/>
                <w:sz w:val="20"/>
                <w:szCs w:val="20"/>
              </w:rPr>
              <w:t xml:space="preserve"> is a kinase inhibitor indicated for the treatment of adult patients with mantle cell lymphoma (MCL) who have received at least one prior therapy.</w:t>
            </w:r>
          </w:p>
          <w:p w14:paraId="212BB76E" w14:textId="77777777" w:rsidR="007C00A6" w:rsidRPr="007C00A6" w:rsidRDefault="007C00A6" w:rsidP="007C00A6">
            <w:pPr>
              <w:ind w:left="0" w:right="0"/>
              <w:rPr>
                <w:sz w:val="20"/>
                <w:szCs w:val="20"/>
              </w:rPr>
            </w:pPr>
            <w:r w:rsidRPr="007C00A6">
              <w:rPr>
                <w:i/>
                <w:sz w:val="20"/>
                <w:szCs w:val="20"/>
              </w:rPr>
              <w:t>This indication is approved under accelerated approval based on overall response rate. Continued approval for this indication may be contingent upon verification and description of clinical benefit in confirmatory trials</w:t>
            </w:r>
          </w:p>
        </w:tc>
      </w:tr>
      <w:tr w:rsidR="007C00A6" w:rsidRPr="007C00A6" w14:paraId="4786A0A1" w14:textId="77777777" w:rsidTr="00DC2B25">
        <w:tc>
          <w:tcPr>
            <w:tcW w:w="1101" w:type="dxa"/>
          </w:tcPr>
          <w:p w14:paraId="27ABB37F" w14:textId="77777777" w:rsidR="007C00A6" w:rsidRPr="007C00A6" w:rsidRDefault="007C00A6" w:rsidP="007C00A6">
            <w:pPr>
              <w:ind w:left="0" w:right="0"/>
              <w:rPr>
                <w:sz w:val="20"/>
                <w:szCs w:val="20"/>
              </w:rPr>
            </w:pPr>
            <w:r w:rsidRPr="007C00A6">
              <w:rPr>
                <w:sz w:val="20"/>
                <w:szCs w:val="20"/>
              </w:rPr>
              <w:t>Canada</w:t>
            </w:r>
          </w:p>
        </w:tc>
        <w:tc>
          <w:tcPr>
            <w:tcW w:w="1984" w:type="dxa"/>
          </w:tcPr>
          <w:p w14:paraId="0111C444" w14:textId="77777777" w:rsidR="007C00A6" w:rsidRPr="007C00A6" w:rsidRDefault="007C00A6" w:rsidP="007C00A6">
            <w:pPr>
              <w:ind w:left="0" w:right="0"/>
              <w:rPr>
                <w:sz w:val="20"/>
                <w:szCs w:val="20"/>
              </w:rPr>
            </w:pPr>
            <w:r w:rsidRPr="007C00A6">
              <w:rPr>
                <w:sz w:val="20"/>
                <w:szCs w:val="20"/>
              </w:rPr>
              <w:t>14 March 2018</w:t>
            </w:r>
          </w:p>
        </w:tc>
        <w:tc>
          <w:tcPr>
            <w:tcW w:w="1843" w:type="dxa"/>
          </w:tcPr>
          <w:p w14:paraId="21A30FDD" w14:textId="77777777" w:rsidR="007C00A6" w:rsidRPr="007C00A6" w:rsidRDefault="007C00A6" w:rsidP="007C00A6">
            <w:pPr>
              <w:ind w:left="0" w:right="0"/>
              <w:rPr>
                <w:sz w:val="20"/>
                <w:szCs w:val="20"/>
              </w:rPr>
            </w:pPr>
            <w:r w:rsidRPr="007C00A6">
              <w:rPr>
                <w:sz w:val="20"/>
                <w:szCs w:val="20"/>
              </w:rPr>
              <w:t>Under evaluation</w:t>
            </w:r>
          </w:p>
        </w:tc>
        <w:tc>
          <w:tcPr>
            <w:tcW w:w="3792" w:type="dxa"/>
          </w:tcPr>
          <w:p w14:paraId="07A45CBE" w14:textId="77777777" w:rsidR="007C00A6" w:rsidRPr="007C00A6" w:rsidRDefault="007C00A6" w:rsidP="007C00A6">
            <w:pPr>
              <w:ind w:left="0" w:right="0"/>
              <w:rPr>
                <w:sz w:val="20"/>
                <w:szCs w:val="20"/>
              </w:rPr>
            </w:pPr>
            <w:r w:rsidRPr="007C00A6">
              <w:rPr>
                <w:sz w:val="20"/>
                <w:szCs w:val="20"/>
              </w:rPr>
              <w:t>Under evaluation</w:t>
            </w:r>
          </w:p>
        </w:tc>
      </w:tr>
    </w:tbl>
    <w:p w14:paraId="6170AA8C" w14:textId="77777777" w:rsidR="008E7846" w:rsidRDefault="008E7846" w:rsidP="00940A89">
      <w:pPr>
        <w:pStyle w:val="Heading3"/>
      </w:pPr>
      <w:bookmarkStart w:id="23" w:name="_Toc34134745"/>
      <w:r>
        <w:t>Product Information</w:t>
      </w:r>
      <w:bookmarkEnd w:id="20"/>
      <w:bookmarkEnd w:id="21"/>
      <w:bookmarkEnd w:id="23"/>
    </w:p>
    <w:p w14:paraId="3A4BA409" w14:textId="77777777"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02E0CBAF" w14:textId="77777777" w:rsidR="00500337" w:rsidRDefault="00500337" w:rsidP="00500337">
      <w:pPr>
        <w:pStyle w:val="Heading2"/>
      </w:pPr>
      <w:bookmarkStart w:id="26" w:name="_Toc504480011"/>
      <w:bookmarkStart w:id="27" w:name="_Toc34134746"/>
      <w:r>
        <w:t>II. Registration timeline</w:t>
      </w:r>
      <w:bookmarkEnd w:id="26"/>
      <w:bookmarkEnd w:id="27"/>
    </w:p>
    <w:p w14:paraId="04F2A6F5" w14:textId="77777777" w:rsidR="00500337" w:rsidRDefault="00500337" w:rsidP="00500337">
      <w:r>
        <w:t>The following table captures the key steps and dates for this application and which are detailed and discussed in this AusPAR.</w:t>
      </w:r>
    </w:p>
    <w:p w14:paraId="6BFBC930" w14:textId="381A0FC4" w:rsidR="00500337" w:rsidRPr="00377BD4" w:rsidRDefault="007C00A6" w:rsidP="007C00A6">
      <w:pPr>
        <w:pStyle w:val="TableTitle"/>
      </w:pPr>
      <w:r>
        <w:t xml:space="preserve">Table </w:t>
      </w:r>
      <w:fldSimple w:instr=" SEQ Table \* ARABIC ">
        <w:r w:rsidR="00574595">
          <w:rPr>
            <w:noProof/>
          </w:rPr>
          <w:t>2</w:t>
        </w:r>
      </w:fldSimple>
      <w:r>
        <w:t xml:space="preserve">: </w:t>
      </w:r>
      <w:r w:rsidR="006A58A8" w:rsidRPr="006A58A8">
        <w:t xml:space="preserve">Timeline for Submission </w:t>
      </w:r>
      <w:r w:rsidR="00C55ACC" w:rsidRPr="00A60AA0">
        <w:t>PM-2019-03536-1-6</w:t>
      </w:r>
    </w:p>
    <w:tbl>
      <w:tblPr>
        <w:tblStyle w:val="TableTGAblue"/>
        <w:tblW w:w="0" w:type="auto"/>
        <w:tblLook w:val="04A0" w:firstRow="1" w:lastRow="0" w:firstColumn="1" w:lastColumn="0" w:noHBand="0" w:noVBand="1"/>
      </w:tblPr>
      <w:tblGrid>
        <w:gridCol w:w="4360"/>
        <w:gridCol w:w="4360"/>
      </w:tblGrid>
      <w:tr w:rsidR="00500337" w14:paraId="7BBFA634"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35623283" w14:textId="77777777" w:rsidR="00500337" w:rsidRDefault="00500337" w:rsidP="00500337">
            <w:pPr>
              <w:ind w:left="0" w:right="0"/>
            </w:pPr>
            <w:r>
              <w:t>Description</w:t>
            </w:r>
          </w:p>
        </w:tc>
        <w:tc>
          <w:tcPr>
            <w:tcW w:w="4360" w:type="dxa"/>
          </w:tcPr>
          <w:p w14:paraId="13388E81" w14:textId="77777777" w:rsidR="00500337" w:rsidRDefault="00500337" w:rsidP="00500337">
            <w:pPr>
              <w:ind w:left="0" w:right="0"/>
            </w:pPr>
            <w:r>
              <w:t>Date</w:t>
            </w:r>
          </w:p>
        </w:tc>
      </w:tr>
      <w:tr w:rsidR="00792634" w14:paraId="77CC4709" w14:textId="77777777" w:rsidTr="00500337">
        <w:tc>
          <w:tcPr>
            <w:tcW w:w="4360" w:type="dxa"/>
          </w:tcPr>
          <w:p w14:paraId="2C6B9B61" w14:textId="360A91F5" w:rsidR="00792634" w:rsidRPr="00E24230" w:rsidRDefault="00792634" w:rsidP="00C55ACC">
            <w:r>
              <w:t>Provisional designation</w:t>
            </w:r>
          </w:p>
        </w:tc>
        <w:tc>
          <w:tcPr>
            <w:tcW w:w="4360" w:type="dxa"/>
          </w:tcPr>
          <w:p w14:paraId="37349887" w14:textId="3251C37D" w:rsidR="00792634" w:rsidRPr="00E24230" w:rsidRDefault="00792634" w:rsidP="00C55ACC">
            <w:r>
              <w:t>17 July 2019</w:t>
            </w:r>
          </w:p>
        </w:tc>
      </w:tr>
      <w:tr w:rsidR="00C55ACC" w14:paraId="64A41076" w14:textId="77777777" w:rsidTr="00500337">
        <w:tc>
          <w:tcPr>
            <w:tcW w:w="4360" w:type="dxa"/>
          </w:tcPr>
          <w:p w14:paraId="025813B4" w14:textId="77777777" w:rsidR="00C55ACC" w:rsidRPr="00E24230" w:rsidRDefault="00C55ACC" w:rsidP="00C55ACC">
            <w:r w:rsidRPr="00E24230">
              <w:t>Submission dossier accepted and first round evaluation commenced</w:t>
            </w:r>
          </w:p>
        </w:tc>
        <w:tc>
          <w:tcPr>
            <w:tcW w:w="4360" w:type="dxa"/>
          </w:tcPr>
          <w:p w14:paraId="07F888C8" w14:textId="77777777" w:rsidR="00C55ACC" w:rsidRPr="00E24230" w:rsidRDefault="00C55ACC" w:rsidP="00C55ACC">
            <w:r w:rsidRPr="00E24230">
              <w:t>12 August 2019</w:t>
            </w:r>
          </w:p>
        </w:tc>
      </w:tr>
      <w:tr w:rsidR="00C55ACC" w14:paraId="3C2DF193" w14:textId="77777777" w:rsidTr="00500337">
        <w:tc>
          <w:tcPr>
            <w:tcW w:w="4360" w:type="dxa"/>
          </w:tcPr>
          <w:p w14:paraId="05186B5C" w14:textId="77777777" w:rsidR="00C55ACC" w:rsidRPr="00E24230" w:rsidRDefault="00C55ACC" w:rsidP="00C55ACC">
            <w:r w:rsidRPr="00E24230">
              <w:t>Evaluation completed</w:t>
            </w:r>
          </w:p>
        </w:tc>
        <w:tc>
          <w:tcPr>
            <w:tcW w:w="4360" w:type="dxa"/>
          </w:tcPr>
          <w:p w14:paraId="14DB4D37" w14:textId="77777777" w:rsidR="00C55ACC" w:rsidRPr="00E24230" w:rsidRDefault="00C55ACC" w:rsidP="00C55ACC">
            <w:r w:rsidRPr="00E24230">
              <w:t>18 November 2019</w:t>
            </w:r>
          </w:p>
        </w:tc>
      </w:tr>
      <w:tr w:rsidR="00C55ACC" w14:paraId="55FEFB26" w14:textId="77777777" w:rsidTr="00500337">
        <w:tc>
          <w:tcPr>
            <w:tcW w:w="4360" w:type="dxa"/>
          </w:tcPr>
          <w:p w14:paraId="49996FE4" w14:textId="4B944AEF" w:rsidR="00C55ACC" w:rsidRPr="00E24230" w:rsidRDefault="00C55ACC" w:rsidP="00C55ACC">
            <w:r w:rsidRPr="00E24230">
              <w:lastRenderedPageBreak/>
              <w:t xml:space="preserve">Delegate’s </w:t>
            </w:r>
            <w:r w:rsidR="00F82548">
              <w:t>Overall benefit-risk assessment</w:t>
            </w:r>
          </w:p>
        </w:tc>
        <w:tc>
          <w:tcPr>
            <w:tcW w:w="4360" w:type="dxa"/>
          </w:tcPr>
          <w:p w14:paraId="1E664F5A" w14:textId="77777777" w:rsidR="00C55ACC" w:rsidRPr="00E24230" w:rsidRDefault="00C55ACC" w:rsidP="00C55ACC">
            <w:r w:rsidRPr="00E24230">
              <w:t>18 November 2019</w:t>
            </w:r>
          </w:p>
        </w:tc>
      </w:tr>
      <w:tr w:rsidR="00C55ACC" w14:paraId="124A4C59" w14:textId="77777777" w:rsidTr="00500337">
        <w:tc>
          <w:tcPr>
            <w:tcW w:w="4360" w:type="dxa"/>
          </w:tcPr>
          <w:p w14:paraId="31F5B746" w14:textId="77777777" w:rsidR="00C55ACC" w:rsidRPr="00E24230" w:rsidRDefault="00C55ACC" w:rsidP="00C55ACC">
            <w:r w:rsidRPr="00E24230">
              <w:t>Sponsor’s pre-Advisory Committee response</w:t>
            </w:r>
          </w:p>
        </w:tc>
        <w:tc>
          <w:tcPr>
            <w:tcW w:w="4360" w:type="dxa"/>
          </w:tcPr>
          <w:p w14:paraId="3A84C36F" w14:textId="77777777" w:rsidR="00C55ACC" w:rsidRPr="00E24230" w:rsidRDefault="00C55ACC" w:rsidP="00C55ACC">
            <w:r w:rsidRPr="00E24230">
              <w:t>Not applicable</w:t>
            </w:r>
          </w:p>
        </w:tc>
      </w:tr>
      <w:tr w:rsidR="00C55ACC" w14:paraId="1A1728F9" w14:textId="77777777" w:rsidTr="00500337">
        <w:tc>
          <w:tcPr>
            <w:tcW w:w="4360" w:type="dxa"/>
          </w:tcPr>
          <w:p w14:paraId="475FAFB3" w14:textId="77777777" w:rsidR="00C55ACC" w:rsidRPr="00E24230" w:rsidRDefault="00C55ACC" w:rsidP="00C55ACC">
            <w:r w:rsidRPr="00E24230">
              <w:t>Advisory Committee meeting</w:t>
            </w:r>
          </w:p>
        </w:tc>
        <w:tc>
          <w:tcPr>
            <w:tcW w:w="4360" w:type="dxa"/>
          </w:tcPr>
          <w:p w14:paraId="3CE436CD" w14:textId="77777777" w:rsidR="00C55ACC" w:rsidRPr="00E24230" w:rsidRDefault="00C55ACC" w:rsidP="00C55ACC">
            <w:r w:rsidRPr="00E24230">
              <w:t>Not applicable</w:t>
            </w:r>
          </w:p>
        </w:tc>
      </w:tr>
      <w:tr w:rsidR="00C55ACC" w14:paraId="4518F94B" w14:textId="77777777" w:rsidTr="00500337">
        <w:tc>
          <w:tcPr>
            <w:tcW w:w="4360" w:type="dxa"/>
          </w:tcPr>
          <w:p w14:paraId="058B8B6A" w14:textId="77777777" w:rsidR="00C55ACC" w:rsidRPr="00E24230" w:rsidRDefault="00C55ACC" w:rsidP="00C55ACC">
            <w:r w:rsidRPr="00E24230">
              <w:t>Registration decision (Outcome)</w:t>
            </w:r>
          </w:p>
        </w:tc>
        <w:tc>
          <w:tcPr>
            <w:tcW w:w="4360" w:type="dxa"/>
          </w:tcPr>
          <w:p w14:paraId="55700266" w14:textId="77777777" w:rsidR="00C55ACC" w:rsidRPr="00E24230" w:rsidRDefault="00C55ACC" w:rsidP="00C55ACC">
            <w:r w:rsidRPr="00E24230">
              <w:t>21 November 2019</w:t>
            </w:r>
          </w:p>
        </w:tc>
      </w:tr>
      <w:tr w:rsidR="00C55ACC" w14:paraId="4AF630EC" w14:textId="77777777" w:rsidTr="00500337">
        <w:tc>
          <w:tcPr>
            <w:tcW w:w="4360" w:type="dxa"/>
          </w:tcPr>
          <w:p w14:paraId="6A207DD9" w14:textId="77777777" w:rsidR="00C55ACC" w:rsidRPr="00E24230" w:rsidRDefault="00C55ACC" w:rsidP="00C55ACC">
            <w:r w:rsidRPr="00E24230">
              <w:t>Completion of administrative activities and registration on ARTG</w:t>
            </w:r>
          </w:p>
        </w:tc>
        <w:tc>
          <w:tcPr>
            <w:tcW w:w="4360" w:type="dxa"/>
          </w:tcPr>
          <w:p w14:paraId="7B88D23C" w14:textId="77777777" w:rsidR="00C55ACC" w:rsidRPr="00E24230" w:rsidRDefault="00C55ACC" w:rsidP="00C55ACC">
            <w:r w:rsidRPr="00E24230">
              <w:t>21 November 2019</w:t>
            </w:r>
          </w:p>
        </w:tc>
      </w:tr>
      <w:tr w:rsidR="00C55ACC" w14:paraId="03B28F0B" w14:textId="77777777" w:rsidTr="00500337">
        <w:tc>
          <w:tcPr>
            <w:tcW w:w="4360" w:type="dxa"/>
          </w:tcPr>
          <w:p w14:paraId="61BFA194" w14:textId="77777777" w:rsidR="00C55ACC" w:rsidRPr="00E24230" w:rsidRDefault="00C55ACC" w:rsidP="00C55ACC">
            <w:r w:rsidRPr="00E24230">
              <w:t>Number of working days from submission dossier acceptance to registration decision*</w:t>
            </w:r>
          </w:p>
        </w:tc>
        <w:tc>
          <w:tcPr>
            <w:tcW w:w="4360" w:type="dxa"/>
          </w:tcPr>
          <w:p w14:paraId="0FA68E6C" w14:textId="77777777" w:rsidR="00C55ACC" w:rsidRDefault="00C55ACC" w:rsidP="00C55ACC">
            <w:r w:rsidRPr="00E24230">
              <w:t>73</w:t>
            </w:r>
          </w:p>
        </w:tc>
      </w:tr>
    </w:tbl>
    <w:p w14:paraId="7426493F" w14:textId="284C27DF" w:rsidR="00500337" w:rsidRDefault="00500337" w:rsidP="00500337">
      <w:pPr>
        <w:pStyle w:val="TableDescription"/>
      </w:pPr>
      <w:r>
        <w:t>*</w:t>
      </w:r>
      <w:r w:rsidR="0017663C">
        <w:t>Target</w:t>
      </w:r>
      <w:r w:rsidR="00BF3774" w:rsidRPr="00BF3774">
        <w:t xml:space="preserve"> </w:t>
      </w:r>
      <w:r>
        <w:t xml:space="preserve">timeframe for </w:t>
      </w:r>
      <w:r w:rsidR="0017663C">
        <w:t>COR-B applications is 175</w:t>
      </w:r>
      <w:r>
        <w:t xml:space="preserve"> working days</w:t>
      </w:r>
    </w:p>
    <w:p w14:paraId="2C97A931" w14:textId="77777777" w:rsidR="008E7846" w:rsidRPr="00792A32" w:rsidRDefault="00456765" w:rsidP="008E7846">
      <w:pPr>
        <w:pStyle w:val="Heading2"/>
      </w:pPr>
      <w:bookmarkStart w:id="28" w:name="_Toc196046504"/>
      <w:bookmarkStart w:id="29" w:name="_Toc247691527"/>
      <w:bookmarkStart w:id="30" w:name="_Toc314842510"/>
      <w:bookmarkStart w:id="31" w:name="_Toc163441390"/>
      <w:bookmarkStart w:id="32" w:name="_Toc34134747"/>
      <w:bookmarkEnd w:id="24"/>
      <w:bookmarkEnd w:id="25"/>
      <w:bookmarkEnd w:id="1"/>
      <w:r>
        <w:t>I</w:t>
      </w:r>
      <w:r w:rsidR="00DA64CB">
        <w:t>I</w:t>
      </w:r>
      <w:r w:rsidR="008E7846">
        <w:t xml:space="preserve">I. </w:t>
      </w:r>
      <w:r w:rsidR="000E7D31">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51428960" w14:textId="2A2D830E" w:rsidR="008E7846" w:rsidRDefault="008E7846" w:rsidP="008E7846">
      <w:bookmarkStart w:id="33" w:name="_Toc247691528"/>
      <w:r>
        <w:t xml:space="preserve">The submission was summarised in the following </w:t>
      </w:r>
      <w:r w:rsidRPr="00EF5C48">
        <w:t xml:space="preserve">Delegate’s </w:t>
      </w:r>
      <w:r>
        <w:t>overview</w:t>
      </w:r>
      <w:r w:rsidRPr="00EF5C48">
        <w:t xml:space="preserve"> and recommendation</w:t>
      </w:r>
      <w:r w:rsidR="000E7D31">
        <w:t>s.</w:t>
      </w:r>
    </w:p>
    <w:p w14:paraId="2F098030" w14:textId="4E29FBE1" w:rsidR="00FE1408" w:rsidRDefault="00FE1408" w:rsidP="008E7846">
      <w:r w:rsidRPr="00FE1408">
        <w:t xml:space="preserve">This is a TGA summary of wording used in TGA’s </w:t>
      </w:r>
      <w:r w:rsidR="00CB2B60">
        <w:t>Delegate’s overview</w:t>
      </w:r>
      <w:r w:rsidRPr="00FE1408">
        <w:t xml:space="preserve">, which discussed numerous aspects of overseas evaluation reports and included some information that was </w:t>
      </w:r>
      <w:r w:rsidR="00CB2B60">
        <w:t xml:space="preserve">considered </w:t>
      </w:r>
      <w:r w:rsidRPr="00FE1408">
        <w:t>commercial-in-confidence and has been redacted.</w:t>
      </w:r>
    </w:p>
    <w:p w14:paraId="009D1A25" w14:textId="77777777" w:rsidR="008E7846" w:rsidRDefault="008E7846" w:rsidP="008E7846">
      <w:pPr>
        <w:pStyle w:val="Heading3"/>
      </w:pPr>
      <w:bookmarkStart w:id="34" w:name="_Toc314842511"/>
      <w:bookmarkStart w:id="35" w:name="_Toc34134748"/>
      <w:r>
        <w:t>Quality</w:t>
      </w:r>
      <w:bookmarkEnd w:id="33"/>
      <w:bookmarkEnd w:id="34"/>
      <w:bookmarkEnd w:id="35"/>
    </w:p>
    <w:p w14:paraId="2600B0FE" w14:textId="77777777" w:rsidR="00A61463" w:rsidRDefault="00A61463" w:rsidP="004535A6">
      <w:r>
        <w:t>The following points were summa</w:t>
      </w:r>
      <w:r w:rsidR="007355A3">
        <w:t>rised in the quality evaluation:</w:t>
      </w:r>
    </w:p>
    <w:p w14:paraId="0392D8EB" w14:textId="77777777" w:rsidR="004535A6" w:rsidRDefault="004535A6" w:rsidP="00623543">
      <w:pPr>
        <w:pStyle w:val="ListBullet"/>
      </w:pPr>
      <w:proofErr w:type="spellStart"/>
      <w:r>
        <w:t>Acalabrutinib</w:t>
      </w:r>
      <w:proofErr w:type="spellEnd"/>
      <w:r>
        <w:t xml:space="preserve"> is chemically synthesised and is structurally related to other antineoplastic protein kinase inhibitors such as </w:t>
      </w:r>
      <w:proofErr w:type="spellStart"/>
      <w:r>
        <w:t>ibrutinib</w:t>
      </w:r>
      <w:proofErr w:type="spellEnd"/>
      <w:r>
        <w:t xml:space="preserve"> and </w:t>
      </w:r>
      <w:proofErr w:type="spellStart"/>
      <w:r>
        <w:t>bosutinib</w:t>
      </w:r>
      <w:proofErr w:type="spellEnd"/>
      <w:r w:rsidR="007355A3">
        <w:t>.</w:t>
      </w:r>
    </w:p>
    <w:p w14:paraId="339869C7" w14:textId="77777777" w:rsidR="004535A6" w:rsidRDefault="004535A6" w:rsidP="00623543">
      <w:pPr>
        <w:pStyle w:val="ListBullet"/>
      </w:pPr>
      <w:r>
        <w:t xml:space="preserve">The finished product is a capsule filled with 100 mg of </w:t>
      </w:r>
      <w:proofErr w:type="spellStart"/>
      <w:r>
        <w:t>acalabrutinib</w:t>
      </w:r>
      <w:proofErr w:type="spellEnd"/>
      <w:r>
        <w:t xml:space="preserve"> and packaged in blisters in packs of 56 </w:t>
      </w:r>
      <w:r w:rsidR="007355A3">
        <w:t>capsules.</w:t>
      </w:r>
    </w:p>
    <w:p w14:paraId="791ED48A" w14:textId="77777777" w:rsidR="004535A6" w:rsidRDefault="004535A6" w:rsidP="00623543">
      <w:pPr>
        <w:pStyle w:val="ListBullet"/>
      </w:pPr>
      <w:r>
        <w:t xml:space="preserve">The capsules are proposed for the treatment of patients with </w:t>
      </w:r>
      <w:r w:rsidR="007355A3">
        <w:t>MCL</w:t>
      </w:r>
      <w:r>
        <w:t xml:space="preserve"> who have received at least one prior therapy and are dosed at 100 mg twice daily (equivalent to a total daily dose of 200 mg) to be taken with or without food.</w:t>
      </w:r>
    </w:p>
    <w:p w14:paraId="2ECCA124" w14:textId="77777777" w:rsidR="004535A6" w:rsidRDefault="004535A6" w:rsidP="00623543">
      <w:pPr>
        <w:pStyle w:val="ListBullet"/>
      </w:pPr>
      <w:r>
        <w:t>The company has provided two bioavailability summaries for the following studies</w:t>
      </w:r>
      <w:r w:rsidR="00A61463">
        <w:t>:</w:t>
      </w:r>
    </w:p>
    <w:p w14:paraId="7B4EACA1" w14:textId="3F4AECAA" w:rsidR="004535A6" w:rsidRDefault="007355A3" w:rsidP="00623543">
      <w:pPr>
        <w:pStyle w:val="ListBullet2"/>
      </w:pPr>
      <w:r>
        <w:t>Study ACE-HV-001; a</w:t>
      </w:r>
      <w:r w:rsidR="004535A6">
        <w:t xml:space="preserve"> Phase </w:t>
      </w:r>
      <w:r w:rsidR="00256DF6">
        <w:t>I</w:t>
      </w:r>
      <w:r w:rsidR="004535A6">
        <w:t xml:space="preserve">, </w:t>
      </w:r>
      <w:r>
        <w:t xml:space="preserve">single centre, open </w:t>
      </w:r>
      <w:r w:rsidR="00A61463">
        <w:t xml:space="preserve">label, sequential dose escalation </w:t>
      </w:r>
      <w:r w:rsidR="00256DF6">
        <w:t xml:space="preserve">study </w:t>
      </w:r>
      <w:r w:rsidR="004535A6">
        <w:t>of ACP-196</w:t>
      </w:r>
      <w:r>
        <w:t xml:space="preserve"> (</w:t>
      </w:r>
      <w:proofErr w:type="spellStart"/>
      <w:r>
        <w:t>acalabrutinib</w:t>
      </w:r>
      <w:proofErr w:type="spellEnd"/>
      <w:r>
        <w:t>)</w:t>
      </w:r>
      <w:r w:rsidR="004535A6">
        <w:t xml:space="preserve"> in </w:t>
      </w:r>
      <w:r w:rsidR="00A61463">
        <w:t>healthy subjects to evaluate safety, pharmacokinetics, pharmacodynamics, food effects, and drug-drug interactions</w:t>
      </w:r>
      <w:r w:rsidR="004535A6">
        <w:t>;</w:t>
      </w:r>
    </w:p>
    <w:p w14:paraId="1441926E" w14:textId="07612DDA" w:rsidR="004535A6" w:rsidRDefault="007355A3" w:rsidP="00623543">
      <w:pPr>
        <w:pStyle w:val="ListBullet2"/>
      </w:pPr>
      <w:r>
        <w:t>Study ACE-HV-009;</w:t>
      </w:r>
      <w:r w:rsidR="00256DF6">
        <w:t xml:space="preserve"> a study examining the</w:t>
      </w:r>
      <w:r>
        <w:t xml:space="preserve"> a</w:t>
      </w:r>
      <w:r w:rsidR="004535A6">
        <w:t xml:space="preserve">bsolute </w:t>
      </w:r>
      <w:r w:rsidR="00A61463">
        <w:t>bioavailability, pharmacokinetics, excretion, and metabolism of [</w:t>
      </w:r>
      <w:r w:rsidR="00A61463" w:rsidRPr="007355A3">
        <w:rPr>
          <w:vertAlign w:val="superscript"/>
        </w:rPr>
        <w:t>14</w:t>
      </w:r>
      <w:r w:rsidR="00A61463">
        <w:t>C]ACP-196 (</w:t>
      </w:r>
      <w:proofErr w:type="spellStart"/>
      <w:r w:rsidR="00A61463">
        <w:t>a</w:t>
      </w:r>
      <w:r w:rsidR="004535A6">
        <w:t>calabrutinib</w:t>
      </w:r>
      <w:proofErr w:type="spellEnd"/>
      <w:r w:rsidR="004535A6">
        <w:t xml:space="preserve">) in </w:t>
      </w:r>
      <w:r w:rsidR="00A61463">
        <w:t>healthy subjects</w:t>
      </w:r>
      <w:r w:rsidR="004535A6">
        <w:t>.</w:t>
      </w:r>
    </w:p>
    <w:p w14:paraId="329B35D7" w14:textId="77777777" w:rsidR="00A61463" w:rsidRDefault="00A61463" w:rsidP="00623543">
      <w:pPr>
        <w:pStyle w:val="ListBullet"/>
      </w:pPr>
      <w:r>
        <w:t xml:space="preserve">Study ACE-HV-001, Part 2/Cohort 6 (the fed arm of the study) was evaluated in detail and found acceptable. A high fat, high calorie meal did not affect the extent of absorption of </w:t>
      </w:r>
      <w:proofErr w:type="spellStart"/>
      <w:r>
        <w:t>acalabrutinib</w:t>
      </w:r>
      <w:proofErr w:type="spellEnd"/>
      <w:r>
        <w:t xml:space="preserve"> but </w:t>
      </w:r>
      <w:r w:rsidR="00B84C38">
        <w:t>time to maximum plasma concentration (</w:t>
      </w:r>
      <w:proofErr w:type="spellStart"/>
      <w:r>
        <w:t>T</w:t>
      </w:r>
      <w:r w:rsidRPr="00A61463">
        <w:rPr>
          <w:vertAlign w:val="subscript"/>
        </w:rPr>
        <w:t>max</w:t>
      </w:r>
      <w:proofErr w:type="spellEnd"/>
      <w:r w:rsidR="00B84C38">
        <w:t>)</w:t>
      </w:r>
      <w:r>
        <w:t xml:space="preserve"> was </w:t>
      </w:r>
      <w:r>
        <w:lastRenderedPageBreak/>
        <w:t xml:space="preserve">delayed by an average of 2 hours and </w:t>
      </w:r>
      <w:r w:rsidR="00B84C38">
        <w:t>maximum plasma concentration (</w:t>
      </w:r>
      <w:proofErr w:type="spellStart"/>
      <w:r>
        <w:t>C</w:t>
      </w:r>
      <w:r w:rsidRPr="00A61463">
        <w:rPr>
          <w:vertAlign w:val="subscript"/>
        </w:rPr>
        <w:t>max</w:t>
      </w:r>
      <w:proofErr w:type="spellEnd"/>
      <w:r w:rsidR="00B84C38">
        <w:t>)</w:t>
      </w:r>
      <w:r>
        <w:t xml:space="preserve"> decreased by 73%. It was noted that the product used in this particular clinical study had a different formulation, method of manufacture and a faster dissolution profile in acidic medium than the proposed commercial product. It is unlikely that food will affect the extent of exposure to </w:t>
      </w:r>
      <w:proofErr w:type="spellStart"/>
      <w:r>
        <w:t>acalabrutinib</w:t>
      </w:r>
      <w:proofErr w:type="spellEnd"/>
      <w:r>
        <w:t xml:space="preserve"> from the commercial product.</w:t>
      </w:r>
    </w:p>
    <w:p w14:paraId="076D5592" w14:textId="77777777" w:rsidR="00180128" w:rsidRDefault="00A61463" w:rsidP="004535A6">
      <w:pPr>
        <w:rPr>
          <w:rFonts w:asciiTheme="minorHAnsi" w:hAnsiTheme="minorHAnsi"/>
        </w:rPr>
      </w:pPr>
      <w:r>
        <w:rPr>
          <w:rFonts w:asciiTheme="minorHAnsi" w:hAnsiTheme="minorHAnsi"/>
        </w:rPr>
        <w:t>The Delegate commented that t</w:t>
      </w:r>
      <w:r w:rsidR="00180128">
        <w:rPr>
          <w:rFonts w:asciiTheme="minorHAnsi" w:hAnsiTheme="minorHAnsi"/>
        </w:rPr>
        <w:t>he pharmaceutical evaluator has raised no i</w:t>
      </w:r>
      <w:r w:rsidR="000E7D31">
        <w:rPr>
          <w:rFonts w:asciiTheme="minorHAnsi" w:hAnsiTheme="minorHAnsi"/>
        </w:rPr>
        <w:t xml:space="preserve">ssues with the registration of </w:t>
      </w:r>
      <w:proofErr w:type="spellStart"/>
      <w:r w:rsidR="000E7D31">
        <w:rPr>
          <w:rFonts w:asciiTheme="minorHAnsi" w:hAnsiTheme="minorHAnsi"/>
        </w:rPr>
        <w:t>a</w:t>
      </w:r>
      <w:r w:rsidR="00180128">
        <w:rPr>
          <w:rFonts w:asciiTheme="minorHAnsi" w:hAnsiTheme="minorHAnsi"/>
        </w:rPr>
        <w:t>calabrutinib</w:t>
      </w:r>
      <w:proofErr w:type="spellEnd"/>
      <w:r w:rsidR="00180128">
        <w:rPr>
          <w:rFonts w:asciiTheme="minorHAnsi" w:hAnsiTheme="minorHAnsi"/>
        </w:rPr>
        <w:t>.</w:t>
      </w:r>
    </w:p>
    <w:p w14:paraId="08787B10" w14:textId="77777777" w:rsidR="008E7846" w:rsidRDefault="008E7846" w:rsidP="008E7846">
      <w:pPr>
        <w:pStyle w:val="Heading3"/>
      </w:pPr>
      <w:bookmarkStart w:id="36" w:name="_Toc314842512"/>
      <w:bookmarkStart w:id="37" w:name="_Toc34134749"/>
      <w:r>
        <w:t>Nonclinical</w:t>
      </w:r>
      <w:bookmarkEnd w:id="36"/>
      <w:bookmarkEnd w:id="37"/>
    </w:p>
    <w:p w14:paraId="1115D10F" w14:textId="77777777" w:rsidR="00927510" w:rsidRDefault="00927510" w:rsidP="00180128">
      <w:r w:rsidRPr="00927510">
        <w:t xml:space="preserve">The proposed dosing regimen </w:t>
      </w:r>
      <w:r w:rsidR="00B84C38">
        <w:t xml:space="preserve">of </w:t>
      </w:r>
      <w:proofErr w:type="spellStart"/>
      <w:r w:rsidR="00B84C38">
        <w:t>Calquence</w:t>
      </w:r>
      <w:proofErr w:type="spellEnd"/>
      <w:r w:rsidR="00B84C38">
        <w:t xml:space="preserve"> </w:t>
      </w:r>
      <w:r w:rsidRPr="00927510">
        <w:t>involves oral administration of one capsule (100 mg) twice daily.</w:t>
      </w:r>
    </w:p>
    <w:p w14:paraId="0D01E16D" w14:textId="77777777" w:rsidR="000E7D31" w:rsidRDefault="00927510" w:rsidP="00180128">
      <w:r>
        <w:t>The following points were summarised in the</w:t>
      </w:r>
      <w:r w:rsidR="000E7D31">
        <w:t xml:space="preserve"> nonclinical evaluation:</w:t>
      </w:r>
    </w:p>
    <w:p w14:paraId="1C31D62F" w14:textId="77777777" w:rsidR="000E7D31" w:rsidRPr="00E5742C" w:rsidRDefault="000E7D31" w:rsidP="00B84C38">
      <w:pPr>
        <w:pStyle w:val="ListBullet"/>
      </w:pPr>
      <w:r w:rsidRPr="00367A5B">
        <w:t xml:space="preserve">The submitted </w:t>
      </w:r>
      <w:r>
        <w:t>nonclinical</w:t>
      </w:r>
      <w:r w:rsidRPr="00367A5B">
        <w:t xml:space="preserve"> data were in general accordance with the </w:t>
      </w:r>
      <w:r w:rsidR="00B84C38">
        <w:t xml:space="preserve">relevant </w:t>
      </w:r>
      <w:r w:rsidR="00B84C38" w:rsidRPr="00B84C38">
        <w:t>International Council for Harmonisation</w:t>
      </w:r>
      <w:r w:rsidR="00B84C38">
        <w:t xml:space="preserve"> (</w:t>
      </w:r>
      <w:r w:rsidRPr="00367A5B">
        <w:t>ICH</w:t>
      </w:r>
      <w:r w:rsidR="00B84C38">
        <w:t>)</w:t>
      </w:r>
      <w:r w:rsidRPr="00367A5B">
        <w:t xml:space="preserve"> guideline</w:t>
      </w:r>
      <w:r w:rsidR="00B84C38">
        <w:t>;</w:t>
      </w:r>
      <w:r w:rsidR="00B84C38">
        <w:rPr>
          <w:rStyle w:val="FootnoteReference"/>
        </w:rPr>
        <w:footnoteReference w:id="2"/>
      </w:r>
      <w:r w:rsidRPr="00367A5B">
        <w:t xml:space="preserve"> </w:t>
      </w:r>
      <w:r w:rsidRPr="00E5742C">
        <w:t xml:space="preserve">and were of adequate quality. </w:t>
      </w:r>
      <w:r>
        <w:t xml:space="preserve">All pivotal safety-related studies were </w:t>
      </w:r>
      <w:r w:rsidR="00B84C38">
        <w:t xml:space="preserve">Good Laboratory Practice (GLP) </w:t>
      </w:r>
      <w:r>
        <w:t>compliant.</w:t>
      </w:r>
    </w:p>
    <w:p w14:paraId="3EF29CC5" w14:textId="77777777" w:rsidR="000E7D31" w:rsidRPr="00E5742C" w:rsidRDefault="000E7D31" w:rsidP="00927510">
      <w:pPr>
        <w:pStyle w:val="ListBullet"/>
      </w:pPr>
      <w:r w:rsidRPr="00E5742C">
        <w:rPr>
          <w:i/>
        </w:rPr>
        <w:t>In vitro</w:t>
      </w:r>
      <w:r w:rsidRPr="00E5742C">
        <w:t xml:space="preserve">, </w:t>
      </w:r>
      <w:proofErr w:type="spellStart"/>
      <w:r w:rsidRPr="00E5742C">
        <w:t>acalabrutinib</w:t>
      </w:r>
      <w:proofErr w:type="spellEnd"/>
      <w:r w:rsidRPr="00E5742C">
        <w:t xml:space="preserve"> and its main human metabolite, ACP-5862, were </w:t>
      </w:r>
      <w:r>
        <w:t xml:space="preserve">shown to be </w:t>
      </w:r>
      <w:r w:rsidRPr="00E5742C">
        <w:t xml:space="preserve">irreversible inhibitors of </w:t>
      </w:r>
      <w:r w:rsidR="00B84C38">
        <w:t>BTK</w:t>
      </w:r>
      <w:r w:rsidRPr="00E5742C">
        <w:t xml:space="preserve">. </w:t>
      </w:r>
      <w:proofErr w:type="spellStart"/>
      <w:r w:rsidRPr="00E5742C">
        <w:t>Acalabr</w:t>
      </w:r>
      <w:r w:rsidR="00B84C38">
        <w:t>utinib</w:t>
      </w:r>
      <w:proofErr w:type="spellEnd"/>
      <w:r w:rsidR="00B84C38">
        <w:t xml:space="preserve"> and ACP-5862 inhibited B </w:t>
      </w:r>
      <w:r w:rsidRPr="00E5742C">
        <w:t>cell signalling in cellular assays and tumour growth inhibition was seen in</w:t>
      </w:r>
      <w:r w:rsidR="00B84C38">
        <w:t xml:space="preserve"> murine xenograft models of B </w:t>
      </w:r>
      <w:r w:rsidRPr="00E5742C">
        <w:t xml:space="preserve">cell malignancies. Lower efficacy </w:t>
      </w:r>
      <w:r>
        <w:t>is suggested</w:t>
      </w:r>
      <w:r w:rsidRPr="00E5742C">
        <w:t xml:space="preserve"> in patients with MCL. The main human metabolite, ACP</w:t>
      </w:r>
      <w:r>
        <w:noBreakHyphen/>
      </w:r>
      <w:r w:rsidRPr="00E5742C">
        <w:t xml:space="preserve">5862, is expected to significantly contribute to the safety and efficacy profile of </w:t>
      </w:r>
      <w:proofErr w:type="spellStart"/>
      <w:r w:rsidRPr="00E5742C">
        <w:t>acalabrutinib</w:t>
      </w:r>
      <w:proofErr w:type="spellEnd"/>
      <w:r w:rsidRPr="00E5742C">
        <w:t>.</w:t>
      </w:r>
    </w:p>
    <w:p w14:paraId="7C750748" w14:textId="79531E57" w:rsidR="000E7D31" w:rsidRPr="00E5742C" w:rsidRDefault="000E7D31" w:rsidP="00927510">
      <w:pPr>
        <w:pStyle w:val="ListBullet"/>
      </w:pPr>
      <w:r>
        <w:t xml:space="preserve">In secondary screens against other tyrosine kinases, receptors, ion transporters and ion channels, notable off-target effects include </w:t>
      </w:r>
      <w:r w:rsidR="00BF780F">
        <w:t xml:space="preserve">the protein tyrosine kinases </w:t>
      </w:r>
      <w:r>
        <w:t xml:space="preserve">ErbB4 and Tec. Both of these kinases appear to have </w:t>
      </w:r>
      <w:proofErr w:type="spellStart"/>
      <w:r>
        <w:t>cardioprotective</w:t>
      </w:r>
      <w:proofErr w:type="spellEnd"/>
      <w:r>
        <w:t xml:space="preserve"> roles and Tec plays a role in platelet activation. No adverse effects on </w:t>
      </w:r>
      <w:r w:rsidR="00B84C38">
        <w:t>central nervous system (</w:t>
      </w:r>
      <w:r>
        <w:t>CNS</w:t>
      </w:r>
      <w:r w:rsidR="00B84C38">
        <w:t>)</w:t>
      </w:r>
      <w:r>
        <w:t>, respiratory or cardiovascular function were seen i</w:t>
      </w:r>
      <w:r w:rsidR="00DC2B25">
        <w:t>n adequately conducted studies.</w:t>
      </w:r>
    </w:p>
    <w:p w14:paraId="30A54D91" w14:textId="1C804279" w:rsidR="000E7D31" w:rsidRPr="005761A6" w:rsidRDefault="000E7D31" w:rsidP="008D7FA1">
      <w:pPr>
        <w:pStyle w:val="ListBullet"/>
      </w:pPr>
      <w:proofErr w:type="spellStart"/>
      <w:r w:rsidRPr="005761A6">
        <w:t>Acalabrutinib</w:t>
      </w:r>
      <w:proofErr w:type="spellEnd"/>
      <w:r w:rsidRPr="005761A6">
        <w:t xml:space="preserve"> was readily and rapidly absorbed </w:t>
      </w:r>
      <w:r>
        <w:t xml:space="preserve">following oral administration, </w:t>
      </w:r>
      <w:r w:rsidRPr="005761A6">
        <w:t xml:space="preserve">with a similar </w:t>
      </w:r>
      <w:proofErr w:type="spellStart"/>
      <w:r w:rsidRPr="005761A6">
        <w:t>T</w:t>
      </w:r>
      <w:r w:rsidRPr="005761A6">
        <w:rPr>
          <w:vertAlign w:val="subscript"/>
        </w:rPr>
        <w:t>max</w:t>
      </w:r>
      <w:proofErr w:type="spellEnd"/>
      <w:r w:rsidRPr="005761A6">
        <w:t xml:space="preserve"> in all species. </w:t>
      </w:r>
      <w:r>
        <w:t>Exposures (</w:t>
      </w:r>
      <w:r w:rsidR="00B84C38">
        <w:t>area under the concentration-time curve (</w:t>
      </w:r>
      <w:r>
        <w:t>AUC</w:t>
      </w:r>
      <w:r w:rsidR="00B84C38">
        <w:t>)</w:t>
      </w:r>
      <w:r>
        <w:t>) in female mice, rats and humans were generally higher than their male counterparts. There were no consistent sex differences in pharmacokinetic parameters in dogs. Following oral dosi</w:t>
      </w:r>
      <w:r w:rsidR="008D7FA1">
        <w:t>ng, exposures to ACP-5862 were approximately 4.5, 0.08 and 2.5</w:t>
      </w:r>
      <w:r w:rsidR="00BF780F">
        <w:t> to </w:t>
      </w:r>
      <w:r>
        <w:t>3.0 times</w:t>
      </w:r>
      <w:r w:rsidR="00BF780F">
        <w:t xml:space="preserve"> the</w:t>
      </w:r>
      <w:r>
        <w:t xml:space="preserve"> </w:t>
      </w:r>
      <w:proofErr w:type="spellStart"/>
      <w:r>
        <w:t>acalabrutinib</w:t>
      </w:r>
      <w:proofErr w:type="spellEnd"/>
      <w:r>
        <w:t xml:space="preserve"> exposures in rats, dogs and humans. A tissue distribution study in pigmented rats indicated </w:t>
      </w:r>
      <w:r w:rsidRPr="004472C3">
        <w:t>some retention of radioactivity in melanin-containing tissues</w:t>
      </w:r>
      <w:r>
        <w:t>. T</w:t>
      </w:r>
      <w:r w:rsidRPr="004472C3">
        <w:t>here was minimal penetration of blood-brain barrier</w:t>
      </w:r>
      <w:r>
        <w:t xml:space="preserve">. </w:t>
      </w:r>
      <w:r>
        <w:rPr>
          <w:i/>
        </w:rPr>
        <w:t>In vitro</w:t>
      </w:r>
      <w:r>
        <w:t xml:space="preserve"> studies indicated a major role of </w:t>
      </w:r>
      <w:r w:rsidR="008D7FA1">
        <w:t>c</w:t>
      </w:r>
      <w:r w:rsidR="008D7FA1" w:rsidRPr="008D7FA1">
        <w:t>ytochrome P450 3A4</w:t>
      </w:r>
      <w:r w:rsidR="008D7FA1">
        <w:t>/5</w:t>
      </w:r>
      <w:r w:rsidR="008D7FA1" w:rsidRPr="008D7FA1">
        <w:t xml:space="preserve"> </w:t>
      </w:r>
      <w:r w:rsidR="008D7FA1">
        <w:t>(</w:t>
      </w:r>
      <w:r>
        <w:t>CYP3A4/5</w:t>
      </w:r>
      <w:r w:rsidR="008D7FA1">
        <w:t>)</w:t>
      </w:r>
      <w:r>
        <w:t xml:space="preserve"> in the formation of ACP-5862. </w:t>
      </w:r>
      <w:r w:rsidRPr="004758AE">
        <w:t xml:space="preserve">Excretion of </w:t>
      </w:r>
      <w:proofErr w:type="spellStart"/>
      <w:r w:rsidRPr="004758AE">
        <w:t>acalabrutinib</w:t>
      </w:r>
      <w:proofErr w:type="spellEnd"/>
      <w:r w:rsidRPr="004758AE">
        <w:t xml:space="preserve"> and/or its metabolites was predominantly </w:t>
      </w:r>
      <w:r w:rsidRPr="003708E6">
        <w:t>via</w:t>
      </w:r>
      <w:r w:rsidRPr="004758AE">
        <w:t xml:space="preserve"> the faeces in all species</w:t>
      </w:r>
      <w:r>
        <w:t>. Biliary excretion was evident.</w:t>
      </w:r>
    </w:p>
    <w:p w14:paraId="509D899E" w14:textId="77777777" w:rsidR="000E7D31" w:rsidRPr="008B23C8" w:rsidRDefault="000E7D31" w:rsidP="008D7FA1">
      <w:pPr>
        <w:pStyle w:val="ListBullet"/>
      </w:pPr>
      <w:r>
        <w:rPr>
          <w:i/>
        </w:rPr>
        <w:t>In vitro</w:t>
      </w:r>
      <w:r>
        <w:t xml:space="preserve"> studies indicated inhibitors/inducers of CYP3A4/5, P</w:t>
      </w:r>
      <w:r>
        <w:noBreakHyphen/>
        <w:t xml:space="preserve">glycoprotein and </w:t>
      </w:r>
      <w:r w:rsidR="008D7FA1" w:rsidRPr="008D7FA1">
        <w:t xml:space="preserve">breast cancer resistance protein </w:t>
      </w:r>
      <w:r w:rsidR="008D7FA1">
        <w:t>(</w:t>
      </w:r>
      <w:r>
        <w:t>BCRP</w:t>
      </w:r>
      <w:r w:rsidR="008D7FA1">
        <w:t>)</w:t>
      </w:r>
      <w:r>
        <w:t xml:space="preserve"> may alter </w:t>
      </w:r>
      <w:proofErr w:type="spellStart"/>
      <w:r>
        <w:t>acalabrutinib</w:t>
      </w:r>
      <w:proofErr w:type="spellEnd"/>
      <w:r>
        <w:t xml:space="preserve"> exposures. </w:t>
      </w:r>
      <w:proofErr w:type="spellStart"/>
      <w:r w:rsidRPr="008B23C8">
        <w:t>Acalabrutinib</w:t>
      </w:r>
      <w:proofErr w:type="spellEnd"/>
      <w:r w:rsidRPr="008B23C8">
        <w:t xml:space="preserve"> may increase exposure to </w:t>
      </w:r>
      <w:r>
        <w:t xml:space="preserve">orally </w:t>
      </w:r>
      <w:r w:rsidRPr="008B23C8">
        <w:t xml:space="preserve">co-administered CYP3A4 </w:t>
      </w:r>
      <w:r>
        <w:t xml:space="preserve">or BCRP </w:t>
      </w:r>
      <w:r w:rsidRPr="008B23C8">
        <w:t>substrate</w:t>
      </w:r>
      <w:r>
        <w:t>s</w:t>
      </w:r>
      <w:r w:rsidRPr="008B23C8">
        <w:t xml:space="preserve"> by inhibition of intestinal CYP3A4</w:t>
      </w:r>
      <w:r>
        <w:t xml:space="preserve"> (irreversible) or intestinal BCRP, respectively</w:t>
      </w:r>
      <w:r w:rsidRPr="008B23C8">
        <w:t>.</w:t>
      </w:r>
      <w:r>
        <w:t xml:space="preserve"> </w:t>
      </w:r>
      <w:r w:rsidR="008D7FA1">
        <w:t>ACP</w:t>
      </w:r>
      <w:r w:rsidR="008D7FA1">
        <w:noBreakHyphen/>
      </w:r>
      <w:r w:rsidRPr="002B259D">
        <w:t xml:space="preserve">5862 may increase exposure to co-administered </w:t>
      </w:r>
      <w:r w:rsidR="008D7FA1">
        <w:t>m</w:t>
      </w:r>
      <w:r w:rsidR="008D7FA1" w:rsidRPr="008D7FA1">
        <w:t>ultidrug and toxin extrusion protein 1</w:t>
      </w:r>
      <w:r w:rsidR="008D7FA1">
        <w:t xml:space="preserve"> (</w:t>
      </w:r>
      <w:r w:rsidRPr="002B259D">
        <w:t>MATE1</w:t>
      </w:r>
      <w:r w:rsidR="008D7FA1">
        <w:t>)</w:t>
      </w:r>
      <w:r w:rsidRPr="002B259D">
        <w:t xml:space="preserve"> substrates</w:t>
      </w:r>
      <w:r>
        <w:t>.</w:t>
      </w:r>
    </w:p>
    <w:p w14:paraId="46B5595A" w14:textId="77777777" w:rsidR="000E7D31" w:rsidRPr="00CD1FCF" w:rsidRDefault="000E7D31" w:rsidP="00927510">
      <w:pPr>
        <w:pStyle w:val="ListBullet"/>
      </w:pPr>
      <w:proofErr w:type="spellStart"/>
      <w:r w:rsidRPr="00CD1FCF">
        <w:t>Acalabrutinib</w:t>
      </w:r>
      <w:proofErr w:type="spellEnd"/>
      <w:r w:rsidRPr="00CD1FCF">
        <w:t xml:space="preserve"> had a moderate to low order of acute </w:t>
      </w:r>
      <w:r w:rsidR="008D7FA1">
        <w:t>intravenous (</w:t>
      </w:r>
      <w:r w:rsidRPr="00CD1FCF">
        <w:t>IV</w:t>
      </w:r>
      <w:r w:rsidR="008D7FA1">
        <w:t>)</w:t>
      </w:r>
      <w:r w:rsidRPr="00CD1FCF">
        <w:t xml:space="preserve"> toxicity in rats.</w:t>
      </w:r>
    </w:p>
    <w:p w14:paraId="36319B33" w14:textId="77777777" w:rsidR="000E7D31" w:rsidRPr="00AA3975" w:rsidRDefault="008D7FA1" w:rsidP="008D7FA1">
      <w:pPr>
        <w:pStyle w:val="ListBullet"/>
      </w:pPr>
      <w:r>
        <w:lastRenderedPageBreak/>
        <w:t xml:space="preserve">Repeat </w:t>
      </w:r>
      <w:r w:rsidR="000E7D31">
        <w:t>dose toxicity studies were conducted in mice (28 days), rats (up to 26 weeks; two different strains) and dogs (up to 39 weeks) using the proposed clinical route (</w:t>
      </w:r>
      <w:r>
        <w:t xml:space="preserve">oral; </w:t>
      </w:r>
      <w:r w:rsidR="000E7D31">
        <w:t xml:space="preserve">PO). The studies were adequately conducted. </w:t>
      </w:r>
      <w:r w:rsidR="000E7D31" w:rsidRPr="00371352">
        <w:rPr>
          <w:szCs w:val="20"/>
        </w:rPr>
        <w:t xml:space="preserve">The major target organs for </w:t>
      </w:r>
      <w:proofErr w:type="spellStart"/>
      <w:r w:rsidR="000E7D31" w:rsidRPr="00371352">
        <w:rPr>
          <w:szCs w:val="20"/>
        </w:rPr>
        <w:t>acalabrutinib</w:t>
      </w:r>
      <w:proofErr w:type="spellEnd"/>
      <w:r w:rsidR="000E7D31" w:rsidRPr="00371352">
        <w:rPr>
          <w:szCs w:val="20"/>
        </w:rPr>
        <w:t xml:space="preserve"> were the lymphoid tissues (as expected based on </w:t>
      </w:r>
      <w:r w:rsidR="000E7D31">
        <w:rPr>
          <w:szCs w:val="20"/>
        </w:rPr>
        <w:t xml:space="preserve">the drug’s primary </w:t>
      </w:r>
      <w:r w:rsidR="000E7D31" w:rsidRPr="00371352">
        <w:rPr>
          <w:szCs w:val="20"/>
        </w:rPr>
        <w:t>pharmacology), liver and kidney, and in rats only, the pancreas and heart.</w:t>
      </w:r>
      <w:r w:rsidR="000E7D31">
        <w:rPr>
          <w:szCs w:val="20"/>
        </w:rPr>
        <w:t xml:space="preserve"> The effects in the pancreas and heart ar</w:t>
      </w:r>
      <w:r>
        <w:rPr>
          <w:szCs w:val="20"/>
        </w:rPr>
        <w:t xml:space="preserve">e not expected to be clinically </w:t>
      </w:r>
      <w:r w:rsidR="000E7D31">
        <w:rPr>
          <w:szCs w:val="20"/>
        </w:rPr>
        <w:t xml:space="preserve">relevant. Degenerative lesions in the liver (hepatocyte degeneration/necrosis) and kidney (and tubular degeneration/necrosis) were accompanied by clinical chemistry indicators of liver damage (elevated </w:t>
      </w:r>
      <w:r w:rsidRPr="008D7FA1">
        <w:rPr>
          <w:szCs w:val="20"/>
        </w:rPr>
        <w:t xml:space="preserve">alanine aminotransferase </w:t>
      </w:r>
      <w:r>
        <w:rPr>
          <w:szCs w:val="20"/>
        </w:rPr>
        <w:t>(</w:t>
      </w:r>
      <w:r w:rsidR="000E7D31">
        <w:rPr>
          <w:szCs w:val="20"/>
        </w:rPr>
        <w:t>ALT</w:t>
      </w:r>
      <w:r>
        <w:rPr>
          <w:szCs w:val="20"/>
        </w:rPr>
        <w:t>)</w:t>
      </w:r>
      <w:r w:rsidR="000E7D31">
        <w:rPr>
          <w:szCs w:val="20"/>
        </w:rPr>
        <w:t xml:space="preserve"> and </w:t>
      </w:r>
      <w:r>
        <w:rPr>
          <w:szCs w:val="20"/>
        </w:rPr>
        <w:t>aspartate amino</w:t>
      </w:r>
      <w:r w:rsidRPr="008D7FA1">
        <w:rPr>
          <w:szCs w:val="20"/>
        </w:rPr>
        <w:t xml:space="preserve">transferase </w:t>
      </w:r>
      <w:r>
        <w:rPr>
          <w:szCs w:val="20"/>
        </w:rPr>
        <w:t>(</w:t>
      </w:r>
      <w:r w:rsidR="000E7D31">
        <w:rPr>
          <w:szCs w:val="20"/>
        </w:rPr>
        <w:t>AST</w:t>
      </w:r>
      <w:r>
        <w:rPr>
          <w:szCs w:val="20"/>
        </w:rPr>
        <w:t>)</w:t>
      </w:r>
      <w:r w:rsidR="000E7D31">
        <w:rPr>
          <w:szCs w:val="20"/>
        </w:rPr>
        <w:t>) and renal damage (elevated blood urea nitrogen and creatinine levels). Given the margins, some hepatic or renal effects may be seen in some patients. Based on the primary pharmacology of the drug, an immunosuppressive ef</w:t>
      </w:r>
      <w:r>
        <w:rPr>
          <w:szCs w:val="20"/>
        </w:rPr>
        <w:t xml:space="preserve">fect is expected in patients (B </w:t>
      </w:r>
      <w:r w:rsidR="000E7D31">
        <w:rPr>
          <w:szCs w:val="20"/>
        </w:rPr>
        <w:t>cell and immunoglobulin deficiencies).</w:t>
      </w:r>
    </w:p>
    <w:p w14:paraId="281BD4A3" w14:textId="6E50E686" w:rsidR="000E7D31" w:rsidRDefault="000E7D31" w:rsidP="00927510">
      <w:pPr>
        <w:pStyle w:val="ListBullet"/>
      </w:pPr>
      <w:proofErr w:type="spellStart"/>
      <w:r>
        <w:t>Acalabrutinib</w:t>
      </w:r>
      <w:proofErr w:type="spellEnd"/>
      <w:r>
        <w:t xml:space="preserve"> was </w:t>
      </w:r>
      <w:r w:rsidRPr="00516D2A">
        <w:t xml:space="preserve">not mutagenic in an Ames test and was not </w:t>
      </w:r>
      <w:proofErr w:type="spellStart"/>
      <w:r w:rsidRPr="00516D2A">
        <w:t>clastogenic</w:t>
      </w:r>
      <w:proofErr w:type="spellEnd"/>
      <w:r w:rsidRPr="00516D2A">
        <w:t xml:space="preserve"> </w:t>
      </w:r>
      <w:r w:rsidRPr="00516D2A">
        <w:rPr>
          <w:i/>
        </w:rPr>
        <w:t>in vitro</w:t>
      </w:r>
      <w:r w:rsidRPr="00516D2A">
        <w:t xml:space="preserve"> (in human lymphocytes</w:t>
      </w:r>
      <w:r>
        <w:t xml:space="preserve">) </w:t>
      </w:r>
      <w:r w:rsidR="00BF780F">
        <w:t>n</w:t>
      </w:r>
      <w:r>
        <w:t xml:space="preserve">or </w:t>
      </w:r>
      <w:r>
        <w:rPr>
          <w:i/>
        </w:rPr>
        <w:t>in vivo</w:t>
      </w:r>
      <w:r>
        <w:t xml:space="preserve"> </w:t>
      </w:r>
      <w:r w:rsidR="00BF780F">
        <w:t xml:space="preserve">in a </w:t>
      </w:r>
      <w:r>
        <w:t xml:space="preserve">rat micronucleus test. </w:t>
      </w:r>
      <w:r w:rsidRPr="00516D2A">
        <w:t>No carcinogenicity studies were conducted, which is considered acceptable</w:t>
      </w:r>
      <w:r>
        <w:t>.</w:t>
      </w:r>
    </w:p>
    <w:p w14:paraId="4EB93446" w14:textId="77777777" w:rsidR="000E7D31" w:rsidRPr="00FC64BF" w:rsidRDefault="000E7D31" w:rsidP="00927510">
      <w:pPr>
        <w:pStyle w:val="ListBullet"/>
      </w:pPr>
      <w:r>
        <w:t xml:space="preserve">Reproductive toxicity studies examined effects on fertility (rats), </w:t>
      </w:r>
      <w:proofErr w:type="spellStart"/>
      <w:r>
        <w:t>embryofetal</w:t>
      </w:r>
      <w:proofErr w:type="spellEnd"/>
      <w:r>
        <w:t xml:space="preserve"> development (rats and rabb</w:t>
      </w:r>
      <w:r w:rsidR="008D7FA1">
        <w:t>its) and pre</w:t>
      </w:r>
      <w:r>
        <w:t>/postnatal development (rats). Male and female f</w:t>
      </w:r>
      <w:r w:rsidRPr="00454B4F">
        <w:t xml:space="preserve">ertility </w:t>
      </w:r>
      <w:r>
        <w:t>were</w:t>
      </w:r>
      <w:r w:rsidRPr="00454B4F">
        <w:t xml:space="preserve"> unaffected in rats</w:t>
      </w:r>
      <w:r>
        <w:t xml:space="preserve">. </w:t>
      </w:r>
      <w:proofErr w:type="spellStart"/>
      <w:r>
        <w:t>Acalabrutinib</w:t>
      </w:r>
      <w:proofErr w:type="spellEnd"/>
      <w:r>
        <w:t xml:space="preserve"> crossed the placenta in rats and could be detected in </w:t>
      </w:r>
      <w:proofErr w:type="spellStart"/>
      <w:r>
        <w:t>fetal</w:t>
      </w:r>
      <w:proofErr w:type="spellEnd"/>
      <w:r>
        <w:t xml:space="preserve"> plasma. No direct effects on </w:t>
      </w:r>
      <w:proofErr w:type="spellStart"/>
      <w:r>
        <w:t>embryofetal</w:t>
      </w:r>
      <w:proofErr w:type="spellEnd"/>
      <w:r>
        <w:t xml:space="preserve"> development were seen in rats or rabbits. </w:t>
      </w:r>
      <w:proofErr w:type="spellStart"/>
      <w:r>
        <w:t>Fetal</w:t>
      </w:r>
      <w:proofErr w:type="spellEnd"/>
      <w:r>
        <w:t xml:space="preserve"> effects in rabbits occurred in the context of </w:t>
      </w:r>
      <w:proofErr w:type="spellStart"/>
      <w:r>
        <w:t>maternotoxicity</w:t>
      </w:r>
      <w:proofErr w:type="spellEnd"/>
      <w:r>
        <w:t xml:space="preserve">. </w:t>
      </w:r>
      <w:proofErr w:type="spellStart"/>
      <w:r>
        <w:t>Acalabrutinib</w:t>
      </w:r>
      <w:proofErr w:type="spellEnd"/>
      <w:r>
        <w:t xml:space="preserve"> and ACP-5862 were excreted into milk in rats, with levels higher than maternal plasma levels, but pup plasma levels were low. No adverse effects on pup development were seen. Tr</w:t>
      </w:r>
      <w:r w:rsidR="008D7FA1">
        <w:t xml:space="preserve">eatment </w:t>
      </w:r>
      <w:r>
        <w:t>related dystocia</w:t>
      </w:r>
      <w:r w:rsidR="008D7FA1">
        <w:t xml:space="preserve"> was seen in rats at clinically </w:t>
      </w:r>
      <w:r>
        <w:t>relevant doses.</w:t>
      </w:r>
    </w:p>
    <w:p w14:paraId="32175113" w14:textId="77777777" w:rsidR="000E7D31" w:rsidRPr="00FC64BF" w:rsidRDefault="000E7D31" w:rsidP="00927510">
      <w:pPr>
        <w:pStyle w:val="ListBullet"/>
      </w:pPr>
      <w:r>
        <w:t xml:space="preserve">While </w:t>
      </w:r>
      <w:proofErr w:type="spellStart"/>
      <w:r>
        <w:t>acalabrutinib</w:t>
      </w:r>
      <w:proofErr w:type="spellEnd"/>
      <w:r>
        <w:t xml:space="preserve"> was phototoxic </w:t>
      </w:r>
      <w:r>
        <w:rPr>
          <w:i/>
        </w:rPr>
        <w:t>in vitro</w:t>
      </w:r>
      <w:r>
        <w:t>, this is not expected to be of concern in patients.</w:t>
      </w:r>
    </w:p>
    <w:p w14:paraId="438E121B" w14:textId="77777777" w:rsidR="000E7D31" w:rsidRDefault="000E7D31" w:rsidP="00927510">
      <w:pPr>
        <w:pStyle w:val="ListBullet"/>
      </w:pPr>
      <w:r>
        <w:t xml:space="preserve">Specified limits for impurities in the </w:t>
      </w:r>
      <w:r w:rsidRPr="00B33042">
        <w:t>drug substance and drug product are considered to be toxicologically acceptable</w:t>
      </w:r>
      <w:r>
        <w:t>.</w:t>
      </w:r>
    </w:p>
    <w:p w14:paraId="3C59653C" w14:textId="77777777" w:rsidR="000E7D31" w:rsidRDefault="000E7D31" w:rsidP="000E7D31">
      <w:r>
        <w:t>Conclusions and recommendations from the nonclinical evaluation:</w:t>
      </w:r>
    </w:p>
    <w:p w14:paraId="4C8D76F4" w14:textId="77777777" w:rsidR="000E7D31" w:rsidRDefault="000E7D31" w:rsidP="00927510">
      <w:pPr>
        <w:pStyle w:val="ListBullet"/>
      </w:pPr>
      <w:r w:rsidRPr="00E5742C">
        <w:t xml:space="preserve">No notable </w:t>
      </w:r>
      <w:r>
        <w:t xml:space="preserve">nonclinical </w:t>
      </w:r>
      <w:r w:rsidRPr="00E5742C">
        <w:t>deficiencies were identified.</w:t>
      </w:r>
    </w:p>
    <w:p w14:paraId="6A194568" w14:textId="77777777" w:rsidR="000E7D31" w:rsidRPr="00314044" w:rsidRDefault="000E7D31" w:rsidP="00927510">
      <w:pPr>
        <w:pStyle w:val="ListBullet"/>
      </w:pPr>
      <w:r w:rsidRPr="00314044">
        <w:t>The primary pharmacology studies lend some support for the proposed indications.</w:t>
      </w:r>
    </w:p>
    <w:p w14:paraId="66888DA8" w14:textId="77777777" w:rsidR="000E7D31" w:rsidRPr="00314044" w:rsidRDefault="000E7D31" w:rsidP="00927510">
      <w:pPr>
        <w:pStyle w:val="ListBullet"/>
      </w:pPr>
      <w:r>
        <w:t>S</w:t>
      </w:r>
      <w:r w:rsidRPr="00314044">
        <w:t xml:space="preserve">tudies </w:t>
      </w:r>
      <w:r>
        <w:t xml:space="preserve">in animals </w:t>
      </w:r>
      <w:r w:rsidRPr="00314044">
        <w:t>revealed the following findings of potential clinical relevance:</w:t>
      </w:r>
    </w:p>
    <w:p w14:paraId="303F79FD" w14:textId="77777777" w:rsidR="000E7D31" w:rsidRPr="00314044" w:rsidRDefault="000E7D31" w:rsidP="008D7FA1">
      <w:pPr>
        <w:pStyle w:val="ListBullet2"/>
      </w:pPr>
      <w:r>
        <w:t>some</w:t>
      </w:r>
      <w:r w:rsidRPr="00314044">
        <w:t xml:space="preserve"> risk of liver toxicity</w:t>
      </w:r>
      <w:r w:rsidR="008D7FA1">
        <w:t>;</w:t>
      </w:r>
    </w:p>
    <w:p w14:paraId="0E37ABB7" w14:textId="77777777" w:rsidR="000E7D31" w:rsidRPr="00314044" w:rsidRDefault="000E7D31" w:rsidP="008D7FA1">
      <w:pPr>
        <w:pStyle w:val="ListBullet2"/>
      </w:pPr>
      <w:r>
        <w:t>some</w:t>
      </w:r>
      <w:r w:rsidRPr="00314044">
        <w:t xml:space="preserve"> risk of kidney toxicity</w:t>
      </w:r>
      <w:r w:rsidR="008D7FA1">
        <w:t>;</w:t>
      </w:r>
    </w:p>
    <w:p w14:paraId="08C345EE" w14:textId="77777777" w:rsidR="000E7D31" w:rsidRPr="00314044" w:rsidRDefault="000E7D31" w:rsidP="008D7FA1">
      <w:pPr>
        <w:pStyle w:val="ListBullet2"/>
      </w:pPr>
      <w:r w:rsidRPr="00314044">
        <w:t>dystocia, if taken during pregnancy</w:t>
      </w:r>
      <w:r w:rsidR="008D7FA1">
        <w:t>.</w:t>
      </w:r>
    </w:p>
    <w:p w14:paraId="2DFB5412" w14:textId="77777777" w:rsidR="000E7D31" w:rsidRPr="000E7D31" w:rsidRDefault="000E7D31" w:rsidP="00927510">
      <w:pPr>
        <w:pStyle w:val="ListBullet"/>
      </w:pPr>
      <w:r w:rsidRPr="00314044">
        <w:t xml:space="preserve">There are no objections on nonclinical grounds to the proposed registration of </w:t>
      </w:r>
      <w:proofErr w:type="spellStart"/>
      <w:r w:rsidRPr="008D7FA1">
        <w:t>Calquence</w:t>
      </w:r>
      <w:proofErr w:type="spellEnd"/>
      <w:r w:rsidRPr="00314044">
        <w:rPr>
          <w:position w:val="5"/>
        </w:rPr>
        <w:t xml:space="preserve"> </w:t>
      </w:r>
      <w:r w:rsidRPr="00314044">
        <w:t>for</w:t>
      </w:r>
      <w:r>
        <w:t> </w:t>
      </w:r>
      <w:r w:rsidRPr="00314044">
        <w:t>the proposed indications.</w:t>
      </w:r>
    </w:p>
    <w:p w14:paraId="1DD5013F" w14:textId="13DF1C18" w:rsidR="000E7D31" w:rsidRPr="000E7D31" w:rsidRDefault="000E7D31" w:rsidP="00927510">
      <w:pPr>
        <w:pStyle w:val="ListBullet"/>
      </w:pPr>
      <w:r w:rsidRPr="00314044">
        <w:t xml:space="preserve">The draft </w:t>
      </w:r>
      <w:r w:rsidR="00A9736B">
        <w:t>PI</w:t>
      </w:r>
      <w:r w:rsidRPr="00314044">
        <w:t xml:space="preserve"> should be amended as directed </w:t>
      </w:r>
      <w:r>
        <w:t xml:space="preserve">and the </w:t>
      </w:r>
      <w:r w:rsidR="00BF780F">
        <w:t>nonclinical safety specification</w:t>
      </w:r>
      <w:r>
        <w:t xml:space="preserve"> of the </w:t>
      </w:r>
      <w:r w:rsidR="00BF780F">
        <w:t xml:space="preserve">risk management plan </w:t>
      </w:r>
      <w:r w:rsidR="008D7FA1">
        <w:t>(</w:t>
      </w:r>
      <w:r>
        <w:t>RMP</w:t>
      </w:r>
      <w:r w:rsidR="008D7FA1">
        <w:t>)</w:t>
      </w:r>
      <w:r>
        <w:t xml:space="preserve"> should be modified as directed.</w:t>
      </w:r>
    </w:p>
    <w:p w14:paraId="0F9D850A" w14:textId="77777777" w:rsidR="000E7D31" w:rsidRPr="00314044" w:rsidRDefault="000E7D31" w:rsidP="000E7D31">
      <w:r>
        <w:t>Delegate’s comments on the nonclinical evaluation:</w:t>
      </w:r>
    </w:p>
    <w:p w14:paraId="2905781F" w14:textId="23D18EFB" w:rsidR="00367925" w:rsidRDefault="00367925" w:rsidP="00AB5014">
      <w:pPr>
        <w:pStyle w:val="ListBullet"/>
      </w:pPr>
      <w:r>
        <w:t>The non</w:t>
      </w:r>
      <w:r w:rsidR="00180128">
        <w:t xml:space="preserve">clinical evaluator has raised no issues with the registration of </w:t>
      </w:r>
      <w:proofErr w:type="spellStart"/>
      <w:r w:rsidR="00180128">
        <w:t>Acalabrutinib</w:t>
      </w:r>
      <w:proofErr w:type="spellEnd"/>
      <w:r w:rsidR="00BF780F">
        <w:t>.</w:t>
      </w:r>
    </w:p>
    <w:p w14:paraId="51DE0C89" w14:textId="77777777" w:rsidR="00180128" w:rsidRPr="00367925" w:rsidRDefault="00180128" w:rsidP="00927510">
      <w:pPr>
        <w:pStyle w:val="ListBullet"/>
      </w:pPr>
      <w:r w:rsidRPr="00367925">
        <w:t>The Delegate notes that a single toxicology review was performed for this evaluation.</w:t>
      </w:r>
    </w:p>
    <w:p w14:paraId="4E93C45A" w14:textId="78A95103" w:rsidR="00180128" w:rsidRDefault="00180128" w:rsidP="00927510">
      <w:pPr>
        <w:pStyle w:val="ListBullet"/>
      </w:pPr>
      <w:r>
        <w:t xml:space="preserve">The </w:t>
      </w:r>
      <w:r w:rsidR="00367925">
        <w:t>non</w:t>
      </w:r>
      <w:r>
        <w:t>clinical evaluator has recommended amendm</w:t>
      </w:r>
      <w:r w:rsidR="00367925">
        <w:t>ents to the</w:t>
      </w:r>
      <w:r w:rsidR="00BF780F">
        <w:t xml:space="preserve"> draft</w:t>
      </w:r>
      <w:r w:rsidR="00367925">
        <w:t xml:space="preserve"> </w:t>
      </w:r>
      <w:r w:rsidR="00BF780F">
        <w:t>PI</w:t>
      </w:r>
      <w:r>
        <w:t>.</w:t>
      </w:r>
    </w:p>
    <w:p w14:paraId="15E08FB5" w14:textId="58C2276B" w:rsidR="00DC1948" w:rsidRPr="00DC1948" w:rsidRDefault="00180128" w:rsidP="00927510">
      <w:pPr>
        <w:pStyle w:val="ListBullet"/>
      </w:pPr>
      <w:r>
        <w:t xml:space="preserve">The Delegate notes that the toxicology information has been adequately incorporated into the draft MCL/CLL Australian </w:t>
      </w:r>
      <w:r w:rsidR="00367925">
        <w:t>PI</w:t>
      </w:r>
      <w:r>
        <w:t xml:space="preserve"> do</w:t>
      </w:r>
      <w:r w:rsidR="00367925">
        <w:t>cument provided by the s</w:t>
      </w:r>
      <w:r>
        <w:t xml:space="preserve">ponsor to the </w:t>
      </w:r>
      <w:r>
        <w:lastRenderedPageBreak/>
        <w:t>Delegate f</w:t>
      </w:r>
      <w:r w:rsidR="00367925">
        <w:t xml:space="preserve">or the application to register </w:t>
      </w:r>
      <w:proofErr w:type="spellStart"/>
      <w:r w:rsidR="00367925">
        <w:t>a</w:t>
      </w:r>
      <w:r>
        <w:t>calabrutinib</w:t>
      </w:r>
      <w:proofErr w:type="spellEnd"/>
      <w:r>
        <w:t xml:space="preserve"> for the treatment of CLL. Since this will </w:t>
      </w:r>
      <w:r w:rsidR="00367925">
        <w:t>supersede</w:t>
      </w:r>
      <w:r>
        <w:t xml:space="preserve"> the Australian </w:t>
      </w:r>
      <w:r w:rsidR="00BF780F">
        <w:t>PI</w:t>
      </w:r>
      <w:r>
        <w:t xml:space="preserve"> for this application, this is considered acceptable.</w:t>
      </w:r>
    </w:p>
    <w:p w14:paraId="62F5D284" w14:textId="77777777" w:rsidR="008E7846" w:rsidRDefault="008E7846" w:rsidP="008E7846">
      <w:pPr>
        <w:pStyle w:val="Heading3"/>
      </w:pPr>
      <w:bookmarkStart w:id="38" w:name="_Toc247691530"/>
      <w:bookmarkStart w:id="39" w:name="_Toc314842513"/>
      <w:bookmarkStart w:id="40" w:name="_Toc34134750"/>
      <w:r>
        <w:t>Clinical</w:t>
      </w:r>
      <w:bookmarkEnd w:id="38"/>
      <w:bookmarkEnd w:id="39"/>
      <w:bookmarkEnd w:id="40"/>
    </w:p>
    <w:p w14:paraId="2E479645" w14:textId="193CF451" w:rsidR="00180128" w:rsidRDefault="00FE1408" w:rsidP="00927510">
      <w:bookmarkStart w:id="41" w:name="_Toc314842514"/>
      <w:r>
        <w:t>T</w:t>
      </w:r>
      <w:r w:rsidR="00180128">
        <w:t xml:space="preserve">he following studies were </w:t>
      </w:r>
      <w:r>
        <w:t>included in the clinical dossier</w:t>
      </w:r>
      <w:r w:rsidR="00623543">
        <w:t xml:space="preserve"> (</w:t>
      </w:r>
      <w:r w:rsidR="00623543">
        <w:fldChar w:fldCharType="begin"/>
      </w:r>
      <w:r w:rsidR="00623543">
        <w:instrText xml:space="preserve"> REF _Ref25825629 \h </w:instrText>
      </w:r>
      <w:r w:rsidR="00623543">
        <w:fldChar w:fldCharType="separate"/>
      </w:r>
      <w:r w:rsidR="00574595">
        <w:t xml:space="preserve">Table </w:t>
      </w:r>
      <w:r w:rsidR="00574595">
        <w:rPr>
          <w:noProof/>
        </w:rPr>
        <w:t>3</w:t>
      </w:r>
      <w:r w:rsidR="00623543">
        <w:fldChar w:fldCharType="end"/>
      </w:r>
      <w:r w:rsidR="00623543">
        <w:t>)</w:t>
      </w:r>
      <w:r w:rsidR="00927510">
        <w:t>.</w:t>
      </w:r>
    </w:p>
    <w:p w14:paraId="0B5C9402" w14:textId="016C074E" w:rsidR="00A61463" w:rsidRDefault="00A61463" w:rsidP="00A61463">
      <w:pPr>
        <w:pStyle w:val="TableTitle"/>
      </w:pPr>
      <w:bookmarkStart w:id="42" w:name="_Ref25825629"/>
      <w:r>
        <w:t xml:space="preserve">Table </w:t>
      </w:r>
      <w:fldSimple w:instr=" SEQ Table \* ARABIC ">
        <w:r w:rsidR="00574595">
          <w:rPr>
            <w:noProof/>
          </w:rPr>
          <w:t>3</w:t>
        </w:r>
      </w:fldSimple>
      <w:bookmarkEnd w:id="42"/>
      <w:r>
        <w:t xml:space="preserve">: </w:t>
      </w:r>
      <w:r w:rsidRPr="00A61463">
        <w:t xml:space="preserve">Studies submitted in </w:t>
      </w:r>
      <w:r>
        <w:t>the clinical dossier</w:t>
      </w:r>
    </w:p>
    <w:p w14:paraId="79A6DA61" w14:textId="77777777" w:rsidR="00180128" w:rsidRPr="00246498" w:rsidRDefault="00246498" w:rsidP="00246498">
      <w:r>
        <w:rPr>
          <w:noProof/>
          <w:lang w:eastAsia="en-AU"/>
        </w:rPr>
        <w:drawing>
          <wp:inline distT="0" distB="0" distL="0" distR="0" wp14:anchorId="58A00693" wp14:editId="0E291FBB">
            <wp:extent cx="5400040" cy="6215380"/>
            <wp:effectExtent l="0" t="0" r="0" b="0"/>
            <wp:docPr id="4" name="Picture 4" descr="Studies submitted in the clinical 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6215380"/>
                    </a:xfrm>
                    <a:prstGeom prst="rect">
                      <a:avLst/>
                    </a:prstGeom>
                  </pic:spPr>
                </pic:pic>
              </a:graphicData>
            </a:graphic>
          </wp:inline>
        </w:drawing>
      </w:r>
    </w:p>
    <w:p w14:paraId="1114AA49" w14:textId="77777777" w:rsidR="00180128" w:rsidRDefault="00180128" w:rsidP="00246498">
      <w:pPr>
        <w:pStyle w:val="Heading4"/>
      </w:pPr>
      <w:r w:rsidRPr="003F08CF">
        <w:t>Pharmacology</w:t>
      </w:r>
    </w:p>
    <w:p w14:paraId="60D56D7D" w14:textId="264D0729" w:rsidR="00180128" w:rsidRDefault="00180128" w:rsidP="00246498">
      <w:pPr>
        <w:rPr>
          <w:rFonts w:asciiTheme="minorHAnsi" w:hAnsiTheme="minorHAnsi"/>
        </w:rPr>
      </w:pPr>
      <w:proofErr w:type="spellStart"/>
      <w:r>
        <w:rPr>
          <w:rFonts w:asciiTheme="minorHAnsi" w:hAnsiTheme="minorHAnsi"/>
        </w:rPr>
        <w:t>Acalabrutinib</w:t>
      </w:r>
      <w:proofErr w:type="spellEnd"/>
      <w:r>
        <w:rPr>
          <w:rFonts w:asciiTheme="minorHAnsi" w:hAnsiTheme="minorHAnsi"/>
        </w:rPr>
        <w:t xml:space="preserve"> is rapidly absorbed, achieving a peak plasma concentration in 0.75 hours with an absolute bioavailability of 25%. It is highly bound to plasma proteins (98%) with a volume of distribution of 34 litres and a </w:t>
      </w:r>
      <w:r w:rsidR="00CB6CD2">
        <w:rPr>
          <w:rFonts w:asciiTheme="minorHAnsi" w:hAnsiTheme="minorHAnsi"/>
        </w:rPr>
        <w:t xml:space="preserve">blood/plasma ratio of 0.7 to </w:t>
      </w:r>
      <w:r w:rsidR="005972D4">
        <w:rPr>
          <w:rFonts w:asciiTheme="minorHAnsi" w:hAnsiTheme="minorHAnsi"/>
        </w:rPr>
        <w:t>0.8.</w:t>
      </w:r>
    </w:p>
    <w:p w14:paraId="76D62C5F" w14:textId="01514871" w:rsidR="00180128" w:rsidRDefault="00180128" w:rsidP="00246498">
      <w:pPr>
        <w:rPr>
          <w:rFonts w:asciiTheme="minorHAnsi" w:hAnsiTheme="minorHAnsi"/>
        </w:rPr>
      </w:pPr>
      <w:proofErr w:type="spellStart"/>
      <w:r>
        <w:rPr>
          <w:rFonts w:asciiTheme="minorHAnsi" w:hAnsiTheme="minorHAnsi"/>
        </w:rPr>
        <w:t>Acalabrutinib</w:t>
      </w:r>
      <w:proofErr w:type="spellEnd"/>
      <w:r>
        <w:rPr>
          <w:rFonts w:asciiTheme="minorHAnsi" w:hAnsiTheme="minorHAnsi"/>
        </w:rPr>
        <w:t xml:space="preserve"> is primarily metabolised by CYP3A4 enzymes. It has an active major metabolite, ACP-5862, which is less slowly cleared </w:t>
      </w:r>
      <w:r w:rsidR="005021EE" w:rsidRPr="005021EE">
        <w:rPr>
          <w:rFonts w:asciiTheme="minorHAnsi" w:hAnsiTheme="minorHAnsi"/>
        </w:rPr>
        <w:t>and</w:t>
      </w:r>
      <w:r w:rsidR="005021EE">
        <w:rPr>
          <w:rFonts w:asciiTheme="minorHAnsi" w:hAnsiTheme="minorHAnsi"/>
        </w:rPr>
        <w:t xml:space="preserve"> </w:t>
      </w:r>
      <w:r>
        <w:rPr>
          <w:rFonts w:asciiTheme="minorHAnsi" w:hAnsiTheme="minorHAnsi"/>
        </w:rPr>
        <w:t xml:space="preserve">has 50% less BTK inhibitory </w:t>
      </w:r>
      <w:r>
        <w:rPr>
          <w:rFonts w:asciiTheme="minorHAnsi" w:hAnsiTheme="minorHAnsi"/>
        </w:rPr>
        <w:lastRenderedPageBreak/>
        <w:t xml:space="preserve">potency. The terminal half-life </w:t>
      </w:r>
      <w:r w:rsidR="005972D4">
        <w:rPr>
          <w:rFonts w:asciiTheme="minorHAnsi" w:hAnsiTheme="minorHAnsi"/>
        </w:rPr>
        <w:t xml:space="preserve">of </w:t>
      </w:r>
      <w:proofErr w:type="spellStart"/>
      <w:r w:rsidR="005972D4">
        <w:rPr>
          <w:rFonts w:asciiTheme="minorHAnsi" w:hAnsiTheme="minorHAnsi"/>
        </w:rPr>
        <w:t>a</w:t>
      </w:r>
      <w:r>
        <w:rPr>
          <w:rFonts w:asciiTheme="minorHAnsi" w:hAnsiTheme="minorHAnsi"/>
        </w:rPr>
        <w:t>calabrutinib</w:t>
      </w:r>
      <w:proofErr w:type="spellEnd"/>
      <w:r>
        <w:rPr>
          <w:rFonts w:asciiTheme="minorHAnsi" w:hAnsiTheme="minorHAnsi"/>
        </w:rPr>
        <w:t xml:space="preserve"> is 1</w:t>
      </w:r>
      <w:r w:rsidR="00BF780F">
        <w:rPr>
          <w:rFonts w:asciiTheme="minorHAnsi" w:hAnsiTheme="minorHAnsi"/>
        </w:rPr>
        <w:t xml:space="preserve"> to </w:t>
      </w:r>
      <w:r>
        <w:rPr>
          <w:rFonts w:asciiTheme="minorHAnsi" w:hAnsiTheme="minorHAnsi"/>
        </w:rPr>
        <w:t>2 hours, and that of its m</w:t>
      </w:r>
      <w:r w:rsidR="005972D4">
        <w:rPr>
          <w:rFonts w:asciiTheme="minorHAnsi" w:hAnsiTheme="minorHAnsi"/>
        </w:rPr>
        <w:t>etabolite</w:t>
      </w:r>
      <w:r w:rsidR="00BF780F">
        <w:rPr>
          <w:rFonts w:asciiTheme="minorHAnsi" w:hAnsiTheme="minorHAnsi"/>
        </w:rPr>
        <w:t xml:space="preserve"> (ACP</w:t>
      </w:r>
      <w:r w:rsidR="00BF780F">
        <w:rPr>
          <w:rFonts w:asciiTheme="minorHAnsi" w:hAnsiTheme="minorHAnsi"/>
        </w:rPr>
        <w:noBreakHyphen/>
        <w:t>5862),</w:t>
      </w:r>
      <w:r w:rsidR="005972D4">
        <w:rPr>
          <w:rFonts w:asciiTheme="minorHAnsi" w:hAnsiTheme="minorHAnsi"/>
        </w:rPr>
        <w:t xml:space="preserve"> 7 </w:t>
      </w:r>
      <w:r w:rsidR="00246498" w:rsidRPr="005021EE">
        <w:rPr>
          <w:rFonts w:asciiTheme="minorHAnsi" w:hAnsiTheme="minorHAnsi"/>
        </w:rPr>
        <w:t>hours.</w:t>
      </w:r>
    </w:p>
    <w:p w14:paraId="11714228" w14:textId="77777777" w:rsidR="00180128" w:rsidRDefault="005972D4" w:rsidP="00246498">
      <w:pPr>
        <w:rPr>
          <w:rFonts w:asciiTheme="minorHAnsi" w:hAnsiTheme="minorHAnsi"/>
        </w:rPr>
      </w:pPr>
      <w:r>
        <w:rPr>
          <w:rFonts w:asciiTheme="minorHAnsi" w:hAnsiTheme="minorHAnsi"/>
        </w:rPr>
        <w:t>Study ACE-CL-001 was a P</w:t>
      </w:r>
      <w:r w:rsidR="00180128">
        <w:rPr>
          <w:rFonts w:asciiTheme="minorHAnsi" w:hAnsiTheme="minorHAnsi"/>
        </w:rPr>
        <w:t>hase II study whic</w:t>
      </w:r>
      <w:r>
        <w:rPr>
          <w:rFonts w:asciiTheme="minorHAnsi" w:hAnsiTheme="minorHAnsi"/>
        </w:rPr>
        <w:t xml:space="preserve">h examined escalating doses of </w:t>
      </w:r>
      <w:proofErr w:type="spellStart"/>
      <w:r>
        <w:rPr>
          <w:rFonts w:asciiTheme="minorHAnsi" w:hAnsiTheme="minorHAnsi"/>
        </w:rPr>
        <w:t>a</w:t>
      </w:r>
      <w:r w:rsidR="00180128">
        <w:rPr>
          <w:rFonts w:asciiTheme="minorHAnsi" w:hAnsiTheme="minorHAnsi"/>
        </w:rPr>
        <w:t>calabrutinib</w:t>
      </w:r>
      <w:proofErr w:type="spellEnd"/>
      <w:r w:rsidR="00180128">
        <w:rPr>
          <w:rFonts w:asciiTheme="minorHAnsi" w:hAnsiTheme="minorHAnsi"/>
        </w:rPr>
        <w:t xml:space="preserve"> between 100</w:t>
      </w:r>
      <w:r>
        <w:rPr>
          <w:rFonts w:asciiTheme="minorHAnsi" w:hAnsiTheme="minorHAnsi"/>
        </w:rPr>
        <w:t xml:space="preserve"> </w:t>
      </w:r>
      <w:r w:rsidR="00180128">
        <w:rPr>
          <w:rFonts w:asciiTheme="minorHAnsi" w:hAnsiTheme="minorHAnsi"/>
        </w:rPr>
        <w:t>mg and 400</w:t>
      </w:r>
      <w:r>
        <w:rPr>
          <w:rFonts w:asciiTheme="minorHAnsi" w:hAnsiTheme="minorHAnsi"/>
        </w:rPr>
        <w:t xml:space="preserve"> </w:t>
      </w:r>
      <w:r w:rsidR="00180128">
        <w:rPr>
          <w:rFonts w:asciiTheme="minorHAnsi" w:hAnsiTheme="minorHAnsi"/>
        </w:rPr>
        <w:t xml:space="preserve">mg </w:t>
      </w:r>
      <w:r>
        <w:rPr>
          <w:rFonts w:asciiTheme="minorHAnsi" w:hAnsiTheme="minorHAnsi"/>
        </w:rPr>
        <w:t>once daily (</w:t>
      </w:r>
      <w:r w:rsidR="00180128">
        <w:rPr>
          <w:rFonts w:asciiTheme="minorHAnsi" w:hAnsiTheme="minorHAnsi"/>
        </w:rPr>
        <w:t>QD</w:t>
      </w:r>
      <w:r>
        <w:rPr>
          <w:rFonts w:asciiTheme="minorHAnsi" w:hAnsiTheme="minorHAnsi"/>
        </w:rPr>
        <w:t>)</w:t>
      </w:r>
      <w:r w:rsidR="00180128">
        <w:rPr>
          <w:rFonts w:asciiTheme="minorHAnsi" w:hAnsiTheme="minorHAnsi"/>
        </w:rPr>
        <w:t xml:space="preserve"> in 305 patients suffering from CLL. The dose of 100</w:t>
      </w:r>
      <w:r>
        <w:rPr>
          <w:rFonts w:asciiTheme="minorHAnsi" w:hAnsiTheme="minorHAnsi"/>
        </w:rPr>
        <w:t xml:space="preserve"> </w:t>
      </w:r>
      <w:r w:rsidR="00180128">
        <w:rPr>
          <w:rFonts w:asciiTheme="minorHAnsi" w:hAnsiTheme="minorHAnsi"/>
        </w:rPr>
        <w:t>mg was chosen for further development in the treatment of MCL because this dose produced the highest receptor occupancy and lo</w:t>
      </w:r>
      <w:r>
        <w:rPr>
          <w:rFonts w:asciiTheme="minorHAnsi" w:hAnsiTheme="minorHAnsi"/>
        </w:rPr>
        <w:t>west inter-patient variability.</w:t>
      </w:r>
    </w:p>
    <w:p w14:paraId="4103C5EF" w14:textId="4C0F9A0D" w:rsidR="00180128" w:rsidRDefault="00FE1408" w:rsidP="00246498">
      <w:pPr>
        <w:rPr>
          <w:rFonts w:asciiTheme="minorHAnsi" w:hAnsiTheme="minorHAnsi"/>
        </w:rPr>
      </w:pPr>
      <w:r>
        <w:rPr>
          <w:rFonts w:asciiTheme="minorHAnsi" w:hAnsiTheme="minorHAnsi"/>
        </w:rPr>
        <w:t>A</w:t>
      </w:r>
      <w:r w:rsidR="00180128">
        <w:rPr>
          <w:rFonts w:asciiTheme="minorHAnsi" w:hAnsiTheme="minorHAnsi"/>
        </w:rPr>
        <w:t xml:space="preserve">mendments to dosing for concomitant use of strong CYP3A4 inhibitors or inducers, as well as gastric acid reducing agents, </w:t>
      </w:r>
      <w:r>
        <w:rPr>
          <w:rFonts w:asciiTheme="minorHAnsi" w:hAnsiTheme="minorHAnsi"/>
        </w:rPr>
        <w:t>have been suggested, which is</w:t>
      </w:r>
      <w:r w:rsidR="00180128">
        <w:rPr>
          <w:rFonts w:asciiTheme="minorHAnsi" w:hAnsiTheme="minorHAnsi"/>
        </w:rPr>
        <w:t xml:space="preserve"> consistent wi</w:t>
      </w:r>
      <w:r w:rsidR="005972D4">
        <w:rPr>
          <w:rFonts w:asciiTheme="minorHAnsi" w:hAnsiTheme="minorHAnsi"/>
        </w:rPr>
        <w:t>th information proposed by the s</w:t>
      </w:r>
      <w:r w:rsidR="00180128">
        <w:rPr>
          <w:rFonts w:asciiTheme="minorHAnsi" w:hAnsiTheme="minorHAnsi"/>
        </w:rPr>
        <w:t xml:space="preserve">ponsor in the draft </w:t>
      </w:r>
      <w:r w:rsidR="00246498">
        <w:rPr>
          <w:rFonts w:asciiTheme="minorHAnsi" w:hAnsiTheme="minorHAnsi"/>
        </w:rPr>
        <w:t xml:space="preserve">Australian </w:t>
      </w:r>
      <w:r w:rsidR="00BF780F">
        <w:rPr>
          <w:rFonts w:asciiTheme="minorHAnsi" w:hAnsiTheme="minorHAnsi"/>
        </w:rPr>
        <w:t>PI</w:t>
      </w:r>
      <w:r w:rsidR="00246498">
        <w:rPr>
          <w:rFonts w:asciiTheme="minorHAnsi" w:hAnsiTheme="minorHAnsi"/>
        </w:rPr>
        <w:t>.</w:t>
      </w:r>
    </w:p>
    <w:p w14:paraId="48CD2DA7" w14:textId="77777777" w:rsidR="00180128" w:rsidRDefault="00180128" w:rsidP="00246498">
      <w:pPr>
        <w:pStyle w:val="Heading4"/>
      </w:pPr>
      <w:r w:rsidRPr="003F08CF">
        <w:t>Efficacy</w:t>
      </w:r>
    </w:p>
    <w:p w14:paraId="025D329E" w14:textId="77777777" w:rsidR="00180128" w:rsidRDefault="005972D4" w:rsidP="00246498">
      <w:r>
        <w:t>The pivotal Study ACE-LY-004 was a Phase II single arm multi-centre</w:t>
      </w:r>
      <w:r w:rsidR="00180128">
        <w:t xml:space="preserve"> trial that enrolled 124 patients w</w:t>
      </w:r>
      <w:r>
        <w:t xml:space="preserve">ith R/R MCL who received </w:t>
      </w:r>
      <w:proofErr w:type="spellStart"/>
      <w:r>
        <w:t>a</w:t>
      </w:r>
      <w:r w:rsidR="00180128">
        <w:t>calabrutinib</w:t>
      </w:r>
      <w:proofErr w:type="spellEnd"/>
      <w:r w:rsidR="00180128">
        <w:t xml:space="preserve"> 100</w:t>
      </w:r>
      <w:r>
        <w:t xml:space="preserve"> </w:t>
      </w:r>
      <w:r w:rsidR="00180128">
        <w:t xml:space="preserve">mg daily. The trial excluded patients with previous BTK treatment. The primary endpoint was the </w:t>
      </w:r>
      <w:r>
        <w:t>overall response rate (</w:t>
      </w:r>
      <w:r w:rsidR="00180128">
        <w:t>ORR</w:t>
      </w:r>
      <w:r>
        <w:t>)</w:t>
      </w:r>
      <w:r w:rsidR="00180128">
        <w:t xml:space="preserve"> as assessed by investigators using the Lugano (2014) criteria</w:t>
      </w:r>
      <w:r>
        <w:t>.</w:t>
      </w:r>
      <w:r w:rsidR="00180128">
        <w:rPr>
          <w:rStyle w:val="FootnoteReference"/>
          <w:rFonts w:asciiTheme="minorHAnsi" w:hAnsiTheme="minorHAnsi"/>
        </w:rPr>
        <w:footnoteReference w:id="3"/>
      </w:r>
    </w:p>
    <w:p w14:paraId="4C6B8DCC" w14:textId="6909C15E" w:rsidR="00180128" w:rsidRDefault="00180128" w:rsidP="00246498">
      <w:r>
        <w:t>Patients had received an average of 2 prior therapies, with a range of between 1 and 5</w:t>
      </w:r>
      <w:r w:rsidR="005972D4">
        <w:t xml:space="preserve"> (</w:t>
      </w:r>
      <w:r w:rsidR="005972D4">
        <w:fldChar w:fldCharType="begin"/>
      </w:r>
      <w:r w:rsidR="005972D4">
        <w:instrText xml:space="preserve"> REF _Ref25830439 \h </w:instrText>
      </w:r>
      <w:r w:rsidR="005972D4">
        <w:fldChar w:fldCharType="separate"/>
      </w:r>
      <w:r w:rsidR="00574595">
        <w:t xml:space="preserve">Table </w:t>
      </w:r>
      <w:r w:rsidR="00574595">
        <w:rPr>
          <w:noProof/>
        </w:rPr>
        <w:t>4</w:t>
      </w:r>
      <w:r w:rsidR="005972D4">
        <w:fldChar w:fldCharType="end"/>
      </w:r>
      <w:r w:rsidR="005972D4">
        <w:t>)</w:t>
      </w:r>
      <w:r>
        <w:t>. Almost all</w:t>
      </w:r>
      <w:r w:rsidR="005972D4">
        <w:t xml:space="preserve"> patients (95.2%) had received r</w:t>
      </w:r>
      <w:r>
        <w:t>ituximab therapy prior to the trial.</w:t>
      </w:r>
    </w:p>
    <w:p w14:paraId="552BA001" w14:textId="33FEE99A" w:rsidR="00180128" w:rsidRPr="00246498" w:rsidRDefault="00246498" w:rsidP="00246498">
      <w:pPr>
        <w:pStyle w:val="TableTitle"/>
      </w:pPr>
      <w:bookmarkStart w:id="43" w:name="_Ref25830439"/>
      <w:r>
        <w:t xml:space="preserve">Table </w:t>
      </w:r>
      <w:fldSimple w:instr=" SEQ Table \* ARABIC ">
        <w:r w:rsidR="00574595">
          <w:rPr>
            <w:noProof/>
          </w:rPr>
          <w:t>4</w:t>
        </w:r>
      </w:fldSimple>
      <w:bookmarkEnd w:id="43"/>
      <w:r>
        <w:t xml:space="preserve">: </w:t>
      </w:r>
      <w:r w:rsidRPr="00AD13EA">
        <w:t xml:space="preserve">Prior therapies of </w:t>
      </w:r>
      <w:r>
        <w:t xml:space="preserve">patients enrolled in Study </w:t>
      </w:r>
      <w:r w:rsidR="005972D4">
        <w:t>ACE-LY-</w:t>
      </w:r>
      <w:r>
        <w:t>004</w:t>
      </w:r>
      <w:r w:rsidR="00180128" w:rsidRPr="00AD13EA">
        <w:rPr>
          <w:noProof/>
          <w:lang w:eastAsia="en-AU"/>
        </w:rPr>
        <w:drawing>
          <wp:inline distT="0" distB="0" distL="0" distR="0" wp14:anchorId="5AB2F2BE" wp14:editId="1E174A80">
            <wp:extent cx="5759450" cy="4377520"/>
            <wp:effectExtent l="0" t="0" r="0" b="4445"/>
            <wp:docPr id="1" name="Picture 1" descr="Prior therapies of patients enrolled in Study ACE-LY-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377520"/>
                    </a:xfrm>
                    <a:prstGeom prst="rect">
                      <a:avLst/>
                    </a:prstGeom>
                    <a:noFill/>
                    <a:ln>
                      <a:noFill/>
                    </a:ln>
                  </pic:spPr>
                </pic:pic>
              </a:graphicData>
            </a:graphic>
          </wp:inline>
        </w:drawing>
      </w:r>
    </w:p>
    <w:p w14:paraId="05A62F7E" w14:textId="77777777" w:rsidR="00180128" w:rsidRDefault="005972D4" w:rsidP="00246498">
      <w:r>
        <w:t>The results of S</w:t>
      </w:r>
      <w:r w:rsidR="00180128">
        <w:t xml:space="preserve">tudy </w:t>
      </w:r>
      <w:r>
        <w:t>ACE-LY-</w:t>
      </w:r>
      <w:r w:rsidR="00180128">
        <w:t xml:space="preserve">004 indicated an ORR of 80.6%, made up of a majority of patients achieving either </w:t>
      </w:r>
      <w:r>
        <w:t>complete response (</w:t>
      </w:r>
      <w:r w:rsidR="00180128">
        <w:t>CR</w:t>
      </w:r>
      <w:r>
        <w:t>)</w:t>
      </w:r>
      <w:r w:rsidR="00180128">
        <w:t xml:space="preserve"> or </w:t>
      </w:r>
      <w:r>
        <w:t xml:space="preserve">partial response (PR; </w:t>
      </w:r>
      <w:r w:rsidR="00180128">
        <w:t>39.5 and 41.1% respectively).</w:t>
      </w:r>
    </w:p>
    <w:p w14:paraId="5378A22E" w14:textId="73C9946E" w:rsidR="00246498" w:rsidRDefault="00246498" w:rsidP="00246498">
      <w:pPr>
        <w:pStyle w:val="TableTitle"/>
      </w:pPr>
      <w:r>
        <w:lastRenderedPageBreak/>
        <w:t xml:space="preserve">Table </w:t>
      </w:r>
      <w:fldSimple w:instr=" SEQ Table \* ARABIC ">
        <w:r w:rsidR="00574595">
          <w:rPr>
            <w:noProof/>
          </w:rPr>
          <w:t>5</w:t>
        </w:r>
      </w:fldSimple>
      <w:r>
        <w:t xml:space="preserve">: </w:t>
      </w:r>
      <w:r w:rsidRPr="00AD13EA">
        <w:t>S</w:t>
      </w:r>
      <w:r>
        <w:t xml:space="preserve">ummary of results of Study </w:t>
      </w:r>
      <w:r w:rsidR="005972D4">
        <w:t>ACE-LY-</w:t>
      </w:r>
      <w:r>
        <w:t>004</w:t>
      </w:r>
    </w:p>
    <w:p w14:paraId="55F29B65" w14:textId="77777777" w:rsidR="00180128" w:rsidRDefault="00180128" w:rsidP="00246498">
      <w:r w:rsidRPr="00AD13EA">
        <w:rPr>
          <w:noProof/>
          <w:lang w:eastAsia="en-AU"/>
        </w:rPr>
        <w:drawing>
          <wp:inline distT="0" distB="0" distL="0" distR="0" wp14:anchorId="7E91E46B" wp14:editId="3DF4C77F">
            <wp:extent cx="5759450" cy="1967131"/>
            <wp:effectExtent l="0" t="0" r="0" b="0"/>
            <wp:docPr id="3" name="Picture 3" descr="Summary of results of Study ACE-LY-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967131"/>
                    </a:xfrm>
                    <a:prstGeom prst="rect">
                      <a:avLst/>
                    </a:prstGeom>
                    <a:noFill/>
                    <a:ln>
                      <a:noFill/>
                    </a:ln>
                  </pic:spPr>
                </pic:pic>
              </a:graphicData>
            </a:graphic>
          </wp:inline>
        </w:drawing>
      </w:r>
    </w:p>
    <w:p w14:paraId="574065FB" w14:textId="77777777" w:rsidR="00180128" w:rsidRDefault="00180128" w:rsidP="00246498">
      <w:r>
        <w:t xml:space="preserve">The median </w:t>
      </w:r>
      <w:r w:rsidR="005972D4">
        <w:t xml:space="preserve">duration of response </w:t>
      </w:r>
      <w:r>
        <w:t>(DOR) was not achieved, being 11.8</w:t>
      </w:r>
      <w:r w:rsidR="005972D4">
        <w:t xml:space="preserve"> months for the first q</w:t>
      </w:r>
      <w:r w:rsidR="00246498">
        <w:t>uartile.</w:t>
      </w:r>
    </w:p>
    <w:p w14:paraId="5C95246D" w14:textId="44AE7F4F" w:rsidR="00246498" w:rsidRDefault="00246498" w:rsidP="00246498">
      <w:pPr>
        <w:pStyle w:val="FigureTitle"/>
      </w:pPr>
      <w:r>
        <w:t xml:space="preserve">Figure </w:t>
      </w:r>
      <w:fldSimple w:instr=" SEQ Figure \* ARABIC ">
        <w:r w:rsidR="00574595">
          <w:rPr>
            <w:noProof/>
          </w:rPr>
          <w:t>1</w:t>
        </w:r>
      </w:fldSimple>
      <w:r>
        <w:t xml:space="preserve">: </w:t>
      </w:r>
      <w:r w:rsidRPr="00633547">
        <w:t>Duration of respons</w:t>
      </w:r>
      <w:r>
        <w:t xml:space="preserve">e for </w:t>
      </w:r>
      <w:proofErr w:type="spellStart"/>
      <w:r>
        <w:t>acalabrutinib</w:t>
      </w:r>
      <w:proofErr w:type="spellEnd"/>
      <w:r>
        <w:t xml:space="preserve"> responders</w:t>
      </w:r>
    </w:p>
    <w:p w14:paraId="60A3460F" w14:textId="77777777" w:rsidR="00180128" w:rsidRDefault="00246498" w:rsidP="00246498">
      <w:r>
        <w:rPr>
          <w:noProof/>
          <w:lang w:eastAsia="en-AU"/>
        </w:rPr>
        <w:drawing>
          <wp:inline distT="0" distB="0" distL="0" distR="0" wp14:anchorId="729618E4" wp14:editId="0345E728">
            <wp:extent cx="5400040" cy="3592830"/>
            <wp:effectExtent l="0" t="0" r="0" b="7620"/>
            <wp:docPr id="6" name="Picture 6" descr="Duration of response for acalabrutinib respo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3592830"/>
                    </a:xfrm>
                    <a:prstGeom prst="rect">
                      <a:avLst/>
                    </a:prstGeom>
                  </pic:spPr>
                </pic:pic>
              </a:graphicData>
            </a:graphic>
          </wp:inline>
        </w:drawing>
      </w:r>
    </w:p>
    <w:p w14:paraId="72C38CD5" w14:textId="77777777" w:rsidR="00180128" w:rsidRDefault="00180128" w:rsidP="00246498">
      <w:pPr>
        <w:pStyle w:val="Heading4"/>
      </w:pPr>
      <w:r w:rsidRPr="003F08CF">
        <w:t>Safety</w:t>
      </w:r>
    </w:p>
    <w:p w14:paraId="52FEA9FC" w14:textId="2A181921" w:rsidR="00180128" w:rsidRDefault="00180128" w:rsidP="005972D4">
      <w:proofErr w:type="spellStart"/>
      <w:r w:rsidRPr="00204954">
        <w:t>Acalabrutinib</w:t>
      </w:r>
      <w:proofErr w:type="spellEnd"/>
      <w:r w:rsidRPr="00204954">
        <w:t xml:space="preserve"> was generally well tolerated</w:t>
      </w:r>
      <w:r w:rsidR="005972D4">
        <w:t xml:space="preserve"> in the trial population. The s</w:t>
      </w:r>
      <w:r>
        <w:t>ponsor assessed two saf</w:t>
      </w:r>
      <w:r w:rsidR="005972D4">
        <w:t>ety populations in addition to S</w:t>
      </w:r>
      <w:r>
        <w:t xml:space="preserve">tudy </w:t>
      </w:r>
      <w:r w:rsidR="005972D4">
        <w:t>ACE-LY-</w:t>
      </w:r>
      <w:r>
        <w:t xml:space="preserve">004. </w:t>
      </w:r>
      <w:r w:rsidR="005972D4">
        <w:t>Integrated Summary of Safety (</w:t>
      </w:r>
      <w:r>
        <w:t>ISS</w:t>
      </w:r>
      <w:r w:rsidR="005972D4">
        <w:t>)</w:t>
      </w:r>
      <w:r>
        <w:t>-100</w:t>
      </w:r>
      <w:r w:rsidR="005021EE">
        <w:t xml:space="preserve"> (a subset of the ISS-All population)</w:t>
      </w:r>
      <w:r>
        <w:t xml:space="preserve"> consisted of 442 patients who had received 100</w:t>
      </w:r>
      <w:r w:rsidR="005972D4">
        <w:t xml:space="preserve"> mg </w:t>
      </w:r>
      <w:proofErr w:type="spellStart"/>
      <w:r w:rsidR="005972D4">
        <w:t>a</w:t>
      </w:r>
      <w:r>
        <w:t>calabrutinib</w:t>
      </w:r>
      <w:proofErr w:type="spellEnd"/>
      <w:r>
        <w:t xml:space="preserve"> </w:t>
      </w:r>
      <w:r w:rsidR="005972D4">
        <w:t>twice daily (</w:t>
      </w:r>
      <w:r>
        <w:t>BD</w:t>
      </w:r>
      <w:r w:rsidR="005972D4">
        <w:t>)</w:t>
      </w:r>
      <w:r>
        <w:t xml:space="preserve"> monotherapy for haematological malignancies, and ISS-ALL compr</w:t>
      </w:r>
      <w:r w:rsidR="005972D4">
        <w:t xml:space="preserve">ised 610 patients who received </w:t>
      </w:r>
      <w:proofErr w:type="spellStart"/>
      <w:r w:rsidR="005972D4">
        <w:t>a</w:t>
      </w:r>
      <w:r>
        <w:t>calabr</w:t>
      </w:r>
      <w:r w:rsidR="00246498">
        <w:t>utinib</w:t>
      </w:r>
      <w:proofErr w:type="spellEnd"/>
      <w:r w:rsidR="00246498">
        <w:t xml:space="preserve"> monotherapy at any dose.</w:t>
      </w:r>
    </w:p>
    <w:p w14:paraId="0ECC03E3" w14:textId="7871D9CC" w:rsidR="00180128" w:rsidRDefault="00180128" w:rsidP="005972D4">
      <w:r>
        <w:t>The majority of patients in the safety population had received &gt;</w:t>
      </w:r>
      <w:r w:rsidR="005972D4">
        <w:t xml:space="preserve"> </w:t>
      </w:r>
      <w:r>
        <w:t xml:space="preserve">12 months of </w:t>
      </w:r>
      <w:r w:rsidR="005972D4">
        <w:t xml:space="preserve">exposure to </w:t>
      </w:r>
      <w:proofErr w:type="spellStart"/>
      <w:r w:rsidR="005972D4">
        <w:t>a</w:t>
      </w:r>
      <w:r>
        <w:t>calabrutinib</w:t>
      </w:r>
      <w:proofErr w:type="spellEnd"/>
      <w:r w:rsidR="005972D4">
        <w:t xml:space="preserve"> (</w:t>
      </w:r>
      <w:r w:rsidR="005972D4">
        <w:fldChar w:fldCharType="begin"/>
      </w:r>
      <w:r w:rsidR="005972D4">
        <w:instrText xml:space="preserve"> REF _Ref25831244 \h </w:instrText>
      </w:r>
      <w:r w:rsidR="005972D4">
        <w:fldChar w:fldCharType="separate"/>
      </w:r>
      <w:r w:rsidR="00574595">
        <w:t xml:space="preserve">Table </w:t>
      </w:r>
      <w:r w:rsidR="00574595">
        <w:rPr>
          <w:noProof/>
        </w:rPr>
        <w:t>6</w:t>
      </w:r>
      <w:r w:rsidR="005972D4">
        <w:fldChar w:fldCharType="end"/>
      </w:r>
      <w:r w:rsidR="005972D4">
        <w:t>)</w:t>
      </w:r>
      <w:r>
        <w:t>.</w:t>
      </w:r>
    </w:p>
    <w:p w14:paraId="43BDDF0D" w14:textId="1E03FA88" w:rsidR="00246498" w:rsidRDefault="00246498" w:rsidP="00246498">
      <w:pPr>
        <w:pStyle w:val="TableTitle"/>
      </w:pPr>
      <w:bookmarkStart w:id="44" w:name="_Ref25831244"/>
      <w:r>
        <w:lastRenderedPageBreak/>
        <w:t xml:space="preserve">Table </w:t>
      </w:r>
      <w:fldSimple w:instr=" SEQ Table \* ARABIC ">
        <w:r w:rsidR="00574595">
          <w:rPr>
            <w:noProof/>
          </w:rPr>
          <w:t>6</w:t>
        </w:r>
      </w:fldSimple>
      <w:bookmarkEnd w:id="44"/>
      <w:r>
        <w:t xml:space="preserve">: </w:t>
      </w:r>
      <w:r w:rsidRPr="00DA6037">
        <w:t>Exposure</w:t>
      </w:r>
      <w:r>
        <w:t xml:space="preserve"> in safety evaluation datasets</w:t>
      </w:r>
    </w:p>
    <w:p w14:paraId="6622C96A" w14:textId="77777777" w:rsidR="00180128" w:rsidRDefault="00180128" w:rsidP="00246498">
      <w:r w:rsidRPr="00DA6037">
        <w:rPr>
          <w:noProof/>
          <w:lang w:eastAsia="en-AU"/>
        </w:rPr>
        <w:drawing>
          <wp:inline distT="0" distB="0" distL="0" distR="0" wp14:anchorId="2BC1949E" wp14:editId="3C6F35E3">
            <wp:extent cx="5759450" cy="1598638"/>
            <wp:effectExtent l="0" t="0" r="0" b="1905"/>
            <wp:docPr id="10" name="Picture 10" descr="Exposure in safety evaluation data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598638"/>
                    </a:xfrm>
                    <a:prstGeom prst="rect">
                      <a:avLst/>
                    </a:prstGeom>
                    <a:noFill/>
                    <a:ln>
                      <a:noFill/>
                    </a:ln>
                  </pic:spPr>
                </pic:pic>
              </a:graphicData>
            </a:graphic>
          </wp:inline>
        </w:drawing>
      </w:r>
    </w:p>
    <w:p w14:paraId="5F95E396" w14:textId="422CDA0F" w:rsidR="00180128" w:rsidRDefault="00180128" w:rsidP="00246498">
      <w:r>
        <w:t xml:space="preserve">Serious adverse events </w:t>
      </w:r>
      <w:r w:rsidR="005972D4">
        <w:t xml:space="preserve">(SAE) </w:t>
      </w:r>
      <w:r>
        <w:t>were reported in 38.7% of patients. The most common of these were pneumonia, an</w:t>
      </w:r>
      <w:r w:rsidR="00BF780F">
        <w:t>a</w:t>
      </w:r>
      <w:r>
        <w:t>emia, sepsis, tumo</w:t>
      </w:r>
      <w:r w:rsidR="00BF780F">
        <w:t>u</w:t>
      </w:r>
      <w:r>
        <w:t xml:space="preserve">r lysis syndrome and vomiting. Treatment discontinuation due to any adverse event occurred in 6.5% of patients, with no particular adverse event </w:t>
      </w:r>
      <w:r w:rsidR="005972D4">
        <w:t xml:space="preserve">(AE) </w:t>
      </w:r>
      <w:r>
        <w:t>being prominent as a cause of discontinuation.</w:t>
      </w:r>
    </w:p>
    <w:p w14:paraId="1448E9E8" w14:textId="79A63A6C" w:rsidR="00246498" w:rsidRDefault="00246498" w:rsidP="00246498">
      <w:pPr>
        <w:pStyle w:val="TableTitle"/>
      </w:pPr>
      <w:r>
        <w:t xml:space="preserve">Table </w:t>
      </w:r>
      <w:fldSimple w:instr=" SEQ Table \* ARABIC ">
        <w:r w:rsidR="00574595">
          <w:rPr>
            <w:noProof/>
          </w:rPr>
          <w:t>7</w:t>
        </w:r>
      </w:fldSimple>
      <w:r>
        <w:t xml:space="preserve">: </w:t>
      </w:r>
      <w:r w:rsidRPr="00246498">
        <w:t>Serious adverse events</w:t>
      </w:r>
      <w:r>
        <w:t xml:space="preserve"> occurring in &gt; 2% in Study </w:t>
      </w:r>
      <w:r w:rsidR="005972D4">
        <w:t>ACE-LY-</w:t>
      </w:r>
      <w:r>
        <w:t>004</w:t>
      </w:r>
    </w:p>
    <w:p w14:paraId="4C4218C9" w14:textId="77777777" w:rsidR="00180128" w:rsidRDefault="00180128" w:rsidP="00246498">
      <w:pPr>
        <w:rPr>
          <w:rFonts w:asciiTheme="minorHAnsi" w:hAnsiTheme="minorHAnsi"/>
          <w:sz w:val="20"/>
        </w:rPr>
      </w:pPr>
      <w:r w:rsidRPr="00DA6037">
        <w:rPr>
          <w:rFonts w:asciiTheme="minorHAnsi" w:hAnsiTheme="minorHAnsi"/>
          <w:noProof/>
          <w:sz w:val="20"/>
          <w:lang w:eastAsia="en-AU"/>
        </w:rPr>
        <w:drawing>
          <wp:inline distT="0" distB="0" distL="0" distR="0" wp14:anchorId="117310B2" wp14:editId="06543E3B">
            <wp:extent cx="5759450" cy="1526277"/>
            <wp:effectExtent l="0" t="0" r="0" b="0"/>
            <wp:docPr id="11" name="Picture 11" descr="Serious adverse events occurring in &gt; 2% in Study ACE-LY-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1526277"/>
                    </a:xfrm>
                    <a:prstGeom prst="rect">
                      <a:avLst/>
                    </a:prstGeom>
                    <a:noFill/>
                    <a:ln>
                      <a:noFill/>
                    </a:ln>
                  </pic:spPr>
                </pic:pic>
              </a:graphicData>
            </a:graphic>
          </wp:inline>
        </w:drawing>
      </w:r>
    </w:p>
    <w:p w14:paraId="1EBDB701" w14:textId="77777777" w:rsidR="00180128" w:rsidRDefault="00180128" w:rsidP="005972D4">
      <w:r w:rsidRPr="00DA6037">
        <w:t>Overall</w:t>
      </w:r>
      <w:r>
        <w:t xml:space="preserve"> the most common non-haematological adverse reactions were headache (37.9%), </w:t>
      </w:r>
      <w:proofErr w:type="spellStart"/>
      <w:r>
        <w:t>diarrhea</w:t>
      </w:r>
      <w:proofErr w:type="spellEnd"/>
      <w:r>
        <w:t xml:space="preserve"> (30.6%), fatigue (27.4%), myalgia (21.0%) and bruising. None of these were severe enough to lead</w:t>
      </w:r>
      <w:r w:rsidR="00246498">
        <w:t xml:space="preserve"> to treatment discontinuation. </w:t>
      </w:r>
    </w:p>
    <w:p w14:paraId="6F226EFD" w14:textId="77777777" w:rsidR="00180128" w:rsidRDefault="00180128" w:rsidP="005972D4">
      <w:r>
        <w:t xml:space="preserve">Overall, anaemia occurred in 46.0%, </w:t>
      </w:r>
      <w:proofErr w:type="spellStart"/>
      <w:r>
        <w:t>thrombocytopaenia</w:t>
      </w:r>
      <w:proofErr w:type="spellEnd"/>
      <w:r>
        <w:t xml:space="preserve"> in 44.4% and reduced neutrop</w:t>
      </w:r>
      <w:r w:rsidR="00246498">
        <w:t>hil count in 36.3% of patients.</w:t>
      </w:r>
    </w:p>
    <w:p w14:paraId="1708C0A5" w14:textId="77777777" w:rsidR="00456765" w:rsidRPr="00180128" w:rsidRDefault="00180128" w:rsidP="005972D4">
      <w:r>
        <w:t xml:space="preserve">There </w:t>
      </w:r>
      <w:r w:rsidR="005972D4">
        <w:t xml:space="preserve">were no deaths attributable to </w:t>
      </w:r>
      <w:proofErr w:type="spellStart"/>
      <w:r w:rsidR="005972D4">
        <w:t>a</w:t>
      </w:r>
      <w:r>
        <w:t>calabrutinib</w:t>
      </w:r>
      <w:proofErr w:type="spellEnd"/>
      <w:r>
        <w:t xml:space="preserve"> treatment.</w:t>
      </w:r>
    </w:p>
    <w:p w14:paraId="45D34099" w14:textId="77777777" w:rsidR="008E7846" w:rsidRDefault="00386150" w:rsidP="007B6132">
      <w:pPr>
        <w:pStyle w:val="Heading3"/>
        <w:rPr>
          <w:lang w:eastAsia="en-AU"/>
        </w:rPr>
      </w:pPr>
      <w:bookmarkStart w:id="45" w:name="_Toc34134751"/>
      <w:r>
        <w:rPr>
          <w:lang w:eastAsia="en-AU"/>
        </w:rPr>
        <w:t>Risk m</w:t>
      </w:r>
      <w:r w:rsidR="008E7846">
        <w:rPr>
          <w:lang w:eastAsia="en-AU"/>
        </w:rPr>
        <w:t xml:space="preserve">anagement </w:t>
      </w:r>
      <w:r>
        <w:rPr>
          <w:lang w:eastAsia="en-AU"/>
        </w:rPr>
        <w:t>p</w:t>
      </w:r>
      <w:r w:rsidR="008E7846">
        <w:rPr>
          <w:lang w:eastAsia="en-AU"/>
        </w:rPr>
        <w:t>lan</w:t>
      </w:r>
      <w:bookmarkEnd w:id="41"/>
      <w:bookmarkEnd w:id="45"/>
    </w:p>
    <w:p w14:paraId="5462126F" w14:textId="77777777" w:rsidR="006B7E35" w:rsidRDefault="006B7E35" w:rsidP="006B7E35">
      <w:r>
        <w:t>Summary from the risk management plan (RMP):</w:t>
      </w:r>
    </w:p>
    <w:p w14:paraId="6E49EA98" w14:textId="36DF932F" w:rsidR="00180128" w:rsidRPr="00904A64" w:rsidRDefault="00180128" w:rsidP="00246498">
      <w:pPr>
        <w:pStyle w:val="ListBullet"/>
      </w:pPr>
      <w:r w:rsidRPr="00904A64">
        <w:t xml:space="preserve">Submission PM-2019-03536-1-6 proposes to register the new chemical entity, </w:t>
      </w:r>
      <w:proofErr w:type="spellStart"/>
      <w:r w:rsidRPr="00904A64">
        <w:t>acalabrutinib</w:t>
      </w:r>
      <w:proofErr w:type="spellEnd"/>
      <w:r w:rsidRPr="00904A64">
        <w:t xml:space="preserve"> (</w:t>
      </w:r>
      <w:proofErr w:type="spellStart"/>
      <w:r w:rsidRPr="00904A64">
        <w:t>Calquence</w:t>
      </w:r>
      <w:proofErr w:type="spellEnd"/>
      <w:r w:rsidRPr="00904A64">
        <w:t>), through the Comparable Overs</w:t>
      </w:r>
      <w:r w:rsidR="005972D4">
        <w:t>eas Regulator (COR</w:t>
      </w:r>
      <w:r w:rsidRPr="00904A64">
        <w:t>)</w:t>
      </w:r>
      <w:r w:rsidR="006C7A14">
        <w:t>;</w:t>
      </w:r>
      <w:r w:rsidR="00A6390C">
        <w:fldChar w:fldCharType="begin"/>
      </w:r>
      <w:r w:rsidR="00A6390C">
        <w:instrText xml:space="preserve"> NOTEREF _Ref32819904 \f \h </w:instrText>
      </w:r>
      <w:r w:rsidR="00A6390C">
        <w:fldChar w:fldCharType="separate"/>
      </w:r>
      <w:r w:rsidR="00A6390C" w:rsidRPr="00A6390C">
        <w:rPr>
          <w:rStyle w:val="FootnoteReference"/>
        </w:rPr>
        <w:t>1</w:t>
      </w:r>
      <w:r w:rsidR="00A6390C">
        <w:fldChar w:fldCharType="end"/>
      </w:r>
      <w:r w:rsidRPr="00904A64">
        <w:t xml:space="preserve"> and Provisional registration pathways. In this submission </w:t>
      </w:r>
      <w:proofErr w:type="spellStart"/>
      <w:r w:rsidRPr="00904A64">
        <w:t>Calquence</w:t>
      </w:r>
      <w:proofErr w:type="spellEnd"/>
      <w:r w:rsidRPr="00904A64">
        <w:t xml:space="preserve"> is proposed to be used for the treatment </w:t>
      </w:r>
      <w:r w:rsidRPr="00246498">
        <w:t xml:space="preserve">of </w:t>
      </w:r>
      <w:r w:rsidR="006C7A14">
        <w:t>MCL</w:t>
      </w:r>
      <w:r w:rsidRPr="00246498">
        <w:t xml:space="preserve"> in patients who have received at least one prior therapy. Th</w:t>
      </w:r>
      <w:r w:rsidRPr="00904A64">
        <w:t>e proposed dosing regimen involves oral administration of one capsule (100 mg) twice daily until disease progression or unacceptable toxicity.</w:t>
      </w:r>
    </w:p>
    <w:p w14:paraId="24B9CE85" w14:textId="24F77B2A" w:rsidR="00180128" w:rsidRPr="00904A64" w:rsidRDefault="005972D4" w:rsidP="00246498">
      <w:pPr>
        <w:pStyle w:val="ListBullet"/>
      </w:pPr>
      <w:r>
        <w:t>The sponsor</w:t>
      </w:r>
      <w:r w:rsidR="00180128" w:rsidRPr="00904A64">
        <w:t xml:space="preserve"> has submitted Core </w:t>
      </w:r>
      <w:r w:rsidR="006C7A14">
        <w:t>RMP</w:t>
      </w:r>
      <w:r w:rsidR="00180128" w:rsidRPr="00904A64">
        <w:t xml:space="preserve"> version 1.0 (date 26 February 2018; </w:t>
      </w:r>
      <w:r>
        <w:t>data lock point (</w:t>
      </w:r>
      <w:r w:rsidR="00180128" w:rsidRPr="00904A64">
        <w:t>DLP</w:t>
      </w:r>
      <w:r>
        <w:t>)</w:t>
      </w:r>
      <w:r w:rsidR="00180128" w:rsidRPr="00904A64">
        <w:t xml:space="preserve"> 29 May 2017 (Study ACE-LY-004), 3 April 2017 (Study</w:t>
      </w:r>
      <w:r w:rsidR="006C7A14">
        <w:t> </w:t>
      </w:r>
      <w:r w:rsidR="00180128" w:rsidRPr="00904A64">
        <w:t>ACE-CL-001), 1 June 2017 (Studies ACE-WM-00, 15-H-0016, ACE-LY-002, ACE</w:t>
      </w:r>
      <w:r w:rsidR="006C7A14">
        <w:noBreakHyphen/>
      </w:r>
      <w:r w:rsidR="00180128" w:rsidRPr="00904A64">
        <w:t>LY-003</w:t>
      </w:r>
      <w:r w:rsidR="006C7A14">
        <w:t xml:space="preserve"> and</w:t>
      </w:r>
      <w:r w:rsidR="00180128" w:rsidRPr="00904A64">
        <w:t xml:space="preserve"> ACE-MY-001)) and </w:t>
      </w:r>
      <w:r>
        <w:t xml:space="preserve">Australian </w:t>
      </w:r>
      <w:r w:rsidR="006C7A14">
        <w:t xml:space="preserve">specific </w:t>
      </w:r>
      <w:r>
        <w:t>Annex (</w:t>
      </w:r>
      <w:r w:rsidR="00180128" w:rsidRPr="00904A64">
        <w:t>ASA</w:t>
      </w:r>
      <w:r>
        <w:t>)</w:t>
      </w:r>
      <w:r w:rsidR="00180128" w:rsidRPr="00904A64">
        <w:t xml:space="preserve"> version 1.0 (date 25 July 2019) in support of application PM-2019-03536-1-6. After </w:t>
      </w:r>
      <w:r>
        <w:t>the first round</w:t>
      </w:r>
      <w:r w:rsidR="00180128" w:rsidRPr="00904A64">
        <w:t xml:space="preserve"> evaluation the sponsor provided updated Core </w:t>
      </w:r>
      <w:r w:rsidR="006C7A14">
        <w:t>RMP</w:t>
      </w:r>
      <w:r w:rsidR="00180128" w:rsidRPr="00904A64">
        <w:t xml:space="preserve"> version 2 (date 19 August 2019; DLP 8 February 2019) and ASA version 1.0 Succession 2 (date 20 September 2019) which are acceptable for evaluation for both </w:t>
      </w:r>
      <w:r w:rsidR="002E44AD">
        <w:t>submissions</w:t>
      </w:r>
      <w:r w:rsidR="002E44AD" w:rsidRPr="00904A64">
        <w:t xml:space="preserve"> </w:t>
      </w:r>
      <w:r w:rsidR="00180128" w:rsidRPr="00904A64">
        <w:t>PM-2019-03536-1-6 and PM-2019-04317-1-6.</w:t>
      </w:r>
      <w:r>
        <w:t xml:space="preserve"> After </w:t>
      </w:r>
      <w:r>
        <w:lastRenderedPageBreak/>
        <w:t>the second round</w:t>
      </w:r>
      <w:r w:rsidR="00180128">
        <w:t xml:space="preserve"> evaluation the sponsor provided updated ASA version 1.0 Succession 3 (date </w:t>
      </w:r>
      <w:r w:rsidR="00180128" w:rsidRPr="00941367">
        <w:t>8</w:t>
      </w:r>
      <w:r w:rsidR="002E44AD">
        <w:t> </w:t>
      </w:r>
      <w:r w:rsidR="00180128" w:rsidRPr="00941367">
        <w:t>November 2019</w:t>
      </w:r>
      <w:r w:rsidR="00180128">
        <w:t>).</w:t>
      </w:r>
    </w:p>
    <w:p w14:paraId="07347D31" w14:textId="1D7BB145" w:rsidR="00180128" w:rsidRPr="00904A64" w:rsidRDefault="00180128" w:rsidP="00246498">
      <w:pPr>
        <w:pStyle w:val="ListBullet"/>
      </w:pPr>
      <w:r w:rsidRPr="00904A64">
        <w:t>Evaluation o</w:t>
      </w:r>
      <w:r w:rsidR="00FC15A1">
        <w:t xml:space="preserve">f submissions </w:t>
      </w:r>
      <w:r w:rsidR="00FC15A1" w:rsidRPr="00904A64">
        <w:t>PM-2019-03536-1-6 and PM-2019-04317-1-6</w:t>
      </w:r>
      <w:r w:rsidR="00FC15A1">
        <w:t xml:space="preserve"> is</w:t>
      </w:r>
      <w:r w:rsidRPr="00904A64">
        <w:t xml:space="preserve"> contained in</w:t>
      </w:r>
      <w:r w:rsidR="005972D4">
        <w:t xml:space="preserve"> a single RMP evaluation report.</w:t>
      </w:r>
    </w:p>
    <w:p w14:paraId="03B36F1C" w14:textId="2BD512A3" w:rsidR="00180128" w:rsidRDefault="00180128" w:rsidP="00246498">
      <w:pPr>
        <w:pStyle w:val="ListBullet"/>
      </w:pPr>
      <w:r w:rsidRPr="00904A64">
        <w:t>The proposed summary of safety concerns and their associated risk monitoring and mitigation strategies for both s</w:t>
      </w:r>
      <w:r w:rsidR="005972D4">
        <w:t xml:space="preserve">ubmissions are summarised in </w:t>
      </w:r>
      <w:r w:rsidR="005972D4">
        <w:fldChar w:fldCharType="begin"/>
      </w:r>
      <w:r w:rsidR="005972D4">
        <w:instrText xml:space="preserve"> REF _Ref25831563 \h </w:instrText>
      </w:r>
      <w:r w:rsidR="005972D4">
        <w:fldChar w:fldCharType="separate"/>
      </w:r>
      <w:r w:rsidR="00574595">
        <w:t xml:space="preserve">Table </w:t>
      </w:r>
      <w:r w:rsidR="00574595">
        <w:rPr>
          <w:noProof/>
        </w:rPr>
        <w:t>8</w:t>
      </w:r>
      <w:r w:rsidR="005972D4">
        <w:fldChar w:fldCharType="end"/>
      </w:r>
      <w:r w:rsidR="005972D4">
        <w:t>.</w:t>
      </w:r>
      <w:r w:rsidR="00CB3937" w:rsidRPr="00CB3937">
        <w:rPr>
          <w:rStyle w:val="FootnoteReference"/>
          <w:lang w:eastAsia="en-AU"/>
        </w:rPr>
        <w:t xml:space="preserve"> </w:t>
      </w:r>
      <w:r w:rsidR="00CB3937">
        <w:rPr>
          <w:rStyle w:val="FootnoteReference"/>
          <w:lang w:eastAsia="en-AU"/>
        </w:rPr>
        <w:footnoteReference w:id="4"/>
      </w:r>
    </w:p>
    <w:p w14:paraId="15BA4264" w14:textId="1827835D" w:rsidR="008E7846" w:rsidRDefault="00246498" w:rsidP="00246498">
      <w:pPr>
        <w:pStyle w:val="TableTitle"/>
      </w:pPr>
      <w:bookmarkStart w:id="46" w:name="_Ref25831563"/>
      <w:r>
        <w:t xml:space="preserve">Table </w:t>
      </w:r>
      <w:fldSimple w:instr=" SEQ Table \* ARABIC ">
        <w:r w:rsidR="00574595">
          <w:rPr>
            <w:noProof/>
          </w:rPr>
          <w:t>8</w:t>
        </w:r>
      </w:fldSimple>
      <w:bookmarkEnd w:id="46"/>
      <w:r>
        <w:t>: Summary of safety concerns</w:t>
      </w:r>
    </w:p>
    <w:tbl>
      <w:tblPr>
        <w:tblStyle w:val="TableTGAblue"/>
        <w:tblW w:w="8949" w:type="dxa"/>
        <w:tblLayout w:type="fixed"/>
        <w:tblLook w:val="04A0" w:firstRow="1" w:lastRow="0" w:firstColumn="1" w:lastColumn="0" w:noHBand="0" w:noVBand="1"/>
      </w:tblPr>
      <w:tblGrid>
        <w:gridCol w:w="1384"/>
        <w:gridCol w:w="3260"/>
        <w:gridCol w:w="993"/>
        <w:gridCol w:w="1134"/>
        <w:gridCol w:w="992"/>
        <w:gridCol w:w="1186"/>
      </w:tblGrid>
      <w:tr w:rsidR="00180128" w:rsidRPr="00246498" w14:paraId="1F94B631" w14:textId="77777777" w:rsidTr="006B7E35">
        <w:trPr>
          <w:cnfStyle w:val="100000000000" w:firstRow="1" w:lastRow="0" w:firstColumn="0" w:lastColumn="0" w:oddVBand="0" w:evenVBand="0" w:oddHBand="0" w:evenHBand="0" w:firstRowFirstColumn="0" w:firstRowLastColumn="0" w:lastRowFirstColumn="0" w:lastRowLastColumn="0"/>
          <w:trHeight w:val="131"/>
        </w:trPr>
        <w:tc>
          <w:tcPr>
            <w:tcW w:w="4644" w:type="dxa"/>
            <w:gridSpan w:val="2"/>
            <w:vMerge w:val="restart"/>
          </w:tcPr>
          <w:p w14:paraId="2591B92B" w14:textId="77777777" w:rsidR="00180128" w:rsidRPr="00246498" w:rsidRDefault="00180128" w:rsidP="006B7E35">
            <w:pPr>
              <w:ind w:left="0" w:right="0"/>
              <w:rPr>
                <w:sz w:val="20"/>
                <w:szCs w:val="20"/>
              </w:rPr>
            </w:pPr>
            <w:r w:rsidRPr="00246498">
              <w:rPr>
                <w:sz w:val="20"/>
                <w:szCs w:val="20"/>
              </w:rPr>
              <w:t>Summary of safety concerns</w:t>
            </w:r>
          </w:p>
        </w:tc>
        <w:tc>
          <w:tcPr>
            <w:tcW w:w="2127" w:type="dxa"/>
            <w:gridSpan w:val="2"/>
          </w:tcPr>
          <w:p w14:paraId="62795AFF" w14:textId="77777777" w:rsidR="00180128" w:rsidRPr="00246498" w:rsidRDefault="00180128" w:rsidP="006B7E35">
            <w:pPr>
              <w:ind w:left="0" w:right="0"/>
              <w:rPr>
                <w:sz w:val="20"/>
                <w:szCs w:val="20"/>
              </w:rPr>
            </w:pPr>
            <w:r w:rsidRPr="00246498">
              <w:rPr>
                <w:sz w:val="20"/>
                <w:szCs w:val="20"/>
              </w:rPr>
              <w:t>Pharmacovigilance</w:t>
            </w:r>
          </w:p>
        </w:tc>
        <w:tc>
          <w:tcPr>
            <w:tcW w:w="2178" w:type="dxa"/>
            <w:gridSpan w:val="2"/>
          </w:tcPr>
          <w:p w14:paraId="64A4C133" w14:textId="77777777" w:rsidR="00180128" w:rsidRPr="00246498" w:rsidRDefault="00180128" w:rsidP="006B7E35">
            <w:pPr>
              <w:ind w:left="0" w:right="0"/>
              <w:rPr>
                <w:sz w:val="20"/>
                <w:szCs w:val="20"/>
              </w:rPr>
            </w:pPr>
            <w:r w:rsidRPr="00246498">
              <w:rPr>
                <w:sz w:val="20"/>
                <w:szCs w:val="20"/>
              </w:rPr>
              <w:t>Risk Minimisation</w:t>
            </w:r>
          </w:p>
        </w:tc>
      </w:tr>
      <w:tr w:rsidR="00180128" w:rsidRPr="00246498" w14:paraId="3E6D4BB9" w14:textId="77777777" w:rsidTr="006B7E35">
        <w:trPr>
          <w:trHeight w:val="150"/>
        </w:trPr>
        <w:tc>
          <w:tcPr>
            <w:tcW w:w="4644" w:type="dxa"/>
            <w:gridSpan w:val="2"/>
            <w:vMerge/>
          </w:tcPr>
          <w:p w14:paraId="271E4886" w14:textId="77777777" w:rsidR="00180128" w:rsidRPr="00246498" w:rsidRDefault="00180128" w:rsidP="006B7E35">
            <w:pPr>
              <w:ind w:left="0" w:right="0"/>
              <w:rPr>
                <w:b/>
                <w:sz w:val="20"/>
                <w:szCs w:val="20"/>
              </w:rPr>
            </w:pPr>
          </w:p>
        </w:tc>
        <w:tc>
          <w:tcPr>
            <w:tcW w:w="993" w:type="dxa"/>
          </w:tcPr>
          <w:p w14:paraId="4FD10489" w14:textId="77777777" w:rsidR="00180128" w:rsidRPr="00246498" w:rsidRDefault="00180128" w:rsidP="006B7E35">
            <w:pPr>
              <w:ind w:left="0" w:right="0"/>
              <w:rPr>
                <w:sz w:val="20"/>
                <w:szCs w:val="20"/>
              </w:rPr>
            </w:pPr>
            <w:r w:rsidRPr="00246498">
              <w:rPr>
                <w:sz w:val="20"/>
                <w:szCs w:val="20"/>
              </w:rPr>
              <w:t>Routine</w:t>
            </w:r>
          </w:p>
        </w:tc>
        <w:tc>
          <w:tcPr>
            <w:tcW w:w="1134" w:type="dxa"/>
          </w:tcPr>
          <w:p w14:paraId="20A7DD07" w14:textId="77777777" w:rsidR="00180128" w:rsidRPr="00246498" w:rsidRDefault="00180128" w:rsidP="006B7E35">
            <w:pPr>
              <w:ind w:left="0" w:right="0"/>
              <w:rPr>
                <w:sz w:val="20"/>
                <w:szCs w:val="20"/>
              </w:rPr>
            </w:pPr>
            <w:r w:rsidRPr="00246498">
              <w:rPr>
                <w:sz w:val="20"/>
                <w:szCs w:val="20"/>
              </w:rPr>
              <w:t>Additional</w:t>
            </w:r>
          </w:p>
        </w:tc>
        <w:tc>
          <w:tcPr>
            <w:tcW w:w="992" w:type="dxa"/>
          </w:tcPr>
          <w:p w14:paraId="62D7268A" w14:textId="77777777" w:rsidR="00180128" w:rsidRPr="00246498" w:rsidRDefault="00180128" w:rsidP="006B7E35">
            <w:pPr>
              <w:ind w:left="0" w:right="0"/>
              <w:rPr>
                <w:sz w:val="20"/>
                <w:szCs w:val="20"/>
              </w:rPr>
            </w:pPr>
            <w:r w:rsidRPr="00246498">
              <w:rPr>
                <w:sz w:val="20"/>
                <w:szCs w:val="20"/>
              </w:rPr>
              <w:t>Routine</w:t>
            </w:r>
          </w:p>
        </w:tc>
        <w:tc>
          <w:tcPr>
            <w:tcW w:w="1186" w:type="dxa"/>
          </w:tcPr>
          <w:p w14:paraId="72EE6388" w14:textId="77777777" w:rsidR="00180128" w:rsidRPr="00246498" w:rsidRDefault="00180128" w:rsidP="006B7E35">
            <w:pPr>
              <w:ind w:left="0" w:right="0"/>
              <w:rPr>
                <w:sz w:val="20"/>
                <w:szCs w:val="20"/>
              </w:rPr>
            </w:pPr>
            <w:r w:rsidRPr="00246498">
              <w:rPr>
                <w:sz w:val="20"/>
                <w:szCs w:val="20"/>
              </w:rPr>
              <w:t>Additional</w:t>
            </w:r>
          </w:p>
        </w:tc>
      </w:tr>
      <w:tr w:rsidR="00180128" w:rsidRPr="00246498" w14:paraId="025155D6" w14:textId="77777777" w:rsidTr="00A6390C">
        <w:trPr>
          <w:trHeight w:val="137"/>
        </w:trPr>
        <w:tc>
          <w:tcPr>
            <w:tcW w:w="1384" w:type="dxa"/>
            <w:vMerge w:val="restart"/>
          </w:tcPr>
          <w:p w14:paraId="01FEC0AB" w14:textId="77777777" w:rsidR="00180128" w:rsidRPr="00246498" w:rsidRDefault="00180128" w:rsidP="006B7E35">
            <w:pPr>
              <w:ind w:left="0" w:right="0"/>
              <w:rPr>
                <w:b/>
                <w:sz w:val="20"/>
                <w:szCs w:val="20"/>
              </w:rPr>
            </w:pPr>
            <w:r w:rsidRPr="00246498">
              <w:rPr>
                <w:b/>
                <w:sz w:val="20"/>
                <w:szCs w:val="20"/>
              </w:rPr>
              <w:t>Important identified risks</w:t>
            </w:r>
          </w:p>
        </w:tc>
        <w:tc>
          <w:tcPr>
            <w:tcW w:w="3260" w:type="dxa"/>
          </w:tcPr>
          <w:p w14:paraId="25320609" w14:textId="77777777" w:rsidR="00180128" w:rsidRPr="00246498" w:rsidRDefault="00180128" w:rsidP="006B7E35">
            <w:pPr>
              <w:ind w:left="0" w:right="0"/>
              <w:rPr>
                <w:sz w:val="20"/>
                <w:szCs w:val="20"/>
              </w:rPr>
            </w:pPr>
            <w:r w:rsidRPr="00246498">
              <w:rPr>
                <w:sz w:val="20"/>
                <w:szCs w:val="20"/>
              </w:rPr>
              <w:t>Haemorrhage</w:t>
            </w:r>
          </w:p>
        </w:tc>
        <w:tc>
          <w:tcPr>
            <w:tcW w:w="993" w:type="dxa"/>
          </w:tcPr>
          <w:p w14:paraId="0B1E5DAB"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26FC1DCC" w14:textId="77777777" w:rsidR="00180128" w:rsidRPr="00246498" w:rsidRDefault="00180128" w:rsidP="006B7E35">
            <w:pPr>
              <w:ind w:left="0" w:right="0"/>
              <w:rPr>
                <w:sz w:val="20"/>
                <w:szCs w:val="20"/>
              </w:rPr>
            </w:pPr>
            <w:r w:rsidRPr="00246498">
              <w:rPr>
                <w:sz w:val="20"/>
                <w:szCs w:val="20"/>
              </w:rPr>
              <w:t>–</w:t>
            </w:r>
          </w:p>
        </w:tc>
        <w:tc>
          <w:tcPr>
            <w:tcW w:w="992" w:type="dxa"/>
          </w:tcPr>
          <w:p w14:paraId="310FE930"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4A719441" w14:textId="77777777" w:rsidR="00180128" w:rsidRPr="00246498" w:rsidRDefault="00180128" w:rsidP="006B7E35">
            <w:pPr>
              <w:ind w:left="0" w:right="0"/>
              <w:rPr>
                <w:sz w:val="20"/>
                <w:szCs w:val="20"/>
              </w:rPr>
            </w:pPr>
            <w:r w:rsidRPr="00246498">
              <w:rPr>
                <w:sz w:val="20"/>
                <w:szCs w:val="20"/>
              </w:rPr>
              <w:t>–</w:t>
            </w:r>
          </w:p>
        </w:tc>
      </w:tr>
      <w:tr w:rsidR="00180128" w:rsidRPr="00246498" w14:paraId="170F5DFA" w14:textId="77777777" w:rsidTr="00A6390C">
        <w:trPr>
          <w:trHeight w:val="137"/>
        </w:trPr>
        <w:tc>
          <w:tcPr>
            <w:tcW w:w="1384" w:type="dxa"/>
            <w:vMerge/>
          </w:tcPr>
          <w:p w14:paraId="0556AC84" w14:textId="77777777" w:rsidR="00180128" w:rsidRPr="00246498" w:rsidRDefault="00180128" w:rsidP="006B7E35">
            <w:pPr>
              <w:ind w:left="0" w:right="0"/>
              <w:rPr>
                <w:b/>
                <w:sz w:val="20"/>
                <w:szCs w:val="20"/>
              </w:rPr>
            </w:pPr>
          </w:p>
        </w:tc>
        <w:tc>
          <w:tcPr>
            <w:tcW w:w="3260" w:type="dxa"/>
          </w:tcPr>
          <w:p w14:paraId="6924F927" w14:textId="77777777" w:rsidR="00180128" w:rsidRPr="00246498" w:rsidRDefault="00180128" w:rsidP="006B7E35">
            <w:pPr>
              <w:ind w:left="0" w:right="0"/>
              <w:rPr>
                <w:sz w:val="20"/>
                <w:szCs w:val="20"/>
              </w:rPr>
            </w:pPr>
            <w:r w:rsidRPr="00246498">
              <w:rPr>
                <w:sz w:val="20"/>
                <w:szCs w:val="20"/>
              </w:rPr>
              <w:t>Infections</w:t>
            </w:r>
          </w:p>
        </w:tc>
        <w:tc>
          <w:tcPr>
            <w:tcW w:w="993" w:type="dxa"/>
          </w:tcPr>
          <w:p w14:paraId="4A773CA7"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5B5EA803" w14:textId="77777777" w:rsidR="00180128" w:rsidRPr="00246498" w:rsidRDefault="00180128" w:rsidP="006B7E35">
            <w:pPr>
              <w:ind w:left="0" w:right="0"/>
              <w:rPr>
                <w:sz w:val="20"/>
                <w:szCs w:val="20"/>
              </w:rPr>
            </w:pPr>
            <w:r w:rsidRPr="00246498">
              <w:rPr>
                <w:sz w:val="20"/>
                <w:szCs w:val="20"/>
              </w:rPr>
              <w:t>–</w:t>
            </w:r>
          </w:p>
        </w:tc>
        <w:tc>
          <w:tcPr>
            <w:tcW w:w="992" w:type="dxa"/>
          </w:tcPr>
          <w:p w14:paraId="596050A8"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5F032781" w14:textId="77777777" w:rsidR="00180128" w:rsidRPr="00246498" w:rsidRDefault="00180128" w:rsidP="006B7E35">
            <w:pPr>
              <w:ind w:left="0" w:right="0"/>
              <w:rPr>
                <w:sz w:val="20"/>
                <w:szCs w:val="20"/>
              </w:rPr>
            </w:pPr>
          </w:p>
        </w:tc>
      </w:tr>
      <w:tr w:rsidR="00180128" w:rsidRPr="00246498" w14:paraId="5F5E95C9" w14:textId="77777777" w:rsidTr="00A6390C">
        <w:trPr>
          <w:trHeight w:val="137"/>
        </w:trPr>
        <w:tc>
          <w:tcPr>
            <w:tcW w:w="1384" w:type="dxa"/>
            <w:vMerge/>
          </w:tcPr>
          <w:p w14:paraId="4394F8B1" w14:textId="77777777" w:rsidR="00180128" w:rsidRPr="00246498" w:rsidRDefault="00180128" w:rsidP="006B7E35">
            <w:pPr>
              <w:ind w:left="0" w:right="0"/>
              <w:rPr>
                <w:b/>
                <w:sz w:val="20"/>
                <w:szCs w:val="20"/>
              </w:rPr>
            </w:pPr>
          </w:p>
        </w:tc>
        <w:tc>
          <w:tcPr>
            <w:tcW w:w="3260" w:type="dxa"/>
          </w:tcPr>
          <w:p w14:paraId="451572F8" w14:textId="77777777" w:rsidR="00180128" w:rsidRPr="00246498" w:rsidRDefault="00180128" w:rsidP="006B7E35">
            <w:pPr>
              <w:ind w:left="0" w:right="0"/>
              <w:rPr>
                <w:sz w:val="20"/>
                <w:szCs w:val="20"/>
              </w:rPr>
            </w:pPr>
            <w:r w:rsidRPr="00246498">
              <w:rPr>
                <w:sz w:val="20"/>
                <w:szCs w:val="20"/>
              </w:rPr>
              <w:t>Anaemia</w:t>
            </w:r>
          </w:p>
        </w:tc>
        <w:tc>
          <w:tcPr>
            <w:tcW w:w="993" w:type="dxa"/>
          </w:tcPr>
          <w:p w14:paraId="62E877AC"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0B43EAB0" w14:textId="77777777" w:rsidR="00180128" w:rsidRPr="00246498" w:rsidRDefault="00180128" w:rsidP="006B7E35">
            <w:pPr>
              <w:ind w:left="0" w:right="0"/>
              <w:rPr>
                <w:sz w:val="20"/>
                <w:szCs w:val="20"/>
              </w:rPr>
            </w:pPr>
            <w:r w:rsidRPr="00246498">
              <w:rPr>
                <w:sz w:val="20"/>
                <w:szCs w:val="20"/>
              </w:rPr>
              <w:t>–</w:t>
            </w:r>
          </w:p>
        </w:tc>
        <w:tc>
          <w:tcPr>
            <w:tcW w:w="992" w:type="dxa"/>
          </w:tcPr>
          <w:p w14:paraId="478F1650"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5757D3A0" w14:textId="77777777" w:rsidR="00180128" w:rsidRPr="00246498" w:rsidRDefault="00180128" w:rsidP="006B7E35">
            <w:pPr>
              <w:ind w:left="0" w:right="0"/>
              <w:rPr>
                <w:sz w:val="20"/>
                <w:szCs w:val="20"/>
              </w:rPr>
            </w:pPr>
            <w:r w:rsidRPr="00246498">
              <w:rPr>
                <w:sz w:val="20"/>
                <w:szCs w:val="20"/>
              </w:rPr>
              <w:t>–</w:t>
            </w:r>
          </w:p>
        </w:tc>
      </w:tr>
      <w:tr w:rsidR="00180128" w:rsidRPr="00246498" w14:paraId="570E4F23" w14:textId="77777777" w:rsidTr="00A6390C">
        <w:trPr>
          <w:trHeight w:val="137"/>
        </w:trPr>
        <w:tc>
          <w:tcPr>
            <w:tcW w:w="1384" w:type="dxa"/>
            <w:vMerge/>
          </w:tcPr>
          <w:p w14:paraId="4AA5391A" w14:textId="77777777" w:rsidR="00180128" w:rsidRPr="00246498" w:rsidRDefault="00180128" w:rsidP="006B7E35">
            <w:pPr>
              <w:ind w:left="0" w:right="0"/>
              <w:rPr>
                <w:b/>
                <w:sz w:val="20"/>
                <w:szCs w:val="20"/>
              </w:rPr>
            </w:pPr>
          </w:p>
        </w:tc>
        <w:tc>
          <w:tcPr>
            <w:tcW w:w="3260" w:type="dxa"/>
          </w:tcPr>
          <w:p w14:paraId="3F8C88AA" w14:textId="77777777" w:rsidR="00180128" w:rsidRPr="00246498" w:rsidRDefault="00180128" w:rsidP="006B7E35">
            <w:pPr>
              <w:ind w:left="0" w:right="0"/>
              <w:rPr>
                <w:sz w:val="20"/>
                <w:szCs w:val="20"/>
              </w:rPr>
            </w:pPr>
            <w:r w:rsidRPr="00246498">
              <w:rPr>
                <w:sz w:val="20"/>
                <w:szCs w:val="20"/>
              </w:rPr>
              <w:t>Leukopenia</w:t>
            </w:r>
          </w:p>
        </w:tc>
        <w:tc>
          <w:tcPr>
            <w:tcW w:w="993" w:type="dxa"/>
          </w:tcPr>
          <w:p w14:paraId="0D63C305"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473D4173" w14:textId="77777777" w:rsidR="00180128" w:rsidRPr="00246498" w:rsidRDefault="00180128" w:rsidP="006B7E35">
            <w:pPr>
              <w:ind w:left="0" w:right="0"/>
              <w:rPr>
                <w:sz w:val="20"/>
                <w:szCs w:val="20"/>
              </w:rPr>
            </w:pPr>
            <w:r w:rsidRPr="00246498">
              <w:rPr>
                <w:sz w:val="20"/>
                <w:szCs w:val="20"/>
              </w:rPr>
              <w:t>–</w:t>
            </w:r>
          </w:p>
        </w:tc>
        <w:tc>
          <w:tcPr>
            <w:tcW w:w="992" w:type="dxa"/>
          </w:tcPr>
          <w:p w14:paraId="1404C02E"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154D71AA" w14:textId="77777777" w:rsidR="00180128" w:rsidRPr="00246498" w:rsidRDefault="00180128" w:rsidP="006B7E35">
            <w:pPr>
              <w:ind w:left="0" w:right="0"/>
              <w:rPr>
                <w:sz w:val="20"/>
                <w:szCs w:val="20"/>
              </w:rPr>
            </w:pPr>
            <w:r w:rsidRPr="00246498">
              <w:rPr>
                <w:sz w:val="20"/>
                <w:szCs w:val="20"/>
              </w:rPr>
              <w:t>–</w:t>
            </w:r>
          </w:p>
        </w:tc>
      </w:tr>
      <w:tr w:rsidR="00180128" w:rsidRPr="00246498" w14:paraId="6D753E13" w14:textId="77777777" w:rsidTr="00A6390C">
        <w:trPr>
          <w:trHeight w:val="137"/>
        </w:trPr>
        <w:tc>
          <w:tcPr>
            <w:tcW w:w="1384" w:type="dxa"/>
            <w:vMerge/>
          </w:tcPr>
          <w:p w14:paraId="5AFEDD63" w14:textId="77777777" w:rsidR="00180128" w:rsidRPr="00246498" w:rsidRDefault="00180128" w:rsidP="006B7E35">
            <w:pPr>
              <w:ind w:left="0" w:right="0"/>
              <w:rPr>
                <w:b/>
                <w:sz w:val="20"/>
                <w:szCs w:val="20"/>
              </w:rPr>
            </w:pPr>
          </w:p>
        </w:tc>
        <w:tc>
          <w:tcPr>
            <w:tcW w:w="3260" w:type="dxa"/>
          </w:tcPr>
          <w:p w14:paraId="7E7FF97A" w14:textId="77777777" w:rsidR="00180128" w:rsidRPr="00246498" w:rsidRDefault="00180128" w:rsidP="006B7E35">
            <w:pPr>
              <w:ind w:left="0" w:right="0"/>
              <w:rPr>
                <w:sz w:val="20"/>
                <w:szCs w:val="20"/>
              </w:rPr>
            </w:pPr>
            <w:r w:rsidRPr="00246498">
              <w:rPr>
                <w:sz w:val="20"/>
                <w:szCs w:val="20"/>
              </w:rPr>
              <w:t>Thrombocytopenia</w:t>
            </w:r>
          </w:p>
        </w:tc>
        <w:tc>
          <w:tcPr>
            <w:tcW w:w="993" w:type="dxa"/>
          </w:tcPr>
          <w:p w14:paraId="0E92A759"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2B2AB5B5" w14:textId="77777777" w:rsidR="00180128" w:rsidRPr="00246498" w:rsidRDefault="00180128" w:rsidP="006B7E35">
            <w:pPr>
              <w:ind w:left="0" w:right="0"/>
              <w:rPr>
                <w:sz w:val="20"/>
                <w:szCs w:val="20"/>
              </w:rPr>
            </w:pPr>
            <w:r w:rsidRPr="00246498">
              <w:rPr>
                <w:sz w:val="20"/>
                <w:szCs w:val="20"/>
              </w:rPr>
              <w:t>–</w:t>
            </w:r>
          </w:p>
        </w:tc>
        <w:tc>
          <w:tcPr>
            <w:tcW w:w="992" w:type="dxa"/>
          </w:tcPr>
          <w:p w14:paraId="2089B952"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5E974D16" w14:textId="77777777" w:rsidR="00180128" w:rsidRPr="00246498" w:rsidRDefault="00180128" w:rsidP="006B7E35">
            <w:pPr>
              <w:ind w:left="0" w:right="0"/>
              <w:rPr>
                <w:sz w:val="20"/>
                <w:szCs w:val="20"/>
              </w:rPr>
            </w:pPr>
            <w:r w:rsidRPr="00246498">
              <w:rPr>
                <w:sz w:val="20"/>
                <w:szCs w:val="20"/>
              </w:rPr>
              <w:t>–</w:t>
            </w:r>
          </w:p>
        </w:tc>
      </w:tr>
      <w:tr w:rsidR="00180128" w:rsidRPr="00246498" w14:paraId="0D7E5FB9" w14:textId="77777777" w:rsidTr="00A6390C">
        <w:trPr>
          <w:trHeight w:val="137"/>
        </w:trPr>
        <w:tc>
          <w:tcPr>
            <w:tcW w:w="1384" w:type="dxa"/>
            <w:vMerge/>
          </w:tcPr>
          <w:p w14:paraId="45DB4D1F" w14:textId="77777777" w:rsidR="00180128" w:rsidRPr="00246498" w:rsidRDefault="00180128" w:rsidP="006B7E35">
            <w:pPr>
              <w:ind w:left="0" w:right="0"/>
              <w:rPr>
                <w:b/>
                <w:sz w:val="20"/>
                <w:szCs w:val="20"/>
              </w:rPr>
            </w:pPr>
          </w:p>
        </w:tc>
        <w:tc>
          <w:tcPr>
            <w:tcW w:w="3260" w:type="dxa"/>
          </w:tcPr>
          <w:p w14:paraId="092A7F99" w14:textId="77777777" w:rsidR="00180128" w:rsidRPr="00246498" w:rsidRDefault="00180128" w:rsidP="006B7E35">
            <w:pPr>
              <w:ind w:left="0" w:right="0"/>
              <w:rPr>
                <w:sz w:val="20"/>
                <w:szCs w:val="20"/>
              </w:rPr>
            </w:pPr>
            <w:r w:rsidRPr="00246498">
              <w:rPr>
                <w:sz w:val="20"/>
                <w:szCs w:val="20"/>
              </w:rPr>
              <w:t>Second primary malignancy</w:t>
            </w:r>
          </w:p>
        </w:tc>
        <w:tc>
          <w:tcPr>
            <w:tcW w:w="993" w:type="dxa"/>
          </w:tcPr>
          <w:p w14:paraId="3E6DC22F"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13BF685B" w14:textId="77777777" w:rsidR="00180128" w:rsidRPr="00246498" w:rsidRDefault="00180128" w:rsidP="006B7E35">
            <w:pPr>
              <w:ind w:left="0" w:right="0"/>
              <w:rPr>
                <w:sz w:val="20"/>
                <w:szCs w:val="20"/>
              </w:rPr>
            </w:pPr>
            <w:r w:rsidRPr="00246498">
              <w:rPr>
                <w:sz w:val="20"/>
                <w:szCs w:val="20"/>
              </w:rPr>
              <w:t>–</w:t>
            </w:r>
          </w:p>
        </w:tc>
        <w:tc>
          <w:tcPr>
            <w:tcW w:w="992" w:type="dxa"/>
          </w:tcPr>
          <w:p w14:paraId="31133863"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4966F2D3" w14:textId="77777777" w:rsidR="00180128" w:rsidRPr="00246498" w:rsidRDefault="00180128" w:rsidP="006B7E35">
            <w:pPr>
              <w:ind w:left="0" w:right="0"/>
              <w:rPr>
                <w:sz w:val="20"/>
                <w:szCs w:val="20"/>
              </w:rPr>
            </w:pPr>
            <w:r w:rsidRPr="00246498">
              <w:rPr>
                <w:sz w:val="20"/>
                <w:szCs w:val="20"/>
              </w:rPr>
              <w:t>–</w:t>
            </w:r>
          </w:p>
        </w:tc>
      </w:tr>
      <w:tr w:rsidR="00180128" w:rsidRPr="00246498" w14:paraId="65FBF95E" w14:textId="77777777" w:rsidTr="00A6390C">
        <w:trPr>
          <w:trHeight w:val="137"/>
        </w:trPr>
        <w:tc>
          <w:tcPr>
            <w:tcW w:w="1384" w:type="dxa"/>
            <w:vMerge/>
          </w:tcPr>
          <w:p w14:paraId="442AF23B" w14:textId="77777777" w:rsidR="00180128" w:rsidRPr="00246498" w:rsidRDefault="00180128" w:rsidP="006B7E35">
            <w:pPr>
              <w:ind w:left="0" w:right="0"/>
              <w:rPr>
                <w:b/>
                <w:sz w:val="20"/>
                <w:szCs w:val="20"/>
              </w:rPr>
            </w:pPr>
          </w:p>
        </w:tc>
        <w:tc>
          <w:tcPr>
            <w:tcW w:w="3260" w:type="dxa"/>
          </w:tcPr>
          <w:p w14:paraId="3E9B99D9" w14:textId="77777777" w:rsidR="00180128" w:rsidRPr="00246498" w:rsidRDefault="00180128" w:rsidP="006B7E35">
            <w:pPr>
              <w:ind w:left="0" w:right="0"/>
              <w:rPr>
                <w:sz w:val="20"/>
                <w:szCs w:val="20"/>
              </w:rPr>
            </w:pPr>
            <w:r w:rsidRPr="00246498">
              <w:rPr>
                <w:sz w:val="20"/>
                <w:szCs w:val="20"/>
              </w:rPr>
              <w:t>Atrial fibrillation/flutter</w:t>
            </w:r>
          </w:p>
        </w:tc>
        <w:tc>
          <w:tcPr>
            <w:tcW w:w="993" w:type="dxa"/>
          </w:tcPr>
          <w:p w14:paraId="726A008E"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67A448E9" w14:textId="77777777" w:rsidR="00180128" w:rsidRPr="00246498" w:rsidRDefault="00180128" w:rsidP="006B7E35">
            <w:pPr>
              <w:ind w:left="0" w:right="0"/>
              <w:rPr>
                <w:sz w:val="20"/>
                <w:szCs w:val="20"/>
              </w:rPr>
            </w:pPr>
            <w:r w:rsidRPr="00246498">
              <w:rPr>
                <w:sz w:val="20"/>
                <w:szCs w:val="20"/>
              </w:rPr>
              <w:t>–</w:t>
            </w:r>
          </w:p>
        </w:tc>
        <w:tc>
          <w:tcPr>
            <w:tcW w:w="992" w:type="dxa"/>
          </w:tcPr>
          <w:p w14:paraId="248E0044" w14:textId="77777777" w:rsidR="00180128" w:rsidRPr="00246498" w:rsidRDefault="00180128" w:rsidP="006B7E35">
            <w:pPr>
              <w:ind w:left="0" w:right="0"/>
              <w:rPr>
                <w:sz w:val="20"/>
                <w:szCs w:val="20"/>
              </w:rPr>
            </w:pPr>
            <w:r w:rsidRPr="00246498">
              <w:rPr>
                <w:sz w:val="20"/>
                <w:szCs w:val="20"/>
              </w:rPr>
              <w:sym w:font="Wingdings" w:char="F0FC"/>
            </w:r>
          </w:p>
        </w:tc>
        <w:tc>
          <w:tcPr>
            <w:tcW w:w="1186" w:type="dxa"/>
          </w:tcPr>
          <w:p w14:paraId="76AD0093" w14:textId="77777777" w:rsidR="00180128" w:rsidRPr="00246498" w:rsidRDefault="00180128" w:rsidP="006B7E35">
            <w:pPr>
              <w:ind w:left="0" w:right="0"/>
              <w:rPr>
                <w:sz w:val="20"/>
                <w:szCs w:val="20"/>
              </w:rPr>
            </w:pPr>
            <w:r w:rsidRPr="00246498">
              <w:rPr>
                <w:sz w:val="20"/>
                <w:szCs w:val="20"/>
              </w:rPr>
              <w:t>–</w:t>
            </w:r>
          </w:p>
        </w:tc>
      </w:tr>
      <w:tr w:rsidR="00180128" w:rsidRPr="00246498" w14:paraId="63E80AE2" w14:textId="77777777" w:rsidTr="00A6390C">
        <w:trPr>
          <w:trHeight w:val="159"/>
        </w:trPr>
        <w:tc>
          <w:tcPr>
            <w:tcW w:w="1384" w:type="dxa"/>
          </w:tcPr>
          <w:p w14:paraId="0E9A6FA1" w14:textId="77777777" w:rsidR="00180128" w:rsidRPr="00246498" w:rsidRDefault="00180128" w:rsidP="006B7E35">
            <w:pPr>
              <w:ind w:left="0" w:right="0"/>
              <w:rPr>
                <w:b/>
                <w:sz w:val="20"/>
                <w:szCs w:val="20"/>
              </w:rPr>
            </w:pPr>
            <w:r w:rsidRPr="00246498">
              <w:rPr>
                <w:b/>
                <w:sz w:val="20"/>
                <w:szCs w:val="20"/>
              </w:rPr>
              <w:t>Important potential risks</w:t>
            </w:r>
          </w:p>
        </w:tc>
        <w:tc>
          <w:tcPr>
            <w:tcW w:w="3260" w:type="dxa"/>
          </w:tcPr>
          <w:p w14:paraId="55B93D37" w14:textId="77777777" w:rsidR="00180128" w:rsidRPr="00246498" w:rsidRDefault="00180128" w:rsidP="006B7E35">
            <w:pPr>
              <w:ind w:left="0" w:right="0"/>
              <w:rPr>
                <w:sz w:val="20"/>
                <w:szCs w:val="20"/>
              </w:rPr>
            </w:pPr>
            <w:r w:rsidRPr="00246498">
              <w:rPr>
                <w:sz w:val="20"/>
                <w:szCs w:val="20"/>
              </w:rPr>
              <w:t>Nil</w:t>
            </w:r>
          </w:p>
        </w:tc>
        <w:tc>
          <w:tcPr>
            <w:tcW w:w="993" w:type="dxa"/>
          </w:tcPr>
          <w:p w14:paraId="3E6E5CFE" w14:textId="77777777" w:rsidR="00180128" w:rsidRPr="00246498" w:rsidRDefault="00180128" w:rsidP="006B7E35">
            <w:pPr>
              <w:ind w:left="0" w:right="0"/>
              <w:rPr>
                <w:sz w:val="20"/>
                <w:szCs w:val="20"/>
              </w:rPr>
            </w:pPr>
            <w:r w:rsidRPr="00246498">
              <w:rPr>
                <w:sz w:val="20"/>
                <w:szCs w:val="20"/>
              </w:rPr>
              <w:t>–</w:t>
            </w:r>
          </w:p>
        </w:tc>
        <w:tc>
          <w:tcPr>
            <w:tcW w:w="1134" w:type="dxa"/>
          </w:tcPr>
          <w:p w14:paraId="2AF25956" w14:textId="77777777" w:rsidR="00180128" w:rsidRPr="00246498" w:rsidRDefault="00180128" w:rsidP="006B7E35">
            <w:pPr>
              <w:ind w:left="0" w:right="0"/>
              <w:rPr>
                <w:sz w:val="20"/>
                <w:szCs w:val="20"/>
              </w:rPr>
            </w:pPr>
            <w:r w:rsidRPr="00246498">
              <w:rPr>
                <w:sz w:val="20"/>
                <w:szCs w:val="20"/>
              </w:rPr>
              <w:t>–</w:t>
            </w:r>
          </w:p>
        </w:tc>
        <w:tc>
          <w:tcPr>
            <w:tcW w:w="992" w:type="dxa"/>
          </w:tcPr>
          <w:p w14:paraId="2E5A02A6" w14:textId="77777777" w:rsidR="00180128" w:rsidRPr="00246498" w:rsidRDefault="00180128" w:rsidP="006B7E35">
            <w:pPr>
              <w:ind w:left="0" w:right="0"/>
              <w:rPr>
                <w:sz w:val="20"/>
                <w:szCs w:val="20"/>
              </w:rPr>
            </w:pPr>
            <w:r w:rsidRPr="00246498">
              <w:rPr>
                <w:sz w:val="20"/>
                <w:szCs w:val="20"/>
              </w:rPr>
              <w:t>–</w:t>
            </w:r>
          </w:p>
        </w:tc>
        <w:tc>
          <w:tcPr>
            <w:tcW w:w="1186" w:type="dxa"/>
          </w:tcPr>
          <w:p w14:paraId="4E245BF1" w14:textId="77777777" w:rsidR="00180128" w:rsidRPr="00246498" w:rsidRDefault="00180128" w:rsidP="006B7E35">
            <w:pPr>
              <w:ind w:left="0" w:right="0"/>
              <w:rPr>
                <w:sz w:val="20"/>
                <w:szCs w:val="20"/>
              </w:rPr>
            </w:pPr>
            <w:r w:rsidRPr="00246498">
              <w:rPr>
                <w:sz w:val="20"/>
                <w:szCs w:val="20"/>
              </w:rPr>
              <w:t>–</w:t>
            </w:r>
          </w:p>
        </w:tc>
      </w:tr>
      <w:tr w:rsidR="00180128" w:rsidRPr="00246498" w14:paraId="73A3D6CF" w14:textId="77777777" w:rsidTr="00A6390C">
        <w:trPr>
          <w:trHeight w:val="178"/>
        </w:trPr>
        <w:tc>
          <w:tcPr>
            <w:tcW w:w="1384" w:type="dxa"/>
            <w:vMerge w:val="restart"/>
          </w:tcPr>
          <w:p w14:paraId="57F6743D" w14:textId="77777777" w:rsidR="00180128" w:rsidRPr="00246498" w:rsidRDefault="00180128" w:rsidP="006B7E35">
            <w:pPr>
              <w:ind w:left="0" w:right="0"/>
              <w:rPr>
                <w:b/>
                <w:sz w:val="20"/>
                <w:szCs w:val="20"/>
              </w:rPr>
            </w:pPr>
            <w:r w:rsidRPr="00246498">
              <w:rPr>
                <w:b/>
                <w:sz w:val="20"/>
                <w:szCs w:val="20"/>
              </w:rPr>
              <w:t>Missing information</w:t>
            </w:r>
          </w:p>
        </w:tc>
        <w:tc>
          <w:tcPr>
            <w:tcW w:w="3260" w:type="dxa"/>
          </w:tcPr>
          <w:p w14:paraId="24D636D5" w14:textId="77777777" w:rsidR="00180128" w:rsidRPr="00246498" w:rsidRDefault="00180128" w:rsidP="006B7E35">
            <w:pPr>
              <w:ind w:left="0" w:right="0"/>
              <w:rPr>
                <w:sz w:val="20"/>
                <w:szCs w:val="20"/>
              </w:rPr>
            </w:pPr>
            <w:r w:rsidRPr="00246498">
              <w:rPr>
                <w:sz w:val="20"/>
                <w:szCs w:val="20"/>
              </w:rPr>
              <w:t>Long term safety</w:t>
            </w:r>
          </w:p>
        </w:tc>
        <w:tc>
          <w:tcPr>
            <w:tcW w:w="993" w:type="dxa"/>
          </w:tcPr>
          <w:p w14:paraId="490247B8"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77863C7A" w14:textId="77777777" w:rsidR="00180128" w:rsidRPr="00246498" w:rsidRDefault="00180128" w:rsidP="006B7E35">
            <w:pPr>
              <w:ind w:left="0" w:right="0"/>
              <w:rPr>
                <w:sz w:val="20"/>
                <w:szCs w:val="20"/>
              </w:rPr>
            </w:pPr>
            <w:r w:rsidRPr="00246498">
              <w:rPr>
                <w:sz w:val="20"/>
                <w:szCs w:val="20"/>
              </w:rPr>
              <w:sym w:font="Wingdings" w:char="F0FC"/>
            </w:r>
            <w:r w:rsidRPr="00246498">
              <w:rPr>
                <w:sz w:val="20"/>
                <w:szCs w:val="20"/>
              </w:rPr>
              <w:t>*</w:t>
            </w:r>
          </w:p>
        </w:tc>
        <w:tc>
          <w:tcPr>
            <w:tcW w:w="992" w:type="dxa"/>
          </w:tcPr>
          <w:p w14:paraId="73CAFDF7" w14:textId="77777777" w:rsidR="00180128" w:rsidRPr="00246498" w:rsidRDefault="00180128" w:rsidP="006B7E35">
            <w:pPr>
              <w:ind w:left="0" w:right="0"/>
              <w:rPr>
                <w:sz w:val="20"/>
                <w:szCs w:val="20"/>
              </w:rPr>
            </w:pPr>
            <w:r w:rsidRPr="00246498">
              <w:rPr>
                <w:sz w:val="20"/>
                <w:szCs w:val="20"/>
              </w:rPr>
              <w:t>–</w:t>
            </w:r>
          </w:p>
        </w:tc>
        <w:tc>
          <w:tcPr>
            <w:tcW w:w="1186" w:type="dxa"/>
          </w:tcPr>
          <w:p w14:paraId="4D7DF16E" w14:textId="77777777" w:rsidR="00180128" w:rsidRPr="00246498" w:rsidRDefault="00180128" w:rsidP="006B7E35">
            <w:pPr>
              <w:ind w:left="0" w:right="0"/>
              <w:rPr>
                <w:sz w:val="20"/>
                <w:szCs w:val="20"/>
              </w:rPr>
            </w:pPr>
            <w:r w:rsidRPr="00246498">
              <w:rPr>
                <w:sz w:val="20"/>
                <w:szCs w:val="20"/>
              </w:rPr>
              <w:t>–</w:t>
            </w:r>
          </w:p>
        </w:tc>
      </w:tr>
      <w:tr w:rsidR="00180128" w:rsidRPr="00246498" w14:paraId="55CCA4E9" w14:textId="77777777" w:rsidTr="00A6390C">
        <w:trPr>
          <w:trHeight w:val="140"/>
        </w:trPr>
        <w:tc>
          <w:tcPr>
            <w:tcW w:w="1384" w:type="dxa"/>
            <w:vMerge/>
          </w:tcPr>
          <w:p w14:paraId="6F74B8D6" w14:textId="77777777" w:rsidR="00180128" w:rsidRPr="00246498" w:rsidRDefault="00180128" w:rsidP="006B7E35">
            <w:pPr>
              <w:ind w:left="0" w:right="0"/>
              <w:rPr>
                <w:sz w:val="20"/>
                <w:szCs w:val="20"/>
              </w:rPr>
            </w:pPr>
          </w:p>
        </w:tc>
        <w:tc>
          <w:tcPr>
            <w:tcW w:w="3260" w:type="dxa"/>
          </w:tcPr>
          <w:p w14:paraId="6BE3CA79" w14:textId="77777777" w:rsidR="00180128" w:rsidRPr="00246498" w:rsidRDefault="00180128" w:rsidP="006B7E35">
            <w:pPr>
              <w:ind w:left="0" w:right="0"/>
              <w:rPr>
                <w:sz w:val="20"/>
                <w:szCs w:val="20"/>
              </w:rPr>
            </w:pPr>
            <w:r w:rsidRPr="00246498">
              <w:rPr>
                <w:sz w:val="20"/>
                <w:szCs w:val="20"/>
              </w:rPr>
              <w:t>Use in patients with moderate to severe cardiac impairment</w:t>
            </w:r>
          </w:p>
        </w:tc>
        <w:tc>
          <w:tcPr>
            <w:tcW w:w="993" w:type="dxa"/>
          </w:tcPr>
          <w:p w14:paraId="1CDB70FB" w14:textId="77777777" w:rsidR="00180128" w:rsidRPr="00246498" w:rsidRDefault="00180128" w:rsidP="006B7E35">
            <w:pPr>
              <w:ind w:left="0" w:right="0"/>
              <w:rPr>
                <w:sz w:val="20"/>
                <w:szCs w:val="20"/>
              </w:rPr>
            </w:pPr>
            <w:r w:rsidRPr="00246498">
              <w:rPr>
                <w:sz w:val="20"/>
                <w:szCs w:val="20"/>
              </w:rPr>
              <w:sym w:font="Wingdings" w:char="F0FC"/>
            </w:r>
          </w:p>
        </w:tc>
        <w:tc>
          <w:tcPr>
            <w:tcW w:w="1134" w:type="dxa"/>
          </w:tcPr>
          <w:p w14:paraId="298A0BC0" w14:textId="77777777" w:rsidR="00180128" w:rsidRPr="00246498" w:rsidRDefault="00180128" w:rsidP="006B7E35">
            <w:pPr>
              <w:ind w:left="0" w:right="0"/>
              <w:rPr>
                <w:sz w:val="20"/>
                <w:szCs w:val="20"/>
              </w:rPr>
            </w:pPr>
            <w:r w:rsidRPr="00246498">
              <w:rPr>
                <w:sz w:val="20"/>
                <w:szCs w:val="20"/>
              </w:rPr>
              <w:sym w:font="Wingdings" w:char="F0FC"/>
            </w:r>
            <w:r w:rsidRPr="00246498">
              <w:rPr>
                <w:sz w:val="20"/>
                <w:szCs w:val="20"/>
              </w:rPr>
              <w:t>*</w:t>
            </w:r>
          </w:p>
        </w:tc>
        <w:tc>
          <w:tcPr>
            <w:tcW w:w="992" w:type="dxa"/>
          </w:tcPr>
          <w:p w14:paraId="2FF191ED" w14:textId="77777777" w:rsidR="00180128" w:rsidRPr="00246498" w:rsidRDefault="00180128" w:rsidP="006B7E35">
            <w:pPr>
              <w:ind w:left="0" w:right="0"/>
              <w:rPr>
                <w:sz w:val="20"/>
                <w:szCs w:val="20"/>
              </w:rPr>
            </w:pPr>
            <w:r w:rsidRPr="00246498">
              <w:rPr>
                <w:sz w:val="20"/>
                <w:szCs w:val="20"/>
              </w:rPr>
              <w:t>–</w:t>
            </w:r>
          </w:p>
        </w:tc>
        <w:tc>
          <w:tcPr>
            <w:tcW w:w="1186" w:type="dxa"/>
          </w:tcPr>
          <w:p w14:paraId="61780E62" w14:textId="77777777" w:rsidR="00180128" w:rsidRPr="00246498" w:rsidRDefault="00180128" w:rsidP="006B7E35">
            <w:pPr>
              <w:ind w:left="0" w:right="0"/>
              <w:rPr>
                <w:sz w:val="20"/>
                <w:szCs w:val="20"/>
              </w:rPr>
            </w:pPr>
            <w:r w:rsidRPr="00246498">
              <w:rPr>
                <w:sz w:val="20"/>
                <w:szCs w:val="20"/>
              </w:rPr>
              <w:t>–</w:t>
            </w:r>
          </w:p>
        </w:tc>
      </w:tr>
    </w:tbl>
    <w:p w14:paraId="26DF5A49" w14:textId="0AE4C7B7" w:rsidR="006B7E35" w:rsidRDefault="006B7E35" w:rsidP="006B7E35">
      <w:pPr>
        <w:pStyle w:val="TableDescription"/>
      </w:pPr>
      <w:r w:rsidRPr="006B7E35">
        <w:t xml:space="preserve">* Global Phase </w:t>
      </w:r>
      <w:proofErr w:type="spellStart"/>
      <w:r w:rsidR="000B6AFD">
        <w:t>III</w:t>
      </w:r>
      <w:r w:rsidRPr="006B7E35">
        <w:t>b</w:t>
      </w:r>
      <w:proofErr w:type="spellEnd"/>
      <w:r w:rsidRPr="006B7E35">
        <w:t>, multicentre, open-label, single-arm clinical study</w:t>
      </w:r>
      <w:r w:rsidR="000B6AFD">
        <w:t xml:space="preserve">: Study </w:t>
      </w:r>
      <w:r w:rsidRPr="006B7E35">
        <w:t>D8220C00008 (Assure</w:t>
      </w:r>
      <w:r w:rsidR="000B6AFD">
        <w:t xml:space="preserve"> trial</w:t>
      </w:r>
      <w:r w:rsidRPr="006B7E35">
        <w:t>)</w:t>
      </w:r>
    </w:p>
    <w:p w14:paraId="61975B9D" w14:textId="0D075D2D" w:rsidR="00180128" w:rsidRPr="00904A64" w:rsidRDefault="00180128" w:rsidP="006B7E35">
      <w:pPr>
        <w:pStyle w:val="ListBullet"/>
      </w:pPr>
      <w:r w:rsidRPr="00245FEA">
        <w:t xml:space="preserve">The summary of </w:t>
      </w:r>
      <w:r w:rsidRPr="00904A64">
        <w:t xml:space="preserve">safety concerns is the same for both submissions. At </w:t>
      </w:r>
      <w:r w:rsidR="00CB3937">
        <w:t>the second round of evaluation</w:t>
      </w:r>
      <w:r w:rsidRPr="00904A64">
        <w:t xml:space="preserve"> the sponsor reclassified the important potential risks of infections, anaemia, </w:t>
      </w:r>
      <w:proofErr w:type="spellStart"/>
      <w:r w:rsidRPr="00904A64">
        <w:t>leukop</w:t>
      </w:r>
      <w:r w:rsidR="000B6AFD">
        <w:t>a</w:t>
      </w:r>
      <w:r w:rsidRPr="00904A64">
        <w:t>enia</w:t>
      </w:r>
      <w:proofErr w:type="spellEnd"/>
      <w:r w:rsidRPr="00904A64">
        <w:t xml:space="preserve">, </w:t>
      </w:r>
      <w:proofErr w:type="spellStart"/>
      <w:r w:rsidRPr="00904A64">
        <w:t>thrombocytop</w:t>
      </w:r>
      <w:r w:rsidR="000B6AFD">
        <w:t>a</w:t>
      </w:r>
      <w:r w:rsidRPr="00904A64">
        <w:t>enia</w:t>
      </w:r>
      <w:proofErr w:type="spellEnd"/>
      <w:r w:rsidRPr="00904A64">
        <w:t>, second primary malignancy and atrial fibrillation/flutter as important identified risks. The sponsor also removed use in pregnancy and lactation, and use in patients with severe hepatic impairment as missing information. The summary of safety concerns is considered acceptable subject to final review of clinical and nonclinical data by the Delegate.</w:t>
      </w:r>
    </w:p>
    <w:p w14:paraId="06A27F9D" w14:textId="77777777" w:rsidR="00180128" w:rsidRPr="00904A64" w:rsidRDefault="00180128" w:rsidP="006B7E35">
      <w:pPr>
        <w:pStyle w:val="ListBullet"/>
      </w:pPr>
      <w:r w:rsidRPr="00904A64">
        <w:lastRenderedPageBreak/>
        <w:t>The sponsor has proposed routine pharmacovigilance activities for all</w:t>
      </w:r>
      <w:r w:rsidR="006B7E35">
        <w:t xml:space="preserve"> safety concerns and a global, Phase III</w:t>
      </w:r>
      <w:r w:rsidRPr="00904A64">
        <w:t>, multicentre clinical study involving patients with CLL addressing missing information regarding use in patients with moderate to severe cardiac impairment, and long term safety. This approach is a</w:t>
      </w:r>
      <w:r w:rsidR="00CB3937">
        <w:t>cceptable for both submissions.</w:t>
      </w:r>
    </w:p>
    <w:p w14:paraId="23065AE4" w14:textId="77777777" w:rsidR="00180128" w:rsidRDefault="00180128" w:rsidP="006B7E35">
      <w:pPr>
        <w:pStyle w:val="ListBullet"/>
      </w:pPr>
      <w:r w:rsidRPr="00904A64">
        <w:t xml:space="preserve">The sponsor has provided a Clinical Study Plan for confirmatory trial data for the provisional indication for MCL in submission PM-2019-03536-1-6. </w:t>
      </w:r>
      <w:r>
        <w:t>The level of detail in the plan is acceptable. The Delegate will consider the final acceptability of the plan.</w:t>
      </w:r>
    </w:p>
    <w:p w14:paraId="45D9A0CA" w14:textId="699655D0" w:rsidR="006B7E35" w:rsidRDefault="00CB3937" w:rsidP="006B7E35">
      <w:pPr>
        <w:pStyle w:val="Heading4"/>
      </w:pPr>
      <w:r>
        <w:t>Delegate’s conclusions on</w:t>
      </w:r>
      <w:r w:rsidR="006B7E35">
        <w:t xml:space="preserve"> </w:t>
      </w:r>
      <w:r w:rsidR="00A9736B">
        <w:t>risk management plan</w:t>
      </w:r>
      <w:r>
        <w:t xml:space="preserve"> evaluation</w:t>
      </w:r>
    </w:p>
    <w:p w14:paraId="48FA358E" w14:textId="77777777" w:rsidR="00180128" w:rsidRDefault="00180128" w:rsidP="00180128">
      <w:r w:rsidRPr="00904A64">
        <w:t>The sponsor has proposed routine risk minimisation activities and no additional risk minimisation activities, which is acceptable for both submissions.</w:t>
      </w:r>
    </w:p>
    <w:p w14:paraId="41E57010" w14:textId="77777777" w:rsidR="00180128" w:rsidRDefault="00180128" w:rsidP="00180128">
      <w:r>
        <w:t xml:space="preserve">The RMP evaluator has assessed this application in conjunction with the contemporaneous one to extend the indications to include treatment of CLL. </w:t>
      </w:r>
      <w:r w:rsidRPr="00904A64">
        <w:t>The sponsor has proposed routine risk minimisation activities and no additional risk minimisation act</w:t>
      </w:r>
      <w:r>
        <w:t>ivities, which the RMP evaluator has concluded is</w:t>
      </w:r>
      <w:r w:rsidRPr="00904A64">
        <w:t xml:space="preserve"> acceptable for both submissions</w:t>
      </w:r>
      <w:r>
        <w:t>.</w:t>
      </w:r>
    </w:p>
    <w:p w14:paraId="1A08E9BC" w14:textId="77777777" w:rsidR="008E7846" w:rsidRDefault="00AA0ED0" w:rsidP="008E7846">
      <w:pPr>
        <w:pStyle w:val="Heading3"/>
      </w:pPr>
      <w:bookmarkStart w:id="47" w:name="_Toc247691531"/>
      <w:bookmarkStart w:id="48" w:name="_Toc314842515"/>
      <w:bookmarkStart w:id="49" w:name="_Toc196046505"/>
      <w:bookmarkStart w:id="50" w:name="_Toc196046949"/>
      <w:bookmarkStart w:id="51" w:name="_Toc34134752"/>
      <w:r>
        <w:t>Risk-benefit a</w:t>
      </w:r>
      <w:r w:rsidR="008E7846">
        <w:t>nalysis</w:t>
      </w:r>
      <w:bookmarkEnd w:id="47"/>
      <w:bookmarkEnd w:id="48"/>
      <w:bookmarkEnd w:id="51"/>
    </w:p>
    <w:p w14:paraId="62FB958E" w14:textId="77777777" w:rsidR="00D23139" w:rsidRDefault="006B7E35" w:rsidP="00D23139">
      <w:pPr>
        <w:pStyle w:val="Heading4"/>
      </w:pPr>
      <w:r>
        <w:t>Delegate’s considerations</w:t>
      </w:r>
    </w:p>
    <w:p w14:paraId="68A554A1" w14:textId="77777777" w:rsidR="00180128" w:rsidRDefault="006B7E35" w:rsidP="00180128">
      <w:r>
        <w:t xml:space="preserve">Relatively early data for </w:t>
      </w:r>
      <w:proofErr w:type="spellStart"/>
      <w:r>
        <w:t>a</w:t>
      </w:r>
      <w:r w:rsidR="00180128">
        <w:t>calabrutinib</w:t>
      </w:r>
      <w:proofErr w:type="spellEnd"/>
      <w:r w:rsidR="00180128">
        <w:t xml:space="preserve"> indicate that it may be a useful additional therapy for R/R MCL, which is a life-threatening condition for which treatment options are currently limited. The ORR of over 80% and potentially prolonged DOR (median not reached at 15.2 months of follow-up) suggest there may be a clinically meaningful increase in OS although </w:t>
      </w:r>
      <w:r>
        <w:t>this remains to be established.</w:t>
      </w:r>
    </w:p>
    <w:p w14:paraId="29ACA1D8" w14:textId="6FB5E882" w:rsidR="00180128" w:rsidRDefault="00180128" w:rsidP="00180128">
      <w:r>
        <w:t xml:space="preserve">The Delegate notes that 32% of patients discontinued therapy due to progressive disease an 18% of patients </w:t>
      </w:r>
      <w:r w:rsidR="00CB3937">
        <w:t>died of progressive disease in S</w:t>
      </w:r>
      <w:r>
        <w:t xml:space="preserve">tudy </w:t>
      </w:r>
      <w:r w:rsidR="00CB3937">
        <w:t>ACE-LY-</w:t>
      </w:r>
      <w:r>
        <w:t>004 and so,</w:t>
      </w:r>
      <w:r w:rsidR="00CB3937">
        <w:t xml:space="preserve"> despite the high initial ORR, </w:t>
      </w:r>
      <w:proofErr w:type="spellStart"/>
      <w:r w:rsidR="00CB3937">
        <w:t>a</w:t>
      </w:r>
      <w:r>
        <w:t>calabrutinib</w:t>
      </w:r>
      <w:proofErr w:type="spellEnd"/>
      <w:r>
        <w:t xml:space="preserve"> r</w:t>
      </w:r>
      <w:r w:rsidR="00CB3937">
        <w:t>equires further ongoing study. 24 month data from S</w:t>
      </w:r>
      <w:r>
        <w:t>tudy</w:t>
      </w:r>
      <w:r w:rsidR="005E1849">
        <w:t> </w:t>
      </w:r>
      <w:r w:rsidR="00CB3937">
        <w:t>ACE-LY-</w:t>
      </w:r>
      <w:r>
        <w:t>004 was</w:t>
      </w:r>
      <w:r w:rsidR="00CB3937">
        <w:t xml:space="preserve"> available to the s</w:t>
      </w:r>
      <w:r>
        <w:t>ponsor during this evaluation but not at the time of application, and has therefo</w:t>
      </w:r>
      <w:r w:rsidR="00CB3937">
        <w:t>re not been considered in this d</w:t>
      </w:r>
      <w:r>
        <w:t xml:space="preserve">ecision. </w:t>
      </w:r>
      <w:r w:rsidR="0017663C">
        <w:t>A</w:t>
      </w:r>
      <w:r>
        <w:t>dditional stu</w:t>
      </w:r>
      <w:r w:rsidR="00CB3937">
        <w:t xml:space="preserve">dies of </w:t>
      </w:r>
      <w:proofErr w:type="spellStart"/>
      <w:r w:rsidR="00CB3937">
        <w:t>a</w:t>
      </w:r>
      <w:r w:rsidR="0017663C">
        <w:t>calabrutinib</w:t>
      </w:r>
      <w:proofErr w:type="spellEnd"/>
      <w:r w:rsidR="0017663C">
        <w:t xml:space="preserve"> </w:t>
      </w:r>
      <w:r>
        <w:t>are underway.</w:t>
      </w:r>
    </w:p>
    <w:p w14:paraId="5EC9B0E3" w14:textId="77777777" w:rsidR="00456765" w:rsidRPr="00456765" w:rsidRDefault="00180128" w:rsidP="00180128">
      <w:r>
        <w:t>The Delegate notes that the provisi</w:t>
      </w:r>
      <w:r w:rsidR="00CB3937">
        <w:t xml:space="preserve">onal nature of any approval of </w:t>
      </w:r>
      <w:proofErr w:type="spellStart"/>
      <w:r w:rsidR="00CB3937">
        <w:t>a</w:t>
      </w:r>
      <w:r>
        <w:t>calabrutinib</w:t>
      </w:r>
      <w:proofErr w:type="spellEnd"/>
      <w:r>
        <w:t xml:space="preserve"> should be made clear in the </w:t>
      </w:r>
      <w:r w:rsidR="00CB3937">
        <w:t>indications</w:t>
      </w:r>
      <w:r>
        <w:t>.</w:t>
      </w:r>
    </w:p>
    <w:p w14:paraId="7A93D0FF" w14:textId="77777777" w:rsidR="00D23139" w:rsidRDefault="00D23139" w:rsidP="00D23139">
      <w:pPr>
        <w:pStyle w:val="Heading4"/>
      </w:pPr>
      <w:r w:rsidRPr="00D23139">
        <w:t>Proposed action</w:t>
      </w:r>
    </w:p>
    <w:p w14:paraId="13C5D35B" w14:textId="77777777" w:rsidR="00180128" w:rsidRDefault="00180128" w:rsidP="00180128">
      <w:r>
        <w:t>The Delegate proposes to</w:t>
      </w:r>
      <w:r w:rsidR="00CB3937">
        <w:t xml:space="preserve"> approve </w:t>
      </w:r>
      <w:proofErr w:type="spellStart"/>
      <w:r w:rsidR="00CB3937">
        <w:t>a</w:t>
      </w:r>
      <w:r w:rsidR="006B7E35">
        <w:t>calabrutinib</w:t>
      </w:r>
      <w:proofErr w:type="spellEnd"/>
      <w:r w:rsidR="006B7E35">
        <w:t xml:space="preserve"> for the i</w:t>
      </w:r>
      <w:r>
        <w:t>ndication:</w:t>
      </w:r>
    </w:p>
    <w:p w14:paraId="274A0255" w14:textId="77777777" w:rsidR="00180128" w:rsidRPr="006B7E35" w:rsidRDefault="006B7E35" w:rsidP="006B7E35">
      <w:pPr>
        <w:ind w:left="720"/>
        <w:rPr>
          <w:i/>
        </w:rPr>
      </w:pPr>
      <w:proofErr w:type="spellStart"/>
      <w:r w:rsidRPr="006B7E35">
        <w:rPr>
          <w:i/>
        </w:rPr>
        <w:t>Calquence</w:t>
      </w:r>
      <w:proofErr w:type="spellEnd"/>
      <w:r w:rsidR="00180128" w:rsidRPr="006B7E35">
        <w:rPr>
          <w:i/>
        </w:rPr>
        <w:t xml:space="preserve"> is indicated for the treatment of patients with mantle cell lymphoma who have received at least one prior therapy.</w:t>
      </w:r>
    </w:p>
    <w:p w14:paraId="5D483A2A" w14:textId="77777777" w:rsidR="00180128" w:rsidRDefault="00180128" w:rsidP="00180128">
      <w:r w:rsidRPr="008636AC">
        <w:t xml:space="preserve">This indication is approved via the </w:t>
      </w:r>
      <w:r w:rsidRPr="008E4728">
        <w:rPr>
          <w:b/>
        </w:rPr>
        <w:t>provisional approval</w:t>
      </w:r>
      <w:r w:rsidRPr="008636AC">
        <w:t xml:space="preserve"> pathway, based on overall response rate. Full registration for this indication depends on verification and description of clinical benefit in confirmatory trials.</w:t>
      </w:r>
    </w:p>
    <w:p w14:paraId="36EC3B72" w14:textId="77777777" w:rsidR="00180128" w:rsidRDefault="00180128" w:rsidP="00180128">
      <w:r>
        <w:t xml:space="preserve">The Delegate intends to place a condition on the </w:t>
      </w:r>
      <w:r w:rsidR="00CB3937">
        <w:t xml:space="preserve">registration of </w:t>
      </w:r>
      <w:proofErr w:type="spellStart"/>
      <w:r w:rsidR="00CB3937">
        <w:t>acalabrutinib</w:t>
      </w:r>
      <w:proofErr w:type="spellEnd"/>
      <w:r>
        <w:t xml:space="preserve"> that:</w:t>
      </w:r>
    </w:p>
    <w:p w14:paraId="1FB14441" w14:textId="687E8C25" w:rsidR="00180128" w:rsidRDefault="00180128" w:rsidP="006B7E35">
      <w:pPr>
        <w:pStyle w:val="ListBullet"/>
      </w:pPr>
      <w:r>
        <w:t xml:space="preserve">A final study report of </w:t>
      </w:r>
      <w:r w:rsidR="005E1849">
        <w:t xml:space="preserve">Study </w:t>
      </w:r>
      <w:r>
        <w:t>ACE-LY-004 will be submitted to TGA for evaluation when it is available.</w:t>
      </w:r>
    </w:p>
    <w:p w14:paraId="6E944229" w14:textId="23A7DD4B" w:rsidR="00456765" w:rsidRPr="00456765" w:rsidRDefault="00180128" w:rsidP="006B7E35">
      <w:pPr>
        <w:pStyle w:val="ListBullet"/>
      </w:pPr>
      <w:r>
        <w:lastRenderedPageBreak/>
        <w:t xml:space="preserve">A final study report of </w:t>
      </w:r>
      <w:r w:rsidR="005E1849">
        <w:t xml:space="preserve">Study </w:t>
      </w:r>
      <w:r>
        <w:t>ACE-LY-308 will be submitted to TGA for evaluation at the same time as it is submitted for evaluation to either the FDA, EMA or Health</w:t>
      </w:r>
      <w:r w:rsidR="005E1849">
        <w:t> </w:t>
      </w:r>
      <w:r>
        <w:t>Canada, whichever is the earliest.</w:t>
      </w:r>
    </w:p>
    <w:p w14:paraId="48BB02D9" w14:textId="77777777" w:rsidR="008E7846" w:rsidRDefault="008E7846" w:rsidP="008E7846">
      <w:pPr>
        <w:pStyle w:val="Heading4"/>
      </w:pPr>
      <w:r>
        <w:t>Advisory Committee Considerations</w:t>
      </w:r>
      <w:r w:rsidR="00456765">
        <w:rPr>
          <w:rStyle w:val="FootnoteReference"/>
        </w:rPr>
        <w:footnoteReference w:id="5"/>
      </w:r>
    </w:p>
    <w:p w14:paraId="496924A9" w14:textId="7C8C6EDC" w:rsidR="00456765" w:rsidRPr="00A322B3" w:rsidRDefault="00456765" w:rsidP="008E7846">
      <w:r>
        <w:rPr>
          <w:bCs/>
        </w:rPr>
        <w:t>The Delegate did not refer this application to the Advisory Committee on Medicines (ACM) for advice.</w:t>
      </w:r>
    </w:p>
    <w:p w14:paraId="61B03B76" w14:textId="77777777" w:rsidR="008E7846" w:rsidRPr="002E238E" w:rsidRDefault="008E7846" w:rsidP="008E7846">
      <w:pPr>
        <w:pStyle w:val="Heading3"/>
      </w:pPr>
      <w:bookmarkStart w:id="52" w:name="_Toc247691532"/>
      <w:bookmarkStart w:id="53" w:name="_Toc314842516"/>
      <w:bookmarkStart w:id="54" w:name="_Toc34134753"/>
      <w:bookmarkEnd w:id="31"/>
      <w:bookmarkEnd w:id="49"/>
      <w:bookmarkEnd w:id="50"/>
      <w:r>
        <w:t>Outcome</w:t>
      </w:r>
      <w:bookmarkEnd w:id="52"/>
      <w:bookmarkEnd w:id="53"/>
      <w:bookmarkEnd w:id="54"/>
    </w:p>
    <w:p w14:paraId="40E6166D" w14:textId="0ACDBF34" w:rsidR="00D23139" w:rsidRPr="00D23139" w:rsidRDefault="00D23139" w:rsidP="00D23139">
      <w:bookmarkStart w:id="55" w:name="_Toc247691533"/>
      <w:bookmarkStart w:id="56" w:name="_Toc314842517"/>
      <w:r w:rsidRPr="00D23139">
        <w:t xml:space="preserve">Based on a review of quality, safety and efficacy, </w:t>
      </w:r>
      <w:r w:rsidR="008E4728">
        <w:t xml:space="preserve">the </w:t>
      </w:r>
      <w:r w:rsidRPr="00D23139">
        <w:t xml:space="preserve">TGA approved the </w:t>
      </w:r>
      <w:r w:rsidR="00C55ACC">
        <w:t xml:space="preserve">provisional </w:t>
      </w:r>
      <w:r w:rsidRPr="00D23139">
        <w:t xml:space="preserve">registration of </w:t>
      </w:r>
      <w:proofErr w:type="spellStart"/>
      <w:r w:rsidR="00C55ACC" w:rsidRPr="00BC3730">
        <w:rPr>
          <w:rFonts w:eastAsia="Calibri"/>
        </w:rPr>
        <w:t>Calquence</w:t>
      </w:r>
      <w:proofErr w:type="spellEnd"/>
      <w:r w:rsidR="00C55ACC">
        <w:rPr>
          <w:rFonts w:eastAsia="Calibri"/>
        </w:rPr>
        <w:t xml:space="preserve"> (</w:t>
      </w:r>
      <w:proofErr w:type="spellStart"/>
      <w:r w:rsidR="00C55ACC">
        <w:rPr>
          <w:rFonts w:eastAsia="Calibri"/>
        </w:rPr>
        <w:t>a</w:t>
      </w:r>
      <w:r w:rsidR="00C55ACC" w:rsidRPr="00BC3730">
        <w:rPr>
          <w:rFonts w:eastAsia="Calibri"/>
        </w:rPr>
        <w:t>calabrutinib</w:t>
      </w:r>
      <w:proofErr w:type="spellEnd"/>
      <w:r w:rsidR="00C55ACC">
        <w:rPr>
          <w:rFonts w:eastAsia="Calibri"/>
        </w:rPr>
        <w:t>)</w:t>
      </w:r>
      <w:r w:rsidRPr="00D23139">
        <w:t xml:space="preserve"> </w:t>
      </w:r>
      <w:r w:rsidR="00C55ACC">
        <w:t>100 mg hard capsule</w:t>
      </w:r>
      <w:r w:rsidRPr="00D23139">
        <w:t>, indicated for:</w:t>
      </w:r>
    </w:p>
    <w:p w14:paraId="55F73767" w14:textId="77777777" w:rsidR="00C55ACC" w:rsidRPr="00BC3730" w:rsidRDefault="00C55ACC" w:rsidP="00C55ACC">
      <w:pPr>
        <w:ind w:left="720"/>
        <w:rPr>
          <w:i/>
        </w:rPr>
      </w:pPr>
      <w:proofErr w:type="spellStart"/>
      <w:r w:rsidRPr="00BC3730">
        <w:rPr>
          <w:i/>
        </w:rPr>
        <w:t>Calquence</w:t>
      </w:r>
      <w:proofErr w:type="spellEnd"/>
      <w:r w:rsidRPr="00BC3730">
        <w:rPr>
          <w:i/>
        </w:rPr>
        <w:t xml:space="preserve"> is indicated for the treatment of patients with mantle cell lymphoma who have received at least one prior therapy.</w:t>
      </w:r>
    </w:p>
    <w:p w14:paraId="0815422A" w14:textId="77777777" w:rsidR="00C55ACC" w:rsidRDefault="00C55ACC" w:rsidP="00C55ACC">
      <w:r w:rsidRPr="00BC3730">
        <w:t xml:space="preserve">This indication is approved via the </w:t>
      </w:r>
      <w:r w:rsidRPr="00BC3730">
        <w:rPr>
          <w:b/>
        </w:rPr>
        <w:t>provisional approval</w:t>
      </w:r>
      <w:r w:rsidRPr="00BC3730">
        <w:t xml:space="preserve"> pathway, based on overall response rate. Full registration for this indication depends on verification and description of clinical benefit in confirmatory trials.</w:t>
      </w:r>
    </w:p>
    <w:p w14:paraId="3297ED45" w14:textId="77777777" w:rsidR="00C55ACC" w:rsidRPr="00BC3730" w:rsidRDefault="00C55ACC" w:rsidP="00C55ACC">
      <w:r>
        <w:t xml:space="preserve">The provisional registration period for the above medicine is </w:t>
      </w:r>
      <w:r w:rsidRPr="00BC3730">
        <w:rPr>
          <w:b/>
        </w:rPr>
        <w:t>two years</w:t>
      </w:r>
      <w:r>
        <w:t xml:space="preserve"> starting on the day specified in the ARTG certificate of registration.</w:t>
      </w:r>
    </w:p>
    <w:p w14:paraId="097649C2" w14:textId="77777777" w:rsidR="00D23139" w:rsidRDefault="00D23139" w:rsidP="00D23139">
      <w:pPr>
        <w:pStyle w:val="Heading4"/>
      </w:pPr>
      <w:r w:rsidRPr="00D23139">
        <w:t>Specific conditions of registration applying to these goods</w:t>
      </w:r>
    </w:p>
    <w:p w14:paraId="19F85B37" w14:textId="5CCA5479" w:rsidR="00C55ACC" w:rsidRPr="009B2394" w:rsidRDefault="00C55ACC" w:rsidP="00C55ACC">
      <w:pPr>
        <w:pStyle w:val="ListBullet"/>
      </w:pPr>
      <w:proofErr w:type="spellStart"/>
      <w:r w:rsidRPr="009B2394">
        <w:t>Calquence</w:t>
      </w:r>
      <w:proofErr w:type="spellEnd"/>
      <w:r w:rsidRPr="009B2394">
        <w:t xml:space="preserve"> (</w:t>
      </w:r>
      <w:proofErr w:type="spellStart"/>
      <w:r w:rsidRPr="009B2394">
        <w:t>acalabrutinib</w:t>
      </w:r>
      <w:proofErr w:type="spellEnd"/>
      <w:r w:rsidRPr="009B2394">
        <w:t>) is to be included in the Bl</w:t>
      </w:r>
      <w:r>
        <w:t xml:space="preserve">ack Triangle Scheme. The </w:t>
      </w:r>
      <w:r w:rsidR="00A9736B">
        <w:t>PI</w:t>
      </w:r>
      <w:r>
        <w:t xml:space="preserve"> and Consumer Medicines Information (</w:t>
      </w:r>
      <w:r w:rsidRPr="009B2394">
        <w:t>CMI</w:t>
      </w:r>
      <w:r>
        <w:t>)</w:t>
      </w:r>
      <w:r w:rsidRPr="009B2394">
        <w:t xml:space="preserve"> for </w:t>
      </w:r>
      <w:proofErr w:type="spellStart"/>
      <w:r w:rsidRPr="009B2394">
        <w:t>Calquence</w:t>
      </w:r>
      <w:proofErr w:type="spellEnd"/>
      <w:r w:rsidRPr="009B2394">
        <w:t xml:space="preserve"> must include the blac</w:t>
      </w:r>
      <w:r>
        <w:t xml:space="preserve">k triangle symbol and mandatory </w:t>
      </w:r>
      <w:r w:rsidRPr="009B2394">
        <w:t>accompanying text for five years, which starts from the</w:t>
      </w:r>
      <w:r>
        <w:t xml:space="preserve"> date that the sponsor notifies </w:t>
      </w:r>
      <w:r w:rsidRPr="009B2394">
        <w:t>the TGA of supply of the product.</w:t>
      </w:r>
    </w:p>
    <w:p w14:paraId="67D0083F" w14:textId="77777777" w:rsidR="00C55ACC" w:rsidRDefault="00C55ACC" w:rsidP="00C55ACC">
      <w:pPr>
        <w:pStyle w:val="ListBullet"/>
      </w:pPr>
      <w:r w:rsidRPr="009B2394">
        <w:t>Confirmatory trial data (as identified in the sponsor</w:t>
      </w:r>
      <w:r>
        <w:t xml:space="preserve">’s plan to submit comprehensive </w:t>
      </w:r>
      <w:r w:rsidRPr="009B2394">
        <w:t>clinical data on the safety and efficacy of the medicine bef</w:t>
      </w:r>
      <w:r>
        <w:t xml:space="preserve">ore the end of the 6 years that </w:t>
      </w:r>
      <w:r w:rsidRPr="009B2394">
        <w:t>would start on the day that registration wo</w:t>
      </w:r>
      <w:r>
        <w:t>uld commence) must be provided.</w:t>
      </w:r>
    </w:p>
    <w:p w14:paraId="32D94CBA" w14:textId="77777777" w:rsidR="00C55ACC" w:rsidRDefault="00C55ACC" w:rsidP="00C55ACC">
      <w:pPr>
        <w:pStyle w:val="ListBullet"/>
        <w:numPr>
          <w:ilvl w:val="0"/>
          <w:numId w:val="0"/>
        </w:numPr>
        <w:ind w:left="360"/>
      </w:pPr>
      <w:r w:rsidRPr="009B2394">
        <w:t>Specifically the sponsor must conduct studies as describe</w:t>
      </w:r>
      <w:r>
        <w:t xml:space="preserve">d in the clinical study plan in </w:t>
      </w:r>
      <w:r w:rsidRPr="009B2394">
        <w:t>version 1.0, succession 3, (date 7 November 2019) of th</w:t>
      </w:r>
      <w:r>
        <w:t xml:space="preserve">e Australia-specific Annex. The </w:t>
      </w:r>
      <w:r w:rsidRPr="009B2394">
        <w:t>following study reports should be submitted to TGA:</w:t>
      </w:r>
    </w:p>
    <w:p w14:paraId="55614E5D" w14:textId="77777777" w:rsidR="00C55ACC" w:rsidRDefault="00C55ACC" w:rsidP="00C55ACC">
      <w:pPr>
        <w:pStyle w:val="ListBullet2"/>
      </w:pPr>
      <w:r>
        <w:t xml:space="preserve">ACE-LY-004, A Phase II, </w:t>
      </w:r>
      <w:proofErr w:type="spellStart"/>
      <w:r>
        <w:t>multicenter</w:t>
      </w:r>
      <w:proofErr w:type="spellEnd"/>
      <w:r>
        <w:t>, open-label study in subjects with histologically documented MCL, who had relapsed after or been refractory to ≥ 1 (but not &gt; 5) prior treatment regimens, by Q3 2020;</w:t>
      </w:r>
    </w:p>
    <w:p w14:paraId="11083AFA" w14:textId="77777777" w:rsidR="00C55ACC" w:rsidRDefault="00C55ACC" w:rsidP="00C55ACC">
      <w:pPr>
        <w:pStyle w:val="ListBullet2"/>
      </w:pPr>
      <w:r>
        <w:t xml:space="preserve">ACE-LY-308, A Phase III, randomized, double-blind, placebo-controlled, </w:t>
      </w:r>
      <w:proofErr w:type="spellStart"/>
      <w:r>
        <w:t>multicenter</w:t>
      </w:r>
      <w:proofErr w:type="spellEnd"/>
      <w:r>
        <w:t xml:space="preserve"> study of </w:t>
      </w:r>
      <w:proofErr w:type="spellStart"/>
      <w:r>
        <w:t>bendamustine</w:t>
      </w:r>
      <w:proofErr w:type="spellEnd"/>
      <w:r>
        <w:t xml:space="preserve"> and rituximab alone versus in combination with </w:t>
      </w:r>
      <w:proofErr w:type="spellStart"/>
      <w:r>
        <w:t>acalabrutinib</w:t>
      </w:r>
      <w:proofErr w:type="spellEnd"/>
      <w:r>
        <w:t xml:space="preserve"> in subjects with untreated MCL, by Q1/Q2 2024.</w:t>
      </w:r>
    </w:p>
    <w:p w14:paraId="03CB3F99" w14:textId="77777777" w:rsidR="00C55ACC" w:rsidRDefault="00C55ACC" w:rsidP="00C55ACC">
      <w:pPr>
        <w:pStyle w:val="ListBullet"/>
        <w:numPr>
          <w:ilvl w:val="0"/>
          <w:numId w:val="0"/>
        </w:numPr>
        <w:ind w:left="360"/>
      </w:pPr>
      <w:r>
        <w:t>Further guidance for sponsors is available on the TGA website.</w:t>
      </w:r>
    </w:p>
    <w:p w14:paraId="27537B98" w14:textId="77777777" w:rsidR="00C55ACC" w:rsidRDefault="00C55ACC" w:rsidP="00C55ACC">
      <w:pPr>
        <w:pStyle w:val="ListBullet"/>
      </w:pPr>
      <w:r>
        <w:lastRenderedPageBreak/>
        <w:t xml:space="preserve">The </w:t>
      </w:r>
      <w:proofErr w:type="spellStart"/>
      <w:r>
        <w:t>Calquence</w:t>
      </w:r>
      <w:proofErr w:type="spellEnd"/>
      <w:r>
        <w:t xml:space="preserve"> Core Risk Management Plan version 2; date; data lock point 8 February 2019 (RMP) (version 2, dated 19 August 2019, data lock point 8 February 2019), with Australian Specific Annex (version 1.0, succession 3, dated 7 November 2019) included with submission PM-2019-03536-1-6, and any subsequent revisions, as agreed with the TGA will be implemented in Australia.</w:t>
      </w:r>
    </w:p>
    <w:p w14:paraId="48B933BC" w14:textId="77777777" w:rsidR="00C55ACC" w:rsidRDefault="00C55ACC" w:rsidP="00C55ACC">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04029203" w14:textId="43D7C283" w:rsidR="00C55ACC" w:rsidRDefault="00B9145D" w:rsidP="00C55ACC">
      <w:pPr>
        <w:pStyle w:val="ListBullet"/>
        <w:numPr>
          <w:ilvl w:val="0"/>
          <w:numId w:val="0"/>
        </w:numPr>
        <w:ind w:left="360"/>
      </w:pPr>
      <w:r w:rsidRPr="00B9145D">
        <w:t>Unless agreed separately between the supplier who is the recipient of the approval and the TGA, the first report must be su</w:t>
      </w:r>
      <w:r>
        <w:t xml:space="preserve">bmitted to TGA no later than </w:t>
      </w:r>
      <w:r w:rsidRPr="00B9145D">
        <w:t>9 calend</w:t>
      </w:r>
      <w:r>
        <w:t>ar months after the date of the</w:t>
      </w:r>
      <w:r w:rsidRPr="00B9145D">
        <w:t xml:space="preserve"> approval letter. The subsequent reports must be submitted no less frequently than annually from the date of the first submitted report until the period covered by such reports is not less than t</w:t>
      </w:r>
      <w:r w:rsidR="00057C92">
        <w:t>hree years from the date of the</w:t>
      </w:r>
      <w:r w:rsidRPr="00B9145D">
        <w:t xml:space="preserve"> approval letter or for the entire period of provisional registration, whichever is longer. The annual submission may be made up of two PSURs each covering six months. If the sponsor wishes, the six monthly reports may be submitted separately as they become available.</w:t>
      </w:r>
    </w:p>
    <w:p w14:paraId="71A820FA" w14:textId="77777777" w:rsidR="00C55ACC" w:rsidRDefault="00C55ACC" w:rsidP="00C55ACC">
      <w:pPr>
        <w:pStyle w:val="ListBullet"/>
        <w:numPr>
          <w:ilvl w:val="0"/>
          <w:numId w:val="0"/>
        </w:numPr>
        <w:ind w:left="360"/>
      </w:pPr>
      <w:r>
        <w:t>The reports are to at least meet the requirements for PSURs as described in the European Medicines Agency’s Guideline on Good Pharmacovigilance Practices (GVP) Module VII 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5A06173F" w14:textId="77777777" w:rsidR="00C55ACC" w:rsidRDefault="00C55ACC" w:rsidP="00C55ACC">
      <w:pPr>
        <w:pStyle w:val="ListBullet"/>
      </w:pPr>
      <w:r>
        <w:t>A final study report of ACE-LY-004 will be submitted to TGA for evaluation when it is available.</w:t>
      </w:r>
    </w:p>
    <w:p w14:paraId="36B6B29D" w14:textId="77777777" w:rsidR="00C55ACC" w:rsidRPr="00C55ACC" w:rsidRDefault="00C55ACC" w:rsidP="00C55ACC">
      <w:pPr>
        <w:pStyle w:val="ListBullet"/>
      </w:pPr>
      <w:r>
        <w:t>A final study report of ACE-LY-308 will be submitted to TGA for evaluation at the same time as it is submitted for evaluation to either the Food and Drug Administration (FDA), European Medicines Agency (EMA) or Health Canada, whichever is the earliest.</w:t>
      </w:r>
    </w:p>
    <w:p w14:paraId="19EF0C00" w14:textId="77777777" w:rsidR="008E7846" w:rsidRDefault="00A80B5B" w:rsidP="00D23139">
      <w:pPr>
        <w:pStyle w:val="Heading2"/>
      </w:pPr>
      <w:bookmarkStart w:id="57" w:name="_Toc34134754"/>
      <w:r>
        <w:t xml:space="preserve">Attachment 1. </w:t>
      </w:r>
      <w:r w:rsidR="008E7846">
        <w:t xml:space="preserve">Product </w:t>
      </w:r>
      <w:r w:rsidR="00AA0ED0">
        <w:t>I</w:t>
      </w:r>
      <w:r w:rsidR="008E7846">
        <w:t>nformation</w:t>
      </w:r>
      <w:bookmarkEnd w:id="55"/>
      <w:bookmarkEnd w:id="56"/>
      <w:bookmarkEnd w:id="57"/>
    </w:p>
    <w:p w14:paraId="02AC231C" w14:textId="77777777" w:rsidR="00770CAC" w:rsidRPr="006B7E35" w:rsidRDefault="006136D7" w:rsidP="006B7E35">
      <w:pPr>
        <w:rPr>
          <w:color w:val="000000"/>
          <w:lang w:eastAsia="en-AU"/>
        </w:rPr>
      </w:pPr>
      <w:r w:rsidRPr="002B3624">
        <w:t xml:space="preserve">The </w:t>
      </w:r>
      <w:r>
        <w:t>PI</w:t>
      </w:r>
      <w:r w:rsidRPr="002B3624">
        <w:t xml:space="preserve"> for </w:t>
      </w:r>
      <w:proofErr w:type="spellStart"/>
      <w:r w:rsidR="00C55ACC">
        <w:t>Calquence</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C55ACC">
        <w:t>&gt;.</w:t>
      </w:r>
    </w:p>
    <w:p w14:paraId="20CBAB1C" w14:textId="77777777" w:rsidR="00291957" w:rsidRDefault="00291957" w:rsidP="00291957">
      <w:pPr>
        <w:rPr>
          <w:lang w:eastAsia="ja-JP"/>
        </w:rPr>
      </w:pPr>
    </w:p>
    <w:p w14:paraId="40702505" w14:textId="77777777"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155EA45" w14:textId="77777777" w:rsidTr="00A05FA4">
        <w:trPr>
          <w:trHeight w:hRule="exact" w:val="704"/>
        </w:trPr>
        <w:tc>
          <w:tcPr>
            <w:tcW w:w="9175" w:type="dxa"/>
          </w:tcPr>
          <w:p w14:paraId="2949051D" w14:textId="77777777" w:rsidR="001C32CD" w:rsidRPr="00487162" w:rsidRDefault="001C32CD" w:rsidP="00A05FA4">
            <w:pPr>
              <w:pStyle w:val="TGASignoff"/>
            </w:pPr>
            <w:r w:rsidRPr="00487162">
              <w:lastRenderedPageBreak/>
              <w:t>Therapeutic Goods Administration</w:t>
            </w:r>
          </w:p>
        </w:tc>
      </w:tr>
      <w:tr w:rsidR="001C32CD" w:rsidRPr="004C239D" w14:paraId="20B5455A" w14:textId="77777777" w:rsidTr="00A05FA4">
        <w:trPr>
          <w:trHeight w:val="1221"/>
        </w:trPr>
        <w:tc>
          <w:tcPr>
            <w:tcW w:w="9175" w:type="dxa"/>
            <w:tcMar>
              <w:top w:w="28" w:type="dxa"/>
            </w:tcMar>
          </w:tcPr>
          <w:p w14:paraId="080956E0" w14:textId="77777777" w:rsidR="001C32CD" w:rsidRPr="00487162" w:rsidRDefault="001C32CD" w:rsidP="00A05FA4">
            <w:pPr>
              <w:pStyle w:val="Address"/>
            </w:pPr>
            <w:r w:rsidRPr="00487162">
              <w:t>PO Box 100 Woden ACT 2606 Australia</w:t>
            </w:r>
          </w:p>
          <w:p w14:paraId="695681F3" w14:textId="77777777"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36C4386C" w14:textId="77777777" w:rsidR="001C32CD" w:rsidRPr="004C239D" w:rsidRDefault="0052733F"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6532576C"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CC21E8" w16cid:durableId="21D56BD1"/>
  <w16cid:commentId w16cid:paraId="11011829" w16cid:durableId="21D56C2E"/>
  <w16cid:commentId w16cid:paraId="14448DF8" w16cid:durableId="21D56CD9"/>
  <w16cid:commentId w16cid:paraId="36542E0B" w16cid:durableId="21D56D68"/>
  <w16cid:commentId w16cid:paraId="6A9636F5" w16cid:durableId="21D56DC5"/>
  <w16cid:commentId w16cid:paraId="7683CFBF" w16cid:durableId="21D56E28"/>
  <w16cid:commentId w16cid:paraId="426203A1" w16cid:durableId="21D56E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1A11" w14:textId="77777777" w:rsidR="0052733F" w:rsidRDefault="0052733F" w:rsidP="00C40A36">
      <w:pPr>
        <w:spacing w:after="0"/>
      </w:pPr>
      <w:r>
        <w:separator/>
      </w:r>
    </w:p>
  </w:endnote>
  <w:endnote w:type="continuationSeparator" w:id="0">
    <w:p w14:paraId="166411DB" w14:textId="77777777" w:rsidR="0052733F" w:rsidRDefault="0052733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A256" w14:textId="77777777" w:rsidR="0052733F" w:rsidRDefault="0052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2733F" w:rsidRPr="00487162" w14:paraId="79DB33D6" w14:textId="77777777" w:rsidTr="00DB750B">
      <w:trPr>
        <w:trHeight w:val="269"/>
      </w:trPr>
      <w:tc>
        <w:tcPr>
          <w:tcW w:w="7371" w:type="dxa"/>
          <w:tcMar>
            <w:top w:w="142" w:type="dxa"/>
            <w:bottom w:w="0" w:type="dxa"/>
          </w:tcMar>
        </w:tcPr>
        <w:p w14:paraId="0CA6B347" w14:textId="5EFEDBD4" w:rsidR="0052733F" w:rsidRPr="00487162" w:rsidRDefault="0052733F" w:rsidP="00A6390C">
          <w:pPr>
            <w:pStyle w:val="Footer"/>
          </w:pPr>
          <w:r w:rsidRPr="00487162">
            <w:t>AusPA</w:t>
          </w:r>
          <w:r>
            <w:t xml:space="preserve">R - </w:t>
          </w:r>
          <w:r w:rsidRPr="00A60AA0">
            <w:t xml:space="preserve">CALQUENCE - </w:t>
          </w:r>
          <w:proofErr w:type="spellStart"/>
          <w:r w:rsidRPr="00A60AA0">
            <w:t>Acalabrutinib</w:t>
          </w:r>
          <w:proofErr w:type="spellEnd"/>
          <w:r w:rsidRPr="00A60AA0">
            <w:t xml:space="preserve"> - AstraZeneca Pty Ltd - PM-2019-03536-1-6</w:t>
          </w:r>
          <w:r>
            <w:br/>
            <w:t>FINAL 17 February 2020</w:t>
          </w:r>
        </w:p>
      </w:tc>
      <w:tc>
        <w:tcPr>
          <w:tcW w:w="1490" w:type="dxa"/>
          <w:tcMar>
            <w:top w:w="142" w:type="dxa"/>
            <w:bottom w:w="0" w:type="dxa"/>
          </w:tcMar>
        </w:tcPr>
        <w:p w14:paraId="72386DDA" w14:textId="75730F5D" w:rsidR="0052733F" w:rsidRPr="00487162" w:rsidRDefault="0052733F" w:rsidP="00DB750B">
          <w:pPr>
            <w:pStyle w:val="Footer"/>
            <w:jc w:val="right"/>
          </w:pPr>
          <w:r w:rsidRPr="00487162">
            <w:t xml:space="preserve">Page </w:t>
          </w:r>
          <w:r>
            <w:fldChar w:fldCharType="begin"/>
          </w:r>
          <w:r>
            <w:instrText xml:space="preserve"> PAGE  \* Arabic </w:instrText>
          </w:r>
          <w:r>
            <w:fldChar w:fldCharType="separate"/>
          </w:r>
          <w:r w:rsidR="00AB5014">
            <w:rPr>
              <w:noProof/>
            </w:rPr>
            <w:t>19</w:t>
          </w:r>
          <w:r>
            <w:fldChar w:fldCharType="end"/>
          </w:r>
          <w:r w:rsidRPr="00487162">
            <w:t xml:space="preserve"> of </w:t>
          </w:r>
          <w:fldSimple w:instr=" NUMPAGES  \* Arabic ">
            <w:r w:rsidR="00AB5014">
              <w:rPr>
                <w:noProof/>
              </w:rPr>
              <w:t>20</w:t>
            </w:r>
          </w:fldSimple>
        </w:p>
      </w:tc>
    </w:tr>
  </w:tbl>
  <w:p w14:paraId="69608B75" w14:textId="77777777" w:rsidR="0052733F" w:rsidRDefault="0052733F"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9103" w14:textId="77777777" w:rsidR="0052733F" w:rsidRDefault="005273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2733F" w:rsidRPr="00487162" w14:paraId="64A54A29" w14:textId="77777777" w:rsidTr="00E45619">
      <w:trPr>
        <w:trHeight w:val="269"/>
      </w:trPr>
      <w:tc>
        <w:tcPr>
          <w:tcW w:w="4519" w:type="dxa"/>
          <w:tcBorders>
            <w:top w:val="single" w:sz="4" w:space="0" w:color="auto"/>
          </w:tcBorders>
          <w:tcMar>
            <w:top w:w="142" w:type="dxa"/>
            <w:bottom w:w="0" w:type="dxa"/>
          </w:tcMar>
        </w:tcPr>
        <w:p w14:paraId="7F35406D" w14:textId="77777777" w:rsidR="0052733F" w:rsidRPr="00487162" w:rsidRDefault="0052733F" w:rsidP="00FE1DEE">
          <w:pPr>
            <w:pStyle w:val="Footer"/>
          </w:pPr>
          <w:r w:rsidRPr="00487162">
            <w:t>Document title, Part #, Section # - Section title</w:t>
          </w:r>
        </w:p>
        <w:p w14:paraId="38F583AB" w14:textId="77777777" w:rsidR="0052733F" w:rsidRPr="00487162" w:rsidRDefault="0052733F" w:rsidP="00FE1DEE">
          <w:pPr>
            <w:pStyle w:val="Footer"/>
          </w:pPr>
          <w:r w:rsidRPr="00487162">
            <w:t>V1.0 October 2010</w:t>
          </w:r>
        </w:p>
      </w:tc>
      <w:tc>
        <w:tcPr>
          <w:tcW w:w="4342" w:type="dxa"/>
          <w:tcBorders>
            <w:top w:val="single" w:sz="4" w:space="0" w:color="auto"/>
          </w:tcBorders>
          <w:tcMar>
            <w:top w:w="142" w:type="dxa"/>
            <w:bottom w:w="0" w:type="dxa"/>
          </w:tcMar>
        </w:tcPr>
        <w:p w14:paraId="3DC90A84" w14:textId="5BCC4EFD" w:rsidR="0052733F" w:rsidRPr="00487162" w:rsidRDefault="0052733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341AE96D" w14:textId="77777777" w:rsidR="0052733F" w:rsidRDefault="005273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CC85" w14:textId="77777777" w:rsidR="0052733F" w:rsidRPr="001C32CD" w:rsidRDefault="0052733F"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2733F" w14:paraId="17CF5D6B" w14:textId="77777777" w:rsidTr="0010601F">
      <w:trPr>
        <w:trHeight w:val="108"/>
      </w:trPr>
      <w:tc>
        <w:tcPr>
          <w:tcW w:w="8875" w:type="dxa"/>
          <w:gridSpan w:val="2"/>
          <w:tcBorders>
            <w:bottom w:val="single" w:sz="4" w:space="0" w:color="auto"/>
          </w:tcBorders>
          <w:tcMar>
            <w:right w:w="284" w:type="dxa"/>
          </w:tcMar>
        </w:tcPr>
        <w:p w14:paraId="171D5B54" w14:textId="77777777" w:rsidR="0052733F" w:rsidRDefault="0052733F" w:rsidP="006E08B3">
          <w:pPr>
            <w:pStyle w:val="Heading3"/>
          </w:pPr>
          <w:r>
            <w:t>Copyright</w:t>
          </w:r>
        </w:p>
        <w:p w14:paraId="5C456760" w14:textId="77777777" w:rsidR="0052733F" w:rsidRDefault="0052733F" w:rsidP="006E08B3">
          <w:r>
            <w:rPr>
              <w:rFonts w:cs="Arial"/>
            </w:rPr>
            <w:t>©</w:t>
          </w:r>
          <w:r>
            <w:t xml:space="preserve"> Commonwealth of Australia [add year]</w:t>
          </w:r>
        </w:p>
        <w:p w14:paraId="6D9BC11D" w14:textId="77777777" w:rsidR="0052733F" w:rsidRDefault="0052733F" w:rsidP="006E08B3"/>
        <w:p w14:paraId="0B4C5D50" w14:textId="77777777" w:rsidR="0052733F" w:rsidRDefault="0052733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BA48F92" w14:textId="77777777" w:rsidR="0052733F" w:rsidRDefault="0052733F" w:rsidP="006E08B3"/>
        <w:p w14:paraId="43248EC8" w14:textId="77777777" w:rsidR="0052733F" w:rsidRDefault="0052733F" w:rsidP="006E08B3">
          <w:pPr>
            <w:pStyle w:val="Heading3"/>
          </w:pPr>
          <w:r>
            <w:t>Confidentiality</w:t>
          </w:r>
        </w:p>
        <w:p w14:paraId="6C867814" w14:textId="77777777" w:rsidR="0052733F" w:rsidRDefault="0052733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DB986E8" w14:textId="77777777" w:rsidR="0052733F" w:rsidRDefault="0052733F" w:rsidP="006E08B3"/>
        <w:p w14:paraId="517964FF" w14:textId="77777777" w:rsidR="0052733F" w:rsidRDefault="0052733F" w:rsidP="006E08B3">
          <w:r>
            <w:t>For submission made by individuals, all personal details, other than your name, will be removed from your submission before it is published on the TGA’s Internet site.</w:t>
          </w:r>
        </w:p>
        <w:p w14:paraId="39246813" w14:textId="77777777" w:rsidR="0052733F" w:rsidRDefault="0052733F" w:rsidP="006E08B3"/>
        <w:p w14:paraId="44B967C9" w14:textId="77777777" w:rsidR="0052733F" w:rsidRDefault="0052733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2733F" w14:paraId="5149FF93" w14:textId="77777777" w:rsidTr="0010601F">
      <w:trPr>
        <w:trHeight w:val="417"/>
      </w:trPr>
      <w:tc>
        <w:tcPr>
          <w:tcW w:w="4519" w:type="dxa"/>
          <w:tcBorders>
            <w:top w:val="single" w:sz="4" w:space="0" w:color="auto"/>
          </w:tcBorders>
          <w:tcMar>
            <w:top w:w="142" w:type="dxa"/>
            <w:bottom w:w="0" w:type="dxa"/>
          </w:tcMar>
        </w:tcPr>
        <w:p w14:paraId="093F8BB8" w14:textId="77777777" w:rsidR="0052733F" w:rsidRDefault="0052733F" w:rsidP="006E08B3">
          <w:r>
            <w:t>Document title, Part #, Section # - Section title</w:t>
          </w:r>
        </w:p>
        <w:p w14:paraId="65DFCE02" w14:textId="77777777" w:rsidR="0052733F" w:rsidRDefault="0052733F" w:rsidP="006E08B3">
          <w:r>
            <w:t>V1.0 October 2010</w:t>
          </w:r>
        </w:p>
      </w:tc>
      <w:tc>
        <w:tcPr>
          <w:tcW w:w="4356" w:type="dxa"/>
          <w:tcBorders>
            <w:top w:val="single" w:sz="4" w:space="0" w:color="auto"/>
          </w:tcBorders>
          <w:tcMar>
            <w:top w:w="142" w:type="dxa"/>
            <w:bottom w:w="0" w:type="dxa"/>
          </w:tcMar>
        </w:tcPr>
        <w:p w14:paraId="55EF1D75" w14:textId="47FF3745" w:rsidR="0052733F" w:rsidRDefault="0052733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1EDE7DBA" w14:textId="77777777" w:rsidR="0052733F" w:rsidRDefault="005273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A34DC" w14:textId="77777777" w:rsidR="0052733F" w:rsidRDefault="0052733F" w:rsidP="00C40A36">
      <w:pPr>
        <w:spacing w:after="0"/>
      </w:pPr>
      <w:r>
        <w:separator/>
      </w:r>
    </w:p>
  </w:footnote>
  <w:footnote w:type="continuationSeparator" w:id="0">
    <w:p w14:paraId="6F7C26C8" w14:textId="77777777" w:rsidR="0052733F" w:rsidRDefault="0052733F" w:rsidP="00C40A36">
      <w:pPr>
        <w:spacing w:after="0"/>
      </w:pPr>
      <w:r>
        <w:continuationSeparator/>
      </w:r>
    </w:p>
  </w:footnote>
  <w:footnote w:id="1">
    <w:p w14:paraId="5DA17A6B" w14:textId="77777777" w:rsidR="0052733F" w:rsidRDefault="0052733F" w:rsidP="00EA6DFE">
      <w:pPr>
        <w:pStyle w:val="FootnoteText"/>
      </w:pPr>
      <w:r>
        <w:rPr>
          <w:rStyle w:val="FootnoteReference"/>
        </w:rPr>
        <w:footnoteRef/>
      </w:r>
      <w:r>
        <w:t xml:space="preserve"> The COR report-based process is associated with a shortened evaluation and decision timeframe. The aim of this process is to reduce duplication of evaluation of prescription medicines that have already been approved by a COR, while maintaining existing quality, safety and efficacy standards for medicines supplied in Australia.</w:t>
      </w:r>
    </w:p>
    <w:p w14:paraId="0AF1F998" w14:textId="77777777" w:rsidR="0052733F" w:rsidRDefault="0052733F" w:rsidP="00EA6DFE">
      <w:pPr>
        <w:pStyle w:val="FootnoteText"/>
      </w:pPr>
      <w:r>
        <w:t>The intention is that the TGA will only need to evaluate data generated specifically for the Australian context. For example, Australian labels, product information and consumer medicine information. However, in some instances, additional data may need to be considered. For example, safety data generated since the COR approval.</w:t>
      </w:r>
    </w:p>
    <w:p w14:paraId="541F4894" w14:textId="05D239C0" w:rsidR="0052733F" w:rsidRPr="00DC2B25" w:rsidRDefault="0052733F" w:rsidP="00EA6DFE">
      <w:pPr>
        <w:pStyle w:val="FootnoteText"/>
      </w:pPr>
      <w:r>
        <w:t>Under the COR-B approach, the TGA regulatory decision will still be mostly based on a critical review of the COR assessment reports. The COR-B process has a 175 working day evaluation and decision timeframe, allowing for TGA evaluation of certain data, in addition to the label, PI and RMP.</w:t>
      </w:r>
    </w:p>
  </w:footnote>
  <w:footnote w:id="2">
    <w:p w14:paraId="17AC642F" w14:textId="77777777" w:rsidR="0052733F" w:rsidRDefault="0052733F" w:rsidP="00B84C38">
      <w:pPr>
        <w:pStyle w:val="FootnoteText"/>
      </w:pPr>
      <w:r>
        <w:rPr>
          <w:rStyle w:val="FootnoteReference"/>
        </w:rPr>
        <w:footnoteRef/>
      </w:r>
      <w:r>
        <w:t xml:space="preserve"> European Medicines Agency (EMA), </w:t>
      </w:r>
      <w:r w:rsidRPr="00B84C38">
        <w:t xml:space="preserve">Committee for Medicinal Products for Human Use </w:t>
      </w:r>
      <w:r>
        <w:t xml:space="preserve">(CHMP), ICH S9 Guidance on nonclinical evaluation for anticancer pharmaceuticals, </w:t>
      </w:r>
      <w:r w:rsidRPr="00B84C38">
        <w:t>EMEA/CHMP/ICH/646107/2008</w:t>
      </w:r>
      <w:r>
        <w:t>.</w:t>
      </w:r>
    </w:p>
  </w:footnote>
  <w:footnote w:id="3">
    <w:p w14:paraId="4B8C2701" w14:textId="77777777" w:rsidR="0052733F" w:rsidRPr="005972D4" w:rsidRDefault="0052733F" w:rsidP="00180128">
      <w:pPr>
        <w:pStyle w:val="FootnoteText"/>
      </w:pPr>
      <w:r>
        <w:rPr>
          <w:rStyle w:val="FootnoteReference"/>
        </w:rPr>
        <w:footnoteRef/>
      </w:r>
      <w:r>
        <w:t xml:space="preserve"> Van </w:t>
      </w:r>
      <w:proofErr w:type="spellStart"/>
      <w:r>
        <w:t>Heertum</w:t>
      </w:r>
      <w:proofErr w:type="spellEnd"/>
      <w:r>
        <w:t xml:space="preserve">, R.L. </w:t>
      </w:r>
      <w:r w:rsidRPr="005972D4">
        <w:t xml:space="preserve">et al. </w:t>
      </w:r>
      <w:r>
        <w:t xml:space="preserve">(2017). </w:t>
      </w:r>
      <w:r w:rsidRPr="005972D4">
        <w:t xml:space="preserve">Lugano 2014 criteria for assessing FDG-PET/CT in lymphoma: an operational approach for clinical trials. </w:t>
      </w:r>
      <w:r w:rsidRPr="005972D4">
        <w:rPr>
          <w:i/>
        </w:rPr>
        <w:t xml:space="preserve">Drug Des </w:t>
      </w:r>
      <w:proofErr w:type="spellStart"/>
      <w:r w:rsidRPr="005972D4">
        <w:rPr>
          <w:i/>
        </w:rPr>
        <w:t>Devel</w:t>
      </w:r>
      <w:proofErr w:type="spellEnd"/>
      <w:r w:rsidRPr="005972D4">
        <w:rPr>
          <w:i/>
        </w:rPr>
        <w:t xml:space="preserve"> </w:t>
      </w:r>
      <w:proofErr w:type="spellStart"/>
      <w:r w:rsidRPr="005972D4">
        <w:rPr>
          <w:i/>
        </w:rPr>
        <w:t>Ther</w:t>
      </w:r>
      <w:proofErr w:type="spellEnd"/>
      <w:r w:rsidRPr="005972D4">
        <w:t>. 2017;</w:t>
      </w:r>
      <w:r>
        <w:t xml:space="preserve"> </w:t>
      </w:r>
      <w:r w:rsidRPr="005972D4">
        <w:t>11:</w:t>
      </w:r>
      <w:r>
        <w:t xml:space="preserve"> 1719–1728.</w:t>
      </w:r>
    </w:p>
  </w:footnote>
  <w:footnote w:id="4">
    <w:p w14:paraId="5AC13996" w14:textId="77777777" w:rsidR="0052733F" w:rsidRDefault="0052733F" w:rsidP="00CB3937">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41CB22BB" w14:textId="77777777" w:rsidR="0052733F" w:rsidRDefault="0052733F" w:rsidP="00CB3937">
      <w:pPr>
        <w:pStyle w:val="FootnoteText"/>
      </w:pPr>
      <w:r w:rsidRPr="00F12492">
        <w:rPr>
          <w:i/>
        </w:rPr>
        <w:t>Routine pharmacovigilance</w:t>
      </w:r>
      <w:r>
        <w:t xml:space="preserve"> practices involve the following activities:</w:t>
      </w:r>
    </w:p>
    <w:p w14:paraId="290047B6" w14:textId="77777777" w:rsidR="0052733F" w:rsidRDefault="0052733F" w:rsidP="00CB3937">
      <w:pPr>
        <w:pStyle w:val="FootnoteText"/>
        <w:numPr>
          <w:ilvl w:val="0"/>
          <w:numId w:val="28"/>
        </w:numPr>
      </w:pPr>
      <w:r>
        <w:t>All suspected adverse reactions that are reported to the personnel of the company are collected and collated in an accessible manner;</w:t>
      </w:r>
    </w:p>
    <w:p w14:paraId="0ACBDA8D" w14:textId="77777777" w:rsidR="0052733F" w:rsidRDefault="0052733F" w:rsidP="00CB3937">
      <w:pPr>
        <w:pStyle w:val="FootnoteText"/>
        <w:numPr>
          <w:ilvl w:val="0"/>
          <w:numId w:val="28"/>
        </w:numPr>
      </w:pPr>
      <w:r>
        <w:t>Reporting to regulatory authorities;</w:t>
      </w:r>
    </w:p>
    <w:p w14:paraId="498C06FF" w14:textId="77777777" w:rsidR="0052733F" w:rsidRDefault="0052733F" w:rsidP="00CB3937">
      <w:pPr>
        <w:pStyle w:val="FootnoteText"/>
        <w:numPr>
          <w:ilvl w:val="0"/>
          <w:numId w:val="28"/>
        </w:numPr>
      </w:pPr>
      <w:r>
        <w:t>Continuous monitoring of the safety profiles of approved products including signal detection and updating of labelling;</w:t>
      </w:r>
    </w:p>
    <w:p w14:paraId="1BF5522F" w14:textId="77777777" w:rsidR="0052733F" w:rsidRDefault="0052733F" w:rsidP="00CB3937">
      <w:pPr>
        <w:pStyle w:val="FootnoteText"/>
        <w:numPr>
          <w:ilvl w:val="0"/>
          <w:numId w:val="28"/>
        </w:numPr>
      </w:pPr>
      <w:r>
        <w:t>Submission of PSURs;</w:t>
      </w:r>
    </w:p>
    <w:p w14:paraId="2D5E9DFB" w14:textId="77777777" w:rsidR="0052733F" w:rsidRPr="00F12492" w:rsidRDefault="0052733F" w:rsidP="00CB3937">
      <w:pPr>
        <w:pStyle w:val="FootnoteText"/>
        <w:numPr>
          <w:ilvl w:val="0"/>
          <w:numId w:val="28"/>
        </w:numPr>
        <w:rPr>
          <w:lang w:val="en-US"/>
        </w:rPr>
      </w:pPr>
      <w:r>
        <w:t>Meeting other local regulatory agency requirements.</w:t>
      </w:r>
    </w:p>
  </w:footnote>
  <w:footnote w:id="5">
    <w:p w14:paraId="21DF75E9" w14:textId="77777777" w:rsidR="0052733F" w:rsidRDefault="0052733F"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4BB2950" w14:textId="77777777" w:rsidR="0052733F" w:rsidRPr="00456765" w:rsidRDefault="0052733F"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19FC" w14:textId="77777777" w:rsidR="0052733F" w:rsidRDefault="00527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C4DD" w14:textId="77777777" w:rsidR="0052733F" w:rsidRDefault="0052733F"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B86F" w14:textId="77777777" w:rsidR="0052733F" w:rsidRDefault="0052733F">
    <w:pPr>
      <w:rPr>
        <w:noProof/>
        <w:lang w:eastAsia="en-AU"/>
      </w:rPr>
    </w:pPr>
    <w:r w:rsidRPr="00347824">
      <w:rPr>
        <w:noProof/>
        <w:lang w:eastAsia="en-AU"/>
      </w:rPr>
      <w:drawing>
        <wp:anchor distT="0" distB="0" distL="114300" distR="114300" simplePos="0" relativeHeight="251659264" behindDoc="1" locked="0" layoutInCell="1" allowOverlap="1" wp14:anchorId="1000FF2C" wp14:editId="114A0637">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0A14DB8" w14:textId="7BA6B3BC" w:rsidR="0052733F" w:rsidRDefault="0052733F"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1140" w14:textId="77777777" w:rsidR="0052733F" w:rsidRDefault="005273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9141" w14:textId="77777777" w:rsidR="0052733F" w:rsidRDefault="0052733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B2F0" w14:textId="77777777" w:rsidR="0052733F" w:rsidRDefault="0052733F">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C7CC" w14:textId="77777777" w:rsidR="0052733F" w:rsidRDefault="005273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02FD" w14:textId="77777777" w:rsidR="0052733F" w:rsidRDefault="0052733F"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DB35" w14:textId="77777777" w:rsidR="0052733F" w:rsidRDefault="0052733F" w:rsidP="006E08B3">
    <w:r>
      <w:t>Therapeutic Goods Administration</w:t>
    </w:r>
  </w:p>
  <w:p w14:paraId="655A579E" w14:textId="77777777" w:rsidR="0052733F" w:rsidRDefault="0052733F"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905C7C36"/>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89B15D7"/>
    <w:multiLevelType w:val="hybridMultilevel"/>
    <w:tmpl w:val="5F1C25A2"/>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B73ABC7C">
      <w:start w:val="1"/>
      <w:numFmt w:val="bullet"/>
      <w:lvlText w:val="—"/>
      <w:lvlJc w:val="left"/>
      <w:pPr>
        <w:tabs>
          <w:tab w:val="num" w:pos="1440"/>
        </w:tabs>
        <w:ind w:left="1440" w:hanging="360"/>
      </w:pPr>
      <w:rPr>
        <w:rFonts w:ascii="Cambria" w:hAnsi="Cambri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91866"/>
    <w:multiLevelType w:val="hybridMultilevel"/>
    <w:tmpl w:val="1C82129C"/>
    <w:lvl w:ilvl="0" w:tplc="F8FEE614">
      <w:start w:val="24"/>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BB4005"/>
    <w:multiLevelType w:val="hybridMultilevel"/>
    <w:tmpl w:val="DF461D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11"/>
  </w:num>
  <w:num w:numId="29">
    <w:abstractNumId w:val="4"/>
  </w:num>
  <w:num w:numId="30">
    <w:abstractNumId w:val="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AA0"/>
    <w:rsid w:val="00001A94"/>
    <w:rsid w:val="00002031"/>
    <w:rsid w:val="00004734"/>
    <w:rsid w:val="00006B22"/>
    <w:rsid w:val="0001276A"/>
    <w:rsid w:val="000246AE"/>
    <w:rsid w:val="00025C67"/>
    <w:rsid w:val="00044772"/>
    <w:rsid w:val="0004541C"/>
    <w:rsid w:val="0005559E"/>
    <w:rsid w:val="00057C92"/>
    <w:rsid w:val="000604D6"/>
    <w:rsid w:val="000734D8"/>
    <w:rsid w:val="00077775"/>
    <w:rsid w:val="00090471"/>
    <w:rsid w:val="00096AA7"/>
    <w:rsid w:val="00097007"/>
    <w:rsid w:val="000A3AED"/>
    <w:rsid w:val="000B3532"/>
    <w:rsid w:val="000B3A75"/>
    <w:rsid w:val="000B6AFD"/>
    <w:rsid w:val="000C00C2"/>
    <w:rsid w:val="000C690F"/>
    <w:rsid w:val="000D1295"/>
    <w:rsid w:val="000D391B"/>
    <w:rsid w:val="000D3D6D"/>
    <w:rsid w:val="000D4FC7"/>
    <w:rsid w:val="000E3386"/>
    <w:rsid w:val="000E6196"/>
    <w:rsid w:val="000E7D31"/>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4A26"/>
    <w:rsid w:val="0017663C"/>
    <w:rsid w:val="0017693F"/>
    <w:rsid w:val="00180128"/>
    <w:rsid w:val="0018110E"/>
    <w:rsid w:val="00181684"/>
    <w:rsid w:val="001843C6"/>
    <w:rsid w:val="001850E0"/>
    <w:rsid w:val="001A03AF"/>
    <w:rsid w:val="001A2158"/>
    <w:rsid w:val="001A525F"/>
    <w:rsid w:val="001B09F9"/>
    <w:rsid w:val="001B5C90"/>
    <w:rsid w:val="001B6448"/>
    <w:rsid w:val="001C32CD"/>
    <w:rsid w:val="001D1FA8"/>
    <w:rsid w:val="001D2984"/>
    <w:rsid w:val="001E07CF"/>
    <w:rsid w:val="001E59F1"/>
    <w:rsid w:val="001F2CEE"/>
    <w:rsid w:val="001F49EB"/>
    <w:rsid w:val="001F6CBA"/>
    <w:rsid w:val="00201D4E"/>
    <w:rsid w:val="002076C9"/>
    <w:rsid w:val="00220B8A"/>
    <w:rsid w:val="002257F3"/>
    <w:rsid w:val="00233456"/>
    <w:rsid w:val="002339A5"/>
    <w:rsid w:val="00246498"/>
    <w:rsid w:val="00256DF6"/>
    <w:rsid w:val="00257848"/>
    <w:rsid w:val="0027084A"/>
    <w:rsid w:val="00280265"/>
    <w:rsid w:val="00286434"/>
    <w:rsid w:val="00286C59"/>
    <w:rsid w:val="00291957"/>
    <w:rsid w:val="002942D1"/>
    <w:rsid w:val="0029501A"/>
    <w:rsid w:val="002A3721"/>
    <w:rsid w:val="002B1638"/>
    <w:rsid w:val="002B3624"/>
    <w:rsid w:val="002D0952"/>
    <w:rsid w:val="002E40B3"/>
    <w:rsid w:val="002E44AD"/>
    <w:rsid w:val="002E4C9A"/>
    <w:rsid w:val="002E52F3"/>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67925"/>
    <w:rsid w:val="00370CE3"/>
    <w:rsid w:val="003728F3"/>
    <w:rsid w:val="003735BC"/>
    <w:rsid w:val="0037496E"/>
    <w:rsid w:val="00377DFD"/>
    <w:rsid w:val="00383221"/>
    <w:rsid w:val="00386150"/>
    <w:rsid w:val="003874CE"/>
    <w:rsid w:val="00390900"/>
    <w:rsid w:val="00396838"/>
    <w:rsid w:val="003A7F6C"/>
    <w:rsid w:val="003B4D60"/>
    <w:rsid w:val="003B7E39"/>
    <w:rsid w:val="003C58DC"/>
    <w:rsid w:val="003D1E62"/>
    <w:rsid w:val="003D69CD"/>
    <w:rsid w:val="003E0B99"/>
    <w:rsid w:val="003E2486"/>
    <w:rsid w:val="003E3208"/>
    <w:rsid w:val="003F0B04"/>
    <w:rsid w:val="0040134E"/>
    <w:rsid w:val="004035C2"/>
    <w:rsid w:val="00425336"/>
    <w:rsid w:val="004334C7"/>
    <w:rsid w:val="00440A2D"/>
    <w:rsid w:val="00441C3F"/>
    <w:rsid w:val="00444D1A"/>
    <w:rsid w:val="0045186A"/>
    <w:rsid w:val="004535A6"/>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021EE"/>
    <w:rsid w:val="0050284F"/>
    <w:rsid w:val="0052733F"/>
    <w:rsid w:val="00530354"/>
    <w:rsid w:val="0053625B"/>
    <w:rsid w:val="005434C6"/>
    <w:rsid w:val="00543B39"/>
    <w:rsid w:val="00546154"/>
    <w:rsid w:val="00550096"/>
    <w:rsid w:val="00555280"/>
    <w:rsid w:val="00557FF9"/>
    <w:rsid w:val="00562327"/>
    <w:rsid w:val="005711D5"/>
    <w:rsid w:val="00574595"/>
    <w:rsid w:val="00576378"/>
    <w:rsid w:val="00577130"/>
    <w:rsid w:val="00577945"/>
    <w:rsid w:val="00577E38"/>
    <w:rsid w:val="00585322"/>
    <w:rsid w:val="005857C6"/>
    <w:rsid w:val="00592F6E"/>
    <w:rsid w:val="00593AD1"/>
    <w:rsid w:val="005972D4"/>
    <w:rsid w:val="005A68B6"/>
    <w:rsid w:val="005C5570"/>
    <w:rsid w:val="005C79A4"/>
    <w:rsid w:val="005D5442"/>
    <w:rsid w:val="005E1849"/>
    <w:rsid w:val="00603F32"/>
    <w:rsid w:val="00605AD4"/>
    <w:rsid w:val="006136D7"/>
    <w:rsid w:val="00623543"/>
    <w:rsid w:val="00625A6E"/>
    <w:rsid w:val="00632398"/>
    <w:rsid w:val="00640FC3"/>
    <w:rsid w:val="00642020"/>
    <w:rsid w:val="006430EE"/>
    <w:rsid w:val="0065337B"/>
    <w:rsid w:val="0065419D"/>
    <w:rsid w:val="00655DE1"/>
    <w:rsid w:val="006603BC"/>
    <w:rsid w:val="006604D8"/>
    <w:rsid w:val="00664A5B"/>
    <w:rsid w:val="0066735C"/>
    <w:rsid w:val="006763D2"/>
    <w:rsid w:val="00680C08"/>
    <w:rsid w:val="006916A0"/>
    <w:rsid w:val="006931B1"/>
    <w:rsid w:val="006A15C0"/>
    <w:rsid w:val="006A58A8"/>
    <w:rsid w:val="006B7E35"/>
    <w:rsid w:val="006C3E2A"/>
    <w:rsid w:val="006C642F"/>
    <w:rsid w:val="006C7A14"/>
    <w:rsid w:val="006D03E5"/>
    <w:rsid w:val="006D5D3E"/>
    <w:rsid w:val="006E08B3"/>
    <w:rsid w:val="006F17AC"/>
    <w:rsid w:val="006F25B8"/>
    <w:rsid w:val="006F572E"/>
    <w:rsid w:val="007046D6"/>
    <w:rsid w:val="00705DB0"/>
    <w:rsid w:val="00722B57"/>
    <w:rsid w:val="00730F8A"/>
    <w:rsid w:val="007355A3"/>
    <w:rsid w:val="00735A8C"/>
    <w:rsid w:val="0074253D"/>
    <w:rsid w:val="0074429B"/>
    <w:rsid w:val="007615BC"/>
    <w:rsid w:val="00762F05"/>
    <w:rsid w:val="007652FF"/>
    <w:rsid w:val="00770CAC"/>
    <w:rsid w:val="00770EF1"/>
    <w:rsid w:val="007731DF"/>
    <w:rsid w:val="00773EF7"/>
    <w:rsid w:val="00774E1D"/>
    <w:rsid w:val="007765D8"/>
    <w:rsid w:val="0077675A"/>
    <w:rsid w:val="00780355"/>
    <w:rsid w:val="007819FD"/>
    <w:rsid w:val="00785717"/>
    <w:rsid w:val="00785721"/>
    <w:rsid w:val="00792634"/>
    <w:rsid w:val="00793A59"/>
    <w:rsid w:val="007A46F5"/>
    <w:rsid w:val="007A6505"/>
    <w:rsid w:val="007B6132"/>
    <w:rsid w:val="007B6E9F"/>
    <w:rsid w:val="007C00A6"/>
    <w:rsid w:val="007C1216"/>
    <w:rsid w:val="007C1AF7"/>
    <w:rsid w:val="007C635D"/>
    <w:rsid w:val="007C6B9B"/>
    <w:rsid w:val="00802B47"/>
    <w:rsid w:val="00805D27"/>
    <w:rsid w:val="00806DCB"/>
    <w:rsid w:val="00821776"/>
    <w:rsid w:val="008321F5"/>
    <w:rsid w:val="00832369"/>
    <w:rsid w:val="00833DE3"/>
    <w:rsid w:val="00834660"/>
    <w:rsid w:val="00836451"/>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7FA1"/>
    <w:rsid w:val="008E4728"/>
    <w:rsid w:val="008E7846"/>
    <w:rsid w:val="008F02E5"/>
    <w:rsid w:val="008F1CCC"/>
    <w:rsid w:val="008F2967"/>
    <w:rsid w:val="008F6943"/>
    <w:rsid w:val="00902A21"/>
    <w:rsid w:val="0091523F"/>
    <w:rsid w:val="00920330"/>
    <w:rsid w:val="009219D7"/>
    <w:rsid w:val="00922D53"/>
    <w:rsid w:val="00923B70"/>
    <w:rsid w:val="00924482"/>
    <w:rsid w:val="00924C10"/>
    <w:rsid w:val="00927510"/>
    <w:rsid w:val="00930237"/>
    <w:rsid w:val="00937C17"/>
    <w:rsid w:val="00940A89"/>
    <w:rsid w:val="00941F77"/>
    <w:rsid w:val="0094632B"/>
    <w:rsid w:val="00946EA5"/>
    <w:rsid w:val="009547A5"/>
    <w:rsid w:val="00963C08"/>
    <w:rsid w:val="00964DF5"/>
    <w:rsid w:val="009752A5"/>
    <w:rsid w:val="0098585A"/>
    <w:rsid w:val="00986CA2"/>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AA0"/>
    <w:rsid w:val="00A60BAD"/>
    <w:rsid w:val="00A61463"/>
    <w:rsid w:val="00A6390C"/>
    <w:rsid w:val="00A77A7C"/>
    <w:rsid w:val="00A77F87"/>
    <w:rsid w:val="00A80B5B"/>
    <w:rsid w:val="00A84E36"/>
    <w:rsid w:val="00A964D1"/>
    <w:rsid w:val="00A9736B"/>
    <w:rsid w:val="00AA0ED0"/>
    <w:rsid w:val="00AB5014"/>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1704"/>
    <w:rsid w:val="00B54C25"/>
    <w:rsid w:val="00B726FA"/>
    <w:rsid w:val="00B76B91"/>
    <w:rsid w:val="00B77EB1"/>
    <w:rsid w:val="00B811C6"/>
    <w:rsid w:val="00B84C38"/>
    <w:rsid w:val="00B855B0"/>
    <w:rsid w:val="00B9145D"/>
    <w:rsid w:val="00B92E08"/>
    <w:rsid w:val="00BC2520"/>
    <w:rsid w:val="00BC622A"/>
    <w:rsid w:val="00BE0A78"/>
    <w:rsid w:val="00BE79F0"/>
    <w:rsid w:val="00BF046D"/>
    <w:rsid w:val="00BF1190"/>
    <w:rsid w:val="00BF3774"/>
    <w:rsid w:val="00BF5D04"/>
    <w:rsid w:val="00BF780F"/>
    <w:rsid w:val="00C009AA"/>
    <w:rsid w:val="00C1164D"/>
    <w:rsid w:val="00C16861"/>
    <w:rsid w:val="00C346AB"/>
    <w:rsid w:val="00C404A6"/>
    <w:rsid w:val="00C40A36"/>
    <w:rsid w:val="00C44419"/>
    <w:rsid w:val="00C45E7B"/>
    <w:rsid w:val="00C471B1"/>
    <w:rsid w:val="00C52E24"/>
    <w:rsid w:val="00C55ACC"/>
    <w:rsid w:val="00C6316B"/>
    <w:rsid w:val="00C634A9"/>
    <w:rsid w:val="00C64586"/>
    <w:rsid w:val="00C70D53"/>
    <w:rsid w:val="00C73D0B"/>
    <w:rsid w:val="00C772FF"/>
    <w:rsid w:val="00C80137"/>
    <w:rsid w:val="00C801AF"/>
    <w:rsid w:val="00C80256"/>
    <w:rsid w:val="00C94CD4"/>
    <w:rsid w:val="00C9747E"/>
    <w:rsid w:val="00CA22EE"/>
    <w:rsid w:val="00CB2B60"/>
    <w:rsid w:val="00CB2DC9"/>
    <w:rsid w:val="00CB3937"/>
    <w:rsid w:val="00CB6BC0"/>
    <w:rsid w:val="00CB6CD2"/>
    <w:rsid w:val="00CC1B7C"/>
    <w:rsid w:val="00CC727F"/>
    <w:rsid w:val="00CD695F"/>
    <w:rsid w:val="00CF15C3"/>
    <w:rsid w:val="00CF2B6F"/>
    <w:rsid w:val="00CF2F3E"/>
    <w:rsid w:val="00CF365E"/>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2B25"/>
    <w:rsid w:val="00DC6E02"/>
    <w:rsid w:val="00DD28CD"/>
    <w:rsid w:val="00DE02AE"/>
    <w:rsid w:val="00DE39D1"/>
    <w:rsid w:val="00DF1D7F"/>
    <w:rsid w:val="00DF4BE4"/>
    <w:rsid w:val="00E02382"/>
    <w:rsid w:val="00E02FB4"/>
    <w:rsid w:val="00E1111E"/>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1B8A"/>
    <w:rsid w:val="00E7344E"/>
    <w:rsid w:val="00E82665"/>
    <w:rsid w:val="00EA36AC"/>
    <w:rsid w:val="00EA6DFE"/>
    <w:rsid w:val="00EB0798"/>
    <w:rsid w:val="00EB40AD"/>
    <w:rsid w:val="00EB586E"/>
    <w:rsid w:val="00EB5FC8"/>
    <w:rsid w:val="00EC463D"/>
    <w:rsid w:val="00EC7A85"/>
    <w:rsid w:val="00EC7CFF"/>
    <w:rsid w:val="00ED2922"/>
    <w:rsid w:val="00ED3CAD"/>
    <w:rsid w:val="00ED5A41"/>
    <w:rsid w:val="00EE1DE8"/>
    <w:rsid w:val="00EE27C2"/>
    <w:rsid w:val="00EF4BAD"/>
    <w:rsid w:val="00EF59DC"/>
    <w:rsid w:val="00F033EC"/>
    <w:rsid w:val="00F04F68"/>
    <w:rsid w:val="00F12670"/>
    <w:rsid w:val="00F14B27"/>
    <w:rsid w:val="00F178EB"/>
    <w:rsid w:val="00F3148D"/>
    <w:rsid w:val="00F325C5"/>
    <w:rsid w:val="00F32FE0"/>
    <w:rsid w:val="00F35298"/>
    <w:rsid w:val="00F47333"/>
    <w:rsid w:val="00F47E37"/>
    <w:rsid w:val="00F53C07"/>
    <w:rsid w:val="00F54B65"/>
    <w:rsid w:val="00F640B6"/>
    <w:rsid w:val="00F66DF2"/>
    <w:rsid w:val="00F8008D"/>
    <w:rsid w:val="00F80E40"/>
    <w:rsid w:val="00F82548"/>
    <w:rsid w:val="00F848D9"/>
    <w:rsid w:val="00FA5069"/>
    <w:rsid w:val="00FA5B82"/>
    <w:rsid w:val="00FA639E"/>
    <w:rsid w:val="00FA7A05"/>
    <w:rsid w:val="00FB4D51"/>
    <w:rsid w:val="00FC15A1"/>
    <w:rsid w:val="00FC1FCA"/>
    <w:rsid w:val="00FC25E4"/>
    <w:rsid w:val="00FC4EF7"/>
    <w:rsid w:val="00FD0824"/>
    <w:rsid w:val="00FD119B"/>
    <w:rsid w:val="00FD1EDC"/>
    <w:rsid w:val="00FE1408"/>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4AEF6"/>
  <w15:docId w15:val="{EC1C1C67-5692-4809-97B1-0F65F85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1408"/>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AB5014"/>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Figuredescription0">
    <w:name w:val="Figure description"/>
    <w:basedOn w:val="Normal"/>
    <w:next w:val="Normal"/>
    <w:rsid w:val="00C55ACC"/>
    <w:pPr>
      <w:spacing w:after="240" w:line="180" w:lineRule="atLeast"/>
    </w:pPr>
    <w:rPr>
      <w:sz w:val="18"/>
      <w:szCs w:val="20"/>
    </w:rPr>
  </w:style>
  <w:style w:type="paragraph" w:customStyle="1" w:styleId="Bulletlist">
    <w:name w:val="Bullet list"/>
    <w:basedOn w:val="Normal"/>
    <w:link w:val="BulletlistChar"/>
    <w:qFormat/>
    <w:rsid w:val="00180128"/>
    <w:pPr>
      <w:numPr>
        <w:numId w:val="29"/>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180128"/>
    <w:rPr>
      <w:rFonts w:ascii="Cambria" w:eastAsia="Times New Roman" w:hAnsi="Cambria" w:cs="Times New Roman"/>
      <w:snapToGrid w:val="0"/>
      <w:kern w:val="2"/>
      <w:sz w:val="23"/>
    </w:rPr>
  </w:style>
  <w:style w:type="paragraph" w:styleId="ListParagraph">
    <w:name w:val="List Paragraph"/>
    <w:basedOn w:val="Normal"/>
    <w:uiPriority w:val="34"/>
    <w:qFormat/>
    <w:rsid w:val="00180128"/>
    <w:pPr>
      <w:adjustRightInd w:val="0"/>
      <w:snapToGrid w:val="0"/>
      <w:spacing w:before="180" w:after="180"/>
      <w:ind w:left="720"/>
      <w:contextualSpacing/>
    </w:pPr>
    <w:rPr>
      <w:rFonts w:eastAsia="MS Mincho"/>
      <w:szCs w:val="20"/>
      <w:lang w:eastAsia="ja-JP"/>
    </w:rPr>
  </w:style>
  <w:style w:type="paragraph" w:customStyle="1" w:styleId="Paragraph">
    <w:name w:val="Paragraph"/>
    <w:link w:val="ParagraphChar"/>
    <w:qFormat/>
    <w:rsid w:val="00180128"/>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180128"/>
    <w:rPr>
      <w:rFonts w:ascii="Times New Roman" w:eastAsia="Times New Roman" w:hAnsi="Times New Roman" w:cs="Times New Roman"/>
      <w:sz w:val="24"/>
      <w:szCs w:val="24"/>
      <w:lang w:val="en-GB"/>
    </w:rPr>
  </w:style>
  <w:style w:type="character" w:customStyle="1" w:styleId="TabletextChar">
    <w:name w:val="Table text Char"/>
    <w:basedOn w:val="DefaultParagraphFont"/>
    <w:link w:val="Tabletext"/>
    <w:rsid w:val="00180128"/>
    <w:rPr>
      <w:rFonts w:ascii="Cambria" w:eastAsia="Cambria" w:hAnsi="Cambria" w:cs="Times New Roman"/>
      <w:sz w:val="19"/>
    </w:rPr>
  </w:style>
  <w:style w:type="paragraph" w:customStyle="1" w:styleId="Bulletpoint">
    <w:name w:val="Bullet point"/>
    <w:basedOn w:val="Normal"/>
    <w:rsid w:val="000E7D31"/>
    <w:pPr>
      <w:numPr>
        <w:numId w:val="31"/>
      </w:numPr>
      <w:tabs>
        <w:tab w:val="clear" w:pos="369"/>
        <w:tab w:val="left" w:pos="397"/>
        <w:tab w:val="num" w:pos="511"/>
      </w:tabs>
      <w:spacing w:before="0" w:after="180" w:line="252" w:lineRule="auto"/>
    </w:pPr>
    <w:rPr>
      <w:rFonts w:eastAsia="Times New Roman"/>
      <w:snapToGrid w:val="0"/>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5.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7.emf"/><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5392\t0Q3RI6C.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CE4A-3D22-4C68-884D-BD8E2755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t0Q3RI6C</Template>
  <TotalTime>4</TotalTime>
  <Pages>20</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Australian public assessment for Acalabrutinib</vt:lpstr>
    </vt:vector>
  </TitlesOfParts>
  <Company>Department of Health Therapeutic Goods Administration</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Acalabrutinib</dc:title>
  <dc:subject>prescription medicines</dc:subject>
  <dc:creator>Therapeutic Goods Administration</dc:creator>
  <cp:keywords>AusPARs</cp:keywords>
  <cp:lastModifiedBy>LACK, Janet</cp:lastModifiedBy>
  <cp:revision>3</cp:revision>
  <cp:lastPrinted>2019-12-03T07:07:00Z</cp:lastPrinted>
  <dcterms:created xsi:type="dcterms:W3CDTF">2020-03-03T02:28:00Z</dcterms:created>
  <dcterms:modified xsi:type="dcterms:W3CDTF">2020-03-03T02:32:00Z</dcterms:modified>
  <cp:category/>
</cp:coreProperties>
</file>