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0B74D05" w14:textId="77777777" w:rsidTr="00BF1190">
        <w:trPr>
          <w:trHeight w:val="1863"/>
        </w:trPr>
        <w:tc>
          <w:tcPr>
            <w:tcW w:w="3652" w:type="dxa"/>
            <w:tcBorders>
              <w:top w:val="nil"/>
              <w:left w:val="nil"/>
              <w:bottom w:val="nil"/>
              <w:right w:val="nil"/>
            </w:tcBorders>
          </w:tcPr>
          <w:p w14:paraId="73E91AD5" w14:textId="7E943A7C" w:rsidR="008E7846" w:rsidRPr="00096AA7" w:rsidRDefault="00895543" w:rsidP="00096AA7">
            <w:pPr>
              <w:rPr>
                <w:rFonts w:ascii="Arial" w:hAnsi="Arial" w:cs="Arial"/>
                <w:b/>
                <w:color w:val="002C47"/>
                <w:sz w:val="36"/>
                <w:szCs w:val="36"/>
              </w:rPr>
            </w:pPr>
            <w:r>
              <w:rPr>
                <w:rFonts w:ascii="Arial" w:hAnsi="Arial" w:cs="Arial"/>
                <w:b/>
                <w:color w:val="002C47"/>
                <w:sz w:val="36"/>
                <w:szCs w:val="36"/>
              </w:rPr>
              <w:t xml:space="preserve">February </w:t>
            </w:r>
            <w:r w:rsidR="00401934">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1E4B5DC5" w14:textId="77777777" w:rsidTr="0032583B">
        <w:trPr>
          <w:trHeight w:val="868"/>
        </w:trPr>
        <w:tc>
          <w:tcPr>
            <w:tcW w:w="9079" w:type="dxa"/>
          </w:tcPr>
          <w:p w14:paraId="2312AB89" w14:textId="77777777" w:rsidR="0032583B" w:rsidRPr="00A964D1" w:rsidRDefault="0032583B" w:rsidP="008A79DE">
            <w:pPr>
              <w:pStyle w:val="Title"/>
              <w:rPr>
                <w:color w:val="FFFFFF" w:themeColor="background1"/>
              </w:rPr>
            </w:pPr>
            <w:r w:rsidRPr="00A964D1">
              <w:rPr>
                <w:color w:val="FFFFFF" w:themeColor="background1"/>
              </w:rPr>
              <w:t xml:space="preserve">Australian Public Assessment Report for </w:t>
            </w:r>
            <w:proofErr w:type="spellStart"/>
            <w:r w:rsidR="008A79DE">
              <w:rPr>
                <w:color w:val="FFFFFF" w:themeColor="background1"/>
              </w:rPr>
              <w:t>Acalabrutinib</w:t>
            </w:r>
            <w:proofErr w:type="spellEnd"/>
          </w:p>
        </w:tc>
      </w:tr>
      <w:tr w:rsidR="0032583B" w:rsidRPr="00B64760" w14:paraId="0F8D5C34" w14:textId="77777777" w:rsidTr="0032583B">
        <w:tc>
          <w:tcPr>
            <w:tcW w:w="9079" w:type="dxa"/>
          </w:tcPr>
          <w:p w14:paraId="4C590E7B" w14:textId="77777777" w:rsidR="0032583B" w:rsidRPr="008E7846" w:rsidRDefault="008A79DE" w:rsidP="008A79DE">
            <w:pPr>
              <w:pStyle w:val="Subtitle"/>
              <w:rPr>
                <w:color w:val="FFFFFF" w:themeColor="background1"/>
              </w:rPr>
            </w:pPr>
            <w:r>
              <w:rPr>
                <w:color w:val="FFFFFF" w:themeColor="background1"/>
              </w:rPr>
              <w:t>Proprietary Product Name: Calquence</w:t>
            </w:r>
          </w:p>
        </w:tc>
      </w:tr>
      <w:tr w:rsidR="0032583B" w:rsidRPr="00B64760" w14:paraId="340FDF7A" w14:textId="77777777" w:rsidTr="0032583B">
        <w:trPr>
          <w:trHeight w:val="486"/>
        </w:trPr>
        <w:tc>
          <w:tcPr>
            <w:tcW w:w="9079" w:type="dxa"/>
          </w:tcPr>
          <w:p w14:paraId="3D16F05C" w14:textId="77777777" w:rsidR="0032583B" w:rsidRPr="008E7846" w:rsidRDefault="008A79DE" w:rsidP="008A79DE">
            <w:pPr>
              <w:pStyle w:val="Subtitle"/>
              <w:rPr>
                <w:color w:val="FFFFFF" w:themeColor="background1"/>
              </w:rPr>
            </w:pPr>
            <w:r>
              <w:rPr>
                <w:color w:val="FFFFFF" w:themeColor="background1"/>
              </w:rPr>
              <w:t>Sponsor: AstraZeneca Pty Ltd</w:t>
            </w:r>
          </w:p>
        </w:tc>
      </w:tr>
    </w:tbl>
    <w:p w14:paraId="5FFD0DEE" w14:textId="77777777" w:rsidR="008E7846" w:rsidRPr="0085156D" w:rsidRDefault="008E7846" w:rsidP="0085156D">
      <w:r w:rsidRPr="0085156D">
        <w:br w:type="page"/>
      </w:r>
    </w:p>
    <w:p w14:paraId="0A0C4FA9" w14:textId="77777777" w:rsidR="008E7846" w:rsidRPr="001F6CBA" w:rsidRDefault="008E7846" w:rsidP="008E7846">
      <w:pPr>
        <w:pStyle w:val="NonTOCHeading2"/>
      </w:pPr>
      <w:r w:rsidRPr="001F6CBA">
        <w:lastRenderedPageBreak/>
        <w:t>About the Therapeutic Goods Administration (TGA)</w:t>
      </w:r>
    </w:p>
    <w:p w14:paraId="1558C4F6"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0988DE8C"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62CE57C8"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210A72F8"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28E9495F"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18B07A9C" w14:textId="77777777" w:rsidR="008E7846" w:rsidRDefault="008E7846" w:rsidP="00875A6B">
      <w:pPr>
        <w:pStyle w:val="NonTOCHeading2"/>
      </w:pPr>
      <w:r>
        <w:t>About AusPARs</w:t>
      </w:r>
    </w:p>
    <w:p w14:paraId="455C75E2"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07233652" w14:textId="77777777" w:rsidR="008E7846" w:rsidRDefault="008E7846" w:rsidP="008E7846">
      <w:pPr>
        <w:pStyle w:val="ListBullet"/>
        <w:numPr>
          <w:ilvl w:val="0"/>
          <w:numId w:val="3"/>
        </w:numPr>
        <w:ind w:left="357" w:hanging="357"/>
      </w:pPr>
      <w:r>
        <w:t>AusPARs are prepared and published by the TGA.</w:t>
      </w:r>
    </w:p>
    <w:p w14:paraId="6CE7ABBF"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0EB4B4ED"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458DA95C"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66A71047" w14:textId="77777777" w:rsidR="00924482" w:rsidRPr="00DF1D7F" w:rsidRDefault="00924482" w:rsidP="00F54B65">
      <w:pPr>
        <w:pStyle w:val="LegalSubheading"/>
        <w:spacing w:before="3120"/>
      </w:pPr>
      <w:r w:rsidRPr="00DF1D7F">
        <w:t>Copyright</w:t>
      </w:r>
    </w:p>
    <w:p w14:paraId="3228562D" w14:textId="4033C8AF" w:rsidR="00924482" w:rsidRDefault="00924482" w:rsidP="00924482">
      <w:pPr>
        <w:pStyle w:val="LegalCopy"/>
      </w:pPr>
      <w:r w:rsidRPr="00191B3B">
        <w:rPr>
          <w:rFonts w:cs="Arial"/>
          <w:lang w:val="en-GB"/>
        </w:rPr>
        <w:t>© Comm</w:t>
      </w:r>
      <w:r>
        <w:rPr>
          <w:rFonts w:cs="Arial"/>
          <w:lang w:val="en-GB"/>
        </w:rPr>
        <w:t>onwealth of Australia 20</w:t>
      </w:r>
      <w:r w:rsidR="000B5465">
        <w:rPr>
          <w:rFonts w:cs="Arial"/>
          <w:lang w:val="en-GB"/>
        </w:rPr>
        <w:t>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507EC2C8"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A03429B" w14:textId="77777777" w:rsidR="0089635C" w:rsidRPr="0089635C" w:rsidRDefault="0089635C" w:rsidP="0010788A">
          <w:pPr>
            <w:pStyle w:val="Contents"/>
          </w:pPr>
          <w:r w:rsidRPr="0010788A">
            <w:t>Conte</w:t>
          </w:r>
          <w:bookmarkStart w:id="2" w:name="_GoBack"/>
          <w:bookmarkEnd w:id="2"/>
          <w:r w:rsidRPr="0010788A">
            <w:t>nts</w:t>
          </w:r>
        </w:p>
        <w:p w14:paraId="4056F858" w14:textId="3823FF15" w:rsidR="0052476B"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4735366" w:history="1">
            <w:r w:rsidR="0052476B" w:rsidRPr="005F6030">
              <w:rPr>
                <w:rStyle w:val="Hyperlink"/>
                <w:noProof/>
              </w:rPr>
              <w:t>Common abbreviations</w:t>
            </w:r>
            <w:r w:rsidR="0052476B">
              <w:rPr>
                <w:noProof/>
                <w:webHidden/>
              </w:rPr>
              <w:tab/>
            </w:r>
            <w:r w:rsidR="0052476B">
              <w:rPr>
                <w:noProof/>
                <w:webHidden/>
              </w:rPr>
              <w:fldChar w:fldCharType="begin"/>
            </w:r>
            <w:r w:rsidR="0052476B">
              <w:rPr>
                <w:noProof/>
                <w:webHidden/>
              </w:rPr>
              <w:instrText xml:space="preserve"> PAGEREF _Toc34735366 \h </w:instrText>
            </w:r>
            <w:r w:rsidR="0052476B">
              <w:rPr>
                <w:noProof/>
                <w:webHidden/>
              </w:rPr>
            </w:r>
            <w:r w:rsidR="0052476B">
              <w:rPr>
                <w:noProof/>
                <w:webHidden/>
              </w:rPr>
              <w:fldChar w:fldCharType="separate"/>
            </w:r>
            <w:r w:rsidR="0052476B">
              <w:rPr>
                <w:noProof/>
                <w:webHidden/>
              </w:rPr>
              <w:t>4</w:t>
            </w:r>
            <w:r w:rsidR="0052476B">
              <w:rPr>
                <w:noProof/>
                <w:webHidden/>
              </w:rPr>
              <w:fldChar w:fldCharType="end"/>
            </w:r>
          </w:hyperlink>
        </w:p>
        <w:p w14:paraId="6382101F" w14:textId="1618BB4F" w:rsidR="0052476B" w:rsidRDefault="0052476B">
          <w:pPr>
            <w:pStyle w:val="TOC2"/>
            <w:rPr>
              <w:rFonts w:asciiTheme="minorHAnsi" w:eastAsiaTheme="minorEastAsia" w:hAnsiTheme="minorHAnsi" w:cstheme="minorBidi"/>
              <w:b w:val="0"/>
              <w:noProof/>
              <w:sz w:val="22"/>
              <w:lang w:eastAsia="en-AU"/>
            </w:rPr>
          </w:pPr>
          <w:hyperlink w:anchor="_Toc34735367" w:history="1">
            <w:r w:rsidRPr="005F6030">
              <w:rPr>
                <w:rStyle w:val="Hyperlink"/>
                <w:noProof/>
              </w:rPr>
              <w:t>I. Introduction to product submission</w:t>
            </w:r>
            <w:r>
              <w:rPr>
                <w:noProof/>
                <w:webHidden/>
              </w:rPr>
              <w:tab/>
            </w:r>
            <w:r>
              <w:rPr>
                <w:noProof/>
                <w:webHidden/>
              </w:rPr>
              <w:fldChar w:fldCharType="begin"/>
            </w:r>
            <w:r>
              <w:rPr>
                <w:noProof/>
                <w:webHidden/>
              </w:rPr>
              <w:instrText xml:space="preserve"> PAGEREF _Toc34735367 \h </w:instrText>
            </w:r>
            <w:r>
              <w:rPr>
                <w:noProof/>
                <w:webHidden/>
              </w:rPr>
            </w:r>
            <w:r>
              <w:rPr>
                <w:noProof/>
                <w:webHidden/>
              </w:rPr>
              <w:fldChar w:fldCharType="separate"/>
            </w:r>
            <w:r>
              <w:rPr>
                <w:noProof/>
                <w:webHidden/>
              </w:rPr>
              <w:t>7</w:t>
            </w:r>
            <w:r>
              <w:rPr>
                <w:noProof/>
                <w:webHidden/>
              </w:rPr>
              <w:fldChar w:fldCharType="end"/>
            </w:r>
          </w:hyperlink>
        </w:p>
        <w:p w14:paraId="0FB17265" w14:textId="6CED9005" w:rsidR="0052476B" w:rsidRDefault="0052476B">
          <w:pPr>
            <w:pStyle w:val="TOC3"/>
            <w:rPr>
              <w:rFonts w:asciiTheme="minorHAnsi" w:eastAsiaTheme="minorEastAsia" w:hAnsiTheme="minorHAnsi" w:cstheme="minorBidi"/>
              <w:noProof/>
              <w:lang w:eastAsia="en-AU"/>
            </w:rPr>
          </w:pPr>
          <w:hyperlink w:anchor="_Toc34735368" w:history="1">
            <w:r w:rsidRPr="005F6030">
              <w:rPr>
                <w:rStyle w:val="Hyperlink"/>
                <w:noProof/>
                <w:lang w:eastAsia="en-AU"/>
              </w:rPr>
              <w:t>Submission details</w:t>
            </w:r>
            <w:r>
              <w:rPr>
                <w:noProof/>
                <w:webHidden/>
              </w:rPr>
              <w:tab/>
            </w:r>
            <w:r>
              <w:rPr>
                <w:noProof/>
                <w:webHidden/>
              </w:rPr>
              <w:fldChar w:fldCharType="begin"/>
            </w:r>
            <w:r>
              <w:rPr>
                <w:noProof/>
                <w:webHidden/>
              </w:rPr>
              <w:instrText xml:space="preserve"> PAGEREF _Toc34735368 \h </w:instrText>
            </w:r>
            <w:r>
              <w:rPr>
                <w:noProof/>
                <w:webHidden/>
              </w:rPr>
            </w:r>
            <w:r>
              <w:rPr>
                <w:noProof/>
                <w:webHidden/>
              </w:rPr>
              <w:fldChar w:fldCharType="separate"/>
            </w:r>
            <w:r>
              <w:rPr>
                <w:noProof/>
                <w:webHidden/>
              </w:rPr>
              <w:t>7</w:t>
            </w:r>
            <w:r>
              <w:rPr>
                <w:noProof/>
                <w:webHidden/>
              </w:rPr>
              <w:fldChar w:fldCharType="end"/>
            </w:r>
          </w:hyperlink>
        </w:p>
        <w:p w14:paraId="257E4D35" w14:textId="4BEF7123" w:rsidR="0052476B" w:rsidRDefault="0052476B">
          <w:pPr>
            <w:pStyle w:val="TOC3"/>
            <w:rPr>
              <w:rFonts w:asciiTheme="minorHAnsi" w:eastAsiaTheme="minorEastAsia" w:hAnsiTheme="minorHAnsi" w:cstheme="minorBidi"/>
              <w:noProof/>
              <w:lang w:eastAsia="en-AU"/>
            </w:rPr>
          </w:pPr>
          <w:hyperlink w:anchor="_Toc34735369" w:history="1">
            <w:r w:rsidRPr="005F6030">
              <w:rPr>
                <w:rStyle w:val="Hyperlink"/>
                <w:noProof/>
              </w:rPr>
              <w:t>Product background</w:t>
            </w:r>
            <w:r>
              <w:rPr>
                <w:noProof/>
                <w:webHidden/>
              </w:rPr>
              <w:tab/>
            </w:r>
            <w:r>
              <w:rPr>
                <w:noProof/>
                <w:webHidden/>
              </w:rPr>
              <w:fldChar w:fldCharType="begin"/>
            </w:r>
            <w:r>
              <w:rPr>
                <w:noProof/>
                <w:webHidden/>
              </w:rPr>
              <w:instrText xml:space="preserve"> PAGEREF _Toc34735369 \h </w:instrText>
            </w:r>
            <w:r>
              <w:rPr>
                <w:noProof/>
                <w:webHidden/>
              </w:rPr>
            </w:r>
            <w:r>
              <w:rPr>
                <w:noProof/>
                <w:webHidden/>
              </w:rPr>
              <w:fldChar w:fldCharType="separate"/>
            </w:r>
            <w:r>
              <w:rPr>
                <w:noProof/>
                <w:webHidden/>
              </w:rPr>
              <w:t>8</w:t>
            </w:r>
            <w:r>
              <w:rPr>
                <w:noProof/>
                <w:webHidden/>
              </w:rPr>
              <w:fldChar w:fldCharType="end"/>
            </w:r>
          </w:hyperlink>
        </w:p>
        <w:p w14:paraId="7964ACC9" w14:textId="37A418E3" w:rsidR="0052476B" w:rsidRDefault="0052476B">
          <w:pPr>
            <w:pStyle w:val="TOC3"/>
            <w:rPr>
              <w:rFonts w:asciiTheme="minorHAnsi" w:eastAsiaTheme="minorEastAsia" w:hAnsiTheme="minorHAnsi" w:cstheme="minorBidi"/>
              <w:noProof/>
              <w:lang w:eastAsia="en-AU"/>
            </w:rPr>
          </w:pPr>
          <w:hyperlink w:anchor="_Toc34735370" w:history="1">
            <w:r w:rsidRPr="005F6030">
              <w:rPr>
                <w:rStyle w:val="Hyperlink"/>
                <w:noProof/>
              </w:rPr>
              <w:t>Regulatory status</w:t>
            </w:r>
            <w:r>
              <w:rPr>
                <w:noProof/>
                <w:webHidden/>
              </w:rPr>
              <w:tab/>
            </w:r>
            <w:r>
              <w:rPr>
                <w:noProof/>
                <w:webHidden/>
              </w:rPr>
              <w:fldChar w:fldCharType="begin"/>
            </w:r>
            <w:r>
              <w:rPr>
                <w:noProof/>
                <w:webHidden/>
              </w:rPr>
              <w:instrText xml:space="preserve"> PAGEREF _Toc34735370 \h </w:instrText>
            </w:r>
            <w:r>
              <w:rPr>
                <w:noProof/>
                <w:webHidden/>
              </w:rPr>
            </w:r>
            <w:r>
              <w:rPr>
                <w:noProof/>
                <w:webHidden/>
              </w:rPr>
              <w:fldChar w:fldCharType="separate"/>
            </w:r>
            <w:r>
              <w:rPr>
                <w:noProof/>
                <w:webHidden/>
              </w:rPr>
              <w:t>9</w:t>
            </w:r>
            <w:r>
              <w:rPr>
                <w:noProof/>
                <w:webHidden/>
              </w:rPr>
              <w:fldChar w:fldCharType="end"/>
            </w:r>
          </w:hyperlink>
        </w:p>
        <w:p w14:paraId="2645A69D" w14:textId="5496B3E5" w:rsidR="0052476B" w:rsidRDefault="0052476B">
          <w:pPr>
            <w:pStyle w:val="TOC3"/>
            <w:rPr>
              <w:rFonts w:asciiTheme="minorHAnsi" w:eastAsiaTheme="minorEastAsia" w:hAnsiTheme="minorHAnsi" w:cstheme="minorBidi"/>
              <w:noProof/>
              <w:lang w:eastAsia="en-AU"/>
            </w:rPr>
          </w:pPr>
          <w:hyperlink w:anchor="_Toc34735371" w:history="1">
            <w:r w:rsidRPr="005F6030">
              <w:rPr>
                <w:rStyle w:val="Hyperlink"/>
                <w:noProof/>
              </w:rPr>
              <w:t>Product Information</w:t>
            </w:r>
            <w:r>
              <w:rPr>
                <w:noProof/>
                <w:webHidden/>
              </w:rPr>
              <w:tab/>
            </w:r>
            <w:r>
              <w:rPr>
                <w:noProof/>
                <w:webHidden/>
              </w:rPr>
              <w:fldChar w:fldCharType="begin"/>
            </w:r>
            <w:r>
              <w:rPr>
                <w:noProof/>
                <w:webHidden/>
              </w:rPr>
              <w:instrText xml:space="preserve"> PAGEREF _Toc34735371 \h </w:instrText>
            </w:r>
            <w:r>
              <w:rPr>
                <w:noProof/>
                <w:webHidden/>
              </w:rPr>
            </w:r>
            <w:r>
              <w:rPr>
                <w:noProof/>
                <w:webHidden/>
              </w:rPr>
              <w:fldChar w:fldCharType="separate"/>
            </w:r>
            <w:r>
              <w:rPr>
                <w:noProof/>
                <w:webHidden/>
              </w:rPr>
              <w:t>9</w:t>
            </w:r>
            <w:r>
              <w:rPr>
                <w:noProof/>
                <w:webHidden/>
              </w:rPr>
              <w:fldChar w:fldCharType="end"/>
            </w:r>
          </w:hyperlink>
        </w:p>
        <w:p w14:paraId="591597CC" w14:textId="779EEEDE" w:rsidR="0052476B" w:rsidRDefault="0052476B">
          <w:pPr>
            <w:pStyle w:val="TOC2"/>
            <w:rPr>
              <w:rFonts w:asciiTheme="minorHAnsi" w:eastAsiaTheme="minorEastAsia" w:hAnsiTheme="minorHAnsi" w:cstheme="minorBidi"/>
              <w:b w:val="0"/>
              <w:noProof/>
              <w:sz w:val="22"/>
              <w:lang w:eastAsia="en-AU"/>
            </w:rPr>
          </w:pPr>
          <w:hyperlink w:anchor="_Toc34735372" w:history="1">
            <w:r w:rsidRPr="005F6030">
              <w:rPr>
                <w:rStyle w:val="Hyperlink"/>
                <w:noProof/>
              </w:rPr>
              <w:t>II. Registration timeline</w:t>
            </w:r>
            <w:r>
              <w:rPr>
                <w:noProof/>
                <w:webHidden/>
              </w:rPr>
              <w:tab/>
            </w:r>
            <w:r>
              <w:rPr>
                <w:noProof/>
                <w:webHidden/>
              </w:rPr>
              <w:fldChar w:fldCharType="begin"/>
            </w:r>
            <w:r>
              <w:rPr>
                <w:noProof/>
                <w:webHidden/>
              </w:rPr>
              <w:instrText xml:space="preserve"> PAGEREF _Toc34735372 \h </w:instrText>
            </w:r>
            <w:r>
              <w:rPr>
                <w:noProof/>
                <w:webHidden/>
              </w:rPr>
            </w:r>
            <w:r>
              <w:rPr>
                <w:noProof/>
                <w:webHidden/>
              </w:rPr>
              <w:fldChar w:fldCharType="separate"/>
            </w:r>
            <w:r>
              <w:rPr>
                <w:noProof/>
                <w:webHidden/>
              </w:rPr>
              <w:t>9</w:t>
            </w:r>
            <w:r>
              <w:rPr>
                <w:noProof/>
                <w:webHidden/>
              </w:rPr>
              <w:fldChar w:fldCharType="end"/>
            </w:r>
          </w:hyperlink>
        </w:p>
        <w:p w14:paraId="2C6D40E1" w14:textId="3D415CF6" w:rsidR="0052476B" w:rsidRDefault="0052476B">
          <w:pPr>
            <w:pStyle w:val="TOC2"/>
            <w:rPr>
              <w:rFonts w:asciiTheme="minorHAnsi" w:eastAsiaTheme="minorEastAsia" w:hAnsiTheme="minorHAnsi" w:cstheme="minorBidi"/>
              <w:b w:val="0"/>
              <w:noProof/>
              <w:sz w:val="22"/>
              <w:lang w:eastAsia="en-AU"/>
            </w:rPr>
          </w:pPr>
          <w:hyperlink w:anchor="_Toc34735373" w:history="1">
            <w:r w:rsidRPr="005F6030">
              <w:rPr>
                <w:rStyle w:val="Hyperlink"/>
                <w:noProof/>
              </w:rPr>
              <w:t>III. Submission overview and risk/benefit assessment</w:t>
            </w:r>
            <w:r>
              <w:rPr>
                <w:noProof/>
                <w:webHidden/>
              </w:rPr>
              <w:tab/>
            </w:r>
            <w:r>
              <w:rPr>
                <w:noProof/>
                <w:webHidden/>
              </w:rPr>
              <w:fldChar w:fldCharType="begin"/>
            </w:r>
            <w:r>
              <w:rPr>
                <w:noProof/>
                <w:webHidden/>
              </w:rPr>
              <w:instrText xml:space="preserve"> PAGEREF _Toc34735373 \h </w:instrText>
            </w:r>
            <w:r>
              <w:rPr>
                <w:noProof/>
                <w:webHidden/>
              </w:rPr>
            </w:r>
            <w:r>
              <w:rPr>
                <w:noProof/>
                <w:webHidden/>
              </w:rPr>
              <w:fldChar w:fldCharType="separate"/>
            </w:r>
            <w:r>
              <w:rPr>
                <w:noProof/>
                <w:webHidden/>
              </w:rPr>
              <w:t>10</w:t>
            </w:r>
            <w:r>
              <w:rPr>
                <w:noProof/>
                <w:webHidden/>
              </w:rPr>
              <w:fldChar w:fldCharType="end"/>
            </w:r>
          </w:hyperlink>
        </w:p>
        <w:p w14:paraId="765ED46C" w14:textId="2E72CC75" w:rsidR="0052476B" w:rsidRDefault="0052476B">
          <w:pPr>
            <w:pStyle w:val="TOC3"/>
            <w:rPr>
              <w:rFonts w:asciiTheme="minorHAnsi" w:eastAsiaTheme="minorEastAsia" w:hAnsiTheme="minorHAnsi" w:cstheme="minorBidi"/>
              <w:noProof/>
              <w:lang w:eastAsia="en-AU"/>
            </w:rPr>
          </w:pPr>
          <w:hyperlink w:anchor="_Toc34735374" w:history="1">
            <w:r w:rsidRPr="005F6030">
              <w:rPr>
                <w:rStyle w:val="Hyperlink"/>
                <w:noProof/>
              </w:rPr>
              <w:t>Quality</w:t>
            </w:r>
            <w:r>
              <w:rPr>
                <w:noProof/>
                <w:webHidden/>
              </w:rPr>
              <w:tab/>
            </w:r>
            <w:r>
              <w:rPr>
                <w:noProof/>
                <w:webHidden/>
              </w:rPr>
              <w:fldChar w:fldCharType="begin"/>
            </w:r>
            <w:r>
              <w:rPr>
                <w:noProof/>
                <w:webHidden/>
              </w:rPr>
              <w:instrText xml:space="preserve"> PAGEREF _Toc34735374 \h </w:instrText>
            </w:r>
            <w:r>
              <w:rPr>
                <w:noProof/>
                <w:webHidden/>
              </w:rPr>
            </w:r>
            <w:r>
              <w:rPr>
                <w:noProof/>
                <w:webHidden/>
              </w:rPr>
              <w:fldChar w:fldCharType="separate"/>
            </w:r>
            <w:r>
              <w:rPr>
                <w:noProof/>
                <w:webHidden/>
              </w:rPr>
              <w:t>10</w:t>
            </w:r>
            <w:r>
              <w:rPr>
                <w:noProof/>
                <w:webHidden/>
              </w:rPr>
              <w:fldChar w:fldCharType="end"/>
            </w:r>
          </w:hyperlink>
        </w:p>
        <w:p w14:paraId="2F082786" w14:textId="6E6B8819" w:rsidR="0052476B" w:rsidRDefault="0052476B">
          <w:pPr>
            <w:pStyle w:val="TOC3"/>
            <w:rPr>
              <w:rFonts w:asciiTheme="minorHAnsi" w:eastAsiaTheme="minorEastAsia" w:hAnsiTheme="minorHAnsi" w:cstheme="minorBidi"/>
              <w:noProof/>
              <w:lang w:eastAsia="en-AU"/>
            </w:rPr>
          </w:pPr>
          <w:hyperlink w:anchor="_Toc34735375" w:history="1">
            <w:r w:rsidRPr="005F6030">
              <w:rPr>
                <w:rStyle w:val="Hyperlink"/>
                <w:noProof/>
              </w:rPr>
              <w:t>Nonclinical</w:t>
            </w:r>
            <w:r>
              <w:rPr>
                <w:noProof/>
                <w:webHidden/>
              </w:rPr>
              <w:tab/>
            </w:r>
            <w:r>
              <w:rPr>
                <w:noProof/>
                <w:webHidden/>
              </w:rPr>
              <w:fldChar w:fldCharType="begin"/>
            </w:r>
            <w:r>
              <w:rPr>
                <w:noProof/>
                <w:webHidden/>
              </w:rPr>
              <w:instrText xml:space="preserve"> PAGEREF _Toc34735375 \h </w:instrText>
            </w:r>
            <w:r>
              <w:rPr>
                <w:noProof/>
                <w:webHidden/>
              </w:rPr>
            </w:r>
            <w:r>
              <w:rPr>
                <w:noProof/>
                <w:webHidden/>
              </w:rPr>
              <w:fldChar w:fldCharType="separate"/>
            </w:r>
            <w:r>
              <w:rPr>
                <w:noProof/>
                <w:webHidden/>
              </w:rPr>
              <w:t>10</w:t>
            </w:r>
            <w:r>
              <w:rPr>
                <w:noProof/>
                <w:webHidden/>
              </w:rPr>
              <w:fldChar w:fldCharType="end"/>
            </w:r>
          </w:hyperlink>
        </w:p>
        <w:p w14:paraId="66E115EC" w14:textId="70E0287D" w:rsidR="0052476B" w:rsidRDefault="0052476B">
          <w:pPr>
            <w:pStyle w:val="TOC3"/>
            <w:rPr>
              <w:rFonts w:asciiTheme="minorHAnsi" w:eastAsiaTheme="minorEastAsia" w:hAnsiTheme="minorHAnsi" w:cstheme="minorBidi"/>
              <w:noProof/>
              <w:lang w:eastAsia="en-AU"/>
            </w:rPr>
          </w:pPr>
          <w:hyperlink w:anchor="_Toc34735376" w:history="1">
            <w:r w:rsidRPr="005F6030">
              <w:rPr>
                <w:rStyle w:val="Hyperlink"/>
                <w:noProof/>
              </w:rPr>
              <w:t>Clinical</w:t>
            </w:r>
            <w:r>
              <w:rPr>
                <w:noProof/>
                <w:webHidden/>
              </w:rPr>
              <w:tab/>
            </w:r>
            <w:r>
              <w:rPr>
                <w:noProof/>
                <w:webHidden/>
              </w:rPr>
              <w:fldChar w:fldCharType="begin"/>
            </w:r>
            <w:r>
              <w:rPr>
                <w:noProof/>
                <w:webHidden/>
              </w:rPr>
              <w:instrText xml:space="preserve"> PAGEREF _Toc34735376 \h </w:instrText>
            </w:r>
            <w:r>
              <w:rPr>
                <w:noProof/>
                <w:webHidden/>
              </w:rPr>
            </w:r>
            <w:r>
              <w:rPr>
                <w:noProof/>
                <w:webHidden/>
              </w:rPr>
              <w:fldChar w:fldCharType="separate"/>
            </w:r>
            <w:r>
              <w:rPr>
                <w:noProof/>
                <w:webHidden/>
              </w:rPr>
              <w:t>12</w:t>
            </w:r>
            <w:r>
              <w:rPr>
                <w:noProof/>
                <w:webHidden/>
              </w:rPr>
              <w:fldChar w:fldCharType="end"/>
            </w:r>
          </w:hyperlink>
        </w:p>
        <w:p w14:paraId="6412DB32" w14:textId="0E1256E3" w:rsidR="0052476B" w:rsidRDefault="0052476B">
          <w:pPr>
            <w:pStyle w:val="TOC3"/>
            <w:rPr>
              <w:rFonts w:asciiTheme="minorHAnsi" w:eastAsiaTheme="minorEastAsia" w:hAnsiTheme="minorHAnsi" w:cstheme="minorBidi"/>
              <w:noProof/>
              <w:lang w:eastAsia="en-AU"/>
            </w:rPr>
          </w:pPr>
          <w:hyperlink w:anchor="_Toc34735377" w:history="1">
            <w:r w:rsidRPr="005F6030">
              <w:rPr>
                <w:rStyle w:val="Hyperlink"/>
                <w:noProof/>
                <w:lang w:eastAsia="en-AU"/>
              </w:rPr>
              <w:t>Risk management plan</w:t>
            </w:r>
            <w:r>
              <w:rPr>
                <w:noProof/>
                <w:webHidden/>
              </w:rPr>
              <w:tab/>
            </w:r>
            <w:r>
              <w:rPr>
                <w:noProof/>
                <w:webHidden/>
              </w:rPr>
              <w:fldChar w:fldCharType="begin"/>
            </w:r>
            <w:r>
              <w:rPr>
                <w:noProof/>
                <w:webHidden/>
              </w:rPr>
              <w:instrText xml:space="preserve"> PAGEREF _Toc34735377 \h </w:instrText>
            </w:r>
            <w:r>
              <w:rPr>
                <w:noProof/>
                <w:webHidden/>
              </w:rPr>
            </w:r>
            <w:r>
              <w:rPr>
                <w:noProof/>
                <w:webHidden/>
              </w:rPr>
              <w:fldChar w:fldCharType="separate"/>
            </w:r>
            <w:r>
              <w:rPr>
                <w:noProof/>
                <w:webHidden/>
              </w:rPr>
              <w:t>20</w:t>
            </w:r>
            <w:r>
              <w:rPr>
                <w:noProof/>
                <w:webHidden/>
              </w:rPr>
              <w:fldChar w:fldCharType="end"/>
            </w:r>
          </w:hyperlink>
        </w:p>
        <w:p w14:paraId="426FEC8C" w14:textId="2B49D3D1" w:rsidR="0052476B" w:rsidRDefault="0052476B">
          <w:pPr>
            <w:pStyle w:val="TOC3"/>
            <w:rPr>
              <w:rFonts w:asciiTheme="minorHAnsi" w:eastAsiaTheme="minorEastAsia" w:hAnsiTheme="minorHAnsi" w:cstheme="minorBidi"/>
              <w:noProof/>
              <w:lang w:eastAsia="en-AU"/>
            </w:rPr>
          </w:pPr>
          <w:hyperlink w:anchor="_Toc34735378" w:history="1">
            <w:r w:rsidRPr="005F6030">
              <w:rPr>
                <w:rStyle w:val="Hyperlink"/>
                <w:noProof/>
              </w:rPr>
              <w:t>Risk-benefit analysis</w:t>
            </w:r>
            <w:r>
              <w:rPr>
                <w:noProof/>
                <w:webHidden/>
              </w:rPr>
              <w:tab/>
            </w:r>
            <w:r>
              <w:rPr>
                <w:noProof/>
                <w:webHidden/>
              </w:rPr>
              <w:fldChar w:fldCharType="begin"/>
            </w:r>
            <w:r>
              <w:rPr>
                <w:noProof/>
                <w:webHidden/>
              </w:rPr>
              <w:instrText xml:space="preserve"> PAGEREF _Toc34735378 \h </w:instrText>
            </w:r>
            <w:r>
              <w:rPr>
                <w:noProof/>
                <w:webHidden/>
              </w:rPr>
            </w:r>
            <w:r>
              <w:rPr>
                <w:noProof/>
                <w:webHidden/>
              </w:rPr>
              <w:fldChar w:fldCharType="separate"/>
            </w:r>
            <w:r>
              <w:rPr>
                <w:noProof/>
                <w:webHidden/>
              </w:rPr>
              <w:t>22</w:t>
            </w:r>
            <w:r>
              <w:rPr>
                <w:noProof/>
                <w:webHidden/>
              </w:rPr>
              <w:fldChar w:fldCharType="end"/>
            </w:r>
          </w:hyperlink>
        </w:p>
        <w:p w14:paraId="5AD29977" w14:textId="4A378E40" w:rsidR="0052476B" w:rsidRDefault="0052476B">
          <w:pPr>
            <w:pStyle w:val="TOC3"/>
            <w:rPr>
              <w:rFonts w:asciiTheme="minorHAnsi" w:eastAsiaTheme="minorEastAsia" w:hAnsiTheme="minorHAnsi" w:cstheme="minorBidi"/>
              <w:noProof/>
              <w:lang w:eastAsia="en-AU"/>
            </w:rPr>
          </w:pPr>
          <w:hyperlink w:anchor="_Toc34735379" w:history="1">
            <w:r w:rsidRPr="005F6030">
              <w:rPr>
                <w:rStyle w:val="Hyperlink"/>
                <w:noProof/>
              </w:rPr>
              <w:t>Outcome</w:t>
            </w:r>
            <w:r>
              <w:rPr>
                <w:noProof/>
                <w:webHidden/>
              </w:rPr>
              <w:tab/>
            </w:r>
            <w:r>
              <w:rPr>
                <w:noProof/>
                <w:webHidden/>
              </w:rPr>
              <w:fldChar w:fldCharType="begin"/>
            </w:r>
            <w:r>
              <w:rPr>
                <w:noProof/>
                <w:webHidden/>
              </w:rPr>
              <w:instrText xml:space="preserve"> PAGEREF _Toc34735379 \h </w:instrText>
            </w:r>
            <w:r>
              <w:rPr>
                <w:noProof/>
                <w:webHidden/>
              </w:rPr>
            </w:r>
            <w:r>
              <w:rPr>
                <w:noProof/>
                <w:webHidden/>
              </w:rPr>
              <w:fldChar w:fldCharType="separate"/>
            </w:r>
            <w:r>
              <w:rPr>
                <w:noProof/>
                <w:webHidden/>
              </w:rPr>
              <w:t>24</w:t>
            </w:r>
            <w:r>
              <w:rPr>
                <w:noProof/>
                <w:webHidden/>
              </w:rPr>
              <w:fldChar w:fldCharType="end"/>
            </w:r>
          </w:hyperlink>
        </w:p>
        <w:p w14:paraId="5C564591" w14:textId="30B30139" w:rsidR="0052476B" w:rsidRDefault="0052476B">
          <w:pPr>
            <w:pStyle w:val="TOC2"/>
            <w:rPr>
              <w:rFonts w:asciiTheme="minorHAnsi" w:eastAsiaTheme="minorEastAsia" w:hAnsiTheme="minorHAnsi" w:cstheme="minorBidi"/>
              <w:b w:val="0"/>
              <w:noProof/>
              <w:sz w:val="22"/>
              <w:lang w:eastAsia="en-AU"/>
            </w:rPr>
          </w:pPr>
          <w:hyperlink w:anchor="_Toc34735380" w:history="1">
            <w:r w:rsidRPr="005F6030">
              <w:rPr>
                <w:rStyle w:val="Hyperlink"/>
                <w:noProof/>
              </w:rPr>
              <w:t>Attachment 1. Product Information</w:t>
            </w:r>
            <w:r>
              <w:rPr>
                <w:noProof/>
                <w:webHidden/>
              </w:rPr>
              <w:tab/>
            </w:r>
            <w:r>
              <w:rPr>
                <w:noProof/>
                <w:webHidden/>
              </w:rPr>
              <w:fldChar w:fldCharType="begin"/>
            </w:r>
            <w:r>
              <w:rPr>
                <w:noProof/>
                <w:webHidden/>
              </w:rPr>
              <w:instrText xml:space="preserve"> PAGEREF _Toc34735380 \h </w:instrText>
            </w:r>
            <w:r>
              <w:rPr>
                <w:noProof/>
                <w:webHidden/>
              </w:rPr>
            </w:r>
            <w:r>
              <w:rPr>
                <w:noProof/>
                <w:webHidden/>
              </w:rPr>
              <w:fldChar w:fldCharType="separate"/>
            </w:r>
            <w:r>
              <w:rPr>
                <w:noProof/>
                <w:webHidden/>
              </w:rPr>
              <w:t>25</w:t>
            </w:r>
            <w:r>
              <w:rPr>
                <w:noProof/>
                <w:webHidden/>
              </w:rPr>
              <w:fldChar w:fldCharType="end"/>
            </w:r>
          </w:hyperlink>
        </w:p>
        <w:p w14:paraId="7E4E0098" w14:textId="5CD707E6" w:rsidR="003A7F6C" w:rsidRPr="00B811C6" w:rsidRDefault="00DB6124" w:rsidP="00B811C6">
          <w:pPr>
            <w:pStyle w:val="TOC2"/>
          </w:pPr>
          <w:r>
            <w:fldChar w:fldCharType="end"/>
          </w:r>
        </w:p>
      </w:sdtContent>
    </w:sdt>
    <w:bookmarkStart w:id="3" w:name="_Toc314842482" w:displacedByCustomXml="prev"/>
    <w:p w14:paraId="1179B2F8" w14:textId="77777777" w:rsidR="00FD119B" w:rsidRDefault="00FD119B">
      <w:pPr>
        <w:spacing w:before="0" w:after="200" w:line="0" w:lineRule="auto"/>
      </w:pPr>
      <w:r>
        <w:br w:type="page"/>
      </w:r>
    </w:p>
    <w:p w14:paraId="04D38F5E" w14:textId="77777777" w:rsidR="00C52E24" w:rsidRPr="00C52E24" w:rsidRDefault="00441C3F" w:rsidP="000D03B0">
      <w:pPr>
        <w:pStyle w:val="Heading2"/>
      </w:pPr>
      <w:bookmarkStart w:id="4" w:name="_Toc351716269"/>
      <w:bookmarkStart w:id="5" w:name="_Toc351718881"/>
      <w:bookmarkStart w:id="6" w:name="_Toc355338616"/>
      <w:bookmarkStart w:id="7" w:name="_Toc356306144"/>
      <w:bookmarkStart w:id="8" w:name="_Toc34735366"/>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2F7A99" w:rsidRPr="00FD119B" w14:paraId="1C8F868B"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432FB043" w14:textId="77777777" w:rsidR="002F7A99" w:rsidRPr="00FD119B" w:rsidRDefault="002F7A99" w:rsidP="00FD119B">
            <w:pPr>
              <w:keepNext w:val="0"/>
              <w:ind w:left="0" w:right="0"/>
              <w:rPr>
                <w:szCs w:val="22"/>
                <w:lang w:eastAsia="en-US"/>
              </w:rPr>
            </w:pPr>
            <w:r w:rsidRPr="00FD119B">
              <w:rPr>
                <w:szCs w:val="22"/>
                <w:lang w:eastAsia="en-US"/>
              </w:rPr>
              <w:t>Abbreviation</w:t>
            </w:r>
          </w:p>
        </w:tc>
        <w:tc>
          <w:tcPr>
            <w:tcW w:w="6911" w:type="dxa"/>
          </w:tcPr>
          <w:p w14:paraId="1789CD23" w14:textId="77777777" w:rsidR="002F7A99" w:rsidRPr="00FD119B" w:rsidRDefault="002F7A99" w:rsidP="00FD119B">
            <w:pPr>
              <w:keepNext w:val="0"/>
              <w:ind w:left="0" w:right="0"/>
              <w:rPr>
                <w:szCs w:val="22"/>
                <w:lang w:eastAsia="en-US"/>
              </w:rPr>
            </w:pPr>
            <w:r w:rsidRPr="00FD119B">
              <w:rPr>
                <w:szCs w:val="22"/>
                <w:lang w:eastAsia="en-US"/>
              </w:rPr>
              <w:t>Meaning</w:t>
            </w:r>
          </w:p>
        </w:tc>
      </w:tr>
      <w:tr w:rsidR="002F7A99" w:rsidRPr="00FD119B" w14:paraId="49E9F591" w14:textId="77777777" w:rsidTr="00FD119B">
        <w:tc>
          <w:tcPr>
            <w:tcW w:w="1809" w:type="dxa"/>
          </w:tcPr>
          <w:p w14:paraId="49293945" w14:textId="77777777" w:rsidR="002F7A99" w:rsidRDefault="002F7A99" w:rsidP="00FD119B">
            <w:r w:rsidRPr="001A1CC2">
              <w:t>ACP-5862</w:t>
            </w:r>
          </w:p>
        </w:tc>
        <w:tc>
          <w:tcPr>
            <w:tcW w:w="6911" w:type="dxa"/>
          </w:tcPr>
          <w:p w14:paraId="4D86DD70" w14:textId="3983E13D" w:rsidR="002F7A99" w:rsidRDefault="00CF3B6C" w:rsidP="0088068B">
            <w:r>
              <w:t>A</w:t>
            </w:r>
            <w:r w:rsidRPr="00CF365E">
              <w:t xml:space="preserve">ctive metabolite of </w:t>
            </w:r>
            <w:proofErr w:type="spellStart"/>
            <w:r w:rsidRPr="00CF365E">
              <w:t>acalabrutinib</w:t>
            </w:r>
            <w:proofErr w:type="spellEnd"/>
          </w:p>
        </w:tc>
      </w:tr>
      <w:tr w:rsidR="002F7A99" w:rsidRPr="00FD119B" w14:paraId="35F74869" w14:textId="77777777" w:rsidTr="00FD119B">
        <w:tc>
          <w:tcPr>
            <w:tcW w:w="1809" w:type="dxa"/>
          </w:tcPr>
          <w:p w14:paraId="2F7E9A63" w14:textId="77777777" w:rsidR="002F7A99" w:rsidRDefault="002F7A99" w:rsidP="00FD119B">
            <w:r>
              <w:t>AE</w:t>
            </w:r>
          </w:p>
        </w:tc>
        <w:tc>
          <w:tcPr>
            <w:tcW w:w="6911" w:type="dxa"/>
          </w:tcPr>
          <w:p w14:paraId="26F59238" w14:textId="77777777" w:rsidR="002F7A99" w:rsidRDefault="002F7A99" w:rsidP="002F7A99">
            <w:r>
              <w:t>Adverse event(s)</w:t>
            </w:r>
          </w:p>
        </w:tc>
      </w:tr>
      <w:tr w:rsidR="002F7A99" w:rsidRPr="00FD119B" w14:paraId="51084D20" w14:textId="77777777" w:rsidTr="00FD119B">
        <w:tc>
          <w:tcPr>
            <w:tcW w:w="1809" w:type="dxa"/>
          </w:tcPr>
          <w:p w14:paraId="6AA1A45B" w14:textId="77777777" w:rsidR="002F7A99" w:rsidRPr="001A1CC2" w:rsidRDefault="002F7A99" w:rsidP="00FD119B">
            <w:r w:rsidRPr="001A1CC2">
              <w:rPr>
                <w:szCs w:val="20"/>
              </w:rPr>
              <w:t>ALT</w:t>
            </w:r>
          </w:p>
        </w:tc>
        <w:tc>
          <w:tcPr>
            <w:tcW w:w="6911" w:type="dxa"/>
          </w:tcPr>
          <w:p w14:paraId="562B2A72" w14:textId="77777777" w:rsidR="002F7A99" w:rsidRDefault="002F7A99" w:rsidP="0088068B">
            <w:r>
              <w:rPr>
                <w:szCs w:val="20"/>
              </w:rPr>
              <w:t>Alanine aminotransferase</w:t>
            </w:r>
          </w:p>
        </w:tc>
      </w:tr>
      <w:tr w:rsidR="001E3A2C" w:rsidRPr="00FD119B" w14:paraId="7509FD28" w14:textId="77777777" w:rsidTr="00FD119B">
        <w:tc>
          <w:tcPr>
            <w:tcW w:w="1809" w:type="dxa"/>
          </w:tcPr>
          <w:p w14:paraId="36CBA7FC" w14:textId="1B41E018" w:rsidR="001E3A2C" w:rsidRPr="001A1CC2" w:rsidRDefault="001E3A2C" w:rsidP="00FD119B">
            <w:pPr>
              <w:rPr>
                <w:szCs w:val="20"/>
              </w:rPr>
            </w:pPr>
            <w:r>
              <w:rPr>
                <w:szCs w:val="20"/>
              </w:rPr>
              <w:t>ARTG</w:t>
            </w:r>
          </w:p>
        </w:tc>
        <w:tc>
          <w:tcPr>
            <w:tcW w:w="6911" w:type="dxa"/>
          </w:tcPr>
          <w:p w14:paraId="3DF82E03" w14:textId="493EB63C" w:rsidR="001E3A2C" w:rsidRDefault="001E3A2C" w:rsidP="0088068B">
            <w:pPr>
              <w:rPr>
                <w:szCs w:val="20"/>
              </w:rPr>
            </w:pPr>
            <w:r>
              <w:rPr>
                <w:szCs w:val="20"/>
              </w:rPr>
              <w:t>Australian Register of Therapeutic Goods</w:t>
            </w:r>
          </w:p>
        </w:tc>
      </w:tr>
      <w:tr w:rsidR="002F7A99" w:rsidRPr="00FD119B" w14:paraId="4148854D" w14:textId="77777777" w:rsidTr="00FD119B">
        <w:tc>
          <w:tcPr>
            <w:tcW w:w="1809" w:type="dxa"/>
          </w:tcPr>
          <w:p w14:paraId="4683AC2D" w14:textId="77777777" w:rsidR="002F7A99" w:rsidRPr="00904A64" w:rsidRDefault="002F7A99" w:rsidP="00FD119B">
            <w:r w:rsidRPr="00904A64">
              <w:t>ASA</w:t>
            </w:r>
          </w:p>
        </w:tc>
        <w:tc>
          <w:tcPr>
            <w:tcW w:w="6911" w:type="dxa"/>
          </w:tcPr>
          <w:p w14:paraId="4471153C" w14:textId="14A84602" w:rsidR="002F7A99" w:rsidRDefault="002F7A99" w:rsidP="00895543">
            <w:r>
              <w:t xml:space="preserve">Australian </w:t>
            </w:r>
            <w:r w:rsidR="00895543">
              <w:t xml:space="preserve">specific </w:t>
            </w:r>
            <w:r>
              <w:t>Annex</w:t>
            </w:r>
          </w:p>
        </w:tc>
      </w:tr>
      <w:tr w:rsidR="002F7A99" w:rsidRPr="00FD119B" w14:paraId="7A90E10C" w14:textId="77777777" w:rsidTr="00FD119B">
        <w:tc>
          <w:tcPr>
            <w:tcW w:w="1809" w:type="dxa"/>
          </w:tcPr>
          <w:p w14:paraId="162EA109" w14:textId="77777777" w:rsidR="002F7A99" w:rsidRPr="001A1CC2" w:rsidRDefault="002F7A99" w:rsidP="00FD119B">
            <w:r w:rsidRPr="001A1CC2">
              <w:rPr>
                <w:szCs w:val="20"/>
              </w:rPr>
              <w:t>AST</w:t>
            </w:r>
          </w:p>
        </w:tc>
        <w:tc>
          <w:tcPr>
            <w:tcW w:w="6911" w:type="dxa"/>
          </w:tcPr>
          <w:p w14:paraId="15E48361" w14:textId="77777777" w:rsidR="002F7A99" w:rsidRDefault="002F7A99" w:rsidP="0088068B">
            <w:r>
              <w:rPr>
                <w:szCs w:val="20"/>
              </w:rPr>
              <w:t>Aspartate aminotransferase</w:t>
            </w:r>
          </w:p>
        </w:tc>
      </w:tr>
      <w:tr w:rsidR="002F7A99" w:rsidRPr="00FD119B" w14:paraId="3F4D1A44" w14:textId="77777777" w:rsidTr="00FD119B">
        <w:tc>
          <w:tcPr>
            <w:tcW w:w="1809" w:type="dxa"/>
          </w:tcPr>
          <w:p w14:paraId="23168E22" w14:textId="77777777" w:rsidR="002F7A99" w:rsidRDefault="002F7A99" w:rsidP="00FD119B">
            <w:r w:rsidRPr="001A1CC2">
              <w:t>AUC</w:t>
            </w:r>
          </w:p>
        </w:tc>
        <w:tc>
          <w:tcPr>
            <w:tcW w:w="6911" w:type="dxa"/>
          </w:tcPr>
          <w:p w14:paraId="33578319" w14:textId="77777777" w:rsidR="002F7A99" w:rsidRDefault="002F7A99" w:rsidP="0088068B">
            <w:r>
              <w:t>A</w:t>
            </w:r>
            <w:r w:rsidRPr="001A1CC2">
              <w:t>rea unde</w:t>
            </w:r>
            <w:r>
              <w:t>r the concentration-time curve</w:t>
            </w:r>
          </w:p>
        </w:tc>
      </w:tr>
      <w:tr w:rsidR="002F7A99" w:rsidRPr="00FD119B" w14:paraId="367D009C" w14:textId="77777777" w:rsidTr="00FD119B">
        <w:tc>
          <w:tcPr>
            <w:tcW w:w="1809" w:type="dxa"/>
          </w:tcPr>
          <w:p w14:paraId="0BF587C9" w14:textId="77777777" w:rsidR="002F7A99" w:rsidRDefault="002F7A99" w:rsidP="00FD119B">
            <w:r>
              <w:t>BCL-2</w:t>
            </w:r>
          </w:p>
        </w:tc>
        <w:tc>
          <w:tcPr>
            <w:tcW w:w="6911" w:type="dxa"/>
          </w:tcPr>
          <w:p w14:paraId="6566DEC4" w14:textId="77777777" w:rsidR="002F7A99" w:rsidRDefault="002F7A99" w:rsidP="000F595E">
            <w:r w:rsidRPr="000F595E">
              <w:t>B-cell lymphoma 2</w:t>
            </w:r>
          </w:p>
        </w:tc>
      </w:tr>
      <w:tr w:rsidR="002F7A99" w:rsidRPr="00FD119B" w14:paraId="147B89BB" w14:textId="77777777" w:rsidTr="00FD119B">
        <w:tc>
          <w:tcPr>
            <w:tcW w:w="1809" w:type="dxa"/>
          </w:tcPr>
          <w:p w14:paraId="748D40BA" w14:textId="77777777" w:rsidR="002F7A99" w:rsidRDefault="002F7A99" w:rsidP="00FD119B">
            <w:r w:rsidRPr="001A1CC2">
              <w:t>BCRP</w:t>
            </w:r>
          </w:p>
        </w:tc>
        <w:tc>
          <w:tcPr>
            <w:tcW w:w="6911" w:type="dxa"/>
          </w:tcPr>
          <w:p w14:paraId="69F91A87" w14:textId="77777777" w:rsidR="002F7A99" w:rsidRDefault="002F7A99" w:rsidP="0088068B">
            <w:r>
              <w:t>B</w:t>
            </w:r>
            <w:r w:rsidRPr="001A1CC2">
              <w:t>r</w:t>
            </w:r>
            <w:r>
              <w:t>east cancer resistance protein</w:t>
            </w:r>
          </w:p>
        </w:tc>
      </w:tr>
      <w:tr w:rsidR="002F7A99" w:rsidRPr="00FD119B" w14:paraId="7F9155B7" w14:textId="77777777" w:rsidTr="00FD119B">
        <w:tc>
          <w:tcPr>
            <w:tcW w:w="1809" w:type="dxa"/>
          </w:tcPr>
          <w:p w14:paraId="625F98DB" w14:textId="77777777" w:rsidR="002F7A99" w:rsidRDefault="002F7A99" w:rsidP="00FD119B">
            <w:r>
              <w:t>BID</w:t>
            </w:r>
          </w:p>
        </w:tc>
        <w:tc>
          <w:tcPr>
            <w:tcW w:w="6911" w:type="dxa"/>
          </w:tcPr>
          <w:p w14:paraId="0878062B" w14:textId="77777777" w:rsidR="002F7A99" w:rsidRDefault="002F7A99" w:rsidP="003A6F28">
            <w:r>
              <w:t xml:space="preserve">Twice daily; </w:t>
            </w:r>
            <w:proofErr w:type="spellStart"/>
            <w:r w:rsidRPr="005972D4">
              <w:rPr>
                <w:i/>
              </w:rPr>
              <w:t>bis</w:t>
            </w:r>
            <w:proofErr w:type="spellEnd"/>
            <w:r w:rsidRPr="005972D4">
              <w:rPr>
                <w:i/>
              </w:rPr>
              <w:t xml:space="preserve"> in die</w:t>
            </w:r>
            <w:r>
              <w:t xml:space="preserve"> (Latin)</w:t>
            </w:r>
          </w:p>
        </w:tc>
      </w:tr>
      <w:tr w:rsidR="002F7A99" w:rsidRPr="00FD119B" w14:paraId="79FC3A0D" w14:textId="77777777" w:rsidTr="00FD119B">
        <w:tc>
          <w:tcPr>
            <w:tcW w:w="1809" w:type="dxa"/>
          </w:tcPr>
          <w:p w14:paraId="0592533B" w14:textId="77777777" w:rsidR="002F7A99" w:rsidRDefault="002F7A99" w:rsidP="00FD119B">
            <w:r>
              <w:t>BTK</w:t>
            </w:r>
          </w:p>
        </w:tc>
        <w:tc>
          <w:tcPr>
            <w:tcW w:w="6911" w:type="dxa"/>
          </w:tcPr>
          <w:p w14:paraId="598FBAC0" w14:textId="77777777" w:rsidR="002F7A99" w:rsidRDefault="002F7A99" w:rsidP="000F595E">
            <w:proofErr w:type="spellStart"/>
            <w:r>
              <w:t>Bruton</w:t>
            </w:r>
            <w:proofErr w:type="spellEnd"/>
            <w:r>
              <w:t xml:space="preserve"> tyrosine kinase</w:t>
            </w:r>
          </w:p>
        </w:tc>
      </w:tr>
      <w:tr w:rsidR="002F7A99" w:rsidRPr="00FD119B" w14:paraId="26FF7256" w14:textId="77777777" w:rsidTr="00FD119B">
        <w:tc>
          <w:tcPr>
            <w:tcW w:w="1809" w:type="dxa"/>
          </w:tcPr>
          <w:p w14:paraId="5C4C10E9" w14:textId="77777777" w:rsidR="002F7A99" w:rsidRDefault="002F7A99" w:rsidP="00FD119B">
            <w:r>
              <w:t>CD5</w:t>
            </w:r>
          </w:p>
        </w:tc>
        <w:tc>
          <w:tcPr>
            <w:tcW w:w="6911" w:type="dxa"/>
          </w:tcPr>
          <w:p w14:paraId="6D31B526" w14:textId="77777777" w:rsidR="002F7A99" w:rsidRDefault="002F7A99" w:rsidP="00FD119B">
            <w:r>
              <w:t>Cluster of differentiation 5</w:t>
            </w:r>
          </w:p>
        </w:tc>
      </w:tr>
      <w:tr w:rsidR="002F7A99" w:rsidRPr="00FD119B" w14:paraId="4C880C98" w14:textId="77777777" w:rsidTr="00FD119B">
        <w:tc>
          <w:tcPr>
            <w:tcW w:w="1809" w:type="dxa"/>
          </w:tcPr>
          <w:p w14:paraId="30D206B7" w14:textId="77777777" w:rsidR="002F7A99" w:rsidRPr="00B71B1B" w:rsidRDefault="002F7A99" w:rsidP="000F595E">
            <w:r w:rsidRPr="00B71B1B">
              <w:t>CLL</w:t>
            </w:r>
          </w:p>
        </w:tc>
        <w:tc>
          <w:tcPr>
            <w:tcW w:w="6911" w:type="dxa"/>
          </w:tcPr>
          <w:p w14:paraId="04585A2C" w14:textId="77777777" w:rsidR="002F7A99" w:rsidRPr="00B71B1B" w:rsidRDefault="002F7A99" w:rsidP="000F595E">
            <w:r w:rsidRPr="00B71B1B">
              <w:t>Chronic lymphocytic leukaemia</w:t>
            </w:r>
          </w:p>
        </w:tc>
      </w:tr>
      <w:tr w:rsidR="002F7A99" w:rsidRPr="00FD119B" w14:paraId="1D52A7DE" w14:textId="77777777" w:rsidTr="00FD119B">
        <w:tc>
          <w:tcPr>
            <w:tcW w:w="1809" w:type="dxa"/>
          </w:tcPr>
          <w:p w14:paraId="1A580F6B" w14:textId="77777777" w:rsidR="002F7A99" w:rsidRPr="00904A64" w:rsidRDefault="002F7A99" w:rsidP="00FD119B">
            <w:r w:rsidRPr="002F7A99">
              <w:t>CMI</w:t>
            </w:r>
          </w:p>
        </w:tc>
        <w:tc>
          <w:tcPr>
            <w:tcW w:w="6911" w:type="dxa"/>
          </w:tcPr>
          <w:p w14:paraId="3F543A70" w14:textId="77777777" w:rsidR="002F7A99" w:rsidRDefault="002F7A99" w:rsidP="002F7A99">
            <w:r>
              <w:t>Consumer Medicines Information</w:t>
            </w:r>
          </w:p>
        </w:tc>
      </w:tr>
      <w:tr w:rsidR="002F7A99" w:rsidRPr="00FD119B" w14:paraId="77B847F7" w14:textId="77777777" w:rsidTr="00FD119B">
        <w:tc>
          <w:tcPr>
            <w:tcW w:w="1809" w:type="dxa"/>
          </w:tcPr>
          <w:p w14:paraId="06FEA693" w14:textId="77777777" w:rsidR="002F7A99" w:rsidRDefault="002F7A99" w:rsidP="00FD119B">
            <w:r w:rsidRPr="001A1CC2">
              <w:t>CNS</w:t>
            </w:r>
          </w:p>
        </w:tc>
        <w:tc>
          <w:tcPr>
            <w:tcW w:w="6911" w:type="dxa"/>
          </w:tcPr>
          <w:p w14:paraId="72490E58" w14:textId="77777777" w:rsidR="002F7A99" w:rsidRDefault="002F7A99" w:rsidP="0088068B">
            <w:r>
              <w:t>Central nervous system</w:t>
            </w:r>
          </w:p>
        </w:tc>
      </w:tr>
      <w:tr w:rsidR="00904C9D" w:rsidRPr="00FD119B" w14:paraId="474DC929" w14:textId="77777777" w:rsidTr="00FD119B">
        <w:tc>
          <w:tcPr>
            <w:tcW w:w="1809" w:type="dxa"/>
          </w:tcPr>
          <w:p w14:paraId="73ADD4A0" w14:textId="3E69737C" w:rsidR="00904C9D" w:rsidRPr="001A1CC2" w:rsidRDefault="00904C9D" w:rsidP="00FD119B">
            <w:r>
              <w:t>COR</w:t>
            </w:r>
            <w:r w:rsidR="008C3CA9">
              <w:t>-B</w:t>
            </w:r>
          </w:p>
        </w:tc>
        <w:tc>
          <w:tcPr>
            <w:tcW w:w="6911" w:type="dxa"/>
          </w:tcPr>
          <w:p w14:paraId="6EC2EEBD" w14:textId="085FC387" w:rsidR="00904C9D" w:rsidRDefault="00904C9D" w:rsidP="00904C9D">
            <w:r>
              <w:t>Comparable Overseas Regulator</w:t>
            </w:r>
            <w:r w:rsidR="008C3CA9">
              <w:t xml:space="preserve"> approach B</w:t>
            </w:r>
          </w:p>
        </w:tc>
      </w:tr>
      <w:tr w:rsidR="002F7A99" w:rsidRPr="00FD119B" w14:paraId="653D7A9E" w14:textId="77777777" w:rsidTr="00FD119B">
        <w:tc>
          <w:tcPr>
            <w:tcW w:w="1809" w:type="dxa"/>
          </w:tcPr>
          <w:p w14:paraId="0E2B1785" w14:textId="77777777" w:rsidR="002F7A99" w:rsidRDefault="002F7A99" w:rsidP="00FD119B">
            <w:r w:rsidRPr="001A1CC2">
              <w:t>CYP3A4/5</w:t>
            </w:r>
          </w:p>
        </w:tc>
        <w:tc>
          <w:tcPr>
            <w:tcW w:w="6911" w:type="dxa"/>
          </w:tcPr>
          <w:p w14:paraId="2631F2D4" w14:textId="77777777" w:rsidR="002F7A99" w:rsidRDefault="002F7A99" w:rsidP="0088068B">
            <w:r>
              <w:t>Cytochrome P450 3A4/5</w:t>
            </w:r>
          </w:p>
        </w:tc>
      </w:tr>
      <w:tr w:rsidR="002F7A99" w:rsidRPr="00FD119B" w14:paraId="0129795C" w14:textId="77777777" w:rsidTr="00FD119B">
        <w:tc>
          <w:tcPr>
            <w:tcW w:w="1809" w:type="dxa"/>
          </w:tcPr>
          <w:p w14:paraId="0295E3CE" w14:textId="77777777" w:rsidR="002F7A99" w:rsidRDefault="002F7A99" w:rsidP="00FD119B">
            <w:r w:rsidRPr="00904A64">
              <w:t>DLP</w:t>
            </w:r>
          </w:p>
        </w:tc>
        <w:tc>
          <w:tcPr>
            <w:tcW w:w="6911" w:type="dxa"/>
          </w:tcPr>
          <w:p w14:paraId="4B511899" w14:textId="77777777" w:rsidR="002F7A99" w:rsidRDefault="002F7A99" w:rsidP="002F7A99">
            <w:r>
              <w:t>Data lock point</w:t>
            </w:r>
          </w:p>
        </w:tc>
      </w:tr>
      <w:tr w:rsidR="002F7A99" w:rsidRPr="00FD119B" w14:paraId="10D8C039" w14:textId="77777777" w:rsidTr="00FD119B">
        <w:tc>
          <w:tcPr>
            <w:tcW w:w="1809" w:type="dxa"/>
          </w:tcPr>
          <w:p w14:paraId="2F216563" w14:textId="77777777" w:rsidR="002F7A99" w:rsidRPr="001A1CC2" w:rsidRDefault="002F7A99" w:rsidP="00FD119B">
            <w:r>
              <w:t>DOR</w:t>
            </w:r>
          </w:p>
        </w:tc>
        <w:tc>
          <w:tcPr>
            <w:tcW w:w="6911" w:type="dxa"/>
          </w:tcPr>
          <w:p w14:paraId="2F3B4BD4" w14:textId="77777777" w:rsidR="002F7A99" w:rsidRPr="001A1CC2" w:rsidRDefault="002F7A99" w:rsidP="003A6F28">
            <w:r>
              <w:t>Duration of response</w:t>
            </w:r>
          </w:p>
        </w:tc>
      </w:tr>
      <w:tr w:rsidR="002F7A99" w:rsidRPr="00FD119B" w14:paraId="5ED7C0A5" w14:textId="77777777" w:rsidTr="00FD119B">
        <w:tc>
          <w:tcPr>
            <w:tcW w:w="1809" w:type="dxa"/>
          </w:tcPr>
          <w:p w14:paraId="66530F60" w14:textId="77777777" w:rsidR="002F7A99" w:rsidRPr="001A1CC2" w:rsidRDefault="002F7A99" w:rsidP="00FD119B">
            <w:r w:rsidRPr="007B3B29">
              <w:t>ECOG</w:t>
            </w:r>
          </w:p>
        </w:tc>
        <w:tc>
          <w:tcPr>
            <w:tcW w:w="6911" w:type="dxa"/>
          </w:tcPr>
          <w:p w14:paraId="1B81D511" w14:textId="77777777" w:rsidR="002F7A99" w:rsidRPr="001A1CC2" w:rsidRDefault="002F7A99" w:rsidP="007B3B29">
            <w:r w:rsidRPr="007B3B29">
              <w:t>East</w:t>
            </w:r>
            <w:r>
              <w:t>ern Cooperative Oncology Group</w:t>
            </w:r>
          </w:p>
        </w:tc>
      </w:tr>
      <w:tr w:rsidR="002F7A99" w:rsidRPr="00FD119B" w14:paraId="63D49D71" w14:textId="77777777" w:rsidTr="00FD119B">
        <w:tc>
          <w:tcPr>
            <w:tcW w:w="1809" w:type="dxa"/>
          </w:tcPr>
          <w:p w14:paraId="1606611F" w14:textId="77777777" w:rsidR="002F7A99" w:rsidRPr="001A1CC2" w:rsidRDefault="002F7A99" w:rsidP="00FD119B">
            <w:r>
              <w:t>EMA</w:t>
            </w:r>
          </w:p>
        </w:tc>
        <w:tc>
          <w:tcPr>
            <w:tcW w:w="6911" w:type="dxa"/>
          </w:tcPr>
          <w:p w14:paraId="0DC89A50" w14:textId="78F6D97E" w:rsidR="002F7A99" w:rsidRPr="001A1CC2" w:rsidRDefault="002F7A99" w:rsidP="00484A16">
            <w:r>
              <w:t>European Medicines Agency</w:t>
            </w:r>
            <w:r w:rsidR="00895543">
              <w:t xml:space="preserve"> (EU)</w:t>
            </w:r>
          </w:p>
        </w:tc>
      </w:tr>
      <w:tr w:rsidR="002F7A99" w:rsidRPr="00FD119B" w14:paraId="77C8EA94" w14:textId="77777777" w:rsidTr="00FD119B">
        <w:tc>
          <w:tcPr>
            <w:tcW w:w="1809" w:type="dxa"/>
          </w:tcPr>
          <w:p w14:paraId="6EA8E299" w14:textId="77777777" w:rsidR="002F7A99" w:rsidRPr="001A1CC2" w:rsidRDefault="002F7A99" w:rsidP="00FD119B">
            <w:r>
              <w:t>EORTC QLQ‐C30</w:t>
            </w:r>
          </w:p>
        </w:tc>
        <w:tc>
          <w:tcPr>
            <w:tcW w:w="6911" w:type="dxa"/>
          </w:tcPr>
          <w:p w14:paraId="6009ECA9" w14:textId="77777777" w:rsidR="002F7A99" w:rsidRPr="001A1CC2" w:rsidRDefault="002F7A99" w:rsidP="003A6F28">
            <w:r w:rsidRPr="003A6F28">
              <w:t xml:space="preserve">European Organisation for Research </w:t>
            </w:r>
            <w:r>
              <w:t>and Treatment of Cancer Quality of Life Questionnaire</w:t>
            </w:r>
          </w:p>
        </w:tc>
      </w:tr>
      <w:tr w:rsidR="002F7A99" w:rsidRPr="00FD119B" w14:paraId="6B224D7F" w14:textId="77777777" w:rsidTr="00FD119B">
        <w:tc>
          <w:tcPr>
            <w:tcW w:w="1809" w:type="dxa"/>
          </w:tcPr>
          <w:p w14:paraId="71DC3223" w14:textId="77777777" w:rsidR="002F7A99" w:rsidRPr="001A1CC2" w:rsidRDefault="002F7A99" w:rsidP="00FD119B">
            <w:r w:rsidRPr="00036490">
              <w:t>EQ-5D</w:t>
            </w:r>
          </w:p>
        </w:tc>
        <w:tc>
          <w:tcPr>
            <w:tcW w:w="6911" w:type="dxa"/>
          </w:tcPr>
          <w:p w14:paraId="277C6B04" w14:textId="77777777" w:rsidR="002F7A99" w:rsidRPr="001A1CC2" w:rsidRDefault="002F7A99" w:rsidP="003A6F28">
            <w:proofErr w:type="spellStart"/>
            <w:r>
              <w:t>EuroQol</w:t>
            </w:r>
            <w:proofErr w:type="spellEnd"/>
            <w:r>
              <w:t xml:space="preserve"> 5 dimensions</w:t>
            </w:r>
          </w:p>
        </w:tc>
      </w:tr>
      <w:tr w:rsidR="00895543" w:rsidRPr="00FD119B" w14:paraId="69848320" w14:textId="77777777" w:rsidTr="00FD119B">
        <w:tc>
          <w:tcPr>
            <w:tcW w:w="1809" w:type="dxa"/>
          </w:tcPr>
          <w:p w14:paraId="3AD7048C" w14:textId="1BA76454" w:rsidR="00895543" w:rsidRPr="00036490" w:rsidRDefault="00895543" w:rsidP="00FD119B">
            <w:r>
              <w:t>EU</w:t>
            </w:r>
          </w:p>
        </w:tc>
        <w:tc>
          <w:tcPr>
            <w:tcW w:w="6911" w:type="dxa"/>
          </w:tcPr>
          <w:p w14:paraId="65D64E3E" w14:textId="7FC0AE19" w:rsidR="00895543" w:rsidRDefault="00895543" w:rsidP="003A6F28">
            <w:r>
              <w:t>European Union</w:t>
            </w:r>
          </w:p>
        </w:tc>
      </w:tr>
      <w:tr w:rsidR="002F7A99" w:rsidRPr="00FD119B" w14:paraId="42E621D4" w14:textId="77777777" w:rsidTr="00C47755">
        <w:trPr>
          <w:cantSplit/>
        </w:trPr>
        <w:tc>
          <w:tcPr>
            <w:tcW w:w="1809" w:type="dxa"/>
          </w:tcPr>
          <w:p w14:paraId="1E03E132" w14:textId="77777777" w:rsidR="002F7A99" w:rsidRPr="001A1CC2" w:rsidRDefault="002F7A99" w:rsidP="00FD119B">
            <w:r w:rsidRPr="00036490">
              <w:lastRenderedPageBreak/>
              <w:t>FACIT-Fatigue</w:t>
            </w:r>
          </w:p>
        </w:tc>
        <w:tc>
          <w:tcPr>
            <w:tcW w:w="6911" w:type="dxa"/>
          </w:tcPr>
          <w:p w14:paraId="15E30FE9" w14:textId="77777777" w:rsidR="002F7A99" w:rsidRPr="001A1CC2" w:rsidRDefault="002F7A99" w:rsidP="00E47029">
            <w:r w:rsidRPr="00E47029">
              <w:t>Functional Assess</w:t>
            </w:r>
            <w:r>
              <w:t>ment of Chronic Illness Therapy-Fatigue</w:t>
            </w:r>
          </w:p>
        </w:tc>
      </w:tr>
      <w:tr w:rsidR="00895543" w:rsidRPr="00FD119B" w14:paraId="720AB9CA" w14:textId="77777777" w:rsidTr="00895543">
        <w:trPr>
          <w:cantSplit/>
        </w:trPr>
        <w:tc>
          <w:tcPr>
            <w:tcW w:w="1809" w:type="dxa"/>
          </w:tcPr>
          <w:p w14:paraId="789BAB80" w14:textId="20866A54" w:rsidR="00895543" w:rsidRPr="00036490" w:rsidRDefault="00895543" w:rsidP="00FD119B">
            <w:r>
              <w:t>FDA</w:t>
            </w:r>
          </w:p>
        </w:tc>
        <w:tc>
          <w:tcPr>
            <w:tcW w:w="6911" w:type="dxa"/>
          </w:tcPr>
          <w:p w14:paraId="070F53B3" w14:textId="5FA9DA3A" w:rsidR="00895543" w:rsidRPr="00E47029" w:rsidRDefault="00895543" w:rsidP="00E47029">
            <w:r>
              <w:t>Food and Drug Administration (US)</w:t>
            </w:r>
          </w:p>
        </w:tc>
      </w:tr>
      <w:tr w:rsidR="002F7A99" w:rsidRPr="00FD119B" w14:paraId="5212A66C" w14:textId="77777777" w:rsidTr="00FD119B">
        <w:tc>
          <w:tcPr>
            <w:tcW w:w="1809" w:type="dxa"/>
          </w:tcPr>
          <w:p w14:paraId="11ACA719" w14:textId="77777777" w:rsidR="002F7A99" w:rsidRPr="001A1CC2" w:rsidRDefault="002F7A99" w:rsidP="00FD119B">
            <w:r>
              <w:t>GHS</w:t>
            </w:r>
          </w:p>
        </w:tc>
        <w:tc>
          <w:tcPr>
            <w:tcW w:w="6911" w:type="dxa"/>
          </w:tcPr>
          <w:p w14:paraId="27931ED5" w14:textId="77777777" w:rsidR="002F7A99" w:rsidRPr="001A1CC2" w:rsidRDefault="002F7A99" w:rsidP="003A6F28">
            <w:r>
              <w:t>Global health status</w:t>
            </w:r>
          </w:p>
        </w:tc>
      </w:tr>
      <w:tr w:rsidR="002F7A99" w:rsidRPr="00FD119B" w14:paraId="726246B7" w14:textId="77777777" w:rsidTr="00FD119B">
        <w:tc>
          <w:tcPr>
            <w:tcW w:w="1809" w:type="dxa"/>
          </w:tcPr>
          <w:p w14:paraId="30875D4B" w14:textId="77777777" w:rsidR="002F7A99" w:rsidRDefault="002F7A99" w:rsidP="00FD119B">
            <w:r>
              <w:t>GI</w:t>
            </w:r>
          </w:p>
        </w:tc>
        <w:tc>
          <w:tcPr>
            <w:tcW w:w="6911" w:type="dxa"/>
          </w:tcPr>
          <w:p w14:paraId="5412DAD7" w14:textId="77777777" w:rsidR="002F7A99" w:rsidRPr="000F595E" w:rsidRDefault="002F7A99" w:rsidP="000F595E">
            <w:r>
              <w:t>Gastrointestinal</w:t>
            </w:r>
          </w:p>
        </w:tc>
      </w:tr>
      <w:tr w:rsidR="002F7A99" w:rsidRPr="00FD119B" w14:paraId="29AE16B4" w14:textId="77777777" w:rsidTr="00FD119B">
        <w:tc>
          <w:tcPr>
            <w:tcW w:w="1809" w:type="dxa"/>
          </w:tcPr>
          <w:p w14:paraId="3F3FC7CD" w14:textId="77777777" w:rsidR="002F7A99" w:rsidRDefault="002F7A99" w:rsidP="00FD119B">
            <w:r w:rsidRPr="001A1CC2">
              <w:t>GLP</w:t>
            </w:r>
          </w:p>
        </w:tc>
        <w:tc>
          <w:tcPr>
            <w:tcW w:w="6911" w:type="dxa"/>
          </w:tcPr>
          <w:p w14:paraId="0CE0DDEA" w14:textId="77777777" w:rsidR="002F7A99" w:rsidRDefault="002F7A99" w:rsidP="0088068B">
            <w:r>
              <w:t>Good Laboratory Practice</w:t>
            </w:r>
          </w:p>
        </w:tc>
      </w:tr>
      <w:tr w:rsidR="00030CC4" w:rsidRPr="00FD119B" w14:paraId="23FAE7F7" w14:textId="77777777" w:rsidTr="00FD119B">
        <w:tc>
          <w:tcPr>
            <w:tcW w:w="1809" w:type="dxa"/>
          </w:tcPr>
          <w:p w14:paraId="16A9AFD1" w14:textId="77777777" w:rsidR="00030CC4" w:rsidRPr="001A1CC2" w:rsidRDefault="00030CC4" w:rsidP="00FD119B">
            <w:r>
              <w:t>GVP</w:t>
            </w:r>
          </w:p>
        </w:tc>
        <w:tc>
          <w:tcPr>
            <w:tcW w:w="6911" w:type="dxa"/>
          </w:tcPr>
          <w:p w14:paraId="06CA8FCA" w14:textId="77777777" w:rsidR="00030CC4" w:rsidRDefault="00030CC4" w:rsidP="00030CC4">
            <w:r>
              <w:t>Good Pharmacovigilance Practice(s)</w:t>
            </w:r>
          </w:p>
        </w:tc>
      </w:tr>
      <w:tr w:rsidR="00895543" w:rsidRPr="00FD119B" w14:paraId="7FE5FF60" w14:textId="77777777" w:rsidTr="00FD119B">
        <w:tc>
          <w:tcPr>
            <w:tcW w:w="1809" w:type="dxa"/>
          </w:tcPr>
          <w:p w14:paraId="58DA2E16" w14:textId="3582F166" w:rsidR="00895543" w:rsidRDefault="00895543" w:rsidP="00FD119B">
            <w:r>
              <w:t>HC</w:t>
            </w:r>
          </w:p>
        </w:tc>
        <w:tc>
          <w:tcPr>
            <w:tcW w:w="6911" w:type="dxa"/>
          </w:tcPr>
          <w:p w14:paraId="4526E32D" w14:textId="7B73A2B4" w:rsidR="00895543" w:rsidRDefault="00895543" w:rsidP="00030CC4">
            <w:r>
              <w:t>Health Canada</w:t>
            </w:r>
          </w:p>
        </w:tc>
      </w:tr>
      <w:tr w:rsidR="002F7A99" w:rsidRPr="00FD119B" w14:paraId="1D2B6C6E" w14:textId="77777777" w:rsidTr="00FD119B">
        <w:tc>
          <w:tcPr>
            <w:tcW w:w="1809" w:type="dxa"/>
          </w:tcPr>
          <w:p w14:paraId="6BA1AF51" w14:textId="77777777" w:rsidR="002F7A99" w:rsidRPr="001A1CC2" w:rsidRDefault="002F7A99" w:rsidP="00FD119B">
            <w:r w:rsidRPr="00036490">
              <w:t>HR</w:t>
            </w:r>
          </w:p>
        </w:tc>
        <w:tc>
          <w:tcPr>
            <w:tcW w:w="6911" w:type="dxa"/>
          </w:tcPr>
          <w:p w14:paraId="34CFA64B" w14:textId="77777777" w:rsidR="002F7A99" w:rsidRPr="001A1CC2" w:rsidRDefault="002F7A99" w:rsidP="003A6F28">
            <w:r>
              <w:t>Hazard ratio</w:t>
            </w:r>
          </w:p>
        </w:tc>
      </w:tr>
      <w:tr w:rsidR="002F7A99" w:rsidRPr="00FD119B" w14:paraId="6B5818E6" w14:textId="77777777" w:rsidTr="00FD119B">
        <w:tc>
          <w:tcPr>
            <w:tcW w:w="1809" w:type="dxa"/>
          </w:tcPr>
          <w:p w14:paraId="25EB81FE" w14:textId="77777777" w:rsidR="002F7A99" w:rsidRPr="001A1CC2" w:rsidRDefault="002F7A99" w:rsidP="00FD119B">
            <w:proofErr w:type="spellStart"/>
            <w:r w:rsidRPr="00036490">
              <w:t>HRQoL</w:t>
            </w:r>
            <w:proofErr w:type="spellEnd"/>
          </w:p>
        </w:tc>
        <w:tc>
          <w:tcPr>
            <w:tcW w:w="6911" w:type="dxa"/>
          </w:tcPr>
          <w:p w14:paraId="56E6B26E" w14:textId="77777777" w:rsidR="002F7A99" w:rsidRPr="001A1CC2" w:rsidRDefault="002F7A99" w:rsidP="003A6F28">
            <w:r>
              <w:t>Health-related quality of life</w:t>
            </w:r>
          </w:p>
        </w:tc>
      </w:tr>
      <w:tr w:rsidR="002F7A99" w:rsidRPr="00FD119B" w14:paraId="71943666" w14:textId="77777777" w:rsidTr="00FD119B">
        <w:tc>
          <w:tcPr>
            <w:tcW w:w="1809" w:type="dxa"/>
          </w:tcPr>
          <w:p w14:paraId="2DC021D2" w14:textId="77777777" w:rsidR="002F7A99" w:rsidRDefault="002F7A99" w:rsidP="00FD119B">
            <w:r w:rsidRPr="001A1CC2">
              <w:t>ICH</w:t>
            </w:r>
          </w:p>
        </w:tc>
        <w:tc>
          <w:tcPr>
            <w:tcW w:w="6911" w:type="dxa"/>
          </w:tcPr>
          <w:p w14:paraId="3EDE4F47" w14:textId="77777777" w:rsidR="002F7A99" w:rsidRDefault="002F7A99" w:rsidP="0088068B">
            <w:r w:rsidRPr="001A1CC2">
              <w:t>Internati</w:t>
            </w:r>
            <w:r>
              <w:t>onal Council for Harmonisation</w:t>
            </w:r>
          </w:p>
        </w:tc>
      </w:tr>
      <w:tr w:rsidR="002F7A99" w:rsidRPr="00FD119B" w14:paraId="7F8DBE3F" w14:textId="77777777" w:rsidTr="00FD119B">
        <w:tc>
          <w:tcPr>
            <w:tcW w:w="1809" w:type="dxa"/>
          </w:tcPr>
          <w:p w14:paraId="5DF7DE90" w14:textId="77777777" w:rsidR="002F7A99" w:rsidRPr="001A1CC2" w:rsidRDefault="002F7A99" w:rsidP="00FD119B">
            <w:r w:rsidRPr="00036490">
              <w:t>IRC</w:t>
            </w:r>
          </w:p>
        </w:tc>
        <w:tc>
          <w:tcPr>
            <w:tcW w:w="6911" w:type="dxa"/>
          </w:tcPr>
          <w:p w14:paraId="09222FBB" w14:textId="77777777" w:rsidR="002F7A99" w:rsidRPr="001A1CC2" w:rsidRDefault="002F7A99" w:rsidP="00E47029">
            <w:r>
              <w:t>Independent Review Committee</w:t>
            </w:r>
          </w:p>
        </w:tc>
      </w:tr>
      <w:tr w:rsidR="002F7A99" w:rsidRPr="00FD119B" w14:paraId="12DAEB47" w14:textId="77777777" w:rsidTr="00FD119B">
        <w:tc>
          <w:tcPr>
            <w:tcW w:w="1809" w:type="dxa"/>
          </w:tcPr>
          <w:p w14:paraId="7BC86241" w14:textId="77777777" w:rsidR="002F7A99" w:rsidRPr="001A1CC2" w:rsidRDefault="002F7A99" w:rsidP="00FD119B">
            <w:r w:rsidRPr="001A1CC2">
              <w:t>IV</w:t>
            </w:r>
          </w:p>
        </w:tc>
        <w:tc>
          <w:tcPr>
            <w:tcW w:w="6911" w:type="dxa"/>
          </w:tcPr>
          <w:p w14:paraId="516E630E" w14:textId="77777777" w:rsidR="002F7A99" w:rsidRDefault="002F7A99" w:rsidP="0088068B">
            <w:r>
              <w:t>Intravenous</w:t>
            </w:r>
          </w:p>
        </w:tc>
      </w:tr>
      <w:tr w:rsidR="002F7A99" w:rsidRPr="00FD119B" w14:paraId="60E998F4" w14:textId="77777777" w:rsidTr="00FD119B">
        <w:tc>
          <w:tcPr>
            <w:tcW w:w="1809" w:type="dxa"/>
          </w:tcPr>
          <w:p w14:paraId="7380B870" w14:textId="77777777" w:rsidR="002F7A99" w:rsidRPr="001A1CC2" w:rsidRDefault="002F7A99" w:rsidP="00FD119B">
            <w:r w:rsidRPr="00036490">
              <w:t>IWCLL</w:t>
            </w:r>
          </w:p>
        </w:tc>
        <w:tc>
          <w:tcPr>
            <w:tcW w:w="6911" w:type="dxa"/>
          </w:tcPr>
          <w:p w14:paraId="2C30A2FD" w14:textId="77777777" w:rsidR="002F7A99" w:rsidRPr="001A1CC2" w:rsidRDefault="002F7A99" w:rsidP="00E47029">
            <w:r w:rsidRPr="00036490">
              <w:t>International Workshop on</w:t>
            </w:r>
            <w:r>
              <w:t xml:space="preserve"> Chronic Lymphocytic Leukaemia</w:t>
            </w:r>
          </w:p>
        </w:tc>
      </w:tr>
      <w:tr w:rsidR="002F7A99" w:rsidRPr="00FD119B" w14:paraId="70274372" w14:textId="77777777" w:rsidTr="00FD119B">
        <w:tc>
          <w:tcPr>
            <w:tcW w:w="1809" w:type="dxa"/>
          </w:tcPr>
          <w:p w14:paraId="7C9DA8B2" w14:textId="77777777" w:rsidR="002F7A99" w:rsidRPr="001A1CC2" w:rsidRDefault="002F7A99" w:rsidP="00FD119B">
            <w:r w:rsidRPr="00036490">
              <w:t>MAR</w:t>
            </w:r>
          </w:p>
        </w:tc>
        <w:tc>
          <w:tcPr>
            <w:tcW w:w="6911" w:type="dxa"/>
          </w:tcPr>
          <w:p w14:paraId="475DAF9F" w14:textId="77777777" w:rsidR="002F7A99" w:rsidRPr="001A1CC2" w:rsidRDefault="002F7A99" w:rsidP="00484A16">
            <w:r>
              <w:t>M</w:t>
            </w:r>
            <w:r w:rsidRPr="00036490">
              <w:t>issing at random</w:t>
            </w:r>
          </w:p>
        </w:tc>
      </w:tr>
      <w:tr w:rsidR="002F7A99" w:rsidRPr="00FD119B" w14:paraId="25ABB651" w14:textId="77777777" w:rsidTr="00FD119B">
        <w:tc>
          <w:tcPr>
            <w:tcW w:w="1809" w:type="dxa"/>
          </w:tcPr>
          <w:p w14:paraId="2D5360B4" w14:textId="77777777" w:rsidR="002F7A99" w:rsidRPr="001A1CC2" w:rsidRDefault="002F7A99" w:rsidP="00FD119B">
            <w:r w:rsidRPr="001A1CC2">
              <w:t>MATE1</w:t>
            </w:r>
          </w:p>
        </w:tc>
        <w:tc>
          <w:tcPr>
            <w:tcW w:w="6911" w:type="dxa"/>
          </w:tcPr>
          <w:p w14:paraId="72B1AFA1" w14:textId="77777777" w:rsidR="002F7A99" w:rsidRDefault="002F7A99" w:rsidP="0088068B">
            <w:r>
              <w:t>M</w:t>
            </w:r>
            <w:r w:rsidRPr="001A1CC2">
              <w:t>ultidrug and toxin extrusion pro</w:t>
            </w:r>
            <w:r>
              <w:t>tein 1</w:t>
            </w:r>
          </w:p>
        </w:tc>
      </w:tr>
      <w:tr w:rsidR="002F7A99" w:rsidRPr="00FD119B" w14:paraId="6DC8D0EF" w14:textId="77777777" w:rsidTr="00FD119B">
        <w:tc>
          <w:tcPr>
            <w:tcW w:w="1809" w:type="dxa"/>
          </w:tcPr>
          <w:p w14:paraId="477DFA99" w14:textId="77777777" w:rsidR="002F7A99" w:rsidRPr="001A1CC2" w:rsidRDefault="002F7A99" w:rsidP="00FD119B">
            <w:r>
              <w:t>MCL</w:t>
            </w:r>
          </w:p>
        </w:tc>
        <w:tc>
          <w:tcPr>
            <w:tcW w:w="6911" w:type="dxa"/>
          </w:tcPr>
          <w:p w14:paraId="470389C3" w14:textId="77777777" w:rsidR="002F7A99" w:rsidRPr="001A1CC2" w:rsidRDefault="002F7A99" w:rsidP="007B3B29">
            <w:r>
              <w:t>Mantle cell lymphoma</w:t>
            </w:r>
          </w:p>
        </w:tc>
      </w:tr>
      <w:tr w:rsidR="002F7A99" w:rsidRPr="00FD119B" w14:paraId="272F2FC0" w14:textId="77777777" w:rsidTr="00FD119B">
        <w:tc>
          <w:tcPr>
            <w:tcW w:w="1809" w:type="dxa"/>
          </w:tcPr>
          <w:p w14:paraId="4C044B86" w14:textId="77777777" w:rsidR="002F7A99" w:rsidRPr="001A1CC2" w:rsidRDefault="002F7A99" w:rsidP="00FD119B">
            <w:r w:rsidRPr="00036490">
              <w:t>MMRM</w:t>
            </w:r>
          </w:p>
        </w:tc>
        <w:tc>
          <w:tcPr>
            <w:tcW w:w="6911" w:type="dxa"/>
          </w:tcPr>
          <w:p w14:paraId="5BD22054" w14:textId="77777777" w:rsidR="002F7A99" w:rsidRPr="001A1CC2" w:rsidRDefault="002F7A99" w:rsidP="00484A16">
            <w:r>
              <w:t>M</w:t>
            </w:r>
            <w:r w:rsidRPr="00036490">
              <w:t>ixed model repeated measures</w:t>
            </w:r>
          </w:p>
        </w:tc>
      </w:tr>
      <w:tr w:rsidR="00895543" w:rsidRPr="00FD119B" w14:paraId="08F9F87B" w14:textId="77777777" w:rsidTr="00FD119B">
        <w:tc>
          <w:tcPr>
            <w:tcW w:w="1809" w:type="dxa"/>
          </w:tcPr>
          <w:p w14:paraId="12226F64" w14:textId="78BE2A6C" w:rsidR="00895543" w:rsidRPr="00036490" w:rsidRDefault="00895543" w:rsidP="00FD119B">
            <w:r>
              <w:t>OCE</w:t>
            </w:r>
          </w:p>
        </w:tc>
        <w:tc>
          <w:tcPr>
            <w:tcW w:w="6911" w:type="dxa"/>
          </w:tcPr>
          <w:p w14:paraId="4E17FAB6" w14:textId="326E63BA" w:rsidR="00895543" w:rsidRDefault="00895543" w:rsidP="00484A16">
            <w:r>
              <w:t xml:space="preserve">Oncology </w:t>
            </w:r>
            <w:proofErr w:type="spellStart"/>
            <w:r>
              <w:t>Center</w:t>
            </w:r>
            <w:proofErr w:type="spellEnd"/>
            <w:r>
              <w:t xml:space="preserve"> of Excellence (US FDA)</w:t>
            </w:r>
          </w:p>
        </w:tc>
      </w:tr>
      <w:tr w:rsidR="002F7A99" w:rsidRPr="00FD119B" w14:paraId="03C7EA57" w14:textId="77777777" w:rsidTr="00FD119B">
        <w:tc>
          <w:tcPr>
            <w:tcW w:w="1809" w:type="dxa"/>
          </w:tcPr>
          <w:p w14:paraId="5847AE8B" w14:textId="77777777" w:rsidR="002F7A99" w:rsidRPr="001A1CC2" w:rsidRDefault="002F7A99" w:rsidP="00FD119B">
            <w:r w:rsidRPr="00036490">
              <w:t>ORR</w:t>
            </w:r>
          </w:p>
        </w:tc>
        <w:tc>
          <w:tcPr>
            <w:tcW w:w="6911" w:type="dxa"/>
          </w:tcPr>
          <w:p w14:paraId="50FFE383" w14:textId="77777777" w:rsidR="002F7A99" w:rsidRPr="001A1CC2" w:rsidRDefault="002F7A99" w:rsidP="00E47029">
            <w:r>
              <w:t>Overall response rate</w:t>
            </w:r>
          </w:p>
        </w:tc>
      </w:tr>
      <w:tr w:rsidR="002F7A99" w:rsidRPr="00FD119B" w14:paraId="32F311DA" w14:textId="77777777" w:rsidTr="00FD119B">
        <w:tc>
          <w:tcPr>
            <w:tcW w:w="1809" w:type="dxa"/>
          </w:tcPr>
          <w:p w14:paraId="2775C59A" w14:textId="77777777" w:rsidR="002F7A99" w:rsidRPr="001A1CC2" w:rsidRDefault="002F7A99" w:rsidP="00FD119B">
            <w:r w:rsidRPr="00036490">
              <w:t>OS</w:t>
            </w:r>
          </w:p>
        </w:tc>
        <w:tc>
          <w:tcPr>
            <w:tcW w:w="6911" w:type="dxa"/>
          </w:tcPr>
          <w:p w14:paraId="6C2A6F0C" w14:textId="77777777" w:rsidR="002F7A99" w:rsidRPr="001A1CC2" w:rsidRDefault="002F7A99" w:rsidP="00E47029">
            <w:r>
              <w:t>Overall survival</w:t>
            </w:r>
          </w:p>
        </w:tc>
      </w:tr>
      <w:tr w:rsidR="002F7A99" w:rsidRPr="00FD119B" w14:paraId="2DB8044F" w14:textId="77777777" w:rsidTr="00FD119B">
        <w:tc>
          <w:tcPr>
            <w:tcW w:w="1809" w:type="dxa"/>
          </w:tcPr>
          <w:p w14:paraId="3200A0A7" w14:textId="77777777" w:rsidR="002F7A99" w:rsidRDefault="002F7A99" w:rsidP="00FD119B">
            <w:r>
              <w:t>PFS</w:t>
            </w:r>
          </w:p>
        </w:tc>
        <w:tc>
          <w:tcPr>
            <w:tcW w:w="6911" w:type="dxa"/>
          </w:tcPr>
          <w:p w14:paraId="5D1FF2F2" w14:textId="77777777" w:rsidR="002F7A99" w:rsidRDefault="002F7A99" w:rsidP="000F595E">
            <w:r>
              <w:t>Progression free survival</w:t>
            </w:r>
          </w:p>
        </w:tc>
      </w:tr>
      <w:tr w:rsidR="002F7A99" w:rsidRPr="00FD119B" w14:paraId="5930C10B" w14:textId="77777777" w:rsidTr="00FD119B">
        <w:tc>
          <w:tcPr>
            <w:tcW w:w="1809" w:type="dxa"/>
          </w:tcPr>
          <w:p w14:paraId="078A0EBD" w14:textId="77777777" w:rsidR="002F7A99" w:rsidRPr="001A1CC2" w:rsidRDefault="002F7A99" w:rsidP="00FD119B">
            <w:r>
              <w:t>PI</w:t>
            </w:r>
          </w:p>
        </w:tc>
        <w:tc>
          <w:tcPr>
            <w:tcW w:w="6911" w:type="dxa"/>
          </w:tcPr>
          <w:p w14:paraId="56641970" w14:textId="77777777" w:rsidR="002F7A99" w:rsidRPr="001A1CC2" w:rsidRDefault="002F7A99" w:rsidP="00484A16">
            <w:r>
              <w:t>Product Information</w:t>
            </w:r>
          </w:p>
        </w:tc>
      </w:tr>
      <w:tr w:rsidR="002F7A99" w:rsidRPr="00FD119B" w14:paraId="5EA312FD" w14:textId="77777777" w:rsidTr="00FD119B">
        <w:tc>
          <w:tcPr>
            <w:tcW w:w="1809" w:type="dxa"/>
          </w:tcPr>
          <w:p w14:paraId="3E6A974A" w14:textId="77777777" w:rsidR="002F7A99" w:rsidRPr="001A1CC2" w:rsidRDefault="002F7A99" w:rsidP="00FD119B">
            <w:r w:rsidRPr="001A1CC2">
              <w:t>PO</w:t>
            </w:r>
          </w:p>
        </w:tc>
        <w:tc>
          <w:tcPr>
            <w:tcW w:w="6911" w:type="dxa"/>
          </w:tcPr>
          <w:p w14:paraId="1A3AD8FD" w14:textId="77777777" w:rsidR="002F7A99" w:rsidRDefault="002F7A99" w:rsidP="0088068B">
            <w:r>
              <w:t xml:space="preserve">Oral, </w:t>
            </w:r>
            <w:r w:rsidRPr="0088068B">
              <w:rPr>
                <w:i/>
              </w:rPr>
              <w:t xml:space="preserve">per </w:t>
            </w:r>
            <w:proofErr w:type="spellStart"/>
            <w:r w:rsidRPr="0088068B">
              <w:rPr>
                <w:i/>
              </w:rPr>
              <w:t>os</w:t>
            </w:r>
            <w:proofErr w:type="spellEnd"/>
            <w:r>
              <w:t xml:space="preserve"> (Latin)</w:t>
            </w:r>
          </w:p>
        </w:tc>
      </w:tr>
      <w:tr w:rsidR="002F7A99" w:rsidRPr="00FD119B" w14:paraId="7320F80B" w14:textId="77777777" w:rsidTr="00FD119B">
        <w:tc>
          <w:tcPr>
            <w:tcW w:w="1809" w:type="dxa"/>
          </w:tcPr>
          <w:p w14:paraId="311C4CC7" w14:textId="77777777" w:rsidR="002F7A99" w:rsidRPr="001A1CC2" w:rsidRDefault="002F7A99" w:rsidP="00FD119B">
            <w:proofErr w:type="spellStart"/>
            <w:r>
              <w:t>popPK</w:t>
            </w:r>
            <w:proofErr w:type="spellEnd"/>
          </w:p>
        </w:tc>
        <w:tc>
          <w:tcPr>
            <w:tcW w:w="6911" w:type="dxa"/>
          </w:tcPr>
          <w:p w14:paraId="25BA321B" w14:textId="77777777" w:rsidR="002F7A99" w:rsidRPr="001A1CC2" w:rsidRDefault="002F7A99" w:rsidP="00484A16">
            <w:r>
              <w:t>Population pharmacokinetic</w:t>
            </w:r>
          </w:p>
        </w:tc>
      </w:tr>
      <w:tr w:rsidR="002F7A99" w:rsidRPr="00FD119B" w14:paraId="08FA69D8" w14:textId="77777777" w:rsidTr="00FD119B">
        <w:tc>
          <w:tcPr>
            <w:tcW w:w="1809" w:type="dxa"/>
          </w:tcPr>
          <w:p w14:paraId="52D8ADB7" w14:textId="77777777" w:rsidR="002F7A99" w:rsidRPr="001A1CC2" w:rsidRDefault="002F7A99" w:rsidP="00FD119B">
            <w:r>
              <w:t>PRO</w:t>
            </w:r>
          </w:p>
        </w:tc>
        <w:tc>
          <w:tcPr>
            <w:tcW w:w="6911" w:type="dxa"/>
          </w:tcPr>
          <w:p w14:paraId="5D8D18B9" w14:textId="52600E60" w:rsidR="002F7A99" w:rsidRPr="001A1CC2" w:rsidRDefault="002F7A99" w:rsidP="00895543">
            <w:r>
              <w:t xml:space="preserve">Patient </w:t>
            </w:r>
            <w:r w:rsidR="00895543">
              <w:t>reported o</w:t>
            </w:r>
            <w:r>
              <w:t>utcome</w:t>
            </w:r>
          </w:p>
        </w:tc>
      </w:tr>
      <w:tr w:rsidR="002F7A99" w:rsidRPr="00FD119B" w14:paraId="441AD62C" w14:textId="77777777" w:rsidTr="00FD119B">
        <w:tc>
          <w:tcPr>
            <w:tcW w:w="1809" w:type="dxa"/>
          </w:tcPr>
          <w:p w14:paraId="09BB47E2" w14:textId="77777777" w:rsidR="002F7A99" w:rsidRPr="00904A64" w:rsidRDefault="002F7A99" w:rsidP="00FD119B">
            <w:r>
              <w:lastRenderedPageBreak/>
              <w:t>PSUR</w:t>
            </w:r>
          </w:p>
        </w:tc>
        <w:tc>
          <w:tcPr>
            <w:tcW w:w="6911" w:type="dxa"/>
          </w:tcPr>
          <w:p w14:paraId="70C1565B" w14:textId="77777777" w:rsidR="002F7A99" w:rsidRDefault="002F7A99" w:rsidP="002F7A99">
            <w:r>
              <w:t>Periodic safety update report</w:t>
            </w:r>
          </w:p>
        </w:tc>
      </w:tr>
      <w:tr w:rsidR="002F7A99" w:rsidRPr="00FD119B" w14:paraId="7F1105C9" w14:textId="77777777" w:rsidTr="00FD119B">
        <w:tc>
          <w:tcPr>
            <w:tcW w:w="1809" w:type="dxa"/>
          </w:tcPr>
          <w:p w14:paraId="54972C3A" w14:textId="77777777" w:rsidR="002F7A99" w:rsidRPr="001A1CC2" w:rsidRDefault="002F7A99" w:rsidP="00FD119B">
            <w:r w:rsidRPr="001A1CC2">
              <w:t>RMP</w:t>
            </w:r>
          </w:p>
        </w:tc>
        <w:tc>
          <w:tcPr>
            <w:tcW w:w="6911" w:type="dxa"/>
          </w:tcPr>
          <w:p w14:paraId="46888988" w14:textId="2D8A819E" w:rsidR="002F7A99" w:rsidRDefault="002F7A99" w:rsidP="00895543">
            <w:r w:rsidRPr="001A1CC2">
              <w:t xml:space="preserve">Risk </w:t>
            </w:r>
            <w:r w:rsidR="00895543">
              <w:t>m</w:t>
            </w:r>
            <w:r w:rsidR="00895543" w:rsidRPr="001A1CC2">
              <w:t>anag</w:t>
            </w:r>
            <w:r w:rsidR="00895543">
              <w:t>ement plan</w:t>
            </w:r>
          </w:p>
        </w:tc>
      </w:tr>
      <w:tr w:rsidR="002F7A99" w:rsidRPr="00FD119B" w14:paraId="35AFA3D6" w14:textId="77777777" w:rsidTr="00FD119B">
        <w:tc>
          <w:tcPr>
            <w:tcW w:w="1809" w:type="dxa"/>
          </w:tcPr>
          <w:p w14:paraId="4B17F8FD" w14:textId="77777777" w:rsidR="002F7A99" w:rsidRDefault="002F7A99" w:rsidP="00FD119B">
            <w:r>
              <w:rPr>
                <w:rFonts w:asciiTheme="minorHAnsi" w:hAnsiTheme="minorHAnsi"/>
              </w:rPr>
              <w:t>SAE</w:t>
            </w:r>
          </w:p>
        </w:tc>
        <w:tc>
          <w:tcPr>
            <w:tcW w:w="6911" w:type="dxa"/>
          </w:tcPr>
          <w:p w14:paraId="71B7DD3F" w14:textId="77777777" w:rsidR="002F7A99" w:rsidRDefault="002F7A99" w:rsidP="0034571D">
            <w:r>
              <w:rPr>
                <w:rFonts w:asciiTheme="minorHAnsi" w:hAnsiTheme="minorHAnsi"/>
              </w:rPr>
              <w:t>Serious adverse event(s)</w:t>
            </w:r>
          </w:p>
        </w:tc>
      </w:tr>
      <w:tr w:rsidR="002F7A99" w:rsidRPr="00FD119B" w14:paraId="29F69D9C" w14:textId="77777777" w:rsidTr="00FD119B">
        <w:tc>
          <w:tcPr>
            <w:tcW w:w="1809" w:type="dxa"/>
          </w:tcPr>
          <w:p w14:paraId="2E2D1C97" w14:textId="77777777" w:rsidR="002F7A99" w:rsidRPr="00B71B1B" w:rsidRDefault="002F7A99" w:rsidP="000F595E">
            <w:r w:rsidRPr="00B71B1B">
              <w:t>SLL</w:t>
            </w:r>
          </w:p>
        </w:tc>
        <w:tc>
          <w:tcPr>
            <w:tcW w:w="6911" w:type="dxa"/>
          </w:tcPr>
          <w:p w14:paraId="13AE8A26" w14:textId="77777777" w:rsidR="002F7A99" w:rsidRDefault="002F7A99" w:rsidP="000F595E">
            <w:r w:rsidRPr="00B71B1B">
              <w:t>Small lymphocytic lymphoma</w:t>
            </w:r>
          </w:p>
        </w:tc>
      </w:tr>
      <w:tr w:rsidR="002F7A99" w:rsidRPr="00FD119B" w14:paraId="78DB7C81" w14:textId="77777777" w:rsidTr="00FD119B">
        <w:tc>
          <w:tcPr>
            <w:tcW w:w="1809" w:type="dxa"/>
          </w:tcPr>
          <w:p w14:paraId="75094049" w14:textId="77777777" w:rsidR="002F7A99" w:rsidRDefault="002F7A99" w:rsidP="00FD119B">
            <w:r>
              <w:rPr>
                <w:rFonts w:asciiTheme="minorHAnsi" w:hAnsiTheme="minorHAnsi"/>
              </w:rPr>
              <w:t>TEAE</w:t>
            </w:r>
          </w:p>
        </w:tc>
        <w:tc>
          <w:tcPr>
            <w:tcW w:w="6911" w:type="dxa"/>
          </w:tcPr>
          <w:p w14:paraId="7EF42FD2" w14:textId="77777777" w:rsidR="002F7A99" w:rsidRDefault="002F7A99" w:rsidP="002A754E">
            <w:r>
              <w:rPr>
                <w:rFonts w:asciiTheme="minorHAnsi" w:hAnsiTheme="minorHAnsi"/>
              </w:rPr>
              <w:t>Treatment emergent adverse event(s)</w:t>
            </w:r>
          </w:p>
        </w:tc>
      </w:tr>
      <w:tr w:rsidR="002F7A99" w:rsidRPr="00FD119B" w14:paraId="72F60644" w14:textId="77777777" w:rsidTr="00FD119B">
        <w:tc>
          <w:tcPr>
            <w:tcW w:w="1809" w:type="dxa"/>
          </w:tcPr>
          <w:p w14:paraId="17444C63" w14:textId="77777777" w:rsidR="002F7A99" w:rsidRDefault="002F7A99" w:rsidP="00FD119B">
            <w:pPr>
              <w:rPr>
                <w:rFonts w:asciiTheme="minorHAnsi" w:hAnsiTheme="minorHAnsi"/>
              </w:rPr>
            </w:pPr>
            <w:r>
              <w:rPr>
                <w:rFonts w:asciiTheme="minorHAnsi" w:hAnsiTheme="minorHAnsi"/>
              </w:rPr>
              <w:t>TGA</w:t>
            </w:r>
          </w:p>
        </w:tc>
        <w:tc>
          <w:tcPr>
            <w:tcW w:w="6911" w:type="dxa"/>
          </w:tcPr>
          <w:p w14:paraId="32333E9E" w14:textId="77777777" w:rsidR="002F7A99" w:rsidRDefault="002F7A99" w:rsidP="002A754E">
            <w:pPr>
              <w:rPr>
                <w:rFonts w:asciiTheme="minorHAnsi" w:hAnsiTheme="minorHAnsi"/>
              </w:rPr>
            </w:pPr>
            <w:r>
              <w:rPr>
                <w:rFonts w:asciiTheme="minorHAnsi" w:hAnsiTheme="minorHAnsi"/>
              </w:rPr>
              <w:t>Therapeutic Goods Administration</w:t>
            </w:r>
          </w:p>
        </w:tc>
      </w:tr>
      <w:tr w:rsidR="002F7A99" w:rsidRPr="00FD119B" w14:paraId="61E3E2CE" w14:textId="77777777" w:rsidTr="00FD119B">
        <w:tc>
          <w:tcPr>
            <w:tcW w:w="1809" w:type="dxa"/>
          </w:tcPr>
          <w:p w14:paraId="635B5ADC" w14:textId="77777777" w:rsidR="002F7A99" w:rsidRDefault="002F7A99" w:rsidP="00FD119B">
            <w:proofErr w:type="spellStart"/>
            <w:r w:rsidRPr="001A1CC2">
              <w:t>T</w:t>
            </w:r>
            <w:r w:rsidRPr="001A1CC2">
              <w:rPr>
                <w:vertAlign w:val="subscript"/>
              </w:rPr>
              <w:t>max</w:t>
            </w:r>
            <w:proofErr w:type="spellEnd"/>
          </w:p>
        </w:tc>
        <w:tc>
          <w:tcPr>
            <w:tcW w:w="6911" w:type="dxa"/>
          </w:tcPr>
          <w:p w14:paraId="42B98303" w14:textId="77777777" w:rsidR="002F7A99" w:rsidRDefault="002F7A99" w:rsidP="0088068B">
            <w:r>
              <w:t>Time to maximum plasma concentration</w:t>
            </w:r>
          </w:p>
        </w:tc>
      </w:tr>
      <w:tr w:rsidR="002F7A99" w:rsidRPr="00FD119B" w14:paraId="1D63EC5C" w14:textId="77777777" w:rsidTr="00FD119B">
        <w:tc>
          <w:tcPr>
            <w:tcW w:w="1809" w:type="dxa"/>
          </w:tcPr>
          <w:p w14:paraId="7E80D512" w14:textId="77777777" w:rsidR="002F7A99" w:rsidRPr="001A1CC2" w:rsidRDefault="002F7A99" w:rsidP="00FD119B">
            <w:r w:rsidRPr="00036490">
              <w:t>TTNT</w:t>
            </w:r>
          </w:p>
        </w:tc>
        <w:tc>
          <w:tcPr>
            <w:tcW w:w="6911" w:type="dxa"/>
          </w:tcPr>
          <w:p w14:paraId="2F7B0462" w14:textId="77777777" w:rsidR="002F7A99" w:rsidRPr="001A1CC2" w:rsidRDefault="002F7A99" w:rsidP="00E47029">
            <w:r>
              <w:t>Time to next treatment</w:t>
            </w:r>
          </w:p>
        </w:tc>
      </w:tr>
      <w:tr w:rsidR="002F7A99" w:rsidRPr="00FD119B" w14:paraId="474D0894" w14:textId="77777777" w:rsidTr="00FD119B">
        <w:tc>
          <w:tcPr>
            <w:tcW w:w="1809" w:type="dxa"/>
          </w:tcPr>
          <w:p w14:paraId="1D6F4736" w14:textId="77777777" w:rsidR="002F7A99" w:rsidRDefault="002F7A99" w:rsidP="00FD119B">
            <w:r>
              <w:t>URTI</w:t>
            </w:r>
          </w:p>
        </w:tc>
        <w:tc>
          <w:tcPr>
            <w:tcW w:w="6911" w:type="dxa"/>
          </w:tcPr>
          <w:p w14:paraId="510BA886" w14:textId="77777777" w:rsidR="002F7A99" w:rsidRDefault="002F7A99" w:rsidP="002F7A99">
            <w:r>
              <w:t>Upper respiratory tract infection</w:t>
            </w:r>
          </w:p>
        </w:tc>
      </w:tr>
      <w:tr w:rsidR="00895543" w:rsidRPr="00FD119B" w14:paraId="71F245C2" w14:textId="77777777" w:rsidTr="00FD119B">
        <w:tc>
          <w:tcPr>
            <w:tcW w:w="1809" w:type="dxa"/>
          </w:tcPr>
          <w:p w14:paraId="7EB79DAE" w14:textId="11E64259" w:rsidR="00895543" w:rsidRDefault="00895543" w:rsidP="00FD119B">
            <w:r>
              <w:t>US(A)</w:t>
            </w:r>
          </w:p>
        </w:tc>
        <w:tc>
          <w:tcPr>
            <w:tcW w:w="6911" w:type="dxa"/>
          </w:tcPr>
          <w:p w14:paraId="652906AF" w14:textId="498C0EBF" w:rsidR="00895543" w:rsidRDefault="00895543" w:rsidP="002F7A99">
            <w:r>
              <w:t>United States (of America)</w:t>
            </w:r>
          </w:p>
        </w:tc>
      </w:tr>
      <w:tr w:rsidR="002F7A99" w:rsidRPr="00FD119B" w14:paraId="61BC7536" w14:textId="77777777" w:rsidTr="00FD119B">
        <w:tc>
          <w:tcPr>
            <w:tcW w:w="1809" w:type="dxa"/>
          </w:tcPr>
          <w:p w14:paraId="714EDED1" w14:textId="77777777" w:rsidR="002F7A99" w:rsidRPr="001A1CC2" w:rsidRDefault="002F7A99" w:rsidP="00FD119B">
            <w:r w:rsidRPr="00036490">
              <w:t>VAS</w:t>
            </w:r>
          </w:p>
        </w:tc>
        <w:tc>
          <w:tcPr>
            <w:tcW w:w="6911" w:type="dxa"/>
          </w:tcPr>
          <w:p w14:paraId="79C6FBF2" w14:textId="77777777" w:rsidR="002F7A99" w:rsidRPr="001A1CC2" w:rsidRDefault="002F7A99" w:rsidP="003A6F28">
            <w:r>
              <w:t>Visual Analogue Scale</w:t>
            </w:r>
          </w:p>
        </w:tc>
      </w:tr>
    </w:tbl>
    <w:p w14:paraId="15E99407" w14:textId="77777777" w:rsidR="00FD119B" w:rsidRDefault="00FD119B" w:rsidP="00FD119B"/>
    <w:p w14:paraId="3CE08A3D" w14:textId="77777777" w:rsidR="00FD119B" w:rsidRPr="00FD119B" w:rsidRDefault="00FD119B" w:rsidP="00FD119B">
      <w:pPr>
        <w:spacing w:before="0" w:after="200" w:line="0" w:lineRule="auto"/>
        <w:rPr>
          <w:b/>
          <w:i/>
          <w:sz w:val="24"/>
          <w:szCs w:val="24"/>
        </w:rPr>
      </w:pPr>
      <w:r w:rsidRPr="00FD119B">
        <w:rPr>
          <w:b/>
          <w:i/>
          <w:sz w:val="24"/>
          <w:szCs w:val="24"/>
        </w:rPr>
        <w:br w:type="page"/>
      </w:r>
    </w:p>
    <w:p w14:paraId="0D241AC2" w14:textId="77777777" w:rsidR="008E7846" w:rsidRDefault="00F53C07" w:rsidP="008E7846">
      <w:pPr>
        <w:pStyle w:val="Heading2"/>
      </w:pPr>
      <w:bookmarkStart w:id="9" w:name="_Toc34735367"/>
      <w:r>
        <w:lastRenderedPageBreak/>
        <w:t>I.</w:t>
      </w:r>
      <w:r w:rsidR="008E7846">
        <w:t xml:space="preserve"> Introduction to product submission</w:t>
      </w:r>
      <w:bookmarkEnd w:id="0"/>
      <w:bookmarkEnd w:id="3"/>
      <w:bookmarkEnd w:id="9"/>
    </w:p>
    <w:p w14:paraId="3D233ABA" w14:textId="77777777" w:rsidR="008E7846" w:rsidRDefault="008E7846" w:rsidP="008E7846">
      <w:pPr>
        <w:pStyle w:val="Heading3"/>
        <w:rPr>
          <w:lang w:eastAsia="en-AU"/>
        </w:rPr>
      </w:pPr>
      <w:bookmarkStart w:id="10" w:name="_Toc247691502"/>
      <w:bookmarkStart w:id="11" w:name="_Toc314842483"/>
      <w:bookmarkStart w:id="12" w:name="_Toc34735368"/>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13B78ADF" w14:textId="77777777" w:rsidTr="003735BC">
        <w:tc>
          <w:tcPr>
            <w:tcW w:w="2907" w:type="dxa"/>
          </w:tcPr>
          <w:p w14:paraId="0B90B888"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4A03ED68" w14:textId="77777777" w:rsidR="008E7846" w:rsidRPr="003D1E62" w:rsidRDefault="00685CA3" w:rsidP="001B5C90">
            <w:r>
              <w:t>Extension of indications</w:t>
            </w:r>
          </w:p>
        </w:tc>
      </w:tr>
      <w:tr w:rsidR="008E7846" w:rsidRPr="003D1E62" w14:paraId="0D7D84CB" w14:textId="77777777" w:rsidTr="003735BC">
        <w:tc>
          <w:tcPr>
            <w:tcW w:w="2907" w:type="dxa"/>
          </w:tcPr>
          <w:p w14:paraId="0357498F" w14:textId="77777777" w:rsidR="008E7846" w:rsidRPr="003D1E62" w:rsidRDefault="008E7846" w:rsidP="003D1E62">
            <w:r w:rsidRPr="003D1E62">
              <w:rPr>
                <w:i/>
              </w:rPr>
              <w:t>Decision</w:t>
            </w:r>
            <w:r w:rsidRPr="003D1E62">
              <w:t>:</w:t>
            </w:r>
          </w:p>
        </w:tc>
        <w:tc>
          <w:tcPr>
            <w:tcW w:w="6307" w:type="dxa"/>
          </w:tcPr>
          <w:p w14:paraId="46AD9D6F" w14:textId="77777777" w:rsidR="008E7846" w:rsidRPr="003D1E62" w:rsidRDefault="00685CA3" w:rsidP="00685CA3">
            <w:r>
              <w:t>Approved</w:t>
            </w:r>
          </w:p>
        </w:tc>
      </w:tr>
      <w:tr w:rsidR="008E7846" w:rsidRPr="003D1E62" w14:paraId="52CA1468" w14:textId="77777777" w:rsidTr="003735BC">
        <w:tc>
          <w:tcPr>
            <w:tcW w:w="2907" w:type="dxa"/>
          </w:tcPr>
          <w:p w14:paraId="235C0E94"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1DA80B66" w14:textId="77777777" w:rsidR="008E7846" w:rsidRPr="003D1E62" w:rsidRDefault="00685CA3" w:rsidP="001B5C90">
            <w:r>
              <w:t>22 November 2019</w:t>
            </w:r>
          </w:p>
        </w:tc>
      </w:tr>
      <w:tr w:rsidR="00ED2922" w:rsidRPr="003D1E62" w14:paraId="38B16893" w14:textId="77777777" w:rsidTr="003735BC">
        <w:tc>
          <w:tcPr>
            <w:tcW w:w="2907" w:type="dxa"/>
          </w:tcPr>
          <w:p w14:paraId="2D7DB725" w14:textId="77777777" w:rsidR="00ED2922" w:rsidRPr="00441C3F" w:rsidRDefault="00ED2922" w:rsidP="001B5C90">
            <w:pPr>
              <w:rPr>
                <w:i/>
              </w:rPr>
            </w:pPr>
            <w:r w:rsidRPr="00441C3F">
              <w:rPr>
                <w:i/>
              </w:rPr>
              <w:t>Date of entry onto ARTG</w:t>
            </w:r>
            <w:r w:rsidR="00500337">
              <w:rPr>
                <w:i/>
              </w:rPr>
              <w:t>:</w:t>
            </w:r>
          </w:p>
        </w:tc>
        <w:tc>
          <w:tcPr>
            <w:tcW w:w="6307" w:type="dxa"/>
          </w:tcPr>
          <w:p w14:paraId="4AE7C65B" w14:textId="77777777" w:rsidR="00ED2922" w:rsidRPr="00441C3F" w:rsidRDefault="00685CA3" w:rsidP="00D153D8">
            <w:pPr>
              <w:rPr>
                <w:i/>
              </w:rPr>
            </w:pPr>
            <w:r>
              <w:t>22 November 2019</w:t>
            </w:r>
          </w:p>
        </w:tc>
      </w:tr>
      <w:tr w:rsidR="00500337" w:rsidRPr="003D1E62" w14:paraId="0A7C4BCF" w14:textId="77777777" w:rsidTr="003735BC">
        <w:tc>
          <w:tcPr>
            <w:tcW w:w="2907" w:type="dxa"/>
          </w:tcPr>
          <w:p w14:paraId="0905AF3D" w14:textId="77777777" w:rsidR="00500337" w:rsidRPr="00441C3F" w:rsidRDefault="00685CA3" w:rsidP="001B5C90">
            <w:pPr>
              <w:rPr>
                <w:i/>
              </w:rPr>
            </w:pPr>
            <w:r>
              <w:rPr>
                <w:i/>
              </w:rPr>
              <w:t>ARTG number</w:t>
            </w:r>
            <w:r w:rsidR="00500337">
              <w:rPr>
                <w:i/>
              </w:rPr>
              <w:t>:</w:t>
            </w:r>
          </w:p>
        </w:tc>
        <w:tc>
          <w:tcPr>
            <w:tcW w:w="6307" w:type="dxa"/>
          </w:tcPr>
          <w:p w14:paraId="3A2076DA" w14:textId="77777777" w:rsidR="00500337" w:rsidRPr="00441C3F" w:rsidRDefault="00685CA3" w:rsidP="00EC463D">
            <w:r w:rsidRPr="00685CA3">
              <w:t>321419</w:t>
            </w:r>
          </w:p>
        </w:tc>
      </w:tr>
      <w:tr w:rsidR="003735BC" w:rsidRPr="003D1E62" w14:paraId="7294FBCE" w14:textId="77777777" w:rsidTr="003735BC">
        <w:tc>
          <w:tcPr>
            <w:tcW w:w="2907" w:type="dxa"/>
          </w:tcPr>
          <w:p w14:paraId="5D750A08"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6E0EB9D5" w14:textId="77777777" w:rsidR="00685CA3" w:rsidRDefault="00685CA3" w:rsidP="00685CA3">
            <w:r>
              <w:t>Yes</w:t>
            </w:r>
          </w:p>
          <w:p w14:paraId="45FC13EB" w14:textId="77777777" w:rsidR="003735BC" w:rsidRPr="00487162" w:rsidRDefault="003735BC" w:rsidP="003735BC">
            <w:r>
              <w:t>This product will remain in the scheme for 5 years, starting on the date the new indication was approved</w:t>
            </w:r>
            <w:r w:rsidR="00685CA3">
              <w:t>.</w:t>
            </w:r>
          </w:p>
        </w:tc>
      </w:tr>
      <w:tr w:rsidR="008E7846" w:rsidRPr="00487162" w14:paraId="6845E246" w14:textId="77777777" w:rsidTr="00BF1190">
        <w:tc>
          <w:tcPr>
            <w:tcW w:w="2907" w:type="dxa"/>
          </w:tcPr>
          <w:p w14:paraId="3389282D" w14:textId="77777777" w:rsidR="008E7846" w:rsidRPr="00487162" w:rsidRDefault="00685CA3" w:rsidP="00E45619">
            <w:pPr>
              <w:rPr>
                <w:i/>
              </w:rPr>
            </w:pPr>
            <w:r>
              <w:rPr>
                <w:i/>
              </w:rPr>
              <w:t>Active ingredient</w:t>
            </w:r>
            <w:r w:rsidR="001B5C90">
              <w:rPr>
                <w:i/>
              </w:rPr>
              <w:t>:</w:t>
            </w:r>
          </w:p>
        </w:tc>
        <w:tc>
          <w:tcPr>
            <w:tcW w:w="6307" w:type="dxa"/>
          </w:tcPr>
          <w:p w14:paraId="2FD70E21" w14:textId="77777777" w:rsidR="008E7846" w:rsidRPr="00487162" w:rsidRDefault="00685CA3" w:rsidP="00E55CB0">
            <w:proofErr w:type="spellStart"/>
            <w:r>
              <w:rPr>
                <w:rFonts w:eastAsiaTheme="minorHAnsi" w:cs="Cambria"/>
              </w:rPr>
              <w:t>Acalabrutinib</w:t>
            </w:r>
            <w:proofErr w:type="spellEnd"/>
          </w:p>
        </w:tc>
      </w:tr>
      <w:tr w:rsidR="008E7846" w:rsidRPr="00487162" w14:paraId="1D7E25F6" w14:textId="77777777" w:rsidTr="00BF1190">
        <w:tc>
          <w:tcPr>
            <w:tcW w:w="2907" w:type="dxa"/>
          </w:tcPr>
          <w:p w14:paraId="5C0692E9" w14:textId="77777777" w:rsidR="008E7846" w:rsidRPr="00487162" w:rsidRDefault="008E7846" w:rsidP="001B5C90">
            <w:pPr>
              <w:rPr>
                <w:i/>
              </w:rPr>
            </w:pPr>
            <w:r w:rsidRPr="00487162">
              <w:rPr>
                <w:i/>
              </w:rPr>
              <w:t>Product</w:t>
            </w:r>
            <w:r w:rsidR="00685CA3">
              <w:rPr>
                <w:i/>
              </w:rPr>
              <w:t xml:space="preserve"> name</w:t>
            </w:r>
            <w:r w:rsidR="001B5C90">
              <w:rPr>
                <w:i/>
              </w:rPr>
              <w:t>:</w:t>
            </w:r>
          </w:p>
        </w:tc>
        <w:tc>
          <w:tcPr>
            <w:tcW w:w="6307" w:type="dxa"/>
          </w:tcPr>
          <w:p w14:paraId="033EDBAD" w14:textId="77777777" w:rsidR="008E7846" w:rsidRPr="00487162" w:rsidRDefault="00685CA3" w:rsidP="00E45619">
            <w:r>
              <w:rPr>
                <w:rFonts w:eastAsiaTheme="minorHAnsi" w:cs="Cambria"/>
              </w:rPr>
              <w:t>Calquence</w:t>
            </w:r>
          </w:p>
        </w:tc>
      </w:tr>
      <w:tr w:rsidR="00685CA3" w:rsidRPr="00487162" w14:paraId="2DEE3BCA" w14:textId="77777777" w:rsidTr="00BF1190">
        <w:tc>
          <w:tcPr>
            <w:tcW w:w="2907" w:type="dxa"/>
          </w:tcPr>
          <w:p w14:paraId="0B8304FF" w14:textId="77777777" w:rsidR="00685CA3" w:rsidRPr="00487162" w:rsidRDefault="00685CA3" w:rsidP="00685CA3">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14:paraId="3C635EB6" w14:textId="77777777" w:rsidR="00685CA3" w:rsidRDefault="00685CA3" w:rsidP="00685CA3">
            <w:r>
              <w:t>AstraZeneca Pty Ltd</w:t>
            </w:r>
          </w:p>
          <w:p w14:paraId="4B354F2C" w14:textId="77777777" w:rsidR="00685CA3" w:rsidRDefault="00685CA3" w:rsidP="00685CA3">
            <w:r>
              <w:t>PO Box 131</w:t>
            </w:r>
          </w:p>
          <w:p w14:paraId="572B29C4" w14:textId="77777777" w:rsidR="00685CA3" w:rsidRPr="00487162" w:rsidRDefault="00685CA3" w:rsidP="00685CA3">
            <w:r>
              <w:t>North Ryde NSW 1670</w:t>
            </w:r>
          </w:p>
        </w:tc>
      </w:tr>
      <w:tr w:rsidR="00685CA3" w:rsidRPr="00487162" w14:paraId="27B5CA51" w14:textId="77777777" w:rsidTr="00BF1190">
        <w:tc>
          <w:tcPr>
            <w:tcW w:w="2907" w:type="dxa"/>
          </w:tcPr>
          <w:p w14:paraId="27788A54" w14:textId="77777777" w:rsidR="00685CA3" w:rsidRPr="00487162" w:rsidRDefault="00685CA3" w:rsidP="00685CA3">
            <w:pPr>
              <w:rPr>
                <w:i/>
              </w:rPr>
            </w:pPr>
            <w:r>
              <w:rPr>
                <w:i/>
              </w:rPr>
              <w:t>Dose form:</w:t>
            </w:r>
          </w:p>
        </w:tc>
        <w:tc>
          <w:tcPr>
            <w:tcW w:w="6307" w:type="dxa"/>
          </w:tcPr>
          <w:p w14:paraId="565F791A" w14:textId="77777777" w:rsidR="00685CA3" w:rsidRPr="00487162" w:rsidRDefault="00685CA3" w:rsidP="00685CA3">
            <w:r w:rsidRPr="00D03EC1">
              <w:rPr>
                <w:rFonts w:eastAsia="Calibri"/>
              </w:rPr>
              <w:t>Hard capsule</w:t>
            </w:r>
          </w:p>
        </w:tc>
      </w:tr>
      <w:tr w:rsidR="00685CA3" w:rsidRPr="00487162" w14:paraId="5F61E4A3" w14:textId="77777777" w:rsidTr="00BF1190">
        <w:tc>
          <w:tcPr>
            <w:tcW w:w="2907" w:type="dxa"/>
          </w:tcPr>
          <w:p w14:paraId="041F402C" w14:textId="77777777" w:rsidR="00685CA3" w:rsidRPr="00487162" w:rsidRDefault="00685CA3" w:rsidP="00685CA3">
            <w:pPr>
              <w:rPr>
                <w:i/>
              </w:rPr>
            </w:pPr>
            <w:r>
              <w:rPr>
                <w:i/>
              </w:rPr>
              <w:t>Strength</w:t>
            </w:r>
            <w:r w:rsidRPr="00487162">
              <w:rPr>
                <w:i/>
              </w:rPr>
              <w:t xml:space="preserve">: </w:t>
            </w:r>
          </w:p>
        </w:tc>
        <w:tc>
          <w:tcPr>
            <w:tcW w:w="6307" w:type="dxa"/>
          </w:tcPr>
          <w:p w14:paraId="3DED9B0C" w14:textId="77777777" w:rsidR="00685CA3" w:rsidRPr="00487162" w:rsidRDefault="00685CA3" w:rsidP="00685CA3">
            <w:r w:rsidRPr="00D03EC1">
              <w:rPr>
                <w:rFonts w:eastAsia="Calibri"/>
              </w:rPr>
              <w:t>100 mg</w:t>
            </w:r>
          </w:p>
        </w:tc>
      </w:tr>
      <w:tr w:rsidR="00685CA3" w:rsidRPr="00487162" w14:paraId="5ECEA0C9" w14:textId="77777777" w:rsidTr="00BF1190">
        <w:tc>
          <w:tcPr>
            <w:tcW w:w="2907" w:type="dxa"/>
          </w:tcPr>
          <w:p w14:paraId="498D33C8" w14:textId="77777777" w:rsidR="00685CA3" w:rsidRPr="00487162" w:rsidRDefault="00685CA3" w:rsidP="00685CA3">
            <w:pPr>
              <w:rPr>
                <w:i/>
              </w:rPr>
            </w:pPr>
            <w:r>
              <w:rPr>
                <w:i/>
              </w:rPr>
              <w:t>Container</w:t>
            </w:r>
            <w:r w:rsidRPr="00487162">
              <w:rPr>
                <w:i/>
              </w:rPr>
              <w:t>:</w:t>
            </w:r>
          </w:p>
        </w:tc>
        <w:tc>
          <w:tcPr>
            <w:tcW w:w="6307" w:type="dxa"/>
          </w:tcPr>
          <w:p w14:paraId="49084F14" w14:textId="77777777" w:rsidR="00685CA3" w:rsidRPr="00487162" w:rsidRDefault="00685CA3" w:rsidP="00685CA3">
            <w:r w:rsidRPr="00D03EC1">
              <w:rPr>
                <w:rFonts w:eastAsia="Calibri"/>
              </w:rPr>
              <w:t>Blister pack</w:t>
            </w:r>
          </w:p>
        </w:tc>
      </w:tr>
      <w:tr w:rsidR="00685CA3" w:rsidRPr="00487162" w14:paraId="5A328817" w14:textId="77777777" w:rsidTr="00BF1190">
        <w:tc>
          <w:tcPr>
            <w:tcW w:w="2907" w:type="dxa"/>
          </w:tcPr>
          <w:p w14:paraId="37FB15CA" w14:textId="77777777" w:rsidR="00685CA3" w:rsidRPr="00487162" w:rsidRDefault="00685CA3" w:rsidP="00685CA3">
            <w:pPr>
              <w:rPr>
                <w:i/>
              </w:rPr>
            </w:pPr>
            <w:r>
              <w:rPr>
                <w:i/>
              </w:rPr>
              <w:t>Pack size</w:t>
            </w:r>
            <w:r w:rsidRPr="00487162">
              <w:rPr>
                <w:i/>
              </w:rPr>
              <w:t>:</w:t>
            </w:r>
          </w:p>
        </w:tc>
        <w:tc>
          <w:tcPr>
            <w:tcW w:w="6307" w:type="dxa"/>
          </w:tcPr>
          <w:p w14:paraId="367FA6E6" w14:textId="77777777" w:rsidR="00685CA3" w:rsidRPr="00487162" w:rsidRDefault="00685CA3" w:rsidP="00685CA3">
            <w:r w:rsidRPr="00F023FC">
              <w:rPr>
                <w:rFonts w:eastAsia="Calibri"/>
              </w:rPr>
              <w:t>56 capsules</w:t>
            </w:r>
          </w:p>
        </w:tc>
      </w:tr>
      <w:tr w:rsidR="008E7846" w:rsidRPr="00487162" w14:paraId="403AD183" w14:textId="77777777" w:rsidTr="00BF1190">
        <w:tc>
          <w:tcPr>
            <w:tcW w:w="2907" w:type="dxa"/>
          </w:tcPr>
          <w:p w14:paraId="5F9BBF95"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7511A02D" w14:textId="77777777" w:rsidR="008E7846" w:rsidRPr="00543906" w:rsidRDefault="00543906" w:rsidP="00543906">
            <w:pPr>
              <w:rPr>
                <w:i/>
              </w:rPr>
            </w:pPr>
            <w:r w:rsidRPr="00543906">
              <w:rPr>
                <w:i/>
              </w:rPr>
              <w:t>Calquence is indicated for the treatment of patients with chronic lymphocytic leukaemia (CLL)/small lymphocytic lymphoma (SLL)</w:t>
            </w:r>
          </w:p>
        </w:tc>
      </w:tr>
      <w:tr w:rsidR="008E7846" w:rsidRPr="00487162" w14:paraId="4FD0A2F6" w14:textId="77777777" w:rsidTr="00BF1190">
        <w:tc>
          <w:tcPr>
            <w:tcW w:w="2907" w:type="dxa"/>
          </w:tcPr>
          <w:p w14:paraId="2B846F79" w14:textId="77777777" w:rsidR="008E7846" w:rsidRPr="00487162" w:rsidRDefault="00685CA3" w:rsidP="00E45619">
            <w:pPr>
              <w:rPr>
                <w:i/>
              </w:rPr>
            </w:pPr>
            <w:r>
              <w:rPr>
                <w:i/>
              </w:rPr>
              <w:t>Route</w:t>
            </w:r>
            <w:r w:rsidR="008E7846" w:rsidRPr="00487162">
              <w:rPr>
                <w:i/>
              </w:rPr>
              <w:t xml:space="preserve"> of administration:</w:t>
            </w:r>
          </w:p>
        </w:tc>
        <w:tc>
          <w:tcPr>
            <w:tcW w:w="6307" w:type="dxa"/>
          </w:tcPr>
          <w:p w14:paraId="12B5497B" w14:textId="77777777" w:rsidR="008E7846" w:rsidRPr="00487162" w:rsidRDefault="00685CA3" w:rsidP="00E45619">
            <w:r>
              <w:t>Oral</w:t>
            </w:r>
          </w:p>
        </w:tc>
      </w:tr>
      <w:tr w:rsidR="008E7846" w:rsidRPr="00487162" w14:paraId="16C7A29A" w14:textId="77777777" w:rsidTr="00BF1190">
        <w:tc>
          <w:tcPr>
            <w:tcW w:w="2907" w:type="dxa"/>
          </w:tcPr>
          <w:p w14:paraId="1208A8D0" w14:textId="77777777" w:rsidR="008E7846" w:rsidRPr="00487162" w:rsidRDefault="008E7846" w:rsidP="00E45619">
            <w:pPr>
              <w:rPr>
                <w:i/>
              </w:rPr>
            </w:pPr>
            <w:r w:rsidRPr="00487162">
              <w:rPr>
                <w:i/>
              </w:rPr>
              <w:t>Dosage:</w:t>
            </w:r>
          </w:p>
        </w:tc>
        <w:tc>
          <w:tcPr>
            <w:tcW w:w="6307" w:type="dxa"/>
          </w:tcPr>
          <w:p w14:paraId="7140E72F" w14:textId="77777777" w:rsidR="00543906" w:rsidRDefault="00543906" w:rsidP="00543906">
            <w:r>
              <w:t xml:space="preserve">The recommended dose of Calquence for the treatment of CLL is 100 mg (1 capsule) twice daily, either as monotherapy or in combination with </w:t>
            </w:r>
            <w:proofErr w:type="spellStart"/>
            <w:r>
              <w:t>obinutuzumab</w:t>
            </w:r>
            <w:proofErr w:type="spellEnd"/>
            <w:r>
              <w:t xml:space="preserve">. Administer Calquence prior to </w:t>
            </w:r>
            <w:proofErr w:type="spellStart"/>
            <w:r>
              <w:t>obinutuzumab</w:t>
            </w:r>
            <w:proofErr w:type="spellEnd"/>
            <w:r>
              <w:t xml:space="preserve"> when given on the same day. Refer to the </w:t>
            </w:r>
            <w:proofErr w:type="spellStart"/>
            <w:r>
              <w:t>obinutuzumab</w:t>
            </w:r>
            <w:proofErr w:type="spellEnd"/>
            <w:r>
              <w:t xml:space="preserve"> product information for recommended </w:t>
            </w:r>
            <w:proofErr w:type="spellStart"/>
            <w:r>
              <w:t>obinutuzumab</w:t>
            </w:r>
            <w:proofErr w:type="spellEnd"/>
            <w:r>
              <w:t xml:space="preserve"> dosing information (for details of the combination regimen, see section 5.1 </w:t>
            </w:r>
            <w:proofErr w:type="spellStart"/>
            <w:r>
              <w:t>Pharmacodynamic</w:t>
            </w:r>
            <w:proofErr w:type="spellEnd"/>
            <w:r>
              <w:t xml:space="preserve"> properties in the Product Information).</w:t>
            </w:r>
          </w:p>
          <w:p w14:paraId="61F1FC0B" w14:textId="77777777" w:rsidR="00543906" w:rsidRDefault="00543906" w:rsidP="00543906">
            <w:r>
              <w:t>Doses should be separated by approximately 12 hours.</w:t>
            </w:r>
          </w:p>
          <w:p w14:paraId="1B5F2982" w14:textId="77777777" w:rsidR="008E7846" w:rsidRDefault="00543906" w:rsidP="00543906">
            <w:r>
              <w:t>Treatment with Calquence should continue until disease progression or unacceptable toxicity.</w:t>
            </w:r>
          </w:p>
          <w:p w14:paraId="2CC82F34" w14:textId="77777777" w:rsidR="00543906" w:rsidRPr="00487162" w:rsidRDefault="00543906" w:rsidP="00543906">
            <w:r>
              <w:t>For further information refer to the Product Information.</w:t>
            </w:r>
          </w:p>
        </w:tc>
      </w:tr>
    </w:tbl>
    <w:p w14:paraId="03B5B714" w14:textId="77777777" w:rsidR="008E7846" w:rsidRDefault="008E7846" w:rsidP="008E7846">
      <w:pPr>
        <w:pStyle w:val="Heading3"/>
      </w:pPr>
      <w:bookmarkStart w:id="13" w:name="_Toc247691503"/>
      <w:bookmarkStart w:id="14" w:name="_Toc314842484"/>
      <w:bookmarkStart w:id="15" w:name="_Toc34735369"/>
      <w:r>
        <w:lastRenderedPageBreak/>
        <w:t>Product background</w:t>
      </w:r>
      <w:bookmarkEnd w:id="13"/>
      <w:bookmarkEnd w:id="14"/>
      <w:bookmarkEnd w:id="15"/>
    </w:p>
    <w:p w14:paraId="6D3D3887" w14:textId="77777777" w:rsidR="008E7846" w:rsidRDefault="00940A89" w:rsidP="00940A89">
      <w:r w:rsidRPr="00940A89">
        <w:t xml:space="preserve">This AusPAR describes the application by </w:t>
      </w:r>
      <w:r w:rsidR="00543906">
        <w:t>AstraZeneca Pty Ltd</w:t>
      </w:r>
      <w:r w:rsidR="00543906" w:rsidRPr="00940A89">
        <w:t xml:space="preserve"> </w:t>
      </w:r>
      <w:r w:rsidR="00543906">
        <w:t>(</w:t>
      </w:r>
      <w:r w:rsidRPr="00940A89">
        <w:t>the sponsor</w:t>
      </w:r>
      <w:r w:rsidR="00543906">
        <w:t>)</w:t>
      </w:r>
      <w:r w:rsidRPr="00940A89">
        <w:t xml:space="preserve"> to register </w:t>
      </w:r>
      <w:r w:rsidR="00543906" w:rsidRPr="00BC3730">
        <w:rPr>
          <w:rFonts w:eastAsia="Calibri"/>
        </w:rPr>
        <w:t>Calquence</w:t>
      </w:r>
      <w:r w:rsidR="00543906">
        <w:rPr>
          <w:rFonts w:eastAsia="Calibri"/>
        </w:rPr>
        <w:t xml:space="preserve"> (</w:t>
      </w:r>
      <w:proofErr w:type="spellStart"/>
      <w:r w:rsidR="00543906">
        <w:rPr>
          <w:rFonts w:eastAsia="Calibri"/>
        </w:rPr>
        <w:t>a</w:t>
      </w:r>
      <w:r w:rsidR="00543906" w:rsidRPr="00BC3730">
        <w:rPr>
          <w:rFonts w:eastAsia="Calibri"/>
        </w:rPr>
        <w:t>calabrutinib</w:t>
      </w:r>
      <w:proofErr w:type="spellEnd"/>
      <w:r w:rsidR="00543906">
        <w:rPr>
          <w:rFonts w:eastAsia="Calibri"/>
        </w:rPr>
        <w:t>)</w:t>
      </w:r>
      <w:r w:rsidR="00543906" w:rsidRPr="00D23139">
        <w:t xml:space="preserve"> </w:t>
      </w:r>
      <w:r w:rsidR="00543906">
        <w:t>100 mg hard capsule</w:t>
      </w:r>
      <w:r w:rsidRPr="00940A89">
        <w:t xml:space="preserve"> f</w:t>
      </w:r>
      <w:r w:rsidR="00543906">
        <w:t>or the following indication:</w:t>
      </w:r>
    </w:p>
    <w:p w14:paraId="60AE9112" w14:textId="77777777" w:rsidR="00543906" w:rsidRPr="00543906" w:rsidRDefault="00543906" w:rsidP="00543906">
      <w:pPr>
        <w:ind w:left="720"/>
        <w:rPr>
          <w:i/>
        </w:rPr>
      </w:pPr>
      <w:r w:rsidRPr="00543906">
        <w:rPr>
          <w:i/>
        </w:rPr>
        <w:t>Calquence is indicated for the treatment of patients with chronic lymphocytic leukaemia (CLL)/small lymphocytic lymphoma (SLL).</w:t>
      </w:r>
    </w:p>
    <w:p w14:paraId="24004D76" w14:textId="77777777" w:rsidR="00543906" w:rsidRDefault="00543906" w:rsidP="00543906">
      <w:r>
        <w:t xml:space="preserve">Chronic lymphocytic leukaemia (CLL) is one of the chronic lymphoproliferative disorders, that is characterised by accumulation of functionally incompetent lymphocytes. These lymphocytes are usually monoclonal. The disease is considered identical to small lymphocytic lymphoma (SLL), an indolent non-Hodgkin’s lymphoma. Hence this is included in the indication statement. The difference being that in CLL the disease arises mainly in the blood, whereas in SLL it is </w:t>
      </w:r>
      <w:r w:rsidR="000D03B0">
        <w:t xml:space="preserve">primarily nodal in involvement. </w:t>
      </w:r>
      <w:r>
        <w:t xml:space="preserve">The disease primarily affects an elderly population and is the most prevalent form of adult leukaemia. Diagnosis is established using peripheral blood examination and </w:t>
      </w:r>
      <w:proofErr w:type="spellStart"/>
      <w:r>
        <w:t>immunophenotyping</w:t>
      </w:r>
      <w:proofErr w:type="spellEnd"/>
      <w:r>
        <w:t xml:space="preserve"> and requires a minimum of 5</w:t>
      </w:r>
      <w:r w:rsidR="000D03B0">
        <w:t xml:space="preserve"> </w:t>
      </w:r>
      <w:r>
        <w:t>x</w:t>
      </w:r>
      <w:r w:rsidR="000D03B0">
        <w:t xml:space="preserve"> </w:t>
      </w:r>
      <w:r>
        <w:t>10</w:t>
      </w:r>
      <w:r w:rsidRPr="000D03B0">
        <w:rPr>
          <w:vertAlign w:val="superscript"/>
        </w:rPr>
        <w:t>9</w:t>
      </w:r>
      <w:r>
        <w:t>/L monoclonal B-cells that co-express surface anti</w:t>
      </w:r>
      <w:r w:rsidR="000D03B0">
        <w:t xml:space="preserve">gens </w:t>
      </w:r>
      <w:r w:rsidR="000F595E">
        <w:t>cluster of differentiation 5 (</w:t>
      </w:r>
      <w:r w:rsidR="000D03B0">
        <w:t>CD5</w:t>
      </w:r>
      <w:r w:rsidR="000F595E">
        <w:t>)</w:t>
      </w:r>
      <w:r w:rsidR="000D03B0">
        <w:t>, CD19, CD20 and CD23.</w:t>
      </w:r>
    </w:p>
    <w:p w14:paraId="3AA86D40" w14:textId="77777777" w:rsidR="00543906" w:rsidRDefault="00543906" w:rsidP="00543906">
      <w:r>
        <w:t xml:space="preserve">Treatment is complex and is guided by disease indolence or progression, co-morbidities, previous treatments (if any) and specific mutations such as the 17p deletion and TP53 mutation. </w:t>
      </w:r>
      <w:proofErr w:type="spellStart"/>
      <w:r>
        <w:t>Chlorambucil</w:t>
      </w:r>
      <w:proofErr w:type="spellEnd"/>
      <w:r>
        <w:t xml:space="preserve"> has been a historic mainstay of treatment and subsequently, a group of drugs targeting the CD20 surf</w:t>
      </w:r>
      <w:r w:rsidR="000F595E">
        <w:t>ace antigen were developed (for example,</w:t>
      </w:r>
      <w:r>
        <w:t xml:space="preserve"> rituximab, </w:t>
      </w:r>
      <w:proofErr w:type="spellStart"/>
      <w:r>
        <w:t>obinutuzumab</w:t>
      </w:r>
      <w:proofErr w:type="spellEnd"/>
      <w:r>
        <w:t xml:space="preserve">). In addition to these, there are now available novel molecularly targeted agents, such as </w:t>
      </w:r>
      <w:proofErr w:type="spellStart"/>
      <w:r>
        <w:t>Bruton</w:t>
      </w:r>
      <w:proofErr w:type="spellEnd"/>
      <w:r>
        <w:t xml:space="preserve"> tyrosi</w:t>
      </w:r>
      <w:r w:rsidR="000F595E">
        <w:t>ne kinase (BTK) inhibitors (for example,</w:t>
      </w:r>
      <w:r>
        <w:t xml:space="preserve"> </w:t>
      </w:r>
      <w:proofErr w:type="spellStart"/>
      <w:r>
        <w:t>ibrutinib</w:t>
      </w:r>
      <w:proofErr w:type="spellEnd"/>
      <w:r>
        <w:t xml:space="preserve">), as well as the phosphoinositide-3 kinase inhibitor </w:t>
      </w:r>
      <w:proofErr w:type="spellStart"/>
      <w:r>
        <w:t>idelalisib</w:t>
      </w:r>
      <w:proofErr w:type="spellEnd"/>
      <w:r>
        <w:t>. There are also the apoptosis regulating drugs, such as t</w:t>
      </w:r>
      <w:r w:rsidR="000D03B0">
        <w:t xml:space="preserve">he </w:t>
      </w:r>
      <w:r w:rsidR="000F595E" w:rsidRPr="000F595E">
        <w:t xml:space="preserve">B-cell lymphoma 2 </w:t>
      </w:r>
      <w:r w:rsidR="000F595E">
        <w:t>(</w:t>
      </w:r>
      <w:r w:rsidR="000D03B0">
        <w:t>BCL-2</w:t>
      </w:r>
      <w:r w:rsidR="000F595E">
        <w:t>)</w:t>
      </w:r>
      <w:r w:rsidR="000D03B0">
        <w:t xml:space="preserve"> antagonist </w:t>
      </w:r>
      <w:proofErr w:type="spellStart"/>
      <w:r w:rsidR="000D03B0">
        <w:t>venetoclax</w:t>
      </w:r>
      <w:proofErr w:type="spellEnd"/>
      <w:r w:rsidR="000D03B0">
        <w:t>.</w:t>
      </w:r>
    </w:p>
    <w:p w14:paraId="6A7411BB" w14:textId="7371ADFE" w:rsidR="00543906" w:rsidRDefault="00543906" w:rsidP="00543906">
      <w:r>
        <w:t>Initial treatment of symptomatic disease can include chemotherapy paired with</w:t>
      </w:r>
      <w:r w:rsidR="00895543">
        <w:t xml:space="preserve"> an</w:t>
      </w:r>
      <w:r>
        <w:t xml:space="preserve"> </w:t>
      </w:r>
      <w:r w:rsidR="00CF3B6C">
        <w:t xml:space="preserve">anti-CD20 monoclonal antibody </w:t>
      </w:r>
      <w:r>
        <w:t>for those withou</w:t>
      </w:r>
      <w:r w:rsidR="000F595E">
        <w:t xml:space="preserve">t the 17p or TP53 mutation (for example, </w:t>
      </w:r>
      <w:proofErr w:type="spellStart"/>
      <w:r w:rsidR="000F595E">
        <w:t>chlorambucil</w:t>
      </w:r>
      <w:proofErr w:type="spellEnd"/>
      <w:r w:rsidR="000F595E">
        <w:t xml:space="preserve"> plus (</w:t>
      </w:r>
      <w:proofErr w:type="spellStart"/>
      <w:r>
        <w:t>obinutuz</w:t>
      </w:r>
      <w:r w:rsidR="000F595E">
        <w:t>umab</w:t>
      </w:r>
      <w:proofErr w:type="spellEnd"/>
      <w:r w:rsidR="000F595E">
        <w:t xml:space="preserve"> or rituximab or </w:t>
      </w:r>
      <w:proofErr w:type="spellStart"/>
      <w:r w:rsidR="000F595E">
        <w:t>ofatumumab</w:t>
      </w:r>
      <w:proofErr w:type="spellEnd"/>
      <w:r w:rsidR="000F595E">
        <w:t>)</w:t>
      </w:r>
      <w:r>
        <w:t xml:space="preserve">, or </w:t>
      </w:r>
      <w:proofErr w:type="spellStart"/>
      <w:r>
        <w:t>ibrutinib</w:t>
      </w:r>
      <w:proofErr w:type="spellEnd"/>
      <w:r>
        <w:t xml:space="preserve"> alone), and </w:t>
      </w:r>
      <w:proofErr w:type="spellStart"/>
      <w:r>
        <w:t>ibrutinib</w:t>
      </w:r>
      <w:proofErr w:type="spellEnd"/>
      <w:r>
        <w:t xml:space="preserve"> or </w:t>
      </w:r>
      <w:proofErr w:type="spellStart"/>
      <w:r>
        <w:t>idelalisib</w:t>
      </w:r>
      <w:proofErr w:type="spellEnd"/>
      <w:r>
        <w:t xml:space="preserve"> or </w:t>
      </w:r>
      <w:proofErr w:type="spellStart"/>
      <w:r>
        <w:t>venetoclax</w:t>
      </w:r>
      <w:proofErr w:type="spellEnd"/>
      <w:r>
        <w:t xml:space="preserve"> f</w:t>
      </w:r>
      <w:r w:rsidR="000F595E">
        <w:t>or those with the mutation(s).</w:t>
      </w:r>
    </w:p>
    <w:p w14:paraId="01D918D7" w14:textId="77777777" w:rsidR="00543906" w:rsidRDefault="00543906" w:rsidP="00543906">
      <w:r>
        <w:t xml:space="preserve">Relapsed disease for those without a 17p or TP53 mutation can be treated with repeat chemotherapy; </w:t>
      </w:r>
      <w:proofErr w:type="spellStart"/>
      <w:r>
        <w:t>ibrutinib</w:t>
      </w:r>
      <w:proofErr w:type="spellEnd"/>
      <w:r>
        <w:t xml:space="preserve"> or </w:t>
      </w:r>
      <w:proofErr w:type="spellStart"/>
      <w:r>
        <w:t>venetoclax</w:t>
      </w:r>
      <w:proofErr w:type="spellEnd"/>
      <w:r>
        <w:t xml:space="preserve"> o</w:t>
      </w:r>
      <w:r w:rsidR="000F595E">
        <w:t xml:space="preserve">r </w:t>
      </w:r>
      <w:proofErr w:type="spellStart"/>
      <w:r w:rsidR="000F595E">
        <w:t>idelalisib</w:t>
      </w:r>
      <w:proofErr w:type="spellEnd"/>
      <w:r w:rsidR="000F595E">
        <w:t xml:space="preserve"> or </w:t>
      </w:r>
      <w:proofErr w:type="spellStart"/>
      <w:r w:rsidR="000F595E">
        <w:t>ofatumumab</w:t>
      </w:r>
      <w:proofErr w:type="spellEnd"/>
      <w:r w:rsidR="000F595E">
        <w:t xml:space="preserve"> (for example,</w:t>
      </w:r>
      <w:r>
        <w:t xml:space="preserve"> </w:t>
      </w:r>
      <w:proofErr w:type="spellStart"/>
      <w:r>
        <w:t>ibrutinib</w:t>
      </w:r>
      <w:proofErr w:type="spellEnd"/>
      <w:r>
        <w:t xml:space="preserve"> alone, </w:t>
      </w:r>
      <w:proofErr w:type="spellStart"/>
      <w:r>
        <w:t>idelalisib</w:t>
      </w:r>
      <w:proofErr w:type="spellEnd"/>
      <w:r>
        <w:t xml:space="preserve"> plus rituximab, </w:t>
      </w:r>
      <w:proofErr w:type="spellStart"/>
      <w:r>
        <w:t>idelalisib</w:t>
      </w:r>
      <w:proofErr w:type="spellEnd"/>
      <w:r>
        <w:t xml:space="preserve"> plus </w:t>
      </w:r>
      <w:proofErr w:type="spellStart"/>
      <w:r>
        <w:t>ofatumumab</w:t>
      </w:r>
      <w:proofErr w:type="spellEnd"/>
      <w:r>
        <w:t xml:space="preserve">, </w:t>
      </w:r>
      <w:proofErr w:type="spellStart"/>
      <w:r>
        <w:t>ibrutinib</w:t>
      </w:r>
      <w:proofErr w:type="spellEnd"/>
      <w:r>
        <w:t xml:space="preserve"> plus rituximab plus </w:t>
      </w:r>
      <w:proofErr w:type="spellStart"/>
      <w:r>
        <w:t>bend</w:t>
      </w:r>
      <w:r w:rsidR="000F595E">
        <w:t>amustine</w:t>
      </w:r>
      <w:proofErr w:type="spellEnd"/>
      <w:r w:rsidR="000F595E">
        <w:t xml:space="preserve"> or </w:t>
      </w:r>
      <w:proofErr w:type="spellStart"/>
      <w:r w:rsidR="000F595E">
        <w:t>venetoclex</w:t>
      </w:r>
      <w:proofErr w:type="spellEnd"/>
      <w:r w:rsidR="000F595E">
        <w:t xml:space="preserve"> alone). </w:t>
      </w:r>
      <w:r>
        <w:t xml:space="preserve">For those with a 17p deletion or TP53 mutation, choices include </w:t>
      </w:r>
      <w:proofErr w:type="spellStart"/>
      <w:r>
        <w:t>idelalisib</w:t>
      </w:r>
      <w:proofErr w:type="spellEnd"/>
      <w:r>
        <w:t xml:space="preserve"> and rituximab, </w:t>
      </w:r>
      <w:proofErr w:type="spellStart"/>
      <w:r>
        <w:t>idelalisib</w:t>
      </w:r>
      <w:proofErr w:type="spellEnd"/>
      <w:r>
        <w:t xml:space="preserve"> and </w:t>
      </w:r>
      <w:proofErr w:type="spellStart"/>
      <w:r>
        <w:t>ofatumumab</w:t>
      </w:r>
      <w:proofErr w:type="spellEnd"/>
      <w:r>
        <w:t xml:space="preserve">, or </w:t>
      </w:r>
      <w:proofErr w:type="spellStart"/>
      <w:r>
        <w:t>venetoclax</w:t>
      </w:r>
      <w:proofErr w:type="spellEnd"/>
      <w:r>
        <w:t xml:space="preserve"> alone.</w:t>
      </w:r>
    </w:p>
    <w:p w14:paraId="009AA4C9" w14:textId="77777777" w:rsidR="00543906" w:rsidRDefault="00543906" w:rsidP="00543906">
      <w:r>
        <w:t xml:space="preserve">Studies of </w:t>
      </w:r>
      <w:proofErr w:type="spellStart"/>
      <w:r>
        <w:t>bendamustine</w:t>
      </w:r>
      <w:proofErr w:type="spellEnd"/>
      <w:r>
        <w:t xml:space="preserve"> and rituximab showed a median </w:t>
      </w:r>
      <w:r w:rsidR="000F595E">
        <w:t>progression free survival (</w:t>
      </w:r>
      <w:r>
        <w:t>PFS</w:t>
      </w:r>
      <w:r w:rsidR="000F595E">
        <w:t>)</w:t>
      </w:r>
      <w:r>
        <w:t xml:space="preserve"> of 11 to 17 months, and </w:t>
      </w:r>
      <w:proofErr w:type="spellStart"/>
      <w:r>
        <w:t>idelalisib</w:t>
      </w:r>
      <w:proofErr w:type="spellEnd"/>
      <w:r>
        <w:t xml:space="preserve"> plus rituximab showed benefit over rituximab </w:t>
      </w:r>
      <w:r w:rsidR="000F595E">
        <w:t>alone with median PFS of 19.4 versus</w:t>
      </w:r>
      <w:r>
        <w:t xml:space="preserve"> 6.5 months. Severe </w:t>
      </w:r>
      <w:r w:rsidR="000F595E">
        <w:t>gastrointestinal (</w:t>
      </w:r>
      <w:r>
        <w:t>GI</w:t>
      </w:r>
      <w:r w:rsidR="000F595E">
        <w:t>)</w:t>
      </w:r>
      <w:r>
        <w:t xml:space="preserve"> symptoms and hepatotoxicity were safety issues. The BTK inhibitor </w:t>
      </w:r>
      <w:proofErr w:type="spellStart"/>
      <w:r>
        <w:t>ibrutinib</w:t>
      </w:r>
      <w:proofErr w:type="spellEnd"/>
      <w:r>
        <w:t xml:space="preserve"> showed improved PFS with those treated in the first line of relapsed/refractory settings, comp</w:t>
      </w:r>
      <w:r w:rsidR="000F595E">
        <w:t>ared to conventional therapies.</w:t>
      </w:r>
    </w:p>
    <w:p w14:paraId="47B05ABC" w14:textId="77777777" w:rsidR="00543906" w:rsidRDefault="00543906" w:rsidP="00543906">
      <w:proofErr w:type="spellStart"/>
      <w:r>
        <w:t>Acalabrutinib</w:t>
      </w:r>
      <w:proofErr w:type="spellEnd"/>
      <w:r>
        <w:t xml:space="preserve"> is a strong inhibitor of BTK and thus in</w:t>
      </w:r>
      <w:r w:rsidR="000F595E">
        <w:t xml:space="preserve">hibits signalling through the B </w:t>
      </w:r>
      <w:r>
        <w:t>cell receptor in sensitive cells. Inhibition of activating proteins CD86 and CD69 inhibit malignant B-cell proliferation and survival.</w:t>
      </w:r>
    </w:p>
    <w:p w14:paraId="5395B31C" w14:textId="797B6F33" w:rsidR="00543906" w:rsidRDefault="00543906" w:rsidP="00543906">
      <w:r>
        <w:t>Hence</w:t>
      </w:r>
      <w:r w:rsidR="00C47755">
        <w:t>,</w:t>
      </w:r>
      <w:r>
        <w:t xml:space="preserve"> </w:t>
      </w:r>
      <w:proofErr w:type="spellStart"/>
      <w:r>
        <w:t>acalabrutinib</w:t>
      </w:r>
      <w:proofErr w:type="spellEnd"/>
      <w:r>
        <w:t xml:space="preserve"> is a potent BTK inhibitor and is put forward as another choice in the varied armamentarium of treatments for CLL. This submission for the approval of a CLL indication w</w:t>
      </w:r>
      <w:r w:rsidR="000D03B0">
        <w:t>as supported by two pivotal P</w:t>
      </w:r>
      <w:r>
        <w:t>hase III studies an</w:t>
      </w:r>
      <w:r w:rsidR="00E72934">
        <w:t>d 3 supportive ongoing studies.</w:t>
      </w:r>
    </w:p>
    <w:p w14:paraId="31051795" w14:textId="630DE4FE" w:rsidR="00543906" w:rsidRPr="006249A9" w:rsidRDefault="00543906" w:rsidP="00543906">
      <w:r w:rsidRPr="006249A9">
        <w:t xml:space="preserve">This is the second evaluation facilitated through Project </w:t>
      </w:r>
      <w:proofErr w:type="spellStart"/>
      <w:r w:rsidRPr="006249A9">
        <w:t>Orbis</w:t>
      </w:r>
      <w:proofErr w:type="spellEnd"/>
      <w:r w:rsidRPr="006249A9">
        <w:t xml:space="preserve">, an initiative of the United States </w:t>
      </w:r>
      <w:r w:rsidR="00895543">
        <w:t xml:space="preserve">(US) </w:t>
      </w:r>
      <w:r w:rsidRPr="006249A9">
        <w:t xml:space="preserve">Food and Drug Administration (FDA) Oncology </w:t>
      </w:r>
      <w:proofErr w:type="spellStart"/>
      <w:r w:rsidRPr="006249A9">
        <w:t>Center</w:t>
      </w:r>
      <w:proofErr w:type="spellEnd"/>
      <w:r w:rsidRPr="006249A9">
        <w:t xml:space="preserve"> of Excellence (OCE). Under this project, the FDA, Health Canada (HC) and the TGA collaboratively reviewed the </w:t>
      </w:r>
      <w:r w:rsidRPr="006249A9">
        <w:lastRenderedPageBreak/>
        <w:t>application. This innovative evaluation process provided a framework for process alignment and management of evaluation issues in real-time across jurisdictions.</w:t>
      </w:r>
    </w:p>
    <w:p w14:paraId="2B6683E0" w14:textId="77777777" w:rsidR="00543906" w:rsidRDefault="00543906" w:rsidP="00940A89">
      <w:r w:rsidRPr="006249A9">
        <w:t>Each regulator agency maintained its regulatory process to make independent decisions about the approval (market authorisation).</w:t>
      </w:r>
    </w:p>
    <w:p w14:paraId="16DDEC90" w14:textId="77777777" w:rsidR="008E7846" w:rsidRPr="003F31A2" w:rsidRDefault="00386150" w:rsidP="008E7846">
      <w:pPr>
        <w:pStyle w:val="Heading3"/>
      </w:pPr>
      <w:bookmarkStart w:id="16" w:name="_Toc314842485"/>
      <w:bookmarkStart w:id="17" w:name="_Toc247691504"/>
      <w:bookmarkStart w:id="18" w:name="_Toc34735370"/>
      <w:r>
        <w:t>Regulatory s</w:t>
      </w:r>
      <w:r w:rsidR="008E7846">
        <w:t>tatus</w:t>
      </w:r>
      <w:bookmarkEnd w:id="16"/>
      <w:bookmarkEnd w:id="17"/>
      <w:bookmarkEnd w:id="18"/>
    </w:p>
    <w:p w14:paraId="5AC90F07" w14:textId="77777777" w:rsidR="00D84D73" w:rsidRDefault="00D84D73" w:rsidP="00940A89">
      <w:bookmarkStart w:id="19" w:name="_Toc247691505"/>
      <w:bookmarkStart w:id="20" w:name="_Toc314842486"/>
      <w:r w:rsidRPr="00D84D73">
        <w:t>The submission was assessed in concert with the US FDA and Health Canada regulatory agencies as part of the</w:t>
      </w:r>
      <w:r>
        <w:t xml:space="preserve"> joint initiative Project </w:t>
      </w:r>
      <w:proofErr w:type="spellStart"/>
      <w:r>
        <w:t>Orbis</w:t>
      </w:r>
      <w:proofErr w:type="spellEnd"/>
      <w:r w:rsidR="0088068B">
        <w:t>.</w:t>
      </w:r>
    </w:p>
    <w:p w14:paraId="6E525AA7" w14:textId="3815A41E" w:rsidR="007B3B29" w:rsidRDefault="007B3B29" w:rsidP="00940A89">
      <w:r>
        <w:t xml:space="preserve">This submission was assessed simultaneously with concurrent </w:t>
      </w:r>
      <w:r w:rsidR="00904C9D">
        <w:t>Comparable Overseas Regulator</w:t>
      </w:r>
      <w:r w:rsidR="00904C9D" w:rsidRPr="00367925">
        <w:t xml:space="preserve"> </w:t>
      </w:r>
      <w:r w:rsidR="008C3CA9">
        <w:t xml:space="preserve">approach B </w:t>
      </w:r>
      <w:r w:rsidR="00904C9D">
        <w:t>(COR</w:t>
      </w:r>
      <w:r w:rsidR="008C3CA9">
        <w:t>-B)</w:t>
      </w:r>
      <w:r w:rsidR="00904C9D">
        <w:t xml:space="preserve"> </w:t>
      </w:r>
      <w:r>
        <w:t xml:space="preserve">submission </w:t>
      </w:r>
      <w:r w:rsidRPr="00036490">
        <w:t>PM-2019-03536-1-6</w:t>
      </w:r>
      <w:r>
        <w:t xml:space="preserve"> for mantle cell lymphoma (MCL).</w:t>
      </w:r>
      <w:r w:rsidR="00895543">
        <w:rPr>
          <w:rStyle w:val="FootnoteReference"/>
        </w:rPr>
        <w:footnoteReference w:id="1"/>
      </w:r>
    </w:p>
    <w:p w14:paraId="686CB413" w14:textId="77777777" w:rsidR="00940A89" w:rsidRDefault="007B3B29" w:rsidP="00940A89">
      <w:r w:rsidRPr="00BC3730">
        <w:rPr>
          <w:rFonts w:eastAsia="Calibri"/>
        </w:rPr>
        <w:t>Calquence</w:t>
      </w:r>
      <w:r>
        <w:rPr>
          <w:rFonts w:eastAsia="Calibri"/>
        </w:rPr>
        <w:t xml:space="preserve"> (</w:t>
      </w:r>
      <w:proofErr w:type="spellStart"/>
      <w:r>
        <w:rPr>
          <w:rFonts w:eastAsia="Calibri"/>
        </w:rPr>
        <w:t>a</w:t>
      </w:r>
      <w:r w:rsidRPr="00BC3730">
        <w:rPr>
          <w:rFonts w:eastAsia="Calibri"/>
        </w:rPr>
        <w:t>calabrutinib</w:t>
      </w:r>
      <w:proofErr w:type="spellEnd"/>
      <w:r>
        <w:rPr>
          <w:rFonts w:eastAsia="Calibri"/>
        </w:rPr>
        <w:t xml:space="preserve">) </w:t>
      </w:r>
      <w:r w:rsidR="00940A89" w:rsidRPr="00940A89">
        <w:t xml:space="preserve">received initial </w:t>
      </w:r>
      <w:r w:rsidR="00D84D73">
        <w:t xml:space="preserve">provisional </w:t>
      </w:r>
      <w:r w:rsidR="00940A89" w:rsidRPr="00940A89">
        <w:t>registration on the Australian Register</w:t>
      </w:r>
      <w:r w:rsidR="00D84D73">
        <w:t xml:space="preserve"> of Therapeutic Goods (ARTG) on 21 November 2019 for the following indication:</w:t>
      </w:r>
    </w:p>
    <w:p w14:paraId="2D451D09" w14:textId="77777777" w:rsidR="00D84D73" w:rsidRPr="00BC3730" w:rsidRDefault="00D84D73" w:rsidP="00D84D73">
      <w:pPr>
        <w:ind w:left="720"/>
        <w:rPr>
          <w:i/>
        </w:rPr>
      </w:pPr>
      <w:r w:rsidRPr="00BC3730">
        <w:rPr>
          <w:i/>
        </w:rPr>
        <w:t>Calquence is indicated for the treatment of patients with mantle cell lymphoma who have received at least one prior therapy.</w:t>
      </w:r>
    </w:p>
    <w:p w14:paraId="4F77BDD5" w14:textId="77777777" w:rsidR="00D84D73" w:rsidRDefault="00D84D73" w:rsidP="00D84D73">
      <w:r w:rsidRPr="00BC3730">
        <w:t xml:space="preserve">This indication is approved via </w:t>
      </w:r>
      <w:r w:rsidRPr="00AD4417">
        <w:t>the provisional approval</w:t>
      </w:r>
      <w:r w:rsidRPr="00BC3730">
        <w:t xml:space="preserve"> pathway, based on overall response rate. Full registration for this indication depends on verification and description of clinical benefit in confirmatory trials.</w:t>
      </w:r>
    </w:p>
    <w:p w14:paraId="3FBA6CDF" w14:textId="77777777" w:rsidR="00D84D73" w:rsidRDefault="00D84D73" w:rsidP="00D84D73">
      <w:r>
        <w:t xml:space="preserve">The provisional registration period for the above medicine is </w:t>
      </w:r>
      <w:r w:rsidRPr="00AD4417">
        <w:t>two years</w:t>
      </w:r>
      <w:r>
        <w:t xml:space="preserve"> starting on the day specified in the ARTG certificate of registration.</w:t>
      </w:r>
    </w:p>
    <w:p w14:paraId="6DEF6E57" w14:textId="11085F5F" w:rsidR="00940A89" w:rsidRDefault="00AD4417" w:rsidP="00940A89">
      <w:r>
        <w:t>At the</w:t>
      </w:r>
      <w:r w:rsidR="001B406B">
        <w:t xml:space="preserve"> time the</w:t>
      </w:r>
      <w:r w:rsidRPr="00940A89">
        <w:t xml:space="preserve"> TGA considered this application</w:t>
      </w:r>
      <w:r>
        <w:t>, no major jurisdiction worldw</w:t>
      </w:r>
      <w:r w:rsidRPr="00D84D73">
        <w:t>ide had approved the indica</w:t>
      </w:r>
      <w:r>
        <w:t xml:space="preserve">tion sought in this submission and it </w:t>
      </w:r>
      <w:r w:rsidR="00940A89" w:rsidRPr="00940A89">
        <w:t>was under co</w:t>
      </w:r>
      <w:r w:rsidR="003F22F8">
        <w:t>nsideration in the European Union (EU), United States of America (USA) and Canada</w:t>
      </w:r>
      <w:r w:rsidR="00940A89">
        <w:t>.</w:t>
      </w:r>
    </w:p>
    <w:p w14:paraId="1568FCD0" w14:textId="77777777" w:rsidR="008E7846" w:rsidRDefault="008E7846" w:rsidP="00940A89">
      <w:pPr>
        <w:pStyle w:val="Heading3"/>
      </w:pPr>
      <w:bookmarkStart w:id="21" w:name="_Toc34735371"/>
      <w:r>
        <w:t>Product Information</w:t>
      </w:r>
      <w:bookmarkEnd w:id="19"/>
      <w:bookmarkEnd w:id="20"/>
      <w:bookmarkEnd w:id="21"/>
    </w:p>
    <w:p w14:paraId="77B77F1E"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55948DA5" w14:textId="77777777" w:rsidR="00500337" w:rsidRDefault="003F22F8" w:rsidP="00500337">
      <w:pPr>
        <w:pStyle w:val="Heading2"/>
      </w:pPr>
      <w:bookmarkStart w:id="24" w:name="_Toc504480011"/>
      <w:bookmarkStart w:id="25" w:name="_Toc34735372"/>
      <w:r>
        <w:t>II. Registration time</w:t>
      </w:r>
      <w:r w:rsidR="00500337">
        <w:t>line</w:t>
      </w:r>
      <w:bookmarkEnd w:id="24"/>
      <w:bookmarkEnd w:id="25"/>
    </w:p>
    <w:p w14:paraId="3F0AD493" w14:textId="77777777" w:rsidR="00500337" w:rsidRDefault="00E72934" w:rsidP="00500337">
      <w:r>
        <w:fldChar w:fldCharType="begin"/>
      </w:r>
      <w:r>
        <w:instrText xml:space="preserve"> REF _Ref25930052 \h </w:instrText>
      </w:r>
      <w:r>
        <w:fldChar w:fldCharType="separate"/>
      </w:r>
      <w:r>
        <w:t xml:space="preserve">Table </w:t>
      </w:r>
      <w:r>
        <w:rPr>
          <w:noProof/>
        </w:rPr>
        <w:t>1</w:t>
      </w:r>
      <w:r>
        <w:fldChar w:fldCharType="end"/>
      </w:r>
      <w:r>
        <w:t xml:space="preserve"> </w:t>
      </w:r>
      <w:r w:rsidR="00500337">
        <w:t>captures the key steps and dates for this application and which are detai</w:t>
      </w:r>
      <w:r w:rsidR="00787B09">
        <w:t>led and discussed in this AusPAR</w:t>
      </w:r>
      <w:r w:rsidR="00500337">
        <w:t>.</w:t>
      </w:r>
    </w:p>
    <w:p w14:paraId="1D89D8E1" w14:textId="305C24A0" w:rsidR="00500337" w:rsidRPr="00377BD4" w:rsidRDefault="00E72934" w:rsidP="00E72934">
      <w:pPr>
        <w:pStyle w:val="TableTitle"/>
      </w:pPr>
      <w:bookmarkStart w:id="26" w:name="_Ref25930052"/>
      <w:r>
        <w:lastRenderedPageBreak/>
        <w:t xml:space="preserve">Table </w:t>
      </w:r>
      <w:r w:rsidR="0052476B">
        <w:fldChar w:fldCharType="begin"/>
      </w:r>
      <w:r w:rsidR="0052476B">
        <w:instrText xml:space="preserve"> SEQ Table \* ARABIC </w:instrText>
      </w:r>
      <w:r w:rsidR="0052476B">
        <w:fldChar w:fldCharType="separate"/>
      </w:r>
      <w:r w:rsidR="007F02D9">
        <w:rPr>
          <w:noProof/>
        </w:rPr>
        <w:t>1</w:t>
      </w:r>
      <w:r w:rsidR="0052476B">
        <w:rPr>
          <w:noProof/>
        </w:rPr>
        <w:fldChar w:fldCharType="end"/>
      </w:r>
      <w:bookmarkEnd w:id="26"/>
      <w:r>
        <w:t xml:space="preserve">: </w:t>
      </w:r>
      <w:r w:rsidR="003723EA">
        <w:t xml:space="preserve">Timeline for Submission </w:t>
      </w:r>
      <w:r w:rsidR="00787B09" w:rsidRPr="008A79DE">
        <w:t>PM-2019-04317-1-6</w:t>
      </w:r>
    </w:p>
    <w:tbl>
      <w:tblPr>
        <w:tblStyle w:val="TableTGAblue"/>
        <w:tblW w:w="0" w:type="auto"/>
        <w:tblLook w:val="04A0" w:firstRow="1" w:lastRow="0" w:firstColumn="1" w:lastColumn="0" w:noHBand="0" w:noVBand="1"/>
      </w:tblPr>
      <w:tblGrid>
        <w:gridCol w:w="4360"/>
        <w:gridCol w:w="4360"/>
      </w:tblGrid>
      <w:tr w:rsidR="00500337" w14:paraId="5EE1745A"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4C520289" w14:textId="77777777" w:rsidR="00500337" w:rsidRDefault="00500337" w:rsidP="00500337">
            <w:pPr>
              <w:ind w:left="0" w:right="0"/>
            </w:pPr>
            <w:r>
              <w:t>Description</w:t>
            </w:r>
          </w:p>
        </w:tc>
        <w:tc>
          <w:tcPr>
            <w:tcW w:w="4360" w:type="dxa"/>
          </w:tcPr>
          <w:p w14:paraId="01381099" w14:textId="77777777" w:rsidR="00500337" w:rsidRDefault="00500337" w:rsidP="00500337">
            <w:pPr>
              <w:ind w:left="0" w:right="0"/>
            </w:pPr>
            <w:r>
              <w:t>Date</w:t>
            </w:r>
          </w:p>
        </w:tc>
      </w:tr>
      <w:tr w:rsidR="00500337" w14:paraId="471ABE07" w14:textId="77777777" w:rsidTr="00500337">
        <w:tc>
          <w:tcPr>
            <w:tcW w:w="4360" w:type="dxa"/>
          </w:tcPr>
          <w:p w14:paraId="0A39986F" w14:textId="77777777" w:rsidR="00500337" w:rsidRDefault="00500337" w:rsidP="00500337">
            <w:pPr>
              <w:ind w:left="0" w:right="0"/>
            </w:pPr>
            <w:r>
              <w:t>Submission dossier accepted and first round evaluation commenced</w:t>
            </w:r>
          </w:p>
        </w:tc>
        <w:tc>
          <w:tcPr>
            <w:tcW w:w="4360" w:type="dxa"/>
          </w:tcPr>
          <w:p w14:paraId="5E99A34E" w14:textId="77777777" w:rsidR="00500337" w:rsidRDefault="00E72934" w:rsidP="00500337">
            <w:pPr>
              <w:ind w:left="0" w:right="0"/>
            </w:pPr>
            <w:r>
              <w:t>10 October 2019</w:t>
            </w:r>
          </w:p>
        </w:tc>
      </w:tr>
      <w:tr w:rsidR="00500337" w14:paraId="6A3000F6" w14:textId="77777777" w:rsidTr="00500337">
        <w:tc>
          <w:tcPr>
            <w:tcW w:w="4360" w:type="dxa"/>
          </w:tcPr>
          <w:p w14:paraId="67F8F273" w14:textId="77777777" w:rsidR="00500337" w:rsidRDefault="00E72934" w:rsidP="00500337">
            <w:pPr>
              <w:ind w:left="0" w:right="0"/>
            </w:pPr>
            <w:r>
              <w:t>Evaluation completed</w:t>
            </w:r>
          </w:p>
        </w:tc>
        <w:tc>
          <w:tcPr>
            <w:tcW w:w="4360" w:type="dxa"/>
          </w:tcPr>
          <w:p w14:paraId="547A12CC" w14:textId="77777777" w:rsidR="00500337" w:rsidRDefault="00E72934" w:rsidP="00500337">
            <w:pPr>
              <w:ind w:left="0" w:right="0"/>
            </w:pPr>
            <w:r>
              <w:t>18 November 2019</w:t>
            </w:r>
          </w:p>
        </w:tc>
      </w:tr>
      <w:tr w:rsidR="00500337" w14:paraId="615DEF27" w14:textId="77777777" w:rsidTr="00500337">
        <w:tc>
          <w:tcPr>
            <w:tcW w:w="4360" w:type="dxa"/>
          </w:tcPr>
          <w:p w14:paraId="4EA1C9F0" w14:textId="77777777" w:rsidR="00500337" w:rsidRDefault="00500337" w:rsidP="00E72934">
            <w:pPr>
              <w:ind w:left="0" w:right="0"/>
            </w:pPr>
            <w:r>
              <w:t xml:space="preserve">Delegate’s </w:t>
            </w:r>
            <w:r w:rsidR="00E72934">
              <w:t>Overall benefit-risk assessment</w:t>
            </w:r>
          </w:p>
        </w:tc>
        <w:tc>
          <w:tcPr>
            <w:tcW w:w="4360" w:type="dxa"/>
          </w:tcPr>
          <w:p w14:paraId="2FCCDD98" w14:textId="77777777" w:rsidR="00500337" w:rsidRDefault="00E72934" w:rsidP="00500337">
            <w:pPr>
              <w:ind w:left="0" w:right="0"/>
            </w:pPr>
            <w:r>
              <w:t>21 November 2019</w:t>
            </w:r>
          </w:p>
        </w:tc>
      </w:tr>
      <w:tr w:rsidR="00500337" w14:paraId="1A80D3C2" w14:textId="77777777" w:rsidTr="00500337">
        <w:tc>
          <w:tcPr>
            <w:tcW w:w="4360" w:type="dxa"/>
          </w:tcPr>
          <w:p w14:paraId="6BAC8A53" w14:textId="77777777" w:rsidR="00500337" w:rsidRDefault="00500337" w:rsidP="00500337">
            <w:pPr>
              <w:ind w:left="0" w:right="0"/>
            </w:pPr>
            <w:r>
              <w:t>Sponsor’s pre-Advisory Committee response</w:t>
            </w:r>
          </w:p>
        </w:tc>
        <w:tc>
          <w:tcPr>
            <w:tcW w:w="4360" w:type="dxa"/>
          </w:tcPr>
          <w:p w14:paraId="55438637" w14:textId="77777777" w:rsidR="00500337" w:rsidRDefault="00E72934" w:rsidP="00500337">
            <w:pPr>
              <w:ind w:left="0" w:right="0"/>
            </w:pPr>
            <w:r>
              <w:t>Not applicable</w:t>
            </w:r>
          </w:p>
        </w:tc>
      </w:tr>
      <w:tr w:rsidR="00500337" w14:paraId="3EC56E6B" w14:textId="77777777" w:rsidTr="00500337">
        <w:tc>
          <w:tcPr>
            <w:tcW w:w="4360" w:type="dxa"/>
          </w:tcPr>
          <w:p w14:paraId="5B4882E8" w14:textId="77777777" w:rsidR="00500337" w:rsidRDefault="00500337" w:rsidP="00500337">
            <w:pPr>
              <w:ind w:left="0" w:right="0"/>
            </w:pPr>
            <w:r>
              <w:t>Advisory Committee meeting</w:t>
            </w:r>
          </w:p>
        </w:tc>
        <w:tc>
          <w:tcPr>
            <w:tcW w:w="4360" w:type="dxa"/>
          </w:tcPr>
          <w:p w14:paraId="07D2D86C" w14:textId="77777777" w:rsidR="00500337" w:rsidRDefault="00E72934" w:rsidP="00500337">
            <w:pPr>
              <w:ind w:left="0" w:right="0"/>
            </w:pPr>
            <w:r>
              <w:t>Not applicable</w:t>
            </w:r>
          </w:p>
        </w:tc>
      </w:tr>
      <w:tr w:rsidR="00500337" w14:paraId="6E4E967B" w14:textId="77777777" w:rsidTr="00500337">
        <w:tc>
          <w:tcPr>
            <w:tcW w:w="4360" w:type="dxa"/>
          </w:tcPr>
          <w:p w14:paraId="3729C7C7" w14:textId="77777777" w:rsidR="00500337" w:rsidRDefault="00500337" w:rsidP="00500337">
            <w:pPr>
              <w:ind w:left="0" w:right="0"/>
            </w:pPr>
            <w:r>
              <w:t>Registration decision (Outcome)</w:t>
            </w:r>
          </w:p>
        </w:tc>
        <w:tc>
          <w:tcPr>
            <w:tcW w:w="4360" w:type="dxa"/>
          </w:tcPr>
          <w:p w14:paraId="58E1ED04" w14:textId="77777777" w:rsidR="00500337" w:rsidRDefault="00E72934" w:rsidP="00500337">
            <w:pPr>
              <w:ind w:left="0" w:right="0"/>
            </w:pPr>
            <w:r>
              <w:t>22 November 2019</w:t>
            </w:r>
          </w:p>
        </w:tc>
      </w:tr>
      <w:tr w:rsidR="00500337" w14:paraId="41B1EC62" w14:textId="77777777" w:rsidTr="00500337">
        <w:tc>
          <w:tcPr>
            <w:tcW w:w="4360" w:type="dxa"/>
          </w:tcPr>
          <w:p w14:paraId="57EFD954" w14:textId="77777777" w:rsidR="00500337" w:rsidRDefault="00500337" w:rsidP="00500337">
            <w:pPr>
              <w:ind w:left="0" w:right="0"/>
            </w:pPr>
            <w:r>
              <w:t>Completion of administrative activities and registration on ARTG</w:t>
            </w:r>
          </w:p>
        </w:tc>
        <w:tc>
          <w:tcPr>
            <w:tcW w:w="4360" w:type="dxa"/>
          </w:tcPr>
          <w:p w14:paraId="2771540B" w14:textId="77777777" w:rsidR="00500337" w:rsidRDefault="00E72934" w:rsidP="00500337">
            <w:pPr>
              <w:ind w:left="0" w:right="0"/>
            </w:pPr>
            <w:r>
              <w:t>22 November 2019</w:t>
            </w:r>
          </w:p>
        </w:tc>
      </w:tr>
      <w:tr w:rsidR="00500337" w14:paraId="5ABA6F50" w14:textId="77777777" w:rsidTr="00500337">
        <w:tc>
          <w:tcPr>
            <w:tcW w:w="4360" w:type="dxa"/>
          </w:tcPr>
          <w:p w14:paraId="61C642E4" w14:textId="77777777" w:rsidR="00500337" w:rsidRDefault="00500337" w:rsidP="00500337">
            <w:pPr>
              <w:ind w:left="0" w:right="0"/>
            </w:pPr>
            <w:r>
              <w:t>Number of working days from submission dossier acceptance to registration decision*</w:t>
            </w:r>
          </w:p>
        </w:tc>
        <w:tc>
          <w:tcPr>
            <w:tcW w:w="4360" w:type="dxa"/>
          </w:tcPr>
          <w:p w14:paraId="0E011620" w14:textId="77777777" w:rsidR="00500337" w:rsidRDefault="00E72934" w:rsidP="00500337">
            <w:pPr>
              <w:ind w:left="0" w:right="0"/>
            </w:pPr>
            <w:r>
              <w:t>35</w:t>
            </w:r>
          </w:p>
        </w:tc>
      </w:tr>
    </w:tbl>
    <w:p w14:paraId="5666DC68" w14:textId="7EB5E18D" w:rsidR="00500337" w:rsidRDefault="00500337" w:rsidP="00AD4417">
      <w:pPr>
        <w:pStyle w:val="TableDescription"/>
      </w:pPr>
      <w:r>
        <w:t>*</w:t>
      </w:r>
      <w:r w:rsidR="00BF3774" w:rsidRPr="00BF3774">
        <w:t xml:space="preserve">Statutory </w:t>
      </w:r>
      <w:r>
        <w:t>timeframe for standard applications is 2</w:t>
      </w:r>
      <w:r w:rsidR="00BF3774">
        <w:t>55</w:t>
      </w:r>
      <w:r>
        <w:t xml:space="preserve"> working days</w:t>
      </w:r>
    </w:p>
    <w:p w14:paraId="432257CD" w14:textId="77777777" w:rsidR="008E7846" w:rsidRPr="00792A32" w:rsidRDefault="00456765" w:rsidP="008E7846">
      <w:pPr>
        <w:pStyle w:val="Heading2"/>
      </w:pPr>
      <w:bookmarkStart w:id="27" w:name="_Toc196046504"/>
      <w:bookmarkStart w:id="28" w:name="_Toc247691527"/>
      <w:bookmarkStart w:id="29" w:name="_Toc314842510"/>
      <w:bookmarkStart w:id="30" w:name="_Toc163441390"/>
      <w:bookmarkStart w:id="31" w:name="_Toc34735373"/>
      <w:bookmarkEnd w:id="1"/>
      <w:bookmarkEnd w:id="22"/>
      <w:bookmarkEnd w:id="23"/>
      <w:r>
        <w:t>I</w:t>
      </w:r>
      <w:r w:rsidR="00DA64CB">
        <w:t>I</w:t>
      </w:r>
      <w:r w:rsidR="008E7846">
        <w:t xml:space="preserve">I. </w:t>
      </w:r>
      <w:r w:rsidR="000F595E">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1"/>
    </w:p>
    <w:p w14:paraId="178F1B08" w14:textId="24CD6165" w:rsidR="008E7846" w:rsidRDefault="008E7846" w:rsidP="003723EA">
      <w:bookmarkStart w:id="32" w:name="_Toc247691528"/>
      <w:r>
        <w:t xml:space="preserve">The submission was summarised in the following </w:t>
      </w:r>
      <w:r w:rsidRPr="00EF5C48">
        <w:t xml:space="preserve">Delegate’s </w:t>
      </w:r>
      <w:r>
        <w:t>overview</w:t>
      </w:r>
      <w:r w:rsidRPr="00EF5C48">
        <w:t xml:space="preserve"> and recommendation</w:t>
      </w:r>
      <w:r w:rsidR="00DC370F">
        <w:t>s.</w:t>
      </w:r>
    </w:p>
    <w:p w14:paraId="761E1D48" w14:textId="60C855AE" w:rsidR="00AD4417" w:rsidRDefault="00AD4417" w:rsidP="003723EA">
      <w:r w:rsidRPr="00AD4417">
        <w:t>This is a TGA summary of wording used in TGA’s Delegate’s overview, which discussed numerous aspects of overseas evaluation reports and included some information that was considered commercial-in-confidence and has been redacted.</w:t>
      </w:r>
    </w:p>
    <w:p w14:paraId="680CC74A" w14:textId="77777777" w:rsidR="008E7846" w:rsidRDefault="008E7846" w:rsidP="008E7846">
      <w:pPr>
        <w:pStyle w:val="Heading3"/>
      </w:pPr>
      <w:bookmarkStart w:id="33" w:name="_Toc314842511"/>
      <w:bookmarkStart w:id="34" w:name="_Toc34735374"/>
      <w:r>
        <w:t>Quality</w:t>
      </w:r>
      <w:bookmarkEnd w:id="32"/>
      <w:bookmarkEnd w:id="33"/>
      <w:bookmarkEnd w:id="34"/>
    </w:p>
    <w:p w14:paraId="4D46435D" w14:textId="4C176BAD" w:rsidR="00E45619" w:rsidRDefault="008E7846" w:rsidP="003A7F6C">
      <w:r>
        <w:t>There was no requirement for a quality evaluation in a submission of this type.</w:t>
      </w:r>
      <w:r w:rsidR="00904C9D">
        <w:t xml:space="preserve"> A </w:t>
      </w:r>
      <w:r w:rsidR="00AD4417">
        <w:t>summary of quality aspects is</w:t>
      </w:r>
      <w:r w:rsidR="00904C9D">
        <w:t xml:space="preserve"> </w:t>
      </w:r>
      <w:r w:rsidR="00AD4417">
        <w:t>included</w:t>
      </w:r>
      <w:r w:rsidR="00904C9D">
        <w:t xml:space="preserve"> in the AusPAR for MCL submission </w:t>
      </w:r>
      <w:r w:rsidR="00904C9D" w:rsidRPr="00036490">
        <w:t>PM-2019-03536-1-6</w:t>
      </w:r>
      <w:r w:rsidR="00904C9D">
        <w:t>.</w:t>
      </w:r>
    </w:p>
    <w:p w14:paraId="1B932CB1" w14:textId="77777777" w:rsidR="008E7846" w:rsidRDefault="008E7846" w:rsidP="008E7846">
      <w:pPr>
        <w:pStyle w:val="Heading3"/>
      </w:pPr>
      <w:bookmarkStart w:id="35" w:name="_Toc314842512"/>
      <w:bookmarkStart w:id="36" w:name="_Toc34735375"/>
      <w:r>
        <w:t>Nonclinical</w:t>
      </w:r>
      <w:bookmarkEnd w:id="35"/>
      <w:bookmarkEnd w:id="36"/>
    </w:p>
    <w:p w14:paraId="782636F9" w14:textId="77777777" w:rsidR="001A1CC2" w:rsidRDefault="001A1CC2" w:rsidP="001A1CC2">
      <w:r w:rsidRPr="001A1CC2">
        <w:t>The proposed dosing regimen involves oral administration of one capsule (100 mg) twice daily.</w:t>
      </w:r>
      <w:r>
        <w:t xml:space="preserve"> A single nonclinical evaluation was performed for this submission and concurrent submission </w:t>
      </w:r>
      <w:r w:rsidR="00036490" w:rsidRPr="00036490">
        <w:t>PM-2019-03536-1-6</w:t>
      </w:r>
      <w:r w:rsidR="00036490">
        <w:t xml:space="preserve"> for </w:t>
      </w:r>
      <w:r w:rsidR="00A74922">
        <w:t>MCL</w:t>
      </w:r>
      <w:r w:rsidR="00036490">
        <w:t>.</w:t>
      </w:r>
    </w:p>
    <w:p w14:paraId="6D17E2E5" w14:textId="77777777" w:rsidR="001A1CC2" w:rsidRPr="001A1CC2" w:rsidRDefault="001A1CC2" w:rsidP="001A1CC2">
      <w:r w:rsidRPr="001A1CC2">
        <w:t>The following points were summarised in the nonclinical evaluation:</w:t>
      </w:r>
    </w:p>
    <w:p w14:paraId="48684F85" w14:textId="4F8248D0" w:rsidR="001A1CC2" w:rsidRPr="001A1CC2" w:rsidRDefault="001A1CC2" w:rsidP="001A1CC2">
      <w:pPr>
        <w:pStyle w:val="ListBullet"/>
      </w:pPr>
      <w:r w:rsidRPr="001A1CC2">
        <w:t>The submitted nonclinical data were in general accordance with the relevant</w:t>
      </w:r>
      <w:r w:rsidR="00AD4417">
        <w:t xml:space="preserve"> TGA-adopted</w:t>
      </w:r>
      <w:r w:rsidRPr="001A1CC2">
        <w:t xml:space="preserve"> International Council for Harmonisation (ICH) guideline;</w:t>
      </w:r>
      <w:r w:rsidRPr="001A1CC2">
        <w:rPr>
          <w:vertAlign w:val="superscript"/>
        </w:rPr>
        <w:footnoteReference w:id="2"/>
      </w:r>
      <w:r w:rsidRPr="001A1CC2">
        <w:t xml:space="preserve"> and were of </w:t>
      </w:r>
      <w:r w:rsidRPr="001A1CC2">
        <w:lastRenderedPageBreak/>
        <w:t>adequate quality. All pivotal safety-related studies were Good Laboratory Practice (GLP) compliant.</w:t>
      </w:r>
    </w:p>
    <w:p w14:paraId="64BF838C" w14:textId="05E1FA83" w:rsidR="001A1CC2" w:rsidRPr="001A1CC2" w:rsidRDefault="001A1CC2" w:rsidP="001A1CC2">
      <w:pPr>
        <w:pStyle w:val="ListBullet"/>
      </w:pPr>
      <w:r w:rsidRPr="001A1CC2">
        <w:rPr>
          <w:i/>
        </w:rPr>
        <w:t>In vitro</w:t>
      </w:r>
      <w:r w:rsidRPr="001A1CC2">
        <w:t xml:space="preserve">, </w:t>
      </w:r>
      <w:proofErr w:type="spellStart"/>
      <w:r w:rsidRPr="001A1CC2">
        <w:t>acalabrutinib</w:t>
      </w:r>
      <w:proofErr w:type="spellEnd"/>
      <w:r w:rsidRPr="001A1CC2">
        <w:t xml:space="preserve"> and its main </w:t>
      </w:r>
      <w:r w:rsidR="001E3A2C">
        <w:t xml:space="preserve">active </w:t>
      </w:r>
      <w:r w:rsidRPr="001A1CC2">
        <w:t xml:space="preserve">human metabolite, ACP-5862, were shown to be irreversible inhibitors of BTK. </w:t>
      </w:r>
      <w:proofErr w:type="spellStart"/>
      <w:r w:rsidRPr="001A1CC2">
        <w:t>Acalabrutinib</w:t>
      </w:r>
      <w:proofErr w:type="spellEnd"/>
      <w:r w:rsidRPr="001A1CC2">
        <w:t xml:space="preserve"> and ACP-5862 inhibited B cell signalling in cellular assays and tumour growth inhibition was seen in murine xenograft models of B cell malignancies. The nonclinical data lend some support for the proposed indication, CLL</w:t>
      </w:r>
      <w:r>
        <w:t>, at the proposed clinical dose</w:t>
      </w:r>
      <w:r w:rsidRPr="001A1CC2">
        <w:t>. The main human metabolite, ACP</w:t>
      </w:r>
      <w:r w:rsidRPr="001A1CC2">
        <w:noBreakHyphen/>
        <w:t xml:space="preserve">5862, is expected to significantly contribute to the safety and efficacy profile of </w:t>
      </w:r>
      <w:proofErr w:type="spellStart"/>
      <w:r w:rsidRPr="001A1CC2">
        <w:t>acalabrutinib</w:t>
      </w:r>
      <w:proofErr w:type="spellEnd"/>
      <w:r w:rsidRPr="001A1CC2">
        <w:t>.</w:t>
      </w:r>
    </w:p>
    <w:p w14:paraId="222670B9" w14:textId="602A6EDE" w:rsidR="001A1CC2" w:rsidRPr="001A1CC2" w:rsidRDefault="001A1CC2" w:rsidP="001A1CC2">
      <w:pPr>
        <w:pStyle w:val="ListBullet"/>
      </w:pPr>
      <w:r w:rsidRPr="001A1CC2">
        <w:t>In secondary screens against other tyrosine kinases, receptors, ion transporters and ion channels, notable off-target effects include</w:t>
      </w:r>
      <w:r w:rsidR="001E3A2C">
        <w:t xml:space="preserve"> the protein</w:t>
      </w:r>
      <w:r w:rsidRPr="001A1CC2">
        <w:t xml:space="preserve"> </w:t>
      </w:r>
      <w:r w:rsidR="001E3A2C">
        <w:t xml:space="preserve">tyrosine kinases, </w:t>
      </w:r>
      <w:r w:rsidRPr="001A1CC2">
        <w:t xml:space="preserve">ErbB4 and Tec. Both of these kinases appear to have </w:t>
      </w:r>
      <w:proofErr w:type="spellStart"/>
      <w:r w:rsidRPr="001A1CC2">
        <w:t>cardioprotective</w:t>
      </w:r>
      <w:proofErr w:type="spellEnd"/>
      <w:r w:rsidRPr="001A1CC2">
        <w:t xml:space="preserve"> roles and Tec plays a role in platelet activation. No adverse effects on central nervous system (CNS), respiratory or cardiovascular function were seen i</w:t>
      </w:r>
      <w:r w:rsidR="003723EA">
        <w:t>n adequately conducted studies.</w:t>
      </w:r>
    </w:p>
    <w:p w14:paraId="37BF1B09" w14:textId="77777777" w:rsidR="001A1CC2" w:rsidRPr="001A1CC2" w:rsidRDefault="001A1CC2" w:rsidP="001A1CC2">
      <w:pPr>
        <w:pStyle w:val="ListBullet"/>
      </w:pPr>
      <w:proofErr w:type="spellStart"/>
      <w:r w:rsidRPr="001A1CC2">
        <w:t>Acalabrutinib</w:t>
      </w:r>
      <w:proofErr w:type="spellEnd"/>
      <w:r w:rsidRPr="001A1CC2">
        <w:t xml:space="preserve"> was readily and rapidly absorbed following oral administration, with a similar </w:t>
      </w:r>
      <w:r w:rsidR="0088068B">
        <w:t>time to maximum plasma concentration (</w:t>
      </w:r>
      <w:proofErr w:type="spellStart"/>
      <w:r w:rsidRPr="001A1CC2">
        <w:t>T</w:t>
      </w:r>
      <w:r w:rsidRPr="001A1CC2">
        <w:rPr>
          <w:vertAlign w:val="subscript"/>
        </w:rPr>
        <w:t>max</w:t>
      </w:r>
      <w:proofErr w:type="spellEnd"/>
      <w:r w:rsidR="0088068B">
        <w:t>)</w:t>
      </w:r>
      <w:r w:rsidRPr="001A1CC2">
        <w:t xml:space="preserve"> in all species. Exposures (area under the concentration-time curve (AUC)) in female mice, rats and humans were generally higher than their male counterparts. There were no consistent sex differences in pharmacokinetic parameters in dogs. Following oral dosing, exposures to ACP-5862 were approximately 4.5, 0.08 and </w:t>
      </w:r>
      <w:r w:rsidR="00A74922">
        <w:t xml:space="preserve">2.5 to </w:t>
      </w:r>
      <w:r w:rsidRPr="001A1CC2">
        <w:t xml:space="preserve">3.0 times </w:t>
      </w:r>
      <w:proofErr w:type="spellStart"/>
      <w:r w:rsidRPr="001A1CC2">
        <w:t>acalabrutinib</w:t>
      </w:r>
      <w:proofErr w:type="spellEnd"/>
      <w:r w:rsidRPr="001A1CC2">
        <w:t xml:space="preserve"> exposures in rats, dogs and humans. A tissue distribution study in pigmented rats indicated some retention of radioactivity in melanin-containing tissues. There was minimal penetration of blood-brain barrier. </w:t>
      </w:r>
      <w:r w:rsidRPr="001A1CC2">
        <w:rPr>
          <w:i/>
        </w:rPr>
        <w:t>In vitro</w:t>
      </w:r>
      <w:r w:rsidRPr="001A1CC2">
        <w:t xml:space="preserve"> studies indicated a major role of cytochrome P450 3A4/5 (CYP3A4/5) in the formation of ACP-5862. Excretion of </w:t>
      </w:r>
      <w:proofErr w:type="spellStart"/>
      <w:r w:rsidRPr="001A1CC2">
        <w:t>acalabrutinib</w:t>
      </w:r>
      <w:proofErr w:type="spellEnd"/>
      <w:r w:rsidRPr="001A1CC2">
        <w:t xml:space="preserve"> and/or its metabolites was predominantly via the faeces in all species. Biliary excretion was evident.</w:t>
      </w:r>
    </w:p>
    <w:p w14:paraId="397CFA18" w14:textId="77777777" w:rsidR="001A1CC2" w:rsidRPr="001A1CC2" w:rsidRDefault="001A1CC2" w:rsidP="001A1CC2">
      <w:pPr>
        <w:pStyle w:val="ListBullet"/>
      </w:pPr>
      <w:r w:rsidRPr="001A1CC2">
        <w:rPr>
          <w:i/>
        </w:rPr>
        <w:t>In vitro</w:t>
      </w:r>
      <w:r w:rsidRPr="001A1CC2">
        <w:t xml:space="preserve"> studies indicated inhibitors/inducers of CYP3A4/5, P</w:t>
      </w:r>
      <w:r w:rsidRPr="001A1CC2">
        <w:noBreakHyphen/>
        <w:t xml:space="preserve">glycoprotein and breast cancer resistance protein (BCRP) may alter </w:t>
      </w:r>
      <w:proofErr w:type="spellStart"/>
      <w:r w:rsidRPr="001A1CC2">
        <w:t>acalabrutinib</w:t>
      </w:r>
      <w:proofErr w:type="spellEnd"/>
      <w:r w:rsidRPr="001A1CC2">
        <w:t xml:space="preserve"> exposures. </w:t>
      </w:r>
      <w:proofErr w:type="spellStart"/>
      <w:r w:rsidRPr="001A1CC2">
        <w:t>Acalabrutinib</w:t>
      </w:r>
      <w:proofErr w:type="spellEnd"/>
      <w:r w:rsidRPr="001A1CC2">
        <w:t xml:space="preserve"> may increase exposure to orally co-administered CYP3A4 or BCRP substrates by inhibition of intestinal CYP3A4 (irreversible) or intestinal BCRP, respectively. ACP</w:t>
      </w:r>
      <w:r w:rsidRPr="001A1CC2">
        <w:noBreakHyphen/>
        <w:t>5862 may increase exposure to co-administered multidrug and toxin extrusion protein 1 (MATE1) substrates.</w:t>
      </w:r>
    </w:p>
    <w:p w14:paraId="0A932BAF" w14:textId="77777777" w:rsidR="001A1CC2" w:rsidRPr="001A1CC2" w:rsidRDefault="001A1CC2" w:rsidP="001A1CC2">
      <w:pPr>
        <w:pStyle w:val="ListBullet"/>
      </w:pPr>
      <w:proofErr w:type="spellStart"/>
      <w:r w:rsidRPr="001A1CC2">
        <w:t>Acalabrutinib</w:t>
      </w:r>
      <w:proofErr w:type="spellEnd"/>
      <w:r w:rsidRPr="001A1CC2">
        <w:t xml:space="preserve"> had a moderate to low order of acute intravenous (IV) toxicity in rats.</w:t>
      </w:r>
    </w:p>
    <w:p w14:paraId="4AFF9E8F" w14:textId="77777777" w:rsidR="001A1CC2" w:rsidRPr="001A1CC2" w:rsidRDefault="001A1CC2" w:rsidP="001A1CC2">
      <w:pPr>
        <w:pStyle w:val="ListBullet"/>
      </w:pPr>
      <w:r w:rsidRPr="001A1CC2">
        <w:t xml:space="preserve">Repeat dose toxicity studies were conducted in mice (28 days), rats (up to 26 weeks; two different strains) and dogs (up to 39 weeks) using the proposed clinical route (oral; PO). The studies were adequately conducted. </w:t>
      </w:r>
      <w:r w:rsidRPr="001A1CC2">
        <w:rPr>
          <w:szCs w:val="20"/>
        </w:rPr>
        <w:t xml:space="preserve">The major target organs for </w:t>
      </w:r>
      <w:proofErr w:type="spellStart"/>
      <w:r w:rsidRPr="001A1CC2">
        <w:rPr>
          <w:szCs w:val="20"/>
        </w:rPr>
        <w:t>acalabrutinib</w:t>
      </w:r>
      <w:proofErr w:type="spellEnd"/>
      <w:r w:rsidRPr="001A1CC2">
        <w:rPr>
          <w:szCs w:val="20"/>
        </w:rPr>
        <w:t xml:space="preserve"> were the lymphoid tissues (as expected based on the drug’s primary pharmacology), liver and kidney, and in rats only, the pancreas and heart. The effects in the pancreas and heart are not expected to be clinically relevant. Degenerative lesions in the liver (hepatocyte degeneration/necrosis) and kidney (and tubular degeneration/necrosis) were accompanied by clinical chemistry indicators of liver damage (elevated alanine aminotransferase (ALT) and aspartate aminotransferase (AST)) and renal damage (elevated blood urea nitrogen and creatinine levels). Given the margins, some hepatic or renal effects may be seen in some patients. Based on the primary pharmacology of the drug, an immunosuppressive effect is expected in patients (B cell and immunoglobulin deficiencies).</w:t>
      </w:r>
    </w:p>
    <w:p w14:paraId="4B72A073" w14:textId="77777777" w:rsidR="001A1CC2" w:rsidRPr="001A1CC2" w:rsidRDefault="001A1CC2" w:rsidP="001A1CC2">
      <w:pPr>
        <w:pStyle w:val="ListBullet"/>
      </w:pPr>
      <w:proofErr w:type="spellStart"/>
      <w:r w:rsidRPr="001A1CC2">
        <w:t>Acalabrutinib</w:t>
      </w:r>
      <w:proofErr w:type="spellEnd"/>
      <w:r w:rsidRPr="001A1CC2">
        <w:t xml:space="preserve"> was not mutagenic in an Ames test and was not </w:t>
      </w:r>
      <w:proofErr w:type="spellStart"/>
      <w:r w:rsidRPr="001A1CC2">
        <w:t>clastogenic</w:t>
      </w:r>
      <w:proofErr w:type="spellEnd"/>
      <w:r w:rsidRPr="001A1CC2">
        <w:t xml:space="preserve"> </w:t>
      </w:r>
      <w:r w:rsidRPr="001A1CC2">
        <w:rPr>
          <w:i/>
        </w:rPr>
        <w:t>in vitro</w:t>
      </w:r>
      <w:r w:rsidRPr="001A1CC2">
        <w:t xml:space="preserve"> (in human lymphocytes) or </w:t>
      </w:r>
      <w:r w:rsidRPr="001A1CC2">
        <w:rPr>
          <w:i/>
        </w:rPr>
        <w:t>in vivo</w:t>
      </w:r>
      <w:r w:rsidRPr="001A1CC2">
        <w:t xml:space="preserve"> rat micronucleus test. No carcinogenicity studies were conducted, which is considered acceptable.</w:t>
      </w:r>
    </w:p>
    <w:p w14:paraId="07824714" w14:textId="77777777" w:rsidR="001A1CC2" w:rsidRPr="001A1CC2" w:rsidRDefault="001A1CC2" w:rsidP="001A1CC2">
      <w:pPr>
        <w:pStyle w:val="ListBullet"/>
      </w:pPr>
      <w:r w:rsidRPr="001A1CC2">
        <w:lastRenderedPageBreak/>
        <w:t xml:space="preserve">Reproductive toxicity studies examined effects on fertility (rats), </w:t>
      </w:r>
      <w:proofErr w:type="spellStart"/>
      <w:r w:rsidRPr="001A1CC2">
        <w:t>embryofetal</w:t>
      </w:r>
      <w:proofErr w:type="spellEnd"/>
      <w:r w:rsidRPr="001A1CC2">
        <w:t xml:space="preserve"> development (rats and rabbits) and pre/postnatal development (rats). Male and female fertility were unaffected in rats. </w:t>
      </w:r>
      <w:proofErr w:type="spellStart"/>
      <w:r w:rsidRPr="001A1CC2">
        <w:t>Acalabrutinib</w:t>
      </w:r>
      <w:proofErr w:type="spellEnd"/>
      <w:r w:rsidRPr="001A1CC2">
        <w:t xml:space="preserve"> crossed the placenta in rats and could be detected in </w:t>
      </w:r>
      <w:proofErr w:type="spellStart"/>
      <w:r w:rsidRPr="001A1CC2">
        <w:t>fetal</w:t>
      </w:r>
      <w:proofErr w:type="spellEnd"/>
      <w:r w:rsidRPr="001A1CC2">
        <w:t xml:space="preserve"> plasma. No direct effects on </w:t>
      </w:r>
      <w:proofErr w:type="spellStart"/>
      <w:r w:rsidRPr="001A1CC2">
        <w:t>embryofetal</w:t>
      </w:r>
      <w:proofErr w:type="spellEnd"/>
      <w:r w:rsidRPr="001A1CC2">
        <w:t xml:space="preserve"> development were seen in rats or rabbits. </w:t>
      </w:r>
      <w:proofErr w:type="spellStart"/>
      <w:r w:rsidRPr="001A1CC2">
        <w:t>Fetal</w:t>
      </w:r>
      <w:proofErr w:type="spellEnd"/>
      <w:r w:rsidRPr="001A1CC2">
        <w:t xml:space="preserve"> effects in rabbits occurred in the context of </w:t>
      </w:r>
      <w:proofErr w:type="spellStart"/>
      <w:r w:rsidRPr="001A1CC2">
        <w:t>maternotoxicity</w:t>
      </w:r>
      <w:proofErr w:type="spellEnd"/>
      <w:r w:rsidRPr="001A1CC2">
        <w:t xml:space="preserve">. </w:t>
      </w:r>
      <w:proofErr w:type="spellStart"/>
      <w:r w:rsidRPr="001A1CC2">
        <w:t>Acalabrutinib</w:t>
      </w:r>
      <w:proofErr w:type="spellEnd"/>
      <w:r w:rsidRPr="001A1CC2">
        <w:t xml:space="preserve"> and ACP-5862 were excreted into milk in rats, with levels higher than maternal plasma levels, but pup plasma levels were low. No adverse effects on pup development were seen. Treatment related dystocia was seen in rats at clinically relevant doses.</w:t>
      </w:r>
    </w:p>
    <w:p w14:paraId="2BED81F0" w14:textId="77777777" w:rsidR="001A1CC2" w:rsidRPr="001A1CC2" w:rsidRDefault="001A1CC2" w:rsidP="001A1CC2">
      <w:pPr>
        <w:pStyle w:val="ListBullet"/>
      </w:pPr>
      <w:r w:rsidRPr="001A1CC2">
        <w:t xml:space="preserve">While </w:t>
      </w:r>
      <w:proofErr w:type="spellStart"/>
      <w:r w:rsidRPr="001A1CC2">
        <w:t>acalabrutinib</w:t>
      </w:r>
      <w:proofErr w:type="spellEnd"/>
      <w:r w:rsidRPr="001A1CC2">
        <w:t xml:space="preserve"> was phototoxic </w:t>
      </w:r>
      <w:r w:rsidRPr="001A1CC2">
        <w:rPr>
          <w:i/>
        </w:rPr>
        <w:t>in vitro</w:t>
      </w:r>
      <w:r w:rsidRPr="001A1CC2">
        <w:t>, this is not expected to be of concern in patients.</w:t>
      </w:r>
    </w:p>
    <w:p w14:paraId="519EAC74" w14:textId="77777777" w:rsidR="001A1CC2" w:rsidRPr="001A1CC2" w:rsidRDefault="001A1CC2" w:rsidP="001A1CC2">
      <w:pPr>
        <w:pStyle w:val="ListBullet"/>
      </w:pPr>
      <w:r w:rsidRPr="001A1CC2">
        <w:t>Specified limits for impurities in the drug substance and drug product are considered to be toxicologically acceptable.</w:t>
      </w:r>
    </w:p>
    <w:p w14:paraId="4F4AB6EE" w14:textId="77777777" w:rsidR="001A1CC2" w:rsidRPr="001A1CC2" w:rsidRDefault="001A1CC2" w:rsidP="001A1CC2">
      <w:r w:rsidRPr="001A1CC2">
        <w:t>Conclusions and recommendations from the nonclinical evaluation:</w:t>
      </w:r>
    </w:p>
    <w:p w14:paraId="0058ABAC" w14:textId="77777777" w:rsidR="001A1CC2" w:rsidRPr="001A1CC2" w:rsidRDefault="001A1CC2" w:rsidP="001A1CC2">
      <w:pPr>
        <w:pStyle w:val="ListBullet"/>
      </w:pPr>
      <w:r w:rsidRPr="001A1CC2">
        <w:t>No notable nonclinical deficiencies were identified.</w:t>
      </w:r>
    </w:p>
    <w:p w14:paraId="64BE857A" w14:textId="77777777" w:rsidR="001A1CC2" w:rsidRPr="001A1CC2" w:rsidRDefault="001A1CC2" w:rsidP="001A1CC2">
      <w:pPr>
        <w:pStyle w:val="ListBullet"/>
      </w:pPr>
      <w:r w:rsidRPr="001A1CC2">
        <w:t>The primary pharmacology studies lend some support for the proposed indications.</w:t>
      </w:r>
    </w:p>
    <w:p w14:paraId="7C1388A9" w14:textId="77777777" w:rsidR="001A1CC2" w:rsidRPr="001A1CC2" w:rsidRDefault="001A1CC2" w:rsidP="001A1CC2">
      <w:pPr>
        <w:pStyle w:val="ListBullet"/>
      </w:pPr>
      <w:r w:rsidRPr="001A1CC2">
        <w:t>Studies in animals revealed the following findings of potential clinical relevance:</w:t>
      </w:r>
    </w:p>
    <w:p w14:paraId="32B1B879" w14:textId="77777777" w:rsidR="001A1CC2" w:rsidRPr="001A1CC2" w:rsidRDefault="001A1CC2" w:rsidP="001A1CC2">
      <w:pPr>
        <w:pStyle w:val="ListBullet2"/>
      </w:pPr>
      <w:r w:rsidRPr="001A1CC2">
        <w:t>some risk of liver toxicity;</w:t>
      </w:r>
    </w:p>
    <w:p w14:paraId="66FED5E4" w14:textId="54591CC1" w:rsidR="001A1CC2" w:rsidRPr="001A1CC2" w:rsidRDefault="001A1CC2" w:rsidP="001A1CC2">
      <w:pPr>
        <w:pStyle w:val="ListBullet2"/>
      </w:pPr>
      <w:r w:rsidRPr="001A1CC2">
        <w:t>some risk of kidney toxicity;</w:t>
      </w:r>
      <w:r w:rsidR="001E3A2C">
        <w:t xml:space="preserve"> and</w:t>
      </w:r>
    </w:p>
    <w:p w14:paraId="59608729" w14:textId="77777777" w:rsidR="001A1CC2" w:rsidRPr="001A1CC2" w:rsidRDefault="001A1CC2" w:rsidP="001A1CC2">
      <w:pPr>
        <w:pStyle w:val="ListBullet2"/>
      </w:pPr>
      <w:r w:rsidRPr="001A1CC2">
        <w:t>dystocia, if taken during pregnancy.</w:t>
      </w:r>
    </w:p>
    <w:p w14:paraId="6C1B8442" w14:textId="77777777" w:rsidR="001A1CC2" w:rsidRPr="001A1CC2" w:rsidRDefault="001A1CC2" w:rsidP="001A1CC2">
      <w:pPr>
        <w:pStyle w:val="ListBullet"/>
      </w:pPr>
      <w:r w:rsidRPr="001A1CC2">
        <w:t>There are no objections on nonclinical grounds to the proposed registration of Calquence</w:t>
      </w:r>
      <w:r w:rsidRPr="001A1CC2">
        <w:rPr>
          <w:position w:val="5"/>
        </w:rPr>
        <w:t xml:space="preserve"> </w:t>
      </w:r>
      <w:r w:rsidRPr="001A1CC2">
        <w:t>for the proposed indications.</w:t>
      </w:r>
    </w:p>
    <w:p w14:paraId="76ADDA93" w14:textId="51AD418B" w:rsidR="00DC1948" w:rsidRPr="00DC1948" w:rsidRDefault="001A1CC2" w:rsidP="00DC1948">
      <w:pPr>
        <w:pStyle w:val="ListBullet"/>
      </w:pPr>
      <w:r w:rsidRPr="001A1CC2">
        <w:t xml:space="preserve">The draft </w:t>
      </w:r>
      <w:r w:rsidR="001E3A2C">
        <w:t>PI</w:t>
      </w:r>
      <w:r w:rsidRPr="001A1CC2">
        <w:t xml:space="preserve"> should be amended as directed and the </w:t>
      </w:r>
      <w:r w:rsidR="001E3A2C" w:rsidRPr="001A1CC2">
        <w:t xml:space="preserve">nonclinical safety specification </w:t>
      </w:r>
      <w:r w:rsidRPr="001A1CC2">
        <w:t xml:space="preserve">of the </w:t>
      </w:r>
      <w:r w:rsidR="001E3A2C" w:rsidRPr="001A1CC2">
        <w:t xml:space="preserve">risk management plan </w:t>
      </w:r>
      <w:r w:rsidRPr="001A1CC2">
        <w:t>(RMP) should be modified as directed.</w:t>
      </w:r>
    </w:p>
    <w:p w14:paraId="06A72A53" w14:textId="0C9966A5" w:rsidR="008E7846" w:rsidRDefault="001A1CC2" w:rsidP="001D60E0">
      <w:pPr>
        <w:pStyle w:val="Heading4"/>
      </w:pPr>
      <w:r>
        <w:t>Delegate’s summar</w:t>
      </w:r>
      <w:r w:rsidR="001D60E0">
        <w:t>y of the nonclinical evaluation</w:t>
      </w:r>
    </w:p>
    <w:p w14:paraId="4B85AFF6" w14:textId="43078E52" w:rsidR="001A1CC2" w:rsidRDefault="001D60E0" w:rsidP="00AD4417">
      <w:r>
        <w:t>The non</w:t>
      </w:r>
      <w:r w:rsidR="001A1CC2">
        <w:t>clinical evaluator found no grounds to object to the approval of the submission. It was noted that studies in animals provided a number of findings o</w:t>
      </w:r>
      <w:r w:rsidR="00AD4417">
        <w:t>f potential clinical relevance, as outlined above.</w:t>
      </w:r>
    </w:p>
    <w:p w14:paraId="62BC5512" w14:textId="150B4BF7" w:rsidR="001A1CC2" w:rsidRDefault="001A1CC2" w:rsidP="001A1CC2">
      <w:r>
        <w:t xml:space="preserve">A number of </w:t>
      </w:r>
      <w:r w:rsidR="001D60E0">
        <w:t>PI</w:t>
      </w:r>
      <w:r>
        <w:t xml:space="preserve"> edits were proposed which the sponsor implemented.</w:t>
      </w:r>
    </w:p>
    <w:p w14:paraId="6E18722C" w14:textId="77777777" w:rsidR="008E7846" w:rsidRDefault="008E7846" w:rsidP="008E7846">
      <w:pPr>
        <w:pStyle w:val="Heading3"/>
      </w:pPr>
      <w:bookmarkStart w:id="37" w:name="_Toc247691530"/>
      <w:bookmarkStart w:id="38" w:name="_Toc314842513"/>
      <w:bookmarkStart w:id="39" w:name="_Toc34735376"/>
      <w:r>
        <w:t>Clinical</w:t>
      </w:r>
      <w:bookmarkEnd w:id="37"/>
      <w:bookmarkEnd w:id="38"/>
      <w:bookmarkEnd w:id="39"/>
    </w:p>
    <w:p w14:paraId="3AE0EBA2" w14:textId="77777777" w:rsidR="00036490" w:rsidRDefault="00036490" w:rsidP="00036490">
      <w:pPr>
        <w:pStyle w:val="Heading4"/>
      </w:pPr>
      <w:bookmarkStart w:id="40" w:name="_Toc314842514"/>
      <w:r w:rsidRPr="003F08CF">
        <w:t>Pharmacology</w:t>
      </w:r>
    </w:p>
    <w:p w14:paraId="61BC842F" w14:textId="325C6116" w:rsidR="00036490" w:rsidRDefault="00036490" w:rsidP="00036490">
      <w:r>
        <w:t xml:space="preserve">The pharmacology of </w:t>
      </w:r>
      <w:proofErr w:type="spellStart"/>
      <w:r>
        <w:t>acalabrutinib</w:t>
      </w:r>
      <w:proofErr w:type="spellEnd"/>
      <w:r>
        <w:t xml:space="preserve"> and its inactive metabolite have been dealt with in the submission for MCL (</w:t>
      </w:r>
      <w:r w:rsidR="001E3A2C">
        <w:t xml:space="preserve">submission </w:t>
      </w:r>
      <w:r>
        <w:t>PM-2019-03536-1-6). There are no additional issues for clinical pharmacology arising from this submission.</w:t>
      </w:r>
    </w:p>
    <w:p w14:paraId="1827F337" w14:textId="77777777" w:rsidR="00036490" w:rsidRDefault="00036490" w:rsidP="00036490">
      <w:r>
        <w:t xml:space="preserve">The </w:t>
      </w:r>
      <w:r w:rsidR="00484A16">
        <w:t>population pharmacokinetic (</w:t>
      </w:r>
      <w:proofErr w:type="spellStart"/>
      <w:r>
        <w:t>popPK</w:t>
      </w:r>
      <w:proofErr w:type="spellEnd"/>
      <w:r w:rsidR="00484A16">
        <w:t>)</w:t>
      </w:r>
      <w:r>
        <w:t xml:space="preserve"> analysis submitted was considered satisfactory. One should note a hepatic impairment study revealed an approximate 5 fold increase in exposure for those with severe hepatic impairment and thus such patients are recommended to avoid use in the PI, although it is not strictly an absolute contraindication.</w:t>
      </w:r>
    </w:p>
    <w:p w14:paraId="4FAA4D49" w14:textId="77777777" w:rsidR="00036490" w:rsidRDefault="00036490" w:rsidP="00036490">
      <w:pPr>
        <w:pStyle w:val="Heading4"/>
      </w:pPr>
      <w:r w:rsidRPr="003F08CF">
        <w:lastRenderedPageBreak/>
        <w:t>Efficacy</w:t>
      </w:r>
    </w:p>
    <w:p w14:paraId="5363CE39" w14:textId="4E6E6F68" w:rsidR="00036490" w:rsidRDefault="007B3B29" w:rsidP="00796A72">
      <w:r>
        <w:t>T</w:t>
      </w:r>
      <w:r w:rsidR="00036490">
        <w:t xml:space="preserve">he principal data for the CLL indication comes from two studies, designated </w:t>
      </w:r>
      <w:r w:rsidR="00B04C5B">
        <w:t xml:space="preserve">the </w:t>
      </w:r>
      <w:r w:rsidR="00036490">
        <w:t>ASCEND and ELEVATE</w:t>
      </w:r>
      <w:r w:rsidR="008D189F">
        <w:t>-TN</w:t>
      </w:r>
      <w:r w:rsidR="00B04C5B">
        <w:t xml:space="preserve"> clinical trials</w:t>
      </w:r>
      <w:r w:rsidR="00036490">
        <w:t xml:space="preserve">. </w:t>
      </w:r>
      <w:r w:rsidR="00B04C5B">
        <w:t xml:space="preserve">The </w:t>
      </w:r>
      <w:r w:rsidR="00036490">
        <w:t xml:space="preserve">ASCEND </w:t>
      </w:r>
      <w:r w:rsidR="00B04C5B">
        <w:t xml:space="preserve">trial </w:t>
      </w:r>
      <w:r w:rsidR="00036490">
        <w:t xml:space="preserve">studied treatment in relapsed or refractory CLL where subjects had to have been treated with at least one prior therapy before enrolment. </w:t>
      </w:r>
      <w:r w:rsidR="00B04C5B">
        <w:t xml:space="preserve">The </w:t>
      </w:r>
      <w:r w:rsidR="00036490">
        <w:t>ELEVATE</w:t>
      </w:r>
      <w:r w:rsidR="008D189F">
        <w:t>-TN</w:t>
      </w:r>
      <w:r w:rsidR="00036490">
        <w:t xml:space="preserve"> </w:t>
      </w:r>
      <w:r w:rsidR="00B04C5B">
        <w:t xml:space="preserve">trial </w:t>
      </w:r>
      <w:r w:rsidR="00036490">
        <w:t>was a study evaluating first-line treatment for treatment-naïve patients. Both enrolled CD20 positive CLL patients. Diagnosis was via specific laboratory parameters.</w:t>
      </w:r>
    </w:p>
    <w:p w14:paraId="36EB3F58" w14:textId="1DAC83C6" w:rsidR="00036490" w:rsidRDefault="00B04C5B" w:rsidP="00796A72">
      <w:r>
        <w:t xml:space="preserve">The </w:t>
      </w:r>
      <w:r w:rsidR="00036490">
        <w:t>ASCEND and ELEVATE</w:t>
      </w:r>
      <w:r w:rsidR="008D189F">
        <w:t>-TN</w:t>
      </w:r>
      <w:r w:rsidR="00036490">
        <w:t xml:space="preserve"> </w:t>
      </w:r>
      <w:r>
        <w:t xml:space="preserve">trials </w:t>
      </w:r>
      <w:r w:rsidR="00036490">
        <w:t xml:space="preserve">were open label, randomised, multicentre studies, comparing </w:t>
      </w:r>
      <w:proofErr w:type="spellStart"/>
      <w:r w:rsidR="00036490">
        <w:t>acalabrutinib</w:t>
      </w:r>
      <w:proofErr w:type="spellEnd"/>
      <w:r w:rsidR="00036490">
        <w:t xml:space="preserve"> with other current treatment regimens for CLL. These comparator regimens were considered satisfactory comparators by the clinical evaluator. In</w:t>
      </w:r>
      <w:r>
        <w:t xml:space="preserve"> the</w:t>
      </w:r>
      <w:r w:rsidR="00036490">
        <w:t xml:space="preserve"> ASCEND</w:t>
      </w:r>
      <w:r>
        <w:t xml:space="preserve"> trial</w:t>
      </w:r>
      <w:r w:rsidR="00036490">
        <w:t xml:space="preserve">, treatment group randomisation was stratified by 17p deletion (presence or absence); </w:t>
      </w:r>
      <w:r w:rsidR="007B3B29" w:rsidRPr="007B3B29">
        <w:t>Eastern Cooperative Oncology Group (ECOG)</w:t>
      </w:r>
      <w:r w:rsidR="00A74922">
        <w:t xml:space="preserve"> performance</w:t>
      </w:r>
      <w:r>
        <w:t xml:space="preserve"> status</w:t>
      </w:r>
      <w:r w:rsidR="00A74922">
        <w:t xml:space="preserve"> (0</w:t>
      </w:r>
      <w:r>
        <w:t> </w:t>
      </w:r>
      <w:r w:rsidR="00A74922">
        <w:t>or 1, versus</w:t>
      </w:r>
      <w:r w:rsidR="00036490">
        <w:t xml:space="preserve"> 2)</w:t>
      </w:r>
      <w:r>
        <w:t>;</w:t>
      </w:r>
      <w:r>
        <w:rPr>
          <w:rStyle w:val="FootnoteReference"/>
        </w:rPr>
        <w:footnoteReference w:id="3"/>
      </w:r>
      <w:r w:rsidR="00036490">
        <w:t xml:space="preserve"> and number </w:t>
      </w:r>
      <w:r w:rsidR="00A74922">
        <w:t>of prior therapies (1, 2 or 3 versus</w:t>
      </w:r>
      <w:r w:rsidR="00036490">
        <w:t xml:space="preserve"> 4 or more). In </w:t>
      </w:r>
      <w:r>
        <w:t xml:space="preserve">the </w:t>
      </w:r>
      <w:r w:rsidR="00036490">
        <w:t>ELEVATE</w:t>
      </w:r>
      <w:r w:rsidR="008D189F">
        <w:t>-TN</w:t>
      </w:r>
      <w:r>
        <w:t xml:space="preserve"> trial</w:t>
      </w:r>
      <w:r w:rsidR="00036490">
        <w:t>, stratifications included 17p deletion (presence or</w:t>
      </w:r>
      <w:r w:rsidR="00A74922">
        <w:t xml:space="preserve"> absence); ECOG </w:t>
      </w:r>
      <w:r>
        <w:t xml:space="preserve">performance status </w:t>
      </w:r>
      <w:r w:rsidR="00A74922">
        <w:t>(0 or 1 versus</w:t>
      </w:r>
      <w:r w:rsidR="00036490">
        <w:t xml:space="preserve"> 2) and geographic region (</w:t>
      </w:r>
      <w:r>
        <w:t>N</w:t>
      </w:r>
      <w:r w:rsidR="00036490">
        <w:t>or</w:t>
      </w:r>
      <w:r w:rsidR="007B3B29">
        <w:t xml:space="preserve">th America and </w:t>
      </w:r>
      <w:r>
        <w:t>W</w:t>
      </w:r>
      <w:r w:rsidR="007B3B29">
        <w:t>estern Europe versus</w:t>
      </w:r>
      <w:r w:rsidR="00036490">
        <w:t xml:space="preserve"> everywhere else).</w:t>
      </w:r>
    </w:p>
    <w:p w14:paraId="79E9D640" w14:textId="4BD2DA89" w:rsidR="00036490" w:rsidRPr="00036490" w:rsidRDefault="00036490" w:rsidP="00036490">
      <w:pPr>
        <w:pStyle w:val="Heading5"/>
      </w:pPr>
      <w:r w:rsidRPr="00036490">
        <w:t>ELEVATE</w:t>
      </w:r>
      <w:r w:rsidR="008D189F">
        <w:t>-TN</w:t>
      </w:r>
      <w:r w:rsidR="00B04C5B">
        <w:t xml:space="preserve"> trial</w:t>
      </w:r>
    </w:p>
    <w:p w14:paraId="1ACD59CD" w14:textId="59724785" w:rsidR="00036490" w:rsidRPr="00036490" w:rsidRDefault="00B04C5B" w:rsidP="00036490">
      <w:r>
        <w:t xml:space="preserve">The </w:t>
      </w:r>
      <w:r w:rsidR="00A74922">
        <w:t>ELEVATE</w:t>
      </w:r>
      <w:r w:rsidR="008D189F">
        <w:t>-TN</w:t>
      </w:r>
      <w:r w:rsidR="00036490" w:rsidRPr="00036490">
        <w:t xml:space="preserve"> </w:t>
      </w:r>
      <w:r>
        <w:t xml:space="preserve">trial </w:t>
      </w:r>
      <w:r w:rsidR="00036490" w:rsidRPr="00036490">
        <w:t xml:space="preserve">evaluated treatment with </w:t>
      </w:r>
      <w:proofErr w:type="spellStart"/>
      <w:r w:rsidR="00036490" w:rsidRPr="00036490">
        <w:t>acalabrutinib</w:t>
      </w:r>
      <w:proofErr w:type="spellEnd"/>
      <w:r w:rsidR="00036490" w:rsidRPr="00036490">
        <w:t xml:space="preserve"> in treatment-naïve subjects by comparing </w:t>
      </w:r>
      <w:proofErr w:type="spellStart"/>
      <w:r w:rsidR="00036490" w:rsidRPr="00036490">
        <w:t>acalabrutinib</w:t>
      </w:r>
      <w:proofErr w:type="spellEnd"/>
      <w:r w:rsidR="00036490" w:rsidRPr="00036490">
        <w:t xml:space="preserve"> monotherapy (Arm C) with </w:t>
      </w:r>
      <w:proofErr w:type="spellStart"/>
      <w:r w:rsidR="00036490" w:rsidRPr="00036490">
        <w:t>acalabrutinib</w:t>
      </w:r>
      <w:proofErr w:type="spellEnd"/>
      <w:r w:rsidR="00036490" w:rsidRPr="00036490">
        <w:t xml:space="preserve"> plus </w:t>
      </w:r>
      <w:proofErr w:type="spellStart"/>
      <w:r w:rsidR="00036490" w:rsidRPr="00036490">
        <w:t>obinutuzumab</w:t>
      </w:r>
      <w:proofErr w:type="spellEnd"/>
      <w:r w:rsidR="00036490" w:rsidRPr="00036490">
        <w:t xml:space="preserve"> (Arm B) and </w:t>
      </w:r>
      <w:proofErr w:type="spellStart"/>
      <w:r w:rsidR="00036490" w:rsidRPr="00036490">
        <w:t>obinutuzumab</w:t>
      </w:r>
      <w:proofErr w:type="spellEnd"/>
      <w:r w:rsidR="00036490" w:rsidRPr="00036490">
        <w:t xml:space="preserve"> in combina</w:t>
      </w:r>
      <w:r w:rsidR="00A74922">
        <w:t xml:space="preserve">tion with </w:t>
      </w:r>
      <w:proofErr w:type="spellStart"/>
      <w:r w:rsidR="00A74922">
        <w:t>chlorambucil</w:t>
      </w:r>
      <w:proofErr w:type="spellEnd"/>
      <w:r w:rsidR="00A74922">
        <w:t xml:space="preserve"> (Arm A).</w:t>
      </w:r>
    </w:p>
    <w:p w14:paraId="52FACD63" w14:textId="77777777" w:rsidR="007B3B29" w:rsidRDefault="007B3B29" w:rsidP="007B3B29">
      <w:pPr>
        <w:pStyle w:val="Heading6"/>
      </w:pPr>
      <w:r>
        <w:t>Study design</w:t>
      </w:r>
    </w:p>
    <w:p w14:paraId="7AA6267A" w14:textId="77777777" w:rsidR="003A6F28" w:rsidRDefault="003A6F28" w:rsidP="00036490">
      <w:r w:rsidRPr="00036490">
        <w:t>Subjects were randomised into these three arms with the stratification factors cited above. The study enrolled 535 subjects an</w:t>
      </w:r>
      <w:r>
        <w:t>d 526 received study treatment.</w:t>
      </w:r>
    </w:p>
    <w:p w14:paraId="531F1C84" w14:textId="031AF25F" w:rsidR="00036490" w:rsidRPr="00036490" w:rsidRDefault="00036490" w:rsidP="00036490">
      <w:r w:rsidRPr="00036490">
        <w:t xml:space="preserve">Each treatment cycle was 28 days. </w:t>
      </w:r>
      <w:proofErr w:type="spellStart"/>
      <w:r w:rsidRPr="00036490">
        <w:t>Acalabrutinib</w:t>
      </w:r>
      <w:proofErr w:type="spellEnd"/>
      <w:r w:rsidRPr="00036490">
        <w:t xml:space="preserve"> was commenced on Day 1 of Cycle 1 and continued daily until unacceptable drug-related toxicity or disease progression</w:t>
      </w:r>
      <w:r w:rsidR="00E47029">
        <w:t xml:space="preserve">. </w:t>
      </w:r>
      <w:proofErr w:type="spellStart"/>
      <w:r w:rsidR="00E47029">
        <w:t>Obinutuzumab</w:t>
      </w:r>
      <w:proofErr w:type="spellEnd"/>
      <w:r w:rsidR="00E47029">
        <w:t xml:space="preserve"> was dosed as 100 to </w:t>
      </w:r>
      <w:r w:rsidRPr="00036490">
        <w:t>1000</w:t>
      </w:r>
      <w:r w:rsidR="00E47029">
        <w:t xml:space="preserve"> </w:t>
      </w:r>
      <w:r w:rsidRPr="00036490">
        <w:t>mg IV infusion on Day 1 Cycle 1 for a total of 6</w:t>
      </w:r>
      <w:r w:rsidR="00B04C5B">
        <w:t> </w:t>
      </w:r>
      <w:r w:rsidRPr="00036490">
        <w:t>cycles (Day 1 100</w:t>
      </w:r>
      <w:r w:rsidR="00E47029">
        <w:t xml:space="preserve"> </w:t>
      </w:r>
      <w:r w:rsidRPr="00036490">
        <w:t>mg, Day 2 900</w:t>
      </w:r>
      <w:r w:rsidR="00E47029">
        <w:t xml:space="preserve"> </w:t>
      </w:r>
      <w:r w:rsidRPr="00036490">
        <w:t>mg; Day 8 and 15 Cycle 1, 1000</w:t>
      </w:r>
      <w:r w:rsidR="00E47029">
        <w:t xml:space="preserve"> mg; Cycles 2 to </w:t>
      </w:r>
      <w:r w:rsidRPr="00036490">
        <w:t>6, 1000</w:t>
      </w:r>
      <w:r w:rsidR="00E47029">
        <w:t> </w:t>
      </w:r>
      <w:r w:rsidRPr="00036490">
        <w:t xml:space="preserve">mg Day 1 of each </w:t>
      </w:r>
      <w:r w:rsidR="00B04C5B">
        <w:t>c</w:t>
      </w:r>
      <w:r w:rsidRPr="00036490">
        <w:t xml:space="preserve">ycle). </w:t>
      </w:r>
      <w:proofErr w:type="spellStart"/>
      <w:r w:rsidRPr="00036490">
        <w:t>Chlorambucil</w:t>
      </w:r>
      <w:proofErr w:type="spellEnd"/>
      <w:r w:rsidRPr="00036490">
        <w:t xml:space="preserve"> was given as 0.5</w:t>
      </w:r>
      <w:r w:rsidR="00E47029">
        <w:t xml:space="preserve"> mg/kg orally on D</w:t>
      </w:r>
      <w:r w:rsidRPr="00036490">
        <w:t>ays 1 and 15 of Cycles 1 through 6.</w:t>
      </w:r>
    </w:p>
    <w:p w14:paraId="6B95DA14" w14:textId="171F8864" w:rsidR="00036490" w:rsidRPr="00036490" w:rsidRDefault="00036490" w:rsidP="00036490">
      <w:r w:rsidRPr="00036490">
        <w:t>Assessment of response and progression was via the International Workshop on Chronic Lymphocytic Leukaemia (IWCLL) 2008 criteria for CLL</w:t>
      </w:r>
      <w:r w:rsidR="00B04C5B">
        <w:t>;</w:t>
      </w:r>
      <w:bookmarkStart w:id="41" w:name="_Ref26172635"/>
      <w:r w:rsidR="00E47029">
        <w:rPr>
          <w:rStyle w:val="FootnoteReference"/>
        </w:rPr>
        <w:footnoteReference w:id="4"/>
      </w:r>
      <w:bookmarkEnd w:id="41"/>
      <w:r w:rsidRPr="00036490">
        <w:t xml:space="preserve"> with the modification that treatment-related lymphocytosis in the absence of other markers of disease progression was not </w:t>
      </w:r>
      <w:r>
        <w:t>considered progressive disease.</w:t>
      </w:r>
    </w:p>
    <w:p w14:paraId="6EDC2135" w14:textId="77777777" w:rsidR="00036490" w:rsidRPr="00036490" w:rsidRDefault="00036490" w:rsidP="00036490">
      <w:r w:rsidRPr="00036490">
        <w:t xml:space="preserve">There was investigator discretion to transfer subjects randomised to Arm A to receive </w:t>
      </w:r>
      <w:proofErr w:type="spellStart"/>
      <w:r w:rsidRPr="00036490">
        <w:t>acalabrutinib</w:t>
      </w:r>
      <w:proofErr w:type="spellEnd"/>
      <w:r w:rsidRPr="00036490">
        <w:t xml:space="preserve"> once disease progression had occurred. This treatment then continued until disease progression again occurred, or unacceptable toxicity ensued.</w:t>
      </w:r>
    </w:p>
    <w:p w14:paraId="0DF2D67C" w14:textId="77777777" w:rsidR="00036490" w:rsidRPr="00036490" w:rsidRDefault="00036490" w:rsidP="00036490">
      <w:r w:rsidRPr="00036490">
        <w:lastRenderedPageBreak/>
        <w:t xml:space="preserve">The primary endpoint was to evaluate </w:t>
      </w:r>
      <w:r w:rsidR="00E47029">
        <w:t>PFS</w:t>
      </w:r>
      <w:r w:rsidRPr="00036490">
        <w:t xml:space="preserve"> of </w:t>
      </w:r>
      <w:proofErr w:type="spellStart"/>
      <w:r w:rsidRPr="00036490">
        <w:t>obinutuzumab</w:t>
      </w:r>
      <w:proofErr w:type="spellEnd"/>
      <w:r w:rsidRPr="00036490">
        <w:t xml:space="preserve"> in combinat</w:t>
      </w:r>
      <w:r w:rsidR="00E47029">
        <w:t xml:space="preserve">ion with </w:t>
      </w:r>
      <w:proofErr w:type="spellStart"/>
      <w:r w:rsidR="00E47029">
        <w:t>chlorambucil</w:t>
      </w:r>
      <w:proofErr w:type="spellEnd"/>
      <w:r w:rsidR="00E47029">
        <w:t xml:space="preserve"> (Arm A) versus</w:t>
      </w:r>
      <w:r w:rsidRPr="00036490">
        <w:t xml:space="preserve"> </w:t>
      </w:r>
      <w:proofErr w:type="spellStart"/>
      <w:r w:rsidRPr="00036490">
        <w:t>acalabrutinib</w:t>
      </w:r>
      <w:proofErr w:type="spellEnd"/>
      <w:r w:rsidRPr="00036490">
        <w:t xml:space="preserve"> in combination with </w:t>
      </w:r>
      <w:proofErr w:type="spellStart"/>
      <w:r w:rsidRPr="00036490">
        <w:t>obinutuzumab</w:t>
      </w:r>
      <w:proofErr w:type="spellEnd"/>
      <w:r w:rsidRPr="00036490">
        <w:t xml:space="preserve"> (Arm B) based upon Independent Review Committee (IRC)</w:t>
      </w:r>
      <w:r>
        <w:t xml:space="preserve"> assessment.</w:t>
      </w:r>
    </w:p>
    <w:p w14:paraId="381AF9A3" w14:textId="77777777" w:rsidR="00036490" w:rsidRPr="00036490" w:rsidRDefault="00036490" w:rsidP="00036490">
      <w:r w:rsidRPr="00036490">
        <w:t>Secondary endpoints included:</w:t>
      </w:r>
    </w:p>
    <w:p w14:paraId="7DE7AA98" w14:textId="1AA84D2C" w:rsidR="00036490" w:rsidRPr="00036490" w:rsidRDefault="00036490" w:rsidP="00036490">
      <w:pPr>
        <w:pStyle w:val="ListBullet"/>
      </w:pPr>
      <w:r w:rsidRPr="00036490">
        <w:t xml:space="preserve">IRC-assessed PFS for </w:t>
      </w:r>
      <w:proofErr w:type="spellStart"/>
      <w:r w:rsidR="00E47029">
        <w:t>obinutuzumab</w:t>
      </w:r>
      <w:proofErr w:type="spellEnd"/>
      <w:r w:rsidR="00E47029">
        <w:t xml:space="preserve"> and </w:t>
      </w:r>
      <w:proofErr w:type="spellStart"/>
      <w:r w:rsidR="00E47029">
        <w:t>chlorambucil</w:t>
      </w:r>
      <w:proofErr w:type="spellEnd"/>
      <w:r w:rsidR="00E47029">
        <w:t xml:space="preserve"> versus</w:t>
      </w:r>
      <w:r w:rsidRPr="00036490">
        <w:t xml:space="preserve"> </w:t>
      </w:r>
      <w:proofErr w:type="spellStart"/>
      <w:r w:rsidRPr="00036490">
        <w:t>acalabrutinib</w:t>
      </w:r>
      <w:proofErr w:type="spellEnd"/>
      <w:r w:rsidRPr="00036490">
        <w:t xml:space="preserve"> alone</w:t>
      </w:r>
      <w:r w:rsidR="00E47029">
        <w:t>;</w:t>
      </w:r>
      <w:r w:rsidR="00EF4961">
        <w:t xml:space="preserve"> and</w:t>
      </w:r>
    </w:p>
    <w:p w14:paraId="3B8874E4" w14:textId="36AAD243" w:rsidR="00036490" w:rsidRPr="00036490" w:rsidRDefault="00EF4961" w:rsidP="00036490">
      <w:pPr>
        <w:pStyle w:val="ListBullet"/>
      </w:pPr>
      <w:r>
        <w:t>t</w:t>
      </w:r>
      <w:r w:rsidRPr="00036490">
        <w:t xml:space="preserve">o </w:t>
      </w:r>
      <w:r w:rsidR="00036490" w:rsidRPr="00036490">
        <w:t xml:space="preserve">evaluate IRC assessed </w:t>
      </w:r>
      <w:r w:rsidR="003A6F28" w:rsidRPr="00036490">
        <w:t xml:space="preserve">overall response rate </w:t>
      </w:r>
      <w:r w:rsidR="00036490" w:rsidRPr="00036490">
        <w:t xml:space="preserve">(ORR), </w:t>
      </w:r>
      <w:r w:rsidR="003A6F28" w:rsidRPr="00036490">
        <w:t xml:space="preserve">time to next treatment </w:t>
      </w:r>
      <w:r w:rsidR="00036490" w:rsidRPr="00036490">
        <w:t xml:space="preserve">(TTNT) and </w:t>
      </w:r>
      <w:r w:rsidR="003A6F28" w:rsidRPr="00036490">
        <w:t xml:space="preserve">overall survival </w:t>
      </w:r>
      <w:r w:rsidR="00036490" w:rsidRPr="00036490">
        <w:t xml:space="preserve">(OS) for the </w:t>
      </w:r>
      <w:proofErr w:type="spellStart"/>
      <w:r w:rsidR="00036490" w:rsidRPr="00036490">
        <w:t>acalabrutinib</w:t>
      </w:r>
      <w:proofErr w:type="spellEnd"/>
      <w:r w:rsidR="00E47029">
        <w:t xml:space="preserve"> and </w:t>
      </w:r>
      <w:proofErr w:type="spellStart"/>
      <w:r w:rsidR="00E47029">
        <w:t>obinutuzumab</w:t>
      </w:r>
      <w:proofErr w:type="spellEnd"/>
      <w:r w:rsidR="00E47029">
        <w:t xml:space="preserve"> arm (Arm B) versus</w:t>
      </w:r>
      <w:r w:rsidR="00036490" w:rsidRPr="00036490">
        <w:t xml:space="preserve"> </w:t>
      </w:r>
      <w:proofErr w:type="spellStart"/>
      <w:r w:rsidR="00036490" w:rsidRPr="00036490">
        <w:t>obinutuzumab</w:t>
      </w:r>
      <w:proofErr w:type="spellEnd"/>
      <w:r w:rsidR="00036490" w:rsidRPr="00036490">
        <w:t xml:space="preserve"> and </w:t>
      </w:r>
      <w:proofErr w:type="spellStart"/>
      <w:r w:rsidR="00036490" w:rsidRPr="00036490">
        <w:t>chlorambuc</w:t>
      </w:r>
      <w:r w:rsidR="00E47029">
        <w:t>il</w:t>
      </w:r>
      <w:proofErr w:type="spellEnd"/>
      <w:r w:rsidR="00E47029">
        <w:t xml:space="preserve"> (Arm A), and </w:t>
      </w:r>
      <w:proofErr w:type="spellStart"/>
      <w:r w:rsidR="00E47029">
        <w:t>acalabrutinib</w:t>
      </w:r>
      <w:proofErr w:type="spellEnd"/>
      <w:r w:rsidR="00E47029">
        <w:t xml:space="preserve"> </w:t>
      </w:r>
      <w:r w:rsidR="00036490" w:rsidRPr="00036490">
        <w:t xml:space="preserve">monotherapy (Arm C) versus </w:t>
      </w:r>
      <w:proofErr w:type="spellStart"/>
      <w:r w:rsidR="00036490" w:rsidRPr="00036490">
        <w:t>obinutuzumab</w:t>
      </w:r>
      <w:proofErr w:type="spellEnd"/>
      <w:r w:rsidR="00036490" w:rsidRPr="00036490">
        <w:t xml:space="preserve"> and </w:t>
      </w:r>
      <w:proofErr w:type="spellStart"/>
      <w:r w:rsidR="00036490" w:rsidRPr="00036490">
        <w:t>chlorambucil</w:t>
      </w:r>
      <w:proofErr w:type="spellEnd"/>
      <w:r w:rsidR="00036490" w:rsidRPr="00036490">
        <w:t xml:space="preserve"> (Arm A).</w:t>
      </w:r>
    </w:p>
    <w:p w14:paraId="7CF9296A" w14:textId="6057DD87" w:rsidR="00036490" w:rsidRPr="00036490" w:rsidRDefault="00036490" w:rsidP="00036490">
      <w:r w:rsidRPr="00036490">
        <w:t>There were multiple exploratory measures, but of interest to the clinical evaluator was the patient derived outcome measures</w:t>
      </w:r>
      <w:r w:rsidR="00EF4961">
        <w:t xml:space="preserve"> including the</w:t>
      </w:r>
      <w:r w:rsidRPr="00036490">
        <w:t xml:space="preserve"> </w:t>
      </w:r>
      <w:r w:rsidR="00E47029" w:rsidRPr="00E47029">
        <w:t>Functional Assess</w:t>
      </w:r>
      <w:r w:rsidR="00E47029">
        <w:t>ment of Chronic Illness Therapy-</w:t>
      </w:r>
      <w:r w:rsidR="00E47029" w:rsidRPr="00E47029">
        <w:t xml:space="preserve">Fatigue </w:t>
      </w:r>
      <w:r w:rsidR="00E47029">
        <w:t>(</w:t>
      </w:r>
      <w:r w:rsidRPr="00036490">
        <w:t>FACIT-Fatigue</w:t>
      </w:r>
      <w:r w:rsidR="00E47029">
        <w:t>)</w:t>
      </w:r>
      <w:r w:rsidR="00EF4961">
        <w:t>; the</w:t>
      </w:r>
      <w:r w:rsidRPr="00036490">
        <w:t xml:space="preserve"> </w:t>
      </w:r>
      <w:r w:rsidR="003A6F28" w:rsidRPr="003A6F28">
        <w:t xml:space="preserve">European Organisation for Research </w:t>
      </w:r>
      <w:r w:rsidR="003A6F28">
        <w:t xml:space="preserve">and Treatment of Cancer </w:t>
      </w:r>
      <w:r w:rsidR="003A6F28" w:rsidRPr="003A6F28">
        <w:t>Quality of Life Questionnaire (</w:t>
      </w:r>
      <w:r w:rsidR="003A6F28">
        <w:t>EORTC QLQ‐C30)</w:t>
      </w:r>
      <w:r w:rsidR="00EF4961">
        <w:t xml:space="preserve">; </w:t>
      </w:r>
      <w:r w:rsidRPr="00036490">
        <w:t xml:space="preserve">and </w:t>
      </w:r>
      <w:r w:rsidR="00EF4961">
        <w:t xml:space="preserve">the </w:t>
      </w:r>
      <w:proofErr w:type="spellStart"/>
      <w:r w:rsidR="003A6F28" w:rsidRPr="003A6F28">
        <w:t>EuroQol</w:t>
      </w:r>
      <w:proofErr w:type="spellEnd"/>
      <w:r w:rsidR="003A6F28" w:rsidRPr="003A6F28">
        <w:t xml:space="preserve"> 5 dimensions </w:t>
      </w:r>
      <w:r w:rsidR="003A6F28">
        <w:t>(</w:t>
      </w:r>
      <w:r w:rsidRPr="00036490">
        <w:t>EQ-5D</w:t>
      </w:r>
      <w:r w:rsidR="003A6F28">
        <w:t>)</w:t>
      </w:r>
      <w:r w:rsidRPr="00036490">
        <w:t>, as these give an idea of, progression-free disease notwithstanding, whether patients felt worse, better or about the same while r</w:t>
      </w:r>
      <w:r w:rsidR="00E47029">
        <w:t>eceiving the various treatments.</w:t>
      </w:r>
    </w:p>
    <w:p w14:paraId="7DB6B87F" w14:textId="77777777" w:rsidR="00036490" w:rsidRPr="00036490" w:rsidRDefault="00036490" w:rsidP="00036490">
      <w:r w:rsidRPr="00036490">
        <w:t>Discontinuing subjects were followed for disease progression every 3 months. After progression was confirmed, subjects continued to be followed for subsequent anti-cancer therapy, additional mali</w:t>
      </w:r>
      <w:r>
        <w:t>gnancy occurrence and survival.</w:t>
      </w:r>
    </w:p>
    <w:p w14:paraId="65D0DD0A" w14:textId="62949087" w:rsidR="00036490" w:rsidRPr="00036490" w:rsidRDefault="00036490" w:rsidP="00036490">
      <w:r w:rsidRPr="00036490">
        <w:t>Treatment dose of 100</w:t>
      </w:r>
      <w:r w:rsidR="003A6F28">
        <w:t xml:space="preserve"> </w:t>
      </w:r>
      <w:r w:rsidRPr="00036490">
        <w:t xml:space="preserve">mg twice daily was based upon observed near complete receptor occupancy at this dose, and clinical pharmacology determined that adjustments were not required for weight, sex, ethnicity, renal or hepatic impairment or ECOG </w:t>
      </w:r>
      <w:r w:rsidR="00EF4961">
        <w:t xml:space="preserve">performance status </w:t>
      </w:r>
      <w:r w:rsidRPr="00036490">
        <w:t>score (except as mentioned previously, treatment was not recommended in severe hepatic impairment</w:t>
      </w:r>
      <w:r>
        <w:t>.</w:t>
      </w:r>
    </w:p>
    <w:p w14:paraId="18BCC10C" w14:textId="7F99E9DF" w:rsidR="00036490" w:rsidRPr="00036490" w:rsidRDefault="00036490" w:rsidP="00036490">
      <w:r w:rsidRPr="00036490">
        <w:t>In terms of subject disposition</w:t>
      </w:r>
      <w:r w:rsidR="003A6F28">
        <w:t xml:space="preserve">, 83.7% were 65 or older. </w:t>
      </w:r>
      <w:r w:rsidR="00EF4961">
        <w:t xml:space="preserve">61.3% </w:t>
      </w:r>
      <w:r w:rsidRPr="00036490">
        <w:t>were male, and 93.3%</w:t>
      </w:r>
      <w:r w:rsidR="003A6F28">
        <w:t xml:space="preserve"> Caucasian. Median age was 70 (range 41 to </w:t>
      </w:r>
      <w:r w:rsidRPr="00036490">
        <w:t xml:space="preserve">91) and median follow </w:t>
      </w:r>
      <w:r w:rsidR="003A6F28">
        <w:t xml:space="preserve">up was 28.3 months (range 0.0 to </w:t>
      </w:r>
      <w:r>
        <w:t>40.8).</w:t>
      </w:r>
    </w:p>
    <w:p w14:paraId="1C4698DE" w14:textId="77777777" w:rsidR="007B3B29" w:rsidRDefault="007B3B29" w:rsidP="007B3B29">
      <w:pPr>
        <w:pStyle w:val="Heading6"/>
      </w:pPr>
      <w:r>
        <w:t>Results</w:t>
      </w:r>
    </w:p>
    <w:p w14:paraId="5B633644" w14:textId="77777777" w:rsidR="00036490" w:rsidRPr="00036490" w:rsidRDefault="00036490" w:rsidP="00036490">
      <w:r w:rsidRPr="00036490">
        <w:t xml:space="preserve">In terms of the primary endpoint, the </w:t>
      </w:r>
      <w:proofErr w:type="spellStart"/>
      <w:r w:rsidRPr="00036490">
        <w:t>acalabrutinib</w:t>
      </w:r>
      <w:proofErr w:type="spellEnd"/>
      <w:r w:rsidRPr="00036490">
        <w:t xml:space="preserve"> and </w:t>
      </w:r>
      <w:proofErr w:type="spellStart"/>
      <w:r w:rsidRPr="00036490">
        <w:t>obinutuzumab</w:t>
      </w:r>
      <w:proofErr w:type="spellEnd"/>
      <w:r w:rsidRPr="00036490">
        <w:t xml:space="preserve"> arm demonstrated a statistically significant improvement in IRC assessed PFS compared with the </w:t>
      </w:r>
      <w:proofErr w:type="spellStart"/>
      <w:r w:rsidRPr="00036490">
        <w:t>obinutuzumab</w:t>
      </w:r>
      <w:proofErr w:type="spellEnd"/>
      <w:r w:rsidRPr="00036490">
        <w:t xml:space="preserve"> and </w:t>
      </w:r>
      <w:proofErr w:type="spellStart"/>
      <w:r w:rsidRPr="00036490">
        <w:t>chlorambucil</w:t>
      </w:r>
      <w:proofErr w:type="spellEnd"/>
      <w:r w:rsidRPr="00036490">
        <w:t xml:space="preserve"> arm. In essence, </w:t>
      </w:r>
      <w:proofErr w:type="spellStart"/>
      <w:r w:rsidRPr="00036490">
        <w:t>acalabrutinib</w:t>
      </w:r>
      <w:proofErr w:type="spellEnd"/>
      <w:r w:rsidRPr="00036490">
        <w:t xml:space="preserve"> added more efficacy than </w:t>
      </w:r>
      <w:proofErr w:type="spellStart"/>
      <w:r w:rsidRPr="00036490">
        <w:t>chlorambucil</w:t>
      </w:r>
      <w:proofErr w:type="spellEnd"/>
      <w:r w:rsidRPr="00036490">
        <w:t xml:space="preserve"> in this comparison. A 90% reduction in risk of disease progression or death occurred: </w:t>
      </w:r>
      <w:r w:rsidR="003A6F28">
        <w:t>hazard ratio (</w:t>
      </w:r>
      <w:r w:rsidRPr="00036490">
        <w:t>HR</w:t>
      </w:r>
      <w:r w:rsidR="003A6F28">
        <w:t xml:space="preserve">) </w:t>
      </w:r>
      <w:r w:rsidRPr="00036490">
        <w:t>=</w:t>
      </w:r>
      <w:r w:rsidR="003A6F28">
        <w:t xml:space="preserve"> 0.10 (</w:t>
      </w:r>
      <w:r w:rsidRPr="00036490">
        <w:t xml:space="preserve">95% </w:t>
      </w:r>
      <w:r w:rsidR="003A6F28">
        <w:t>confidence interval (</w:t>
      </w:r>
      <w:r w:rsidRPr="00036490">
        <w:t>CI</w:t>
      </w:r>
      <w:r w:rsidR="003A6F28">
        <w:t>) 0.06, 0.17)</w:t>
      </w:r>
      <w:r w:rsidRPr="00036490">
        <w:t xml:space="preserve"> p</w:t>
      </w:r>
      <w:r w:rsidR="003A6F28">
        <w:t xml:space="preserve"> </w:t>
      </w:r>
      <w:r w:rsidRPr="00036490">
        <w:t>&lt;</w:t>
      </w:r>
      <w:r w:rsidR="003A6F28">
        <w:t xml:space="preserve"> </w:t>
      </w:r>
      <w:r w:rsidRPr="00036490">
        <w:t xml:space="preserve">0.0001. The median estimated PFS was not reached for </w:t>
      </w:r>
      <w:proofErr w:type="spellStart"/>
      <w:r w:rsidRPr="00036490">
        <w:t>acalabrutinib</w:t>
      </w:r>
      <w:proofErr w:type="spellEnd"/>
      <w:r w:rsidRPr="00036490">
        <w:t xml:space="preserve"> and </w:t>
      </w:r>
      <w:proofErr w:type="spellStart"/>
      <w:r w:rsidRPr="00036490">
        <w:t>obinutuzumab</w:t>
      </w:r>
      <w:proofErr w:type="spellEnd"/>
      <w:r w:rsidRPr="00036490">
        <w:t xml:space="preserve"> (Arm B), but for </w:t>
      </w:r>
      <w:proofErr w:type="spellStart"/>
      <w:r w:rsidRPr="00036490">
        <w:t>obinutuzumab</w:t>
      </w:r>
      <w:proofErr w:type="spellEnd"/>
      <w:r w:rsidRPr="00036490">
        <w:t xml:space="preserve"> and </w:t>
      </w:r>
      <w:proofErr w:type="spellStart"/>
      <w:r w:rsidRPr="00036490">
        <w:t>ch</w:t>
      </w:r>
      <w:r w:rsidR="003A6F28">
        <w:t>lorambucil</w:t>
      </w:r>
      <w:proofErr w:type="spellEnd"/>
      <w:r w:rsidR="003A6F28">
        <w:t>, it was 22.6 months (95% CI 20.2, 27.6). Kaplan Meier</w:t>
      </w:r>
      <w:r w:rsidRPr="00036490">
        <w:t xml:space="preserve"> estimates supported the better efficacy performance of </w:t>
      </w:r>
      <w:proofErr w:type="spellStart"/>
      <w:r w:rsidRPr="00036490">
        <w:t>acalabrutinib</w:t>
      </w:r>
      <w:proofErr w:type="spellEnd"/>
      <w:r w:rsidRPr="00036490">
        <w:t xml:space="preserve"> and </w:t>
      </w:r>
      <w:proofErr w:type="spellStart"/>
      <w:r w:rsidRPr="00036490">
        <w:t>obinutuzumab</w:t>
      </w:r>
      <w:proofErr w:type="spellEnd"/>
      <w:r w:rsidRPr="00036490">
        <w:t xml:space="preserve"> over </w:t>
      </w:r>
      <w:proofErr w:type="spellStart"/>
      <w:r w:rsidRPr="00036490">
        <w:t>chlorambucil</w:t>
      </w:r>
      <w:proofErr w:type="spellEnd"/>
      <w:r w:rsidRPr="00036490">
        <w:t xml:space="preserve"> and </w:t>
      </w:r>
      <w:proofErr w:type="spellStart"/>
      <w:r w:rsidRPr="00036490">
        <w:t>obinutuzumab</w:t>
      </w:r>
      <w:proofErr w:type="spellEnd"/>
      <w:r w:rsidRPr="00036490">
        <w:t xml:space="preserve">. This benefit was consistent across all pre-specified subgroups. Indeed those with at least one chromosomal characteristic associated with poor prognosis actually </w:t>
      </w:r>
      <w:r w:rsidR="003A6F28">
        <w:t>had greater benefit. (HR 0.08, (95% CI 0.04, 0.15)).</w:t>
      </w:r>
    </w:p>
    <w:p w14:paraId="0825C2B2" w14:textId="77777777" w:rsidR="00036490" w:rsidRPr="00036490" w:rsidRDefault="00036490" w:rsidP="00036490">
      <w:r w:rsidRPr="00036490">
        <w:t xml:space="preserve">The </w:t>
      </w:r>
      <w:proofErr w:type="spellStart"/>
      <w:r w:rsidRPr="00036490">
        <w:t>acalabrutinib</w:t>
      </w:r>
      <w:proofErr w:type="spellEnd"/>
      <w:r w:rsidRPr="00036490">
        <w:t xml:space="preserve"> monotherapy arm also demonstrated improvement in IRC assessed PFS compared with the </w:t>
      </w:r>
      <w:proofErr w:type="spellStart"/>
      <w:r w:rsidRPr="00036490">
        <w:t>obinutu</w:t>
      </w:r>
      <w:r w:rsidR="003A6F28">
        <w:t>zumab</w:t>
      </w:r>
      <w:proofErr w:type="spellEnd"/>
      <w:r w:rsidR="003A6F28">
        <w:t xml:space="preserve"> and </w:t>
      </w:r>
      <w:proofErr w:type="spellStart"/>
      <w:r w:rsidR="003A6F28">
        <w:t>chlorambucil</w:t>
      </w:r>
      <w:proofErr w:type="spellEnd"/>
      <w:r w:rsidR="003A6F28">
        <w:t xml:space="preserve"> arm, that is,</w:t>
      </w:r>
      <w:r w:rsidRPr="00036490">
        <w:t xml:space="preserve"> it performed not only better than </w:t>
      </w:r>
      <w:proofErr w:type="spellStart"/>
      <w:r w:rsidRPr="00036490">
        <w:t>chlorambucil</w:t>
      </w:r>
      <w:proofErr w:type="spellEnd"/>
      <w:r w:rsidRPr="00036490">
        <w:t xml:space="preserve"> as per the primary endpoint comparison, but indeed performed better than both these drugs comb</w:t>
      </w:r>
      <w:r w:rsidR="003A6F28">
        <w:t>ined in terms of PFS (HR 0.20, (</w:t>
      </w:r>
      <w:r w:rsidRPr="00036490">
        <w:t>95% CI 0.13, 0.30</w:t>
      </w:r>
      <w:r w:rsidR="003A6F28">
        <w:t>)</w:t>
      </w:r>
      <w:r w:rsidRPr="00036490">
        <w:t xml:space="preserve"> p</w:t>
      </w:r>
      <w:r w:rsidR="003A6F28">
        <w:t> </w:t>
      </w:r>
      <w:r w:rsidRPr="00036490">
        <w:t>&lt;</w:t>
      </w:r>
      <w:r w:rsidR="003A6F28">
        <w:t> </w:t>
      </w:r>
      <w:r w:rsidRPr="00036490">
        <w:t>0.0001). This was again consistent across all subgroups and those with a chromosomal abnormality had a better outcome.</w:t>
      </w:r>
    </w:p>
    <w:p w14:paraId="2BAAE109" w14:textId="77777777" w:rsidR="00036490" w:rsidRPr="00036490" w:rsidRDefault="00036490" w:rsidP="00036490">
      <w:r w:rsidRPr="00036490">
        <w:t xml:space="preserve">The point was made in the joint consideration of this trial that exposure to the study drug was considerably longer in the </w:t>
      </w:r>
      <w:proofErr w:type="spellStart"/>
      <w:r w:rsidRPr="00036490">
        <w:t>acalabrutinib</w:t>
      </w:r>
      <w:proofErr w:type="spellEnd"/>
      <w:r w:rsidRPr="00036490">
        <w:t xml:space="preserve"> treatment arms and thus may affect outcome to a degree.</w:t>
      </w:r>
    </w:p>
    <w:p w14:paraId="5587DCDA" w14:textId="77777777" w:rsidR="00036490" w:rsidRPr="00036490" w:rsidRDefault="00036490" w:rsidP="00036490">
      <w:r w:rsidRPr="00036490">
        <w:lastRenderedPageBreak/>
        <w:t xml:space="preserve">Other secondary outcome measures were also favourable. IRC assessed ORR for </w:t>
      </w:r>
      <w:proofErr w:type="spellStart"/>
      <w:r w:rsidRPr="00036490">
        <w:t>acalabrutinib</w:t>
      </w:r>
      <w:proofErr w:type="spellEnd"/>
      <w:r w:rsidR="003A6F28">
        <w:t xml:space="preserve"> </w:t>
      </w:r>
      <w:r w:rsidRPr="00036490">
        <w:t>+</w:t>
      </w:r>
      <w:r w:rsidR="003A6F28">
        <w:t xml:space="preserve"> </w:t>
      </w:r>
      <w:proofErr w:type="spellStart"/>
      <w:r w:rsidRPr="00036490">
        <w:t>obinutuzumab</w:t>
      </w:r>
      <w:proofErr w:type="spellEnd"/>
      <w:r w:rsidRPr="00036490">
        <w:t xml:space="preserve">, </w:t>
      </w:r>
      <w:proofErr w:type="spellStart"/>
      <w:r w:rsidRPr="00036490">
        <w:t>acalabrutinib</w:t>
      </w:r>
      <w:proofErr w:type="spellEnd"/>
      <w:r w:rsidRPr="00036490">
        <w:t xml:space="preserve"> monotherapy, and </w:t>
      </w:r>
      <w:proofErr w:type="spellStart"/>
      <w:r w:rsidRPr="00036490">
        <w:t>obinutuzumab</w:t>
      </w:r>
      <w:proofErr w:type="spellEnd"/>
      <w:r w:rsidR="003A6F28">
        <w:t> </w:t>
      </w:r>
      <w:r w:rsidRPr="00036490">
        <w:t>+</w:t>
      </w:r>
      <w:r w:rsidR="003A6F28">
        <w:t> </w:t>
      </w:r>
      <w:proofErr w:type="spellStart"/>
      <w:r w:rsidRPr="00036490">
        <w:t>chlorambucil</w:t>
      </w:r>
      <w:proofErr w:type="spellEnd"/>
      <w:r w:rsidRPr="00036490">
        <w:t xml:space="preserve"> was 93.9%, 85.5% and 78.5%, respectively. The d</w:t>
      </w:r>
      <w:r w:rsidR="003A6F28">
        <w:t xml:space="preserve">ifference between </w:t>
      </w:r>
      <w:proofErr w:type="spellStart"/>
      <w:r w:rsidR="003A6F28">
        <w:t>acalabrutinib</w:t>
      </w:r>
      <w:proofErr w:type="spellEnd"/>
      <w:r w:rsidR="003A6F28">
        <w:t xml:space="preserve"> </w:t>
      </w:r>
      <w:r w:rsidRPr="00036490">
        <w:t>+</w:t>
      </w:r>
      <w:r w:rsidR="003A6F28">
        <w:t xml:space="preserve"> </w:t>
      </w:r>
      <w:proofErr w:type="spellStart"/>
      <w:r w:rsidRPr="00036490">
        <w:t>obinutuzumab</w:t>
      </w:r>
      <w:proofErr w:type="spellEnd"/>
      <w:r w:rsidRPr="00036490">
        <w:t xml:space="preserve"> and </w:t>
      </w:r>
      <w:proofErr w:type="spellStart"/>
      <w:r w:rsidRPr="00036490">
        <w:t>obinutuzumab</w:t>
      </w:r>
      <w:proofErr w:type="spellEnd"/>
      <w:r w:rsidR="003A6F28">
        <w:t xml:space="preserve"> </w:t>
      </w:r>
      <w:r w:rsidRPr="00036490">
        <w:t>+</w:t>
      </w:r>
      <w:r w:rsidR="003A6F28">
        <w:t xml:space="preserve"> </w:t>
      </w:r>
      <w:proofErr w:type="spellStart"/>
      <w:r w:rsidRPr="00036490">
        <w:t>chlorambucil</w:t>
      </w:r>
      <w:proofErr w:type="spellEnd"/>
      <w:r w:rsidRPr="00036490">
        <w:t xml:space="preserve"> arms was 15.4% in favour of </w:t>
      </w:r>
      <w:proofErr w:type="spellStart"/>
      <w:r w:rsidRPr="00036490">
        <w:t>acalabrutinib</w:t>
      </w:r>
      <w:proofErr w:type="spellEnd"/>
      <w:r w:rsidRPr="00036490">
        <w:t xml:space="preserve"> (p</w:t>
      </w:r>
      <w:r w:rsidR="003A6F28">
        <w:t xml:space="preserve"> </w:t>
      </w:r>
      <w:r w:rsidRPr="00036490">
        <w:t>&lt;</w:t>
      </w:r>
      <w:r w:rsidR="003A6F28">
        <w:t xml:space="preserve"> </w:t>
      </w:r>
      <w:r w:rsidRPr="00036490">
        <w:t xml:space="preserve">0.0001). For </w:t>
      </w:r>
      <w:proofErr w:type="spellStart"/>
      <w:r w:rsidRPr="00036490">
        <w:t>acalabrutinib</w:t>
      </w:r>
      <w:proofErr w:type="spellEnd"/>
      <w:r w:rsidRPr="00036490">
        <w:t xml:space="preserve"> monotherapy and </w:t>
      </w:r>
      <w:proofErr w:type="spellStart"/>
      <w:r w:rsidRPr="00036490">
        <w:t>obinutuzumab</w:t>
      </w:r>
      <w:proofErr w:type="spellEnd"/>
      <w:r w:rsidR="003A6F28">
        <w:t xml:space="preserve"> </w:t>
      </w:r>
      <w:r w:rsidRPr="00036490">
        <w:t>+</w:t>
      </w:r>
      <w:r w:rsidR="003A6F28">
        <w:t xml:space="preserve"> </w:t>
      </w:r>
      <w:proofErr w:type="spellStart"/>
      <w:r w:rsidRPr="00036490">
        <w:t>chlorambucil</w:t>
      </w:r>
      <w:proofErr w:type="spellEnd"/>
      <w:r w:rsidRPr="00036490">
        <w:t xml:space="preserve">, the difference was 8.1% in favour of </w:t>
      </w:r>
      <w:proofErr w:type="spellStart"/>
      <w:r w:rsidRPr="00036490">
        <w:t>acalabrutinib</w:t>
      </w:r>
      <w:proofErr w:type="spellEnd"/>
      <w:r w:rsidRPr="00036490">
        <w:t xml:space="preserve"> (p</w:t>
      </w:r>
      <w:r w:rsidR="003A6F28">
        <w:t> </w:t>
      </w:r>
      <w:r w:rsidRPr="00036490">
        <w:t>&lt;</w:t>
      </w:r>
      <w:r w:rsidR="003A6F28">
        <w:t> </w:t>
      </w:r>
      <w:r w:rsidRPr="00036490">
        <w:t>0.0376).</w:t>
      </w:r>
    </w:p>
    <w:p w14:paraId="58307514" w14:textId="77777777" w:rsidR="00036490" w:rsidRPr="00036490" w:rsidRDefault="00036490" w:rsidP="00036490">
      <w:r w:rsidRPr="00036490">
        <w:t>Median OS was not reached in any treatment arm. The data are too immature to make any conclusive statement about OS.</w:t>
      </w:r>
    </w:p>
    <w:p w14:paraId="560870F5" w14:textId="77777777" w:rsidR="00036490" w:rsidRPr="00036490" w:rsidRDefault="00036490" w:rsidP="00036490">
      <w:r w:rsidRPr="00036490">
        <w:t xml:space="preserve">TTNT was prolonged for </w:t>
      </w:r>
      <w:proofErr w:type="spellStart"/>
      <w:r w:rsidRPr="00036490">
        <w:t>acalabrutinib</w:t>
      </w:r>
      <w:proofErr w:type="spellEnd"/>
      <w:r w:rsidR="003A6F28">
        <w:t xml:space="preserve"> </w:t>
      </w:r>
      <w:r w:rsidRPr="00036490">
        <w:t>+</w:t>
      </w:r>
      <w:r w:rsidR="003A6F28">
        <w:t xml:space="preserve"> </w:t>
      </w:r>
      <w:proofErr w:type="spellStart"/>
      <w:r w:rsidRPr="00036490">
        <w:t>obinutuzumab</w:t>
      </w:r>
      <w:proofErr w:type="spellEnd"/>
      <w:r w:rsidRPr="00036490">
        <w:t xml:space="preserve"> (HR</w:t>
      </w:r>
      <w:r w:rsidR="003A6F28">
        <w:t xml:space="preserve"> </w:t>
      </w:r>
      <w:r w:rsidRPr="00036490">
        <w:t>=</w:t>
      </w:r>
      <w:r w:rsidR="003A6F28">
        <w:t xml:space="preserve"> 0.14, (95% CI 0.08, 0.26)</w:t>
      </w:r>
      <w:r w:rsidRPr="00036490">
        <w:t>, p</w:t>
      </w:r>
      <w:r w:rsidR="003A6F28">
        <w:t> </w:t>
      </w:r>
      <w:r w:rsidRPr="00036490">
        <w:t>&lt;</w:t>
      </w:r>
      <w:r w:rsidR="003A6F28">
        <w:t> </w:t>
      </w:r>
      <w:r w:rsidRPr="00036490">
        <w:t xml:space="preserve">0.0001) and </w:t>
      </w:r>
      <w:proofErr w:type="spellStart"/>
      <w:r w:rsidRPr="00036490">
        <w:t>acalabrutinib</w:t>
      </w:r>
      <w:proofErr w:type="spellEnd"/>
      <w:r w:rsidRPr="00036490">
        <w:t xml:space="preserve"> monotherapy (HR</w:t>
      </w:r>
      <w:r w:rsidR="003A6F28">
        <w:t xml:space="preserve"> </w:t>
      </w:r>
      <w:r w:rsidRPr="00036490">
        <w:t>=</w:t>
      </w:r>
      <w:r w:rsidR="003A6F28">
        <w:t xml:space="preserve"> </w:t>
      </w:r>
      <w:r w:rsidRPr="00036490">
        <w:t>0.24</w:t>
      </w:r>
      <w:r w:rsidR="003A6F28">
        <w:t xml:space="preserve"> (95% CI 0.15, 0.40)</w:t>
      </w:r>
      <w:r w:rsidRPr="00036490">
        <w:t xml:space="preserve"> p</w:t>
      </w:r>
      <w:r w:rsidR="003A6F28">
        <w:t xml:space="preserve"> </w:t>
      </w:r>
      <w:r w:rsidRPr="00036490">
        <w:t>&lt;</w:t>
      </w:r>
      <w:r w:rsidR="003A6F28">
        <w:t xml:space="preserve"> 0.0001)</w:t>
      </w:r>
      <w:r w:rsidRPr="00036490">
        <w:t xml:space="preserve"> compared with the </w:t>
      </w:r>
      <w:proofErr w:type="spellStart"/>
      <w:r w:rsidRPr="00036490">
        <w:t>obinutuzumab</w:t>
      </w:r>
      <w:proofErr w:type="spellEnd"/>
      <w:r w:rsidR="003A6F28">
        <w:t xml:space="preserve"> </w:t>
      </w:r>
      <w:r w:rsidRPr="00036490">
        <w:t>+</w:t>
      </w:r>
      <w:r w:rsidR="003A6F28">
        <w:t xml:space="preserve"> </w:t>
      </w:r>
      <w:proofErr w:type="spellStart"/>
      <w:r w:rsidRPr="00036490">
        <w:t>chlorambucil</w:t>
      </w:r>
      <w:proofErr w:type="spellEnd"/>
      <w:r w:rsidRPr="00036490">
        <w:t xml:space="preserve"> arm.</w:t>
      </w:r>
    </w:p>
    <w:p w14:paraId="1CE2480A" w14:textId="77777777" w:rsidR="00036490" w:rsidRPr="00036490" w:rsidRDefault="00036490" w:rsidP="00036490">
      <w:r w:rsidRPr="00036490">
        <w:t>The point was made in the joint evaluation that the secondary endpoint of ORR should have been tested based on th</w:t>
      </w:r>
      <w:r w:rsidR="003A6F28">
        <w:t>e closed-testing procedure, that is,</w:t>
      </w:r>
      <w:r w:rsidRPr="00036490">
        <w:t xml:space="preserve"> the same alpha level that was allocated for the IRC-assessed PFS interim analysis to control the overall type I error rate. Hence</w:t>
      </w:r>
      <w:r w:rsidR="003A6F28">
        <w:t>,</w:t>
      </w:r>
      <w:r w:rsidRPr="00036490">
        <w:t xml:space="preserve"> ORR should be viewed as descriptive only.</w:t>
      </w:r>
    </w:p>
    <w:p w14:paraId="2FF263BA" w14:textId="52F4C04A" w:rsidR="00036490" w:rsidRPr="00036490" w:rsidRDefault="00036490" w:rsidP="00036490">
      <w:r w:rsidRPr="00036490">
        <w:t>Approximately 53 subjects in Arm B (</w:t>
      </w:r>
      <w:proofErr w:type="spellStart"/>
      <w:r w:rsidRPr="00036490">
        <w:t>acalabrutinib</w:t>
      </w:r>
      <w:proofErr w:type="spellEnd"/>
      <w:r w:rsidR="003A6F28">
        <w:t xml:space="preserve"> </w:t>
      </w:r>
      <w:r w:rsidRPr="00036490">
        <w:t>+</w:t>
      </w:r>
      <w:r w:rsidR="003A6F28">
        <w:t xml:space="preserve"> </w:t>
      </w:r>
      <w:proofErr w:type="spellStart"/>
      <w:r w:rsidRPr="00036490">
        <w:t>obinutuzumab</w:t>
      </w:r>
      <w:proofErr w:type="spellEnd"/>
      <w:r w:rsidRPr="00036490">
        <w:t>), 56 subjects in Arm C (</w:t>
      </w:r>
      <w:proofErr w:type="spellStart"/>
      <w:r w:rsidRPr="00036490">
        <w:t>acalabrutinib</w:t>
      </w:r>
      <w:proofErr w:type="spellEnd"/>
      <w:r w:rsidRPr="00036490">
        <w:t xml:space="preserve"> monotherapy), and 42 subjects in Arm A (</w:t>
      </w:r>
      <w:proofErr w:type="spellStart"/>
      <w:r w:rsidRPr="00036490">
        <w:t>chlorambucil</w:t>
      </w:r>
      <w:proofErr w:type="spellEnd"/>
      <w:r w:rsidR="003A6F28">
        <w:t xml:space="preserve"> </w:t>
      </w:r>
      <w:r w:rsidRPr="00036490">
        <w:t>+</w:t>
      </w:r>
      <w:r w:rsidR="003A6F28">
        <w:t xml:space="preserve"> </w:t>
      </w:r>
      <w:proofErr w:type="spellStart"/>
      <w:r w:rsidRPr="00036490">
        <w:t>obinutuzumab</w:t>
      </w:r>
      <w:proofErr w:type="spellEnd"/>
      <w:r w:rsidRPr="00036490">
        <w:t xml:space="preserve">) completed the FACIT-Fatigue, the EORTC QLQ-C30, and the EQ-5D </w:t>
      </w:r>
      <w:r w:rsidR="003A6F28">
        <w:t>Visual Analogue Scale (</w:t>
      </w:r>
      <w:r w:rsidRPr="00036490">
        <w:t>VAS</w:t>
      </w:r>
      <w:r w:rsidR="003A6F28">
        <w:t>)</w:t>
      </w:r>
      <w:r w:rsidRPr="00036490">
        <w:t xml:space="preserve"> </w:t>
      </w:r>
      <w:r w:rsidR="00EF4961">
        <w:t xml:space="preserve">patient reported outcomes </w:t>
      </w:r>
      <w:r w:rsidR="003A6F28">
        <w:t>(</w:t>
      </w:r>
      <w:r w:rsidRPr="00036490">
        <w:t>PRO</w:t>
      </w:r>
      <w:r w:rsidR="003A6F28">
        <w:t>)</w:t>
      </w:r>
      <w:r w:rsidRPr="00036490">
        <w:t xml:space="preserve"> at </w:t>
      </w:r>
      <w:r w:rsidR="00EF4961">
        <w:t>B</w:t>
      </w:r>
      <w:r w:rsidRPr="00036490">
        <w:t>aseline, meeting the minimum requirements for scoring (completion rates</w:t>
      </w:r>
      <w:r w:rsidR="003A6F28">
        <w:t xml:space="preserve"> </w:t>
      </w:r>
      <w:r w:rsidRPr="00036490">
        <w:t>=</w:t>
      </w:r>
      <w:r w:rsidR="003A6F28">
        <w:t xml:space="preserve"> </w:t>
      </w:r>
      <w:r w:rsidRPr="00036490">
        <w:t>100.0%, 100.0%, and 100.0% for FACIT-Fatigue, EORTC QLQ-C30, and EQ-5D VAS).</w:t>
      </w:r>
    </w:p>
    <w:p w14:paraId="00E8A3FA" w14:textId="187D27CE" w:rsidR="00036490" w:rsidRPr="00036490" w:rsidRDefault="001D60E0" w:rsidP="00036490">
      <w:r>
        <w:t>Subjects with CLL randomis</w:t>
      </w:r>
      <w:r w:rsidR="00036490" w:rsidRPr="00036490">
        <w:t>ed in this study experienced im</w:t>
      </w:r>
      <w:r w:rsidR="003A6F28">
        <w:t xml:space="preserve">pacts in fatigue and global health status (GHS) at the </w:t>
      </w:r>
      <w:r w:rsidR="00036490" w:rsidRPr="00036490">
        <w:t xml:space="preserve">start of the study, and subjects in all three treatment arms showed comparable improvements on their </w:t>
      </w:r>
      <w:r w:rsidR="003A6F28">
        <w:t>health-related quality of life (</w:t>
      </w:r>
      <w:proofErr w:type="spellStart"/>
      <w:r w:rsidR="00036490" w:rsidRPr="00036490">
        <w:t>HRQoL</w:t>
      </w:r>
      <w:proofErr w:type="spellEnd"/>
      <w:r w:rsidR="003A6F28">
        <w:t>)</w:t>
      </w:r>
      <w:r w:rsidR="00036490" w:rsidRPr="00036490">
        <w:t xml:space="preserve"> throughout the study. Among subjects with fatigue at </w:t>
      </w:r>
      <w:r w:rsidR="00EF4961">
        <w:t>B</w:t>
      </w:r>
      <w:r w:rsidR="00036490" w:rsidRPr="00036490">
        <w:t>aseline (SF-population), these improvements were more pronounced. No differences were observed across the treatment arms; however, due to the larger drop-out in Arm A (</w:t>
      </w:r>
      <w:proofErr w:type="spellStart"/>
      <w:r w:rsidR="003A6F28" w:rsidRPr="00036490">
        <w:t>chlorambucil</w:t>
      </w:r>
      <w:proofErr w:type="spellEnd"/>
      <w:r w:rsidR="003A6F28">
        <w:t xml:space="preserve"> </w:t>
      </w:r>
      <w:r w:rsidR="003A6F28" w:rsidRPr="00036490">
        <w:t>+</w:t>
      </w:r>
      <w:r w:rsidR="003A6F28">
        <w:t xml:space="preserve"> </w:t>
      </w:r>
      <w:proofErr w:type="spellStart"/>
      <w:r w:rsidR="003A6F28" w:rsidRPr="00036490">
        <w:t>obinutuzumab</w:t>
      </w:r>
      <w:proofErr w:type="spellEnd"/>
      <w:r w:rsidR="00036490" w:rsidRPr="00036490">
        <w:t>) compared with Arm B (</w:t>
      </w:r>
      <w:proofErr w:type="spellStart"/>
      <w:r w:rsidR="00036490" w:rsidRPr="00036490">
        <w:t>acalabrutinib</w:t>
      </w:r>
      <w:proofErr w:type="spellEnd"/>
      <w:r w:rsidR="003A6F28">
        <w:t xml:space="preserve"> </w:t>
      </w:r>
      <w:r w:rsidR="00036490" w:rsidRPr="00036490">
        <w:t>+</w:t>
      </w:r>
      <w:r w:rsidR="003A6F28" w:rsidRPr="003A6F28">
        <w:t xml:space="preserve"> </w:t>
      </w:r>
      <w:proofErr w:type="spellStart"/>
      <w:r w:rsidR="003A6F28" w:rsidRPr="00036490">
        <w:t>obinutuzumab</w:t>
      </w:r>
      <w:proofErr w:type="spellEnd"/>
      <w:r w:rsidR="00036490" w:rsidRPr="00036490">
        <w:t>) and Arm C (</w:t>
      </w:r>
      <w:proofErr w:type="spellStart"/>
      <w:r w:rsidR="00036490" w:rsidRPr="00036490">
        <w:t>acalabrutinib</w:t>
      </w:r>
      <w:proofErr w:type="spellEnd"/>
      <w:r w:rsidR="00036490" w:rsidRPr="00036490">
        <w:t xml:space="preserve"> monotherapy), the MAR (missing at random) assumptions were not met, and the MMRM (</w:t>
      </w:r>
      <w:r w:rsidR="003A6F28" w:rsidRPr="00036490">
        <w:t>mixed model repeated measures</w:t>
      </w:r>
      <w:r w:rsidR="00036490" w:rsidRPr="00036490">
        <w:t xml:space="preserve">) results should be interpreted with caution. Hence the PRO results give little direction to the </w:t>
      </w:r>
      <w:r w:rsidR="003A6F28">
        <w:t>patients’ overall state of well</w:t>
      </w:r>
      <w:r w:rsidR="003A6F28">
        <w:noBreakHyphen/>
      </w:r>
      <w:r w:rsidR="00036490" w:rsidRPr="00036490">
        <w:t>being during treatment, or whether or not one treatment regimen led to them feeling ‘better’ during treatment, regard</w:t>
      </w:r>
      <w:r w:rsidR="003A6F28">
        <w:t>less of primary outcome measure</w:t>
      </w:r>
      <w:r w:rsidR="00036490" w:rsidRPr="00036490">
        <w:t>.</w:t>
      </w:r>
    </w:p>
    <w:p w14:paraId="77E75348" w14:textId="77777777" w:rsidR="00036490" w:rsidRDefault="00036490" w:rsidP="00036490">
      <w:r w:rsidRPr="00036490">
        <w:t>Overall this study (n</w:t>
      </w:r>
      <w:r w:rsidR="003A6F28">
        <w:t xml:space="preserve"> </w:t>
      </w:r>
      <w:r w:rsidRPr="00036490">
        <w:t>=</w:t>
      </w:r>
      <w:r w:rsidR="003A6F28">
        <w:t xml:space="preserve"> </w:t>
      </w:r>
      <w:r w:rsidRPr="00036490">
        <w:t>535) demonstrated statistically significant improvement in PFS as asses</w:t>
      </w:r>
      <w:r w:rsidR="003A6F28">
        <w:t xml:space="preserve">sed by IRC in the </w:t>
      </w:r>
      <w:proofErr w:type="spellStart"/>
      <w:r w:rsidR="003A6F28">
        <w:t>acalabrutinib</w:t>
      </w:r>
      <w:proofErr w:type="spellEnd"/>
      <w:r w:rsidR="003A6F28">
        <w:t xml:space="preserve"> </w:t>
      </w:r>
      <w:r w:rsidRPr="00036490">
        <w:t xml:space="preserve">containing arms versus </w:t>
      </w:r>
      <w:proofErr w:type="spellStart"/>
      <w:r w:rsidRPr="00036490">
        <w:t>obinutuzumab+chlorambucil</w:t>
      </w:r>
      <w:proofErr w:type="spellEnd"/>
      <w:r w:rsidRPr="00036490">
        <w:t>. In addition</w:t>
      </w:r>
      <w:r w:rsidR="003A6F28">
        <w:t>,</w:t>
      </w:r>
      <w:r w:rsidRPr="00036490">
        <w:t xml:space="preserve"> overall response rate for the </w:t>
      </w:r>
      <w:proofErr w:type="spellStart"/>
      <w:r w:rsidRPr="00036490">
        <w:t>acalabrutinib</w:t>
      </w:r>
      <w:proofErr w:type="spellEnd"/>
      <w:r w:rsidRPr="00036490">
        <w:t xml:space="preserve"> </w:t>
      </w:r>
      <w:r w:rsidR="003A6F28">
        <w:t xml:space="preserve">plus </w:t>
      </w:r>
      <w:proofErr w:type="spellStart"/>
      <w:r w:rsidR="003A6F28">
        <w:t>obinutuzumab</w:t>
      </w:r>
      <w:proofErr w:type="spellEnd"/>
      <w:r w:rsidR="003A6F28">
        <w:t xml:space="preserve"> arm was 94% versus</w:t>
      </w:r>
      <w:r w:rsidRPr="00036490">
        <w:t xml:space="preserve"> 79% for the </w:t>
      </w:r>
      <w:proofErr w:type="spellStart"/>
      <w:r w:rsidRPr="00036490">
        <w:t>obinutuzumab</w:t>
      </w:r>
      <w:proofErr w:type="spellEnd"/>
      <w:r w:rsidRPr="00036490">
        <w:t xml:space="preserve"> plus </w:t>
      </w:r>
      <w:proofErr w:type="spellStart"/>
      <w:r w:rsidRPr="00036490">
        <w:t>chlorambucil</w:t>
      </w:r>
      <w:proofErr w:type="spellEnd"/>
      <w:r w:rsidRPr="00036490">
        <w:t xml:space="preserve"> arm (p</w:t>
      </w:r>
      <w:r w:rsidR="003A6F28">
        <w:t xml:space="preserve"> </w:t>
      </w:r>
      <w:r w:rsidRPr="00036490">
        <w:t>&lt;</w:t>
      </w:r>
      <w:r w:rsidR="003A6F28">
        <w:t xml:space="preserve"> </w:t>
      </w:r>
      <w:r w:rsidRPr="00036490">
        <w:t>0.0001). There is considerable evidence for superior efficacy over the comparator treatments.</w:t>
      </w:r>
    </w:p>
    <w:p w14:paraId="0072EA78" w14:textId="4A86EA86" w:rsidR="00036490" w:rsidRDefault="00036490" w:rsidP="00036490">
      <w:pPr>
        <w:pStyle w:val="Heading5"/>
      </w:pPr>
      <w:r>
        <w:t>ASCEND</w:t>
      </w:r>
      <w:r w:rsidR="00EF4961">
        <w:t xml:space="preserve"> trial</w:t>
      </w:r>
    </w:p>
    <w:p w14:paraId="5399BF9B" w14:textId="52C9763B" w:rsidR="003A6F28" w:rsidRDefault="00EF4961" w:rsidP="00036490">
      <w:r>
        <w:t xml:space="preserve">The </w:t>
      </w:r>
      <w:r w:rsidR="00A74922">
        <w:t>ASCEND</w:t>
      </w:r>
      <w:r>
        <w:t xml:space="preserve"> trial</w:t>
      </w:r>
      <w:r w:rsidR="003A6F28">
        <w:t xml:space="preserve"> was a randomised open label P</w:t>
      </w:r>
      <w:r w:rsidR="00036490">
        <w:t xml:space="preserve">hase III study of </w:t>
      </w:r>
      <w:proofErr w:type="spellStart"/>
      <w:r w:rsidR="00036490">
        <w:t>acalabrutinib</w:t>
      </w:r>
      <w:proofErr w:type="spellEnd"/>
      <w:r w:rsidR="00036490">
        <w:t xml:space="preserve"> versus investigator’s choice of either </w:t>
      </w:r>
      <w:proofErr w:type="spellStart"/>
      <w:r w:rsidR="00036490">
        <w:t>idelalisib</w:t>
      </w:r>
      <w:proofErr w:type="spellEnd"/>
      <w:r w:rsidR="00036490">
        <w:t xml:space="preserve"> plus rituximab, or </w:t>
      </w:r>
      <w:proofErr w:type="spellStart"/>
      <w:r w:rsidR="00036490">
        <w:t>bendamustine</w:t>
      </w:r>
      <w:proofErr w:type="spellEnd"/>
      <w:r w:rsidR="00036490">
        <w:t xml:space="preserve"> plus rituximab in subjects with relapsed or</w:t>
      </w:r>
      <w:r w:rsidR="003A6F28">
        <w:t xml:space="preserve"> refractory CLL.</w:t>
      </w:r>
    </w:p>
    <w:p w14:paraId="4C58781F" w14:textId="77777777" w:rsidR="003A6F28" w:rsidRDefault="003A6F28" w:rsidP="003A6F28">
      <w:pPr>
        <w:pStyle w:val="Heading6"/>
      </w:pPr>
      <w:r>
        <w:t>Study design</w:t>
      </w:r>
    </w:p>
    <w:p w14:paraId="79052842" w14:textId="77777777" w:rsidR="003A6F28" w:rsidRDefault="003A6F28" w:rsidP="00036490">
      <w:r>
        <w:t>As at data cut off, 310 subjects had been randomised to treatment.</w:t>
      </w:r>
    </w:p>
    <w:p w14:paraId="55E65480" w14:textId="77777777" w:rsidR="00036490" w:rsidRDefault="00036490" w:rsidP="00036490">
      <w:r>
        <w:t xml:space="preserve">Subjects were randomised in a 1:1 ratio to either Arm A of </w:t>
      </w:r>
      <w:proofErr w:type="spellStart"/>
      <w:r>
        <w:t>acalabrutinib</w:t>
      </w:r>
      <w:proofErr w:type="spellEnd"/>
      <w:r>
        <w:t xml:space="preserve"> monotherapy, or Arm B of the investigator’s choice of either of the aforementioned comparator treatments. Ultimately, 155 subjects were assigned to </w:t>
      </w:r>
      <w:proofErr w:type="spellStart"/>
      <w:r>
        <w:t>acalabrutinib</w:t>
      </w:r>
      <w:proofErr w:type="spellEnd"/>
      <w:r>
        <w:t xml:space="preserve">, 119 to </w:t>
      </w:r>
      <w:proofErr w:type="spellStart"/>
      <w:r>
        <w:t>idelalisib</w:t>
      </w:r>
      <w:proofErr w:type="spellEnd"/>
      <w:r>
        <w:t xml:space="preserve">/rituximab, and 36 to </w:t>
      </w:r>
      <w:proofErr w:type="spellStart"/>
      <w:r>
        <w:t>bendamustine</w:t>
      </w:r>
      <w:proofErr w:type="spellEnd"/>
      <w:r>
        <w:t xml:space="preserve">/rituximab. Randomisation was based upon the stratification factors </w:t>
      </w:r>
      <w:r>
        <w:lastRenderedPageBreak/>
        <w:t xml:space="preserve">of 17p deletion </w:t>
      </w:r>
      <w:r w:rsidR="003A6F28">
        <w:t xml:space="preserve">(present or not), ECOG score (0 to </w:t>
      </w:r>
      <w:r>
        <w:t>1 or 2), and nu</w:t>
      </w:r>
      <w:r w:rsidR="003A6F28">
        <w:t>mber of prior therapies (1 to 3 versus</w:t>
      </w:r>
      <w:r>
        <w:t xml:space="preserve"> 4 or more).</w:t>
      </w:r>
    </w:p>
    <w:p w14:paraId="00449B54" w14:textId="77777777" w:rsidR="00036490" w:rsidRDefault="00036490" w:rsidP="00036490">
      <w:r>
        <w:t>The primary endpoint was PFS as assessed by independent review committee with IWCLL criteria.</w:t>
      </w:r>
      <w:r w:rsidR="00A74922">
        <w:fldChar w:fldCharType="begin"/>
      </w:r>
      <w:r w:rsidR="00A74922">
        <w:instrText xml:space="preserve"> NOTEREF _Ref26172635 \f \h </w:instrText>
      </w:r>
      <w:r w:rsidR="00A74922">
        <w:fldChar w:fldCharType="separate"/>
      </w:r>
      <w:r w:rsidR="00A74922" w:rsidRPr="00A74922">
        <w:rPr>
          <w:rStyle w:val="FootnoteReference"/>
        </w:rPr>
        <w:t>2</w:t>
      </w:r>
      <w:r w:rsidR="00A74922">
        <w:fldChar w:fldCharType="end"/>
      </w:r>
      <w:r>
        <w:t xml:space="preserve"> Secondary endpoints included investigator-assessed PFS, IRC and investigator assessed ORR and </w:t>
      </w:r>
      <w:r w:rsidR="003A6F28">
        <w:t>duration of response (</w:t>
      </w:r>
      <w:r>
        <w:t>DOR</w:t>
      </w:r>
      <w:r w:rsidR="003A6F28">
        <w:t>)</w:t>
      </w:r>
      <w:r>
        <w:t xml:space="preserve">, as well as OS, TTNT and various </w:t>
      </w:r>
      <w:proofErr w:type="spellStart"/>
      <w:r>
        <w:t>PROs.</w:t>
      </w:r>
      <w:proofErr w:type="spellEnd"/>
    </w:p>
    <w:p w14:paraId="63079D69" w14:textId="77777777" w:rsidR="00036490" w:rsidRDefault="00036490" w:rsidP="00036490">
      <w:r>
        <w:t xml:space="preserve">Part of the study design allowed for those randomised to Arm B to crossover to </w:t>
      </w:r>
      <w:proofErr w:type="spellStart"/>
      <w:r>
        <w:t>acalabrutinib</w:t>
      </w:r>
      <w:proofErr w:type="spellEnd"/>
      <w:r>
        <w:t xml:space="preserve"> monotherapy if eligibility criteria were met during the study duration.</w:t>
      </w:r>
    </w:p>
    <w:p w14:paraId="362EB251" w14:textId="77777777" w:rsidR="00036490" w:rsidRDefault="00036490" w:rsidP="00036490">
      <w:r>
        <w:t xml:space="preserve">Each treatment cycle was 28 days. Subjects in Arm A received </w:t>
      </w:r>
      <w:proofErr w:type="spellStart"/>
      <w:r>
        <w:t>acalabrutinib</w:t>
      </w:r>
      <w:proofErr w:type="spellEnd"/>
      <w:r>
        <w:t xml:space="preserve"> 100</w:t>
      </w:r>
      <w:r w:rsidR="003A6F28">
        <w:t xml:space="preserve"> mg twice daily (BID)</w:t>
      </w:r>
      <w:r>
        <w:t xml:space="preserve"> in continuous 28 day cycles until disease progression or unacceptable toxicity. Subjects receiving </w:t>
      </w:r>
      <w:proofErr w:type="spellStart"/>
      <w:r>
        <w:t>idelalisib</w:t>
      </w:r>
      <w:proofErr w:type="spellEnd"/>
      <w:r>
        <w:t>/rituximab r</w:t>
      </w:r>
      <w:r w:rsidR="003A6F28">
        <w:t xml:space="preserve">eceived </w:t>
      </w:r>
      <w:proofErr w:type="spellStart"/>
      <w:r w:rsidR="003A6F28">
        <w:t>idelalisib</w:t>
      </w:r>
      <w:proofErr w:type="spellEnd"/>
      <w:r w:rsidR="003A6F28">
        <w:t xml:space="preserve"> orally from D</w:t>
      </w:r>
      <w:r>
        <w:t xml:space="preserve">ay 1 continuously until disease progression or unacceptable toxicity. Rituximab was given </w:t>
      </w:r>
      <w:r w:rsidR="003A6F28">
        <w:t>on D</w:t>
      </w:r>
      <w:r>
        <w:t xml:space="preserve">ay 1, then every 2 weeks for 4 doses and then every 4 weeks for 3 doses for a total of eight infusions. For those on the </w:t>
      </w:r>
      <w:proofErr w:type="spellStart"/>
      <w:r>
        <w:t>bendamustine</w:t>
      </w:r>
      <w:proofErr w:type="spellEnd"/>
      <w:r>
        <w:t xml:space="preserve">/rituximab regimen, </w:t>
      </w:r>
      <w:proofErr w:type="spellStart"/>
      <w:r>
        <w:t>bendamustine</w:t>
      </w:r>
      <w:proofErr w:type="spellEnd"/>
      <w:r>
        <w:t xml:space="preserve"> </w:t>
      </w:r>
      <w:r w:rsidR="003A6F28">
        <w:t>was given as an IV infusion on D</w:t>
      </w:r>
      <w:r>
        <w:t>ays 1 and 2 of each 28 day cycle for a maximum of 6 cy</w:t>
      </w:r>
      <w:r w:rsidR="003A6F28">
        <w:t xml:space="preserve">cles, with rituximab given on Day 1 of Cycles 1 to </w:t>
      </w:r>
      <w:r>
        <w:t>6.</w:t>
      </w:r>
    </w:p>
    <w:p w14:paraId="387BA83D" w14:textId="77777777" w:rsidR="00036490" w:rsidRDefault="00036490" w:rsidP="00036490">
      <w:r>
        <w:t>Demographically, 62.9% of subjects were 65 years old or greater and 21.0% were 75 years or more. 67.1% were male and 92.3% were</w:t>
      </w:r>
      <w:r w:rsidR="003A6F28">
        <w:t xml:space="preserve"> Caucasian. Median age was 67 (range 32 to 90 years). Median follow </w:t>
      </w:r>
      <w:r>
        <w:t>up was 15.5 month</w:t>
      </w:r>
      <w:r w:rsidR="003A6F28">
        <w:t xml:space="preserve">s (range 0.5 to </w:t>
      </w:r>
      <w:r>
        <w:t>20.8).</w:t>
      </w:r>
    </w:p>
    <w:p w14:paraId="7AF20BB1" w14:textId="77777777" w:rsidR="003A6F28" w:rsidRDefault="003A6F28" w:rsidP="003A6F28">
      <w:pPr>
        <w:pStyle w:val="Heading6"/>
      </w:pPr>
      <w:r>
        <w:t>Results</w:t>
      </w:r>
    </w:p>
    <w:p w14:paraId="32B775D8" w14:textId="5F2ADFE7" w:rsidR="00036490" w:rsidRDefault="00036490" w:rsidP="00036490">
      <w:r>
        <w:t xml:space="preserve">In terms of primary endpoint, </w:t>
      </w:r>
      <w:proofErr w:type="spellStart"/>
      <w:r>
        <w:t>acalabrutinib</w:t>
      </w:r>
      <w:proofErr w:type="spellEnd"/>
      <w:r>
        <w:t xml:space="preserve"> monotherapy demonstrated a statistically significant improvement in PFS as assessed by IRC when compared with the two other treatment regimens, with a 69% risk reduction in disease progression or death (HR</w:t>
      </w:r>
      <w:r w:rsidR="003A6F28">
        <w:t xml:space="preserve"> </w:t>
      </w:r>
      <w:r>
        <w:t>=</w:t>
      </w:r>
      <w:r w:rsidR="003A6F28">
        <w:t xml:space="preserve"> 0.31 (</w:t>
      </w:r>
      <w:r>
        <w:t>95% CI: 0.20, 0.49, p</w:t>
      </w:r>
      <w:r w:rsidR="003A6F28">
        <w:t xml:space="preserve"> </w:t>
      </w:r>
      <w:r>
        <w:t>&lt;</w:t>
      </w:r>
      <w:r w:rsidR="003A6F28">
        <w:t xml:space="preserve"> 0.0001)</w:t>
      </w:r>
      <w:r>
        <w:t xml:space="preserve">). The median estimated PFS was not reached for </w:t>
      </w:r>
      <w:proofErr w:type="spellStart"/>
      <w:r>
        <w:t>acalabrutinib</w:t>
      </w:r>
      <w:proofErr w:type="spellEnd"/>
      <w:r>
        <w:t>. The median estimate for the other treatment arm was 16.5 months (95%</w:t>
      </w:r>
      <w:r w:rsidR="00EF4961">
        <w:t> </w:t>
      </w:r>
      <w:r>
        <w:t>CI:</w:t>
      </w:r>
      <w:r w:rsidR="00EF4961">
        <w:t> </w:t>
      </w:r>
      <w:r>
        <w:t xml:space="preserve">14.0, 17.1). This again suggests that the ultimate median PFS for </w:t>
      </w:r>
      <w:proofErr w:type="spellStart"/>
      <w:r>
        <w:t>acalabrutinib</w:t>
      </w:r>
      <w:proofErr w:type="spellEnd"/>
      <w:r>
        <w:t xml:space="preserve"> will be longer than that typically conferred by comparator, currently available regimens based on historical trial data.</w:t>
      </w:r>
    </w:p>
    <w:p w14:paraId="4330B2B7" w14:textId="77777777" w:rsidR="00036490" w:rsidRDefault="00036490" w:rsidP="00036490">
      <w:r>
        <w:t>It was noted that secondary endpoints were not adjusted for multiplicity and thus should be regarded a</w:t>
      </w:r>
      <w:r w:rsidR="003A6F28">
        <w:t xml:space="preserve">s exploratory. Kaplan </w:t>
      </w:r>
      <w:r>
        <w:t xml:space="preserve">Meier estimates were considered misleading as they present estimates </w:t>
      </w:r>
      <w:r w:rsidR="007F02D9">
        <w:t>at a single time point and do not</w:t>
      </w:r>
      <w:r>
        <w:t xml:space="preserve"> represent the overall effect of treatment. With these statements in mind, the secondary endpoints p</w:t>
      </w:r>
      <w:r w:rsidR="007F02D9">
        <w:t>resented included the following.</w:t>
      </w:r>
    </w:p>
    <w:p w14:paraId="3E44E8C1" w14:textId="77777777" w:rsidR="00036490" w:rsidRDefault="00A74922" w:rsidP="00036490">
      <w:r>
        <w:t xml:space="preserve">The Kaplan </w:t>
      </w:r>
      <w:r w:rsidR="00036490">
        <w:t xml:space="preserve">Meier estimate of the proportion of subjects without a PFS event at 12 months was 87.8% and 68.0% for the </w:t>
      </w:r>
      <w:proofErr w:type="spellStart"/>
      <w:r w:rsidR="00036490">
        <w:t>acalabrutinib</w:t>
      </w:r>
      <w:proofErr w:type="spellEnd"/>
      <w:r w:rsidR="00036490">
        <w:t xml:space="preserve"> and othe</w:t>
      </w:r>
      <w:r w:rsidR="007F02D9">
        <w:t xml:space="preserve">r treatment arm, respectively. </w:t>
      </w:r>
      <w:r>
        <w:t>For 18 </w:t>
      </w:r>
      <w:r w:rsidR="00036490">
        <w:t>months the estimate was 79.0% and 38.6%, respectively. This PFS benefit was consistent across all pre</w:t>
      </w:r>
      <w:r w:rsidR="007F02D9">
        <w:t>-</w:t>
      </w:r>
      <w:r w:rsidR="00036490">
        <w:t xml:space="preserve">specified subgroups. Indeed, those with at least 1 chromosomal characteristic typically indicating poor prognosis had an even greater benefit with </w:t>
      </w:r>
      <w:proofErr w:type="spellStart"/>
      <w:r w:rsidR="00036490">
        <w:t>acalabrutinib</w:t>
      </w:r>
      <w:proofErr w:type="spellEnd"/>
      <w:r w:rsidR="00036490">
        <w:t xml:space="preserve"> </w:t>
      </w:r>
      <w:r w:rsidR="007F02D9">
        <w:t>(HR = 0.27 (95% CI: 0.17, 0.44)).</w:t>
      </w:r>
    </w:p>
    <w:p w14:paraId="74A1F885" w14:textId="77777777" w:rsidR="00036490" w:rsidRDefault="00036490" w:rsidP="00036490">
      <w:r>
        <w:t>The sensitivity analysis of PFS without censoring for subsequent anticancer therapy was consistent with the primary anal</w:t>
      </w:r>
      <w:r w:rsidR="007F02D9">
        <w:t xml:space="preserve">ysis, with HR ranging from 0.29 to </w:t>
      </w:r>
      <w:r>
        <w:t>0.31, with p</w:t>
      </w:r>
      <w:r w:rsidR="007F02D9">
        <w:t xml:space="preserve"> </w:t>
      </w:r>
      <w:r>
        <w:t>&lt;</w:t>
      </w:r>
      <w:r w:rsidR="007F02D9">
        <w:t xml:space="preserve"> </w:t>
      </w:r>
      <w:r>
        <w:t>0.0001 for all analyses.</w:t>
      </w:r>
    </w:p>
    <w:p w14:paraId="04C8004E" w14:textId="77777777" w:rsidR="00036490" w:rsidRDefault="00A74922" w:rsidP="00036490">
      <w:r>
        <w:t xml:space="preserve">Investigator </w:t>
      </w:r>
      <w:r w:rsidR="00036490">
        <w:t>assessed PFS as a key secondary endpoint was consistent with the primary endpoint (HR</w:t>
      </w:r>
      <w:r w:rsidR="007F02D9">
        <w:t xml:space="preserve"> </w:t>
      </w:r>
      <w:r w:rsidR="00036490">
        <w:t>=</w:t>
      </w:r>
      <w:r w:rsidR="007F02D9">
        <w:t xml:space="preserve"> 0.28 (95% CI: 0.18, 0.45)</w:t>
      </w:r>
      <w:r w:rsidR="00036490">
        <w:t xml:space="preserve"> p</w:t>
      </w:r>
      <w:r w:rsidR="007F02D9">
        <w:t xml:space="preserve"> </w:t>
      </w:r>
      <w:r w:rsidR="00036490">
        <w:t>&lt;</w:t>
      </w:r>
      <w:r w:rsidR="007F02D9">
        <w:t xml:space="preserve"> </w:t>
      </w:r>
      <w:r w:rsidR="00036490">
        <w:t xml:space="preserve">0.0001). IRC assessed ORR was 81.3% and 75.5% for the </w:t>
      </w:r>
      <w:proofErr w:type="spellStart"/>
      <w:r w:rsidR="00036490">
        <w:t>acalabrutinib</w:t>
      </w:r>
      <w:proofErr w:type="spellEnd"/>
      <w:r w:rsidR="00036490">
        <w:t xml:space="preserve"> and </w:t>
      </w:r>
      <w:proofErr w:type="spellStart"/>
      <w:r w:rsidR="00036490">
        <w:t>idelalisib</w:t>
      </w:r>
      <w:proofErr w:type="spellEnd"/>
      <w:r w:rsidR="00036490">
        <w:t>/</w:t>
      </w:r>
      <w:proofErr w:type="spellStart"/>
      <w:r w:rsidR="00036490">
        <w:t>bendamustine</w:t>
      </w:r>
      <w:proofErr w:type="spellEnd"/>
      <w:r w:rsidR="00036490">
        <w:t>/rituximab treatment arms, respectively. Investigator assessed ORR was</w:t>
      </w:r>
      <w:r w:rsidR="007F02D9">
        <w:t xml:space="preserve"> 79.4% and 83.2%, respectively (n</w:t>
      </w:r>
      <w:r w:rsidR="00036490">
        <w:t xml:space="preserve">ote investigators placed the comparator arm ahead of </w:t>
      </w:r>
      <w:proofErr w:type="spellStart"/>
      <w:r w:rsidR="00036490">
        <w:t>acalabrutinib</w:t>
      </w:r>
      <w:proofErr w:type="spellEnd"/>
      <w:r w:rsidR="00036490">
        <w:t xml:space="preserve"> in ORR). ORR demonstrated no statistically significant difference between treatment groups, and the superior PFS is considered attributable at least in part to the considerably longer duration of exposure possible with </w:t>
      </w:r>
      <w:proofErr w:type="spellStart"/>
      <w:r w:rsidR="00036490">
        <w:t>acala</w:t>
      </w:r>
      <w:r w:rsidR="007F02D9">
        <w:t>brutinib</w:t>
      </w:r>
      <w:proofErr w:type="spellEnd"/>
      <w:r w:rsidR="007F02D9">
        <w:t>.</w:t>
      </w:r>
    </w:p>
    <w:p w14:paraId="07C058BA" w14:textId="393E21C5" w:rsidR="00036490" w:rsidRDefault="00036490" w:rsidP="00036490">
      <w:r>
        <w:lastRenderedPageBreak/>
        <w:t>Median OS was not reached in either arm. HR was 0.84 (95% CI: 0.42, 1.66: p</w:t>
      </w:r>
      <w:r w:rsidR="007F02D9">
        <w:t xml:space="preserve"> </w:t>
      </w:r>
      <w:r>
        <w:t>=</w:t>
      </w:r>
      <w:r w:rsidR="007F02D9">
        <w:t xml:space="preserve"> </w:t>
      </w:r>
      <w:r>
        <w:t xml:space="preserve">0.6089) in favour of </w:t>
      </w:r>
      <w:proofErr w:type="spellStart"/>
      <w:r>
        <w:t>acalabrutinib</w:t>
      </w:r>
      <w:proofErr w:type="spellEnd"/>
      <w:r>
        <w:t xml:space="preserve"> but not of statistical significance. OS data, as for the ELEVATE</w:t>
      </w:r>
      <w:r w:rsidR="008D189F">
        <w:t>-TN</w:t>
      </w:r>
      <w:r>
        <w:t xml:space="preserve"> trial, are immature.</w:t>
      </w:r>
    </w:p>
    <w:p w14:paraId="7918875F" w14:textId="77777777" w:rsidR="00036490" w:rsidRDefault="00036490" w:rsidP="00036490">
      <w:r>
        <w:t xml:space="preserve">Duration of response was in favour of </w:t>
      </w:r>
      <w:proofErr w:type="spellStart"/>
      <w:r>
        <w:t>acalabrutinib</w:t>
      </w:r>
      <w:proofErr w:type="spellEnd"/>
      <w:r>
        <w:t>; HR</w:t>
      </w:r>
      <w:r w:rsidR="007F02D9">
        <w:t xml:space="preserve"> </w:t>
      </w:r>
      <w:r>
        <w:t>=</w:t>
      </w:r>
      <w:r w:rsidR="007F02D9">
        <w:t xml:space="preserve"> 0.33 (95% CI: 0.19, 0.59)</w:t>
      </w:r>
      <w:r>
        <w:t xml:space="preserve"> (IRC assessment). During the study, disease progression occurred, based on IRC assessment, in 9.5% and 35.9% of subjects in the </w:t>
      </w:r>
      <w:proofErr w:type="spellStart"/>
      <w:r>
        <w:t>acalabrutinib</w:t>
      </w:r>
      <w:proofErr w:type="spellEnd"/>
      <w:r>
        <w:t xml:space="preserve"> and </w:t>
      </w:r>
      <w:proofErr w:type="spellStart"/>
      <w:r>
        <w:t>idelalisib</w:t>
      </w:r>
      <w:proofErr w:type="spellEnd"/>
      <w:r>
        <w:t>/</w:t>
      </w:r>
      <w:proofErr w:type="spellStart"/>
      <w:r>
        <w:t>bendamustine</w:t>
      </w:r>
      <w:proofErr w:type="spellEnd"/>
      <w:r>
        <w:t>/rituximab t</w:t>
      </w:r>
      <w:r w:rsidR="007F02D9">
        <w:t xml:space="preserve">reatment groups, respectively. </w:t>
      </w:r>
      <w:r>
        <w:t>The Kapla</w:t>
      </w:r>
      <w:r w:rsidR="007F02D9">
        <w:t xml:space="preserve">n </w:t>
      </w:r>
      <w:r>
        <w:t xml:space="preserve">Meier estimate of the proportion of responders without a PFS event at 12 months was 85.5% for the </w:t>
      </w:r>
      <w:proofErr w:type="spellStart"/>
      <w:r>
        <w:t>acalabrutinib</w:t>
      </w:r>
      <w:proofErr w:type="spellEnd"/>
      <w:r>
        <w:t xml:space="preserve"> treatment group and 59.</w:t>
      </w:r>
      <w:r w:rsidR="007F02D9">
        <w:t>5% for the other treatment arm.</w:t>
      </w:r>
    </w:p>
    <w:p w14:paraId="3D0E435E" w14:textId="77777777" w:rsidR="00036490" w:rsidRDefault="00036490" w:rsidP="00036490">
      <w:r>
        <w:t xml:space="preserve">Time to next treatment was also significantly prolonged in favour of the </w:t>
      </w:r>
      <w:proofErr w:type="spellStart"/>
      <w:r>
        <w:t>acalabrutinib</w:t>
      </w:r>
      <w:proofErr w:type="spellEnd"/>
      <w:r>
        <w:t xml:space="preserve"> treatment group. (HR</w:t>
      </w:r>
      <w:r w:rsidR="007F02D9">
        <w:t xml:space="preserve"> </w:t>
      </w:r>
      <w:r>
        <w:t>=</w:t>
      </w:r>
      <w:r w:rsidR="007F02D9">
        <w:t xml:space="preserve"> 0.35 (</w:t>
      </w:r>
      <w:r>
        <w:t>95% CI: 0.21, 0.58; p</w:t>
      </w:r>
      <w:r w:rsidR="007F02D9">
        <w:t xml:space="preserve"> </w:t>
      </w:r>
      <w:r>
        <w:t>&lt;</w:t>
      </w:r>
      <w:r w:rsidR="007F02D9">
        <w:t xml:space="preserve"> 0.0001)). The Kaplan </w:t>
      </w:r>
      <w:r>
        <w:t>Meier estimate of the percentage of those not yet having started anot</w:t>
      </w:r>
      <w:r w:rsidR="007F02D9">
        <w:t>her anti-cancer treatment at 12 </w:t>
      </w:r>
      <w:r>
        <w:t xml:space="preserve">months was 88.9% and 79.7% for the </w:t>
      </w:r>
      <w:proofErr w:type="spellStart"/>
      <w:r>
        <w:t>acalabrutinib</w:t>
      </w:r>
      <w:proofErr w:type="spellEnd"/>
      <w:r>
        <w:t xml:space="preserve"> and other treatments, respectively.</w:t>
      </w:r>
    </w:p>
    <w:p w14:paraId="673B50BA" w14:textId="77777777" w:rsidR="00036490" w:rsidRDefault="00036490" w:rsidP="00A74922">
      <w:r>
        <w:t xml:space="preserve">This study demonstrated statistically significant favourable differences in PFS as the primary outcome measure for those taking </w:t>
      </w:r>
      <w:proofErr w:type="spellStart"/>
      <w:r>
        <w:t>acalabrutinib</w:t>
      </w:r>
      <w:proofErr w:type="spellEnd"/>
      <w:r>
        <w:t xml:space="preserve"> in relapsed or refractory CLL in comparison to other treatments. A variety of secondary measures, as shown above, were also in favour of </w:t>
      </w:r>
      <w:proofErr w:type="spellStart"/>
      <w:r>
        <w:t>acalabrutinib</w:t>
      </w:r>
      <w:proofErr w:type="spellEnd"/>
      <w:r>
        <w:t xml:space="preserve">. Median OS was not reached although this is not surprising given the natural course of the disease. While median PFS was not reached for </w:t>
      </w:r>
      <w:proofErr w:type="spellStart"/>
      <w:r>
        <w:t>acalabrutinib</w:t>
      </w:r>
      <w:proofErr w:type="spellEnd"/>
      <w:r>
        <w:t>, one can conclude it is comparable or longer than those historically found with comparable treatments.</w:t>
      </w:r>
    </w:p>
    <w:p w14:paraId="6994D8C4" w14:textId="77777777" w:rsidR="00036490" w:rsidRPr="00036490" w:rsidRDefault="00036490" w:rsidP="00036490">
      <w:pPr>
        <w:pStyle w:val="Heading4"/>
      </w:pPr>
      <w:r w:rsidRPr="003F08CF">
        <w:t>Safety</w:t>
      </w:r>
    </w:p>
    <w:p w14:paraId="0E4CD84F" w14:textId="5BFB14C3" w:rsidR="00036490" w:rsidRDefault="00036490" w:rsidP="00036490">
      <w:r>
        <w:t xml:space="preserve">While safety data derived from multiple sources, the two principal studies </w:t>
      </w:r>
      <w:r w:rsidR="00EF4961">
        <w:t>(the</w:t>
      </w:r>
      <w:r w:rsidR="00C47755">
        <w:t xml:space="preserve"> </w:t>
      </w:r>
      <w:r>
        <w:t xml:space="preserve">ASCEND and </w:t>
      </w:r>
      <w:r w:rsidRPr="00C47755">
        <w:t>ELEVATE</w:t>
      </w:r>
      <w:r w:rsidR="008D189F">
        <w:t>-TN</w:t>
      </w:r>
      <w:r>
        <w:t xml:space="preserve"> </w:t>
      </w:r>
      <w:r w:rsidR="00EF4961">
        <w:t xml:space="preserve">trials) </w:t>
      </w:r>
      <w:r>
        <w:t xml:space="preserve">were key new data for this submission. The submission for the MCL indication </w:t>
      </w:r>
      <w:r w:rsidR="007F02D9">
        <w:t>(</w:t>
      </w:r>
      <w:r w:rsidR="00EF4961">
        <w:t xml:space="preserve">submission </w:t>
      </w:r>
      <w:r w:rsidR="007F02D9" w:rsidRPr="00036490">
        <w:t>PM-2019-03536-1-6</w:t>
      </w:r>
      <w:r w:rsidR="007F02D9">
        <w:t xml:space="preserve">) </w:t>
      </w:r>
      <w:r>
        <w:t xml:space="preserve">provided the initial safety profile for </w:t>
      </w:r>
      <w:proofErr w:type="spellStart"/>
      <w:r>
        <w:t>acalabrutinib</w:t>
      </w:r>
      <w:proofErr w:type="spellEnd"/>
      <w:r>
        <w:t xml:space="preserve">. Eight other studies in CLL and other </w:t>
      </w:r>
      <w:proofErr w:type="spellStart"/>
      <w:r>
        <w:t>haematologic</w:t>
      </w:r>
      <w:proofErr w:type="spellEnd"/>
      <w:r>
        <w:t xml:space="preserve"> malignancies provided supportive data (</w:t>
      </w:r>
      <w:r w:rsidR="007F02D9">
        <w:t xml:space="preserve">in the summary of clinical safety for </w:t>
      </w:r>
      <w:r>
        <w:t>CLL).</w:t>
      </w:r>
    </w:p>
    <w:p w14:paraId="351300E7" w14:textId="77777777" w:rsidR="00036490" w:rsidRDefault="007F02D9" w:rsidP="00036490">
      <w:r>
        <w:t>Total exposure is</w:t>
      </w:r>
      <w:r w:rsidR="00036490">
        <w:t xml:space="preserve"> summarised in</w:t>
      </w:r>
      <w:r>
        <w:t xml:space="preserve"> </w:t>
      </w:r>
      <w:r>
        <w:fldChar w:fldCharType="begin"/>
      </w:r>
      <w:r>
        <w:instrText xml:space="preserve"> REF _Ref26169985 \h </w:instrText>
      </w:r>
      <w:r>
        <w:fldChar w:fldCharType="separate"/>
      </w:r>
      <w:r>
        <w:t xml:space="preserve">Table </w:t>
      </w:r>
      <w:r>
        <w:rPr>
          <w:noProof/>
        </w:rPr>
        <w:t>2</w:t>
      </w:r>
      <w:r>
        <w:fldChar w:fldCharType="end"/>
      </w:r>
      <w:r>
        <w:t>.</w:t>
      </w:r>
    </w:p>
    <w:p w14:paraId="35166C38" w14:textId="77777777" w:rsidR="007F02D9" w:rsidRDefault="007F02D9" w:rsidP="007F02D9">
      <w:pPr>
        <w:pStyle w:val="TableTitle"/>
      </w:pPr>
      <w:bookmarkStart w:id="42" w:name="_Ref26169985"/>
      <w:r>
        <w:lastRenderedPageBreak/>
        <w:t xml:space="preserve">Table </w:t>
      </w:r>
      <w:r w:rsidR="0052476B">
        <w:fldChar w:fldCharType="begin"/>
      </w:r>
      <w:r w:rsidR="0052476B">
        <w:instrText xml:space="preserve"> SEQ Table \* ARABIC </w:instrText>
      </w:r>
      <w:r w:rsidR="0052476B">
        <w:fldChar w:fldCharType="separate"/>
      </w:r>
      <w:r>
        <w:rPr>
          <w:noProof/>
        </w:rPr>
        <w:t>2</w:t>
      </w:r>
      <w:r w:rsidR="0052476B">
        <w:rPr>
          <w:noProof/>
        </w:rPr>
        <w:fldChar w:fldCharType="end"/>
      </w:r>
      <w:bookmarkEnd w:id="42"/>
      <w:r>
        <w:t>: Total subjects from clinical studies that contributed safety data to this submission</w:t>
      </w:r>
    </w:p>
    <w:p w14:paraId="38427311" w14:textId="77777777" w:rsidR="00036490" w:rsidRDefault="007F02D9" w:rsidP="00036490">
      <w:r>
        <w:rPr>
          <w:noProof/>
          <w:lang w:eastAsia="en-AU"/>
        </w:rPr>
        <w:drawing>
          <wp:inline distT="0" distB="0" distL="0" distR="0" wp14:anchorId="033EAB79" wp14:editId="1644E334">
            <wp:extent cx="5511569" cy="3569817"/>
            <wp:effectExtent l="0" t="0" r="0" b="0"/>
            <wp:docPr id="1" name="Picture 1" descr="Total subjects from clinical studies that contributed safety data to this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13600" cy="3571132"/>
                    </a:xfrm>
                    <a:prstGeom prst="rect">
                      <a:avLst/>
                    </a:prstGeom>
                  </pic:spPr>
                </pic:pic>
              </a:graphicData>
            </a:graphic>
          </wp:inline>
        </w:drawing>
      </w:r>
    </w:p>
    <w:p w14:paraId="68451B08" w14:textId="77777777" w:rsidR="00036490" w:rsidRDefault="00036490" w:rsidP="00036490">
      <w:r>
        <w:t>Subject numbers involved are sufficient to circumscribe a safety profile.</w:t>
      </w:r>
    </w:p>
    <w:p w14:paraId="3E2AE32A" w14:textId="5346C813" w:rsidR="00036490" w:rsidRPr="00C47755" w:rsidRDefault="00036490" w:rsidP="00036490">
      <w:pPr>
        <w:pStyle w:val="Heading5"/>
      </w:pPr>
      <w:r w:rsidRPr="00C47755">
        <w:t>ELEVATE</w:t>
      </w:r>
      <w:r w:rsidR="008D189F" w:rsidRPr="00C47755">
        <w:t>-TN</w:t>
      </w:r>
      <w:r w:rsidR="00EF4961" w:rsidRPr="00C47755">
        <w:t xml:space="preserve"> trial</w:t>
      </w:r>
    </w:p>
    <w:p w14:paraId="0E599342" w14:textId="6732C1BA" w:rsidR="00036490" w:rsidRPr="00C47755" w:rsidRDefault="00036490" w:rsidP="00036490">
      <w:r w:rsidRPr="00C47755">
        <w:t>The ELEVATE</w:t>
      </w:r>
      <w:r w:rsidR="008D189F" w:rsidRPr="00C47755">
        <w:t>-TN</w:t>
      </w:r>
      <w:r w:rsidRPr="00C47755">
        <w:t xml:space="preserve"> trial included 178 subjects in the </w:t>
      </w:r>
      <w:proofErr w:type="spellStart"/>
      <w:r w:rsidRPr="00C47755">
        <w:t>acalabrutinib</w:t>
      </w:r>
      <w:proofErr w:type="spellEnd"/>
      <w:r w:rsidR="007F02D9" w:rsidRPr="00C47755">
        <w:t xml:space="preserve"> </w:t>
      </w:r>
      <w:r w:rsidRPr="00C47755">
        <w:t>+</w:t>
      </w:r>
      <w:r w:rsidR="007F02D9" w:rsidRPr="00C47755">
        <w:t xml:space="preserve"> </w:t>
      </w:r>
      <w:proofErr w:type="spellStart"/>
      <w:r w:rsidRPr="00C47755">
        <w:t>obinutuzumab</w:t>
      </w:r>
      <w:proofErr w:type="spellEnd"/>
      <w:r w:rsidRPr="00C47755">
        <w:t xml:space="preserve"> arm, 224 in </w:t>
      </w:r>
      <w:proofErr w:type="spellStart"/>
      <w:r w:rsidRPr="00C47755">
        <w:t>acalabrutinib</w:t>
      </w:r>
      <w:proofErr w:type="spellEnd"/>
      <w:r w:rsidRPr="00C47755">
        <w:t xml:space="preserve"> monotherapy (incorporating crossover patients), and 169 in the </w:t>
      </w:r>
      <w:proofErr w:type="spellStart"/>
      <w:r w:rsidRPr="00C47755">
        <w:t>obinutuzumab</w:t>
      </w:r>
      <w:proofErr w:type="spellEnd"/>
      <w:r w:rsidR="007F02D9" w:rsidRPr="00C47755">
        <w:t xml:space="preserve"> </w:t>
      </w:r>
      <w:r w:rsidRPr="00C47755">
        <w:t>+</w:t>
      </w:r>
      <w:r w:rsidR="007F02D9" w:rsidRPr="00C47755">
        <w:t xml:space="preserve"> </w:t>
      </w:r>
      <w:proofErr w:type="spellStart"/>
      <w:r w:rsidRPr="00C47755">
        <w:t>chlorambucil</w:t>
      </w:r>
      <w:proofErr w:type="spellEnd"/>
      <w:r w:rsidRPr="00C47755">
        <w:t xml:space="preserve"> arm. The monotherapy group includes 45 subjects that crossed over to receive </w:t>
      </w:r>
      <w:proofErr w:type="spellStart"/>
      <w:r w:rsidRPr="00C47755">
        <w:t>acalabrutinib</w:t>
      </w:r>
      <w:proofErr w:type="spellEnd"/>
      <w:r w:rsidRPr="00C47755">
        <w:t xml:space="preserve"> from the </w:t>
      </w:r>
      <w:proofErr w:type="spellStart"/>
      <w:r w:rsidRPr="00C47755">
        <w:t>obinutuzumab</w:t>
      </w:r>
      <w:proofErr w:type="spellEnd"/>
      <w:r w:rsidR="007F02D9" w:rsidRPr="00C47755">
        <w:t xml:space="preserve"> </w:t>
      </w:r>
      <w:r w:rsidRPr="00C47755">
        <w:t>+</w:t>
      </w:r>
      <w:r w:rsidR="007F02D9" w:rsidRPr="00C47755">
        <w:t xml:space="preserve"> </w:t>
      </w:r>
      <w:proofErr w:type="spellStart"/>
      <w:r w:rsidRPr="00C47755">
        <w:t>chlorambucil</w:t>
      </w:r>
      <w:proofErr w:type="spellEnd"/>
      <w:r w:rsidRPr="00C47755">
        <w:t xml:space="preserve"> arm upon IRC confirmed disease progression.</w:t>
      </w:r>
    </w:p>
    <w:p w14:paraId="1D730C04" w14:textId="0BC4F1B6" w:rsidR="00036490" w:rsidRDefault="00036490" w:rsidP="00036490">
      <w:pPr>
        <w:rPr>
          <w:rFonts w:asciiTheme="minorHAnsi" w:hAnsiTheme="minorHAnsi"/>
        </w:rPr>
      </w:pPr>
      <w:r w:rsidRPr="00C47755">
        <w:rPr>
          <w:rFonts w:asciiTheme="minorHAnsi" w:hAnsiTheme="minorHAnsi"/>
        </w:rPr>
        <w:t>Median exposure for ELEVATE</w:t>
      </w:r>
      <w:r w:rsidR="008D189F" w:rsidRPr="00C47755">
        <w:rPr>
          <w:rFonts w:asciiTheme="minorHAnsi" w:hAnsiTheme="minorHAnsi"/>
        </w:rPr>
        <w:t>-TN</w:t>
      </w:r>
      <w:r w:rsidRPr="00C47755">
        <w:rPr>
          <w:rFonts w:asciiTheme="minorHAnsi" w:hAnsiTheme="minorHAnsi"/>
        </w:rPr>
        <w:t xml:space="preserve"> </w:t>
      </w:r>
      <w:r w:rsidR="00EF4961" w:rsidRPr="00C47755">
        <w:rPr>
          <w:rFonts w:asciiTheme="minorHAnsi" w:hAnsiTheme="minorHAnsi"/>
        </w:rPr>
        <w:t>trial</w:t>
      </w:r>
      <w:r w:rsidR="00EF4961">
        <w:rPr>
          <w:rFonts w:asciiTheme="minorHAnsi" w:hAnsiTheme="minorHAnsi"/>
        </w:rPr>
        <w:t xml:space="preserve"> </w:t>
      </w:r>
      <w:r>
        <w:rPr>
          <w:rFonts w:asciiTheme="minorHAnsi" w:hAnsiTheme="minorHAnsi"/>
        </w:rPr>
        <w:t xml:space="preserve">subjects to </w:t>
      </w:r>
      <w:proofErr w:type="spellStart"/>
      <w:r>
        <w:rPr>
          <w:rFonts w:asciiTheme="minorHAnsi" w:hAnsiTheme="minorHAnsi"/>
        </w:rPr>
        <w:t>acalabrutinib</w:t>
      </w:r>
      <w:proofErr w:type="spellEnd"/>
      <w:r>
        <w:rPr>
          <w:rFonts w:asciiTheme="minorHAnsi" w:hAnsiTheme="minorHAnsi"/>
        </w:rPr>
        <w:t xml:space="preserve"> was 27.7 </w:t>
      </w:r>
      <w:r w:rsidR="007F02D9">
        <w:rPr>
          <w:rFonts w:asciiTheme="minorHAnsi" w:hAnsiTheme="minorHAnsi"/>
        </w:rPr>
        <w:t xml:space="preserve">months (range 0.7 to </w:t>
      </w:r>
      <w:r>
        <w:rPr>
          <w:rFonts w:asciiTheme="minorHAnsi" w:hAnsiTheme="minorHAnsi"/>
        </w:rPr>
        <w:t xml:space="preserve">40.3) in the </w:t>
      </w:r>
      <w:proofErr w:type="spellStart"/>
      <w:r>
        <w:rPr>
          <w:rFonts w:asciiTheme="minorHAnsi" w:hAnsiTheme="minorHAnsi"/>
        </w:rPr>
        <w:t>acalabrutinib</w:t>
      </w:r>
      <w:proofErr w:type="spellEnd"/>
      <w:r w:rsidR="007F02D9">
        <w:rPr>
          <w:rFonts w:asciiTheme="minorHAnsi" w:hAnsiTheme="minorHAnsi"/>
        </w:rPr>
        <w:t xml:space="preserve"> </w:t>
      </w:r>
      <w:r>
        <w:rPr>
          <w:rFonts w:asciiTheme="minorHAnsi" w:hAnsiTheme="minorHAnsi"/>
        </w:rPr>
        <w:t>+</w:t>
      </w:r>
      <w:r w:rsidR="007F02D9">
        <w:rPr>
          <w:rFonts w:asciiTheme="minorHAnsi" w:hAnsiTheme="minorHAnsi"/>
        </w:rPr>
        <w:t xml:space="preserve"> </w:t>
      </w:r>
      <w:proofErr w:type="spellStart"/>
      <w:r w:rsidR="007F02D9">
        <w:rPr>
          <w:rFonts w:asciiTheme="minorHAnsi" w:hAnsiTheme="minorHAnsi"/>
        </w:rPr>
        <w:t>obinutuzumab</w:t>
      </w:r>
      <w:proofErr w:type="spellEnd"/>
      <w:r w:rsidR="007F02D9">
        <w:rPr>
          <w:rFonts w:asciiTheme="minorHAnsi" w:hAnsiTheme="minorHAnsi"/>
        </w:rPr>
        <w:t xml:space="preserve"> arm, and 27.7 (range 0.3 to </w:t>
      </w:r>
      <w:r>
        <w:rPr>
          <w:rFonts w:asciiTheme="minorHAnsi" w:hAnsiTheme="minorHAnsi"/>
        </w:rPr>
        <w:t xml:space="preserve">40.2) in the </w:t>
      </w:r>
      <w:proofErr w:type="spellStart"/>
      <w:r>
        <w:rPr>
          <w:rFonts w:asciiTheme="minorHAnsi" w:hAnsiTheme="minorHAnsi"/>
        </w:rPr>
        <w:t>acalabrutinib</w:t>
      </w:r>
      <w:proofErr w:type="spellEnd"/>
      <w:r>
        <w:rPr>
          <w:rFonts w:asciiTheme="minorHAnsi" w:hAnsiTheme="minorHAnsi"/>
        </w:rPr>
        <w:t xml:space="preserve"> monotherapy arm, with 88.8% and 86.0% respectively receiving at least a year of treatment. Of note is the median duration </w:t>
      </w:r>
      <w:r w:rsidR="002A754E">
        <w:rPr>
          <w:rFonts w:asciiTheme="minorHAnsi" w:hAnsiTheme="minorHAnsi"/>
        </w:rPr>
        <w:t xml:space="preserve">of </w:t>
      </w:r>
      <w:proofErr w:type="spellStart"/>
      <w:r w:rsidR="002A754E">
        <w:rPr>
          <w:rFonts w:asciiTheme="minorHAnsi" w:hAnsiTheme="minorHAnsi"/>
        </w:rPr>
        <w:t>obinutuzumab</w:t>
      </w:r>
      <w:proofErr w:type="spellEnd"/>
      <w:r w:rsidR="002A754E">
        <w:rPr>
          <w:rFonts w:asciiTheme="minorHAnsi" w:hAnsiTheme="minorHAnsi"/>
        </w:rPr>
        <w:t xml:space="preserve"> at 5.5 months (range</w:t>
      </w:r>
      <w:r>
        <w:rPr>
          <w:rFonts w:asciiTheme="minorHAnsi" w:hAnsiTheme="minorHAnsi"/>
        </w:rPr>
        <w:t xml:space="preserve"> </w:t>
      </w:r>
      <w:r w:rsidR="002A754E">
        <w:rPr>
          <w:rFonts w:asciiTheme="minorHAnsi" w:hAnsiTheme="minorHAnsi"/>
        </w:rPr>
        <w:t xml:space="preserve">0.9 to </w:t>
      </w:r>
      <w:r>
        <w:rPr>
          <w:rFonts w:asciiTheme="minorHAnsi" w:hAnsiTheme="minorHAnsi"/>
        </w:rPr>
        <w:t xml:space="preserve">7.1) in the </w:t>
      </w:r>
      <w:proofErr w:type="spellStart"/>
      <w:r>
        <w:rPr>
          <w:rFonts w:asciiTheme="minorHAnsi" w:hAnsiTheme="minorHAnsi"/>
        </w:rPr>
        <w:t>acalabrutinib</w:t>
      </w:r>
      <w:proofErr w:type="spellEnd"/>
      <w:r w:rsidR="002A754E">
        <w:rPr>
          <w:rFonts w:asciiTheme="minorHAnsi" w:hAnsiTheme="minorHAnsi"/>
        </w:rPr>
        <w:t xml:space="preserve"> </w:t>
      </w:r>
      <w:r>
        <w:rPr>
          <w:rFonts w:asciiTheme="minorHAnsi" w:hAnsiTheme="minorHAnsi"/>
        </w:rPr>
        <w:t>+</w:t>
      </w:r>
      <w:r w:rsidR="002A754E">
        <w:rPr>
          <w:rFonts w:asciiTheme="minorHAnsi" w:hAnsiTheme="minorHAnsi"/>
        </w:rPr>
        <w:t xml:space="preserve"> </w:t>
      </w:r>
      <w:proofErr w:type="spellStart"/>
      <w:r>
        <w:rPr>
          <w:rFonts w:asciiTheme="minorHAnsi" w:hAnsiTheme="minorHAnsi"/>
        </w:rPr>
        <w:t>ob</w:t>
      </w:r>
      <w:r w:rsidR="002A754E">
        <w:rPr>
          <w:rFonts w:asciiTheme="minorHAnsi" w:hAnsiTheme="minorHAnsi"/>
        </w:rPr>
        <w:t>inutuzumab</w:t>
      </w:r>
      <w:proofErr w:type="spellEnd"/>
      <w:r w:rsidR="002A754E">
        <w:rPr>
          <w:rFonts w:asciiTheme="minorHAnsi" w:hAnsiTheme="minorHAnsi"/>
        </w:rPr>
        <w:t xml:space="preserve"> arm and 5.6 months (range 0.9 to </w:t>
      </w:r>
      <w:r>
        <w:rPr>
          <w:rFonts w:asciiTheme="minorHAnsi" w:hAnsiTheme="minorHAnsi"/>
        </w:rPr>
        <w:t xml:space="preserve">7.4) in the </w:t>
      </w:r>
      <w:proofErr w:type="spellStart"/>
      <w:r>
        <w:rPr>
          <w:rFonts w:asciiTheme="minorHAnsi" w:hAnsiTheme="minorHAnsi"/>
        </w:rPr>
        <w:t>obinutuzumab</w:t>
      </w:r>
      <w:proofErr w:type="spellEnd"/>
      <w:r w:rsidR="002A754E">
        <w:rPr>
          <w:rFonts w:asciiTheme="minorHAnsi" w:hAnsiTheme="minorHAnsi"/>
        </w:rPr>
        <w:t xml:space="preserve"> </w:t>
      </w:r>
      <w:r>
        <w:rPr>
          <w:rFonts w:asciiTheme="minorHAnsi" w:hAnsiTheme="minorHAnsi"/>
        </w:rPr>
        <w:t>+</w:t>
      </w:r>
      <w:r w:rsidR="002A754E">
        <w:rPr>
          <w:rFonts w:asciiTheme="minorHAnsi" w:hAnsiTheme="minorHAnsi"/>
        </w:rPr>
        <w:t xml:space="preserve"> </w:t>
      </w:r>
      <w:proofErr w:type="spellStart"/>
      <w:r>
        <w:rPr>
          <w:rFonts w:asciiTheme="minorHAnsi" w:hAnsiTheme="minorHAnsi"/>
        </w:rPr>
        <w:t>chlorambucil</w:t>
      </w:r>
      <w:proofErr w:type="spellEnd"/>
      <w:r>
        <w:rPr>
          <w:rFonts w:asciiTheme="minorHAnsi" w:hAnsiTheme="minorHAnsi"/>
        </w:rPr>
        <w:t xml:space="preserve"> arm. The median exposure to </w:t>
      </w:r>
      <w:proofErr w:type="spellStart"/>
      <w:r>
        <w:rPr>
          <w:rFonts w:asciiTheme="minorHAnsi" w:hAnsiTheme="minorHAnsi"/>
        </w:rPr>
        <w:t>chlorambucil</w:t>
      </w:r>
      <w:proofErr w:type="spellEnd"/>
      <w:r>
        <w:rPr>
          <w:rFonts w:asciiTheme="minorHAnsi" w:hAnsiTheme="minorHAnsi"/>
        </w:rPr>
        <w:t xml:space="preserve"> in the sole a</w:t>
      </w:r>
      <w:r w:rsidR="002A754E">
        <w:rPr>
          <w:rFonts w:asciiTheme="minorHAnsi" w:hAnsiTheme="minorHAnsi"/>
        </w:rPr>
        <w:t xml:space="preserve">rm it was used was 5.5 months (range 0.5 to </w:t>
      </w:r>
      <w:r>
        <w:rPr>
          <w:rFonts w:asciiTheme="minorHAnsi" w:hAnsiTheme="minorHAnsi"/>
        </w:rPr>
        <w:t xml:space="preserve">7.2). For those 45 crossover patients, </w:t>
      </w:r>
      <w:r w:rsidR="002A754E">
        <w:rPr>
          <w:rFonts w:asciiTheme="minorHAnsi" w:hAnsiTheme="minorHAnsi"/>
        </w:rPr>
        <w:t>median exposure was 11 months (range 2.0 to 23.5).</w:t>
      </w:r>
    </w:p>
    <w:p w14:paraId="61A0C267" w14:textId="3C40FAF8" w:rsidR="00036490" w:rsidRDefault="00036490" w:rsidP="00036490">
      <w:pPr>
        <w:rPr>
          <w:rFonts w:asciiTheme="minorHAnsi" w:hAnsiTheme="minorHAnsi"/>
        </w:rPr>
      </w:pPr>
      <w:r>
        <w:rPr>
          <w:rFonts w:asciiTheme="minorHAnsi" w:hAnsiTheme="minorHAnsi"/>
        </w:rPr>
        <w:t xml:space="preserve">Common </w:t>
      </w:r>
      <w:r w:rsidR="002A754E">
        <w:rPr>
          <w:rFonts w:asciiTheme="minorHAnsi" w:hAnsiTheme="minorHAnsi"/>
        </w:rPr>
        <w:t>treatment emergent adverse events (TEAE)</w:t>
      </w:r>
      <w:r>
        <w:rPr>
          <w:rFonts w:asciiTheme="minorHAnsi" w:hAnsiTheme="minorHAnsi"/>
        </w:rPr>
        <w:t xml:space="preserve"> occurring in the </w:t>
      </w:r>
      <w:proofErr w:type="spellStart"/>
      <w:r>
        <w:rPr>
          <w:rFonts w:asciiTheme="minorHAnsi" w:hAnsiTheme="minorHAnsi"/>
        </w:rPr>
        <w:t>acalabrutinib</w:t>
      </w:r>
      <w:proofErr w:type="spellEnd"/>
      <w:r w:rsidR="0034571D">
        <w:rPr>
          <w:rFonts w:asciiTheme="minorHAnsi" w:hAnsiTheme="minorHAnsi"/>
        </w:rPr>
        <w:t> </w:t>
      </w:r>
      <w:r>
        <w:rPr>
          <w:rFonts w:asciiTheme="minorHAnsi" w:hAnsiTheme="minorHAnsi"/>
        </w:rPr>
        <w:t>+</w:t>
      </w:r>
      <w:r w:rsidR="0034571D">
        <w:rPr>
          <w:rFonts w:asciiTheme="minorHAnsi" w:hAnsiTheme="minorHAnsi"/>
        </w:rPr>
        <w:t> </w:t>
      </w:r>
      <w:proofErr w:type="spellStart"/>
      <w:r>
        <w:rPr>
          <w:rFonts w:asciiTheme="minorHAnsi" w:hAnsiTheme="minorHAnsi"/>
        </w:rPr>
        <w:t>obinutuzumab</w:t>
      </w:r>
      <w:proofErr w:type="spellEnd"/>
      <w:r>
        <w:rPr>
          <w:rFonts w:asciiTheme="minorHAnsi" w:hAnsiTheme="minorHAnsi"/>
        </w:rPr>
        <w:t xml:space="preserve"> arm were headache, diarrhoea and </w:t>
      </w:r>
      <w:proofErr w:type="spellStart"/>
      <w:r>
        <w:rPr>
          <w:rFonts w:asciiTheme="minorHAnsi" w:hAnsiTheme="minorHAnsi"/>
        </w:rPr>
        <w:t>neutrop</w:t>
      </w:r>
      <w:r w:rsidR="006A03F7">
        <w:rPr>
          <w:rFonts w:asciiTheme="minorHAnsi" w:hAnsiTheme="minorHAnsi"/>
        </w:rPr>
        <w:t>a</w:t>
      </w:r>
      <w:r>
        <w:rPr>
          <w:rFonts w:asciiTheme="minorHAnsi" w:hAnsiTheme="minorHAnsi"/>
        </w:rPr>
        <w:t>enia</w:t>
      </w:r>
      <w:proofErr w:type="spellEnd"/>
      <w:r>
        <w:rPr>
          <w:rFonts w:asciiTheme="minorHAnsi" w:hAnsiTheme="minorHAnsi"/>
        </w:rPr>
        <w:t xml:space="preserve"> occurring in 39.9%, 38.8% and 31.5% of subjects, respectively. Other events occurring in 20% or more of subjects included cough, contusion, arthralgia, fatigue, nausea and upper respiratory tract infection</w:t>
      </w:r>
      <w:r w:rsidR="006A03F7">
        <w:rPr>
          <w:rFonts w:asciiTheme="minorHAnsi" w:hAnsiTheme="minorHAnsi"/>
        </w:rPr>
        <w:t xml:space="preserve"> (URTI)</w:t>
      </w:r>
      <w:r>
        <w:rPr>
          <w:rFonts w:asciiTheme="minorHAnsi" w:hAnsiTheme="minorHAnsi"/>
        </w:rPr>
        <w:t xml:space="preserve">. In </w:t>
      </w:r>
      <w:proofErr w:type="spellStart"/>
      <w:r>
        <w:rPr>
          <w:rFonts w:asciiTheme="minorHAnsi" w:hAnsiTheme="minorHAnsi"/>
        </w:rPr>
        <w:t>acalabrutinib</w:t>
      </w:r>
      <w:proofErr w:type="spellEnd"/>
      <w:r>
        <w:rPr>
          <w:rFonts w:asciiTheme="minorHAnsi" w:hAnsiTheme="minorHAnsi"/>
        </w:rPr>
        <w:t xml:space="preserve"> mo</w:t>
      </w:r>
      <w:r w:rsidR="0034571D">
        <w:rPr>
          <w:rFonts w:asciiTheme="minorHAnsi" w:hAnsiTheme="minorHAnsi"/>
        </w:rPr>
        <w:t>notherapy, the most common TEAE</w:t>
      </w:r>
      <w:r>
        <w:rPr>
          <w:rFonts w:asciiTheme="minorHAnsi" w:hAnsiTheme="minorHAnsi"/>
        </w:rPr>
        <w:t xml:space="preserve"> were headache (36.9%), diarrhoea (34.6%), and nausea (22.3%).</w:t>
      </w:r>
    </w:p>
    <w:p w14:paraId="6F4ED829" w14:textId="35E6F7C7" w:rsidR="00036490" w:rsidRDefault="00036490" w:rsidP="00036490">
      <w:pPr>
        <w:rPr>
          <w:rFonts w:asciiTheme="minorHAnsi" w:hAnsiTheme="minorHAnsi"/>
        </w:rPr>
      </w:pPr>
      <w:r>
        <w:rPr>
          <w:rFonts w:asciiTheme="minorHAnsi" w:hAnsiTheme="minorHAnsi"/>
        </w:rPr>
        <w:t>Most com</w:t>
      </w:r>
      <w:r w:rsidR="0034571D">
        <w:rPr>
          <w:rFonts w:asciiTheme="minorHAnsi" w:hAnsiTheme="minorHAnsi"/>
        </w:rPr>
        <w:t>mon Grade 3 or higher TEAE</w:t>
      </w:r>
      <w:r>
        <w:rPr>
          <w:rFonts w:asciiTheme="minorHAnsi" w:hAnsiTheme="minorHAnsi"/>
        </w:rPr>
        <w:t xml:space="preserve"> for </w:t>
      </w:r>
      <w:proofErr w:type="spellStart"/>
      <w:r>
        <w:rPr>
          <w:rFonts w:asciiTheme="minorHAnsi" w:hAnsiTheme="minorHAnsi"/>
        </w:rPr>
        <w:t>acalabrutinib</w:t>
      </w:r>
      <w:proofErr w:type="spellEnd"/>
      <w:r w:rsidR="0034571D">
        <w:rPr>
          <w:rFonts w:asciiTheme="minorHAnsi" w:hAnsiTheme="minorHAnsi"/>
        </w:rPr>
        <w:t xml:space="preserve"> </w:t>
      </w:r>
      <w:r>
        <w:rPr>
          <w:rFonts w:asciiTheme="minorHAnsi" w:hAnsiTheme="minorHAnsi"/>
        </w:rPr>
        <w:t>+</w:t>
      </w:r>
      <w:r w:rsidR="00030CC4">
        <w:rPr>
          <w:rFonts w:asciiTheme="minorHAnsi" w:hAnsiTheme="minorHAnsi"/>
        </w:rPr>
        <w:t xml:space="preserve"> </w:t>
      </w:r>
      <w:proofErr w:type="spellStart"/>
      <w:r>
        <w:rPr>
          <w:rFonts w:asciiTheme="minorHAnsi" w:hAnsiTheme="minorHAnsi"/>
        </w:rPr>
        <w:t>obinutuzumab</w:t>
      </w:r>
      <w:proofErr w:type="spellEnd"/>
      <w:r>
        <w:rPr>
          <w:rFonts w:asciiTheme="minorHAnsi" w:hAnsiTheme="minorHAnsi"/>
        </w:rPr>
        <w:t xml:space="preserve">, </w:t>
      </w:r>
      <w:proofErr w:type="spellStart"/>
      <w:r>
        <w:rPr>
          <w:rFonts w:asciiTheme="minorHAnsi" w:hAnsiTheme="minorHAnsi"/>
        </w:rPr>
        <w:t>acalabrutinib</w:t>
      </w:r>
      <w:proofErr w:type="spellEnd"/>
      <w:r>
        <w:rPr>
          <w:rFonts w:asciiTheme="minorHAnsi" w:hAnsiTheme="minorHAnsi"/>
        </w:rPr>
        <w:t xml:space="preserve"> monotherapy, and </w:t>
      </w:r>
      <w:proofErr w:type="spellStart"/>
      <w:r>
        <w:rPr>
          <w:rFonts w:asciiTheme="minorHAnsi" w:hAnsiTheme="minorHAnsi"/>
        </w:rPr>
        <w:t>obinutuzumab</w:t>
      </w:r>
      <w:proofErr w:type="spellEnd"/>
      <w:r w:rsidR="0034571D">
        <w:rPr>
          <w:rFonts w:asciiTheme="minorHAnsi" w:hAnsiTheme="minorHAnsi"/>
        </w:rPr>
        <w:t xml:space="preserve"> </w:t>
      </w:r>
      <w:r>
        <w:rPr>
          <w:rFonts w:asciiTheme="minorHAnsi" w:hAnsiTheme="minorHAnsi"/>
        </w:rPr>
        <w:t>+</w:t>
      </w:r>
      <w:r w:rsidR="0034571D">
        <w:rPr>
          <w:rFonts w:asciiTheme="minorHAnsi" w:hAnsiTheme="minorHAnsi"/>
        </w:rPr>
        <w:t xml:space="preserve"> </w:t>
      </w:r>
      <w:proofErr w:type="spellStart"/>
      <w:r>
        <w:rPr>
          <w:rFonts w:asciiTheme="minorHAnsi" w:hAnsiTheme="minorHAnsi"/>
        </w:rPr>
        <w:t>chlorambucil</w:t>
      </w:r>
      <w:proofErr w:type="spellEnd"/>
      <w:r>
        <w:rPr>
          <w:rFonts w:asciiTheme="minorHAnsi" w:hAnsiTheme="minorHAnsi"/>
        </w:rPr>
        <w:t xml:space="preserve">, respectively, were </w:t>
      </w:r>
      <w:proofErr w:type="spellStart"/>
      <w:r>
        <w:rPr>
          <w:rFonts w:asciiTheme="minorHAnsi" w:hAnsiTheme="minorHAnsi"/>
        </w:rPr>
        <w:t>neutrop</w:t>
      </w:r>
      <w:r w:rsidR="006A03F7">
        <w:rPr>
          <w:rFonts w:asciiTheme="minorHAnsi" w:hAnsiTheme="minorHAnsi"/>
        </w:rPr>
        <w:t>a</w:t>
      </w:r>
      <w:r>
        <w:rPr>
          <w:rFonts w:asciiTheme="minorHAnsi" w:hAnsiTheme="minorHAnsi"/>
        </w:rPr>
        <w:t>enia</w:t>
      </w:r>
      <w:proofErr w:type="spellEnd"/>
      <w:r>
        <w:rPr>
          <w:rFonts w:asciiTheme="minorHAnsi" w:hAnsiTheme="minorHAnsi"/>
        </w:rPr>
        <w:t xml:space="preserve"> (29.8%, 9.5% and 41.4%), </w:t>
      </w:r>
      <w:proofErr w:type="spellStart"/>
      <w:r>
        <w:rPr>
          <w:rFonts w:asciiTheme="minorHAnsi" w:hAnsiTheme="minorHAnsi"/>
        </w:rPr>
        <w:t>thrombocytopaenia</w:t>
      </w:r>
      <w:proofErr w:type="spellEnd"/>
      <w:r>
        <w:rPr>
          <w:rFonts w:asciiTheme="minorHAnsi" w:hAnsiTheme="minorHAnsi"/>
        </w:rPr>
        <w:t xml:space="preserve"> (8.4%, 2.8% and 11.8%) and anaemia (5.6%, 6.7% and 7.1%). Note the considerably lower incidence of </w:t>
      </w:r>
      <w:proofErr w:type="spellStart"/>
      <w:r>
        <w:rPr>
          <w:rFonts w:asciiTheme="minorHAnsi" w:hAnsiTheme="minorHAnsi"/>
        </w:rPr>
        <w:t>neutrop</w:t>
      </w:r>
      <w:r w:rsidR="006A03F7">
        <w:rPr>
          <w:rFonts w:asciiTheme="minorHAnsi" w:hAnsiTheme="minorHAnsi"/>
        </w:rPr>
        <w:t>a</w:t>
      </w:r>
      <w:r>
        <w:rPr>
          <w:rFonts w:asciiTheme="minorHAnsi" w:hAnsiTheme="minorHAnsi"/>
        </w:rPr>
        <w:t>enia</w:t>
      </w:r>
      <w:proofErr w:type="spellEnd"/>
      <w:r>
        <w:rPr>
          <w:rFonts w:asciiTheme="minorHAnsi" w:hAnsiTheme="minorHAnsi"/>
        </w:rPr>
        <w:t xml:space="preserve"> in the </w:t>
      </w:r>
      <w:proofErr w:type="spellStart"/>
      <w:r>
        <w:rPr>
          <w:rFonts w:asciiTheme="minorHAnsi" w:hAnsiTheme="minorHAnsi"/>
        </w:rPr>
        <w:t>acalabrutini</w:t>
      </w:r>
      <w:r w:rsidR="0034571D">
        <w:rPr>
          <w:rFonts w:asciiTheme="minorHAnsi" w:hAnsiTheme="minorHAnsi"/>
        </w:rPr>
        <w:t>b</w:t>
      </w:r>
      <w:proofErr w:type="spellEnd"/>
      <w:r w:rsidR="0034571D">
        <w:rPr>
          <w:rFonts w:asciiTheme="minorHAnsi" w:hAnsiTheme="minorHAnsi"/>
        </w:rPr>
        <w:t xml:space="preserve"> monotherapy arm. In fact, </w:t>
      </w:r>
      <w:r w:rsidR="008D189F">
        <w:rPr>
          <w:rFonts w:asciiTheme="minorHAnsi" w:hAnsiTheme="minorHAnsi"/>
        </w:rPr>
        <w:t xml:space="preserve">the overall rate of </w:t>
      </w:r>
      <w:r w:rsidR="0034571D">
        <w:rPr>
          <w:rFonts w:asciiTheme="minorHAnsi" w:hAnsiTheme="minorHAnsi"/>
        </w:rPr>
        <w:t>TEAE</w:t>
      </w:r>
      <w:r w:rsidR="008D189F">
        <w:rPr>
          <w:rFonts w:asciiTheme="minorHAnsi" w:hAnsiTheme="minorHAnsi"/>
        </w:rPr>
        <w:t>s</w:t>
      </w:r>
      <w:r>
        <w:rPr>
          <w:rFonts w:asciiTheme="minorHAnsi" w:hAnsiTheme="minorHAnsi"/>
        </w:rPr>
        <w:t xml:space="preserve"> </w:t>
      </w:r>
      <w:r w:rsidR="008D189F">
        <w:rPr>
          <w:rFonts w:asciiTheme="minorHAnsi" w:hAnsiTheme="minorHAnsi"/>
        </w:rPr>
        <w:t>was</w:t>
      </w:r>
      <w:r>
        <w:rPr>
          <w:rFonts w:asciiTheme="minorHAnsi" w:hAnsiTheme="minorHAnsi"/>
        </w:rPr>
        <w:t xml:space="preserve"> reported less frequently in the </w:t>
      </w:r>
      <w:proofErr w:type="spellStart"/>
      <w:r w:rsidR="0034571D">
        <w:rPr>
          <w:rFonts w:asciiTheme="minorHAnsi" w:hAnsiTheme="minorHAnsi"/>
        </w:rPr>
        <w:lastRenderedPageBreak/>
        <w:t>acalabrutinib</w:t>
      </w:r>
      <w:proofErr w:type="spellEnd"/>
      <w:r w:rsidR="0034571D">
        <w:rPr>
          <w:rFonts w:asciiTheme="minorHAnsi" w:hAnsiTheme="minorHAnsi"/>
        </w:rPr>
        <w:t xml:space="preserve"> monotherapy arm versus</w:t>
      </w:r>
      <w:r>
        <w:rPr>
          <w:rFonts w:asciiTheme="minorHAnsi" w:hAnsiTheme="minorHAnsi"/>
        </w:rPr>
        <w:t xml:space="preserve"> </w:t>
      </w:r>
      <w:proofErr w:type="spellStart"/>
      <w:r>
        <w:rPr>
          <w:rFonts w:asciiTheme="minorHAnsi" w:hAnsiTheme="minorHAnsi"/>
        </w:rPr>
        <w:t>acalabrutinib</w:t>
      </w:r>
      <w:proofErr w:type="spellEnd"/>
      <w:r w:rsidR="0034571D">
        <w:rPr>
          <w:rFonts w:asciiTheme="minorHAnsi" w:hAnsiTheme="minorHAnsi"/>
        </w:rPr>
        <w:t xml:space="preserve"> </w:t>
      </w:r>
      <w:r>
        <w:rPr>
          <w:rFonts w:asciiTheme="minorHAnsi" w:hAnsiTheme="minorHAnsi"/>
        </w:rPr>
        <w:t>+</w:t>
      </w:r>
      <w:r w:rsidR="0034571D">
        <w:rPr>
          <w:rFonts w:asciiTheme="minorHAnsi" w:hAnsiTheme="minorHAnsi"/>
        </w:rPr>
        <w:t xml:space="preserve"> </w:t>
      </w:r>
      <w:proofErr w:type="spellStart"/>
      <w:r>
        <w:rPr>
          <w:rFonts w:asciiTheme="minorHAnsi" w:hAnsiTheme="minorHAnsi"/>
        </w:rPr>
        <w:t>obinutuzumab</w:t>
      </w:r>
      <w:proofErr w:type="spellEnd"/>
      <w:r>
        <w:rPr>
          <w:rFonts w:asciiTheme="minorHAnsi" w:hAnsiTheme="minorHAnsi"/>
        </w:rPr>
        <w:t xml:space="preserve"> or </w:t>
      </w:r>
      <w:proofErr w:type="spellStart"/>
      <w:r>
        <w:rPr>
          <w:rFonts w:asciiTheme="minorHAnsi" w:hAnsiTheme="minorHAnsi"/>
        </w:rPr>
        <w:t>obinutuzumab</w:t>
      </w:r>
      <w:proofErr w:type="spellEnd"/>
      <w:r w:rsidR="0034571D">
        <w:rPr>
          <w:rFonts w:asciiTheme="minorHAnsi" w:hAnsiTheme="minorHAnsi"/>
        </w:rPr>
        <w:t> </w:t>
      </w:r>
      <w:r>
        <w:rPr>
          <w:rFonts w:asciiTheme="minorHAnsi" w:hAnsiTheme="minorHAnsi"/>
        </w:rPr>
        <w:t>+</w:t>
      </w:r>
      <w:r w:rsidR="0034571D">
        <w:rPr>
          <w:rFonts w:asciiTheme="minorHAnsi" w:hAnsiTheme="minorHAnsi"/>
        </w:rPr>
        <w:t> </w:t>
      </w:r>
      <w:proofErr w:type="spellStart"/>
      <w:r w:rsidR="0034571D">
        <w:rPr>
          <w:rFonts w:asciiTheme="minorHAnsi" w:hAnsiTheme="minorHAnsi"/>
        </w:rPr>
        <w:t>chlorambucil</w:t>
      </w:r>
      <w:proofErr w:type="spellEnd"/>
      <w:r w:rsidR="0034571D">
        <w:rPr>
          <w:rFonts w:asciiTheme="minorHAnsi" w:hAnsiTheme="minorHAnsi"/>
        </w:rPr>
        <w:t xml:space="preserve"> (65.7% versus</w:t>
      </w:r>
      <w:r>
        <w:rPr>
          <w:rFonts w:asciiTheme="minorHAnsi" w:hAnsiTheme="minorHAnsi"/>
        </w:rPr>
        <w:t xml:space="preserve"> 80.9% and 91.1%, respectively).</w:t>
      </w:r>
    </w:p>
    <w:p w14:paraId="3EC78891" w14:textId="6722557F" w:rsidR="00036490" w:rsidRDefault="00036490" w:rsidP="00036490">
      <w:pPr>
        <w:rPr>
          <w:rFonts w:asciiTheme="minorHAnsi" w:hAnsiTheme="minorHAnsi"/>
        </w:rPr>
      </w:pPr>
      <w:r>
        <w:rPr>
          <w:rFonts w:asciiTheme="minorHAnsi" w:hAnsiTheme="minorHAnsi"/>
        </w:rPr>
        <w:t xml:space="preserve">Treatment emergent </w:t>
      </w:r>
      <w:r w:rsidR="0034571D">
        <w:rPr>
          <w:rFonts w:asciiTheme="minorHAnsi" w:hAnsiTheme="minorHAnsi"/>
        </w:rPr>
        <w:t>serious adverse events (SAE)</w:t>
      </w:r>
      <w:r>
        <w:rPr>
          <w:rFonts w:asciiTheme="minorHAnsi" w:hAnsiTheme="minorHAnsi"/>
        </w:rPr>
        <w:t xml:space="preserve"> occurred in 38.8%, 31.8% and 21.9% in the </w:t>
      </w:r>
      <w:proofErr w:type="spellStart"/>
      <w:r>
        <w:rPr>
          <w:rFonts w:asciiTheme="minorHAnsi" w:hAnsiTheme="minorHAnsi"/>
        </w:rPr>
        <w:t>acalabrutinib</w:t>
      </w:r>
      <w:proofErr w:type="spellEnd"/>
      <w:r w:rsidR="002F7A99">
        <w:rPr>
          <w:rFonts w:asciiTheme="minorHAnsi" w:hAnsiTheme="minorHAnsi"/>
        </w:rPr>
        <w:t xml:space="preserve"> </w:t>
      </w:r>
      <w:r>
        <w:rPr>
          <w:rFonts w:asciiTheme="minorHAnsi" w:hAnsiTheme="minorHAnsi"/>
        </w:rPr>
        <w:t>+</w:t>
      </w:r>
      <w:r w:rsidR="002F7A99">
        <w:rPr>
          <w:rFonts w:asciiTheme="minorHAnsi" w:hAnsiTheme="minorHAnsi"/>
        </w:rPr>
        <w:t xml:space="preserve"> </w:t>
      </w:r>
      <w:proofErr w:type="spellStart"/>
      <w:r>
        <w:rPr>
          <w:rFonts w:asciiTheme="minorHAnsi" w:hAnsiTheme="minorHAnsi"/>
        </w:rPr>
        <w:t>obinutuzumab</w:t>
      </w:r>
      <w:proofErr w:type="spellEnd"/>
      <w:r>
        <w:rPr>
          <w:rFonts w:asciiTheme="minorHAnsi" w:hAnsiTheme="minorHAnsi"/>
        </w:rPr>
        <w:t xml:space="preserve">, </w:t>
      </w:r>
      <w:proofErr w:type="spellStart"/>
      <w:r>
        <w:rPr>
          <w:rFonts w:asciiTheme="minorHAnsi" w:hAnsiTheme="minorHAnsi"/>
        </w:rPr>
        <w:t>acalabrutinib</w:t>
      </w:r>
      <w:proofErr w:type="spellEnd"/>
      <w:r>
        <w:rPr>
          <w:rFonts w:asciiTheme="minorHAnsi" w:hAnsiTheme="minorHAnsi"/>
        </w:rPr>
        <w:t xml:space="preserve"> monotherapy, and </w:t>
      </w:r>
      <w:proofErr w:type="spellStart"/>
      <w:r>
        <w:rPr>
          <w:rFonts w:asciiTheme="minorHAnsi" w:hAnsiTheme="minorHAnsi"/>
        </w:rPr>
        <w:t>obinutuzumab</w:t>
      </w:r>
      <w:proofErr w:type="spellEnd"/>
      <w:r w:rsidR="002F7A99">
        <w:rPr>
          <w:rFonts w:asciiTheme="minorHAnsi" w:hAnsiTheme="minorHAnsi"/>
        </w:rPr>
        <w:t> </w:t>
      </w:r>
      <w:r>
        <w:rPr>
          <w:rFonts w:asciiTheme="minorHAnsi" w:hAnsiTheme="minorHAnsi"/>
        </w:rPr>
        <w:t>+</w:t>
      </w:r>
      <w:r w:rsidR="002F7A99">
        <w:rPr>
          <w:rFonts w:asciiTheme="minorHAnsi" w:hAnsiTheme="minorHAnsi"/>
        </w:rPr>
        <w:t> </w:t>
      </w:r>
      <w:proofErr w:type="spellStart"/>
      <w:r>
        <w:rPr>
          <w:rFonts w:asciiTheme="minorHAnsi" w:hAnsiTheme="minorHAnsi"/>
        </w:rPr>
        <w:t>chlorambucil</w:t>
      </w:r>
      <w:proofErr w:type="spellEnd"/>
      <w:r>
        <w:rPr>
          <w:rFonts w:asciiTheme="minorHAnsi" w:hAnsiTheme="minorHAnsi"/>
        </w:rPr>
        <w:t xml:space="preserve"> treatment arms. Most of these were Grade 3 or above (32.6%, 29.6%</w:t>
      </w:r>
      <w:r w:rsidR="006A03F7">
        <w:rPr>
          <w:rFonts w:asciiTheme="minorHAnsi" w:hAnsiTheme="minorHAnsi"/>
        </w:rPr>
        <w:t xml:space="preserve"> and</w:t>
      </w:r>
      <w:r>
        <w:rPr>
          <w:rFonts w:asciiTheme="minorHAnsi" w:hAnsiTheme="minorHAnsi"/>
        </w:rPr>
        <w:t xml:space="preserve"> 19.5%, respectively).</w:t>
      </w:r>
    </w:p>
    <w:p w14:paraId="07CEFD45" w14:textId="77777777" w:rsidR="00036490" w:rsidRDefault="002F7A99" w:rsidP="00036490">
      <w:r>
        <w:t>TEAE</w:t>
      </w:r>
      <w:r w:rsidR="00036490">
        <w:t xml:space="preserve"> leading to a withholding of </w:t>
      </w:r>
      <w:proofErr w:type="spellStart"/>
      <w:r w:rsidR="00036490">
        <w:t>acalabrutinib</w:t>
      </w:r>
      <w:proofErr w:type="spellEnd"/>
      <w:r w:rsidR="00036490">
        <w:t xml:space="preserve"> were fairly common, occurring in 43.8% and 34.1% of the </w:t>
      </w:r>
      <w:proofErr w:type="spellStart"/>
      <w:r w:rsidR="00036490">
        <w:t>acalabrutinib</w:t>
      </w:r>
      <w:proofErr w:type="spellEnd"/>
      <w:r>
        <w:t xml:space="preserve"> </w:t>
      </w:r>
      <w:r w:rsidR="00036490">
        <w:t>+</w:t>
      </w:r>
      <w:r>
        <w:t xml:space="preserve"> </w:t>
      </w:r>
      <w:proofErr w:type="spellStart"/>
      <w:r w:rsidR="00036490">
        <w:t>obinutuzumab</w:t>
      </w:r>
      <w:proofErr w:type="spellEnd"/>
      <w:r w:rsidR="00036490">
        <w:t xml:space="preserve"> and </w:t>
      </w:r>
      <w:proofErr w:type="spellStart"/>
      <w:r w:rsidR="00036490">
        <w:t>acalabrutinib</w:t>
      </w:r>
      <w:proofErr w:type="spellEnd"/>
      <w:r w:rsidR="00036490">
        <w:t xml:space="preserve"> monotherapy arms, respectively; however, events causing discontinuation were much fewer (6.2% and 5.9%, respectively). Events resulting in dose reduction occurred in 6.7% and 3.9%, respectively.</w:t>
      </w:r>
    </w:p>
    <w:p w14:paraId="2AD6E455" w14:textId="5FC97F94" w:rsidR="00036490" w:rsidRDefault="00036490" w:rsidP="00036490">
      <w:r>
        <w:t xml:space="preserve">The most common cause of death within 30 days of the last dose of study treatment was infection, largely sepsis and pneumonia. Indeed, with the application of a ‘grouping’ of common event terms, analysis revealed an incidence of pneumonia in the </w:t>
      </w:r>
      <w:proofErr w:type="spellStart"/>
      <w:r>
        <w:t>acalabrutinib</w:t>
      </w:r>
      <w:proofErr w:type="spellEnd"/>
      <w:r>
        <w:t xml:space="preserve"> monotherapy arm of 4%, myocardial infarction or </w:t>
      </w:r>
      <w:proofErr w:type="spellStart"/>
      <w:r>
        <w:t>isch</w:t>
      </w:r>
      <w:r w:rsidR="006A03F7">
        <w:t>a</w:t>
      </w:r>
      <w:r>
        <w:t>emia</w:t>
      </w:r>
      <w:proofErr w:type="spellEnd"/>
      <w:r>
        <w:t xml:space="preserve"> of 2% and cardiac failure of 2%. In the </w:t>
      </w:r>
      <w:proofErr w:type="spellStart"/>
      <w:r>
        <w:t>acalabrutinib</w:t>
      </w:r>
      <w:proofErr w:type="spellEnd"/>
      <w:r w:rsidR="002F7A99">
        <w:t xml:space="preserve"> </w:t>
      </w:r>
      <w:r>
        <w:t>+</w:t>
      </w:r>
      <w:r w:rsidR="002F7A99">
        <w:t xml:space="preserve"> </w:t>
      </w:r>
      <w:proofErr w:type="spellStart"/>
      <w:r>
        <w:t>obinutuzumab</w:t>
      </w:r>
      <w:proofErr w:type="spellEnd"/>
      <w:r>
        <w:t xml:space="preserve"> arm, sepsis occurred in 3% and myocardial infarction or </w:t>
      </w:r>
      <w:proofErr w:type="spellStart"/>
      <w:r>
        <w:t>ischaemia</w:t>
      </w:r>
      <w:proofErr w:type="spellEnd"/>
      <w:r>
        <w:t xml:space="preserve"> in 2%.</w:t>
      </w:r>
    </w:p>
    <w:p w14:paraId="1102676D" w14:textId="755ECC6A" w:rsidR="00036490" w:rsidRDefault="00036490" w:rsidP="00036490">
      <w:r>
        <w:t xml:space="preserve">Events of special interest included cardiac arrhythmias, haemorrhage, </w:t>
      </w:r>
      <w:proofErr w:type="spellStart"/>
      <w:r w:rsidR="0048537C">
        <w:t>cytop</w:t>
      </w:r>
      <w:r w:rsidR="007D29FD">
        <w:t>a</w:t>
      </w:r>
      <w:r w:rsidR="0048537C">
        <w:t>enia</w:t>
      </w:r>
      <w:proofErr w:type="spellEnd"/>
      <w:r>
        <w:t xml:space="preserve">, infection and second primary malignancies. These were based upon the known and potential risks of </w:t>
      </w:r>
      <w:proofErr w:type="spellStart"/>
      <w:r>
        <w:t>acalabrutinib</w:t>
      </w:r>
      <w:proofErr w:type="spellEnd"/>
      <w:r>
        <w:t xml:space="preserve">. While haemorrhage, </w:t>
      </w:r>
      <w:r w:rsidR="007D29FD">
        <w:t>arrhythmias</w:t>
      </w:r>
      <w:r>
        <w:t xml:space="preserve">, </w:t>
      </w:r>
      <w:proofErr w:type="spellStart"/>
      <w:r w:rsidR="0048537C">
        <w:t>cytop</w:t>
      </w:r>
      <w:r w:rsidR="007D29FD">
        <w:t>a</w:t>
      </w:r>
      <w:r w:rsidR="0048537C">
        <w:t>enia</w:t>
      </w:r>
      <w:proofErr w:type="spellEnd"/>
      <w:r w:rsidR="0048537C">
        <w:t xml:space="preserve"> </w:t>
      </w:r>
      <w:r>
        <w:t xml:space="preserve">and infections all featured in trial data, they were not of a pattern to result in unfavourable risk-benefit overall. Rates of secondary primary malignancy were similar across arms in the </w:t>
      </w:r>
      <w:r w:rsidRPr="00C71051">
        <w:t>ELEVATE</w:t>
      </w:r>
      <w:r w:rsidR="002D61EF">
        <w:t>-TN</w:t>
      </w:r>
      <w:r>
        <w:t xml:space="preserve"> trial, most being basal and squamous cell carcinomas of the skin. Seven patients given </w:t>
      </w:r>
      <w:proofErr w:type="spellStart"/>
      <w:r>
        <w:t>acalabrutinib</w:t>
      </w:r>
      <w:proofErr w:type="spellEnd"/>
      <w:r>
        <w:t xml:space="preserve"> on various treatment arms de</w:t>
      </w:r>
      <w:r w:rsidR="002F7A99">
        <w:t>veloped Richter’s syndrome (that is,</w:t>
      </w:r>
      <w:r>
        <w:t xml:space="preserve"> transformation to a more aggressive lymphoma).</w:t>
      </w:r>
    </w:p>
    <w:p w14:paraId="24466C35" w14:textId="77777777" w:rsidR="00036490" w:rsidRDefault="00036490" w:rsidP="00036490">
      <w:r>
        <w:t>No new concerns</w:t>
      </w:r>
      <w:r w:rsidR="002F7A99">
        <w:t xml:space="preserve"> have been identified from post </w:t>
      </w:r>
      <w:r>
        <w:t>market experience which was est</w:t>
      </w:r>
      <w:r w:rsidR="002F7A99">
        <w:t xml:space="preserve">imated at 735 patient </w:t>
      </w:r>
      <w:r>
        <w:t>years.</w:t>
      </w:r>
    </w:p>
    <w:p w14:paraId="3CB1FC27" w14:textId="6F40CCD4" w:rsidR="00036490" w:rsidRPr="00036490" w:rsidRDefault="00036490" w:rsidP="00036490">
      <w:r>
        <w:t xml:space="preserve">While use of </w:t>
      </w:r>
      <w:proofErr w:type="spellStart"/>
      <w:r>
        <w:t>acalabrutinib</w:t>
      </w:r>
      <w:proofErr w:type="spellEnd"/>
      <w:r>
        <w:t xml:space="preserve"> poses risks, these are known and overall risk-benefit appears to be positive. Adverse events can be mitigated to an extent via supportive care and vigilant monitoring. The </w:t>
      </w:r>
      <w:r w:rsidR="001D60E0">
        <w:t xml:space="preserve">draft </w:t>
      </w:r>
      <w:r w:rsidR="002F7A99">
        <w:t>PI</w:t>
      </w:r>
      <w:r>
        <w:t xml:space="preserve"> document contains information relating to key safety issues including infections, haemorrhage, </w:t>
      </w:r>
      <w:proofErr w:type="spellStart"/>
      <w:r>
        <w:t>cytopaenias</w:t>
      </w:r>
      <w:proofErr w:type="spellEnd"/>
      <w:r>
        <w:t>, secondary primary malignancies and cardiac arrhythmias.</w:t>
      </w:r>
    </w:p>
    <w:p w14:paraId="13234846" w14:textId="5E6E1E74" w:rsidR="00036490" w:rsidRDefault="00036490" w:rsidP="00036490">
      <w:pPr>
        <w:pStyle w:val="Heading5"/>
      </w:pPr>
      <w:r>
        <w:t>ASCEND</w:t>
      </w:r>
      <w:r w:rsidR="000C561A">
        <w:t xml:space="preserve"> trial</w:t>
      </w:r>
    </w:p>
    <w:p w14:paraId="4B9872AE" w14:textId="77777777" w:rsidR="00036490" w:rsidRDefault="00036490" w:rsidP="00036490">
      <w:r>
        <w:t xml:space="preserve">Median duration of exposure to </w:t>
      </w:r>
      <w:proofErr w:type="spellStart"/>
      <w:r>
        <w:t>acalabrutinib</w:t>
      </w:r>
      <w:proofErr w:type="spellEnd"/>
      <w:r>
        <w:t xml:space="preserve"> </w:t>
      </w:r>
      <w:r w:rsidR="002F7A99">
        <w:t xml:space="preserve">in this trial was 15.7 months (range 1.1 to </w:t>
      </w:r>
      <w:r>
        <w:t xml:space="preserve">22.4) and 85.7% of subjects were dosed with drug for a year or more. Median duration </w:t>
      </w:r>
      <w:r w:rsidR="002F7A99">
        <w:t xml:space="preserve">of </w:t>
      </w:r>
      <w:proofErr w:type="spellStart"/>
      <w:r w:rsidR="002F7A99">
        <w:t>idelalisib</w:t>
      </w:r>
      <w:proofErr w:type="spellEnd"/>
      <w:r w:rsidR="002F7A99">
        <w:t xml:space="preserve"> was 11.5 months (range 0.1 to </w:t>
      </w:r>
      <w:r>
        <w:t>2</w:t>
      </w:r>
      <w:r w:rsidR="002F7A99">
        <w:t xml:space="preserve">1.1) and rituximab 5.5 months (range 0.9 to </w:t>
      </w:r>
      <w:r>
        <w:t>8.5).</w:t>
      </w:r>
    </w:p>
    <w:p w14:paraId="32746177" w14:textId="729A3C04" w:rsidR="00036490" w:rsidRDefault="002F7A99" w:rsidP="00036490">
      <w:r>
        <w:t>Common TEAE</w:t>
      </w:r>
      <w:r w:rsidR="00036490">
        <w:t xml:space="preserve"> in 10% or more of </w:t>
      </w:r>
      <w:proofErr w:type="spellStart"/>
      <w:r w:rsidR="00036490">
        <w:t>acalabrutinib</w:t>
      </w:r>
      <w:proofErr w:type="spellEnd"/>
      <w:r w:rsidR="00036490">
        <w:t xml:space="preserve"> treated subjects included headache (22.1%), </w:t>
      </w:r>
      <w:proofErr w:type="spellStart"/>
      <w:r w:rsidR="00036490">
        <w:t>neutropaenia</w:t>
      </w:r>
      <w:proofErr w:type="spellEnd"/>
      <w:r w:rsidR="00036490">
        <w:t xml:space="preserve"> (19.5%), diarrhoea (18.2%) anaemia and cough (both 14.9%), </w:t>
      </w:r>
      <w:r>
        <w:t xml:space="preserve">upper respiratory tract infection (URTI; </w:t>
      </w:r>
      <w:r w:rsidR="00036490">
        <w:t xml:space="preserve">14.3%), pyrexia (12.3%), </w:t>
      </w:r>
      <w:proofErr w:type="spellStart"/>
      <w:r w:rsidR="00036490">
        <w:t>thrombocytopaenia</w:t>
      </w:r>
      <w:proofErr w:type="spellEnd"/>
      <w:r w:rsidR="00036490">
        <w:t xml:space="preserve"> (11.0%) and pneumonia and respiratory tract infection (both 10.4%). </w:t>
      </w:r>
      <w:proofErr w:type="spellStart"/>
      <w:r w:rsidR="00036490">
        <w:t>Acalabrutinib</w:t>
      </w:r>
      <w:proofErr w:type="spellEnd"/>
      <w:r w:rsidR="00036490">
        <w:t xml:space="preserve"> has a significant array of side effects.</w:t>
      </w:r>
    </w:p>
    <w:p w14:paraId="35CBED6B" w14:textId="77777777" w:rsidR="00036490" w:rsidRDefault="00036490" w:rsidP="00036490">
      <w:r>
        <w:t>Those commonly</w:t>
      </w:r>
      <w:r w:rsidR="002F7A99">
        <w:t xml:space="preserve"> reported Grade 3 or above TEAE</w:t>
      </w:r>
      <w:r>
        <w:t xml:space="preserve"> with </w:t>
      </w:r>
      <w:proofErr w:type="spellStart"/>
      <w:r>
        <w:t>acalabrutinib</w:t>
      </w:r>
      <w:proofErr w:type="spellEnd"/>
      <w:r>
        <w:t xml:space="preserve"> were </w:t>
      </w:r>
      <w:proofErr w:type="spellStart"/>
      <w:r>
        <w:t>neutropaenia</w:t>
      </w:r>
      <w:proofErr w:type="spellEnd"/>
      <w:r>
        <w:t xml:space="preserve"> (15.6%), anaemia (11.7%) and pneumonia (5.2%). These Grade 3 or higher TEAE figures compared favourably with the other treatment arm in terms of</w:t>
      </w:r>
      <w:r w:rsidR="002F7A99">
        <w:t xml:space="preserve"> rates of </w:t>
      </w:r>
      <w:proofErr w:type="spellStart"/>
      <w:r w:rsidR="002F7A99">
        <w:t>neutropaenia</w:t>
      </w:r>
      <w:proofErr w:type="spellEnd"/>
      <w:r w:rsidR="002F7A99">
        <w:t xml:space="preserve"> (15.6% versus 39.8%) diarrhoea (1.3% versus</w:t>
      </w:r>
      <w:r>
        <w:t xml:space="preserve"> 23.7%) and raised liver enzymes. Generally speaking, the adverse event profile matched the known safety prof</w:t>
      </w:r>
      <w:r w:rsidR="002F7A99">
        <w:t>ile of the drug. Six fatal TEAE</w:t>
      </w:r>
      <w:r>
        <w:t xml:space="preserve"> occurred in </w:t>
      </w:r>
      <w:proofErr w:type="spellStart"/>
      <w:r>
        <w:t>acalabrutinib</w:t>
      </w:r>
      <w:proofErr w:type="spellEnd"/>
      <w:r>
        <w:t xml:space="preserve"> recipients, compared to </w:t>
      </w:r>
      <w:proofErr w:type="spellStart"/>
      <w:r>
        <w:t>idelalisib</w:t>
      </w:r>
      <w:proofErr w:type="spellEnd"/>
      <w:r>
        <w:t xml:space="preserve">/rituximab (5) and </w:t>
      </w:r>
      <w:proofErr w:type="spellStart"/>
      <w:r>
        <w:t>bendamustine</w:t>
      </w:r>
      <w:proofErr w:type="spellEnd"/>
      <w:r>
        <w:t>/rituximab (2).</w:t>
      </w:r>
    </w:p>
    <w:p w14:paraId="6B5FFDE1" w14:textId="77777777" w:rsidR="00036490" w:rsidRDefault="002F7A99" w:rsidP="00036490">
      <w:r>
        <w:t>Treatment emergent SAE</w:t>
      </w:r>
      <w:r w:rsidR="00036490">
        <w:t xml:space="preserve"> occurred in 28.6%, 55.9% and 25.7% of those receiving </w:t>
      </w:r>
      <w:proofErr w:type="spellStart"/>
      <w:r w:rsidR="00036490">
        <w:t>acalabrutinib</w:t>
      </w:r>
      <w:proofErr w:type="spellEnd"/>
      <w:r w:rsidR="00036490">
        <w:t xml:space="preserve">, </w:t>
      </w:r>
      <w:proofErr w:type="spellStart"/>
      <w:r w:rsidR="00036490">
        <w:t>idelalisib</w:t>
      </w:r>
      <w:proofErr w:type="spellEnd"/>
      <w:r w:rsidR="00036490">
        <w:t xml:space="preserve">/rituximab and </w:t>
      </w:r>
      <w:proofErr w:type="spellStart"/>
      <w:r w:rsidR="00036490">
        <w:t>bendamustine</w:t>
      </w:r>
      <w:proofErr w:type="spellEnd"/>
      <w:r w:rsidR="00036490">
        <w:t xml:space="preserve">/rituximab, respectively. Those of </w:t>
      </w:r>
      <w:r w:rsidR="00036490">
        <w:lastRenderedPageBreak/>
        <w:t>Grade 3 severity or higher occurred in 26.6%, 50.8% and 25.7%, respectively. Thus</w:t>
      </w:r>
      <w:r>
        <w:t>,</w:t>
      </w:r>
      <w:r w:rsidR="00036490">
        <w:t xml:space="preserve"> o</w:t>
      </w:r>
      <w:r>
        <w:t>ne can see that most of the SAE</w:t>
      </w:r>
      <w:r w:rsidR="00036490">
        <w:t xml:space="preserve"> in total were of this severity. Of those reported for </w:t>
      </w:r>
      <w:proofErr w:type="spellStart"/>
      <w:r w:rsidR="00036490">
        <w:t>acalabrutinib</w:t>
      </w:r>
      <w:proofErr w:type="spellEnd"/>
      <w:r w:rsidR="00036490">
        <w:t>, atrial fibrillation was the only one occurring more than once.</w:t>
      </w:r>
    </w:p>
    <w:p w14:paraId="5C9BA30A" w14:textId="483BB821" w:rsidR="00036490" w:rsidRDefault="002F7A99" w:rsidP="00036490">
      <w:r>
        <w:t>TEAE</w:t>
      </w:r>
      <w:r w:rsidR="00036490">
        <w:t xml:space="preserve"> resulting in discontinuation were in 10.4%, 52.5% and 17.1% of </w:t>
      </w:r>
      <w:proofErr w:type="spellStart"/>
      <w:r w:rsidR="00036490">
        <w:t>acalabrutinib</w:t>
      </w:r>
      <w:proofErr w:type="spellEnd"/>
      <w:r w:rsidR="00036490">
        <w:t xml:space="preserve">, </w:t>
      </w:r>
      <w:proofErr w:type="spellStart"/>
      <w:r w:rsidR="00036490">
        <w:t>idelalisib</w:t>
      </w:r>
      <w:proofErr w:type="spellEnd"/>
      <w:r w:rsidR="00036490">
        <w:t xml:space="preserve">/rituximab and </w:t>
      </w:r>
      <w:proofErr w:type="spellStart"/>
      <w:r w:rsidR="00036490">
        <w:t>bendamustine</w:t>
      </w:r>
      <w:proofErr w:type="spellEnd"/>
      <w:r w:rsidR="00036490">
        <w:t xml:space="preserve">/rituximab treatment receivers, respectively. Secondary primary malignancy and infection were the leading causes of this in the </w:t>
      </w:r>
      <w:proofErr w:type="spellStart"/>
      <w:r w:rsidR="00036490">
        <w:t>acalabrutinib</w:t>
      </w:r>
      <w:proofErr w:type="spellEnd"/>
      <w:r w:rsidR="00036490">
        <w:t xml:space="preserve"> arm. Those causing a dose reduction were 3.9%, 12.7% and 14.3% for these treat</w:t>
      </w:r>
      <w:r>
        <w:t>ment groups, respectively. TEAE</w:t>
      </w:r>
      <w:r w:rsidR="00036490">
        <w:t xml:space="preserve"> leading to drug withholding occurred in 33.8%, 64.4% and 20.0% in those same groups, respectively. Respiratory tract infection and </w:t>
      </w:r>
      <w:proofErr w:type="spellStart"/>
      <w:r w:rsidR="00036490">
        <w:t>neutrop</w:t>
      </w:r>
      <w:r w:rsidR="000C561A">
        <w:t>a</w:t>
      </w:r>
      <w:r w:rsidR="00036490">
        <w:t>enia</w:t>
      </w:r>
      <w:proofErr w:type="spellEnd"/>
      <w:r w:rsidR="00036490">
        <w:t xml:space="preserve"> were the main causes of dose interruption for </w:t>
      </w:r>
      <w:proofErr w:type="spellStart"/>
      <w:r w:rsidR="00036490">
        <w:t>acalabrutinib</w:t>
      </w:r>
      <w:proofErr w:type="spellEnd"/>
      <w:r w:rsidR="00036490">
        <w:t>. Hence</w:t>
      </w:r>
      <w:r>
        <w:t>,</w:t>
      </w:r>
      <w:r w:rsidR="00036490">
        <w:t xml:space="preserve"> one can see that the study drug was well tolerated in comparison to other regimens and resulted in both fewer dose reductions and temporary withdrawals of drug as well as treatment discontinuation as a result of adverse effects. The exception to this generalisation being the </w:t>
      </w:r>
      <w:proofErr w:type="spellStart"/>
      <w:r w:rsidR="00036490">
        <w:t>bendamustine</w:t>
      </w:r>
      <w:proofErr w:type="spellEnd"/>
      <w:r w:rsidR="00036490">
        <w:t>/rituximab cohort where treatment withdrawals were most minimal.</w:t>
      </w:r>
    </w:p>
    <w:p w14:paraId="59CA8BAD" w14:textId="77777777" w:rsidR="00036490" w:rsidRDefault="00036490" w:rsidP="00036490">
      <w:r>
        <w:t xml:space="preserve">Haematology, other clinical laboratory values, and other vital signs were predictable for the most part. Lymphocytosis occurred for more subjects treated with </w:t>
      </w:r>
      <w:proofErr w:type="spellStart"/>
      <w:r>
        <w:t>acalabrutinib</w:t>
      </w:r>
      <w:proofErr w:type="spellEnd"/>
      <w:r>
        <w:t xml:space="preserve"> (70.8%) when compared with </w:t>
      </w:r>
      <w:proofErr w:type="spellStart"/>
      <w:r>
        <w:t>idelalisib</w:t>
      </w:r>
      <w:proofErr w:type="spellEnd"/>
      <w:r>
        <w:t xml:space="preserve">/rituximab (50.9%) or </w:t>
      </w:r>
      <w:proofErr w:type="spellStart"/>
      <w:r>
        <w:t>bendamustine</w:t>
      </w:r>
      <w:proofErr w:type="spellEnd"/>
      <w:r>
        <w:t>/rituximab (2.9%). Significant increases in liver enzymes were not a feature of the drug, although it is recommended that those with severe hepatic impairment from other causes should avoid use of the drug.</w:t>
      </w:r>
    </w:p>
    <w:p w14:paraId="4A5D4BE8" w14:textId="0682181B" w:rsidR="00036490" w:rsidRDefault="00036490" w:rsidP="00036490">
      <w:r>
        <w:t xml:space="preserve">Incidence of second primary malignancy, as one of the adverse events of interest, was noted to be substantially higher in </w:t>
      </w:r>
      <w:r w:rsidR="000C561A">
        <w:t xml:space="preserve">the </w:t>
      </w:r>
      <w:r w:rsidRPr="0048537C">
        <w:t xml:space="preserve">ASCEND </w:t>
      </w:r>
      <w:r w:rsidR="000C561A">
        <w:t xml:space="preserve">trial </w:t>
      </w:r>
      <w:r w:rsidRPr="0048537C">
        <w:t>than</w:t>
      </w:r>
      <w:r w:rsidR="000C561A">
        <w:t xml:space="preserve"> in the</w:t>
      </w:r>
      <w:r w:rsidRPr="0048537C">
        <w:t xml:space="preserve"> ELEVATE</w:t>
      </w:r>
      <w:r w:rsidR="0048537C" w:rsidRPr="0048537C">
        <w:t>-TN</w:t>
      </w:r>
      <w:r w:rsidR="000C561A">
        <w:t xml:space="preserve"> trial</w:t>
      </w:r>
      <w:r w:rsidRPr="0048537C">
        <w:t>. Most</w:t>
      </w:r>
      <w:r>
        <w:t xml:space="preserve"> of these were skin cancers, and the </w:t>
      </w:r>
      <w:r w:rsidR="001D60E0">
        <w:t xml:space="preserve">draft </w:t>
      </w:r>
      <w:r>
        <w:t>PI contains appropriate statements on this. One should temper this with the understanding th</w:t>
      </w:r>
      <w:r w:rsidR="00030CC4">
        <w:t xml:space="preserve">at incidences were not exposure </w:t>
      </w:r>
      <w:r>
        <w:t xml:space="preserve">adjusted. Haemorrhage and opportunistic infection are known side effects of </w:t>
      </w:r>
      <w:proofErr w:type="spellStart"/>
      <w:r>
        <w:t>acalabrutinib</w:t>
      </w:r>
      <w:proofErr w:type="spellEnd"/>
      <w:r>
        <w:t xml:space="preserve"> and while significant, their rates do not represent something that would make risk-</w:t>
      </w:r>
      <w:r w:rsidR="0048537C">
        <w:t xml:space="preserve">benefit </w:t>
      </w:r>
      <w:r>
        <w:t>unfavourable.</w:t>
      </w:r>
    </w:p>
    <w:p w14:paraId="44A788FD" w14:textId="77777777" w:rsidR="00456765" w:rsidRPr="00456765" w:rsidRDefault="00036490" w:rsidP="00036490">
      <w:r>
        <w:t>In general, the safety profile was acceptable given the nature of the disease under treatment and the safety profile of treatment regimens with comparable efficacy outcomes. However, an increase in second primary malignancies was noted, which has been incorporated into the PI document.</w:t>
      </w:r>
    </w:p>
    <w:p w14:paraId="6A3F18DD" w14:textId="77777777" w:rsidR="008E7846" w:rsidRDefault="00386150" w:rsidP="007B6132">
      <w:pPr>
        <w:pStyle w:val="Heading3"/>
        <w:rPr>
          <w:lang w:eastAsia="en-AU"/>
        </w:rPr>
      </w:pPr>
      <w:bookmarkStart w:id="43" w:name="_Toc34735377"/>
      <w:r>
        <w:rPr>
          <w:lang w:eastAsia="en-AU"/>
        </w:rPr>
        <w:t>Risk m</w:t>
      </w:r>
      <w:r w:rsidR="008E7846">
        <w:rPr>
          <w:lang w:eastAsia="en-AU"/>
        </w:rPr>
        <w:t xml:space="preserve">anagement </w:t>
      </w:r>
      <w:r>
        <w:rPr>
          <w:lang w:eastAsia="en-AU"/>
        </w:rPr>
        <w:t>p</w:t>
      </w:r>
      <w:r w:rsidR="008E7846">
        <w:rPr>
          <w:lang w:eastAsia="en-AU"/>
        </w:rPr>
        <w:t>lan</w:t>
      </w:r>
      <w:bookmarkEnd w:id="40"/>
      <w:bookmarkEnd w:id="43"/>
    </w:p>
    <w:p w14:paraId="11A9D704" w14:textId="77777777" w:rsidR="00DC370F" w:rsidRDefault="00DC370F" w:rsidP="008E7846">
      <w:r>
        <w:t>The following was noted in the RMP evaluation:</w:t>
      </w:r>
    </w:p>
    <w:p w14:paraId="3BAA6A2D" w14:textId="77777777" w:rsidR="00314721" w:rsidRDefault="00314721" w:rsidP="00DC370F">
      <w:pPr>
        <w:pStyle w:val="ListBullet"/>
      </w:pPr>
      <w:r w:rsidRPr="00314721">
        <w:t>In this submission</w:t>
      </w:r>
      <w:r w:rsidR="002F7A99">
        <w:t>,</w:t>
      </w:r>
      <w:r w:rsidRPr="00314721">
        <w:t xml:space="preserve"> Calquence is proposed to be used for the treatment of </w:t>
      </w:r>
      <w:r w:rsidR="002F7A99">
        <w:t>CLL</w:t>
      </w:r>
      <w:r w:rsidRPr="00314721">
        <w:t xml:space="preserve"> in adults. The proposed dosing regimen involves oral administration of one capsule (100 mg) twice daily until disease progression or unacceptable toxicity.</w:t>
      </w:r>
    </w:p>
    <w:p w14:paraId="13B82342" w14:textId="5D0B5A2D" w:rsidR="00314721" w:rsidRPr="00904A64" w:rsidRDefault="00314721" w:rsidP="00DC370F">
      <w:pPr>
        <w:pStyle w:val="ListBullet"/>
      </w:pPr>
      <w:r>
        <w:t>The sponsor</w:t>
      </w:r>
      <w:r w:rsidRPr="00904A64">
        <w:t xml:space="preserve"> has submitted </w:t>
      </w:r>
      <w:r w:rsidR="000C561A">
        <w:t>c</w:t>
      </w:r>
      <w:r w:rsidRPr="00904A64">
        <w:t xml:space="preserve">ore </w:t>
      </w:r>
      <w:r w:rsidR="000C561A" w:rsidRPr="00904A64">
        <w:t xml:space="preserve">risk management plan </w:t>
      </w:r>
      <w:r w:rsidRPr="00904A64">
        <w:t xml:space="preserve">version 1.0 (date 26 February 2018; </w:t>
      </w:r>
      <w:r>
        <w:t>data lock point (</w:t>
      </w:r>
      <w:r w:rsidRPr="00904A64">
        <w:t>DLP</w:t>
      </w:r>
      <w:r>
        <w:t>)</w:t>
      </w:r>
      <w:r w:rsidRPr="00904A64">
        <w:t xml:space="preserve"> 29 May 2017 (Study A</w:t>
      </w:r>
      <w:r w:rsidR="002F7A99">
        <w:t>CE-LY-004), 3 April 2017 (Study </w:t>
      </w:r>
      <w:r w:rsidRPr="00904A64">
        <w:t>ACE-CL-001), 1 June 2017 (Studies ACE-WM</w:t>
      </w:r>
      <w:r w:rsidR="002F7A99">
        <w:t>-00, 15-H-0016, ACE-LY-002</w:t>
      </w:r>
      <w:r w:rsidR="000C561A">
        <w:t xml:space="preserve">, </w:t>
      </w:r>
      <w:r w:rsidR="002F7A99">
        <w:t>ACE</w:t>
      </w:r>
      <w:r w:rsidR="002F7A99">
        <w:noBreakHyphen/>
      </w:r>
      <w:r w:rsidRPr="00904A64">
        <w:t>LY-003</w:t>
      </w:r>
      <w:r w:rsidR="000C561A">
        <w:t xml:space="preserve"> and</w:t>
      </w:r>
      <w:r w:rsidRPr="00904A64">
        <w:t xml:space="preserve">ACE-MY-001)) and </w:t>
      </w:r>
      <w:r>
        <w:t xml:space="preserve">Australian </w:t>
      </w:r>
      <w:r w:rsidR="000C561A">
        <w:t>s</w:t>
      </w:r>
      <w:r>
        <w:t>pecific Annex (</w:t>
      </w:r>
      <w:r w:rsidRPr="00904A64">
        <w:t>ASA</w:t>
      </w:r>
      <w:r>
        <w:t>)</w:t>
      </w:r>
      <w:r w:rsidRPr="00904A64">
        <w:t xml:space="preserve"> version 1.0 (date 25 July 2019) in support of </w:t>
      </w:r>
      <w:r w:rsidR="000C561A">
        <w:t>submission</w:t>
      </w:r>
      <w:r w:rsidR="000C561A" w:rsidRPr="00904A64">
        <w:t xml:space="preserve"> </w:t>
      </w:r>
      <w:r w:rsidRPr="00904A64">
        <w:t xml:space="preserve">PM-2019-03536-1-6. After </w:t>
      </w:r>
      <w:r>
        <w:t>the first round</w:t>
      </w:r>
      <w:r w:rsidRPr="00904A64">
        <w:t xml:space="preserve"> evaluation the sponsor provided updated </w:t>
      </w:r>
      <w:r w:rsidR="000C561A">
        <w:t>core RMP</w:t>
      </w:r>
      <w:r w:rsidRPr="00904A64">
        <w:t xml:space="preserve"> version 2 (date 19 August 2019; DLP 8 February 2019) and ASA version 1.0 Succession 2 (date 20 September 2019) which are acceptable for evaluatio</w:t>
      </w:r>
      <w:r w:rsidR="002F7A99">
        <w:t xml:space="preserve">n for both </w:t>
      </w:r>
      <w:r w:rsidR="000C561A">
        <w:t xml:space="preserve">submissions </w:t>
      </w:r>
      <w:r w:rsidR="002F7A99">
        <w:t>PM</w:t>
      </w:r>
      <w:r w:rsidR="002F7A99">
        <w:noBreakHyphen/>
        <w:t>2019</w:t>
      </w:r>
      <w:r w:rsidR="002F7A99">
        <w:noBreakHyphen/>
      </w:r>
      <w:r w:rsidRPr="00904A64">
        <w:t>03536-1-6 and PM-2019-04317-1-6.</w:t>
      </w:r>
      <w:r>
        <w:t xml:space="preserve"> After the second round evaluation the sponsor provided updated ASA version 1.0 Succession 3 (date </w:t>
      </w:r>
      <w:r w:rsidRPr="00941367">
        <w:t>8 November 2019</w:t>
      </w:r>
      <w:r>
        <w:t>).</w:t>
      </w:r>
    </w:p>
    <w:p w14:paraId="1A2D4577" w14:textId="3E52B4BC" w:rsidR="00314721" w:rsidRPr="00904A64" w:rsidRDefault="00314721" w:rsidP="00DC370F">
      <w:pPr>
        <w:pStyle w:val="ListBullet"/>
      </w:pPr>
      <w:r w:rsidRPr="00904A64">
        <w:t xml:space="preserve">Evaluation of </w:t>
      </w:r>
      <w:r w:rsidR="001D60E0">
        <w:t xml:space="preserve">submissions </w:t>
      </w:r>
      <w:r w:rsidR="001D60E0" w:rsidRPr="00904A64">
        <w:t>PM-2019-03536-1-6 and PM-2019-04317-1-6</w:t>
      </w:r>
      <w:r w:rsidR="001D60E0">
        <w:t xml:space="preserve"> is </w:t>
      </w:r>
      <w:r w:rsidRPr="00904A64">
        <w:t>contained in</w:t>
      </w:r>
      <w:r>
        <w:t xml:space="preserve"> a single RMP evaluation report.</w:t>
      </w:r>
    </w:p>
    <w:p w14:paraId="55CE9955" w14:textId="0E943242" w:rsidR="00314721" w:rsidRDefault="00314721" w:rsidP="00DC370F">
      <w:pPr>
        <w:pStyle w:val="ListBullet"/>
      </w:pPr>
      <w:r w:rsidRPr="00904A64">
        <w:lastRenderedPageBreak/>
        <w:t>The proposed summary of safety concerns and their associated risk monitoring and mitigation strategies for both s</w:t>
      </w:r>
      <w:r>
        <w:t>ubmissions are summarised in</w:t>
      </w:r>
      <w:r w:rsidR="001D60E0">
        <w:t xml:space="preserve"> </w:t>
      </w:r>
      <w:r w:rsidR="001D60E0">
        <w:fldChar w:fldCharType="begin"/>
      </w:r>
      <w:r w:rsidR="001D60E0">
        <w:instrText xml:space="preserve"> REF _Ref25831563 \h </w:instrText>
      </w:r>
      <w:r w:rsidR="001D60E0">
        <w:fldChar w:fldCharType="separate"/>
      </w:r>
      <w:r w:rsidR="001D60E0">
        <w:t xml:space="preserve">Table </w:t>
      </w:r>
      <w:r w:rsidR="001D60E0">
        <w:rPr>
          <w:noProof/>
        </w:rPr>
        <w:t>3</w:t>
      </w:r>
      <w:r w:rsidR="001D60E0">
        <w:fldChar w:fldCharType="end"/>
      </w:r>
      <w:r>
        <w:t>.</w:t>
      </w:r>
      <w:r w:rsidRPr="00CB3937">
        <w:rPr>
          <w:rStyle w:val="FootnoteReference"/>
          <w:lang w:eastAsia="en-AU"/>
        </w:rPr>
        <w:t xml:space="preserve"> </w:t>
      </w:r>
      <w:r>
        <w:rPr>
          <w:rStyle w:val="FootnoteReference"/>
          <w:lang w:eastAsia="en-AU"/>
        </w:rPr>
        <w:footnoteReference w:id="5"/>
      </w:r>
    </w:p>
    <w:p w14:paraId="71DD2712" w14:textId="77777777" w:rsidR="00314721" w:rsidRDefault="00314721" w:rsidP="00314721">
      <w:pPr>
        <w:pStyle w:val="TableTitle"/>
      </w:pPr>
      <w:bookmarkStart w:id="44" w:name="_Ref25831563"/>
      <w:r>
        <w:t xml:space="preserve">Table </w:t>
      </w:r>
      <w:r w:rsidR="0052476B">
        <w:fldChar w:fldCharType="begin"/>
      </w:r>
      <w:r w:rsidR="0052476B">
        <w:instrText xml:space="preserve"> SEQ Table \* ARABIC </w:instrText>
      </w:r>
      <w:r w:rsidR="0052476B">
        <w:fldChar w:fldCharType="separate"/>
      </w:r>
      <w:r w:rsidR="007F02D9">
        <w:rPr>
          <w:noProof/>
        </w:rPr>
        <w:t>3</w:t>
      </w:r>
      <w:r w:rsidR="0052476B">
        <w:rPr>
          <w:noProof/>
        </w:rPr>
        <w:fldChar w:fldCharType="end"/>
      </w:r>
      <w:bookmarkEnd w:id="44"/>
      <w:r>
        <w:t>: Summary of safety concerns</w:t>
      </w:r>
    </w:p>
    <w:tbl>
      <w:tblPr>
        <w:tblStyle w:val="TableTGAblue"/>
        <w:tblW w:w="8949" w:type="dxa"/>
        <w:tblLayout w:type="fixed"/>
        <w:tblLook w:val="04A0" w:firstRow="1" w:lastRow="0" w:firstColumn="1" w:lastColumn="0" w:noHBand="0" w:noVBand="1"/>
      </w:tblPr>
      <w:tblGrid>
        <w:gridCol w:w="1384"/>
        <w:gridCol w:w="3260"/>
        <w:gridCol w:w="993"/>
        <w:gridCol w:w="1134"/>
        <w:gridCol w:w="992"/>
        <w:gridCol w:w="1186"/>
      </w:tblGrid>
      <w:tr w:rsidR="00314721" w:rsidRPr="00246498" w14:paraId="0A87DF0B" w14:textId="77777777" w:rsidTr="00E72934">
        <w:trPr>
          <w:cnfStyle w:val="100000000000" w:firstRow="1" w:lastRow="0" w:firstColumn="0" w:lastColumn="0" w:oddVBand="0" w:evenVBand="0" w:oddHBand="0" w:evenHBand="0" w:firstRowFirstColumn="0" w:firstRowLastColumn="0" w:lastRowFirstColumn="0" w:lastRowLastColumn="0"/>
          <w:trHeight w:val="131"/>
        </w:trPr>
        <w:tc>
          <w:tcPr>
            <w:tcW w:w="4644" w:type="dxa"/>
            <w:gridSpan w:val="2"/>
            <w:vMerge w:val="restart"/>
          </w:tcPr>
          <w:p w14:paraId="4C30CB89" w14:textId="77777777" w:rsidR="00314721" w:rsidRPr="00246498" w:rsidRDefault="00314721" w:rsidP="00E72934">
            <w:pPr>
              <w:ind w:left="0" w:right="0"/>
              <w:rPr>
                <w:sz w:val="20"/>
                <w:szCs w:val="20"/>
              </w:rPr>
            </w:pPr>
            <w:r w:rsidRPr="00246498">
              <w:rPr>
                <w:sz w:val="20"/>
                <w:szCs w:val="20"/>
              </w:rPr>
              <w:t>Summary of safety concerns</w:t>
            </w:r>
          </w:p>
        </w:tc>
        <w:tc>
          <w:tcPr>
            <w:tcW w:w="2127" w:type="dxa"/>
            <w:gridSpan w:val="2"/>
          </w:tcPr>
          <w:p w14:paraId="06FD1320" w14:textId="77777777" w:rsidR="00314721" w:rsidRPr="00246498" w:rsidRDefault="00314721" w:rsidP="00E72934">
            <w:pPr>
              <w:ind w:left="0" w:right="0"/>
              <w:rPr>
                <w:sz w:val="20"/>
                <w:szCs w:val="20"/>
              </w:rPr>
            </w:pPr>
            <w:r w:rsidRPr="00246498">
              <w:rPr>
                <w:sz w:val="20"/>
                <w:szCs w:val="20"/>
              </w:rPr>
              <w:t>Pharmacovigilance</w:t>
            </w:r>
          </w:p>
        </w:tc>
        <w:tc>
          <w:tcPr>
            <w:tcW w:w="2178" w:type="dxa"/>
            <w:gridSpan w:val="2"/>
          </w:tcPr>
          <w:p w14:paraId="35D369A0" w14:textId="77777777" w:rsidR="00314721" w:rsidRPr="00246498" w:rsidRDefault="00314721" w:rsidP="00E72934">
            <w:pPr>
              <w:ind w:left="0" w:right="0"/>
              <w:rPr>
                <w:sz w:val="20"/>
                <w:szCs w:val="20"/>
              </w:rPr>
            </w:pPr>
            <w:r w:rsidRPr="00246498">
              <w:rPr>
                <w:sz w:val="20"/>
                <w:szCs w:val="20"/>
              </w:rPr>
              <w:t>Risk Minimisation</w:t>
            </w:r>
          </w:p>
        </w:tc>
      </w:tr>
      <w:tr w:rsidR="00314721" w:rsidRPr="00246498" w14:paraId="7FAA52EC" w14:textId="77777777" w:rsidTr="00E72934">
        <w:trPr>
          <w:trHeight w:val="150"/>
        </w:trPr>
        <w:tc>
          <w:tcPr>
            <w:tcW w:w="4644" w:type="dxa"/>
            <w:gridSpan w:val="2"/>
            <w:vMerge/>
          </w:tcPr>
          <w:p w14:paraId="19845A27" w14:textId="77777777" w:rsidR="00314721" w:rsidRPr="00246498" w:rsidRDefault="00314721" w:rsidP="00E72934">
            <w:pPr>
              <w:ind w:left="0" w:right="0"/>
              <w:rPr>
                <w:b/>
                <w:sz w:val="20"/>
                <w:szCs w:val="20"/>
              </w:rPr>
            </w:pPr>
          </w:p>
        </w:tc>
        <w:tc>
          <w:tcPr>
            <w:tcW w:w="993" w:type="dxa"/>
          </w:tcPr>
          <w:p w14:paraId="058343A4" w14:textId="77777777" w:rsidR="00314721" w:rsidRPr="00246498" w:rsidRDefault="00314721" w:rsidP="00E72934">
            <w:pPr>
              <w:ind w:left="0" w:right="0"/>
              <w:rPr>
                <w:sz w:val="20"/>
                <w:szCs w:val="20"/>
              </w:rPr>
            </w:pPr>
            <w:r w:rsidRPr="00246498">
              <w:rPr>
                <w:sz w:val="20"/>
                <w:szCs w:val="20"/>
              </w:rPr>
              <w:t>Routine</w:t>
            </w:r>
          </w:p>
        </w:tc>
        <w:tc>
          <w:tcPr>
            <w:tcW w:w="1134" w:type="dxa"/>
          </w:tcPr>
          <w:p w14:paraId="17C6AA45" w14:textId="77777777" w:rsidR="00314721" w:rsidRPr="00246498" w:rsidRDefault="00314721" w:rsidP="00E72934">
            <w:pPr>
              <w:ind w:left="0" w:right="0"/>
              <w:rPr>
                <w:sz w:val="20"/>
                <w:szCs w:val="20"/>
              </w:rPr>
            </w:pPr>
            <w:r w:rsidRPr="00246498">
              <w:rPr>
                <w:sz w:val="20"/>
                <w:szCs w:val="20"/>
              </w:rPr>
              <w:t>Additional</w:t>
            </w:r>
          </w:p>
        </w:tc>
        <w:tc>
          <w:tcPr>
            <w:tcW w:w="992" w:type="dxa"/>
          </w:tcPr>
          <w:p w14:paraId="3B7EDBAE" w14:textId="77777777" w:rsidR="00314721" w:rsidRPr="00246498" w:rsidRDefault="00314721" w:rsidP="00E72934">
            <w:pPr>
              <w:ind w:left="0" w:right="0"/>
              <w:rPr>
                <w:sz w:val="20"/>
                <w:szCs w:val="20"/>
              </w:rPr>
            </w:pPr>
            <w:r w:rsidRPr="00246498">
              <w:rPr>
                <w:sz w:val="20"/>
                <w:szCs w:val="20"/>
              </w:rPr>
              <w:t>Routine</w:t>
            </w:r>
          </w:p>
        </w:tc>
        <w:tc>
          <w:tcPr>
            <w:tcW w:w="1186" w:type="dxa"/>
          </w:tcPr>
          <w:p w14:paraId="0CBE680C" w14:textId="77777777" w:rsidR="00314721" w:rsidRPr="00246498" w:rsidRDefault="00314721" w:rsidP="00E72934">
            <w:pPr>
              <w:ind w:left="0" w:right="0"/>
              <w:rPr>
                <w:sz w:val="20"/>
                <w:szCs w:val="20"/>
              </w:rPr>
            </w:pPr>
            <w:r w:rsidRPr="00246498">
              <w:rPr>
                <w:sz w:val="20"/>
                <w:szCs w:val="20"/>
              </w:rPr>
              <w:t>Additional</w:t>
            </w:r>
          </w:p>
        </w:tc>
      </w:tr>
      <w:tr w:rsidR="00314721" w:rsidRPr="00246498" w14:paraId="0961B6B8" w14:textId="77777777" w:rsidTr="00C47755">
        <w:trPr>
          <w:trHeight w:val="137"/>
        </w:trPr>
        <w:tc>
          <w:tcPr>
            <w:tcW w:w="1384" w:type="dxa"/>
            <w:vMerge w:val="restart"/>
          </w:tcPr>
          <w:p w14:paraId="443C1B46" w14:textId="77777777" w:rsidR="00314721" w:rsidRPr="00246498" w:rsidRDefault="00314721" w:rsidP="00E72934">
            <w:pPr>
              <w:ind w:left="0" w:right="0"/>
              <w:rPr>
                <w:b/>
                <w:sz w:val="20"/>
                <w:szCs w:val="20"/>
              </w:rPr>
            </w:pPr>
            <w:r w:rsidRPr="00246498">
              <w:rPr>
                <w:b/>
                <w:sz w:val="20"/>
                <w:szCs w:val="20"/>
              </w:rPr>
              <w:t>Important identified risks</w:t>
            </w:r>
          </w:p>
        </w:tc>
        <w:tc>
          <w:tcPr>
            <w:tcW w:w="3260" w:type="dxa"/>
          </w:tcPr>
          <w:p w14:paraId="50EF29DD" w14:textId="77777777" w:rsidR="00314721" w:rsidRPr="00246498" w:rsidRDefault="00314721" w:rsidP="00E72934">
            <w:pPr>
              <w:ind w:left="0" w:right="0"/>
              <w:rPr>
                <w:sz w:val="20"/>
                <w:szCs w:val="20"/>
              </w:rPr>
            </w:pPr>
            <w:r w:rsidRPr="00246498">
              <w:rPr>
                <w:sz w:val="20"/>
                <w:szCs w:val="20"/>
              </w:rPr>
              <w:t>Haemorrhage</w:t>
            </w:r>
          </w:p>
        </w:tc>
        <w:tc>
          <w:tcPr>
            <w:tcW w:w="993" w:type="dxa"/>
          </w:tcPr>
          <w:p w14:paraId="0225F089" w14:textId="77777777" w:rsidR="00314721" w:rsidRPr="00246498" w:rsidRDefault="00314721" w:rsidP="00E72934">
            <w:pPr>
              <w:ind w:left="0" w:right="0"/>
              <w:rPr>
                <w:sz w:val="20"/>
                <w:szCs w:val="20"/>
              </w:rPr>
            </w:pPr>
            <w:r w:rsidRPr="00246498">
              <w:rPr>
                <w:sz w:val="20"/>
                <w:szCs w:val="20"/>
              </w:rPr>
              <w:sym w:font="Wingdings" w:char="F0FC"/>
            </w:r>
          </w:p>
        </w:tc>
        <w:tc>
          <w:tcPr>
            <w:tcW w:w="1134" w:type="dxa"/>
          </w:tcPr>
          <w:p w14:paraId="048964CE" w14:textId="77777777" w:rsidR="00314721" w:rsidRPr="00246498" w:rsidRDefault="00314721" w:rsidP="00E72934">
            <w:pPr>
              <w:ind w:left="0" w:right="0"/>
              <w:rPr>
                <w:sz w:val="20"/>
                <w:szCs w:val="20"/>
              </w:rPr>
            </w:pPr>
            <w:r w:rsidRPr="00246498">
              <w:rPr>
                <w:sz w:val="20"/>
                <w:szCs w:val="20"/>
              </w:rPr>
              <w:t>–</w:t>
            </w:r>
          </w:p>
        </w:tc>
        <w:tc>
          <w:tcPr>
            <w:tcW w:w="992" w:type="dxa"/>
          </w:tcPr>
          <w:p w14:paraId="25ECECAF" w14:textId="77777777" w:rsidR="00314721" w:rsidRPr="00246498" w:rsidRDefault="00314721" w:rsidP="00E72934">
            <w:pPr>
              <w:ind w:left="0" w:right="0"/>
              <w:rPr>
                <w:sz w:val="20"/>
                <w:szCs w:val="20"/>
              </w:rPr>
            </w:pPr>
            <w:r w:rsidRPr="00246498">
              <w:rPr>
                <w:sz w:val="20"/>
                <w:szCs w:val="20"/>
              </w:rPr>
              <w:sym w:font="Wingdings" w:char="F0FC"/>
            </w:r>
          </w:p>
        </w:tc>
        <w:tc>
          <w:tcPr>
            <w:tcW w:w="1186" w:type="dxa"/>
          </w:tcPr>
          <w:p w14:paraId="0D40C8BD" w14:textId="77777777" w:rsidR="00314721" w:rsidRPr="00246498" w:rsidRDefault="00314721" w:rsidP="00E72934">
            <w:pPr>
              <w:ind w:left="0" w:right="0"/>
              <w:rPr>
                <w:sz w:val="20"/>
                <w:szCs w:val="20"/>
              </w:rPr>
            </w:pPr>
            <w:r w:rsidRPr="00246498">
              <w:rPr>
                <w:sz w:val="20"/>
                <w:szCs w:val="20"/>
              </w:rPr>
              <w:t>–</w:t>
            </w:r>
          </w:p>
        </w:tc>
      </w:tr>
      <w:tr w:rsidR="00314721" w:rsidRPr="00246498" w14:paraId="04594314" w14:textId="77777777" w:rsidTr="00C47755">
        <w:trPr>
          <w:trHeight w:val="137"/>
        </w:trPr>
        <w:tc>
          <w:tcPr>
            <w:tcW w:w="1384" w:type="dxa"/>
            <w:vMerge/>
          </w:tcPr>
          <w:p w14:paraId="04AB6795" w14:textId="77777777" w:rsidR="00314721" w:rsidRPr="00246498" w:rsidRDefault="00314721" w:rsidP="00E72934">
            <w:pPr>
              <w:ind w:left="0" w:right="0"/>
              <w:rPr>
                <w:b/>
                <w:sz w:val="20"/>
                <w:szCs w:val="20"/>
              </w:rPr>
            </w:pPr>
          </w:p>
        </w:tc>
        <w:tc>
          <w:tcPr>
            <w:tcW w:w="3260" w:type="dxa"/>
          </w:tcPr>
          <w:p w14:paraId="3EB179D6" w14:textId="77777777" w:rsidR="00314721" w:rsidRPr="00246498" w:rsidRDefault="00314721" w:rsidP="00E72934">
            <w:pPr>
              <w:ind w:left="0" w:right="0"/>
              <w:rPr>
                <w:sz w:val="20"/>
                <w:szCs w:val="20"/>
              </w:rPr>
            </w:pPr>
            <w:r w:rsidRPr="00246498">
              <w:rPr>
                <w:sz w:val="20"/>
                <w:szCs w:val="20"/>
              </w:rPr>
              <w:t>Infections</w:t>
            </w:r>
          </w:p>
        </w:tc>
        <w:tc>
          <w:tcPr>
            <w:tcW w:w="993" w:type="dxa"/>
          </w:tcPr>
          <w:p w14:paraId="399BD980" w14:textId="77777777" w:rsidR="00314721" w:rsidRPr="00246498" w:rsidRDefault="00314721" w:rsidP="00E72934">
            <w:pPr>
              <w:ind w:left="0" w:right="0"/>
              <w:rPr>
                <w:sz w:val="20"/>
                <w:szCs w:val="20"/>
              </w:rPr>
            </w:pPr>
            <w:r w:rsidRPr="00246498">
              <w:rPr>
                <w:sz w:val="20"/>
                <w:szCs w:val="20"/>
              </w:rPr>
              <w:sym w:font="Wingdings" w:char="F0FC"/>
            </w:r>
          </w:p>
        </w:tc>
        <w:tc>
          <w:tcPr>
            <w:tcW w:w="1134" w:type="dxa"/>
          </w:tcPr>
          <w:p w14:paraId="2AF3E210" w14:textId="77777777" w:rsidR="00314721" w:rsidRPr="00246498" w:rsidRDefault="00314721" w:rsidP="00E72934">
            <w:pPr>
              <w:ind w:left="0" w:right="0"/>
              <w:rPr>
                <w:sz w:val="20"/>
                <w:szCs w:val="20"/>
              </w:rPr>
            </w:pPr>
            <w:r w:rsidRPr="00246498">
              <w:rPr>
                <w:sz w:val="20"/>
                <w:szCs w:val="20"/>
              </w:rPr>
              <w:t>–</w:t>
            </w:r>
          </w:p>
        </w:tc>
        <w:tc>
          <w:tcPr>
            <w:tcW w:w="992" w:type="dxa"/>
          </w:tcPr>
          <w:p w14:paraId="69343C21" w14:textId="77777777" w:rsidR="00314721" w:rsidRPr="00246498" w:rsidRDefault="00314721" w:rsidP="00E72934">
            <w:pPr>
              <w:ind w:left="0" w:right="0"/>
              <w:rPr>
                <w:sz w:val="20"/>
                <w:szCs w:val="20"/>
              </w:rPr>
            </w:pPr>
            <w:r w:rsidRPr="00246498">
              <w:rPr>
                <w:sz w:val="20"/>
                <w:szCs w:val="20"/>
              </w:rPr>
              <w:sym w:font="Wingdings" w:char="F0FC"/>
            </w:r>
          </w:p>
        </w:tc>
        <w:tc>
          <w:tcPr>
            <w:tcW w:w="1186" w:type="dxa"/>
          </w:tcPr>
          <w:p w14:paraId="13F3A04C" w14:textId="77777777" w:rsidR="00314721" w:rsidRPr="00246498" w:rsidRDefault="00314721" w:rsidP="00E72934">
            <w:pPr>
              <w:ind w:left="0" w:right="0"/>
              <w:rPr>
                <w:sz w:val="20"/>
                <w:szCs w:val="20"/>
              </w:rPr>
            </w:pPr>
          </w:p>
        </w:tc>
      </w:tr>
      <w:tr w:rsidR="00314721" w:rsidRPr="00246498" w14:paraId="3EAE6747" w14:textId="77777777" w:rsidTr="00C47755">
        <w:trPr>
          <w:trHeight w:val="137"/>
        </w:trPr>
        <w:tc>
          <w:tcPr>
            <w:tcW w:w="1384" w:type="dxa"/>
            <w:vMerge/>
          </w:tcPr>
          <w:p w14:paraId="6F6F03F8" w14:textId="77777777" w:rsidR="00314721" w:rsidRPr="00246498" w:rsidRDefault="00314721" w:rsidP="00E72934">
            <w:pPr>
              <w:ind w:left="0" w:right="0"/>
              <w:rPr>
                <w:b/>
                <w:sz w:val="20"/>
                <w:szCs w:val="20"/>
              </w:rPr>
            </w:pPr>
          </w:p>
        </w:tc>
        <w:tc>
          <w:tcPr>
            <w:tcW w:w="3260" w:type="dxa"/>
          </w:tcPr>
          <w:p w14:paraId="10F839A8" w14:textId="77777777" w:rsidR="00314721" w:rsidRPr="00246498" w:rsidRDefault="00314721" w:rsidP="00E72934">
            <w:pPr>
              <w:ind w:left="0" w:right="0"/>
              <w:rPr>
                <w:sz w:val="20"/>
                <w:szCs w:val="20"/>
              </w:rPr>
            </w:pPr>
            <w:r w:rsidRPr="00246498">
              <w:rPr>
                <w:sz w:val="20"/>
                <w:szCs w:val="20"/>
              </w:rPr>
              <w:t>Anaemia</w:t>
            </w:r>
          </w:p>
        </w:tc>
        <w:tc>
          <w:tcPr>
            <w:tcW w:w="993" w:type="dxa"/>
          </w:tcPr>
          <w:p w14:paraId="1DC89F8D" w14:textId="77777777" w:rsidR="00314721" w:rsidRPr="00246498" w:rsidRDefault="00314721" w:rsidP="00E72934">
            <w:pPr>
              <w:ind w:left="0" w:right="0"/>
              <w:rPr>
                <w:sz w:val="20"/>
                <w:szCs w:val="20"/>
              </w:rPr>
            </w:pPr>
            <w:r w:rsidRPr="00246498">
              <w:rPr>
                <w:sz w:val="20"/>
                <w:szCs w:val="20"/>
              </w:rPr>
              <w:sym w:font="Wingdings" w:char="F0FC"/>
            </w:r>
          </w:p>
        </w:tc>
        <w:tc>
          <w:tcPr>
            <w:tcW w:w="1134" w:type="dxa"/>
          </w:tcPr>
          <w:p w14:paraId="349D9C92" w14:textId="77777777" w:rsidR="00314721" w:rsidRPr="00246498" w:rsidRDefault="00314721" w:rsidP="00E72934">
            <w:pPr>
              <w:ind w:left="0" w:right="0"/>
              <w:rPr>
                <w:sz w:val="20"/>
                <w:szCs w:val="20"/>
              </w:rPr>
            </w:pPr>
            <w:r w:rsidRPr="00246498">
              <w:rPr>
                <w:sz w:val="20"/>
                <w:szCs w:val="20"/>
              </w:rPr>
              <w:t>–</w:t>
            </w:r>
          </w:p>
        </w:tc>
        <w:tc>
          <w:tcPr>
            <w:tcW w:w="992" w:type="dxa"/>
          </w:tcPr>
          <w:p w14:paraId="1D8C574C" w14:textId="77777777" w:rsidR="00314721" w:rsidRPr="00246498" w:rsidRDefault="00314721" w:rsidP="00E72934">
            <w:pPr>
              <w:ind w:left="0" w:right="0"/>
              <w:rPr>
                <w:sz w:val="20"/>
                <w:szCs w:val="20"/>
              </w:rPr>
            </w:pPr>
            <w:r w:rsidRPr="00246498">
              <w:rPr>
                <w:sz w:val="20"/>
                <w:szCs w:val="20"/>
              </w:rPr>
              <w:sym w:font="Wingdings" w:char="F0FC"/>
            </w:r>
          </w:p>
        </w:tc>
        <w:tc>
          <w:tcPr>
            <w:tcW w:w="1186" w:type="dxa"/>
          </w:tcPr>
          <w:p w14:paraId="2BFDB250" w14:textId="77777777" w:rsidR="00314721" w:rsidRPr="00246498" w:rsidRDefault="00314721" w:rsidP="00E72934">
            <w:pPr>
              <w:ind w:left="0" w:right="0"/>
              <w:rPr>
                <w:sz w:val="20"/>
                <w:szCs w:val="20"/>
              </w:rPr>
            </w:pPr>
            <w:r w:rsidRPr="00246498">
              <w:rPr>
                <w:sz w:val="20"/>
                <w:szCs w:val="20"/>
              </w:rPr>
              <w:t>–</w:t>
            </w:r>
          </w:p>
        </w:tc>
      </w:tr>
      <w:tr w:rsidR="00314721" w:rsidRPr="00246498" w14:paraId="039705A8" w14:textId="77777777" w:rsidTr="00C47755">
        <w:trPr>
          <w:trHeight w:val="137"/>
        </w:trPr>
        <w:tc>
          <w:tcPr>
            <w:tcW w:w="1384" w:type="dxa"/>
            <w:vMerge/>
          </w:tcPr>
          <w:p w14:paraId="43BCDBD2" w14:textId="77777777" w:rsidR="00314721" w:rsidRPr="00246498" w:rsidRDefault="00314721" w:rsidP="00E72934">
            <w:pPr>
              <w:ind w:left="0" w:right="0"/>
              <w:rPr>
                <w:b/>
                <w:sz w:val="20"/>
                <w:szCs w:val="20"/>
              </w:rPr>
            </w:pPr>
          </w:p>
        </w:tc>
        <w:tc>
          <w:tcPr>
            <w:tcW w:w="3260" w:type="dxa"/>
          </w:tcPr>
          <w:p w14:paraId="3F49D6A3" w14:textId="77777777" w:rsidR="00314721" w:rsidRPr="00246498" w:rsidRDefault="00314721" w:rsidP="00E72934">
            <w:pPr>
              <w:ind w:left="0" w:right="0"/>
              <w:rPr>
                <w:sz w:val="20"/>
                <w:szCs w:val="20"/>
              </w:rPr>
            </w:pPr>
            <w:r w:rsidRPr="00246498">
              <w:rPr>
                <w:sz w:val="20"/>
                <w:szCs w:val="20"/>
              </w:rPr>
              <w:t>Leukopenia</w:t>
            </w:r>
          </w:p>
        </w:tc>
        <w:tc>
          <w:tcPr>
            <w:tcW w:w="993" w:type="dxa"/>
          </w:tcPr>
          <w:p w14:paraId="0EBC12C5" w14:textId="77777777" w:rsidR="00314721" w:rsidRPr="00246498" w:rsidRDefault="00314721" w:rsidP="00E72934">
            <w:pPr>
              <w:ind w:left="0" w:right="0"/>
              <w:rPr>
                <w:sz w:val="20"/>
                <w:szCs w:val="20"/>
              </w:rPr>
            </w:pPr>
            <w:r w:rsidRPr="00246498">
              <w:rPr>
                <w:sz w:val="20"/>
                <w:szCs w:val="20"/>
              </w:rPr>
              <w:sym w:font="Wingdings" w:char="F0FC"/>
            </w:r>
          </w:p>
        </w:tc>
        <w:tc>
          <w:tcPr>
            <w:tcW w:w="1134" w:type="dxa"/>
          </w:tcPr>
          <w:p w14:paraId="6028C417" w14:textId="77777777" w:rsidR="00314721" w:rsidRPr="00246498" w:rsidRDefault="00314721" w:rsidP="00E72934">
            <w:pPr>
              <w:ind w:left="0" w:right="0"/>
              <w:rPr>
                <w:sz w:val="20"/>
                <w:szCs w:val="20"/>
              </w:rPr>
            </w:pPr>
            <w:r w:rsidRPr="00246498">
              <w:rPr>
                <w:sz w:val="20"/>
                <w:szCs w:val="20"/>
              </w:rPr>
              <w:t>–</w:t>
            </w:r>
          </w:p>
        </w:tc>
        <w:tc>
          <w:tcPr>
            <w:tcW w:w="992" w:type="dxa"/>
          </w:tcPr>
          <w:p w14:paraId="16F78CDC" w14:textId="77777777" w:rsidR="00314721" w:rsidRPr="00246498" w:rsidRDefault="00314721" w:rsidP="00E72934">
            <w:pPr>
              <w:ind w:left="0" w:right="0"/>
              <w:rPr>
                <w:sz w:val="20"/>
                <w:szCs w:val="20"/>
              </w:rPr>
            </w:pPr>
            <w:r w:rsidRPr="00246498">
              <w:rPr>
                <w:sz w:val="20"/>
                <w:szCs w:val="20"/>
              </w:rPr>
              <w:sym w:font="Wingdings" w:char="F0FC"/>
            </w:r>
          </w:p>
        </w:tc>
        <w:tc>
          <w:tcPr>
            <w:tcW w:w="1186" w:type="dxa"/>
          </w:tcPr>
          <w:p w14:paraId="31E399FB" w14:textId="77777777" w:rsidR="00314721" w:rsidRPr="00246498" w:rsidRDefault="00314721" w:rsidP="00E72934">
            <w:pPr>
              <w:ind w:left="0" w:right="0"/>
              <w:rPr>
                <w:sz w:val="20"/>
                <w:szCs w:val="20"/>
              </w:rPr>
            </w:pPr>
            <w:r w:rsidRPr="00246498">
              <w:rPr>
                <w:sz w:val="20"/>
                <w:szCs w:val="20"/>
              </w:rPr>
              <w:t>–</w:t>
            </w:r>
          </w:p>
        </w:tc>
      </w:tr>
      <w:tr w:rsidR="00314721" w:rsidRPr="00246498" w14:paraId="524811BB" w14:textId="77777777" w:rsidTr="00C47755">
        <w:trPr>
          <w:trHeight w:val="137"/>
        </w:trPr>
        <w:tc>
          <w:tcPr>
            <w:tcW w:w="1384" w:type="dxa"/>
            <w:vMerge/>
          </w:tcPr>
          <w:p w14:paraId="53C0BED8" w14:textId="77777777" w:rsidR="00314721" w:rsidRPr="00246498" w:rsidRDefault="00314721" w:rsidP="00E72934">
            <w:pPr>
              <w:ind w:left="0" w:right="0"/>
              <w:rPr>
                <w:b/>
                <w:sz w:val="20"/>
                <w:szCs w:val="20"/>
              </w:rPr>
            </w:pPr>
          </w:p>
        </w:tc>
        <w:tc>
          <w:tcPr>
            <w:tcW w:w="3260" w:type="dxa"/>
          </w:tcPr>
          <w:p w14:paraId="246642E1" w14:textId="77777777" w:rsidR="00314721" w:rsidRPr="00246498" w:rsidRDefault="00314721" w:rsidP="00E72934">
            <w:pPr>
              <w:ind w:left="0" w:right="0"/>
              <w:rPr>
                <w:sz w:val="20"/>
                <w:szCs w:val="20"/>
              </w:rPr>
            </w:pPr>
            <w:r w:rsidRPr="00246498">
              <w:rPr>
                <w:sz w:val="20"/>
                <w:szCs w:val="20"/>
              </w:rPr>
              <w:t>Thrombocytopenia</w:t>
            </w:r>
          </w:p>
        </w:tc>
        <w:tc>
          <w:tcPr>
            <w:tcW w:w="993" w:type="dxa"/>
          </w:tcPr>
          <w:p w14:paraId="0220867C" w14:textId="77777777" w:rsidR="00314721" w:rsidRPr="00246498" w:rsidRDefault="00314721" w:rsidP="00E72934">
            <w:pPr>
              <w:ind w:left="0" w:right="0"/>
              <w:rPr>
                <w:sz w:val="20"/>
                <w:szCs w:val="20"/>
              </w:rPr>
            </w:pPr>
            <w:r w:rsidRPr="00246498">
              <w:rPr>
                <w:sz w:val="20"/>
                <w:szCs w:val="20"/>
              </w:rPr>
              <w:sym w:font="Wingdings" w:char="F0FC"/>
            </w:r>
          </w:p>
        </w:tc>
        <w:tc>
          <w:tcPr>
            <w:tcW w:w="1134" w:type="dxa"/>
          </w:tcPr>
          <w:p w14:paraId="34D4073C" w14:textId="77777777" w:rsidR="00314721" w:rsidRPr="00246498" w:rsidRDefault="00314721" w:rsidP="00E72934">
            <w:pPr>
              <w:ind w:left="0" w:right="0"/>
              <w:rPr>
                <w:sz w:val="20"/>
                <w:szCs w:val="20"/>
              </w:rPr>
            </w:pPr>
            <w:r w:rsidRPr="00246498">
              <w:rPr>
                <w:sz w:val="20"/>
                <w:szCs w:val="20"/>
              </w:rPr>
              <w:t>–</w:t>
            </w:r>
          </w:p>
        </w:tc>
        <w:tc>
          <w:tcPr>
            <w:tcW w:w="992" w:type="dxa"/>
          </w:tcPr>
          <w:p w14:paraId="45264784" w14:textId="77777777" w:rsidR="00314721" w:rsidRPr="00246498" w:rsidRDefault="00314721" w:rsidP="00E72934">
            <w:pPr>
              <w:ind w:left="0" w:right="0"/>
              <w:rPr>
                <w:sz w:val="20"/>
                <w:szCs w:val="20"/>
              </w:rPr>
            </w:pPr>
            <w:r w:rsidRPr="00246498">
              <w:rPr>
                <w:sz w:val="20"/>
                <w:szCs w:val="20"/>
              </w:rPr>
              <w:sym w:font="Wingdings" w:char="F0FC"/>
            </w:r>
          </w:p>
        </w:tc>
        <w:tc>
          <w:tcPr>
            <w:tcW w:w="1186" w:type="dxa"/>
          </w:tcPr>
          <w:p w14:paraId="68925EB4" w14:textId="77777777" w:rsidR="00314721" w:rsidRPr="00246498" w:rsidRDefault="00314721" w:rsidP="00E72934">
            <w:pPr>
              <w:ind w:left="0" w:right="0"/>
              <w:rPr>
                <w:sz w:val="20"/>
                <w:szCs w:val="20"/>
              </w:rPr>
            </w:pPr>
            <w:r w:rsidRPr="00246498">
              <w:rPr>
                <w:sz w:val="20"/>
                <w:szCs w:val="20"/>
              </w:rPr>
              <w:t>–</w:t>
            </w:r>
          </w:p>
        </w:tc>
      </w:tr>
      <w:tr w:rsidR="00314721" w:rsidRPr="00246498" w14:paraId="4146B61A" w14:textId="77777777" w:rsidTr="00C47755">
        <w:trPr>
          <w:trHeight w:val="137"/>
        </w:trPr>
        <w:tc>
          <w:tcPr>
            <w:tcW w:w="1384" w:type="dxa"/>
            <w:vMerge/>
          </w:tcPr>
          <w:p w14:paraId="31DD13D1" w14:textId="77777777" w:rsidR="00314721" w:rsidRPr="00246498" w:rsidRDefault="00314721" w:rsidP="00E72934">
            <w:pPr>
              <w:ind w:left="0" w:right="0"/>
              <w:rPr>
                <w:b/>
                <w:sz w:val="20"/>
                <w:szCs w:val="20"/>
              </w:rPr>
            </w:pPr>
          </w:p>
        </w:tc>
        <w:tc>
          <w:tcPr>
            <w:tcW w:w="3260" w:type="dxa"/>
          </w:tcPr>
          <w:p w14:paraId="094E0D73" w14:textId="77777777" w:rsidR="00314721" w:rsidRPr="00246498" w:rsidRDefault="00314721" w:rsidP="00E72934">
            <w:pPr>
              <w:ind w:left="0" w:right="0"/>
              <w:rPr>
                <w:sz w:val="20"/>
                <w:szCs w:val="20"/>
              </w:rPr>
            </w:pPr>
            <w:r w:rsidRPr="00246498">
              <w:rPr>
                <w:sz w:val="20"/>
                <w:szCs w:val="20"/>
              </w:rPr>
              <w:t>Second primary malignancy</w:t>
            </w:r>
          </w:p>
        </w:tc>
        <w:tc>
          <w:tcPr>
            <w:tcW w:w="993" w:type="dxa"/>
          </w:tcPr>
          <w:p w14:paraId="1266A40F" w14:textId="77777777" w:rsidR="00314721" w:rsidRPr="00246498" w:rsidRDefault="00314721" w:rsidP="00E72934">
            <w:pPr>
              <w:ind w:left="0" w:right="0"/>
              <w:rPr>
                <w:sz w:val="20"/>
                <w:szCs w:val="20"/>
              </w:rPr>
            </w:pPr>
            <w:r w:rsidRPr="00246498">
              <w:rPr>
                <w:sz w:val="20"/>
                <w:szCs w:val="20"/>
              </w:rPr>
              <w:sym w:font="Wingdings" w:char="F0FC"/>
            </w:r>
          </w:p>
        </w:tc>
        <w:tc>
          <w:tcPr>
            <w:tcW w:w="1134" w:type="dxa"/>
          </w:tcPr>
          <w:p w14:paraId="06B09E88" w14:textId="77777777" w:rsidR="00314721" w:rsidRPr="00246498" w:rsidRDefault="00314721" w:rsidP="00E72934">
            <w:pPr>
              <w:ind w:left="0" w:right="0"/>
              <w:rPr>
                <w:sz w:val="20"/>
                <w:szCs w:val="20"/>
              </w:rPr>
            </w:pPr>
            <w:r w:rsidRPr="00246498">
              <w:rPr>
                <w:sz w:val="20"/>
                <w:szCs w:val="20"/>
              </w:rPr>
              <w:t>–</w:t>
            </w:r>
          </w:p>
        </w:tc>
        <w:tc>
          <w:tcPr>
            <w:tcW w:w="992" w:type="dxa"/>
          </w:tcPr>
          <w:p w14:paraId="40BE7B08" w14:textId="77777777" w:rsidR="00314721" w:rsidRPr="00246498" w:rsidRDefault="00314721" w:rsidP="00E72934">
            <w:pPr>
              <w:ind w:left="0" w:right="0"/>
              <w:rPr>
                <w:sz w:val="20"/>
                <w:szCs w:val="20"/>
              </w:rPr>
            </w:pPr>
            <w:r w:rsidRPr="00246498">
              <w:rPr>
                <w:sz w:val="20"/>
                <w:szCs w:val="20"/>
              </w:rPr>
              <w:sym w:font="Wingdings" w:char="F0FC"/>
            </w:r>
          </w:p>
        </w:tc>
        <w:tc>
          <w:tcPr>
            <w:tcW w:w="1186" w:type="dxa"/>
          </w:tcPr>
          <w:p w14:paraId="6682C183" w14:textId="77777777" w:rsidR="00314721" w:rsidRPr="00246498" w:rsidRDefault="00314721" w:rsidP="00E72934">
            <w:pPr>
              <w:ind w:left="0" w:right="0"/>
              <w:rPr>
                <w:sz w:val="20"/>
                <w:szCs w:val="20"/>
              </w:rPr>
            </w:pPr>
            <w:r w:rsidRPr="00246498">
              <w:rPr>
                <w:sz w:val="20"/>
                <w:szCs w:val="20"/>
              </w:rPr>
              <w:t>–</w:t>
            </w:r>
          </w:p>
        </w:tc>
      </w:tr>
      <w:tr w:rsidR="00314721" w:rsidRPr="00246498" w14:paraId="6F041DFA" w14:textId="77777777" w:rsidTr="00C47755">
        <w:trPr>
          <w:trHeight w:val="137"/>
        </w:trPr>
        <w:tc>
          <w:tcPr>
            <w:tcW w:w="1384" w:type="dxa"/>
            <w:vMerge/>
          </w:tcPr>
          <w:p w14:paraId="50C4D26B" w14:textId="77777777" w:rsidR="00314721" w:rsidRPr="00246498" w:rsidRDefault="00314721" w:rsidP="00E72934">
            <w:pPr>
              <w:ind w:left="0" w:right="0"/>
              <w:rPr>
                <w:b/>
                <w:sz w:val="20"/>
                <w:szCs w:val="20"/>
              </w:rPr>
            </w:pPr>
          </w:p>
        </w:tc>
        <w:tc>
          <w:tcPr>
            <w:tcW w:w="3260" w:type="dxa"/>
          </w:tcPr>
          <w:p w14:paraId="29C93DF2" w14:textId="77777777" w:rsidR="00314721" w:rsidRPr="00246498" w:rsidRDefault="00314721" w:rsidP="00E72934">
            <w:pPr>
              <w:ind w:left="0" w:right="0"/>
              <w:rPr>
                <w:sz w:val="20"/>
                <w:szCs w:val="20"/>
              </w:rPr>
            </w:pPr>
            <w:r w:rsidRPr="00246498">
              <w:rPr>
                <w:sz w:val="20"/>
                <w:szCs w:val="20"/>
              </w:rPr>
              <w:t>Atrial fibrillation/flutter</w:t>
            </w:r>
          </w:p>
        </w:tc>
        <w:tc>
          <w:tcPr>
            <w:tcW w:w="993" w:type="dxa"/>
          </w:tcPr>
          <w:p w14:paraId="285A360C" w14:textId="77777777" w:rsidR="00314721" w:rsidRPr="00246498" w:rsidRDefault="00314721" w:rsidP="00E72934">
            <w:pPr>
              <w:ind w:left="0" w:right="0"/>
              <w:rPr>
                <w:sz w:val="20"/>
                <w:szCs w:val="20"/>
              </w:rPr>
            </w:pPr>
            <w:r w:rsidRPr="00246498">
              <w:rPr>
                <w:sz w:val="20"/>
                <w:szCs w:val="20"/>
              </w:rPr>
              <w:sym w:font="Wingdings" w:char="F0FC"/>
            </w:r>
          </w:p>
        </w:tc>
        <w:tc>
          <w:tcPr>
            <w:tcW w:w="1134" w:type="dxa"/>
          </w:tcPr>
          <w:p w14:paraId="27D828A0" w14:textId="77777777" w:rsidR="00314721" w:rsidRPr="00246498" w:rsidRDefault="00314721" w:rsidP="00E72934">
            <w:pPr>
              <w:ind w:left="0" w:right="0"/>
              <w:rPr>
                <w:sz w:val="20"/>
                <w:szCs w:val="20"/>
              </w:rPr>
            </w:pPr>
            <w:r w:rsidRPr="00246498">
              <w:rPr>
                <w:sz w:val="20"/>
                <w:szCs w:val="20"/>
              </w:rPr>
              <w:t>–</w:t>
            </w:r>
          </w:p>
        </w:tc>
        <w:tc>
          <w:tcPr>
            <w:tcW w:w="992" w:type="dxa"/>
          </w:tcPr>
          <w:p w14:paraId="2A9B59CB" w14:textId="77777777" w:rsidR="00314721" w:rsidRPr="00246498" w:rsidRDefault="00314721" w:rsidP="00E72934">
            <w:pPr>
              <w:ind w:left="0" w:right="0"/>
              <w:rPr>
                <w:sz w:val="20"/>
                <w:szCs w:val="20"/>
              </w:rPr>
            </w:pPr>
            <w:r w:rsidRPr="00246498">
              <w:rPr>
                <w:sz w:val="20"/>
                <w:szCs w:val="20"/>
              </w:rPr>
              <w:sym w:font="Wingdings" w:char="F0FC"/>
            </w:r>
          </w:p>
        </w:tc>
        <w:tc>
          <w:tcPr>
            <w:tcW w:w="1186" w:type="dxa"/>
          </w:tcPr>
          <w:p w14:paraId="24D08828" w14:textId="77777777" w:rsidR="00314721" w:rsidRPr="00246498" w:rsidRDefault="00314721" w:rsidP="00E72934">
            <w:pPr>
              <w:ind w:left="0" w:right="0"/>
              <w:rPr>
                <w:sz w:val="20"/>
                <w:szCs w:val="20"/>
              </w:rPr>
            </w:pPr>
            <w:r w:rsidRPr="00246498">
              <w:rPr>
                <w:sz w:val="20"/>
                <w:szCs w:val="20"/>
              </w:rPr>
              <w:t>–</w:t>
            </w:r>
          </w:p>
        </w:tc>
      </w:tr>
      <w:tr w:rsidR="00314721" w:rsidRPr="00246498" w14:paraId="4D38674A" w14:textId="77777777" w:rsidTr="00C47755">
        <w:trPr>
          <w:trHeight w:val="159"/>
        </w:trPr>
        <w:tc>
          <w:tcPr>
            <w:tcW w:w="1384" w:type="dxa"/>
          </w:tcPr>
          <w:p w14:paraId="0BFEE98C" w14:textId="77777777" w:rsidR="00314721" w:rsidRPr="00246498" w:rsidRDefault="00314721" w:rsidP="00E72934">
            <w:pPr>
              <w:ind w:left="0" w:right="0"/>
              <w:rPr>
                <w:b/>
                <w:sz w:val="20"/>
                <w:szCs w:val="20"/>
              </w:rPr>
            </w:pPr>
            <w:r w:rsidRPr="00246498">
              <w:rPr>
                <w:b/>
                <w:sz w:val="20"/>
                <w:szCs w:val="20"/>
              </w:rPr>
              <w:t>Important potential risks</w:t>
            </w:r>
          </w:p>
        </w:tc>
        <w:tc>
          <w:tcPr>
            <w:tcW w:w="3260" w:type="dxa"/>
          </w:tcPr>
          <w:p w14:paraId="4D525EB9" w14:textId="77777777" w:rsidR="00314721" w:rsidRPr="00246498" w:rsidRDefault="00314721" w:rsidP="00E72934">
            <w:pPr>
              <w:ind w:left="0" w:right="0"/>
              <w:rPr>
                <w:sz w:val="20"/>
                <w:szCs w:val="20"/>
              </w:rPr>
            </w:pPr>
            <w:r w:rsidRPr="00246498">
              <w:rPr>
                <w:sz w:val="20"/>
                <w:szCs w:val="20"/>
              </w:rPr>
              <w:t>Nil</w:t>
            </w:r>
          </w:p>
        </w:tc>
        <w:tc>
          <w:tcPr>
            <w:tcW w:w="993" w:type="dxa"/>
          </w:tcPr>
          <w:p w14:paraId="6C08C841" w14:textId="77777777" w:rsidR="00314721" w:rsidRPr="00246498" w:rsidRDefault="00314721" w:rsidP="00E72934">
            <w:pPr>
              <w:ind w:left="0" w:right="0"/>
              <w:rPr>
                <w:sz w:val="20"/>
                <w:szCs w:val="20"/>
              </w:rPr>
            </w:pPr>
            <w:r w:rsidRPr="00246498">
              <w:rPr>
                <w:sz w:val="20"/>
                <w:szCs w:val="20"/>
              </w:rPr>
              <w:t>–</w:t>
            </w:r>
          </w:p>
        </w:tc>
        <w:tc>
          <w:tcPr>
            <w:tcW w:w="1134" w:type="dxa"/>
          </w:tcPr>
          <w:p w14:paraId="27F758C8" w14:textId="77777777" w:rsidR="00314721" w:rsidRPr="00246498" w:rsidRDefault="00314721" w:rsidP="00E72934">
            <w:pPr>
              <w:ind w:left="0" w:right="0"/>
              <w:rPr>
                <w:sz w:val="20"/>
                <w:szCs w:val="20"/>
              </w:rPr>
            </w:pPr>
            <w:r w:rsidRPr="00246498">
              <w:rPr>
                <w:sz w:val="20"/>
                <w:szCs w:val="20"/>
              </w:rPr>
              <w:t>–</w:t>
            </w:r>
          </w:p>
        </w:tc>
        <w:tc>
          <w:tcPr>
            <w:tcW w:w="992" w:type="dxa"/>
          </w:tcPr>
          <w:p w14:paraId="5715AB2D" w14:textId="77777777" w:rsidR="00314721" w:rsidRPr="00246498" w:rsidRDefault="00314721" w:rsidP="00E72934">
            <w:pPr>
              <w:ind w:left="0" w:right="0"/>
              <w:rPr>
                <w:sz w:val="20"/>
                <w:szCs w:val="20"/>
              </w:rPr>
            </w:pPr>
            <w:r w:rsidRPr="00246498">
              <w:rPr>
                <w:sz w:val="20"/>
                <w:szCs w:val="20"/>
              </w:rPr>
              <w:t>–</w:t>
            </w:r>
          </w:p>
        </w:tc>
        <w:tc>
          <w:tcPr>
            <w:tcW w:w="1186" w:type="dxa"/>
          </w:tcPr>
          <w:p w14:paraId="7554B1DD" w14:textId="77777777" w:rsidR="00314721" w:rsidRPr="00246498" w:rsidRDefault="00314721" w:rsidP="00E72934">
            <w:pPr>
              <w:ind w:left="0" w:right="0"/>
              <w:rPr>
                <w:sz w:val="20"/>
                <w:szCs w:val="20"/>
              </w:rPr>
            </w:pPr>
            <w:r w:rsidRPr="00246498">
              <w:rPr>
                <w:sz w:val="20"/>
                <w:szCs w:val="20"/>
              </w:rPr>
              <w:t>–</w:t>
            </w:r>
          </w:p>
        </w:tc>
      </w:tr>
      <w:tr w:rsidR="00314721" w:rsidRPr="00246498" w14:paraId="6BE37E1E" w14:textId="77777777" w:rsidTr="00C47755">
        <w:trPr>
          <w:trHeight w:val="178"/>
        </w:trPr>
        <w:tc>
          <w:tcPr>
            <w:tcW w:w="1384" w:type="dxa"/>
            <w:vMerge w:val="restart"/>
          </w:tcPr>
          <w:p w14:paraId="07DF7367" w14:textId="77777777" w:rsidR="00314721" w:rsidRPr="00246498" w:rsidRDefault="00314721" w:rsidP="00E72934">
            <w:pPr>
              <w:ind w:left="0" w:right="0"/>
              <w:rPr>
                <w:b/>
                <w:sz w:val="20"/>
                <w:szCs w:val="20"/>
              </w:rPr>
            </w:pPr>
            <w:r w:rsidRPr="00246498">
              <w:rPr>
                <w:b/>
                <w:sz w:val="20"/>
                <w:szCs w:val="20"/>
              </w:rPr>
              <w:t>Missing information</w:t>
            </w:r>
          </w:p>
        </w:tc>
        <w:tc>
          <w:tcPr>
            <w:tcW w:w="3260" w:type="dxa"/>
          </w:tcPr>
          <w:p w14:paraId="225AF104" w14:textId="77777777" w:rsidR="00314721" w:rsidRPr="00246498" w:rsidRDefault="00314721" w:rsidP="00E72934">
            <w:pPr>
              <w:ind w:left="0" w:right="0"/>
              <w:rPr>
                <w:sz w:val="20"/>
                <w:szCs w:val="20"/>
              </w:rPr>
            </w:pPr>
            <w:r w:rsidRPr="00246498">
              <w:rPr>
                <w:sz w:val="20"/>
                <w:szCs w:val="20"/>
              </w:rPr>
              <w:t>Long term safety</w:t>
            </w:r>
          </w:p>
        </w:tc>
        <w:tc>
          <w:tcPr>
            <w:tcW w:w="993" w:type="dxa"/>
          </w:tcPr>
          <w:p w14:paraId="15DCDB95" w14:textId="77777777" w:rsidR="00314721" w:rsidRPr="00246498" w:rsidRDefault="00314721" w:rsidP="00E72934">
            <w:pPr>
              <w:ind w:left="0" w:right="0"/>
              <w:rPr>
                <w:sz w:val="20"/>
                <w:szCs w:val="20"/>
              </w:rPr>
            </w:pPr>
            <w:r w:rsidRPr="00246498">
              <w:rPr>
                <w:sz w:val="20"/>
                <w:szCs w:val="20"/>
              </w:rPr>
              <w:sym w:font="Wingdings" w:char="F0FC"/>
            </w:r>
          </w:p>
        </w:tc>
        <w:tc>
          <w:tcPr>
            <w:tcW w:w="1134" w:type="dxa"/>
          </w:tcPr>
          <w:p w14:paraId="54E08E49" w14:textId="77777777" w:rsidR="00314721" w:rsidRPr="00246498" w:rsidRDefault="00314721" w:rsidP="00E72934">
            <w:pPr>
              <w:ind w:left="0" w:right="0"/>
              <w:rPr>
                <w:sz w:val="20"/>
                <w:szCs w:val="20"/>
              </w:rPr>
            </w:pPr>
            <w:r w:rsidRPr="00246498">
              <w:rPr>
                <w:sz w:val="20"/>
                <w:szCs w:val="20"/>
              </w:rPr>
              <w:sym w:font="Wingdings" w:char="F0FC"/>
            </w:r>
            <w:r w:rsidRPr="00246498">
              <w:rPr>
                <w:sz w:val="20"/>
                <w:szCs w:val="20"/>
              </w:rPr>
              <w:t>*</w:t>
            </w:r>
          </w:p>
        </w:tc>
        <w:tc>
          <w:tcPr>
            <w:tcW w:w="992" w:type="dxa"/>
          </w:tcPr>
          <w:p w14:paraId="45BF7856" w14:textId="77777777" w:rsidR="00314721" w:rsidRPr="00246498" w:rsidRDefault="00314721" w:rsidP="00E72934">
            <w:pPr>
              <w:ind w:left="0" w:right="0"/>
              <w:rPr>
                <w:sz w:val="20"/>
                <w:szCs w:val="20"/>
              </w:rPr>
            </w:pPr>
            <w:r w:rsidRPr="00246498">
              <w:rPr>
                <w:sz w:val="20"/>
                <w:szCs w:val="20"/>
              </w:rPr>
              <w:t>–</w:t>
            </w:r>
          </w:p>
        </w:tc>
        <w:tc>
          <w:tcPr>
            <w:tcW w:w="1186" w:type="dxa"/>
          </w:tcPr>
          <w:p w14:paraId="5D7851B5" w14:textId="77777777" w:rsidR="00314721" w:rsidRPr="00246498" w:rsidRDefault="00314721" w:rsidP="00E72934">
            <w:pPr>
              <w:ind w:left="0" w:right="0"/>
              <w:rPr>
                <w:sz w:val="20"/>
                <w:szCs w:val="20"/>
              </w:rPr>
            </w:pPr>
            <w:r w:rsidRPr="00246498">
              <w:rPr>
                <w:sz w:val="20"/>
                <w:szCs w:val="20"/>
              </w:rPr>
              <w:t>–</w:t>
            </w:r>
          </w:p>
        </w:tc>
      </w:tr>
      <w:tr w:rsidR="00314721" w:rsidRPr="00246498" w14:paraId="157A99BB" w14:textId="77777777" w:rsidTr="00C47755">
        <w:trPr>
          <w:trHeight w:val="140"/>
        </w:trPr>
        <w:tc>
          <w:tcPr>
            <w:tcW w:w="1384" w:type="dxa"/>
            <w:vMerge/>
          </w:tcPr>
          <w:p w14:paraId="116A3E49" w14:textId="77777777" w:rsidR="00314721" w:rsidRPr="00246498" w:rsidRDefault="00314721" w:rsidP="00E72934">
            <w:pPr>
              <w:ind w:left="0" w:right="0"/>
              <w:rPr>
                <w:sz w:val="20"/>
                <w:szCs w:val="20"/>
              </w:rPr>
            </w:pPr>
          </w:p>
        </w:tc>
        <w:tc>
          <w:tcPr>
            <w:tcW w:w="3260" w:type="dxa"/>
          </w:tcPr>
          <w:p w14:paraId="33E433E3" w14:textId="77777777" w:rsidR="00314721" w:rsidRPr="00246498" w:rsidRDefault="00314721" w:rsidP="00E72934">
            <w:pPr>
              <w:ind w:left="0" w:right="0"/>
              <w:rPr>
                <w:sz w:val="20"/>
                <w:szCs w:val="20"/>
              </w:rPr>
            </w:pPr>
            <w:r w:rsidRPr="00246498">
              <w:rPr>
                <w:sz w:val="20"/>
                <w:szCs w:val="20"/>
              </w:rPr>
              <w:t>Use in patients with moderate to severe cardiac impairment</w:t>
            </w:r>
          </w:p>
        </w:tc>
        <w:tc>
          <w:tcPr>
            <w:tcW w:w="993" w:type="dxa"/>
          </w:tcPr>
          <w:p w14:paraId="54A75C3D" w14:textId="77777777" w:rsidR="00314721" w:rsidRPr="00246498" w:rsidRDefault="00314721" w:rsidP="00E72934">
            <w:pPr>
              <w:ind w:left="0" w:right="0"/>
              <w:rPr>
                <w:sz w:val="20"/>
                <w:szCs w:val="20"/>
              </w:rPr>
            </w:pPr>
            <w:r w:rsidRPr="00246498">
              <w:rPr>
                <w:sz w:val="20"/>
                <w:szCs w:val="20"/>
              </w:rPr>
              <w:sym w:font="Wingdings" w:char="F0FC"/>
            </w:r>
          </w:p>
        </w:tc>
        <w:tc>
          <w:tcPr>
            <w:tcW w:w="1134" w:type="dxa"/>
          </w:tcPr>
          <w:p w14:paraId="338A62A8" w14:textId="77777777" w:rsidR="00314721" w:rsidRPr="00246498" w:rsidRDefault="00314721" w:rsidP="00E72934">
            <w:pPr>
              <w:ind w:left="0" w:right="0"/>
              <w:rPr>
                <w:sz w:val="20"/>
                <w:szCs w:val="20"/>
              </w:rPr>
            </w:pPr>
            <w:r w:rsidRPr="00246498">
              <w:rPr>
                <w:sz w:val="20"/>
                <w:szCs w:val="20"/>
              </w:rPr>
              <w:sym w:font="Wingdings" w:char="F0FC"/>
            </w:r>
            <w:r w:rsidRPr="00246498">
              <w:rPr>
                <w:sz w:val="20"/>
                <w:szCs w:val="20"/>
              </w:rPr>
              <w:t>*</w:t>
            </w:r>
          </w:p>
        </w:tc>
        <w:tc>
          <w:tcPr>
            <w:tcW w:w="992" w:type="dxa"/>
          </w:tcPr>
          <w:p w14:paraId="5EF7A058" w14:textId="77777777" w:rsidR="00314721" w:rsidRPr="00246498" w:rsidRDefault="00314721" w:rsidP="00E72934">
            <w:pPr>
              <w:ind w:left="0" w:right="0"/>
              <w:rPr>
                <w:sz w:val="20"/>
                <w:szCs w:val="20"/>
              </w:rPr>
            </w:pPr>
            <w:r w:rsidRPr="00246498">
              <w:rPr>
                <w:sz w:val="20"/>
                <w:szCs w:val="20"/>
              </w:rPr>
              <w:t>–</w:t>
            </w:r>
          </w:p>
        </w:tc>
        <w:tc>
          <w:tcPr>
            <w:tcW w:w="1186" w:type="dxa"/>
          </w:tcPr>
          <w:p w14:paraId="5CCF3D96" w14:textId="77777777" w:rsidR="00314721" w:rsidRPr="00246498" w:rsidRDefault="00314721" w:rsidP="00E72934">
            <w:pPr>
              <w:ind w:left="0" w:right="0"/>
              <w:rPr>
                <w:sz w:val="20"/>
                <w:szCs w:val="20"/>
              </w:rPr>
            </w:pPr>
            <w:r w:rsidRPr="00246498">
              <w:rPr>
                <w:sz w:val="20"/>
                <w:szCs w:val="20"/>
              </w:rPr>
              <w:t>–</w:t>
            </w:r>
          </w:p>
        </w:tc>
      </w:tr>
    </w:tbl>
    <w:p w14:paraId="1B68668A" w14:textId="3E0ADA2A" w:rsidR="00314721" w:rsidRDefault="00532C7A" w:rsidP="00314721">
      <w:pPr>
        <w:pStyle w:val="TableDescription"/>
      </w:pPr>
      <w:r>
        <w:t xml:space="preserve">* Global Phase </w:t>
      </w:r>
      <w:proofErr w:type="spellStart"/>
      <w:r>
        <w:t>III</w:t>
      </w:r>
      <w:r w:rsidR="00314721" w:rsidRPr="006B7E35">
        <w:t>b</w:t>
      </w:r>
      <w:proofErr w:type="spellEnd"/>
      <w:r w:rsidR="00314721" w:rsidRPr="006B7E35">
        <w:t>, multicentre, open-lab</w:t>
      </w:r>
      <w:r w:rsidR="002F7A99">
        <w:t xml:space="preserve">el, single-arm clinical study; Study </w:t>
      </w:r>
      <w:r w:rsidR="00314721" w:rsidRPr="006B7E35">
        <w:t>D8220C00008 (Assure)</w:t>
      </w:r>
      <w:r w:rsidR="002F7A99">
        <w:t>.</w:t>
      </w:r>
    </w:p>
    <w:p w14:paraId="0F327A2D" w14:textId="58801C71" w:rsidR="00314721" w:rsidRPr="00904A64" w:rsidRDefault="00314721" w:rsidP="00DC370F">
      <w:pPr>
        <w:pStyle w:val="ListBullet"/>
      </w:pPr>
      <w:r w:rsidRPr="00245FEA">
        <w:t xml:space="preserve">The summary of </w:t>
      </w:r>
      <w:r w:rsidRPr="00904A64">
        <w:t xml:space="preserve">safety concerns is the same for both submissions. At </w:t>
      </w:r>
      <w:r>
        <w:t>the second round of evaluation</w:t>
      </w:r>
      <w:r w:rsidRPr="00904A64">
        <w:t xml:space="preserve"> the sponsor reclassified the important potential risks of infections, anaemia, leukopenia, thrombocytopenia, second primary malignancy and atrial fibrillation/flutter as important identified risks. The sponsor also removed use in pregnancy and lactation, and use in patients with severe hepatic impairment as missing information. The summary of safety concerns is considered acceptable subject to final review of clinical and nonclinical data by the Delegate.</w:t>
      </w:r>
    </w:p>
    <w:p w14:paraId="1E85D31C" w14:textId="358B5BFE" w:rsidR="00314721" w:rsidRDefault="00314721" w:rsidP="00DC370F">
      <w:pPr>
        <w:pStyle w:val="ListBullet"/>
      </w:pPr>
      <w:r w:rsidRPr="00904A64">
        <w:t>The sponsor has proposed routine pharmacovigilance activities for all</w:t>
      </w:r>
      <w:r>
        <w:t xml:space="preserve"> safety concerns and </w:t>
      </w:r>
      <w:r w:rsidR="0048537C">
        <w:t xml:space="preserve">has proposed modifications to </w:t>
      </w:r>
      <w:r>
        <w:t>a global, Phase III</w:t>
      </w:r>
      <w:r w:rsidRPr="00904A64">
        <w:t>, multicentre clinical study involving patients with CLL addressing missing information regarding use in patients with moderate to severe cardiac impairment, and long term safety. This approach is a</w:t>
      </w:r>
      <w:r>
        <w:t>cceptable for both submissions.</w:t>
      </w:r>
    </w:p>
    <w:p w14:paraId="0F00ACF2" w14:textId="77777777" w:rsidR="00314721" w:rsidRPr="00314721" w:rsidRDefault="00314721" w:rsidP="00DC370F">
      <w:pPr>
        <w:pStyle w:val="ListBullet"/>
        <w:rPr>
          <w:sz w:val="23"/>
          <w:szCs w:val="23"/>
        </w:rPr>
      </w:pPr>
      <w:r>
        <w:rPr>
          <w:sz w:val="23"/>
          <w:szCs w:val="23"/>
        </w:rPr>
        <w:lastRenderedPageBreak/>
        <w:t>The sponsor has proposed routine risk minimisation activities and no additional risk minimisation activities, which is acceptable for both submissions.</w:t>
      </w:r>
    </w:p>
    <w:p w14:paraId="27F7763D" w14:textId="77777777" w:rsidR="00314721" w:rsidRDefault="00314721" w:rsidP="00314721">
      <w:pPr>
        <w:pStyle w:val="Heading4"/>
      </w:pPr>
      <w:r>
        <w:t>Delegate’s comments on the RMP</w:t>
      </w:r>
    </w:p>
    <w:p w14:paraId="5B7FD016" w14:textId="77777777" w:rsidR="00314721" w:rsidRDefault="00314721" w:rsidP="00314721">
      <w:pPr>
        <w:rPr>
          <w:rFonts w:eastAsiaTheme="minorHAnsi" w:cs="Cambria"/>
        </w:rPr>
      </w:pPr>
      <w:r w:rsidRPr="00D70DE8">
        <w:t xml:space="preserve">The </w:t>
      </w:r>
      <w:r w:rsidR="002F7A99">
        <w:t>RMP</w:t>
      </w:r>
      <w:r w:rsidRPr="00D70DE8">
        <w:t xml:space="preserve"> has been negotiated and is considered satisfactory by the </w:t>
      </w:r>
      <w:r w:rsidR="002F7A99">
        <w:t>TGA</w:t>
      </w:r>
      <w:r w:rsidRPr="00D70DE8">
        <w:t>.</w:t>
      </w:r>
      <w:r>
        <w:t xml:space="preserve"> The product’s </w:t>
      </w:r>
      <w:r>
        <w:rPr>
          <w:rFonts w:eastAsiaTheme="minorHAnsi" w:cs="Cambria"/>
        </w:rPr>
        <w:t>safety concerns and associated risk monitoring and mitigation strategies were reviewed by the RMP unit and after some editing determined to be satisfactory.</w:t>
      </w:r>
    </w:p>
    <w:p w14:paraId="515EB23C" w14:textId="77777777" w:rsidR="00314721" w:rsidRDefault="00314721" w:rsidP="00314721">
      <w:pPr>
        <w:rPr>
          <w:rFonts w:eastAsiaTheme="minorHAnsi" w:cs="Cambria"/>
        </w:rPr>
      </w:pPr>
      <w:r>
        <w:rPr>
          <w:rFonts w:eastAsiaTheme="minorHAnsi" w:cs="Cambria"/>
        </w:rPr>
        <w:t xml:space="preserve">Proposed conditions of registration </w:t>
      </w:r>
      <w:r w:rsidR="002F7A99">
        <w:rPr>
          <w:rFonts w:eastAsiaTheme="minorHAnsi" w:cs="Cambria"/>
        </w:rPr>
        <w:t>as outlined in the RMP evaluation report are</w:t>
      </w:r>
      <w:r>
        <w:rPr>
          <w:rFonts w:eastAsiaTheme="minorHAnsi" w:cs="Cambria"/>
        </w:rPr>
        <w:t>:</w:t>
      </w:r>
    </w:p>
    <w:p w14:paraId="38E88442" w14:textId="77777777" w:rsidR="00314721" w:rsidRDefault="00314721" w:rsidP="00314721">
      <w:pPr>
        <w:tabs>
          <w:tab w:val="left" w:pos="567"/>
        </w:tabs>
        <w:autoSpaceDE w:val="0"/>
        <w:autoSpaceDN w:val="0"/>
        <w:spacing w:before="0" w:after="220" w:line="240" w:lineRule="auto"/>
        <w:ind w:left="567" w:right="284"/>
        <w:rPr>
          <w:rFonts w:eastAsiaTheme="minorHAnsi" w:cs="Cambria"/>
          <w:i/>
          <w:iCs/>
        </w:rPr>
      </w:pPr>
      <w:r>
        <w:rPr>
          <w:rFonts w:eastAsiaTheme="minorHAnsi" w:cs="Cambria"/>
          <w:i/>
          <w:iCs/>
        </w:rPr>
        <w:t xml:space="preserve">The </w:t>
      </w:r>
      <w:r w:rsidR="002F7A99">
        <w:rPr>
          <w:rFonts w:eastAsiaTheme="minorHAnsi" w:cs="Cambria"/>
          <w:i/>
          <w:iCs/>
        </w:rPr>
        <w:t>Calquence</w:t>
      </w:r>
      <w:r>
        <w:rPr>
          <w:rFonts w:eastAsiaTheme="minorHAnsi" w:cs="Cambria"/>
          <w:i/>
          <w:iCs/>
        </w:rPr>
        <w:t xml:space="preserve"> Core Risk Management Plan version 2; date; DLP 8 February 2019 (RMP) (version 2, dated 19 August 2019, data lock point 8 February 2019), with Australian Specific Annex (version 1.0, succession 2, dated 20 September 2019) included with submission PM-2019-04317-1-6, and any subsequent revisions, as agreed with the TGA will be implemented in Australia.</w:t>
      </w:r>
    </w:p>
    <w:p w14:paraId="4B26B75C" w14:textId="77777777" w:rsidR="00314721" w:rsidRDefault="00314721" w:rsidP="00314721">
      <w:pPr>
        <w:tabs>
          <w:tab w:val="left" w:pos="567"/>
        </w:tabs>
        <w:autoSpaceDE w:val="0"/>
        <w:autoSpaceDN w:val="0"/>
        <w:spacing w:before="0" w:after="220" w:line="240" w:lineRule="auto"/>
        <w:ind w:left="567" w:right="284"/>
        <w:rPr>
          <w:rFonts w:eastAsiaTheme="minorHAnsi" w:cs="Cambria"/>
          <w:i/>
          <w:iCs/>
        </w:rPr>
      </w:pPr>
      <w:r>
        <w:rPr>
          <w:rFonts w:eastAsiaTheme="minorHAnsi" w:cs="Cambria"/>
          <w:i/>
          <w:iCs/>
        </w:rPr>
        <w:t>An obligatory component of risk management plans is routine pharmacovigilance. Routine pharmacovigilance includes the submission of periodic safety update reports (PSURs).</w:t>
      </w:r>
    </w:p>
    <w:p w14:paraId="27552708" w14:textId="77777777" w:rsidR="00314721" w:rsidRDefault="00314721" w:rsidP="00314721">
      <w:pPr>
        <w:tabs>
          <w:tab w:val="left" w:pos="567"/>
        </w:tabs>
        <w:autoSpaceDE w:val="0"/>
        <w:autoSpaceDN w:val="0"/>
        <w:spacing w:before="0" w:after="220" w:line="240" w:lineRule="auto"/>
        <w:ind w:left="567" w:right="284"/>
        <w:rPr>
          <w:rFonts w:eastAsiaTheme="minorHAnsi" w:cs="Cambria"/>
          <w:i/>
          <w:iCs/>
        </w:rPr>
      </w:pPr>
      <w:r>
        <w:rPr>
          <w:rFonts w:eastAsiaTheme="minorHAnsi" w:cs="Cambria"/>
          <w:i/>
          <w:iCs/>
        </w:rPr>
        <w:t>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six monthly reports may be submitted separately as they become available.</w:t>
      </w:r>
    </w:p>
    <w:p w14:paraId="08C712E2" w14:textId="77777777" w:rsidR="00314721" w:rsidRDefault="00314721" w:rsidP="00314721">
      <w:pPr>
        <w:tabs>
          <w:tab w:val="left" w:pos="567"/>
        </w:tabs>
        <w:autoSpaceDE w:val="0"/>
        <w:autoSpaceDN w:val="0"/>
        <w:spacing w:before="0" w:after="220" w:line="240" w:lineRule="auto"/>
        <w:ind w:left="567" w:right="284"/>
        <w:rPr>
          <w:rFonts w:eastAsiaTheme="minorHAnsi" w:cs="Cambria"/>
          <w:i/>
          <w:iCs/>
        </w:rPr>
      </w:pPr>
      <w:r>
        <w:rPr>
          <w:rFonts w:eastAsiaTheme="minorHAnsi" w:cs="Cambria"/>
          <w:i/>
          <w:iCs/>
        </w:rPr>
        <w:t>The reports are to at least meet the requirements for PSURs as described in the European Medic</w:t>
      </w:r>
      <w:r w:rsidR="002F7A99">
        <w:rPr>
          <w:rFonts w:eastAsiaTheme="minorHAnsi" w:cs="Cambria"/>
          <w:i/>
          <w:iCs/>
        </w:rPr>
        <w:t>ines Agency’s Guideline on Good Pharmacovigilance P</w:t>
      </w:r>
      <w:r>
        <w:rPr>
          <w:rFonts w:eastAsiaTheme="minorHAnsi" w:cs="Cambria"/>
          <w:i/>
          <w:iCs/>
        </w:rPr>
        <w:t>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582C2BB0" w14:textId="77777777" w:rsidR="00314721" w:rsidRDefault="002F7A99" w:rsidP="00314721">
      <w:pPr>
        <w:tabs>
          <w:tab w:val="left" w:pos="9214"/>
        </w:tabs>
        <w:autoSpaceDE w:val="0"/>
        <w:autoSpaceDN w:val="0"/>
        <w:spacing w:before="0" w:after="220" w:line="240" w:lineRule="auto"/>
        <w:ind w:left="567" w:right="284"/>
        <w:rPr>
          <w:rFonts w:eastAsiaTheme="minorHAnsi" w:cs="Cambria"/>
          <w:i/>
          <w:iCs/>
        </w:rPr>
      </w:pPr>
      <w:r>
        <w:rPr>
          <w:rFonts w:eastAsiaTheme="minorHAnsi" w:cs="Cambria"/>
          <w:i/>
          <w:iCs/>
        </w:rPr>
        <w:t>Calquence</w:t>
      </w:r>
      <w:r w:rsidR="00314721">
        <w:rPr>
          <w:rFonts w:eastAsiaTheme="minorHAnsi" w:cs="Cambria"/>
          <w:i/>
          <w:iCs/>
        </w:rPr>
        <w:t xml:space="preserve"> (</w:t>
      </w:r>
      <w:proofErr w:type="spellStart"/>
      <w:r w:rsidR="00314721">
        <w:rPr>
          <w:rFonts w:eastAsiaTheme="minorHAnsi" w:cs="Cambria"/>
          <w:i/>
          <w:iCs/>
        </w:rPr>
        <w:t>acalabrutinib</w:t>
      </w:r>
      <w:proofErr w:type="spellEnd"/>
      <w:r w:rsidR="00314721">
        <w:rPr>
          <w:rFonts w:eastAsiaTheme="minorHAnsi" w:cs="Cambria"/>
          <w:i/>
          <w:iCs/>
        </w:rPr>
        <w:t xml:space="preserve">) is to be included in the Black Triangle Scheme. The PI and </w:t>
      </w:r>
      <w:r>
        <w:rPr>
          <w:rFonts w:eastAsiaTheme="minorHAnsi" w:cs="Cambria"/>
          <w:i/>
          <w:iCs/>
        </w:rPr>
        <w:t>Consumer Medicines Information (</w:t>
      </w:r>
      <w:r w:rsidR="00314721">
        <w:rPr>
          <w:rFonts w:eastAsiaTheme="minorHAnsi" w:cs="Cambria"/>
          <w:i/>
          <w:iCs/>
        </w:rPr>
        <w:t>CMI</w:t>
      </w:r>
      <w:r>
        <w:rPr>
          <w:rFonts w:eastAsiaTheme="minorHAnsi" w:cs="Cambria"/>
          <w:i/>
          <w:iCs/>
        </w:rPr>
        <w:t>)</w:t>
      </w:r>
      <w:r w:rsidR="00314721">
        <w:rPr>
          <w:rFonts w:eastAsiaTheme="minorHAnsi" w:cs="Cambria"/>
          <w:i/>
          <w:iCs/>
        </w:rPr>
        <w:t xml:space="preserve"> for </w:t>
      </w:r>
      <w:r>
        <w:rPr>
          <w:rFonts w:eastAsiaTheme="minorHAnsi" w:cs="Cambria"/>
          <w:i/>
          <w:iCs/>
        </w:rPr>
        <w:t>Calquence</w:t>
      </w:r>
      <w:r w:rsidR="00314721">
        <w:rPr>
          <w:rFonts w:eastAsiaTheme="minorHAnsi" w:cs="Cambria"/>
          <w:i/>
          <w:iCs/>
        </w:rPr>
        <w:t xml:space="preserve"> must include the black triangle symbol and mandatory accompanying text for five years, which starts from the date that the sponsor notifies the TGA of supply of the product.</w:t>
      </w:r>
    </w:p>
    <w:p w14:paraId="3194D2A2" w14:textId="77777777" w:rsidR="00314721" w:rsidRPr="00314721" w:rsidRDefault="00314721" w:rsidP="00314721">
      <w:pPr>
        <w:tabs>
          <w:tab w:val="left" w:pos="2835"/>
        </w:tabs>
        <w:autoSpaceDE w:val="0"/>
        <w:autoSpaceDN w:val="0"/>
        <w:spacing w:before="0" w:line="240" w:lineRule="auto"/>
        <w:rPr>
          <w:rFonts w:eastAsiaTheme="minorHAnsi" w:cs="Cambria"/>
        </w:rPr>
      </w:pPr>
      <w:r>
        <w:rPr>
          <w:rFonts w:eastAsiaTheme="minorHAnsi" w:cs="Cambria"/>
        </w:rPr>
        <w:t>There are no outstanding RMP issues for this submission.</w:t>
      </w:r>
    </w:p>
    <w:p w14:paraId="35616692" w14:textId="77777777" w:rsidR="008E7846" w:rsidRDefault="00AA0ED0" w:rsidP="008E7846">
      <w:pPr>
        <w:pStyle w:val="Heading3"/>
      </w:pPr>
      <w:bookmarkStart w:id="45" w:name="_Toc247691531"/>
      <w:bookmarkStart w:id="46" w:name="_Toc314842515"/>
      <w:bookmarkStart w:id="47" w:name="_Toc196046505"/>
      <w:bookmarkStart w:id="48" w:name="_Toc196046949"/>
      <w:bookmarkStart w:id="49" w:name="_Toc34735378"/>
      <w:r>
        <w:t>Risk-benefit a</w:t>
      </w:r>
      <w:r w:rsidR="008E7846">
        <w:t>nalysis</w:t>
      </w:r>
      <w:bookmarkEnd w:id="45"/>
      <w:bookmarkEnd w:id="46"/>
      <w:bookmarkEnd w:id="49"/>
    </w:p>
    <w:p w14:paraId="74A8C115" w14:textId="77777777" w:rsidR="00D23139" w:rsidRDefault="00DC370F" w:rsidP="00D23139">
      <w:pPr>
        <w:pStyle w:val="Heading4"/>
      </w:pPr>
      <w:r>
        <w:t>Delegate’s considerations</w:t>
      </w:r>
    </w:p>
    <w:p w14:paraId="09043EDD" w14:textId="77777777" w:rsidR="00314721" w:rsidRDefault="00314721" w:rsidP="00DC370F">
      <w:r>
        <w:t xml:space="preserve">The dossier presents two main clinical studies for the treatment of CLL with </w:t>
      </w:r>
      <w:proofErr w:type="spellStart"/>
      <w:r>
        <w:t>acalabrutinib</w:t>
      </w:r>
      <w:proofErr w:type="spellEnd"/>
      <w:r>
        <w:t xml:space="preserve">, in patients who are both naïve to treatment as well as those for which CLL has proven refractory or has relapsed under current treatment. Supportive data from other studies are present as well as safety data encompassing the known experience with </w:t>
      </w:r>
      <w:proofErr w:type="spellStart"/>
      <w:r>
        <w:t>acalabrutinib</w:t>
      </w:r>
      <w:proofErr w:type="spellEnd"/>
      <w:r>
        <w:t>.</w:t>
      </w:r>
    </w:p>
    <w:p w14:paraId="02EC5E0F" w14:textId="2C0F7469" w:rsidR="00314721" w:rsidRDefault="00314721" w:rsidP="00DC370F">
      <w:r>
        <w:t xml:space="preserve">A statistically and clinically significant increase in PFS has been shown for </w:t>
      </w:r>
      <w:proofErr w:type="spellStart"/>
      <w:r>
        <w:t>acalabrutinib</w:t>
      </w:r>
      <w:proofErr w:type="spellEnd"/>
      <w:r>
        <w:t xml:space="preserve"> in relation to a variety of acceptable alternative treatment regimens. In addition to displaying statistical significance in favour of </w:t>
      </w:r>
      <w:proofErr w:type="spellStart"/>
      <w:r>
        <w:t>acalabrutinib</w:t>
      </w:r>
      <w:proofErr w:type="spellEnd"/>
      <w:r>
        <w:t xml:space="preserve">, various secondary endpoints were also </w:t>
      </w:r>
      <w:r>
        <w:lastRenderedPageBreak/>
        <w:t>supportive for its use. Importantly</w:t>
      </w:r>
      <w:r w:rsidR="002F7A99">
        <w:t>,</w:t>
      </w:r>
      <w:r>
        <w:t xml:space="preserve"> they were not negative in assessing risk/benefit balance for the drug. It should be noted there are several possible other treatments for this condition, and comparison with other therapies such as </w:t>
      </w:r>
      <w:proofErr w:type="spellStart"/>
      <w:r>
        <w:t>venetoclax</w:t>
      </w:r>
      <w:proofErr w:type="spellEnd"/>
      <w:r>
        <w:t xml:space="preserve">, </w:t>
      </w:r>
      <w:proofErr w:type="spellStart"/>
      <w:r>
        <w:t>duvelisib</w:t>
      </w:r>
      <w:proofErr w:type="spellEnd"/>
      <w:r>
        <w:t xml:space="preserve"> and </w:t>
      </w:r>
      <w:proofErr w:type="spellStart"/>
      <w:r>
        <w:t>ibrutinib</w:t>
      </w:r>
      <w:proofErr w:type="spellEnd"/>
      <w:r>
        <w:t xml:space="preserve"> did not form part of the dossier. Both </w:t>
      </w:r>
      <w:proofErr w:type="spellStart"/>
      <w:r>
        <w:t>venetoclax</w:t>
      </w:r>
      <w:proofErr w:type="spellEnd"/>
      <w:r>
        <w:t xml:space="preserve"> and </w:t>
      </w:r>
      <w:proofErr w:type="spellStart"/>
      <w:r>
        <w:t>ibrutinib</w:t>
      </w:r>
      <w:proofErr w:type="spellEnd"/>
      <w:r>
        <w:t xml:space="preserve"> are on the </w:t>
      </w:r>
      <w:r w:rsidR="002F7A99">
        <w:t>ARTG</w:t>
      </w:r>
      <w:r>
        <w:t xml:space="preserve"> with an indication for CLL. In Australia, </w:t>
      </w:r>
      <w:proofErr w:type="spellStart"/>
      <w:r>
        <w:t>idelalisib</w:t>
      </w:r>
      <w:proofErr w:type="spellEnd"/>
      <w:r>
        <w:t xml:space="preserve"> is approved for relapsed/refractory CLL, and the combination of </w:t>
      </w:r>
      <w:proofErr w:type="spellStart"/>
      <w:r>
        <w:t>obinutuzumab</w:t>
      </w:r>
      <w:proofErr w:type="spellEnd"/>
      <w:r>
        <w:t xml:space="preserve"> and </w:t>
      </w:r>
      <w:proofErr w:type="spellStart"/>
      <w:r>
        <w:t>chlorambucil</w:t>
      </w:r>
      <w:proofErr w:type="spellEnd"/>
      <w:r>
        <w:t xml:space="preserve">, as well as </w:t>
      </w:r>
      <w:proofErr w:type="spellStart"/>
      <w:r>
        <w:t>bendamustine</w:t>
      </w:r>
      <w:proofErr w:type="spellEnd"/>
      <w:r>
        <w:t xml:space="preserve"> are approved for first-line treatment of CLL. Rituximab is approved for CD20 positive CLL at any stage of treatment. Hence while not encompassing all treatment options, the comparators in the clinical trials of </w:t>
      </w:r>
      <w:r w:rsidRPr="00C47755">
        <w:t>ELE</w:t>
      </w:r>
      <w:r w:rsidR="00DC370F" w:rsidRPr="00C47755">
        <w:t>VATE</w:t>
      </w:r>
      <w:r w:rsidR="00285458">
        <w:t>-TN</w:t>
      </w:r>
      <w:r w:rsidR="00DC370F">
        <w:t xml:space="preserve"> and ASCEND are reasonable.</w:t>
      </w:r>
    </w:p>
    <w:p w14:paraId="40E11AA6" w14:textId="77777777" w:rsidR="00314721" w:rsidRDefault="00314721" w:rsidP="00DC370F">
      <w:r>
        <w:t xml:space="preserve">While OS data are not yet available and thus it is difficult to assess what longer periods of progression free survival ultimately mean to final patient outcomes, PFS is an accepted outcome measure in oncology trials and this has been demonstrated to provide superior duration in the case of </w:t>
      </w:r>
      <w:proofErr w:type="spellStart"/>
      <w:r>
        <w:t>acalabrutinib</w:t>
      </w:r>
      <w:proofErr w:type="spellEnd"/>
      <w:r>
        <w:t xml:space="preserve"> when compared with the conventional treatmen</w:t>
      </w:r>
      <w:r w:rsidR="00DC370F">
        <w:t>ts chosen for trial comparison.</w:t>
      </w:r>
    </w:p>
    <w:p w14:paraId="16C82ACD" w14:textId="77777777" w:rsidR="00314721" w:rsidRDefault="00314721" w:rsidP="00DC370F">
      <w:r>
        <w:t xml:space="preserve">The drug’s safety profile contains some significant adverse events which are acceptable essentially because of the gravity of the disease that the product is treating. The array of adverse events for each oncology drug are somewhat unique to each product, with some overlap, and </w:t>
      </w:r>
      <w:proofErr w:type="spellStart"/>
      <w:r>
        <w:t>acalabrutinib</w:t>
      </w:r>
      <w:proofErr w:type="spellEnd"/>
      <w:r>
        <w:t xml:space="preserve"> is no exception. There are significant blood </w:t>
      </w:r>
      <w:proofErr w:type="spellStart"/>
      <w:r>
        <w:t>dyscrasias</w:t>
      </w:r>
      <w:proofErr w:type="spellEnd"/>
      <w:r>
        <w:t xml:space="preserve"> and infectious adverse events, which primarily need to be combatted through stringent monitoring, preventative man</w:t>
      </w:r>
      <w:r w:rsidR="002F7A99">
        <w:t>agement, and early treatment.</w:t>
      </w:r>
    </w:p>
    <w:p w14:paraId="181EB272" w14:textId="77777777" w:rsidR="00314721" w:rsidRDefault="00314721" w:rsidP="00DC370F">
      <w:r>
        <w:t>Overall, efficacy as determined by PFS was demonstrated for first line and refractory/relapsing CLL in adult patients, and other than a signal with respect to secondary primary malignancies, safety profile was essentially that circumscribed by the initial studies in MCL. The safety profile was not such to render the overall risk benefit unfavourable, given the improvements in PFS dem</w:t>
      </w:r>
      <w:r w:rsidR="00DC370F">
        <w:t>onstrated in the efficacy data.</w:t>
      </w:r>
    </w:p>
    <w:p w14:paraId="6CB08D30" w14:textId="77777777" w:rsidR="00314721" w:rsidRDefault="00314721" w:rsidP="00DC370F">
      <w:r>
        <w:t>The drug provides a significant new treatment for CLL fo</w:t>
      </w:r>
      <w:r w:rsidR="00DC370F">
        <w:t>r suitable Australian patients.</w:t>
      </w:r>
    </w:p>
    <w:p w14:paraId="4C25591B" w14:textId="77777777" w:rsidR="00314721" w:rsidRDefault="00DC370F" w:rsidP="00DC370F">
      <w:pPr>
        <w:pStyle w:val="Heading5"/>
      </w:pPr>
      <w:r>
        <w:t>Conditions of r</w:t>
      </w:r>
      <w:r w:rsidR="00314721">
        <w:t>egistration</w:t>
      </w:r>
    </w:p>
    <w:p w14:paraId="4FD84596" w14:textId="77777777" w:rsidR="00314721" w:rsidRPr="00DC370F" w:rsidRDefault="00DC370F" w:rsidP="00DC370F">
      <w:r>
        <w:t>Conditions of r</w:t>
      </w:r>
      <w:r w:rsidR="00314721" w:rsidRPr="00C031DC">
        <w:t>egistration should include the standard conditions for all prescription medicine products, as well as those required by the RMP evaluator. In addition, the drug will be subject to the requirement for ongoing data to be provided given the initial approval in MCL</w:t>
      </w:r>
      <w:r>
        <w:t xml:space="preserve"> is a provisional registration.</w:t>
      </w:r>
    </w:p>
    <w:p w14:paraId="36F27119" w14:textId="77777777" w:rsidR="00314721" w:rsidRDefault="00DC370F" w:rsidP="00DC370F">
      <w:pPr>
        <w:pStyle w:val="Heading5"/>
      </w:pPr>
      <w:r>
        <w:t>Outstanding i</w:t>
      </w:r>
      <w:r w:rsidR="00314721">
        <w:t>ssues</w:t>
      </w:r>
    </w:p>
    <w:p w14:paraId="0DE98B40" w14:textId="77777777" w:rsidR="00456765" w:rsidRPr="00456765" w:rsidRDefault="00314721" w:rsidP="00456765">
      <w:r w:rsidRPr="00C031DC">
        <w:t xml:space="preserve">There are no outstanding issues </w:t>
      </w:r>
      <w:r w:rsidR="00DC370F">
        <w:t>for this particular submission.</w:t>
      </w:r>
    </w:p>
    <w:p w14:paraId="538FCE72" w14:textId="77777777" w:rsidR="00D23139" w:rsidRDefault="00D23139" w:rsidP="00D23139">
      <w:pPr>
        <w:pStyle w:val="Heading4"/>
      </w:pPr>
      <w:r w:rsidRPr="00D23139">
        <w:t>Proposed action</w:t>
      </w:r>
    </w:p>
    <w:p w14:paraId="4EEFCE18" w14:textId="77777777" w:rsidR="00456765" w:rsidRPr="00314721" w:rsidRDefault="00314721" w:rsidP="00DC370F">
      <w:r>
        <w:t>The application may be approved.</w:t>
      </w:r>
    </w:p>
    <w:p w14:paraId="60C25106" w14:textId="77777777" w:rsidR="008E7846" w:rsidRDefault="008E7846" w:rsidP="008E7846">
      <w:pPr>
        <w:pStyle w:val="Heading4"/>
      </w:pPr>
      <w:r>
        <w:lastRenderedPageBreak/>
        <w:t>Advisory Committee Considerations</w:t>
      </w:r>
      <w:r w:rsidR="00456765">
        <w:rPr>
          <w:rStyle w:val="FootnoteReference"/>
        </w:rPr>
        <w:footnoteReference w:id="6"/>
      </w:r>
    </w:p>
    <w:p w14:paraId="19AB3903" w14:textId="1DA76EEC" w:rsidR="00456765" w:rsidRPr="00A322B3" w:rsidRDefault="00456765" w:rsidP="008E7846">
      <w:r>
        <w:rPr>
          <w:bCs/>
        </w:rPr>
        <w:t>The Delegate did not refer this application to the Advisory Committee on Medicines (ACM) for advice.</w:t>
      </w:r>
    </w:p>
    <w:p w14:paraId="58B6D5CC" w14:textId="77777777" w:rsidR="008E7846" w:rsidRPr="002E238E" w:rsidRDefault="008E7846" w:rsidP="008E7846">
      <w:pPr>
        <w:pStyle w:val="Heading3"/>
      </w:pPr>
      <w:bookmarkStart w:id="50" w:name="_Toc247691532"/>
      <w:bookmarkStart w:id="51" w:name="_Toc314842516"/>
      <w:bookmarkStart w:id="52" w:name="_Toc34735379"/>
      <w:bookmarkEnd w:id="30"/>
      <w:bookmarkEnd w:id="47"/>
      <w:bookmarkEnd w:id="48"/>
      <w:r>
        <w:t>Outcome</w:t>
      </w:r>
      <w:bookmarkEnd w:id="50"/>
      <w:bookmarkEnd w:id="51"/>
      <w:bookmarkEnd w:id="52"/>
    </w:p>
    <w:p w14:paraId="7934C54D" w14:textId="05375273" w:rsidR="00D23139" w:rsidRPr="00D23139" w:rsidRDefault="00D23139" w:rsidP="00D23139">
      <w:bookmarkStart w:id="53" w:name="_Toc247691533"/>
      <w:bookmarkStart w:id="54" w:name="_Toc314842517"/>
      <w:r w:rsidRPr="00D23139">
        <w:t xml:space="preserve">Based on a review of quality, safety and efficacy, TGA approved the registration of </w:t>
      </w:r>
      <w:r w:rsidR="00D84D73" w:rsidRPr="00BC3730">
        <w:rPr>
          <w:rFonts w:eastAsia="Calibri"/>
        </w:rPr>
        <w:t>Calquence</w:t>
      </w:r>
      <w:r w:rsidR="00D84D73">
        <w:rPr>
          <w:rFonts w:eastAsia="Calibri"/>
        </w:rPr>
        <w:t xml:space="preserve"> (</w:t>
      </w:r>
      <w:proofErr w:type="spellStart"/>
      <w:r w:rsidR="00D84D73">
        <w:rPr>
          <w:rFonts w:eastAsia="Calibri"/>
        </w:rPr>
        <w:t>a</w:t>
      </w:r>
      <w:r w:rsidR="00D84D73" w:rsidRPr="00BC3730">
        <w:rPr>
          <w:rFonts w:eastAsia="Calibri"/>
        </w:rPr>
        <w:t>calabrutinib</w:t>
      </w:r>
      <w:proofErr w:type="spellEnd"/>
      <w:r w:rsidR="00D84D73">
        <w:rPr>
          <w:rFonts w:eastAsia="Calibri"/>
        </w:rPr>
        <w:t>)</w:t>
      </w:r>
      <w:r w:rsidR="00D84D73" w:rsidRPr="00D23139">
        <w:t xml:space="preserve"> </w:t>
      </w:r>
      <w:r w:rsidR="00D84D73">
        <w:t>100 mg hard capsule</w:t>
      </w:r>
      <w:r w:rsidRPr="00D23139">
        <w:t xml:space="preserve">, </w:t>
      </w:r>
      <w:r w:rsidR="001D60E0">
        <w:t>for the new indication</w:t>
      </w:r>
      <w:r w:rsidRPr="00D23139">
        <w:t>:</w:t>
      </w:r>
    </w:p>
    <w:p w14:paraId="78822523" w14:textId="77777777" w:rsidR="00D84D73" w:rsidRPr="00543906" w:rsidRDefault="00D84D73" w:rsidP="00D84D73">
      <w:pPr>
        <w:ind w:left="720"/>
        <w:rPr>
          <w:i/>
        </w:rPr>
      </w:pPr>
      <w:r w:rsidRPr="00543906">
        <w:rPr>
          <w:i/>
        </w:rPr>
        <w:t>Calquence is indicated for the treatment of patients with chronic lymphocytic leukaemia (CLL)/small lymphocytic lymphoma (SLL)</w:t>
      </w:r>
      <w:r>
        <w:rPr>
          <w:i/>
        </w:rPr>
        <w:t>.</w:t>
      </w:r>
    </w:p>
    <w:p w14:paraId="33D7ADD2" w14:textId="77777777" w:rsidR="00D23139" w:rsidRDefault="00D84D73" w:rsidP="00D23139">
      <w:r>
        <w:t>As such, the full indications at this time were:</w:t>
      </w:r>
    </w:p>
    <w:p w14:paraId="74341FBC" w14:textId="77777777" w:rsidR="00D84D73" w:rsidRPr="00D84D73" w:rsidRDefault="00D84D73" w:rsidP="00D84D73">
      <w:pPr>
        <w:ind w:left="720"/>
        <w:rPr>
          <w:i/>
        </w:rPr>
      </w:pPr>
      <w:r w:rsidRPr="00D84D73">
        <w:rPr>
          <w:i/>
        </w:rPr>
        <w:t>Calquence is indicated for the treatment of patients with mantle cell lymphoma who have received at least one prior therapy.</w:t>
      </w:r>
    </w:p>
    <w:p w14:paraId="0EB27652" w14:textId="77777777" w:rsidR="00D23139" w:rsidRPr="00D84D73" w:rsidRDefault="00D84D73" w:rsidP="00D84D73">
      <w:pPr>
        <w:ind w:left="720"/>
        <w:rPr>
          <w:i/>
        </w:rPr>
      </w:pPr>
      <w:r w:rsidRPr="00D84D73">
        <w:rPr>
          <w:i/>
        </w:rPr>
        <w:t>Calquence is indicated for the treatment of patients with chronic lymphocytic leukaemia (CLL)/small lymphocytic lymphoma (SLL).</w:t>
      </w:r>
    </w:p>
    <w:p w14:paraId="6F71E78D" w14:textId="77777777" w:rsidR="00D23139" w:rsidRPr="00D23139" w:rsidRDefault="00D23139" w:rsidP="00D23139">
      <w:pPr>
        <w:pStyle w:val="Heading4"/>
      </w:pPr>
      <w:r w:rsidRPr="00D23139">
        <w:t>Specific conditions of registration applying to these goods</w:t>
      </w:r>
    </w:p>
    <w:p w14:paraId="7FCCFC29" w14:textId="77777777" w:rsidR="00D84D73" w:rsidRDefault="00D84D73" w:rsidP="003F22F8">
      <w:pPr>
        <w:pStyle w:val="ListBullet"/>
      </w:pPr>
      <w:r>
        <w:t>Calquence (</w:t>
      </w:r>
      <w:proofErr w:type="spellStart"/>
      <w:r>
        <w:t>acalabrutinib</w:t>
      </w:r>
      <w:proofErr w:type="spellEnd"/>
      <w:r>
        <w:t>) is to be included in the Black Triangle Scheme. The PI and CMI for Calquence must include the black triangle symbol and mandatory accompanying text for five years, which starts from the date the new indication is registered.</w:t>
      </w:r>
    </w:p>
    <w:p w14:paraId="75F2BF7B" w14:textId="77777777" w:rsidR="00D84D73" w:rsidRDefault="00D84D73" w:rsidP="003F22F8">
      <w:pPr>
        <w:pStyle w:val="ListBullet"/>
      </w:pPr>
      <w:r>
        <w:t>The Calquence Core Risk Management Plan version 2; date; DLP 8 February 2019 (RMP) (version 2, dated 19 August 2019, data lock point 8 February 2019), with Australian Specific Annex (version 1.0, succession 3, dated 7 November 2019) included with submission PM-2019-04317-1-6, and any subsequent revisions, as agreed with the TGA will be implemented in Australia.</w:t>
      </w:r>
    </w:p>
    <w:p w14:paraId="7CA8C4FF" w14:textId="77777777" w:rsidR="00D84D73" w:rsidRDefault="00D84D73" w:rsidP="003F22F8">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719A5974" w14:textId="6CE824FA" w:rsidR="00D84D73" w:rsidRDefault="002D61EF" w:rsidP="003F22F8">
      <w:pPr>
        <w:pStyle w:val="ListBullet"/>
        <w:numPr>
          <w:ilvl w:val="0"/>
          <w:numId w:val="0"/>
        </w:numPr>
        <w:ind w:left="360"/>
      </w:pPr>
      <w:r w:rsidRPr="002D61EF">
        <w:t>Unless agreed separately between the supplier who is the recipient of the approval and the TGA, the first report must be su</w:t>
      </w:r>
      <w:r>
        <w:t xml:space="preserve">bmitted to TGA no later than </w:t>
      </w:r>
      <w:r w:rsidRPr="002D61EF">
        <w:t>9 calend</w:t>
      </w:r>
      <w:r>
        <w:t>ar months after the date of the</w:t>
      </w:r>
      <w:r w:rsidRPr="002D61EF">
        <w:t xml:space="preserve"> approval letter. The subsequent reports must be submitted no less frequently than annually from the date of the first submitted report until the period covered by such reports is not less than t</w:t>
      </w:r>
      <w:r>
        <w:t>hree years from the date of the</w:t>
      </w:r>
      <w:r w:rsidRPr="002D61EF">
        <w:t xml:space="preserve"> approval letter</w:t>
      </w:r>
      <w:r>
        <w:t xml:space="preserve"> </w:t>
      </w:r>
      <w:r w:rsidRPr="002D61EF">
        <w:t>or for the entire period of provisional re</w:t>
      </w:r>
      <w:r>
        <w:t>gistration, whichever is longer</w:t>
      </w:r>
      <w:r w:rsidRPr="002D61EF">
        <w:t>. The annual submission may be made up of two PSURs each covering six months. If the sponsor wishes, the six monthly reports may be submitted separately as they become available.</w:t>
      </w:r>
    </w:p>
    <w:p w14:paraId="4966A9DB" w14:textId="77777777" w:rsidR="00456765" w:rsidRDefault="00D84D73" w:rsidP="003F22F8">
      <w:pPr>
        <w:pStyle w:val="ListBullet"/>
        <w:numPr>
          <w:ilvl w:val="0"/>
          <w:numId w:val="0"/>
        </w:numPr>
        <w:ind w:left="360"/>
      </w:pPr>
      <w:r>
        <w:lastRenderedPageBreak/>
        <w:t>The reports are to at least meet the requirements for PSURs as described in the European M</w:t>
      </w:r>
      <w:r w:rsidR="00030CC4">
        <w:t>edicines Agency’s Guideline on Good Pharmacovigilance P</w:t>
      </w:r>
      <w:r>
        <w:t>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028F1400" w14:textId="77777777" w:rsidR="008E7846" w:rsidRDefault="00A80B5B" w:rsidP="00D23139">
      <w:pPr>
        <w:pStyle w:val="Heading2"/>
      </w:pPr>
      <w:bookmarkStart w:id="55" w:name="_Toc34735380"/>
      <w:r>
        <w:t xml:space="preserve">Attachment 1. </w:t>
      </w:r>
      <w:r w:rsidR="008E7846">
        <w:t xml:space="preserve">Product </w:t>
      </w:r>
      <w:r w:rsidR="00AA0ED0">
        <w:t>I</w:t>
      </w:r>
      <w:r w:rsidR="008E7846">
        <w:t>nformation</w:t>
      </w:r>
      <w:bookmarkEnd w:id="53"/>
      <w:bookmarkEnd w:id="54"/>
      <w:bookmarkEnd w:id="55"/>
    </w:p>
    <w:p w14:paraId="45FEE485" w14:textId="77777777" w:rsidR="00770CAC" w:rsidRPr="00DC370F" w:rsidRDefault="006136D7" w:rsidP="00DC370F">
      <w:pPr>
        <w:rPr>
          <w:color w:val="000000"/>
          <w:lang w:eastAsia="en-AU"/>
        </w:rPr>
      </w:pPr>
      <w:r w:rsidRPr="002B3624">
        <w:t xml:space="preserve">The </w:t>
      </w:r>
      <w:r>
        <w:t>PI</w:t>
      </w:r>
      <w:r w:rsidRPr="002B3624">
        <w:t xml:space="preserve"> for </w:t>
      </w:r>
      <w:r w:rsidR="003F22F8">
        <w:t>Calquence</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8" w:history="1">
        <w:r w:rsidR="007C6B9B" w:rsidRPr="007C6B9B">
          <w:rPr>
            <w:rStyle w:val="Hyperlink"/>
          </w:rPr>
          <w:t>https://www.tga.gov.au/product-information-pi</w:t>
        </w:r>
      </w:hyperlink>
      <w:r w:rsidR="003F22F8">
        <w:t>&gt;.</w:t>
      </w:r>
    </w:p>
    <w:p w14:paraId="5E9195B6" w14:textId="77777777" w:rsidR="00291957" w:rsidRDefault="00291957" w:rsidP="00291957">
      <w:pPr>
        <w:rPr>
          <w:lang w:eastAsia="ja-JP"/>
        </w:rPr>
      </w:pPr>
    </w:p>
    <w:p w14:paraId="12295E55" w14:textId="77777777" w:rsidR="00C80137" w:rsidRPr="001D043B" w:rsidRDefault="00C80137" w:rsidP="003A7F6C">
      <w:pPr>
        <w:pStyle w:val="TableTitle"/>
        <w:sectPr w:rsidR="00C80137" w:rsidRPr="001D043B"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8CA9361" w14:textId="77777777" w:rsidTr="00A05FA4">
        <w:trPr>
          <w:trHeight w:hRule="exact" w:val="704"/>
        </w:trPr>
        <w:tc>
          <w:tcPr>
            <w:tcW w:w="9175" w:type="dxa"/>
          </w:tcPr>
          <w:p w14:paraId="581495FB" w14:textId="77777777" w:rsidR="001C32CD" w:rsidRPr="00487162" w:rsidRDefault="001C32CD" w:rsidP="00A05FA4">
            <w:pPr>
              <w:pStyle w:val="TGASignoff"/>
            </w:pPr>
            <w:r w:rsidRPr="00487162">
              <w:lastRenderedPageBreak/>
              <w:t>Therapeutic Goods Administration</w:t>
            </w:r>
          </w:p>
        </w:tc>
      </w:tr>
      <w:tr w:rsidR="001C32CD" w:rsidRPr="004C239D" w14:paraId="69B38C96" w14:textId="77777777" w:rsidTr="00A05FA4">
        <w:trPr>
          <w:trHeight w:val="1221"/>
        </w:trPr>
        <w:tc>
          <w:tcPr>
            <w:tcW w:w="9175" w:type="dxa"/>
            <w:tcMar>
              <w:top w:w="28" w:type="dxa"/>
            </w:tcMar>
          </w:tcPr>
          <w:p w14:paraId="7E84B7DE" w14:textId="77777777" w:rsidR="001C32CD" w:rsidRPr="00487162" w:rsidRDefault="001C32CD" w:rsidP="00A05FA4">
            <w:pPr>
              <w:pStyle w:val="Address"/>
            </w:pPr>
            <w:r w:rsidRPr="00487162">
              <w:t>PO Box 100 Woden ACT 2606 Australia</w:t>
            </w:r>
          </w:p>
          <w:p w14:paraId="448EB25D" w14:textId="77777777" w:rsidR="001C32CD" w:rsidRPr="00487162" w:rsidRDefault="001C32CD" w:rsidP="00A05FA4">
            <w:pPr>
              <w:pStyle w:val="Address"/>
            </w:pPr>
            <w:r w:rsidRPr="00487162">
              <w:t xml:space="preserve">Email: </w:t>
            </w:r>
            <w:hyperlink r:id="rId23" w:history="1">
              <w:r w:rsidRPr="004C239D">
                <w:rPr>
                  <w:rStyle w:val="Hyperlink"/>
                </w:rPr>
                <w:t>info@tga.gov.au</w:t>
              </w:r>
            </w:hyperlink>
            <w:r w:rsidRPr="00487162">
              <w:t xml:space="preserve">  Phone: 1800 020 653  Fax: 02 6232 8605</w:t>
            </w:r>
          </w:p>
          <w:p w14:paraId="315D7739" w14:textId="77777777" w:rsidR="001C32CD" w:rsidRPr="004C239D" w:rsidRDefault="0052476B" w:rsidP="00A05FA4">
            <w:pPr>
              <w:pStyle w:val="Address"/>
              <w:spacing w:line="260" w:lineRule="atLeast"/>
              <w:rPr>
                <w:b/>
                <w:color w:val="0000FF"/>
                <w:u w:val="single"/>
              </w:rPr>
            </w:pPr>
            <w:hyperlink r:id="rId24" w:history="1">
              <w:r w:rsidR="007C6B9B" w:rsidRPr="007C6B9B">
                <w:rPr>
                  <w:rStyle w:val="Hyperlink"/>
                  <w:b/>
                </w:rPr>
                <w:t>https://www.tga.gov.au</w:t>
              </w:r>
            </w:hyperlink>
          </w:p>
        </w:tc>
      </w:tr>
    </w:tbl>
    <w:p w14:paraId="28255041" w14:textId="77777777" w:rsidR="00774E1D" w:rsidRPr="008A5E0B" w:rsidRDefault="00774E1D" w:rsidP="004C239D"/>
    <w:sectPr w:rsidR="00774E1D" w:rsidRPr="008A5E0B" w:rsidSect="001C32CD">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BE60C" w16cid:durableId="21D5727D"/>
  <w16cid:commentId w16cid:paraId="079733B1" w16cid:durableId="21D578E5"/>
  <w16cid:commentId w16cid:paraId="1D0F40A4" w16cid:durableId="21D57994"/>
  <w16cid:commentId w16cid:paraId="0A0F5C2E" w16cid:durableId="21D5738A"/>
  <w16cid:commentId w16cid:paraId="286AB86D" w16cid:durableId="21D573EC"/>
  <w16cid:commentId w16cid:paraId="7FED5DC7" w16cid:durableId="21D57399"/>
  <w16cid:commentId w16cid:paraId="599A13E0" w16cid:durableId="21D579CA"/>
  <w16cid:commentId w16cid:paraId="143EBDB0" w16cid:durableId="21D57B45"/>
  <w16cid:commentId w16cid:paraId="3480BEEA" w16cid:durableId="21D57B52"/>
  <w16cid:commentId w16cid:paraId="088EEB3D" w16cid:durableId="21D57B5C"/>
  <w16cid:commentId w16cid:paraId="1602944E" w16cid:durableId="21D57B84"/>
  <w16cid:commentId w16cid:paraId="5E84078C" w16cid:durableId="21D57B61"/>
  <w16cid:commentId w16cid:paraId="3A3F1A03" w16cid:durableId="21D57BE4"/>
  <w16cid:commentId w16cid:paraId="0EF9A2FE" w16cid:durableId="21D57CAC"/>
  <w16cid:commentId w16cid:paraId="44C722C5" w16cid:durableId="21D57CB2"/>
  <w16cid:commentId w16cid:paraId="558F8388" w16cid:durableId="21D57CB8"/>
  <w16cid:commentId w16cid:paraId="00C6DB22" w16cid:durableId="21D57CBE"/>
  <w16cid:commentId w16cid:paraId="1C890BD1" w16cid:durableId="21D57CF6"/>
  <w16cid:commentId w16cid:paraId="6765B48D" w16cid:durableId="21D57D41"/>
  <w16cid:commentId w16cid:paraId="148CC1C9" w16cid:durableId="21D57D45"/>
  <w16cid:commentId w16cid:paraId="21F756A8" w16cid:durableId="21D57CC8"/>
  <w16cid:commentId w16cid:paraId="5AE11328" w16cid:durableId="21D57D99"/>
  <w16cid:commentId w16cid:paraId="53F18357" w16cid:durableId="21D57E16"/>
  <w16cid:commentId w16cid:paraId="25EBACE9" w16cid:durableId="21D57CD1"/>
  <w16cid:commentId w16cid:paraId="57BFA20E" w16cid:durableId="21D578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7CBF3" w14:textId="77777777" w:rsidR="00C47755" w:rsidRDefault="00C47755" w:rsidP="00C40A36">
      <w:pPr>
        <w:spacing w:after="0"/>
      </w:pPr>
      <w:r>
        <w:separator/>
      </w:r>
    </w:p>
  </w:endnote>
  <w:endnote w:type="continuationSeparator" w:id="0">
    <w:p w14:paraId="748900EA" w14:textId="77777777" w:rsidR="00C47755" w:rsidRDefault="00C4775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BAD14" w14:textId="77777777" w:rsidR="001C2110" w:rsidRDefault="001C2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47755" w:rsidRPr="00487162" w14:paraId="4C6D9F55" w14:textId="77777777" w:rsidTr="00DB750B">
      <w:trPr>
        <w:trHeight w:val="269"/>
      </w:trPr>
      <w:tc>
        <w:tcPr>
          <w:tcW w:w="7371" w:type="dxa"/>
          <w:tcMar>
            <w:top w:w="142" w:type="dxa"/>
            <w:bottom w:w="0" w:type="dxa"/>
          </w:tcMar>
        </w:tcPr>
        <w:p w14:paraId="7BB00949" w14:textId="08756FBD" w:rsidR="00C47755" w:rsidRPr="00487162" w:rsidRDefault="00C47755" w:rsidP="00C47755">
          <w:pPr>
            <w:pStyle w:val="Footer"/>
          </w:pPr>
          <w:r w:rsidRPr="00487162">
            <w:t>AusPA</w:t>
          </w:r>
          <w:r>
            <w:t xml:space="preserve">R - </w:t>
          </w:r>
          <w:r w:rsidRPr="008A79DE">
            <w:t xml:space="preserve">CALQUENCE - </w:t>
          </w:r>
          <w:proofErr w:type="spellStart"/>
          <w:r w:rsidRPr="008A79DE">
            <w:t>acalabrutinib</w:t>
          </w:r>
          <w:proofErr w:type="spellEnd"/>
          <w:r w:rsidRPr="008A79DE">
            <w:t xml:space="preserve"> - AstraZeneca Pty Ltd - PM-2019-04317-1-6</w:t>
          </w:r>
          <w:r>
            <w:br/>
            <w:t>FINAL 17 February 2020</w:t>
          </w:r>
        </w:p>
      </w:tc>
      <w:tc>
        <w:tcPr>
          <w:tcW w:w="1490" w:type="dxa"/>
          <w:tcMar>
            <w:top w:w="142" w:type="dxa"/>
            <w:bottom w:w="0" w:type="dxa"/>
          </w:tcMar>
        </w:tcPr>
        <w:p w14:paraId="2B613CFE" w14:textId="27880A4E" w:rsidR="00C47755" w:rsidRPr="00487162" w:rsidRDefault="00C47755" w:rsidP="00DB750B">
          <w:pPr>
            <w:pStyle w:val="Footer"/>
            <w:jc w:val="right"/>
          </w:pPr>
          <w:r w:rsidRPr="00487162">
            <w:t xml:space="preserve">Page </w:t>
          </w:r>
          <w:r>
            <w:fldChar w:fldCharType="begin"/>
          </w:r>
          <w:r>
            <w:instrText xml:space="preserve"> PAGE  \* Arabic </w:instrText>
          </w:r>
          <w:r>
            <w:fldChar w:fldCharType="separate"/>
          </w:r>
          <w:r w:rsidR="0052476B">
            <w:rPr>
              <w:noProof/>
            </w:rPr>
            <w:t>21</w:t>
          </w:r>
          <w:r>
            <w:fldChar w:fldCharType="end"/>
          </w:r>
          <w:r w:rsidRPr="00487162">
            <w:t xml:space="preserve"> of </w:t>
          </w:r>
          <w:r w:rsidR="0052476B">
            <w:fldChar w:fldCharType="begin"/>
          </w:r>
          <w:r w:rsidR="0052476B">
            <w:instrText xml:space="preserve"> NUMPAGES  \* Arabic </w:instrText>
          </w:r>
          <w:r w:rsidR="0052476B">
            <w:fldChar w:fldCharType="separate"/>
          </w:r>
          <w:r w:rsidR="0052476B">
            <w:rPr>
              <w:noProof/>
            </w:rPr>
            <w:t>26</w:t>
          </w:r>
          <w:r w:rsidR="0052476B">
            <w:rPr>
              <w:noProof/>
            </w:rPr>
            <w:fldChar w:fldCharType="end"/>
          </w:r>
        </w:p>
      </w:tc>
    </w:tr>
  </w:tbl>
  <w:p w14:paraId="24866F86" w14:textId="77777777" w:rsidR="00C47755" w:rsidRDefault="00C47755"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E3CEE" w14:textId="77777777" w:rsidR="001C2110" w:rsidRDefault="001C21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47755" w:rsidRPr="00487162" w14:paraId="4BB2B831" w14:textId="77777777" w:rsidTr="00E45619">
      <w:trPr>
        <w:trHeight w:val="269"/>
      </w:trPr>
      <w:tc>
        <w:tcPr>
          <w:tcW w:w="4519" w:type="dxa"/>
          <w:tcBorders>
            <w:top w:val="single" w:sz="4" w:space="0" w:color="auto"/>
          </w:tcBorders>
          <w:tcMar>
            <w:top w:w="142" w:type="dxa"/>
            <w:bottom w:w="0" w:type="dxa"/>
          </w:tcMar>
        </w:tcPr>
        <w:p w14:paraId="784ED5EB" w14:textId="77777777" w:rsidR="00C47755" w:rsidRPr="00487162" w:rsidRDefault="00C47755" w:rsidP="00FE1DEE">
          <w:pPr>
            <w:pStyle w:val="Footer"/>
          </w:pPr>
          <w:r w:rsidRPr="00487162">
            <w:t>Document title, Part #, Section # - Section title</w:t>
          </w:r>
        </w:p>
        <w:p w14:paraId="03719521" w14:textId="77777777" w:rsidR="00C47755" w:rsidRPr="00487162" w:rsidRDefault="00C47755" w:rsidP="00FE1DEE">
          <w:pPr>
            <w:pStyle w:val="Footer"/>
          </w:pPr>
          <w:r w:rsidRPr="00487162">
            <w:t>V1.0 October 2010</w:t>
          </w:r>
        </w:p>
      </w:tc>
      <w:tc>
        <w:tcPr>
          <w:tcW w:w="4342" w:type="dxa"/>
          <w:tcBorders>
            <w:top w:val="single" w:sz="4" w:space="0" w:color="auto"/>
          </w:tcBorders>
          <w:tcMar>
            <w:top w:w="142" w:type="dxa"/>
            <w:bottom w:w="0" w:type="dxa"/>
          </w:tcMar>
        </w:tcPr>
        <w:p w14:paraId="3772D719" w14:textId="77777777" w:rsidR="00C47755" w:rsidRPr="00487162" w:rsidRDefault="00C47755"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52476B">
            <w:fldChar w:fldCharType="begin"/>
          </w:r>
          <w:r w:rsidR="0052476B">
            <w:instrText xml:space="preserve"> NUMPAGES  </w:instrText>
          </w:r>
          <w:r w:rsidR="0052476B">
            <w:fldChar w:fldCharType="separate"/>
          </w:r>
          <w:r>
            <w:rPr>
              <w:noProof/>
            </w:rPr>
            <w:t>3</w:t>
          </w:r>
          <w:r w:rsidR="0052476B">
            <w:rPr>
              <w:noProof/>
            </w:rPr>
            <w:fldChar w:fldCharType="end"/>
          </w:r>
        </w:p>
      </w:tc>
    </w:tr>
  </w:tbl>
  <w:p w14:paraId="22510F09" w14:textId="77777777" w:rsidR="00C47755" w:rsidRDefault="00C477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4463" w14:textId="77777777" w:rsidR="00C47755" w:rsidRPr="001C32CD" w:rsidRDefault="00C47755"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47755" w14:paraId="26EB8789" w14:textId="77777777" w:rsidTr="0010601F">
      <w:trPr>
        <w:trHeight w:val="108"/>
      </w:trPr>
      <w:tc>
        <w:tcPr>
          <w:tcW w:w="8875" w:type="dxa"/>
          <w:gridSpan w:val="2"/>
          <w:tcBorders>
            <w:bottom w:val="single" w:sz="4" w:space="0" w:color="auto"/>
          </w:tcBorders>
          <w:tcMar>
            <w:right w:w="284" w:type="dxa"/>
          </w:tcMar>
        </w:tcPr>
        <w:p w14:paraId="058C290E" w14:textId="77777777" w:rsidR="00C47755" w:rsidRDefault="00C47755" w:rsidP="006E08B3">
          <w:pPr>
            <w:pStyle w:val="Heading3"/>
          </w:pPr>
          <w:r>
            <w:t>Copyright</w:t>
          </w:r>
        </w:p>
        <w:p w14:paraId="6D0FA4AC" w14:textId="77777777" w:rsidR="00C47755" w:rsidRDefault="00C47755" w:rsidP="006E08B3">
          <w:r>
            <w:rPr>
              <w:rFonts w:cs="Arial"/>
            </w:rPr>
            <w:t>©</w:t>
          </w:r>
          <w:r>
            <w:t xml:space="preserve"> Commonwealth of Australia [add year]</w:t>
          </w:r>
        </w:p>
        <w:p w14:paraId="0C2D493B" w14:textId="77777777" w:rsidR="00C47755" w:rsidRDefault="00C47755" w:rsidP="006E08B3"/>
        <w:p w14:paraId="405F21E4" w14:textId="77777777" w:rsidR="00C47755" w:rsidRDefault="00C47755"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CA41048" w14:textId="77777777" w:rsidR="00C47755" w:rsidRDefault="00C47755" w:rsidP="006E08B3"/>
        <w:p w14:paraId="5D115593" w14:textId="77777777" w:rsidR="00C47755" w:rsidRDefault="00C47755" w:rsidP="006E08B3">
          <w:pPr>
            <w:pStyle w:val="Heading3"/>
          </w:pPr>
          <w:r>
            <w:t>Confidentiality</w:t>
          </w:r>
        </w:p>
        <w:p w14:paraId="7D0CC3D0" w14:textId="77777777" w:rsidR="00C47755" w:rsidRDefault="00C47755"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DC0F37A" w14:textId="77777777" w:rsidR="00C47755" w:rsidRDefault="00C47755" w:rsidP="006E08B3"/>
        <w:p w14:paraId="1E498556" w14:textId="77777777" w:rsidR="00C47755" w:rsidRDefault="00C47755" w:rsidP="006E08B3">
          <w:r>
            <w:t>For submission made by individuals, all personal details, other than your name, will be removed from your submission before it is published on the TGA’s Internet site.</w:t>
          </w:r>
        </w:p>
        <w:p w14:paraId="058CEB05" w14:textId="77777777" w:rsidR="00C47755" w:rsidRDefault="00C47755" w:rsidP="006E08B3"/>
        <w:p w14:paraId="0A20C9D4" w14:textId="77777777" w:rsidR="00C47755" w:rsidRDefault="00C47755"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47755" w14:paraId="5D043002" w14:textId="77777777" w:rsidTr="0010601F">
      <w:trPr>
        <w:trHeight w:val="417"/>
      </w:trPr>
      <w:tc>
        <w:tcPr>
          <w:tcW w:w="4519" w:type="dxa"/>
          <w:tcBorders>
            <w:top w:val="single" w:sz="4" w:space="0" w:color="auto"/>
          </w:tcBorders>
          <w:tcMar>
            <w:top w:w="142" w:type="dxa"/>
            <w:bottom w:w="0" w:type="dxa"/>
          </w:tcMar>
        </w:tcPr>
        <w:p w14:paraId="34BB4B1E" w14:textId="77777777" w:rsidR="00C47755" w:rsidRDefault="00C47755" w:rsidP="006E08B3">
          <w:r>
            <w:t>Document title, Part #, Section # - Section title</w:t>
          </w:r>
        </w:p>
        <w:p w14:paraId="103D8828" w14:textId="77777777" w:rsidR="00C47755" w:rsidRDefault="00C47755" w:rsidP="006E08B3">
          <w:r>
            <w:t>V1.0 October 2010</w:t>
          </w:r>
        </w:p>
      </w:tc>
      <w:tc>
        <w:tcPr>
          <w:tcW w:w="4356" w:type="dxa"/>
          <w:tcBorders>
            <w:top w:val="single" w:sz="4" w:space="0" w:color="auto"/>
          </w:tcBorders>
          <w:tcMar>
            <w:top w:w="142" w:type="dxa"/>
            <w:bottom w:w="0" w:type="dxa"/>
          </w:tcMar>
        </w:tcPr>
        <w:p w14:paraId="239D1A3C" w14:textId="77777777" w:rsidR="00C47755" w:rsidRDefault="00C47755"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52476B">
            <w:fldChar w:fldCharType="begin"/>
          </w:r>
          <w:r w:rsidR="0052476B">
            <w:instrText xml:space="preserve"> NUMPAGES  \* Arabic </w:instrText>
          </w:r>
          <w:r w:rsidR="0052476B">
            <w:fldChar w:fldCharType="separate"/>
          </w:r>
          <w:r>
            <w:rPr>
              <w:noProof/>
            </w:rPr>
            <w:t>3</w:t>
          </w:r>
          <w:r w:rsidR="0052476B">
            <w:rPr>
              <w:noProof/>
            </w:rPr>
            <w:fldChar w:fldCharType="end"/>
          </w:r>
          <w:r>
            <w:t xml:space="preserve">  </w:t>
          </w:r>
        </w:p>
      </w:tc>
    </w:tr>
  </w:tbl>
  <w:p w14:paraId="04B2B01F" w14:textId="77777777" w:rsidR="00C47755" w:rsidRDefault="00C47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62559" w14:textId="77777777" w:rsidR="00C47755" w:rsidRDefault="00C47755" w:rsidP="00C40A36">
      <w:pPr>
        <w:spacing w:after="0"/>
      </w:pPr>
      <w:r>
        <w:separator/>
      </w:r>
    </w:p>
  </w:footnote>
  <w:footnote w:type="continuationSeparator" w:id="0">
    <w:p w14:paraId="3CA71E95" w14:textId="77777777" w:rsidR="00C47755" w:rsidRDefault="00C47755" w:rsidP="00C40A36">
      <w:pPr>
        <w:spacing w:after="0"/>
      </w:pPr>
      <w:r>
        <w:continuationSeparator/>
      </w:r>
    </w:p>
  </w:footnote>
  <w:footnote w:id="1">
    <w:p w14:paraId="2CCA6EC6" w14:textId="77777777" w:rsidR="00C47755" w:rsidRDefault="00C47755" w:rsidP="00895543">
      <w:pPr>
        <w:pStyle w:val="FootnoteText"/>
      </w:pPr>
      <w:r>
        <w:rPr>
          <w:rStyle w:val="FootnoteReference"/>
        </w:rPr>
        <w:footnoteRef/>
      </w:r>
      <w:r>
        <w:t xml:space="preserve"> The COR report-based process is associated with a shortened evaluation and decision timeframe. The aim of this process is to reduce duplication of evaluation of prescription medicines that have already been approved by a COR, while maintaining existing quality, safety and efficacy standards for medicines supplied in Australia.</w:t>
      </w:r>
    </w:p>
    <w:p w14:paraId="6D266B4A" w14:textId="77777777" w:rsidR="00C47755" w:rsidRDefault="00C47755" w:rsidP="00895543">
      <w:pPr>
        <w:pStyle w:val="FootnoteText"/>
      </w:pPr>
      <w:r>
        <w:t>The intention is that the TGA will only need to evaluate data generated specifically for the Australian context. For example, Australian labels, product information and consumer medicine information. However, in some instances, additional data may need to be considered. For example, safety data generated since the COR approval.</w:t>
      </w:r>
    </w:p>
    <w:p w14:paraId="3145F654" w14:textId="1EDBB11D" w:rsidR="00C47755" w:rsidRPr="00C47755" w:rsidRDefault="00C47755" w:rsidP="00895543">
      <w:pPr>
        <w:pStyle w:val="FootnoteText"/>
      </w:pPr>
      <w:r>
        <w:t>Under the COR-B approach, the TGA regulatory decision will still be mostly based on a critical review of the COR assessment reports. The COR-B process has a 175 working day evaluation and decision timeframe, allowing for TGA evaluation of certain data, in addition to the label, PI and RMP.</w:t>
      </w:r>
    </w:p>
  </w:footnote>
  <w:footnote w:id="2">
    <w:p w14:paraId="59BAED5B" w14:textId="77777777" w:rsidR="00C47755" w:rsidRDefault="00C47755" w:rsidP="001A1CC2">
      <w:pPr>
        <w:pStyle w:val="FootnoteText"/>
      </w:pPr>
      <w:r>
        <w:rPr>
          <w:rStyle w:val="FootnoteReference"/>
        </w:rPr>
        <w:footnoteRef/>
      </w:r>
      <w:r>
        <w:t xml:space="preserve"> European Medicines Agency (EMA), </w:t>
      </w:r>
      <w:r w:rsidRPr="00B84C38">
        <w:t xml:space="preserve">Committee for Medicinal Products for Human Use </w:t>
      </w:r>
      <w:r>
        <w:t xml:space="preserve">(CHMP), ICH S9 Guidance on nonclinical evaluation for anticancer pharmaceuticals, </w:t>
      </w:r>
      <w:r w:rsidRPr="00B84C38">
        <w:t>EMEA/CHMP/ICH/646107/2008</w:t>
      </w:r>
      <w:r>
        <w:t>.</w:t>
      </w:r>
    </w:p>
  </w:footnote>
  <w:footnote w:id="3">
    <w:p w14:paraId="446681A8" w14:textId="5E69C49B" w:rsidR="00C47755" w:rsidRDefault="00C47755" w:rsidP="00B04C5B">
      <w:pPr>
        <w:pStyle w:val="FootnoteText"/>
      </w:pPr>
      <w:r>
        <w:rPr>
          <w:rStyle w:val="FootnoteReference"/>
        </w:rPr>
        <w:footnoteRef/>
      </w:r>
      <w:r>
        <w:t xml:space="preserve"> The ECOG Scale of Performance Status is a </w:t>
      </w:r>
      <w:r w:rsidRPr="00B04C5B">
        <w:t>standard</w:t>
      </w:r>
      <w:r>
        <w:t>ised</w:t>
      </w:r>
      <w:r w:rsidRPr="00B04C5B">
        <w:t xml:space="preserve"> criteria</w:t>
      </w:r>
      <w:r>
        <w:t xml:space="preserve"> on a 0 to 5 scale</w:t>
      </w:r>
      <w:r w:rsidRPr="00B04C5B">
        <w:t xml:space="preserve"> for measuring how the disease impacts a patient’s daily living abilities (known to physicians and researchers as a patient’s performance status). It describes a patient’s level of functioning in terms of their ability to care for </w:t>
      </w:r>
      <w:proofErr w:type="spellStart"/>
      <w:r w:rsidRPr="00B04C5B">
        <w:t>themself</w:t>
      </w:r>
      <w:proofErr w:type="spellEnd"/>
      <w:r w:rsidRPr="00B04C5B">
        <w:t>, daily activity, and physical ability (</w:t>
      </w:r>
      <w:r>
        <w:t>such as walking, working, and so on</w:t>
      </w:r>
      <w:r w:rsidRPr="00B04C5B">
        <w:t>).</w:t>
      </w:r>
      <w:r>
        <w:t xml:space="preserve"> 0 Fully active, able to carry on all pre-disease performance without restriction </w:t>
      </w:r>
    </w:p>
    <w:p w14:paraId="05DDB0B4" w14:textId="7A29B85C" w:rsidR="00C47755" w:rsidRPr="00EF4961" w:rsidRDefault="00C47755" w:rsidP="00B04C5B">
      <w:pPr>
        <w:pStyle w:val="FootnoteText"/>
      </w:pPr>
      <w:r>
        <w:t xml:space="preserve">An ECOG status score of </w:t>
      </w:r>
      <w:r w:rsidRPr="00EF4961">
        <w:t xml:space="preserve">0 </w:t>
      </w:r>
      <w:r>
        <w:t>signifies ‘</w:t>
      </w:r>
      <w:r w:rsidRPr="00EF4961">
        <w:t>Fully active, able to carry on all pre-disease performance without restriction</w:t>
      </w:r>
      <w:r>
        <w:t>’;</w:t>
      </w:r>
      <w:r w:rsidRPr="00EF4961">
        <w:t xml:space="preserve"> </w:t>
      </w:r>
      <w:r>
        <w:t xml:space="preserve">1 signifies ‘Restricted in physically strenuous activity but ambulatory and able to carry out work of a light or sedentary nature, e.g., light house work, office work; and 2 signifies ‘ambulatory and capable of all </w:t>
      </w:r>
      <w:proofErr w:type="spellStart"/>
      <w:r>
        <w:t>selfcare</w:t>
      </w:r>
      <w:proofErr w:type="spellEnd"/>
      <w:r>
        <w:t xml:space="preserve"> but unable to carry out any work activities; up and about more than 50% of waking hours’.</w:t>
      </w:r>
    </w:p>
  </w:footnote>
  <w:footnote w:id="4">
    <w:p w14:paraId="73309DEA" w14:textId="77777777" w:rsidR="00C47755" w:rsidRDefault="00C47755">
      <w:pPr>
        <w:pStyle w:val="FootnoteText"/>
      </w:pPr>
      <w:r>
        <w:rPr>
          <w:rStyle w:val="FootnoteReference"/>
        </w:rPr>
        <w:footnoteRef/>
      </w:r>
      <w:r>
        <w:t xml:space="preserve"> </w:t>
      </w:r>
      <w:proofErr w:type="spellStart"/>
      <w:r>
        <w:t>Hallek</w:t>
      </w:r>
      <w:proofErr w:type="spellEnd"/>
      <w:r>
        <w:t xml:space="preserve">, M. et al. (2008). </w:t>
      </w:r>
      <w:r w:rsidRPr="00E47029">
        <w:t xml:space="preserve">Guidelines for the diagnosis and treatment of chronic lymphocytic </w:t>
      </w:r>
      <w:proofErr w:type="spellStart"/>
      <w:r w:rsidRPr="00E47029">
        <w:t>leukemia</w:t>
      </w:r>
      <w:proofErr w:type="spellEnd"/>
      <w:r w:rsidRPr="00E47029">
        <w:t xml:space="preserve">: a report from the International Workshop on Chronic Lymphocytic </w:t>
      </w:r>
      <w:proofErr w:type="spellStart"/>
      <w:r w:rsidRPr="00E47029">
        <w:t>Leukemia</w:t>
      </w:r>
      <w:proofErr w:type="spellEnd"/>
      <w:r w:rsidRPr="00E47029">
        <w:t xml:space="preserve"> updating the National Cancer Institute-Working Group 1996 guidelines.</w:t>
      </w:r>
      <w:r>
        <w:t xml:space="preserve"> Blood, 2008; 111: 5446-5456.</w:t>
      </w:r>
    </w:p>
  </w:footnote>
  <w:footnote w:id="5">
    <w:p w14:paraId="2B26FC64" w14:textId="77777777" w:rsidR="00C47755" w:rsidRDefault="00C47755" w:rsidP="00314721">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11AD4ED7" w14:textId="77777777" w:rsidR="00C47755" w:rsidRDefault="00C47755" w:rsidP="00314721">
      <w:pPr>
        <w:pStyle w:val="FootnoteText"/>
      </w:pPr>
      <w:r w:rsidRPr="00F12492">
        <w:rPr>
          <w:i/>
        </w:rPr>
        <w:t>Routine pharmacovigilance</w:t>
      </w:r>
      <w:r>
        <w:t xml:space="preserve"> practices involve the following activities:</w:t>
      </w:r>
    </w:p>
    <w:p w14:paraId="40B63EA9" w14:textId="77777777" w:rsidR="00C47755" w:rsidRDefault="00C47755" w:rsidP="00314721">
      <w:pPr>
        <w:pStyle w:val="FootnoteText"/>
        <w:numPr>
          <w:ilvl w:val="0"/>
          <w:numId w:val="28"/>
        </w:numPr>
      </w:pPr>
      <w:r>
        <w:t>All suspected adverse reactions that are reported to the personnel of the company are collected and collated in an accessible manner;</w:t>
      </w:r>
    </w:p>
    <w:p w14:paraId="2A8EA7D9" w14:textId="77777777" w:rsidR="00C47755" w:rsidRDefault="00C47755" w:rsidP="00314721">
      <w:pPr>
        <w:pStyle w:val="FootnoteText"/>
        <w:numPr>
          <w:ilvl w:val="0"/>
          <w:numId w:val="28"/>
        </w:numPr>
      </w:pPr>
      <w:r>
        <w:t>Reporting to regulatory authorities;</w:t>
      </w:r>
    </w:p>
    <w:p w14:paraId="3DC9EA20" w14:textId="77777777" w:rsidR="00C47755" w:rsidRDefault="00C47755" w:rsidP="00314721">
      <w:pPr>
        <w:pStyle w:val="FootnoteText"/>
        <w:numPr>
          <w:ilvl w:val="0"/>
          <w:numId w:val="28"/>
        </w:numPr>
      </w:pPr>
      <w:r>
        <w:t>Continuous monitoring of the safety profiles of approved products including signal detection and updating of labelling;</w:t>
      </w:r>
    </w:p>
    <w:p w14:paraId="0627B39B" w14:textId="77777777" w:rsidR="00C47755" w:rsidRDefault="00C47755" w:rsidP="00314721">
      <w:pPr>
        <w:pStyle w:val="FootnoteText"/>
        <w:numPr>
          <w:ilvl w:val="0"/>
          <w:numId w:val="28"/>
        </w:numPr>
      </w:pPr>
      <w:r>
        <w:t>Submission of PSURs;</w:t>
      </w:r>
    </w:p>
    <w:p w14:paraId="3C21FCF4" w14:textId="77777777" w:rsidR="00C47755" w:rsidRPr="00F12492" w:rsidRDefault="00C47755" w:rsidP="00314721">
      <w:pPr>
        <w:pStyle w:val="FootnoteText"/>
        <w:numPr>
          <w:ilvl w:val="0"/>
          <w:numId w:val="28"/>
        </w:numPr>
        <w:rPr>
          <w:lang w:val="en-US"/>
        </w:rPr>
      </w:pPr>
      <w:r>
        <w:t>Meeting other local regulatory agency requirements.</w:t>
      </w:r>
    </w:p>
  </w:footnote>
  <w:footnote w:id="6">
    <w:p w14:paraId="7EF1E697" w14:textId="77777777" w:rsidR="00C47755" w:rsidRDefault="00C47755"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212839C6" w14:textId="77777777" w:rsidR="00C47755" w:rsidRPr="00456765" w:rsidRDefault="00C47755"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D9C1E" w14:textId="77777777" w:rsidR="001C2110" w:rsidRDefault="001C2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CE6F7" w14:textId="77777777" w:rsidR="00C47755" w:rsidRDefault="00C47755"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03487" w14:textId="77777777" w:rsidR="00C47755" w:rsidRDefault="00C47755">
    <w:pPr>
      <w:rPr>
        <w:noProof/>
        <w:lang w:eastAsia="en-AU"/>
      </w:rPr>
    </w:pPr>
    <w:r w:rsidRPr="00347824">
      <w:rPr>
        <w:noProof/>
        <w:lang w:eastAsia="en-AU"/>
      </w:rPr>
      <w:drawing>
        <wp:anchor distT="0" distB="0" distL="114300" distR="114300" simplePos="0" relativeHeight="251658240" behindDoc="1" locked="0" layoutInCell="1" allowOverlap="1" wp14:anchorId="3D754993" wp14:editId="579472FA">
          <wp:simplePos x="0" y="0"/>
          <wp:positionH relativeFrom="column">
            <wp:posOffset>-1089660</wp:posOffset>
          </wp:positionH>
          <wp:positionV relativeFrom="paragraph">
            <wp:posOffset>-585470</wp:posOffset>
          </wp:positionV>
          <wp:extent cx="7572375" cy="10706100"/>
          <wp:effectExtent l="19050" t="0" r="0" b="0"/>
          <wp:wrapNone/>
          <wp:docPr id="10"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54BE733" w14:textId="77777777" w:rsidR="00C47755" w:rsidRDefault="00C47755" w:rsidP="00593AD1">
    <w:pPr>
      <w:pStyle w:val="HeaderNoLine"/>
    </w:pPr>
    <w:r>
      <w:rPr>
        <w:noProof/>
        <w:lang w:eastAsia="en-AU"/>
      </w:rPr>
      <w:drawing>
        <wp:inline distT="0" distB="0" distL="0" distR="0" wp14:anchorId="750BD435" wp14:editId="61D8EAF7">
          <wp:extent cx="5400675" cy="7639050"/>
          <wp:effectExtent l="0" t="0" r="9525" b="0"/>
          <wp:docPr id="11" name="Picture 1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321F" w14:textId="77777777" w:rsidR="00C47755" w:rsidRDefault="00C477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6E21F" w14:textId="77777777" w:rsidR="00C47755" w:rsidRDefault="00C47755">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ED204" w14:textId="77777777" w:rsidR="00C47755" w:rsidRDefault="00C47755">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FAC5" w14:textId="77777777" w:rsidR="00C47755" w:rsidRDefault="00C477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BC29" w14:textId="77777777" w:rsidR="00C47755" w:rsidRDefault="00C47755"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B4E4D" w14:textId="77777777" w:rsidR="00C47755" w:rsidRDefault="00C47755" w:rsidP="006E08B3">
    <w:r>
      <w:t>Therapeutic Goods Administration</w:t>
    </w:r>
  </w:p>
  <w:p w14:paraId="0AB7E86C" w14:textId="77777777" w:rsidR="00C47755" w:rsidRDefault="00C47755"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8CEA91FE"/>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38F83679"/>
    <w:multiLevelType w:val="hybridMultilevel"/>
    <w:tmpl w:val="111E220A"/>
    <w:lvl w:ilvl="0" w:tplc="E7E85878">
      <w:numFmt w:val="bullet"/>
      <w:lvlText w:val="—"/>
      <w:lvlJc w:val="left"/>
      <w:pPr>
        <w:ind w:left="720" w:hanging="360"/>
      </w:pPr>
      <w:rPr>
        <w:rFonts w:ascii="Cambria" w:eastAsiaTheme="minorHAnsi" w:hAnsi="Cambria" w:cs="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7"/>
  </w:num>
  <w:num w:numId="28">
    <w:abstractNumId w:val="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DE"/>
    <w:rsid w:val="00002031"/>
    <w:rsid w:val="00004734"/>
    <w:rsid w:val="00006B22"/>
    <w:rsid w:val="0001276A"/>
    <w:rsid w:val="000246AE"/>
    <w:rsid w:val="00025C67"/>
    <w:rsid w:val="00030CC4"/>
    <w:rsid w:val="00036490"/>
    <w:rsid w:val="00044772"/>
    <w:rsid w:val="0004541C"/>
    <w:rsid w:val="0005559E"/>
    <w:rsid w:val="000604D6"/>
    <w:rsid w:val="000734D8"/>
    <w:rsid w:val="00077775"/>
    <w:rsid w:val="00090471"/>
    <w:rsid w:val="00096AA7"/>
    <w:rsid w:val="000A3AED"/>
    <w:rsid w:val="000B3532"/>
    <w:rsid w:val="000B3A75"/>
    <w:rsid w:val="000B5465"/>
    <w:rsid w:val="000C00C2"/>
    <w:rsid w:val="000C561A"/>
    <w:rsid w:val="000C690F"/>
    <w:rsid w:val="000D03B0"/>
    <w:rsid w:val="000D1295"/>
    <w:rsid w:val="000D391B"/>
    <w:rsid w:val="000D3D6D"/>
    <w:rsid w:val="000D4FC7"/>
    <w:rsid w:val="000E6196"/>
    <w:rsid w:val="000F4869"/>
    <w:rsid w:val="000F595E"/>
    <w:rsid w:val="000F5B42"/>
    <w:rsid w:val="000F6E6F"/>
    <w:rsid w:val="0010601F"/>
    <w:rsid w:val="0010788A"/>
    <w:rsid w:val="00107A31"/>
    <w:rsid w:val="00110EA5"/>
    <w:rsid w:val="00112F56"/>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693F"/>
    <w:rsid w:val="0018110E"/>
    <w:rsid w:val="00181684"/>
    <w:rsid w:val="001843C6"/>
    <w:rsid w:val="001850E0"/>
    <w:rsid w:val="001956D4"/>
    <w:rsid w:val="001A03AF"/>
    <w:rsid w:val="001A1CC2"/>
    <w:rsid w:val="001A2158"/>
    <w:rsid w:val="001A525F"/>
    <w:rsid w:val="001B09F9"/>
    <w:rsid w:val="001B406B"/>
    <w:rsid w:val="001B5C90"/>
    <w:rsid w:val="001B6448"/>
    <w:rsid w:val="001C2110"/>
    <w:rsid w:val="001C32CD"/>
    <w:rsid w:val="001D19A6"/>
    <w:rsid w:val="001D2984"/>
    <w:rsid w:val="001D60E0"/>
    <w:rsid w:val="001E07CF"/>
    <w:rsid w:val="001E3A2C"/>
    <w:rsid w:val="001E59F1"/>
    <w:rsid w:val="001F2CEE"/>
    <w:rsid w:val="001F49EB"/>
    <w:rsid w:val="001F6CBA"/>
    <w:rsid w:val="00201D4E"/>
    <w:rsid w:val="002076C9"/>
    <w:rsid w:val="00220B8A"/>
    <w:rsid w:val="002257F3"/>
    <w:rsid w:val="002264DC"/>
    <w:rsid w:val="00233456"/>
    <w:rsid w:val="002336F4"/>
    <w:rsid w:val="002339A5"/>
    <w:rsid w:val="00257848"/>
    <w:rsid w:val="00260AB3"/>
    <w:rsid w:val="0027084A"/>
    <w:rsid w:val="00280265"/>
    <w:rsid w:val="00285458"/>
    <w:rsid w:val="00286434"/>
    <w:rsid w:val="00286C59"/>
    <w:rsid w:val="00291957"/>
    <w:rsid w:val="002942D1"/>
    <w:rsid w:val="0029501A"/>
    <w:rsid w:val="002A3721"/>
    <w:rsid w:val="002A754E"/>
    <w:rsid w:val="002B1638"/>
    <w:rsid w:val="002B3624"/>
    <w:rsid w:val="002D0952"/>
    <w:rsid w:val="002D61EF"/>
    <w:rsid w:val="002E40B3"/>
    <w:rsid w:val="002E4C9A"/>
    <w:rsid w:val="002F11F8"/>
    <w:rsid w:val="002F3F56"/>
    <w:rsid w:val="002F44B5"/>
    <w:rsid w:val="002F5122"/>
    <w:rsid w:val="002F7A99"/>
    <w:rsid w:val="00311AC0"/>
    <w:rsid w:val="00314721"/>
    <w:rsid w:val="003176FC"/>
    <w:rsid w:val="0032583B"/>
    <w:rsid w:val="00327883"/>
    <w:rsid w:val="00335504"/>
    <w:rsid w:val="00340C18"/>
    <w:rsid w:val="003442FD"/>
    <w:rsid w:val="0034571D"/>
    <w:rsid w:val="00347824"/>
    <w:rsid w:val="00350567"/>
    <w:rsid w:val="003521E8"/>
    <w:rsid w:val="00370CE3"/>
    <w:rsid w:val="003723EA"/>
    <w:rsid w:val="003728F3"/>
    <w:rsid w:val="003735BC"/>
    <w:rsid w:val="0037496E"/>
    <w:rsid w:val="00383221"/>
    <w:rsid w:val="00386150"/>
    <w:rsid w:val="003874CE"/>
    <w:rsid w:val="00390900"/>
    <w:rsid w:val="003A6F28"/>
    <w:rsid w:val="003A7F6C"/>
    <w:rsid w:val="003B4D60"/>
    <w:rsid w:val="003B7E39"/>
    <w:rsid w:val="003C58DC"/>
    <w:rsid w:val="003D1E62"/>
    <w:rsid w:val="003E0B99"/>
    <w:rsid w:val="003E2486"/>
    <w:rsid w:val="003E3208"/>
    <w:rsid w:val="003F0B04"/>
    <w:rsid w:val="003F22F8"/>
    <w:rsid w:val="0040134E"/>
    <w:rsid w:val="00401934"/>
    <w:rsid w:val="004254E3"/>
    <w:rsid w:val="00425F50"/>
    <w:rsid w:val="004334C7"/>
    <w:rsid w:val="00440A2D"/>
    <w:rsid w:val="00441C3F"/>
    <w:rsid w:val="00444D1A"/>
    <w:rsid w:val="004463CD"/>
    <w:rsid w:val="0045186A"/>
    <w:rsid w:val="004564A7"/>
    <w:rsid w:val="00456765"/>
    <w:rsid w:val="004617BF"/>
    <w:rsid w:val="00463658"/>
    <w:rsid w:val="004637A0"/>
    <w:rsid w:val="004722CC"/>
    <w:rsid w:val="00484A16"/>
    <w:rsid w:val="0048537C"/>
    <w:rsid w:val="00490483"/>
    <w:rsid w:val="004936E4"/>
    <w:rsid w:val="00494E60"/>
    <w:rsid w:val="00497487"/>
    <w:rsid w:val="004A2771"/>
    <w:rsid w:val="004A6189"/>
    <w:rsid w:val="004A7390"/>
    <w:rsid w:val="004B7B76"/>
    <w:rsid w:val="004C239D"/>
    <w:rsid w:val="004C2DCA"/>
    <w:rsid w:val="004C61D2"/>
    <w:rsid w:val="004E467C"/>
    <w:rsid w:val="004F0C4A"/>
    <w:rsid w:val="004F0F38"/>
    <w:rsid w:val="004F47D6"/>
    <w:rsid w:val="00500337"/>
    <w:rsid w:val="00501921"/>
    <w:rsid w:val="0052476B"/>
    <w:rsid w:val="00530354"/>
    <w:rsid w:val="00532C7A"/>
    <w:rsid w:val="0053625B"/>
    <w:rsid w:val="005434C6"/>
    <w:rsid w:val="00543906"/>
    <w:rsid w:val="00543B39"/>
    <w:rsid w:val="00546154"/>
    <w:rsid w:val="00550096"/>
    <w:rsid w:val="00555280"/>
    <w:rsid w:val="00557FF9"/>
    <w:rsid w:val="00562327"/>
    <w:rsid w:val="005711D5"/>
    <w:rsid w:val="00576378"/>
    <w:rsid w:val="00577130"/>
    <w:rsid w:val="00577196"/>
    <w:rsid w:val="00577945"/>
    <w:rsid w:val="00577E38"/>
    <w:rsid w:val="00585322"/>
    <w:rsid w:val="005857C6"/>
    <w:rsid w:val="00592F6E"/>
    <w:rsid w:val="00593AD1"/>
    <w:rsid w:val="005A68B6"/>
    <w:rsid w:val="005C5570"/>
    <w:rsid w:val="005C79A4"/>
    <w:rsid w:val="005D5442"/>
    <w:rsid w:val="005D5529"/>
    <w:rsid w:val="00603F32"/>
    <w:rsid w:val="00605AD4"/>
    <w:rsid w:val="006136D7"/>
    <w:rsid w:val="00625A6E"/>
    <w:rsid w:val="00632398"/>
    <w:rsid w:val="00640FC3"/>
    <w:rsid w:val="00642020"/>
    <w:rsid w:val="006430EE"/>
    <w:rsid w:val="006446A3"/>
    <w:rsid w:val="0065337B"/>
    <w:rsid w:val="0065419D"/>
    <w:rsid w:val="006603BC"/>
    <w:rsid w:val="006604D8"/>
    <w:rsid w:val="00664A5B"/>
    <w:rsid w:val="0066735C"/>
    <w:rsid w:val="006763D2"/>
    <w:rsid w:val="00680C08"/>
    <w:rsid w:val="00685CA3"/>
    <w:rsid w:val="006916A0"/>
    <w:rsid w:val="006931B1"/>
    <w:rsid w:val="006A03F7"/>
    <w:rsid w:val="006A15C0"/>
    <w:rsid w:val="006A58A8"/>
    <w:rsid w:val="006C3C3B"/>
    <w:rsid w:val="006C3E2A"/>
    <w:rsid w:val="006C642F"/>
    <w:rsid w:val="006D03E5"/>
    <w:rsid w:val="006D5D3E"/>
    <w:rsid w:val="006D795E"/>
    <w:rsid w:val="006E08B3"/>
    <w:rsid w:val="006E5680"/>
    <w:rsid w:val="006F17AC"/>
    <w:rsid w:val="006F25B8"/>
    <w:rsid w:val="006F572E"/>
    <w:rsid w:val="007046D6"/>
    <w:rsid w:val="00705DB0"/>
    <w:rsid w:val="00722B57"/>
    <w:rsid w:val="00730F8A"/>
    <w:rsid w:val="00735A8C"/>
    <w:rsid w:val="0074253D"/>
    <w:rsid w:val="0074429B"/>
    <w:rsid w:val="007615BC"/>
    <w:rsid w:val="00762F05"/>
    <w:rsid w:val="007652FF"/>
    <w:rsid w:val="00766D53"/>
    <w:rsid w:val="00770CAC"/>
    <w:rsid w:val="00770EF1"/>
    <w:rsid w:val="00773EF7"/>
    <w:rsid w:val="00774E1D"/>
    <w:rsid w:val="007765D8"/>
    <w:rsid w:val="0077675A"/>
    <w:rsid w:val="00780355"/>
    <w:rsid w:val="007819FD"/>
    <w:rsid w:val="00785717"/>
    <w:rsid w:val="00785721"/>
    <w:rsid w:val="0078625B"/>
    <w:rsid w:val="00787B09"/>
    <w:rsid w:val="00793A59"/>
    <w:rsid w:val="00796A72"/>
    <w:rsid w:val="007A46F5"/>
    <w:rsid w:val="007A480B"/>
    <w:rsid w:val="007A6505"/>
    <w:rsid w:val="007B3B29"/>
    <w:rsid w:val="007B6132"/>
    <w:rsid w:val="007B6E9F"/>
    <w:rsid w:val="007C1216"/>
    <w:rsid w:val="007C1AF7"/>
    <w:rsid w:val="007C6B9B"/>
    <w:rsid w:val="007D29FD"/>
    <w:rsid w:val="007F02D9"/>
    <w:rsid w:val="00805D27"/>
    <w:rsid w:val="00806DCB"/>
    <w:rsid w:val="00821776"/>
    <w:rsid w:val="008321F5"/>
    <w:rsid w:val="00832369"/>
    <w:rsid w:val="00834660"/>
    <w:rsid w:val="00836BC2"/>
    <w:rsid w:val="0085156D"/>
    <w:rsid w:val="00852B28"/>
    <w:rsid w:val="0085641B"/>
    <w:rsid w:val="00857136"/>
    <w:rsid w:val="00875A6B"/>
    <w:rsid w:val="0088068B"/>
    <w:rsid w:val="00885B11"/>
    <w:rsid w:val="00886D15"/>
    <w:rsid w:val="00887DD8"/>
    <w:rsid w:val="00891BA9"/>
    <w:rsid w:val="00895543"/>
    <w:rsid w:val="00896018"/>
    <w:rsid w:val="008960DD"/>
    <w:rsid w:val="0089635C"/>
    <w:rsid w:val="008A2B9D"/>
    <w:rsid w:val="008A3D9F"/>
    <w:rsid w:val="008A5E0B"/>
    <w:rsid w:val="008A6D59"/>
    <w:rsid w:val="008A79DE"/>
    <w:rsid w:val="008B4B03"/>
    <w:rsid w:val="008B596F"/>
    <w:rsid w:val="008C159F"/>
    <w:rsid w:val="008C1623"/>
    <w:rsid w:val="008C1850"/>
    <w:rsid w:val="008C3CA9"/>
    <w:rsid w:val="008C51A9"/>
    <w:rsid w:val="008D189F"/>
    <w:rsid w:val="008E7846"/>
    <w:rsid w:val="008F02E5"/>
    <w:rsid w:val="008F1CCC"/>
    <w:rsid w:val="008F2967"/>
    <w:rsid w:val="008F6943"/>
    <w:rsid w:val="00902A21"/>
    <w:rsid w:val="00904C9D"/>
    <w:rsid w:val="0091523F"/>
    <w:rsid w:val="00920330"/>
    <w:rsid w:val="009219D7"/>
    <w:rsid w:val="00922D53"/>
    <w:rsid w:val="00923B70"/>
    <w:rsid w:val="00924482"/>
    <w:rsid w:val="00930237"/>
    <w:rsid w:val="00937C17"/>
    <w:rsid w:val="00940A89"/>
    <w:rsid w:val="00941F77"/>
    <w:rsid w:val="00946EA5"/>
    <w:rsid w:val="00963C08"/>
    <w:rsid w:val="009752A5"/>
    <w:rsid w:val="0098585A"/>
    <w:rsid w:val="0099602A"/>
    <w:rsid w:val="009A4CED"/>
    <w:rsid w:val="009A690D"/>
    <w:rsid w:val="009B1D12"/>
    <w:rsid w:val="009B416B"/>
    <w:rsid w:val="009C4BD5"/>
    <w:rsid w:val="009D7B77"/>
    <w:rsid w:val="009E0BB0"/>
    <w:rsid w:val="009E3FBB"/>
    <w:rsid w:val="009F7353"/>
    <w:rsid w:val="00A04F85"/>
    <w:rsid w:val="00A05FA4"/>
    <w:rsid w:val="00A102E4"/>
    <w:rsid w:val="00A111FE"/>
    <w:rsid w:val="00A1219C"/>
    <w:rsid w:val="00A12C42"/>
    <w:rsid w:val="00A14DF7"/>
    <w:rsid w:val="00A22D57"/>
    <w:rsid w:val="00A3246D"/>
    <w:rsid w:val="00A36FA7"/>
    <w:rsid w:val="00A44DDB"/>
    <w:rsid w:val="00A475B7"/>
    <w:rsid w:val="00A47AF7"/>
    <w:rsid w:val="00A47C3E"/>
    <w:rsid w:val="00A50226"/>
    <w:rsid w:val="00A60BAD"/>
    <w:rsid w:val="00A74922"/>
    <w:rsid w:val="00A77F87"/>
    <w:rsid w:val="00A80B5B"/>
    <w:rsid w:val="00A84E36"/>
    <w:rsid w:val="00A964D1"/>
    <w:rsid w:val="00AA0ED0"/>
    <w:rsid w:val="00AA717C"/>
    <w:rsid w:val="00AA7801"/>
    <w:rsid w:val="00AC2B40"/>
    <w:rsid w:val="00AC2BB2"/>
    <w:rsid w:val="00AC2C3C"/>
    <w:rsid w:val="00AC512D"/>
    <w:rsid w:val="00AD0083"/>
    <w:rsid w:val="00AD3935"/>
    <w:rsid w:val="00AD4417"/>
    <w:rsid w:val="00AE65EB"/>
    <w:rsid w:val="00AE67A7"/>
    <w:rsid w:val="00AF1D94"/>
    <w:rsid w:val="00AF60C5"/>
    <w:rsid w:val="00B009C6"/>
    <w:rsid w:val="00B01548"/>
    <w:rsid w:val="00B04C5B"/>
    <w:rsid w:val="00B130C5"/>
    <w:rsid w:val="00B13EBD"/>
    <w:rsid w:val="00B21D29"/>
    <w:rsid w:val="00B25034"/>
    <w:rsid w:val="00B33588"/>
    <w:rsid w:val="00B33863"/>
    <w:rsid w:val="00B37D17"/>
    <w:rsid w:val="00B4175E"/>
    <w:rsid w:val="00B41C85"/>
    <w:rsid w:val="00B41CA5"/>
    <w:rsid w:val="00B452CE"/>
    <w:rsid w:val="00B54C25"/>
    <w:rsid w:val="00B76B91"/>
    <w:rsid w:val="00B77EB1"/>
    <w:rsid w:val="00B811C6"/>
    <w:rsid w:val="00B855B0"/>
    <w:rsid w:val="00B92E08"/>
    <w:rsid w:val="00BC622A"/>
    <w:rsid w:val="00BE0A78"/>
    <w:rsid w:val="00BE79F0"/>
    <w:rsid w:val="00BF046D"/>
    <w:rsid w:val="00BF1190"/>
    <w:rsid w:val="00BF3774"/>
    <w:rsid w:val="00BF5D04"/>
    <w:rsid w:val="00C009AA"/>
    <w:rsid w:val="00C1164D"/>
    <w:rsid w:val="00C16861"/>
    <w:rsid w:val="00C346AB"/>
    <w:rsid w:val="00C404A6"/>
    <w:rsid w:val="00C40A36"/>
    <w:rsid w:val="00C44419"/>
    <w:rsid w:val="00C45E7B"/>
    <w:rsid w:val="00C471B1"/>
    <w:rsid w:val="00C47755"/>
    <w:rsid w:val="00C52E24"/>
    <w:rsid w:val="00C6316B"/>
    <w:rsid w:val="00C634A9"/>
    <w:rsid w:val="00C64586"/>
    <w:rsid w:val="00C70D53"/>
    <w:rsid w:val="00C71051"/>
    <w:rsid w:val="00C73D0B"/>
    <w:rsid w:val="00C772FF"/>
    <w:rsid w:val="00C80137"/>
    <w:rsid w:val="00C801AF"/>
    <w:rsid w:val="00C80256"/>
    <w:rsid w:val="00C94CD4"/>
    <w:rsid w:val="00C9747E"/>
    <w:rsid w:val="00CB6BC0"/>
    <w:rsid w:val="00CC1B7C"/>
    <w:rsid w:val="00CC727F"/>
    <w:rsid w:val="00CE0904"/>
    <w:rsid w:val="00CF15C3"/>
    <w:rsid w:val="00CF2B6F"/>
    <w:rsid w:val="00CF2F3E"/>
    <w:rsid w:val="00CF3B6C"/>
    <w:rsid w:val="00CF58B6"/>
    <w:rsid w:val="00D0062D"/>
    <w:rsid w:val="00D017ED"/>
    <w:rsid w:val="00D040D3"/>
    <w:rsid w:val="00D04C65"/>
    <w:rsid w:val="00D153D8"/>
    <w:rsid w:val="00D201D2"/>
    <w:rsid w:val="00D224FE"/>
    <w:rsid w:val="00D23139"/>
    <w:rsid w:val="00D425BB"/>
    <w:rsid w:val="00D453FA"/>
    <w:rsid w:val="00D6493E"/>
    <w:rsid w:val="00D7195D"/>
    <w:rsid w:val="00D7301E"/>
    <w:rsid w:val="00D83AE1"/>
    <w:rsid w:val="00D84D73"/>
    <w:rsid w:val="00D855D4"/>
    <w:rsid w:val="00D902C9"/>
    <w:rsid w:val="00D93466"/>
    <w:rsid w:val="00DA1124"/>
    <w:rsid w:val="00DA64CB"/>
    <w:rsid w:val="00DB06B8"/>
    <w:rsid w:val="00DB6124"/>
    <w:rsid w:val="00DB750B"/>
    <w:rsid w:val="00DB75B7"/>
    <w:rsid w:val="00DC0A2F"/>
    <w:rsid w:val="00DC1948"/>
    <w:rsid w:val="00DC370F"/>
    <w:rsid w:val="00DC6E02"/>
    <w:rsid w:val="00DD28CD"/>
    <w:rsid w:val="00DE02AE"/>
    <w:rsid w:val="00DE39D1"/>
    <w:rsid w:val="00DF1D7F"/>
    <w:rsid w:val="00DF4BE4"/>
    <w:rsid w:val="00E02382"/>
    <w:rsid w:val="00E02FB4"/>
    <w:rsid w:val="00E13FC7"/>
    <w:rsid w:val="00E20571"/>
    <w:rsid w:val="00E235F7"/>
    <w:rsid w:val="00E23659"/>
    <w:rsid w:val="00E239D4"/>
    <w:rsid w:val="00E26130"/>
    <w:rsid w:val="00E40B22"/>
    <w:rsid w:val="00E44ED1"/>
    <w:rsid w:val="00E45619"/>
    <w:rsid w:val="00E4588F"/>
    <w:rsid w:val="00E46DA3"/>
    <w:rsid w:val="00E47029"/>
    <w:rsid w:val="00E51BB1"/>
    <w:rsid w:val="00E55CB0"/>
    <w:rsid w:val="00E624A5"/>
    <w:rsid w:val="00E64BA4"/>
    <w:rsid w:val="00E72934"/>
    <w:rsid w:val="00E7344E"/>
    <w:rsid w:val="00E82665"/>
    <w:rsid w:val="00EB0798"/>
    <w:rsid w:val="00EB40AD"/>
    <w:rsid w:val="00EB586E"/>
    <w:rsid w:val="00EB5FC8"/>
    <w:rsid w:val="00EC463D"/>
    <w:rsid w:val="00EC7A85"/>
    <w:rsid w:val="00ED2922"/>
    <w:rsid w:val="00ED3CAD"/>
    <w:rsid w:val="00ED5A41"/>
    <w:rsid w:val="00EE1DE8"/>
    <w:rsid w:val="00EE27C2"/>
    <w:rsid w:val="00EE6D18"/>
    <w:rsid w:val="00EF4961"/>
    <w:rsid w:val="00EF4BAD"/>
    <w:rsid w:val="00EF59DC"/>
    <w:rsid w:val="00F033EC"/>
    <w:rsid w:val="00F04F68"/>
    <w:rsid w:val="00F12670"/>
    <w:rsid w:val="00F14B27"/>
    <w:rsid w:val="00F234E0"/>
    <w:rsid w:val="00F3148D"/>
    <w:rsid w:val="00F325C5"/>
    <w:rsid w:val="00F32FE0"/>
    <w:rsid w:val="00F35298"/>
    <w:rsid w:val="00F47333"/>
    <w:rsid w:val="00F47E37"/>
    <w:rsid w:val="00F53C07"/>
    <w:rsid w:val="00F54B65"/>
    <w:rsid w:val="00F640B6"/>
    <w:rsid w:val="00F66DF2"/>
    <w:rsid w:val="00F80E40"/>
    <w:rsid w:val="00F848D9"/>
    <w:rsid w:val="00FA5069"/>
    <w:rsid w:val="00FA5B82"/>
    <w:rsid w:val="00FA639E"/>
    <w:rsid w:val="00FC1FCA"/>
    <w:rsid w:val="00FC25E4"/>
    <w:rsid w:val="00FC4EF7"/>
    <w:rsid w:val="00FD0824"/>
    <w:rsid w:val="00FD119B"/>
    <w:rsid w:val="00FD1EDC"/>
    <w:rsid w:val="00FE1DEE"/>
    <w:rsid w:val="00FE3939"/>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B4E6BB"/>
  <w15:docId w15:val="{E2AADB75-41EC-4469-9BFA-09BC9598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84D7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52476B"/>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036490"/>
    <w:pPr>
      <w:adjustRightInd w:val="0"/>
      <w:snapToGrid w:val="0"/>
      <w:spacing w:before="180" w:after="180"/>
      <w:ind w:left="720"/>
      <w:contextualSpacing/>
    </w:pPr>
    <w:rPr>
      <w:rFonts w:eastAsia="MS Mincho"/>
      <w:szCs w:val="20"/>
      <w:lang w:eastAsia="ja-JP"/>
    </w:rPr>
  </w:style>
  <w:style w:type="paragraph" w:customStyle="1" w:styleId="Default">
    <w:name w:val="Default"/>
    <w:rsid w:val="0031472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1796">
      <w:bodyDiv w:val="1"/>
      <w:marLeft w:val="0"/>
      <w:marRight w:val="0"/>
      <w:marTop w:val="0"/>
      <w:marBottom w:val="0"/>
      <w:divBdr>
        <w:top w:val="none" w:sz="0" w:space="0" w:color="auto"/>
        <w:left w:val="none" w:sz="0" w:space="0" w:color="auto"/>
        <w:bottom w:val="none" w:sz="0" w:space="0" w:color="auto"/>
        <w:right w:val="none" w:sz="0" w:space="0" w:color="auto"/>
      </w:divBdr>
    </w:div>
    <w:div w:id="127480411">
      <w:bodyDiv w:val="1"/>
      <w:marLeft w:val="0"/>
      <w:marRight w:val="0"/>
      <w:marTop w:val="0"/>
      <w:marBottom w:val="0"/>
      <w:divBdr>
        <w:top w:val="none" w:sz="0" w:space="0" w:color="auto"/>
        <w:left w:val="none" w:sz="0" w:space="0" w:color="auto"/>
        <w:bottom w:val="none" w:sz="0" w:space="0" w:color="auto"/>
        <w:right w:val="none" w:sz="0" w:space="0" w:color="auto"/>
      </w:divBdr>
    </w:div>
    <w:div w:id="176625433">
      <w:bodyDiv w:val="1"/>
      <w:marLeft w:val="0"/>
      <w:marRight w:val="0"/>
      <w:marTop w:val="0"/>
      <w:marBottom w:val="0"/>
      <w:divBdr>
        <w:top w:val="none" w:sz="0" w:space="0" w:color="auto"/>
        <w:left w:val="none" w:sz="0" w:space="0" w:color="auto"/>
        <w:bottom w:val="none" w:sz="0" w:space="0" w:color="auto"/>
        <w:right w:val="none" w:sz="0" w:space="0" w:color="auto"/>
      </w:divBdr>
    </w:div>
    <w:div w:id="337276553">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716582939">
      <w:bodyDiv w:val="1"/>
      <w:marLeft w:val="0"/>
      <w:marRight w:val="0"/>
      <w:marTop w:val="0"/>
      <w:marBottom w:val="0"/>
      <w:divBdr>
        <w:top w:val="none" w:sz="0" w:space="0" w:color="auto"/>
        <w:left w:val="none" w:sz="0" w:space="0" w:color="auto"/>
        <w:bottom w:val="none" w:sz="0" w:space="0" w:color="auto"/>
        <w:right w:val="none" w:sz="0" w:space="0" w:color="auto"/>
      </w:divBdr>
    </w:div>
    <w:div w:id="779640763">
      <w:bodyDiv w:val="1"/>
      <w:marLeft w:val="0"/>
      <w:marRight w:val="0"/>
      <w:marTop w:val="0"/>
      <w:marBottom w:val="0"/>
      <w:divBdr>
        <w:top w:val="none" w:sz="0" w:space="0" w:color="auto"/>
        <w:left w:val="none" w:sz="0" w:space="0" w:color="auto"/>
        <w:bottom w:val="none" w:sz="0" w:space="0" w:color="auto"/>
        <w:right w:val="none" w:sz="0" w:space="0" w:color="auto"/>
      </w:divBdr>
    </w:div>
    <w:div w:id="962618557">
      <w:bodyDiv w:val="1"/>
      <w:marLeft w:val="0"/>
      <w:marRight w:val="0"/>
      <w:marTop w:val="0"/>
      <w:marBottom w:val="0"/>
      <w:divBdr>
        <w:top w:val="none" w:sz="0" w:space="0" w:color="auto"/>
        <w:left w:val="none" w:sz="0" w:space="0" w:color="auto"/>
        <w:bottom w:val="none" w:sz="0" w:space="0" w:color="auto"/>
        <w:right w:val="none" w:sz="0" w:space="0" w:color="auto"/>
      </w:divBdr>
    </w:div>
    <w:div w:id="966395216">
      <w:bodyDiv w:val="1"/>
      <w:marLeft w:val="0"/>
      <w:marRight w:val="0"/>
      <w:marTop w:val="0"/>
      <w:marBottom w:val="0"/>
      <w:divBdr>
        <w:top w:val="none" w:sz="0" w:space="0" w:color="auto"/>
        <w:left w:val="none" w:sz="0" w:space="0" w:color="auto"/>
        <w:bottom w:val="none" w:sz="0" w:space="0" w:color="auto"/>
        <w:right w:val="none" w:sz="0" w:space="0" w:color="auto"/>
      </w:divBdr>
    </w:div>
    <w:div w:id="1132669767">
      <w:bodyDiv w:val="1"/>
      <w:marLeft w:val="0"/>
      <w:marRight w:val="0"/>
      <w:marTop w:val="0"/>
      <w:marBottom w:val="0"/>
      <w:divBdr>
        <w:top w:val="none" w:sz="0" w:space="0" w:color="auto"/>
        <w:left w:val="none" w:sz="0" w:space="0" w:color="auto"/>
        <w:bottom w:val="none" w:sz="0" w:space="0" w:color="auto"/>
        <w:right w:val="none" w:sz="0" w:space="0" w:color="auto"/>
      </w:divBdr>
    </w:div>
    <w:div w:id="1304233912">
      <w:bodyDiv w:val="1"/>
      <w:marLeft w:val="0"/>
      <w:marRight w:val="0"/>
      <w:marTop w:val="0"/>
      <w:marBottom w:val="0"/>
      <w:divBdr>
        <w:top w:val="none" w:sz="0" w:space="0" w:color="auto"/>
        <w:left w:val="none" w:sz="0" w:space="0" w:color="auto"/>
        <w:bottom w:val="none" w:sz="0" w:space="0" w:color="auto"/>
        <w:right w:val="none" w:sz="0" w:space="0" w:color="auto"/>
      </w:divBdr>
    </w:div>
    <w:div w:id="1490176697">
      <w:bodyDiv w:val="1"/>
      <w:marLeft w:val="0"/>
      <w:marRight w:val="0"/>
      <w:marTop w:val="0"/>
      <w:marBottom w:val="0"/>
      <w:divBdr>
        <w:top w:val="none" w:sz="0" w:space="0" w:color="auto"/>
        <w:left w:val="none" w:sz="0" w:space="0" w:color="auto"/>
        <w:bottom w:val="none" w:sz="0" w:space="0" w:color="auto"/>
        <w:right w:val="none" w:sz="0" w:space="0" w:color="auto"/>
      </w:divBdr>
    </w:div>
    <w:div w:id="1587106181">
      <w:bodyDiv w:val="1"/>
      <w:marLeft w:val="0"/>
      <w:marRight w:val="0"/>
      <w:marTop w:val="0"/>
      <w:marBottom w:val="0"/>
      <w:divBdr>
        <w:top w:val="none" w:sz="0" w:space="0" w:color="auto"/>
        <w:left w:val="none" w:sz="0" w:space="0" w:color="auto"/>
        <w:bottom w:val="none" w:sz="0" w:space="0" w:color="auto"/>
        <w:right w:val="none" w:sz="0" w:space="0" w:color="auto"/>
      </w:divBdr>
    </w:div>
    <w:div w:id="1623994140">
      <w:bodyDiv w:val="1"/>
      <w:marLeft w:val="0"/>
      <w:marRight w:val="0"/>
      <w:marTop w:val="0"/>
      <w:marBottom w:val="0"/>
      <w:divBdr>
        <w:top w:val="none" w:sz="0" w:space="0" w:color="auto"/>
        <w:left w:val="none" w:sz="0" w:space="0" w:color="auto"/>
        <w:bottom w:val="none" w:sz="0" w:space="0" w:color="auto"/>
        <w:right w:val="none" w:sz="0" w:space="0" w:color="auto"/>
      </w:divBdr>
    </w:div>
    <w:div w:id="1694261272">
      <w:bodyDiv w:val="1"/>
      <w:marLeft w:val="0"/>
      <w:marRight w:val="0"/>
      <w:marTop w:val="0"/>
      <w:marBottom w:val="0"/>
      <w:divBdr>
        <w:top w:val="none" w:sz="0" w:space="0" w:color="auto"/>
        <w:left w:val="none" w:sz="0" w:space="0" w:color="auto"/>
        <w:bottom w:val="none" w:sz="0" w:space="0" w:color="auto"/>
        <w:right w:val="none" w:sz="0" w:space="0" w:color="auto"/>
      </w:divBdr>
    </w:div>
    <w:div w:id="1896966352">
      <w:bodyDiv w:val="1"/>
      <w:marLeft w:val="0"/>
      <w:marRight w:val="0"/>
      <w:marTop w:val="0"/>
      <w:marBottom w:val="0"/>
      <w:divBdr>
        <w:top w:val="none" w:sz="0" w:space="0" w:color="auto"/>
        <w:left w:val="none" w:sz="0" w:space="0" w:color="auto"/>
        <w:bottom w:val="none" w:sz="0" w:space="0" w:color="auto"/>
        <w:right w:val="none" w:sz="0" w:space="0" w:color="auto"/>
      </w:divBdr>
    </w:div>
    <w:div w:id="1998878806">
      <w:bodyDiv w:val="1"/>
      <w:marLeft w:val="0"/>
      <w:marRight w:val="0"/>
      <w:marTop w:val="0"/>
      <w:marBottom w:val="0"/>
      <w:divBdr>
        <w:top w:val="none" w:sz="0" w:space="0" w:color="auto"/>
        <w:left w:val="none" w:sz="0" w:space="0" w:color="auto"/>
        <w:bottom w:val="none" w:sz="0" w:space="0" w:color="auto"/>
        <w:right w:val="none" w:sz="0" w:space="0" w:color="auto"/>
      </w:divBdr>
    </w:div>
    <w:div w:id="2033413817">
      <w:bodyDiv w:val="1"/>
      <w:marLeft w:val="0"/>
      <w:marRight w:val="0"/>
      <w:marTop w:val="0"/>
      <w:marBottom w:val="0"/>
      <w:divBdr>
        <w:top w:val="none" w:sz="0" w:space="0" w:color="auto"/>
        <w:left w:val="none" w:sz="0" w:space="0" w:color="auto"/>
        <w:bottom w:val="none" w:sz="0" w:space="0" w:color="auto"/>
        <w:right w:val="none" w:sz="0" w:space="0" w:color="auto"/>
      </w:divBdr>
    </w:div>
    <w:div w:id="21202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hyperlink" Target="https://www.tga.gov.au/product-information-pi"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tga.gov.au"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info@tga.gov.au"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5668\t0Q3Q7HJ.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08F1D-2D03-4E06-A40D-839FD5E4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t0Q3Q7HJ</Template>
  <TotalTime>13</TotalTime>
  <Pages>26</Pages>
  <Words>8537</Words>
  <Characters>48661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57084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Acalabrutinib</dc:title>
  <dc:subject>prescription medicines</dc:subject>
  <dc:creator>Therapeutic Goods Administration</dc:creator>
  <cp:keywords>AusPARs</cp:keywords>
  <cp:lastPrinted>2019-08-14T04:30:00Z</cp:lastPrinted>
  <dcterms:created xsi:type="dcterms:W3CDTF">2020-03-10T01:08:00Z</dcterms:created>
  <dcterms:modified xsi:type="dcterms:W3CDTF">2020-03-10T01:22:00Z</dcterms:modified>
  <cp:category/>
</cp:coreProperties>
</file>