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80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57"/>
      </w:tblGrid>
      <w:tr w:rsidR="008E7846" w:rsidRPr="00487162" w:rsidTr="009A7800">
        <w:trPr>
          <w:trHeight w:val="2016"/>
        </w:trPr>
        <w:tc>
          <w:tcPr>
            <w:tcW w:w="8057" w:type="dxa"/>
            <w:tcBorders>
              <w:top w:val="nil"/>
              <w:left w:val="nil"/>
              <w:bottom w:val="nil"/>
              <w:right w:val="nil"/>
            </w:tcBorders>
          </w:tcPr>
          <w:p w:rsidR="008E7846" w:rsidRPr="00054068" w:rsidRDefault="009A7800" w:rsidP="00054068">
            <w:pPr>
              <w:rPr>
                <w:b/>
                <w:sz w:val="36"/>
                <w:szCs w:val="36"/>
              </w:rPr>
            </w:pPr>
            <w:r w:rsidRPr="00054068">
              <w:rPr>
                <w:b/>
                <w:sz w:val="36"/>
                <w:szCs w:val="36"/>
              </w:rPr>
              <w:t xml:space="preserve">First </w:t>
            </w:r>
            <w:r w:rsidR="00B3648D">
              <w:rPr>
                <w:b/>
                <w:sz w:val="36"/>
                <w:szCs w:val="36"/>
              </w:rPr>
              <w:t>r</w:t>
            </w:r>
            <w:r w:rsidRPr="00054068">
              <w:rPr>
                <w:b/>
                <w:sz w:val="36"/>
                <w:szCs w:val="36"/>
              </w:rPr>
              <w:t>ound CER: 30 January 2013</w:t>
            </w:r>
          </w:p>
          <w:p w:rsidR="009A7800" w:rsidRPr="0017078F" w:rsidRDefault="009A7800" w:rsidP="00B3648D">
            <w:r w:rsidRPr="00054068">
              <w:rPr>
                <w:b/>
                <w:sz w:val="36"/>
                <w:szCs w:val="36"/>
              </w:rPr>
              <w:t xml:space="preserve">Second </w:t>
            </w:r>
            <w:r w:rsidR="00B3648D">
              <w:rPr>
                <w:b/>
                <w:sz w:val="36"/>
                <w:szCs w:val="36"/>
              </w:rPr>
              <w:t>r</w:t>
            </w:r>
            <w:r w:rsidRPr="00054068">
              <w:rPr>
                <w:b/>
                <w:sz w:val="36"/>
                <w:szCs w:val="36"/>
              </w:rPr>
              <w:t>ound CER: 29 April 2013</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E07F15">
        <w:trPr>
          <w:trHeight w:val="1548"/>
        </w:trPr>
        <w:tc>
          <w:tcPr>
            <w:tcW w:w="9079" w:type="dxa"/>
          </w:tcPr>
          <w:p w:rsidR="0032583B" w:rsidRPr="00A964D1" w:rsidRDefault="00E07F15" w:rsidP="00A964D1">
            <w:pPr>
              <w:pStyle w:val="Title"/>
              <w:rPr>
                <w:color w:val="FFFFFF" w:themeColor="background1"/>
              </w:rPr>
            </w:pPr>
            <w:proofErr w:type="spellStart"/>
            <w:r>
              <w:rPr>
                <w:color w:val="FFFFFF" w:themeColor="background1"/>
              </w:rPr>
              <w:t>AusPAR</w:t>
            </w:r>
            <w:proofErr w:type="spellEnd"/>
            <w:r>
              <w:rPr>
                <w:color w:val="FFFFFF" w:themeColor="background1"/>
              </w:rPr>
              <w:t xml:space="preserve"> Attachment 2</w:t>
            </w:r>
          </w:p>
        </w:tc>
      </w:tr>
      <w:tr w:rsidR="00E07F15" w:rsidRPr="00A964D1" w:rsidTr="00E07F15">
        <w:trPr>
          <w:trHeight w:val="868"/>
        </w:trPr>
        <w:tc>
          <w:tcPr>
            <w:tcW w:w="9079" w:type="dxa"/>
          </w:tcPr>
          <w:p w:rsidR="00E07F15" w:rsidRPr="00A964D1" w:rsidRDefault="00E07F15" w:rsidP="009A7800">
            <w:pPr>
              <w:pStyle w:val="Title"/>
              <w:rPr>
                <w:color w:val="FFFFFF" w:themeColor="background1"/>
              </w:rPr>
            </w:pPr>
            <w:r>
              <w:rPr>
                <w:color w:val="FFFFFF" w:themeColor="background1"/>
              </w:rPr>
              <w:t>Extract from the Clinical Evaluation Report</w:t>
            </w:r>
            <w:r w:rsidRPr="00A964D1">
              <w:rPr>
                <w:color w:val="FFFFFF" w:themeColor="background1"/>
              </w:rPr>
              <w:t xml:space="preserve"> for </w:t>
            </w:r>
            <w:proofErr w:type="spellStart"/>
            <w:r w:rsidR="009A7800" w:rsidRPr="009A7800">
              <w:rPr>
                <w:color w:val="FFFFFF" w:themeColor="background1"/>
              </w:rPr>
              <w:t>Abiraterone</w:t>
            </w:r>
            <w:proofErr w:type="spellEnd"/>
            <w:r w:rsidR="009A7800" w:rsidRPr="009A7800">
              <w:rPr>
                <w:color w:val="FFFFFF" w:themeColor="background1"/>
              </w:rPr>
              <w:t xml:space="preserve"> Acetate</w:t>
            </w:r>
          </w:p>
        </w:tc>
      </w:tr>
      <w:tr w:rsidR="00E07F15" w:rsidRPr="00B64760" w:rsidTr="00E07F15">
        <w:tc>
          <w:tcPr>
            <w:tcW w:w="9079" w:type="dxa"/>
          </w:tcPr>
          <w:p w:rsidR="00E07F15" w:rsidRPr="00054068" w:rsidRDefault="00E07F15" w:rsidP="006F435A">
            <w:pPr>
              <w:pStyle w:val="Subtitle"/>
              <w:tabs>
                <w:tab w:val="right" w:pos="8863"/>
              </w:tabs>
              <w:rPr>
                <w:color w:val="FFFFFF" w:themeColor="background1"/>
              </w:rPr>
            </w:pPr>
            <w:r w:rsidRPr="00054068">
              <w:rPr>
                <w:color w:val="FFFFFF" w:themeColor="background1"/>
              </w:rPr>
              <w:t xml:space="preserve">Proprietary Product Name: </w:t>
            </w:r>
            <w:proofErr w:type="spellStart"/>
            <w:r w:rsidR="009A7800" w:rsidRPr="00054068">
              <w:rPr>
                <w:color w:val="FFFFFF" w:themeColor="background1"/>
              </w:rPr>
              <w:t>Zytiga</w:t>
            </w:r>
            <w:proofErr w:type="spellEnd"/>
          </w:p>
        </w:tc>
      </w:tr>
      <w:tr w:rsidR="00E07F15" w:rsidRPr="00B64760" w:rsidTr="00E07F15">
        <w:trPr>
          <w:trHeight w:val="486"/>
        </w:trPr>
        <w:tc>
          <w:tcPr>
            <w:tcW w:w="9079" w:type="dxa"/>
          </w:tcPr>
          <w:p w:rsidR="00E07F15" w:rsidRPr="00054068" w:rsidRDefault="00E07F15" w:rsidP="00054068">
            <w:pPr>
              <w:pStyle w:val="Subtitle"/>
              <w:rPr>
                <w:color w:val="FFFFFF" w:themeColor="background1"/>
              </w:rPr>
            </w:pPr>
            <w:r w:rsidRPr="00054068">
              <w:rPr>
                <w:color w:val="FFFFFF" w:themeColor="background1"/>
              </w:rPr>
              <w:t xml:space="preserve">Sponsor: </w:t>
            </w:r>
            <w:r w:rsidR="009A7800" w:rsidRPr="00054068">
              <w:rPr>
                <w:color w:val="FFFFFF" w:themeColor="background1"/>
              </w:rPr>
              <w:t>Janssen-</w:t>
            </w:r>
            <w:proofErr w:type="spellStart"/>
            <w:r w:rsidR="009A7800" w:rsidRPr="00054068">
              <w:rPr>
                <w:color w:val="FFFFFF" w:themeColor="background1"/>
              </w:rPr>
              <w:t>Cilag</w:t>
            </w:r>
            <w:proofErr w:type="spellEnd"/>
            <w:r w:rsidR="009A7800" w:rsidRPr="00054068">
              <w:rPr>
                <w:color w:val="FFFFFF" w:themeColor="background1"/>
              </w:rPr>
              <w:t xml:space="preserve"> Pty Ltd</w:t>
            </w:r>
          </w:p>
        </w:tc>
      </w:tr>
    </w:tbl>
    <w:p w:rsidR="008E7846" w:rsidRDefault="008E7846" w:rsidP="00054068">
      <w:pPr>
        <w:pStyle w:val="NonTOCHeading2"/>
      </w:pPr>
      <w:bookmarkStart w:id="0" w:name="_GoBack"/>
      <w:bookmarkEnd w:id="0"/>
      <w:r>
        <w:br w:type="page"/>
      </w:r>
    </w:p>
    <w:p w:rsidR="008E7846" w:rsidRPr="001F6CBA" w:rsidRDefault="008E7846" w:rsidP="00054068">
      <w:pPr>
        <w:pStyle w:val="NonTOCHeading2"/>
      </w:pPr>
      <w:r w:rsidRPr="001F6CBA">
        <w:lastRenderedPageBreak/>
        <w:t>About the Therapeutic Goods Administration (TGA)</w:t>
      </w:r>
    </w:p>
    <w:p w:rsidR="008E7846" w:rsidRDefault="008E7846" w:rsidP="00054068">
      <w:pPr>
        <w:pStyle w:val="ListBullet"/>
      </w:pPr>
      <w:r>
        <w:t xml:space="preserve">The Therapeutic Goods Administration (TGA) is </w:t>
      </w:r>
      <w:r w:rsidR="00E624A5">
        <w:t xml:space="preserve">part </w:t>
      </w:r>
      <w:r>
        <w:t>of the Australian</w:t>
      </w:r>
      <w:r w:rsidR="00A329E6">
        <w:t xml:space="preserve"> Government Department of Health</w:t>
      </w:r>
      <w:r>
        <w:t xml:space="preserve"> and is responsible for regulating medicines and medical devices.</w:t>
      </w:r>
    </w:p>
    <w:p w:rsidR="008E7846" w:rsidRDefault="00C811C0" w:rsidP="00054068">
      <w:pPr>
        <w:pStyle w:val="ListBullet"/>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054068">
      <w:pPr>
        <w:pStyle w:val="ListBullet"/>
      </w:pPr>
      <w:r>
        <w:t>The work of the TGA is based on applying scientific and clinical expertise to decision-making, to ensure that the benefits to consumers outweigh any risks associated with the use of medicines and medical devices.</w:t>
      </w:r>
    </w:p>
    <w:p w:rsidR="008E7846" w:rsidRDefault="008E7846" w:rsidP="00054068">
      <w:pPr>
        <w:pStyle w:val="ListBullet"/>
      </w:pPr>
      <w:r>
        <w:t>The TGA relies on the public, healthcare professionals and industry to report problems with medicines or medical devices. TGA investigates reports received by it to determine any necessary regulatory action.</w:t>
      </w:r>
    </w:p>
    <w:p w:rsidR="008E7846" w:rsidRDefault="008E7846" w:rsidP="00054068">
      <w:pPr>
        <w:pStyle w:val="ListBullet"/>
      </w:pPr>
      <w:r>
        <w:t>To report a problem with a medicine or medical device, please see the information on the TGA website</w:t>
      </w:r>
      <w:r w:rsidR="00112F56">
        <w:t xml:space="preserve"> &lt;</w:t>
      </w:r>
      <w:hyperlink r:id="rId9" w:history="1">
        <w:r w:rsidR="007E6E27" w:rsidRPr="00607888">
          <w:rPr>
            <w:rStyle w:val="Hyperlink"/>
          </w:rPr>
          <w:t>http://www.tga.gov.au</w:t>
        </w:r>
      </w:hyperlink>
      <w:r w:rsidR="00112F56">
        <w:t>&gt;</w:t>
      </w:r>
      <w:r>
        <w:t>.</w:t>
      </w:r>
    </w:p>
    <w:p w:rsidR="0017078F" w:rsidRPr="001F6CBA" w:rsidRDefault="0017078F" w:rsidP="00054068">
      <w:pPr>
        <w:pStyle w:val="NonTOCHeading2"/>
      </w:pPr>
      <w:r w:rsidRPr="001F6CBA">
        <w:t xml:space="preserve">About the </w:t>
      </w:r>
      <w:r w:rsidRPr="0017078F">
        <w:t>Extract</w:t>
      </w:r>
      <w:r>
        <w:t xml:space="preserve"> from the Clinical Evaluation Report</w:t>
      </w:r>
    </w:p>
    <w:p w:rsidR="0017078F" w:rsidRDefault="003D0A3B" w:rsidP="00054068">
      <w:pPr>
        <w:pStyle w:val="ListBullet"/>
      </w:pPr>
      <w:r w:rsidRPr="003D0A3B">
        <w:t>This document provides a more detailed evaluation of the clinical findings, extracted from the Clinical Evaluation Report (CER) prepared by the TGA. This extract does not include sections from the CER regarding product documentation or post market activities.</w:t>
      </w:r>
    </w:p>
    <w:p w:rsidR="003D0A3B" w:rsidRDefault="003D0A3B" w:rsidP="00054068">
      <w:pPr>
        <w:pStyle w:val="ListBullet"/>
      </w:pPr>
      <w:r w:rsidRPr="003D0A3B">
        <w:t>The words [Information redacted], where they appear in this document, indicate that confidential information has been deleted.</w:t>
      </w:r>
    </w:p>
    <w:p w:rsidR="0017078F" w:rsidRDefault="003D0A3B" w:rsidP="00054068">
      <w:pPr>
        <w:pStyle w:val="ListBullet"/>
      </w:pPr>
      <w:r w:rsidRPr="003D0A3B">
        <w:t>For the most recent Product Information (PI), please refer to the TGA website</w:t>
      </w:r>
      <w:r>
        <w:t xml:space="preserve"> </w:t>
      </w:r>
      <w:r w:rsidR="00B1425E" w:rsidRPr="00B1425E">
        <w:t>&lt;</w:t>
      </w:r>
      <w:hyperlink r:id="rId10" w:history="1">
        <w:r w:rsidR="00B1425E" w:rsidRPr="00B1425E">
          <w:rPr>
            <w:rStyle w:val="Hyperlink"/>
          </w:rPr>
          <w:t>http://www.tga.gov.au/hp/information-medicines-pi.htm</w:t>
        </w:r>
      </w:hyperlink>
      <w:r w:rsidR="0017078F">
        <w:t>&gt;.</w:t>
      </w:r>
    </w:p>
    <w:p w:rsidR="00924482" w:rsidRPr="00DF1D7F" w:rsidRDefault="00924482" w:rsidP="00B3648D">
      <w:pPr>
        <w:pStyle w:val="LegalSubheading"/>
        <w:spacing w:before="4560"/>
      </w:pPr>
      <w:r w:rsidRPr="00DF1D7F">
        <w:t>Copyright</w:t>
      </w:r>
    </w:p>
    <w:p w:rsidR="00924482" w:rsidRDefault="00924482" w:rsidP="00054068">
      <w:pPr>
        <w:pStyle w:val="LegalCopy"/>
      </w:pPr>
      <w:r w:rsidRPr="00191B3B">
        <w:rPr>
          <w:lang w:val="en-GB"/>
        </w:rPr>
        <w:t>© Comm</w:t>
      </w:r>
      <w:r>
        <w:rPr>
          <w:lang w:val="en-GB"/>
        </w:rPr>
        <w:t>onwealth of Australia 201</w:t>
      </w:r>
      <w:r w:rsidR="004C0CB2">
        <w:rPr>
          <w:lang w:val="en-GB"/>
        </w:rPr>
        <w:t>4</w:t>
      </w:r>
      <w:r w:rsidRPr="00191B3B">
        <w:rPr>
          <w:lang w:val="en-GB"/>
        </w:rPr>
        <w:br/>
      </w:r>
      <w:proofErr w:type="gramStart"/>
      <w:r w:rsidRPr="00191B3B">
        <w:rPr>
          <w:lang w:val="en-GB"/>
        </w:rPr>
        <w:t>This</w:t>
      </w:r>
      <w:proofErr w:type="gramEnd"/>
      <w:r w:rsidRPr="00191B3B">
        <w:rPr>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i/>
          <w:lang w:val="en-GB"/>
        </w:rPr>
        <w:t>Copyright Act 1968</w:t>
      </w:r>
      <w:r w:rsidRPr="00191B3B">
        <w:rPr>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lang w:val="en-GB"/>
        </w:rPr>
        <w:t>Woden</w:t>
      </w:r>
      <w:proofErr w:type="spellEnd"/>
      <w:r w:rsidRPr="00191B3B">
        <w:rPr>
          <w:lang w:val="en-GB"/>
        </w:rPr>
        <w:t xml:space="preserve"> ACT 2606 or emailed to &lt;</w:t>
      </w:r>
      <w:hyperlink r:id="rId11" w:history="1">
        <w:r w:rsidRPr="00191B3B">
          <w:rPr>
            <w:rStyle w:val="Hyperlink"/>
            <w:rFonts w:cs="Arial"/>
            <w:lang w:val="en-GB"/>
          </w:rPr>
          <w:t>tga.copyright@tga.gov.au</w:t>
        </w:r>
      </w:hyperlink>
      <w:r w:rsidRPr="00191B3B">
        <w:t>&gt;.</w:t>
      </w:r>
    </w:p>
    <w:p w:rsidR="00924482" w:rsidRDefault="00924482" w:rsidP="00054068">
      <w:pPr>
        <w:pStyle w:val="LegalCopy"/>
        <w:sectPr w:rsidR="00924482" w:rsidSect="003D1E62">
          <w:headerReference w:type="even" r:id="rId12"/>
          <w:headerReference w:type="default" r:id="rId13"/>
          <w:footerReference w:type="even" r:id="rId14"/>
          <w:footerReference w:type="default" r:id="rId15"/>
          <w:headerReference w:type="first" r:id="rId16"/>
          <w:footerReference w:type="first" r:id="rId17"/>
          <w:pgSz w:w="11906" w:h="16838" w:code="9"/>
          <w:pgMar w:top="426" w:right="1701" w:bottom="0" w:left="1701" w:header="907" w:footer="142" w:gutter="0"/>
          <w:pgNumType w:fmt="lowerRoman" w:start="1"/>
          <w:cols w:space="708"/>
          <w:titlePg/>
          <w:docGrid w:linePitch="360"/>
        </w:sectPr>
      </w:pPr>
    </w:p>
    <w:bookmarkStart w:id="1" w:name="_Toc247691501" w:displacedByCustomXml="next"/>
    <w:bookmarkStart w:id="2" w:name="_Toc196046425" w:displacedByCustomXml="next"/>
    <w:sdt>
      <w:sdtPr>
        <w:rPr>
          <w:rFonts w:ascii="Cambria" w:hAnsi="Cambria"/>
          <w:bCs/>
          <w:sz w:val="22"/>
        </w:rPr>
        <w:id w:val="5618007"/>
        <w:docPartObj>
          <w:docPartGallery w:val="Table of Contents"/>
          <w:docPartUnique/>
        </w:docPartObj>
      </w:sdtPr>
      <w:sdtEndPr>
        <w:rPr>
          <w:bCs w:val="0"/>
          <w:sz w:val="25"/>
        </w:rPr>
      </w:sdtEndPr>
      <w:sdtContent>
        <w:p w:rsidR="0089635C" w:rsidRPr="0089635C" w:rsidRDefault="0089635C" w:rsidP="00054068">
          <w:pPr>
            <w:pStyle w:val="Contents"/>
          </w:pPr>
          <w:r w:rsidRPr="0010788A">
            <w:t>Contents</w:t>
          </w:r>
        </w:p>
        <w:p w:rsidR="00E85A6F" w:rsidRDefault="007F6643">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383006414" w:history="1">
            <w:r w:rsidR="00E85A6F" w:rsidRPr="002C76AA">
              <w:rPr>
                <w:rStyle w:val="Hyperlink"/>
                <w:noProof/>
              </w:rPr>
              <w:t>List of abbreviations</w:t>
            </w:r>
            <w:r w:rsidR="00E85A6F">
              <w:rPr>
                <w:noProof/>
                <w:webHidden/>
              </w:rPr>
              <w:tab/>
            </w:r>
            <w:r w:rsidR="00E85A6F">
              <w:rPr>
                <w:noProof/>
                <w:webHidden/>
              </w:rPr>
              <w:fldChar w:fldCharType="begin"/>
            </w:r>
            <w:r w:rsidR="00E85A6F">
              <w:rPr>
                <w:noProof/>
                <w:webHidden/>
              </w:rPr>
              <w:instrText xml:space="preserve"> PAGEREF _Toc383006414 \h </w:instrText>
            </w:r>
            <w:r w:rsidR="00E85A6F">
              <w:rPr>
                <w:noProof/>
                <w:webHidden/>
              </w:rPr>
            </w:r>
            <w:r w:rsidR="00E85A6F">
              <w:rPr>
                <w:noProof/>
                <w:webHidden/>
              </w:rPr>
              <w:fldChar w:fldCharType="separate"/>
            </w:r>
            <w:r w:rsidR="00E85A6F">
              <w:rPr>
                <w:noProof/>
                <w:webHidden/>
              </w:rPr>
              <w:t>5</w:t>
            </w:r>
            <w:r w:rsidR="00E85A6F">
              <w:rPr>
                <w:noProof/>
                <w:webHidden/>
              </w:rPr>
              <w:fldChar w:fldCharType="end"/>
            </w:r>
          </w:hyperlink>
        </w:p>
        <w:p w:rsidR="00E85A6F" w:rsidRDefault="00E85A6F">
          <w:pPr>
            <w:pStyle w:val="TOC2"/>
            <w:tabs>
              <w:tab w:val="left" w:pos="1100"/>
            </w:tabs>
            <w:rPr>
              <w:rFonts w:asciiTheme="minorHAnsi" w:eastAsiaTheme="minorEastAsia" w:hAnsiTheme="minorHAnsi" w:cstheme="minorBidi"/>
              <w:b w:val="0"/>
              <w:noProof/>
              <w:sz w:val="22"/>
              <w:lang w:eastAsia="en-AU"/>
            </w:rPr>
          </w:pPr>
          <w:hyperlink w:anchor="_Toc383006415" w:history="1">
            <w:r w:rsidRPr="002C76AA">
              <w:rPr>
                <w:rStyle w:val="Hyperlink"/>
                <w:noProof/>
                <w:lang w:eastAsia="en-AU"/>
              </w:rPr>
              <w:t>1.</w:t>
            </w:r>
            <w:r>
              <w:rPr>
                <w:rFonts w:asciiTheme="minorHAnsi" w:eastAsiaTheme="minorEastAsia" w:hAnsiTheme="minorHAnsi" w:cstheme="minorBidi"/>
                <w:b w:val="0"/>
                <w:noProof/>
                <w:sz w:val="22"/>
                <w:lang w:eastAsia="en-AU"/>
              </w:rPr>
              <w:tab/>
            </w:r>
            <w:r w:rsidRPr="002C76AA">
              <w:rPr>
                <w:rStyle w:val="Hyperlink"/>
                <w:noProof/>
                <w:lang w:eastAsia="en-AU"/>
              </w:rPr>
              <w:t>Clinical rationale</w:t>
            </w:r>
            <w:r>
              <w:rPr>
                <w:noProof/>
                <w:webHidden/>
              </w:rPr>
              <w:tab/>
            </w:r>
            <w:r>
              <w:rPr>
                <w:noProof/>
                <w:webHidden/>
              </w:rPr>
              <w:fldChar w:fldCharType="begin"/>
            </w:r>
            <w:r>
              <w:rPr>
                <w:noProof/>
                <w:webHidden/>
              </w:rPr>
              <w:instrText xml:space="preserve"> PAGEREF _Toc383006415 \h </w:instrText>
            </w:r>
            <w:r>
              <w:rPr>
                <w:noProof/>
                <w:webHidden/>
              </w:rPr>
            </w:r>
            <w:r>
              <w:rPr>
                <w:noProof/>
                <w:webHidden/>
              </w:rPr>
              <w:fldChar w:fldCharType="separate"/>
            </w:r>
            <w:r>
              <w:rPr>
                <w:noProof/>
                <w:webHidden/>
              </w:rPr>
              <w:t>6</w:t>
            </w:r>
            <w:r>
              <w:rPr>
                <w:noProof/>
                <w:webHidden/>
              </w:rPr>
              <w:fldChar w:fldCharType="end"/>
            </w:r>
          </w:hyperlink>
        </w:p>
        <w:p w:rsidR="00E85A6F" w:rsidRDefault="00E85A6F">
          <w:pPr>
            <w:pStyle w:val="TOC2"/>
            <w:tabs>
              <w:tab w:val="left" w:pos="1100"/>
            </w:tabs>
            <w:rPr>
              <w:rFonts w:asciiTheme="minorHAnsi" w:eastAsiaTheme="minorEastAsia" w:hAnsiTheme="minorHAnsi" w:cstheme="minorBidi"/>
              <w:b w:val="0"/>
              <w:noProof/>
              <w:sz w:val="22"/>
              <w:lang w:eastAsia="en-AU"/>
            </w:rPr>
          </w:pPr>
          <w:hyperlink w:anchor="_Toc383006416" w:history="1">
            <w:r w:rsidRPr="002C76AA">
              <w:rPr>
                <w:rStyle w:val="Hyperlink"/>
                <w:noProof/>
                <w:lang w:eastAsia="en-AU"/>
              </w:rPr>
              <w:t>2.</w:t>
            </w:r>
            <w:r>
              <w:rPr>
                <w:rFonts w:asciiTheme="minorHAnsi" w:eastAsiaTheme="minorEastAsia" w:hAnsiTheme="minorHAnsi" w:cstheme="minorBidi"/>
                <w:b w:val="0"/>
                <w:noProof/>
                <w:sz w:val="22"/>
                <w:lang w:eastAsia="en-AU"/>
              </w:rPr>
              <w:tab/>
            </w:r>
            <w:r w:rsidRPr="002C76AA">
              <w:rPr>
                <w:rStyle w:val="Hyperlink"/>
                <w:noProof/>
                <w:lang w:eastAsia="en-AU"/>
              </w:rPr>
              <w:t>Contents of the clinical dossier</w:t>
            </w:r>
            <w:r>
              <w:rPr>
                <w:noProof/>
                <w:webHidden/>
              </w:rPr>
              <w:tab/>
            </w:r>
            <w:r>
              <w:rPr>
                <w:noProof/>
                <w:webHidden/>
              </w:rPr>
              <w:fldChar w:fldCharType="begin"/>
            </w:r>
            <w:r>
              <w:rPr>
                <w:noProof/>
                <w:webHidden/>
              </w:rPr>
              <w:instrText xml:space="preserve"> PAGEREF _Toc383006416 \h </w:instrText>
            </w:r>
            <w:r>
              <w:rPr>
                <w:noProof/>
                <w:webHidden/>
              </w:rPr>
            </w:r>
            <w:r>
              <w:rPr>
                <w:noProof/>
                <w:webHidden/>
              </w:rPr>
              <w:fldChar w:fldCharType="separate"/>
            </w:r>
            <w:r>
              <w:rPr>
                <w:noProof/>
                <w:webHidden/>
              </w:rPr>
              <w:t>6</w:t>
            </w:r>
            <w:r>
              <w:rPr>
                <w:noProof/>
                <w:webHidden/>
              </w:rPr>
              <w:fldChar w:fldCharType="end"/>
            </w:r>
          </w:hyperlink>
        </w:p>
        <w:p w:rsidR="00E85A6F" w:rsidRDefault="00E85A6F">
          <w:pPr>
            <w:pStyle w:val="TOC3"/>
            <w:tabs>
              <w:tab w:val="left" w:pos="1760"/>
            </w:tabs>
            <w:rPr>
              <w:rFonts w:asciiTheme="minorHAnsi" w:eastAsiaTheme="minorEastAsia" w:hAnsiTheme="minorHAnsi" w:cstheme="minorBidi"/>
              <w:noProof/>
              <w:lang w:eastAsia="en-AU"/>
            </w:rPr>
          </w:pPr>
          <w:hyperlink w:anchor="_Toc383006417" w:history="1">
            <w:r w:rsidRPr="002C76AA">
              <w:rPr>
                <w:rStyle w:val="Hyperlink"/>
                <w:noProof/>
              </w:rPr>
              <w:t>2.1.</w:t>
            </w:r>
            <w:r>
              <w:rPr>
                <w:rFonts w:asciiTheme="minorHAnsi" w:eastAsiaTheme="minorEastAsia" w:hAnsiTheme="minorHAnsi" w:cstheme="minorBidi"/>
                <w:noProof/>
                <w:lang w:eastAsia="en-AU"/>
              </w:rPr>
              <w:tab/>
            </w:r>
            <w:r w:rsidRPr="002C76AA">
              <w:rPr>
                <w:rStyle w:val="Hyperlink"/>
                <w:noProof/>
              </w:rPr>
              <w:t>Scope of the clinical dossier</w:t>
            </w:r>
            <w:r>
              <w:rPr>
                <w:noProof/>
                <w:webHidden/>
              </w:rPr>
              <w:tab/>
            </w:r>
            <w:r>
              <w:rPr>
                <w:noProof/>
                <w:webHidden/>
              </w:rPr>
              <w:fldChar w:fldCharType="begin"/>
            </w:r>
            <w:r>
              <w:rPr>
                <w:noProof/>
                <w:webHidden/>
              </w:rPr>
              <w:instrText xml:space="preserve"> PAGEREF _Toc383006417 \h </w:instrText>
            </w:r>
            <w:r>
              <w:rPr>
                <w:noProof/>
                <w:webHidden/>
              </w:rPr>
            </w:r>
            <w:r>
              <w:rPr>
                <w:noProof/>
                <w:webHidden/>
              </w:rPr>
              <w:fldChar w:fldCharType="separate"/>
            </w:r>
            <w:r>
              <w:rPr>
                <w:noProof/>
                <w:webHidden/>
              </w:rPr>
              <w:t>6</w:t>
            </w:r>
            <w:r>
              <w:rPr>
                <w:noProof/>
                <w:webHidden/>
              </w:rPr>
              <w:fldChar w:fldCharType="end"/>
            </w:r>
          </w:hyperlink>
        </w:p>
        <w:p w:rsidR="00E85A6F" w:rsidRDefault="00E85A6F">
          <w:pPr>
            <w:pStyle w:val="TOC3"/>
            <w:tabs>
              <w:tab w:val="left" w:pos="1760"/>
            </w:tabs>
            <w:rPr>
              <w:rFonts w:asciiTheme="minorHAnsi" w:eastAsiaTheme="minorEastAsia" w:hAnsiTheme="minorHAnsi" w:cstheme="minorBidi"/>
              <w:noProof/>
              <w:lang w:eastAsia="en-AU"/>
            </w:rPr>
          </w:pPr>
          <w:hyperlink w:anchor="_Toc383006418" w:history="1">
            <w:r w:rsidRPr="002C76AA">
              <w:rPr>
                <w:rStyle w:val="Hyperlink"/>
                <w:noProof/>
              </w:rPr>
              <w:t>2.2.</w:t>
            </w:r>
            <w:r>
              <w:rPr>
                <w:rFonts w:asciiTheme="minorHAnsi" w:eastAsiaTheme="minorEastAsia" w:hAnsiTheme="minorHAnsi" w:cstheme="minorBidi"/>
                <w:noProof/>
                <w:lang w:eastAsia="en-AU"/>
              </w:rPr>
              <w:tab/>
            </w:r>
            <w:r w:rsidRPr="002C76AA">
              <w:rPr>
                <w:rStyle w:val="Hyperlink"/>
                <w:noProof/>
              </w:rPr>
              <w:t>Paediatric data</w:t>
            </w:r>
            <w:r>
              <w:rPr>
                <w:noProof/>
                <w:webHidden/>
              </w:rPr>
              <w:tab/>
            </w:r>
            <w:r>
              <w:rPr>
                <w:noProof/>
                <w:webHidden/>
              </w:rPr>
              <w:fldChar w:fldCharType="begin"/>
            </w:r>
            <w:r>
              <w:rPr>
                <w:noProof/>
                <w:webHidden/>
              </w:rPr>
              <w:instrText xml:space="preserve"> PAGEREF _Toc383006418 \h </w:instrText>
            </w:r>
            <w:r>
              <w:rPr>
                <w:noProof/>
                <w:webHidden/>
              </w:rPr>
            </w:r>
            <w:r>
              <w:rPr>
                <w:noProof/>
                <w:webHidden/>
              </w:rPr>
              <w:fldChar w:fldCharType="separate"/>
            </w:r>
            <w:r>
              <w:rPr>
                <w:noProof/>
                <w:webHidden/>
              </w:rPr>
              <w:t>6</w:t>
            </w:r>
            <w:r>
              <w:rPr>
                <w:noProof/>
                <w:webHidden/>
              </w:rPr>
              <w:fldChar w:fldCharType="end"/>
            </w:r>
          </w:hyperlink>
        </w:p>
        <w:p w:rsidR="00E85A6F" w:rsidRDefault="00E85A6F">
          <w:pPr>
            <w:pStyle w:val="TOC3"/>
            <w:tabs>
              <w:tab w:val="left" w:pos="1760"/>
            </w:tabs>
            <w:rPr>
              <w:rFonts w:asciiTheme="minorHAnsi" w:eastAsiaTheme="minorEastAsia" w:hAnsiTheme="minorHAnsi" w:cstheme="minorBidi"/>
              <w:noProof/>
              <w:lang w:eastAsia="en-AU"/>
            </w:rPr>
          </w:pPr>
          <w:hyperlink w:anchor="_Toc383006419" w:history="1">
            <w:r w:rsidRPr="002C76AA">
              <w:rPr>
                <w:rStyle w:val="Hyperlink"/>
                <w:noProof/>
              </w:rPr>
              <w:t>2.3.</w:t>
            </w:r>
            <w:r>
              <w:rPr>
                <w:rFonts w:asciiTheme="minorHAnsi" w:eastAsiaTheme="minorEastAsia" w:hAnsiTheme="minorHAnsi" w:cstheme="minorBidi"/>
                <w:noProof/>
                <w:lang w:eastAsia="en-AU"/>
              </w:rPr>
              <w:tab/>
            </w:r>
            <w:r w:rsidRPr="002C76AA">
              <w:rPr>
                <w:rStyle w:val="Hyperlink"/>
                <w:noProof/>
              </w:rPr>
              <w:t>Good clinical practice</w:t>
            </w:r>
            <w:r>
              <w:rPr>
                <w:noProof/>
                <w:webHidden/>
              </w:rPr>
              <w:tab/>
            </w:r>
            <w:r>
              <w:rPr>
                <w:noProof/>
                <w:webHidden/>
              </w:rPr>
              <w:fldChar w:fldCharType="begin"/>
            </w:r>
            <w:r>
              <w:rPr>
                <w:noProof/>
                <w:webHidden/>
              </w:rPr>
              <w:instrText xml:space="preserve"> PAGEREF _Toc383006419 \h </w:instrText>
            </w:r>
            <w:r>
              <w:rPr>
                <w:noProof/>
                <w:webHidden/>
              </w:rPr>
            </w:r>
            <w:r>
              <w:rPr>
                <w:noProof/>
                <w:webHidden/>
              </w:rPr>
              <w:fldChar w:fldCharType="separate"/>
            </w:r>
            <w:r>
              <w:rPr>
                <w:noProof/>
                <w:webHidden/>
              </w:rPr>
              <w:t>6</w:t>
            </w:r>
            <w:r>
              <w:rPr>
                <w:noProof/>
                <w:webHidden/>
              </w:rPr>
              <w:fldChar w:fldCharType="end"/>
            </w:r>
          </w:hyperlink>
        </w:p>
        <w:p w:rsidR="00E85A6F" w:rsidRDefault="00E85A6F">
          <w:pPr>
            <w:pStyle w:val="TOC2"/>
            <w:tabs>
              <w:tab w:val="left" w:pos="1100"/>
            </w:tabs>
            <w:rPr>
              <w:rFonts w:asciiTheme="minorHAnsi" w:eastAsiaTheme="minorEastAsia" w:hAnsiTheme="minorHAnsi" w:cstheme="minorBidi"/>
              <w:b w:val="0"/>
              <w:noProof/>
              <w:sz w:val="22"/>
              <w:lang w:eastAsia="en-AU"/>
            </w:rPr>
          </w:pPr>
          <w:hyperlink w:anchor="_Toc383006420" w:history="1">
            <w:r w:rsidRPr="002C76AA">
              <w:rPr>
                <w:rStyle w:val="Hyperlink"/>
                <w:noProof/>
              </w:rPr>
              <w:t>3.</w:t>
            </w:r>
            <w:r>
              <w:rPr>
                <w:rFonts w:asciiTheme="minorHAnsi" w:eastAsiaTheme="minorEastAsia" w:hAnsiTheme="minorHAnsi" w:cstheme="minorBidi"/>
                <w:b w:val="0"/>
                <w:noProof/>
                <w:sz w:val="22"/>
                <w:lang w:eastAsia="en-AU"/>
              </w:rPr>
              <w:tab/>
            </w:r>
            <w:r w:rsidRPr="002C76AA">
              <w:rPr>
                <w:rStyle w:val="Hyperlink"/>
                <w:noProof/>
              </w:rPr>
              <w:t>Pharmacokinetics</w:t>
            </w:r>
            <w:r>
              <w:rPr>
                <w:noProof/>
                <w:webHidden/>
              </w:rPr>
              <w:tab/>
            </w:r>
            <w:r>
              <w:rPr>
                <w:noProof/>
                <w:webHidden/>
              </w:rPr>
              <w:fldChar w:fldCharType="begin"/>
            </w:r>
            <w:r>
              <w:rPr>
                <w:noProof/>
                <w:webHidden/>
              </w:rPr>
              <w:instrText xml:space="preserve"> PAGEREF _Toc383006420 \h </w:instrText>
            </w:r>
            <w:r>
              <w:rPr>
                <w:noProof/>
                <w:webHidden/>
              </w:rPr>
            </w:r>
            <w:r>
              <w:rPr>
                <w:noProof/>
                <w:webHidden/>
              </w:rPr>
              <w:fldChar w:fldCharType="separate"/>
            </w:r>
            <w:r>
              <w:rPr>
                <w:noProof/>
                <w:webHidden/>
              </w:rPr>
              <w:t>6</w:t>
            </w:r>
            <w:r>
              <w:rPr>
                <w:noProof/>
                <w:webHidden/>
              </w:rPr>
              <w:fldChar w:fldCharType="end"/>
            </w:r>
          </w:hyperlink>
        </w:p>
        <w:p w:rsidR="00E85A6F" w:rsidRDefault="00E85A6F">
          <w:pPr>
            <w:pStyle w:val="TOC3"/>
            <w:tabs>
              <w:tab w:val="left" w:pos="1760"/>
            </w:tabs>
            <w:rPr>
              <w:rFonts w:asciiTheme="minorHAnsi" w:eastAsiaTheme="minorEastAsia" w:hAnsiTheme="minorHAnsi" w:cstheme="minorBidi"/>
              <w:noProof/>
              <w:lang w:eastAsia="en-AU"/>
            </w:rPr>
          </w:pPr>
          <w:hyperlink w:anchor="_Toc383006421" w:history="1">
            <w:r w:rsidRPr="002C76AA">
              <w:rPr>
                <w:rStyle w:val="Hyperlink"/>
                <w:noProof/>
              </w:rPr>
              <w:t>3.1.</w:t>
            </w:r>
            <w:r>
              <w:rPr>
                <w:rFonts w:asciiTheme="minorHAnsi" w:eastAsiaTheme="minorEastAsia" w:hAnsiTheme="minorHAnsi" w:cstheme="minorBidi"/>
                <w:noProof/>
                <w:lang w:eastAsia="en-AU"/>
              </w:rPr>
              <w:tab/>
            </w:r>
            <w:r w:rsidRPr="002C76AA">
              <w:rPr>
                <w:rStyle w:val="Hyperlink"/>
                <w:noProof/>
              </w:rPr>
              <w:t>Studies providing pharmacokinetic data</w:t>
            </w:r>
            <w:r>
              <w:rPr>
                <w:noProof/>
                <w:webHidden/>
              </w:rPr>
              <w:tab/>
            </w:r>
            <w:r>
              <w:rPr>
                <w:noProof/>
                <w:webHidden/>
              </w:rPr>
              <w:fldChar w:fldCharType="begin"/>
            </w:r>
            <w:r>
              <w:rPr>
                <w:noProof/>
                <w:webHidden/>
              </w:rPr>
              <w:instrText xml:space="preserve"> PAGEREF _Toc383006421 \h </w:instrText>
            </w:r>
            <w:r>
              <w:rPr>
                <w:noProof/>
                <w:webHidden/>
              </w:rPr>
            </w:r>
            <w:r>
              <w:rPr>
                <w:noProof/>
                <w:webHidden/>
              </w:rPr>
              <w:fldChar w:fldCharType="separate"/>
            </w:r>
            <w:r>
              <w:rPr>
                <w:noProof/>
                <w:webHidden/>
              </w:rPr>
              <w:t>6</w:t>
            </w:r>
            <w:r>
              <w:rPr>
                <w:noProof/>
                <w:webHidden/>
              </w:rPr>
              <w:fldChar w:fldCharType="end"/>
            </w:r>
          </w:hyperlink>
        </w:p>
        <w:p w:rsidR="00E85A6F" w:rsidRDefault="00E85A6F">
          <w:pPr>
            <w:pStyle w:val="TOC3"/>
            <w:tabs>
              <w:tab w:val="left" w:pos="1760"/>
            </w:tabs>
            <w:rPr>
              <w:rFonts w:asciiTheme="minorHAnsi" w:eastAsiaTheme="minorEastAsia" w:hAnsiTheme="minorHAnsi" w:cstheme="minorBidi"/>
              <w:noProof/>
              <w:lang w:eastAsia="en-AU"/>
            </w:rPr>
          </w:pPr>
          <w:hyperlink w:anchor="_Toc383006422" w:history="1">
            <w:r w:rsidRPr="002C76AA">
              <w:rPr>
                <w:rStyle w:val="Hyperlink"/>
                <w:noProof/>
              </w:rPr>
              <w:t>3.2.</w:t>
            </w:r>
            <w:r>
              <w:rPr>
                <w:rFonts w:asciiTheme="minorHAnsi" w:eastAsiaTheme="minorEastAsia" w:hAnsiTheme="minorHAnsi" w:cstheme="minorBidi"/>
                <w:noProof/>
                <w:lang w:eastAsia="en-AU"/>
              </w:rPr>
              <w:tab/>
            </w:r>
            <w:r w:rsidRPr="002C76AA">
              <w:rPr>
                <w:rStyle w:val="Hyperlink"/>
                <w:noProof/>
              </w:rPr>
              <w:t>Summary of pharmacokinetics</w:t>
            </w:r>
            <w:r>
              <w:rPr>
                <w:noProof/>
                <w:webHidden/>
              </w:rPr>
              <w:tab/>
            </w:r>
            <w:r>
              <w:rPr>
                <w:noProof/>
                <w:webHidden/>
              </w:rPr>
              <w:fldChar w:fldCharType="begin"/>
            </w:r>
            <w:r>
              <w:rPr>
                <w:noProof/>
                <w:webHidden/>
              </w:rPr>
              <w:instrText xml:space="preserve"> PAGEREF _Toc383006422 \h </w:instrText>
            </w:r>
            <w:r>
              <w:rPr>
                <w:noProof/>
                <w:webHidden/>
              </w:rPr>
            </w:r>
            <w:r>
              <w:rPr>
                <w:noProof/>
                <w:webHidden/>
              </w:rPr>
              <w:fldChar w:fldCharType="separate"/>
            </w:r>
            <w:r>
              <w:rPr>
                <w:noProof/>
                <w:webHidden/>
              </w:rPr>
              <w:t>7</w:t>
            </w:r>
            <w:r>
              <w:rPr>
                <w:noProof/>
                <w:webHidden/>
              </w:rPr>
              <w:fldChar w:fldCharType="end"/>
            </w:r>
          </w:hyperlink>
        </w:p>
        <w:p w:rsidR="00E85A6F" w:rsidRDefault="00E85A6F">
          <w:pPr>
            <w:pStyle w:val="TOC3"/>
            <w:tabs>
              <w:tab w:val="left" w:pos="1760"/>
            </w:tabs>
            <w:rPr>
              <w:rFonts w:asciiTheme="minorHAnsi" w:eastAsiaTheme="minorEastAsia" w:hAnsiTheme="minorHAnsi" w:cstheme="minorBidi"/>
              <w:noProof/>
              <w:lang w:eastAsia="en-AU"/>
            </w:rPr>
          </w:pPr>
          <w:hyperlink w:anchor="_Toc383006423" w:history="1">
            <w:r w:rsidRPr="002C76AA">
              <w:rPr>
                <w:rStyle w:val="Hyperlink"/>
                <w:noProof/>
              </w:rPr>
              <w:t>3.3.</w:t>
            </w:r>
            <w:r>
              <w:rPr>
                <w:rFonts w:asciiTheme="minorHAnsi" w:eastAsiaTheme="minorEastAsia" w:hAnsiTheme="minorHAnsi" w:cstheme="minorBidi"/>
                <w:noProof/>
                <w:lang w:eastAsia="en-AU"/>
              </w:rPr>
              <w:tab/>
            </w:r>
            <w:r w:rsidRPr="002C76AA">
              <w:rPr>
                <w:rStyle w:val="Hyperlink"/>
                <w:noProof/>
              </w:rPr>
              <w:t>Evaluator’s overall conclusions on pharmacokinetics</w:t>
            </w:r>
            <w:r>
              <w:rPr>
                <w:noProof/>
                <w:webHidden/>
              </w:rPr>
              <w:tab/>
            </w:r>
            <w:r>
              <w:rPr>
                <w:noProof/>
                <w:webHidden/>
              </w:rPr>
              <w:fldChar w:fldCharType="begin"/>
            </w:r>
            <w:r>
              <w:rPr>
                <w:noProof/>
                <w:webHidden/>
              </w:rPr>
              <w:instrText xml:space="preserve"> PAGEREF _Toc383006423 \h </w:instrText>
            </w:r>
            <w:r>
              <w:rPr>
                <w:noProof/>
                <w:webHidden/>
              </w:rPr>
            </w:r>
            <w:r>
              <w:rPr>
                <w:noProof/>
                <w:webHidden/>
              </w:rPr>
              <w:fldChar w:fldCharType="separate"/>
            </w:r>
            <w:r>
              <w:rPr>
                <w:noProof/>
                <w:webHidden/>
              </w:rPr>
              <w:t>7</w:t>
            </w:r>
            <w:r>
              <w:rPr>
                <w:noProof/>
                <w:webHidden/>
              </w:rPr>
              <w:fldChar w:fldCharType="end"/>
            </w:r>
          </w:hyperlink>
        </w:p>
        <w:p w:rsidR="00E85A6F" w:rsidRDefault="00E85A6F">
          <w:pPr>
            <w:pStyle w:val="TOC2"/>
            <w:tabs>
              <w:tab w:val="left" w:pos="1100"/>
            </w:tabs>
            <w:rPr>
              <w:rFonts w:asciiTheme="minorHAnsi" w:eastAsiaTheme="minorEastAsia" w:hAnsiTheme="minorHAnsi" w:cstheme="minorBidi"/>
              <w:b w:val="0"/>
              <w:noProof/>
              <w:sz w:val="22"/>
              <w:lang w:eastAsia="en-AU"/>
            </w:rPr>
          </w:pPr>
          <w:hyperlink w:anchor="_Toc383006424" w:history="1">
            <w:r w:rsidRPr="002C76AA">
              <w:rPr>
                <w:rStyle w:val="Hyperlink"/>
                <w:noProof/>
              </w:rPr>
              <w:t>4.</w:t>
            </w:r>
            <w:r>
              <w:rPr>
                <w:rFonts w:asciiTheme="minorHAnsi" w:eastAsiaTheme="minorEastAsia" w:hAnsiTheme="minorHAnsi" w:cstheme="minorBidi"/>
                <w:b w:val="0"/>
                <w:noProof/>
                <w:sz w:val="22"/>
                <w:lang w:eastAsia="en-AU"/>
              </w:rPr>
              <w:tab/>
            </w:r>
            <w:r w:rsidRPr="002C76AA">
              <w:rPr>
                <w:rStyle w:val="Hyperlink"/>
                <w:noProof/>
              </w:rPr>
              <w:t>Pharmacodynamics</w:t>
            </w:r>
            <w:r>
              <w:rPr>
                <w:noProof/>
                <w:webHidden/>
              </w:rPr>
              <w:tab/>
            </w:r>
            <w:r>
              <w:rPr>
                <w:noProof/>
                <w:webHidden/>
              </w:rPr>
              <w:fldChar w:fldCharType="begin"/>
            </w:r>
            <w:r>
              <w:rPr>
                <w:noProof/>
                <w:webHidden/>
              </w:rPr>
              <w:instrText xml:space="preserve"> PAGEREF _Toc383006424 \h </w:instrText>
            </w:r>
            <w:r>
              <w:rPr>
                <w:noProof/>
                <w:webHidden/>
              </w:rPr>
            </w:r>
            <w:r>
              <w:rPr>
                <w:noProof/>
                <w:webHidden/>
              </w:rPr>
              <w:fldChar w:fldCharType="separate"/>
            </w:r>
            <w:r>
              <w:rPr>
                <w:noProof/>
                <w:webHidden/>
              </w:rPr>
              <w:t>7</w:t>
            </w:r>
            <w:r>
              <w:rPr>
                <w:noProof/>
                <w:webHidden/>
              </w:rPr>
              <w:fldChar w:fldCharType="end"/>
            </w:r>
          </w:hyperlink>
        </w:p>
        <w:p w:rsidR="00E85A6F" w:rsidRDefault="00E85A6F">
          <w:pPr>
            <w:pStyle w:val="TOC2"/>
            <w:tabs>
              <w:tab w:val="left" w:pos="1100"/>
            </w:tabs>
            <w:rPr>
              <w:rFonts w:asciiTheme="minorHAnsi" w:eastAsiaTheme="minorEastAsia" w:hAnsiTheme="minorHAnsi" w:cstheme="minorBidi"/>
              <w:b w:val="0"/>
              <w:noProof/>
              <w:sz w:val="22"/>
              <w:lang w:eastAsia="en-AU"/>
            </w:rPr>
          </w:pPr>
          <w:hyperlink w:anchor="_Toc383006425" w:history="1">
            <w:r w:rsidRPr="002C76AA">
              <w:rPr>
                <w:rStyle w:val="Hyperlink"/>
                <w:noProof/>
              </w:rPr>
              <w:t>5.</w:t>
            </w:r>
            <w:r>
              <w:rPr>
                <w:rFonts w:asciiTheme="minorHAnsi" w:eastAsiaTheme="minorEastAsia" w:hAnsiTheme="minorHAnsi" w:cstheme="minorBidi"/>
                <w:b w:val="0"/>
                <w:noProof/>
                <w:sz w:val="22"/>
                <w:lang w:eastAsia="en-AU"/>
              </w:rPr>
              <w:tab/>
            </w:r>
            <w:r w:rsidRPr="002C76AA">
              <w:rPr>
                <w:rStyle w:val="Hyperlink"/>
                <w:noProof/>
              </w:rPr>
              <w:t>Dosage selection for the pivotal studies</w:t>
            </w:r>
            <w:r>
              <w:rPr>
                <w:noProof/>
                <w:webHidden/>
              </w:rPr>
              <w:tab/>
            </w:r>
            <w:r>
              <w:rPr>
                <w:noProof/>
                <w:webHidden/>
              </w:rPr>
              <w:fldChar w:fldCharType="begin"/>
            </w:r>
            <w:r>
              <w:rPr>
                <w:noProof/>
                <w:webHidden/>
              </w:rPr>
              <w:instrText xml:space="preserve"> PAGEREF _Toc383006425 \h </w:instrText>
            </w:r>
            <w:r>
              <w:rPr>
                <w:noProof/>
                <w:webHidden/>
              </w:rPr>
            </w:r>
            <w:r>
              <w:rPr>
                <w:noProof/>
                <w:webHidden/>
              </w:rPr>
              <w:fldChar w:fldCharType="separate"/>
            </w:r>
            <w:r>
              <w:rPr>
                <w:noProof/>
                <w:webHidden/>
              </w:rPr>
              <w:t>7</w:t>
            </w:r>
            <w:r>
              <w:rPr>
                <w:noProof/>
                <w:webHidden/>
              </w:rPr>
              <w:fldChar w:fldCharType="end"/>
            </w:r>
          </w:hyperlink>
        </w:p>
        <w:p w:rsidR="00E85A6F" w:rsidRDefault="00E85A6F">
          <w:pPr>
            <w:pStyle w:val="TOC2"/>
            <w:tabs>
              <w:tab w:val="left" w:pos="1100"/>
            </w:tabs>
            <w:rPr>
              <w:rFonts w:asciiTheme="minorHAnsi" w:eastAsiaTheme="minorEastAsia" w:hAnsiTheme="minorHAnsi" w:cstheme="minorBidi"/>
              <w:b w:val="0"/>
              <w:noProof/>
              <w:sz w:val="22"/>
              <w:lang w:eastAsia="en-AU"/>
            </w:rPr>
          </w:pPr>
          <w:hyperlink w:anchor="_Toc383006426" w:history="1">
            <w:r w:rsidRPr="002C76AA">
              <w:rPr>
                <w:rStyle w:val="Hyperlink"/>
                <w:noProof/>
              </w:rPr>
              <w:t>6.</w:t>
            </w:r>
            <w:r>
              <w:rPr>
                <w:rFonts w:asciiTheme="minorHAnsi" w:eastAsiaTheme="minorEastAsia" w:hAnsiTheme="minorHAnsi" w:cstheme="minorBidi"/>
                <w:b w:val="0"/>
                <w:noProof/>
                <w:sz w:val="22"/>
                <w:lang w:eastAsia="en-AU"/>
              </w:rPr>
              <w:tab/>
            </w:r>
            <w:r w:rsidRPr="002C76AA">
              <w:rPr>
                <w:rStyle w:val="Hyperlink"/>
                <w:noProof/>
              </w:rPr>
              <w:t>Clinical efficacy</w:t>
            </w:r>
            <w:r>
              <w:rPr>
                <w:noProof/>
                <w:webHidden/>
              </w:rPr>
              <w:tab/>
            </w:r>
            <w:r>
              <w:rPr>
                <w:noProof/>
                <w:webHidden/>
              </w:rPr>
              <w:fldChar w:fldCharType="begin"/>
            </w:r>
            <w:r>
              <w:rPr>
                <w:noProof/>
                <w:webHidden/>
              </w:rPr>
              <w:instrText xml:space="preserve"> PAGEREF _Toc383006426 \h </w:instrText>
            </w:r>
            <w:r>
              <w:rPr>
                <w:noProof/>
                <w:webHidden/>
              </w:rPr>
            </w:r>
            <w:r>
              <w:rPr>
                <w:noProof/>
                <w:webHidden/>
              </w:rPr>
              <w:fldChar w:fldCharType="separate"/>
            </w:r>
            <w:r>
              <w:rPr>
                <w:noProof/>
                <w:webHidden/>
              </w:rPr>
              <w:t>7</w:t>
            </w:r>
            <w:r>
              <w:rPr>
                <w:noProof/>
                <w:webHidden/>
              </w:rPr>
              <w:fldChar w:fldCharType="end"/>
            </w:r>
          </w:hyperlink>
        </w:p>
        <w:p w:rsidR="00E85A6F" w:rsidRDefault="00E85A6F">
          <w:pPr>
            <w:pStyle w:val="TOC3"/>
            <w:tabs>
              <w:tab w:val="left" w:pos="1760"/>
            </w:tabs>
            <w:rPr>
              <w:rFonts w:asciiTheme="minorHAnsi" w:eastAsiaTheme="minorEastAsia" w:hAnsiTheme="minorHAnsi" w:cstheme="minorBidi"/>
              <w:noProof/>
              <w:lang w:eastAsia="en-AU"/>
            </w:rPr>
          </w:pPr>
          <w:hyperlink w:anchor="_Toc383006427" w:history="1">
            <w:r w:rsidRPr="002C76AA">
              <w:rPr>
                <w:rStyle w:val="Hyperlink"/>
                <w:noProof/>
              </w:rPr>
              <w:t>6.1.</w:t>
            </w:r>
            <w:r>
              <w:rPr>
                <w:rFonts w:asciiTheme="minorHAnsi" w:eastAsiaTheme="minorEastAsia" w:hAnsiTheme="minorHAnsi" w:cstheme="minorBidi"/>
                <w:noProof/>
                <w:lang w:eastAsia="en-AU"/>
              </w:rPr>
              <w:tab/>
            </w:r>
            <w:r w:rsidRPr="002C76AA">
              <w:rPr>
                <w:rStyle w:val="Hyperlink"/>
                <w:noProof/>
              </w:rPr>
              <w:t>Treatment of patients with metastatic castration resistant prostate cancer (mCRPC) who are asymptomatic or mildly symptomatic after failure of androgen deprivation therapy (ADT)</w:t>
            </w:r>
            <w:r>
              <w:rPr>
                <w:noProof/>
                <w:webHidden/>
              </w:rPr>
              <w:tab/>
            </w:r>
            <w:r>
              <w:rPr>
                <w:noProof/>
                <w:webHidden/>
              </w:rPr>
              <w:fldChar w:fldCharType="begin"/>
            </w:r>
            <w:r>
              <w:rPr>
                <w:noProof/>
                <w:webHidden/>
              </w:rPr>
              <w:instrText xml:space="preserve"> PAGEREF _Toc383006427 \h </w:instrText>
            </w:r>
            <w:r>
              <w:rPr>
                <w:noProof/>
                <w:webHidden/>
              </w:rPr>
            </w:r>
            <w:r>
              <w:rPr>
                <w:noProof/>
                <w:webHidden/>
              </w:rPr>
              <w:fldChar w:fldCharType="separate"/>
            </w:r>
            <w:r>
              <w:rPr>
                <w:noProof/>
                <w:webHidden/>
              </w:rPr>
              <w:t>7</w:t>
            </w:r>
            <w:r>
              <w:rPr>
                <w:noProof/>
                <w:webHidden/>
              </w:rPr>
              <w:fldChar w:fldCharType="end"/>
            </w:r>
          </w:hyperlink>
        </w:p>
        <w:p w:rsidR="00E85A6F" w:rsidRDefault="00E85A6F">
          <w:pPr>
            <w:pStyle w:val="TOC3"/>
            <w:tabs>
              <w:tab w:val="left" w:pos="1760"/>
            </w:tabs>
            <w:rPr>
              <w:rFonts w:asciiTheme="minorHAnsi" w:eastAsiaTheme="minorEastAsia" w:hAnsiTheme="minorHAnsi" w:cstheme="minorBidi"/>
              <w:noProof/>
              <w:lang w:eastAsia="en-AU"/>
            </w:rPr>
          </w:pPr>
          <w:hyperlink w:anchor="_Toc383006428" w:history="1">
            <w:r w:rsidRPr="002C76AA">
              <w:rPr>
                <w:rStyle w:val="Hyperlink"/>
                <w:noProof/>
              </w:rPr>
              <w:t>6.2.</w:t>
            </w:r>
            <w:r>
              <w:rPr>
                <w:rFonts w:asciiTheme="minorHAnsi" w:eastAsiaTheme="minorEastAsia" w:hAnsiTheme="minorHAnsi" w:cstheme="minorBidi"/>
                <w:noProof/>
                <w:lang w:eastAsia="en-AU"/>
              </w:rPr>
              <w:tab/>
            </w:r>
            <w:r w:rsidRPr="002C76AA">
              <w:rPr>
                <w:rStyle w:val="Hyperlink"/>
                <w:noProof/>
              </w:rPr>
              <w:t>Analyses performed across trials (pooled analyses and meta-analyses)</w:t>
            </w:r>
            <w:r>
              <w:rPr>
                <w:noProof/>
                <w:webHidden/>
              </w:rPr>
              <w:tab/>
            </w:r>
            <w:r>
              <w:rPr>
                <w:noProof/>
                <w:webHidden/>
              </w:rPr>
              <w:fldChar w:fldCharType="begin"/>
            </w:r>
            <w:r>
              <w:rPr>
                <w:noProof/>
                <w:webHidden/>
              </w:rPr>
              <w:instrText xml:space="preserve"> PAGEREF _Toc383006428 \h </w:instrText>
            </w:r>
            <w:r>
              <w:rPr>
                <w:noProof/>
                <w:webHidden/>
              </w:rPr>
            </w:r>
            <w:r>
              <w:rPr>
                <w:noProof/>
                <w:webHidden/>
              </w:rPr>
              <w:fldChar w:fldCharType="separate"/>
            </w:r>
            <w:r>
              <w:rPr>
                <w:noProof/>
                <w:webHidden/>
              </w:rPr>
              <w:t>23</w:t>
            </w:r>
            <w:r>
              <w:rPr>
                <w:noProof/>
                <w:webHidden/>
              </w:rPr>
              <w:fldChar w:fldCharType="end"/>
            </w:r>
          </w:hyperlink>
        </w:p>
        <w:p w:rsidR="00E85A6F" w:rsidRDefault="00E85A6F">
          <w:pPr>
            <w:pStyle w:val="TOC3"/>
            <w:tabs>
              <w:tab w:val="left" w:pos="1760"/>
            </w:tabs>
            <w:rPr>
              <w:rFonts w:asciiTheme="minorHAnsi" w:eastAsiaTheme="minorEastAsia" w:hAnsiTheme="minorHAnsi" w:cstheme="minorBidi"/>
              <w:noProof/>
              <w:lang w:eastAsia="en-AU"/>
            </w:rPr>
          </w:pPr>
          <w:hyperlink w:anchor="_Toc383006429" w:history="1">
            <w:r w:rsidRPr="002C76AA">
              <w:rPr>
                <w:rStyle w:val="Hyperlink"/>
                <w:noProof/>
              </w:rPr>
              <w:t>6.3.</w:t>
            </w:r>
            <w:r>
              <w:rPr>
                <w:rFonts w:asciiTheme="minorHAnsi" w:eastAsiaTheme="minorEastAsia" w:hAnsiTheme="minorHAnsi" w:cstheme="minorBidi"/>
                <w:noProof/>
                <w:lang w:eastAsia="en-AU"/>
              </w:rPr>
              <w:tab/>
            </w:r>
            <w:r w:rsidRPr="002C76AA">
              <w:rPr>
                <w:rStyle w:val="Hyperlink"/>
                <w:noProof/>
              </w:rPr>
              <w:t>Evaluator’s conclusions on clinical efficacy</w:t>
            </w:r>
            <w:r>
              <w:rPr>
                <w:noProof/>
                <w:webHidden/>
              </w:rPr>
              <w:tab/>
            </w:r>
            <w:r>
              <w:rPr>
                <w:noProof/>
                <w:webHidden/>
              </w:rPr>
              <w:fldChar w:fldCharType="begin"/>
            </w:r>
            <w:r>
              <w:rPr>
                <w:noProof/>
                <w:webHidden/>
              </w:rPr>
              <w:instrText xml:space="preserve"> PAGEREF _Toc383006429 \h </w:instrText>
            </w:r>
            <w:r>
              <w:rPr>
                <w:noProof/>
                <w:webHidden/>
              </w:rPr>
            </w:r>
            <w:r>
              <w:rPr>
                <w:noProof/>
                <w:webHidden/>
              </w:rPr>
              <w:fldChar w:fldCharType="separate"/>
            </w:r>
            <w:r>
              <w:rPr>
                <w:noProof/>
                <w:webHidden/>
              </w:rPr>
              <w:t>23</w:t>
            </w:r>
            <w:r>
              <w:rPr>
                <w:noProof/>
                <w:webHidden/>
              </w:rPr>
              <w:fldChar w:fldCharType="end"/>
            </w:r>
          </w:hyperlink>
        </w:p>
        <w:p w:rsidR="00E85A6F" w:rsidRDefault="00E85A6F">
          <w:pPr>
            <w:pStyle w:val="TOC2"/>
            <w:tabs>
              <w:tab w:val="left" w:pos="1100"/>
            </w:tabs>
            <w:rPr>
              <w:rFonts w:asciiTheme="minorHAnsi" w:eastAsiaTheme="minorEastAsia" w:hAnsiTheme="minorHAnsi" w:cstheme="minorBidi"/>
              <w:b w:val="0"/>
              <w:noProof/>
              <w:sz w:val="22"/>
              <w:lang w:eastAsia="en-AU"/>
            </w:rPr>
          </w:pPr>
          <w:hyperlink w:anchor="_Toc383006430" w:history="1">
            <w:r w:rsidRPr="002C76AA">
              <w:rPr>
                <w:rStyle w:val="Hyperlink"/>
                <w:noProof/>
              </w:rPr>
              <w:t>7.</w:t>
            </w:r>
            <w:r>
              <w:rPr>
                <w:rFonts w:asciiTheme="minorHAnsi" w:eastAsiaTheme="minorEastAsia" w:hAnsiTheme="minorHAnsi" w:cstheme="minorBidi"/>
                <w:b w:val="0"/>
                <w:noProof/>
                <w:sz w:val="22"/>
                <w:lang w:eastAsia="en-AU"/>
              </w:rPr>
              <w:tab/>
            </w:r>
            <w:r w:rsidRPr="002C76AA">
              <w:rPr>
                <w:rStyle w:val="Hyperlink"/>
                <w:noProof/>
              </w:rPr>
              <w:t>Clinical safety</w:t>
            </w:r>
            <w:r>
              <w:rPr>
                <w:noProof/>
                <w:webHidden/>
              </w:rPr>
              <w:tab/>
            </w:r>
            <w:r>
              <w:rPr>
                <w:noProof/>
                <w:webHidden/>
              </w:rPr>
              <w:fldChar w:fldCharType="begin"/>
            </w:r>
            <w:r>
              <w:rPr>
                <w:noProof/>
                <w:webHidden/>
              </w:rPr>
              <w:instrText xml:space="preserve"> PAGEREF _Toc383006430 \h </w:instrText>
            </w:r>
            <w:r>
              <w:rPr>
                <w:noProof/>
                <w:webHidden/>
              </w:rPr>
            </w:r>
            <w:r>
              <w:rPr>
                <w:noProof/>
                <w:webHidden/>
              </w:rPr>
              <w:fldChar w:fldCharType="separate"/>
            </w:r>
            <w:r>
              <w:rPr>
                <w:noProof/>
                <w:webHidden/>
              </w:rPr>
              <w:t>24</w:t>
            </w:r>
            <w:r>
              <w:rPr>
                <w:noProof/>
                <w:webHidden/>
              </w:rPr>
              <w:fldChar w:fldCharType="end"/>
            </w:r>
          </w:hyperlink>
        </w:p>
        <w:p w:rsidR="00E85A6F" w:rsidRDefault="00E85A6F">
          <w:pPr>
            <w:pStyle w:val="TOC3"/>
            <w:tabs>
              <w:tab w:val="left" w:pos="1760"/>
            </w:tabs>
            <w:rPr>
              <w:rFonts w:asciiTheme="minorHAnsi" w:eastAsiaTheme="minorEastAsia" w:hAnsiTheme="minorHAnsi" w:cstheme="minorBidi"/>
              <w:noProof/>
              <w:lang w:eastAsia="en-AU"/>
            </w:rPr>
          </w:pPr>
          <w:hyperlink w:anchor="_Toc383006431" w:history="1">
            <w:r w:rsidRPr="002C76AA">
              <w:rPr>
                <w:rStyle w:val="Hyperlink"/>
                <w:noProof/>
              </w:rPr>
              <w:t>7.1.</w:t>
            </w:r>
            <w:r>
              <w:rPr>
                <w:rFonts w:asciiTheme="minorHAnsi" w:eastAsiaTheme="minorEastAsia" w:hAnsiTheme="minorHAnsi" w:cstheme="minorBidi"/>
                <w:noProof/>
                <w:lang w:eastAsia="en-AU"/>
              </w:rPr>
              <w:tab/>
            </w:r>
            <w:r w:rsidRPr="002C76AA">
              <w:rPr>
                <w:rStyle w:val="Hyperlink"/>
                <w:noProof/>
              </w:rPr>
              <w:t>Studies providing evaluable safety data</w:t>
            </w:r>
            <w:r>
              <w:rPr>
                <w:noProof/>
                <w:webHidden/>
              </w:rPr>
              <w:tab/>
            </w:r>
            <w:r>
              <w:rPr>
                <w:noProof/>
                <w:webHidden/>
              </w:rPr>
              <w:fldChar w:fldCharType="begin"/>
            </w:r>
            <w:r>
              <w:rPr>
                <w:noProof/>
                <w:webHidden/>
              </w:rPr>
              <w:instrText xml:space="preserve"> PAGEREF _Toc383006431 \h </w:instrText>
            </w:r>
            <w:r>
              <w:rPr>
                <w:noProof/>
                <w:webHidden/>
              </w:rPr>
            </w:r>
            <w:r>
              <w:rPr>
                <w:noProof/>
                <w:webHidden/>
              </w:rPr>
              <w:fldChar w:fldCharType="separate"/>
            </w:r>
            <w:r>
              <w:rPr>
                <w:noProof/>
                <w:webHidden/>
              </w:rPr>
              <w:t>24</w:t>
            </w:r>
            <w:r>
              <w:rPr>
                <w:noProof/>
                <w:webHidden/>
              </w:rPr>
              <w:fldChar w:fldCharType="end"/>
            </w:r>
          </w:hyperlink>
        </w:p>
        <w:p w:rsidR="00E85A6F" w:rsidRDefault="00E85A6F">
          <w:pPr>
            <w:pStyle w:val="TOC3"/>
            <w:tabs>
              <w:tab w:val="left" w:pos="1760"/>
            </w:tabs>
            <w:rPr>
              <w:rFonts w:asciiTheme="minorHAnsi" w:eastAsiaTheme="minorEastAsia" w:hAnsiTheme="minorHAnsi" w:cstheme="minorBidi"/>
              <w:noProof/>
              <w:lang w:eastAsia="en-AU"/>
            </w:rPr>
          </w:pPr>
          <w:hyperlink w:anchor="_Toc383006432" w:history="1">
            <w:r w:rsidRPr="002C76AA">
              <w:rPr>
                <w:rStyle w:val="Hyperlink"/>
                <w:noProof/>
              </w:rPr>
              <w:t>7.2.</w:t>
            </w:r>
            <w:r>
              <w:rPr>
                <w:rFonts w:asciiTheme="minorHAnsi" w:eastAsiaTheme="minorEastAsia" w:hAnsiTheme="minorHAnsi" w:cstheme="minorBidi"/>
                <w:noProof/>
                <w:lang w:eastAsia="en-AU"/>
              </w:rPr>
              <w:tab/>
            </w:r>
            <w:r w:rsidRPr="002C76AA">
              <w:rPr>
                <w:rStyle w:val="Hyperlink"/>
                <w:noProof/>
              </w:rPr>
              <w:t>Pivotal efficacy study</w:t>
            </w:r>
            <w:r>
              <w:rPr>
                <w:noProof/>
                <w:webHidden/>
              </w:rPr>
              <w:tab/>
            </w:r>
            <w:r>
              <w:rPr>
                <w:noProof/>
                <w:webHidden/>
              </w:rPr>
              <w:fldChar w:fldCharType="begin"/>
            </w:r>
            <w:r>
              <w:rPr>
                <w:noProof/>
                <w:webHidden/>
              </w:rPr>
              <w:instrText xml:space="preserve"> PAGEREF _Toc383006432 \h </w:instrText>
            </w:r>
            <w:r>
              <w:rPr>
                <w:noProof/>
                <w:webHidden/>
              </w:rPr>
            </w:r>
            <w:r>
              <w:rPr>
                <w:noProof/>
                <w:webHidden/>
              </w:rPr>
              <w:fldChar w:fldCharType="separate"/>
            </w:r>
            <w:r>
              <w:rPr>
                <w:noProof/>
                <w:webHidden/>
              </w:rPr>
              <w:t>25</w:t>
            </w:r>
            <w:r>
              <w:rPr>
                <w:noProof/>
                <w:webHidden/>
              </w:rPr>
              <w:fldChar w:fldCharType="end"/>
            </w:r>
          </w:hyperlink>
        </w:p>
        <w:p w:rsidR="00E85A6F" w:rsidRDefault="00E85A6F">
          <w:pPr>
            <w:pStyle w:val="TOC3"/>
            <w:tabs>
              <w:tab w:val="left" w:pos="1760"/>
            </w:tabs>
            <w:rPr>
              <w:rFonts w:asciiTheme="minorHAnsi" w:eastAsiaTheme="minorEastAsia" w:hAnsiTheme="minorHAnsi" w:cstheme="minorBidi"/>
              <w:noProof/>
              <w:lang w:eastAsia="en-AU"/>
            </w:rPr>
          </w:pPr>
          <w:hyperlink w:anchor="_Toc383006433" w:history="1">
            <w:r w:rsidRPr="002C76AA">
              <w:rPr>
                <w:rStyle w:val="Hyperlink"/>
                <w:noProof/>
              </w:rPr>
              <w:t>7.3.</w:t>
            </w:r>
            <w:r>
              <w:rPr>
                <w:rFonts w:asciiTheme="minorHAnsi" w:eastAsiaTheme="minorEastAsia" w:hAnsiTheme="minorHAnsi" w:cstheme="minorBidi"/>
                <w:noProof/>
                <w:lang w:eastAsia="en-AU"/>
              </w:rPr>
              <w:tab/>
            </w:r>
            <w:r w:rsidRPr="002C76AA">
              <w:rPr>
                <w:rStyle w:val="Hyperlink"/>
                <w:noProof/>
              </w:rPr>
              <w:t>Non-pivotal efficacy studies</w:t>
            </w:r>
            <w:r>
              <w:rPr>
                <w:noProof/>
                <w:webHidden/>
              </w:rPr>
              <w:tab/>
            </w:r>
            <w:r>
              <w:rPr>
                <w:noProof/>
                <w:webHidden/>
              </w:rPr>
              <w:fldChar w:fldCharType="begin"/>
            </w:r>
            <w:r>
              <w:rPr>
                <w:noProof/>
                <w:webHidden/>
              </w:rPr>
              <w:instrText xml:space="preserve"> PAGEREF _Toc383006433 \h </w:instrText>
            </w:r>
            <w:r>
              <w:rPr>
                <w:noProof/>
                <w:webHidden/>
              </w:rPr>
            </w:r>
            <w:r>
              <w:rPr>
                <w:noProof/>
                <w:webHidden/>
              </w:rPr>
              <w:fldChar w:fldCharType="separate"/>
            </w:r>
            <w:r>
              <w:rPr>
                <w:noProof/>
                <w:webHidden/>
              </w:rPr>
              <w:t>31</w:t>
            </w:r>
            <w:r>
              <w:rPr>
                <w:noProof/>
                <w:webHidden/>
              </w:rPr>
              <w:fldChar w:fldCharType="end"/>
            </w:r>
          </w:hyperlink>
        </w:p>
        <w:p w:rsidR="00E85A6F" w:rsidRDefault="00E85A6F">
          <w:pPr>
            <w:pStyle w:val="TOC3"/>
            <w:tabs>
              <w:tab w:val="left" w:pos="1760"/>
            </w:tabs>
            <w:rPr>
              <w:rFonts w:asciiTheme="minorHAnsi" w:eastAsiaTheme="minorEastAsia" w:hAnsiTheme="minorHAnsi" w:cstheme="minorBidi"/>
              <w:noProof/>
              <w:lang w:eastAsia="en-AU"/>
            </w:rPr>
          </w:pPr>
          <w:hyperlink w:anchor="_Toc383006434" w:history="1">
            <w:r w:rsidRPr="002C76AA">
              <w:rPr>
                <w:rStyle w:val="Hyperlink"/>
                <w:noProof/>
              </w:rPr>
              <w:t>7.4.</w:t>
            </w:r>
            <w:r>
              <w:rPr>
                <w:rFonts w:asciiTheme="minorHAnsi" w:eastAsiaTheme="minorEastAsia" w:hAnsiTheme="minorHAnsi" w:cstheme="minorBidi"/>
                <w:noProof/>
                <w:lang w:eastAsia="en-AU"/>
              </w:rPr>
              <w:tab/>
            </w:r>
            <w:r w:rsidRPr="002C76AA">
              <w:rPr>
                <w:rStyle w:val="Hyperlink"/>
                <w:noProof/>
              </w:rPr>
              <w:t>Postmarketing experience</w:t>
            </w:r>
            <w:r>
              <w:rPr>
                <w:noProof/>
                <w:webHidden/>
              </w:rPr>
              <w:tab/>
            </w:r>
            <w:r>
              <w:rPr>
                <w:noProof/>
                <w:webHidden/>
              </w:rPr>
              <w:fldChar w:fldCharType="begin"/>
            </w:r>
            <w:r>
              <w:rPr>
                <w:noProof/>
                <w:webHidden/>
              </w:rPr>
              <w:instrText xml:space="preserve"> PAGEREF _Toc383006434 \h </w:instrText>
            </w:r>
            <w:r>
              <w:rPr>
                <w:noProof/>
                <w:webHidden/>
              </w:rPr>
            </w:r>
            <w:r>
              <w:rPr>
                <w:noProof/>
                <w:webHidden/>
              </w:rPr>
              <w:fldChar w:fldCharType="separate"/>
            </w:r>
            <w:r>
              <w:rPr>
                <w:noProof/>
                <w:webHidden/>
              </w:rPr>
              <w:t>32</w:t>
            </w:r>
            <w:r>
              <w:rPr>
                <w:noProof/>
                <w:webHidden/>
              </w:rPr>
              <w:fldChar w:fldCharType="end"/>
            </w:r>
          </w:hyperlink>
        </w:p>
        <w:p w:rsidR="00E85A6F" w:rsidRDefault="00E85A6F">
          <w:pPr>
            <w:pStyle w:val="TOC3"/>
            <w:tabs>
              <w:tab w:val="left" w:pos="1760"/>
            </w:tabs>
            <w:rPr>
              <w:rFonts w:asciiTheme="minorHAnsi" w:eastAsiaTheme="minorEastAsia" w:hAnsiTheme="minorHAnsi" w:cstheme="minorBidi"/>
              <w:noProof/>
              <w:lang w:eastAsia="en-AU"/>
            </w:rPr>
          </w:pPr>
          <w:hyperlink w:anchor="_Toc383006435" w:history="1">
            <w:r w:rsidRPr="002C76AA">
              <w:rPr>
                <w:rStyle w:val="Hyperlink"/>
                <w:noProof/>
              </w:rPr>
              <w:t>7.5.</w:t>
            </w:r>
            <w:r>
              <w:rPr>
                <w:rFonts w:asciiTheme="minorHAnsi" w:eastAsiaTheme="minorEastAsia" w:hAnsiTheme="minorHAnsi" w:cstheme="minorBidi"/>
                <w:noProof/>
                <w:lang w:eastAsia="en-AU"/>
              </w:rPr>
              <w:tab/>
            </w:r>
            <w:r w:rsidRPr="002C76AA">
              <w:rPr>
                <w:rStyle w:val="Hyperlink"/>
                <w:noProof/>
              </w:rPr>
              <w:t>Safety Issues with the potential for major regulatory impact</w:t>
            </w:r>
            <w:r>
              <w:rPr>
                <w:noProof/>
                <w:webHidden/>
              </w:rPr>
              <w:tab/>
            </w:r>
            <w:r>
              <w:rPr>
                <w:noProof/>
                <w:webHidden/>
              </w:rPr>
              <w:fldChar w:fldCharType="begin"/>
            </w:r>
            <w:r>
              <w:rPr>
                <w:noProof/>
                <w:webHidden/>
              </w:rPr>
              <w:instrText xml:space="preserve"> PAGEREF _Toc383006435 \h </w:instrText>
            </w:r>
            <w:r>
              <w:rPr>
                <w:noProof/>
                <w:webHidden/>
              </w:rPr>
            </w:r>
            <w:r>
              <w:rPr>
                <w:noProof/>
                <w:webHidden/>
              </w:rPr>
              <w:fldChar w:fldCharType="separate"/>
            </w:r>
            <w:r>
              <w:rPr>
                <w:noProof/>
                <w:webHidden/>
              </w:rPr>
              <w:t>32</w:t>
            </w:r>
            <w:r>
              <w:rPr>
                <w:noProof/>
                <w:webHidden/>
              </w:rPr>
              <w:fldChar w:fldCharType="end"/>
            </w:r>
          </w:hyperlink>
        </w:p>
        <w:p w:rsidR="00E85A6F" w:rsidRDefault="00E85A6F">
          <w:pPr>
            <w:pStyle w:val="TOC3"/>
            <w:tabs>
              <w:tab w:val="left" w:pos="1760"/>
            </w:tabs>
            <w:rPr>
              <w:rFonts w:asciiTheme="minorHAnsi" w:eastAsiaTheme="minorEastAsia" w:hAnsiTheme="minorHAnsi" w:cstheme="minorBidi"/>
              <w:noProof/>
              <w:lang w:eastAsia="en-AU"/>
            </w:rPr>
          </w:pPr>
          <w:hyperlink w:anchor="_Toc383006436" w:history="1">
            <w:r w:rsidRPr="002C76AA">
              <w:rPr>
                <w:rStyle w:val="Hyperlink"/>
                <w:noProof/>
              </w:rPr>
              <w:t>7.6.</w:t>
            </w:r>
            <w:r>
              <w:rPr>
                <w:rFonts w:asciiTheme="minorHAnsi" w:eastAsiaTheme="minorEastAsia" w:hAnsiTheme="minorHAnsi" w:cstheme="minorBidi"/>
                <w:noProof/>
                <w:lang w:eastAsia="en-AU"/>
              </w:rPr>
              <w:tab/>
            </w:r>
            <w:r w:rsidRPr="002C76AA">
              <w:rPr>
                <w:rStyle w:val="Hyperlink"/>
                <w:noProof/>
              </w:rPr>
              <w:t>Evaluator’s overall conclusions on clinical safety</w:t>
            </w:r>
            <w:r>
              <w:rPr>
                <w:noProof/>
                <w:webHidden/>
              </w:rPr>
              <w:tab/>
            </w:r>
            <w:r>
              <w:rPr>
                <w:noProof/>
                <w:webHidden/>
              </w:rPr>
              <w:fldChar w:fldCharType="begin"/>
            </w:r>
            <w:r>
              <w:rPr>
                <w:noProof/>
                <w:webHidden/>
              </w:rPr>
              <w:instrText xml:space="preserve"> PAGEREF _Toc383006436 \h </w:instrText>
            </w:r>
            <w:r>
              <w:rPr>
                <w:noProof/>
                <w:webHidden/>
              </w:rPr>
            </w:r>
            <w:r>
              <w:rPr>
                <w:noProof/>
                <w:webHidden/>
              </w:rPr>
              <w:fldChar w:fldCharType="separate"/>
            </w:r>
            <w:r>
              <w:rPr>
                <w:noProof/>
                <w:webHidden/>
              </w:rPr>
              <w:t>33</w:t>
            </w:r>
            <w:r>
              <w:rPr>
                <w:noProof/>
                <w:webHidden/>
              </w:rPr>
              <w:fldChar w:fldCharType="end"/>
            </w:r>
          </w:hyperlink>
        </w:p>
        <w:p w:rsidR="00E85A6F" w:rsidRDefault="00E85A6F">
          <w:pPr>
            <w:pStyle w:val="TOC2"/>
            <w:tabs>
              <w:tab w:val="left" w:pos="1100"/>
            </w:tabs>
            <w:rPr>
              <w:rFonts w:asciiTheme="minorHAnsi" w:eastAsiaTheme="minorEastAsia" w:hAnsiTheme="minorHAnsi" w:cstheme="minorBidi"/>
              <w:b w:val="0"/>
              <w:noProof/>
              <w:sz w:val="22"/>
              <w:lang w:eastAsia="en-AU"/>
            </w:rPr>
          </w:pPr>
          <w:hyperlink w:anchor="_Toc383006437" w:history="1">
            <w:r w:rsidRPr="002C76AA">
              <w:rPr>
                <w:rStyle w:val="Hyperlink"/>
                <w:noProof/>
              </w:rPr>
              <w:t>8.</w:t>
            </w:r>
            <w:r>
              <w:rPr>
                <w:rFonts w:asciiTheme="minorHAnsi" w:eastAsiaTheme="minorEastAsia" w:hAnsiTheme="minorHAnsi" w:cstheme="minorBidi"/>
                <w:b w:val="0"/>
                <w:noProof/>
                <w:sz w:val="22"/>
                <w:lang w:eastAsia="en-AU"/>
              </w:rPr>
              <w:tab/>
            </w:r>
            <w:r w:rsidRPr="002C76AA">
              <w:rPr>
                <w:rStyle w:val="Hyperlink"/>
                <w:noProof/>
              </w:rPr>
              <w:t>First round benefit-risk assessment</w:t>
            </w:r>
            <w:r>
              <w:rPr>
                <w:noProof/>
                <w:webHidden/>
              </w:rPr>
              <w:tab/>
            </w:r>
            <w:r>
              <w:rPr>
                <w:noProof/>
                <w:webHidden/>
              </w:rPr>
              <w:fldChar w:fldCharType="begin"/>
            </w:r>
            <w:r>
              <w:rPr>
                <w:noProof/>
                <w:webHidden/>
              </w:rPr>
              <w:instrText xml:space="preserve"> PAGEREF _Toc383006437 \h </w:instrText>
            </w:r>
            <w:r>
              <w:rPr>
                <w:noProof/>
                <w:webHidden/>
              </w:rPr>
            </w:r>
            <w:r>
              <w:rPr>
                <w:noProof/>
                <w:webHidden/>
              </w:rPr>
              <w:fldChar w:fldCharType="separate"/>
            </w:r>
            <w:r>
              <w:rPr>
                <w:noProof/>
                <w:webHidden/>
              </w:rPr>
              <w:t>34</w:t>
            </w:r>
            <w:r>
              <w:rPr>
                <w:noProof/>
                <w:webHidden/>
              </w:rPr>
              <w:fldChar w:fldCharType="end"/>
            </w:r>
          </w:hyperlink>
        </w:p>
        <w:p w:rsidR="00E85A6F" w:rsidRDefault="00E85A6F">
          <w:pPr>
            <w:pStyle w:val="TOC3"/>
            <w:tabs>
              <w:tab w:val="left" w:pos="1760"/>
            </w:tabs>
            <w:rPr>
              <w:rFonts w:asciiTheme="minorHAnsi" w:eastAsiaTheme="minorEastAsia" w:hAnsiTheme="minorHAnsi" w:cstheme="minorBidi"/>
              <w:noProof/>
              <w:lang w:eastAsia="en-AU"/>
            </w:rPr>
          </w:pPr>
          <w:hyperlink w:anchor="_Toc383006438" w:history="1">
            <w:r w:rsidRPr="002C76AA">
              <w:rPr>
                <w:rStyle w:val="Hyperlink"/>
                <w:noProof/>
              </w:rPr>
              <w:t>8.1.</w:t>
            </w:r>
            <w:r>
              <w:rPr>
                <w:rFonts w:asciiTheme="minorHAnsi" w:eastAsiaTheme="minorEastAsia" w:hAnsiTheme="minorHAnsi" w:cstheme="minorBidi"/>
                <w:noProof/>
                <w:lang w:eastAsia="en-AU"/>
              </w:rPr>
              <w:tab/>
            </w:r>
            <w:r w:rsidRPr="002C76AA">
              <w:rPr>
                <w:rStyle w:val="Hyperlink"/>
                <w:noProof/>
              </w:rPr>
              <w:t>First round assessment of benefits</w:t>
            </w:r>
            <w:r>
              <w:rPr>
                <w:noProof/>
                <w:webHidden/>
              </w:rPr>
              <w:tab/>
            </w:r>
            <w:r>
              <w:rPr>
                <w:noProof/>
                <w:webHidden/>
              </w:rPr>
              <w:fldChar w:fldCharType="begin"/>
            </w:r>
            <w:r>
              <w:rPr>
                <w:noProof/>
                <w:webHidden/>
              </w:rPr>
              <w:instrText xml:space="preserve"> PAGEREF _Toc383006438 \h </w:instrText>
            </w:r>
            <w:r>
              <w:rPr>
                <w:noProof/>
                <w:webHidden/>
              </w:rPr>
            </w:r>
            <w:r>
              <w:rPr>
                <w:noProof/>
                <w:webHidden/>
              </w:rPr>
              <w:fldChar w:fldCharType="separate"/>
            </w:r>
            <w:r>
              <w:rPr>
                <w:noProof/>
                <w:webHidden/>
              </w:rPr>
              <w:t>34</w:t>
            </w:r>
            <w:r>
              <w:rPr>
                <w:noProof/>
                <w:webHidden/>
              </w:rPr>
              <w:fldChar w:fldCharType="end"/>
            </w:r>
          </w:hyperlink>
        </w:p>
        <w:p w:rsidR="00E85A6F" w:rsidRDefault="00E85A6F">
          <w:pPr>
            <w:pStyle w:val="TOC3"/>
            <w:tabs>
              <w:tab w:val="left" w:pos="1760"/>
            </w:tabs>
            <w:rPr>
              <w:rFonts w:asciiTheme="minorHAnsi" w:eastAsiaTheme="minorEastAsia" w:hAnsiTheme="minorHAnsi" w:cstheme="minorBidi"/>
              <w:noProof/>
              <w:lang w:eastAsia="en-AU"/>
            </w:rPr>
          </w:pPr>
          <w:hyperlink w:anchor="_Toc383006439" w:history="1">
            <w:r w:rsidRPr="002C76AA">
              <w:rPr>
                <w:rStyle w:val="Hyperlink"/>
                <w:noProof/>
              </w:rPr>
              <w:t>8.2.</w:t>
            </w:r>
            <w:r>
              <w:rPr>
                <w:rFonts w:asciiTheme="minorHAnsi" w:eastAsiaTheme="minorEastAsia" w:hAnsiTheme="minorHAnsi" w:cstheme="minorBidi"/>
                <w:noProof/>
                <w:lang w:eastAsia="en-AU"/>
              </w:rPr>
              <w:tab/>
            </w:r>
            <w:r w:rsidRPr="002C76AA">
              <w:rPr>
                <w:rStyle w:val="Hyperlink"/>
                <w:noProof/>
              </w:rPr>
              <w:t>First round assessment of risks</w:t>
            </w:r>
            <w:r>
              <w:rPr>
                <w:noProof/>
                <w:webHidden/>
              </w:rPr>
              <w:tab/>
            </w:r>
            <w:r>
              <w:rPr>
                <w:noProof/>
                <w:webHidden/>
              </w:rPr>
              <w:fldChar w:fldCharType="begin"/>
            </w:r>
            <w:r>
              <w:rPr>
                <w:noProof/>
                <w:webHidden/>
              </w:rPr>
              <w:instrText xml:space="preserve"> PAGEREF _Toc383006439 \h </w:instrText>
            </w:r>
            <w:r>
              <w:rPr>
                <w:noProof/>
                <w:webHidden/>
              </w:rPr>
            </w:r>
            <w:r>
              <w:rPr>
                <w:noProof/>
                <w:webHidden/>
              </w:rPr>
              <w:fldChar w:fldCharType="separate"/>
            </w:r>
            <w:r>
              <w:rPr>
                <w:noProof/>
                <w:webHidden/>
              </w:rPr>
              <w:t>34</w:t>
            </w:r>
            <w:r>
              <w:rPr>
                <w:noProof/>
                <w:webHidden/>
              </w:rPr>
              <w:fldChar w:fldCharType="end"/>
            </w:r>
          </w:hyperlink>
        </w:p>
        <w:p w:rsidR="00E85A6F" w:rsidRDefault="00E85A6F">
          <w:pPr>
            <w:pStyle w:val="TOC3"/>
            <w:tabs>
              <w:tab w:val="left" w:pos="1760"/>
            </w:tabs>
            <w:rPr>
              <w:rFonts w:asciiTheme="minorHAnsi" w:eastAsiaTheme="minorEastAsia" w:hAnsiTheme="minorHAnsi" w:cstheme="minorBidi"/>
              <w:noProof/>
              <w:lang w:eastAsia="en-AU"/>
            </w:rPr>
          </w:pPr>
          <w:hyperlink w:anchor="_Toc383006440" w:history="1">
            <w:r w:rsidRPr="002C76AA">
              <w:rPr>
                <w:rStyle w:val="Hyperlink"/>
                <w:noProof/>
              </w:rPr>
              <w:t>8.3.</w:t>
            </w:r>
            <w:r>
              <w:rPr>
                <w:rFonts w:asciiTheme="minorHAnsi" w:eastAsiaTheme="minorEastAsia" w:hAnsiTheme="minorHAnsi" w:cstheme="minorBidi"/>
                <w:noProof/>
                <w:lang w:eastAsia="en-AU"/>
              </w:rPr>
              <w:tab/>
            </w:r>
            <w:r w:rsidRPr="002C76AA">
              <w:rPr>
                <w:rStyle w:val="Hyperlink"/>
                <w:noProof/>
              </w:rPr>
              <w:t>First round assessment of benefit-risk balance</w:t>
            </w:r>
            <w:r>
              <w:rPr>
                <w:noProof/>
                <w:webHidden/>
              </w:rPr>
              <w:tab/>
            </w:r>
            <w:r>
              <w:rPr>
                <w:noProof/>
                <w:webHidden/>
              </w:rPr>
              <w:fldChar w:fldCharType="begin"/>
            </w:r>
            <w:r>
              <w:rPr>
                <w:noProof/>
                <w:webHidden/>
              </w:rPr>
              <w:instrText xml:space="preserve"> PAGEREF _Toc383006440 \h </w:instrText>
            </w:r>
            <w:r>
              <w:rPr>
                <w:noProof/>
                <w:webHidden/>
              </w:rPr>
            </w:r>
            <w:r>
              <w:rPr>
                <w:noProof/>
                <w:webHidden/>
              </w:rPr>
              <w:fldChar w:fldCharType="separate"/>
            </w:r>
            <w:r>
              <w:rPr>
                <w:noProof/>
                <w:webHidden/>
              </w:rPr>
              <w:t>34</w:t>
            </w:r>
            <w:r>
              <w:rPr>
                <w:noProof/>
                <w:webHidden/>
              </w:rPr>
              <w:fldChar w:fldCharType="end"/>
            </w:r>
          </w:hyperlink>
        </w:p>
        <w:p w:rsidR="00E85A6F" w:rsidRDefault="00E85A6F">
          <w:pPr>
            <w:pStyle w:val="TOC2"/>
            <w:tabs>
              <w:tab w:val="left" w:pos="1100"/>
            </w:tabs>
            <w:rPr>
              <w:rFonts w:asciiTheme="minorHAnsi" w:eastAsiaTheme="minorEastAsia" w:hAnsiTheme="minorHAnsi" w:cstheme="minorBidi"/>
              <w:b w:val="0"/>
              <w:noProof/>
              <w:sz w:val="22"/>
              <w:lang w:eastAsia="en-AU"/>
            </w:rPr>
          </w:pPr>
          <w:hyperlink w:anchor="_Toc383006441" w:history="1">
            <w:r w:rsidRPr="002C76AA">
              <w:rPr>
                <w:rStyle w:val="Hyperlink"/>
                <w:noProof/>
              </w:rPr>
              <w:t>9.</w:t>
            </w:r>
            <w:r>
              <w:rPr>
                <w:rFonts w:asciiTheme="minorHAnsi" w:eastAsiaTheme="minorEastAsia" w:hAnsiTheme="minorHAnsi" w:cstheme="minorBidi"/>
                <w:b w:val="0"/>
                <w:noProof/>
                <w:sz w:val="22"/>
                <w:lang w:eastAsia="en-AU"/>
              </w:rPr>
              <w:tab/>
            </w:r>
            <w:r w:rsidRPr="002C76AA">
              <w:rPr>
                <w:rStyle w:val="Hyperlink"/>
                <w:noProof/>
              </w:rPr>
              <w:t>First round recommendation regarding authorisation</w:t>
            </w:r>
            <w:r>
              <w:rPr>
                <w:noProof/>
                <w:webHidden/>
              </w:rPr>
              <w:tab/>
            </w:r>
            <w:r>
              <w:rPr>
                <w:noProof/>
                <w:webHidden/>
              </w:rPr>
              <w:fldChar w:fldCharType="begin"/>
            </w:r>
            <w:r>
              <w:rPr>
                <w:noProof/>
                <w:webHidden/>
              </w:rPr>
              <w:instrText xml:space="preserve"> PAGEREF _Toc383006441 \h </w:instrText>
            </w:r>
            <w:r>
              <w:rPr>
                <w:noProof/>
                <w:webHidden/>
              </w:rPr>
            </w:r>
            <w:r>
              <w:rPr>
                <w:noProof/>
                <w:webHidden/>
              </w:rPr>
              <w:fldChar w:fldCharType="separate"/>
            </w:r>
            <w:r>
              <w:rPr>
                <w:noProof/>
                <w:webHidden/>
              </w:rPr>
              <w:t>34</w:t>
            </w:r>
            <w:r>
              <w:rPr>
                <w:noProof/>
                <w:webHidden/>
              </w:rPr>
              <w:fldChar w:fldCharType="end"/>
            </w:r>
          </w:hyperlink>
        </w:p>
        <w:p w:rsidR="00E85A6F" w:rsidRDefault="00E85A6F">
          <w:pPr>
            <w:pStyle w:val="TOC2"/>
            <w:tabs>
              <w:tab w:val="left" w:pos="1320"/>
            </w:tabs>
            <w:rPr>
              <w:rFonts w:asciiTheme="minorHAnsi" w:eastAsiaTheme="minorEastAsia" w:hAnsiTheme="minorHAnsi" w:cstheme="minorBidi"/>
              <w:b w:val="0"/>
              <w:noProof/>
              <w:sz w:val="22"/>
              <w:lang w:eastAsia="en-AU"/>
            </w:rPr>
          </w:pPr>
          <w:hyperlink w:anchor="_Toc383006442" w:history="1">
            <w:r w:rsidRPr="002C76AA">
              <w:rPr>
                <w:rStyle w:val="Hyperlink"/>
                <w:noProof/>
              </w:rPr>
              <w:t>10.</w:t>
            </w:r>
            <w:r>
              <w:rPr>
                <w:rFonts w:asciiTheme="minorHAnsi" w:eastAsiaTheme="minorEastAsia" w:hAnsiTheme="minorHAnsi" w:cstheme="minorBidi"/>
                <w:b w:val="0"/>
                <w:noProof/>
                <w:sz w:val="22"/>
                <w:lang w:eastAsia="en-AU"/>
              </w:rPr>
              <w:tab/>
            </w:r>
            <w:r w:rsidRPr="002C76AA">
              <w:rPr>
                <w:rStyle w:val="Hyperlink"/>
                <w:noProof/>
              </w:rPr>
              <w:t>Clinical questions</w:t>
            </w:r>
            <w:r>
              <w:rPr>
                <w:noProof/>
                <w:webHidden/>
              </w:rPr>
              <w:tab/>
            </w:r>
            <w:r>
              <w:rPr>
                <w:noProof/>
                <w:webHidden/>
              </w:rPr>
              <w:fldChar w:fldCharType="begin"/>
            </w:r>
            <w:r>
              <w:rPr>
                <w:noProof/>
                <w:webHidden/>
              </w:rPr>
              <w:instrText xml:space="preserve"> PAGEREF _Toc383006442 \h </w:instrText>
            </w:r>
            <w:r>
              <w:rPr>
                <w:noProof/>
                <w:webHidden/>
              </w:rPr>
            </w:r>
            <w:r>
              <w:rPr>
                <w:noProof/>
                <w:webHidden/>
              </w:rPr>
              <w:fldChar w:fldCharType="separate"/>
            </w:r>
            <w:r>
              <w:rPr>
                <w:noProof/>
                <w:webHidden/>
              </w:rPr>
              <w:t>34</w:t>
            </w:r>
            <w:r>
              <w:rPr>
                <w:noProof/>
                <w:webHidden/>
              </w:rPr>
              <w:fldChar w:fldCharType="end"/>
            </w:r>
          </w:hyperlink>
        </w:p>
        <w:p w:rsidR="00E85A6F" w:rsidRDefault="00E85A6F">
          <w:pPr>
            <w:pStyle w:val="TOC3"/>
            <w:tabs>
              <w:tab w:val="left" w:pos="1760"/>
            </w:tabs>
            <w:rPr>
              <w:rFonts w:asciiTheme="minorHAnsi" w:eastAsiaTheme="minorEastAsia" w:hAnsiTheme="minorHAnsi" w:cstheme="minorBidi"/>
              <w:noProof/>
              <w:lang w:eastAsia="en-AU"/>
            </w:rPr>
          </w:pPr>
          <w:hyperlink w:anchor="_Toc383006443" w:history="1">
            <w:r w:rsidRPr="002C76AA">
              <w:rPr>
                <w:rStyle w:val="Hyperlink"/>
                <w:noProof/>
              </w:rPr>
              <w:t>10.1.</w:t>
            </w:r>
            <w:r>
              <w:rPr>
                <w:rFonts w:asciiTheme="minorHAnsi" w:eastAsiaTheme="minorEastAsia" w:hAnsiTheme="minorHAnsi" w:cstheme="minorBidi"/>
                <w:noProof/>
                <w:lang w:eastAsia="en-AU"/>
              </w:rPr>
              <w:tab/>
            </w:r>
            <w:r w:rsidRPr="002C76AA">
              <w:rPr>
                <w:rStyle w:val="Hyperlink"/>
                <w:noProof/>
              </w:rPr>
              <w:t>Efficacy</w:t>
            </w:r>
            <w:r>
              <w:rPr>
                <w:noProof/>
                <w:webHidden/>
              </w:rPr>
              <w:tab/>
            </w:r>
            <w:r>
              <w:rPr>
                <w:noProof/>
                <w:webHidden/>
              </w:rPr>
              <w:fldChar w:fldCharType="begin"/>
            </w:r>
            <w:r>
              <w:rPr>
                <w:noProof/>
                <w:webHidden/>
              </w:rPr>
              <w:instrText xml:space="preserve"> PAGEREF _Toc383006443 \h </w:instrText>
            </w:r>
            <w:r>
              <w:rPr>
                <w:noProof/>
                <w:webHidden/>
              </w:rPr>
            </w:r>
            <w:r>
              <w:rPr>
                <w:noProof/>
                <w:webHidden/>
              </w:rPr>
              <w:fldChar w:fldCharType="separate"/>
            </w:r>
            <w:r>
              <w:rPr>
                <w:noProof/>
                <w:webHidden/>
              </w:rPr>
              <w:t>34</w:t>
            </w:r>
            <w:r>
              <w:rPr>
                <w:noProof/>
                <w:webHidden/>
              </w:rPr>
              <w:fldChar w:fldCharType="end"/>
            </w:r>
          </w:hyperlink>
        </w:p>
        <w:p w:rsidR="00E85A6F" w:rsidRDefault="00E85A6F">
          <w:pPr>
            <w:pStyle w:val="TOC3"/>
            <w:tabs>
              <w:tab w:val="left" w:pos="1760"/>
            </w:tabs>
            <w:rPr>
              <w:rFonts w:asciiTheme="minorHAnsi" w:eastAsiaTheme="minorEastAsia" w:hAnsiTheme="minorHAnsi" w:cstheme="minorBidi"/>
              <w:noProof/>
              <w:lang w:eastAsia="en-AU"/>
            </w:rPr>
          </w:pPr>
          <w:hyperlink w:anchor="_Toc383006444" w:history="1">
            <w:r w:rsidRPr="002C76AA">
              <w:rPr>
                <w:rStyle w:val="Hyperlink"/>
                <w:noProof/>
              </w:rPr>
              <w:t>10.2.</w:t>
            </w:r>
            <w:r>
              <w:rPr>
                <w:rFonts w:asciiTheme="minorHAnsi" w:eastAsiaTheme="minorEastAsia" w:hAnsiTheme="minorHAnsi" w:cstheme="minorBidi"/>
                <w:noProof/>
                <w:lang w:eastAsia="en-AU"/>
              </w:rPr>
              <w:tab/>
            </w:r>
            <w:r w:rsidRPr="002C76AA">
              <w:rPr>
                <w:rStyle w:val="Hyperlink"/>
                <w:noProof/>
              </w:rPr>
              <w:t>Safety</w:t>
            </w:r>
            <w:r>
              <w:rPr>
                <w:noProof/>
                <w:webHidden/>
              </w:rPr>
              <w:tab/>
            </w:r>
            <w:r>
              <w:rPr>
                <w:noProof/>
                <w:webHidden/>
              </w:rPr>
              <w:fldChar w:fldCharType="begin"/>
            </w:r>
            <w:r>
              <w:rPr>
                <w:noProof/>
                <w:webHidden/>
              </w:rPr>
              <w:instrText xml:space="preserve"> PAGEREF _Toc383006444 \h </w:instrText>
            </w:r>
            <w:r>
              <w:rPr>
                <w:noProof/>
                <w:webHidden/>
              </w:rPr>
            </w:r>
            <w:r>
              <w:rPr>
                <w:noProof/>
                <w:webHidden/>
              </w:rPr>
              <w:fldChar w:fldCharType="separate"/>
            </w:r>
            <w:r>
              <w:rPr>
                <w:noProof/>
                <w:webHidden/>
              </w:rPr>
              <w:t>34</w:t>
            </w:r>
            <w:r>
              <w:rPr>
                <w:noProof/>
                <w:webHidden/>
              </w:rPr>
              <w:fldChar w:fldCharType="end"/>
            </w:r>
          </w:hyperlink>
        </w:p>
        <w:p w:rsidR="00E85A6F" w:rsidRDefault="00E85A6F">
          <w:pPr>
            <w:pStyle w:val="TOC2"/>
            <w:tabs>
              <w:tab w:val="left" w:pos="1320"/>
            </w:tabs>
            <w:rPr>
              <w:rFonts w:asciiTheme="minorHAnsi" w:eastAsiaTheme="minorEastAsia" w:hAnsiTheme="minorHAnsi" w:cstheme="minorBidi"/>
              <w:b w:val="0"/>
              <w:noProof/>
              <w:sz w:val="22"/>
              <w:lang w:eastAsia="en-AU"/>
            </w:rPr>
          </w:pPr>
          <w:hyperlink w:anchor="_Toc383006445" w:history="1">
            <w:r w:rsidRPr="002C76AA">
              <w:rPr>
                <w:rStyle w:val="Hyperlink"/>
                <w:noProof/>
              </w:rPr>
              <w:t>11.</w:t>
            </w:r>
            <w:r>
              <w:rPr>
                <w:rFonts w:asciiTheme="minorHAnsi" w:eastAsiaTheme="minorEastAsia" w:hAnsiTheme="minorHAnsi" w:cstheme="minorBidi"/>
                <w:b w:val="0"/>
                <w:noProof/>
                <w:sz w:val="22"/>
                <w:lang w:eastAsia="en-AU"/>
              </w:rPr>
              <w:tab/>
            </w:r>
            <w:r w:rsidRPr="002C76AA">
              <w:rPr>
                <w:rStyle w:val="Hyperlink"/>
                <w:noProof/>
              </w:rPr>
              <w:t>Second round evaluation of clinical data submitted in response to questions</w:t>
            </w:r>
            <w:r>
              <w:rPr>
                <w:noProof/>
                <w:webHidden/>
              </w:rPr>
              <w:tab/>
            </w:r>
            <w:r>
              <w:rPr>
                <w:noProof/>
                <w:webHidden/>
              </w:rPr>
              <w:fldChar w:fldCharType="begin"/>
            </w:r>
            <w:r>
              <w:rPr>
                <w:noProof/>
                <w:webHidden/>
              </w:rPr>
              <w:instrText xml:space="preserve"> PAGEREF _Toc383006445 \h </w:instrText>
            </w:r>
            <w:r>
              <w:rPr>
                <w:noProof/>
                <w:webHidden/>
              </w:rPr>
            </w:r>
            <w:r>
              <w:rPr>
                <w:noProof/>
                <w:webHidden/>
              </w:rPr>
              <w:fldChar w:fldCharType="separate"/>
            </w:r>
            <w:r>
              <w:rPr>
                <w:noProof/>
                <w:webHidden/>
              </w:rPr>
              <w:t>35</w:t>
            </w:r>
            <w:r>
              <w:rPr>
                <w:noProof/>
                <w:webHidden/>
              </w:rPr>
              <w:fldChar w:fldCharType="end"/>
            </w:r>
          </w:hyperlink>
        </w:p>
        <w:p w:rsidR="00E85A6F" w:rsidRDefault="00E85A6F">
          <w:pPr>
            <w:pStyle w:val="TOC3"/>
            <w:tabs>
              <w:tab w:val="left" w:pos="1760"/>
            </w:tabs>
            <w:rPr>
              <w:rFonts w:asciiTheme="minorHAnsi" w:eastAsiaTheme="minorEastAsia" w:hAnsiTheme="minorHAnsi" w:cstheme="minorBidi"/>
              <w:noProof/>
              <w:lang w:eastAsia="en-AU"/>
            </w:rPr>
          </w:pPr>
          <w:hyperlink w:anchor="_Toc383006446" w:history="1">
            <w:r w:rsidRPr="002C76AA">
              <w:rPr>
                <w:rStyle w:val="Hyperlink"/>
                <w:noProof/>
              </w:rPr>
              <w:t>11.1.</w:t>
            </w:r>
            <w:r>
              <w:rPr>
                <w:rFonts w:asciiTheme="minorHAnsi" w:eastAsiaTheme="minorEastAsia" w:hAnsiTheme="minorHAnsi" w:cstheme="minorBidi"/>
                <w:noProof/>
                <w:lang w:eastAsia="en-AU"/>
              </w:rPr>
              <w:tab/>
            </w:r>
            <w:r w:rsidRPr="002C76AA">
              <w:rPr>
                <w:rStyle w:val="Hyperlink"/>
                <w:noProof/>
              </w:rPr>
              <w:t>Updated analysis of overall survival</w:t>
            </w:r>
            <w:r>
              <w:rPr>
                <w:noProof/>
                <w:webHidden/>
              </w:rPr>
              <w:tab/>
            </w:r>
            <w:r>
              <w:rPr>
                <w:noProof/>
                <w:webHidden/>
              </w:rPr>
              <w:fldChar w:fldCharType="begin"/>
            </w:r>
            <w:r>
              <w:rPr>
                <w:noProof/>
                <w:webHidden/>
              </w:rPr>
              <w:instrText xml:space="preserve"> PAGEREF _Toc383006446 \h </w:instrText>
            </w:r>
            <w:r>
              <w:rPr>
                <w:noProof/>
                <w:webHidden/>
              </w:rPr>
            </w:r>
            <w:r>
              <w:rPr>
                <w:noProof/>
                <w:webHidden/>
              </w:rPr>
              <w:fldChar w:fldCharType="separate"/>
            </w:r>
            <w:r>
              <w:rPr>
                <w:noProof/>
                <w:webHidden/>
              </w:rPr>
              <w:t>35</w:t>
            </w:r>
            <w:r>
              <w:rPr>
                <w:noProof/>
                <w:webHidden/>
              </w:rPr>
              <w:fldChar w:fldCharType="end"/>
            </w:r>
          </w:hyperlink>
        </w:p>
        <w:p w:rsidR="00E85A6F" w:rsidRDefault="00E85A6F">
          <w:pPr>
            <w:pStyle w:val="TOC3"/>
            <w:tabs>
              <w:tab w:val="left" w:pos="1760"/>
            </w:tabs>
            <w:rPr>
              <w:rFonts w:asciiTheme="minorHAnsi" w:eastAsiaTheme="minorEastAsia" w:hAnsiTheme="minorHAnsi" w:cstheme="minorBidi"/>
              <w:noProof/>
              <w:lang w:eastAsia="en-AU"/>
            </w:rPr>
          </w:pPr>
          <w:hyperlink w:anchor="_Toc383006447" w:history="1">
            <w:r w:rsidRPr="002C76AA">
              <w:rPr>
                <w:rStyle w:val="Hyperlink"/>
                <w:noProof/>
              </w:rPr>
              <w:t>11.2.</w:t>
            </w:r>
            <w:r>
              <w:rPr>
                <w:rFonts w:asciiTheme="minorHAnsi" w:eastAsiaTheme="minorEastAsia" w:hAnsiTheme="minorHAnsi" w:cstheme="minorBidi"/>
                <w:noProof/>
                <w:lang w:eastAsia="en-AU"/>
              </w:rPr>
              <w:tab/>
            </w:r>
            <w:r w:rsidRPr="002C76AA">
              <w:rPr>
                <w:rStyle w:val="Hyperlink"/>
                <w:noProof/>
              </w:rPr>
              <w:t>Formulation used in Study 302</w:t>
            </w:r>
            <w:r>
              <w:rPr>
                <w:noProof/>
                <w:webHidden/>
              </w:rPr>
              <w:tab/>
            </w:r>
            <w:r>
              <w:rPr>
                <w:noProof/>
                <w:webHidden/>
              </w:rPr>
              <w:fldChar w:fldCharType="begin"/>
            </w:r>
            <w:r>
              <w:rPr>
                <w:noProof/>
                <w:webHidden/>
              </w:rPr>
              <w:instrText xml:space="preserve"> PAGEREF _Toc383006447 \h </w:instrText>
            </w:r>
            <w:r>
              <w:rPr>
                <w:noProof/>
                <w:webHidden/>
              </w:rPr>
            </w:r>
            <w:r>
              <w:rPr>
                <w:noProof/>
                <w:webHidden/>
              </w:rPr>
              <w:fldChar w:fldCharType="separate"/>
            </w:r>
            <w:r>
              <w:rPr>
                <w:noProof/>
                <w:webHidden/>
              </w:rPr>
              <w:t>36</w:t>
            </w:r>
            <w:r>
              <w:rPr>
                <w:noProof/>
                <w:webHidden/>
              </w:rPr>
              <w:fldChar w:fldCharType="end"/>
            </w:r>
          </w:hyperlink>
        </w:p>
        <w:p w:rsidR="00E85A6F" w:rsidRDefault="00E85A6F">
          <w:pPr>
            <w:pStyle w:val="TOC3"/>
            <w:tabs>
              <w:tab w:val="left" w:pos="1760"/>
            </w:tabs>
            <w:rPr>
              <w:rFonts w:asciiTheme="minorHAnsi" w:eastAsiaTheme="minorEastAsia" w:hAnsiTheme="minorHAnsi" w:cstheme="minorBidi"/>
              <w:noProof/>
              <w:lang w:eastAsia="en-AU"/>
            </w:rPr>
          </w:pPr>
          <w:hyperlink w:anchor="_Toc383006448" w:history="1">
            <w:r w:rsidRPr="002C76AA">
              <w:rPr>
                <w:rStyle w:val="Hyperlink"/>
                <w:noProof/>
              </w:rPr>
              <w:t>11.3.</w:t>
            </w:r>
            <w:r>
              <w:rPr>
                <w:rFonts w:asciiTheme="minorHAnsi" w:eastAsiaTheme="minorEastAsia" w:hAnsiTheme="minorHAnsi" w:cstheme="minorBidi"/>
                <w:noProof/>
                <w:lang w:eastAsia="en-AU"/>
              </w:rPr>
              <w:tab/>
            </w:r>
            <w:r w:rsidRPr="002C76AA">
              <w:rPr>
                <w:rStyle w:val="Hyperlink"/>
                <w:noProof/>
              </w:rPr>
              <w:t>Coagulation parameters</w:t>
            </w:r>
            <w:r>
              <w:rPr>
                <w:noProof/>
                <w:webHidden/>
              </w:rPr>
              <w:tab/>
            </w:r>
            <w:r>
              <w:rPr>
                <w:noProof/>
                <w:webHidden/>
              </w:rPr>
              <w:fldChar w:fldCharType="begin"/>
            </w:r>
            <w:r>
              <w:rPr>
                <w:noProof/>
                <w:webHidden/>
              </w:rPr>
              <w:instrText xml:space="preserve"> PAGEREF _Toc383006448 \h </w:instrText>
            </w:r>
            <w:r>
              <w:rPr>
                <w:noProof/>
                <w:webHidden/>
              </w:rPr>
            </w:r>
            <w:r>
              <w:rPr>
                <w:noProof/>
                <w:webHidden/>
              </w:rPr>
              <w:fldChar w:fldCharType="separate"/>
            </w:r>
            <w:r>
              <w:rPr>
                <w:noProof/>
                <w:webHidden/>
              </w:rPr>
              <w:t>37</w:t>
            </w:r>
            <w:r>
              <w:rPr>
                <w:noProof/>
                <w:webHidden/>
              </w:rPr>
              <w:fldChar w:fldCharType="end"/>
            </w:r>
          </w:hyperlink>
        </w:p>
        <w:p w:rsidR="00E85A6F" w:rsidRDefault="00E85A6F">
          <w:pPr>
            <w:pStyle w:val="TOC2"/>
            <w:tabs>
              <w:tab w:val="left" w:pos="1320"/>
            </w:tabs>
            <w:rPr>
              <w:rFonts w:asciiTheme="minorHAnsi" w:eastAsiaTheme="minorEastAsia" w:hAnsiTheme="minorHAnsi" w:cstheme="minorBidi"/>
              <w:b w:val="0"/>
              <w:noProof/>
              <w:sz w:val="22"/>
              <w:lang w:eastAsia="en-AU"/>
            </w:rPr>
          </w:pPr>
          <w:hyperlink w:anchor="_Toc383006449" w:history="1">
            <w:r w:rsidRPr="002C76AA">
              <w:rPr>
                <w:rStyle w:val="Hyperlink"/>
                <w:noProof/>
              </w:rPr>
              <w:t>12.</w:t>
            </w:r>
            <w:r>
              <w:rPr>
                <w:rFonts w:asciiTheme="minorHAnsi" w:eastAsiaTheme="minorEastAsia" w:hAnsiTheme="minorHAnsi" w:cstheme="minorBidi"/>
                <w:b w:val="0"/>
                <w:noProof/>
                <w:sz w:val="22"/>
                <w:lang w:eastAsia="en-AU"/>
              </w:rPr>
              <w:tab/>
            </w:r>
            <w:r w:rsidRPr="002C76AA">
              <w:rPr>
                <w:rStyle w:val="Hyperlink"/>
                <w:noProof/>
              </w:rPr>
              <w:t>Second round benefit-risk assessment</w:t>
            </w:r>
            <w:r>
              <w:rPr>
                <w:noProof/>
                <w:webHidden/>
              </w:rPr>
              <w:tab/>
            </w:r>
            <w:r>
              <w:rPr>
                <w:noProof/>
                <w:webHidden/>
              </w:rPr>
              <w:fldChar w:fldCharType="begin"/>
            </w:r>
            <w:r>
              <w:rPr>
                <w:noProof/>
                <w:webHidden/>
              </w:rPr>
              <w:instrText xml:space="preserve"> PAGEREF _Toc383006449 \h </w:instrText>
            </w:r>
            <w:r>
              <w:rPr>
                <w:noProof/>
                <w:webHidden/>
              </w:rPr>
            </w:r>
            <w:r>
              <w:rPr>
                <w:noProof/>
                <w:webHidden/>
              </w:rPr>
              <w:fldChar w:fldCharType="separate"/>
            </w:r>
            <w:r>
              <w:rPr>
                <w:noProof/>
                <w:webHidden/>
              </w:rPr>
              <w:t>37</w:t>
            </w:r>
            <w:r>
              <w:rPr>
                <w:noProof/>
                <w:webHidden/>
              </w:rPr>
              <w:fldChar w:fldCharType="end"/>
            </w:r>
          </w:hyperlink>
        </w:p>
        <w:p w:rsidR="00E85A6F" w:rsidRDefault="00E85A6F">
          <w:pPr>
            <w:pStyle w:val="TOC2"/>
            <w:tabs>
              <w:tab w:val="left" w:pos="1320"/>
            </w:tabs>
            <w:rPr>
              <w:rFonts w:asciiTheme="minorHAnsi" w:eastAsiaTheme="minorEastAsia" w:hAnsiTheme="minorHAnsi" w:cstheme="minorBidi"/>
              <w:b w:val="0"/>
              <w:noProof/>
              <w:sz w:val="22"/>
              <w:lang w:eastAsia="en-AU"/>
            </w:rPr>
          </w:pPr>
          <w:hyperlink w:anchor="_Toc383006450" w:history="1">
            <w:r w:rsidRPr="002C76AA">
              <w:rPr>
                <w:rStyle w:val="Hyperlink"/>
                <w:noProof/>
              </w:rPr>
              <w:t>13.</w:t>
            </w:r>
            <w:r>
              <w:rPr>
                <w:rFonts w:asciiTheme="minorHAnsi" w:eastAsiaTheme="minorEastAsia" w:hAnsiTheme="minorHAnsi" w:cstheme="minorBidi"/>
                <w:b w:val="0"/>
                <w:noProof/>
                <w:sz w:val="22"/>
                <w:lang w:eastAsia="en-AU"/>
              </w:rPr>
              <w:tab/>
            </w:r>
            <w:r w:rsidRPr="002C76AA">
              <w:rPr>
                <w:rStyle w:val="Hyperlink"/>
                <w:noProof/>
              </w:rPr>
              <w:t>Second round recommendation regarding authorisation</w:t>
            </w:r>
            <w:r>
              <w:rPr>
                <w:noProof/>
                <w:webHidden/>
              </w:rPr>
              <w:tab/>
            </w:r>
            <w:r>
              <w:rPr>
                <w:noProof/>
                <w:webHidden/>
              </w:rPr>
              <w:fldChar w:fldCharType="begin"/>
            </w:r>
            <w:r>
              <w:rPr>
                <w:noProof/>
                <w:webHidden/>
              </w:rPr>
              <w:instrText xml:space="preserve"> PAGEREF _Toc383006450 \h </w:instrText>
            </w:r>
            <w:r>
              <w:rPr>
                <w:noProof/>
                <w:webHidden/>
              </w:rPr>
            </w:r>
            <w:r>
              <w:rPr>
                <w:noProof/>
                <w:webHidden/>
              </w:rPr>
              <w:fldChar w:fldCharType="separate"/>
            </w:r>
            <w:r>
              <w:rPr>
                <w:noProof/>
                <w:webHidden/>
              </w:rPr>
              <w:t>37</w:t>
            </w:r>
            <w:r>
              <w:rPr>
                <w:noProof/>
                <w:webHidden/>
              </w:rPr>
              <w:fldChar w:fldCharType="end"/>
            </w:r>
          </w:hyperlink>
        </w:p>
        <w:p w:rsidR="003A7F6C" w:rsidRPr="00B811C6" w:rsidRDefault="007F6643" w:rsidP="00054068">
          <w:pPr>
            <w:pStyle w:val="TOC2"/>
          </w:pPr>
          <w:r>
            <w:fldChar w:fldCharType="end"/>
          </w:r>
        </w:p>
      </w:sdtContent>
    </w:sdt>
    <w:bookmarkStart w:id="3" w:name="_Toc314842482" w:displacedByCustomXml="prev"/>
    <w:p w:rsidR="00AD66CB" w:rsidRDefault="00AD66CB" w:rsidP="00054068">
      <w:pPr>
        <w:rPr>
          <w:rFonts w:ascii="Arial" w:eastAsia="Times New Roman" w:hAnsi="Arial"/>
          <w:sz w:val="32"/>
          <w:szCs w:val="26"/>
        </w:rPr>
      </w:pPr>
      <w:bookmarkStart w:id="4" w:name="_Toc351716269"/>
      <w:bookmarkStart w:id="5" w:name="_Toc351718881"/>
      <w:bookmarkStart w:id="6" w:name="_Toc355338616"/>
      <w:r>
        <w:br w:type="page"/>
      </w:r>
    </w:p>
    <w:p w:rsidR="00586F98" w:rsidRDefault="00586F98" w:rsidP="00C17674">
      <w:pPr>
        <w:pStyle w:val="Heading2"/>
        <w:numPr>
          <w:ilvl w:val="0"/>
          <w:numId w:val="0"/>
        </w:numPr>
        <w:ind w:left="567" w:hanging="567"/>
      </w:pPr>
      <w:bookmarkStart w:id="7" w:name="_Toc383006414"/>
      <w:r>
        <w:lastRenderedPageBreak/>
        <w:t>List of abbreviations</w:t>
      </w:r>
      <w:bookmarkEnd w:id="4"/>
      <w:bookmarkEnd w:id="5"/>
      <w:bookmarkEnd w:id="6"/>
      <w:bookmarkEnd w:id="7"/>
    </w:p>
    <w:tbl>
      <w:tblPr>
        <w:tblStyle w:val="TableTGAblue"/>
        <w:tblW w:w="0" w:type="auto"/>
        <w:tblLook w:val="04A0" w:firstRow="1" w:lastRow="0" w:firstColumn="1" w:lastColumn="0" w:noHBand="0" w:noVBand="1"/>
      </w:tblPr>
      <w:tblGrid>
        <w:gridCol w:w="1890"/>
        <w:gridCol w:w="6911"/>
      </w:tblGrid>
      <w:tr w:rsidR="009A7800" w:rsidRPr="00850C34" w:rsidTr="00B3648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90" w:type="dxa"/>
          </w:tcPr>
          <w:p w:rsidR="009A7800" w:rsidRPr="00850C34" w:rsidRDefault="009A7800" w:rsidP="00B3648D">
            <w:r>
              <w:t>Abbreviation</w:t>
            </w:r>
          </w:p>
        </w:tc>
        <w:tc>
          <w:tcPr>
            <w:tcW w:w="6911" w:type="dxa"/>
          </w:tcPr>
          <w:p w:rsidR="009A7800" w:rsidRPr="00850C34" w:rsidRDefault="009A7800" w:rsidP="00B3648D">
            <w:pPr>
              <w:cnfStyle w:val="100000000000" w:firstRow="1" w:lastRow="0" w:firstColumn="0" w:lastColumn="0" w:oddVBand="0" w:evenVBand="0" w:oddHBand="0" w:evenHBand="0" w:firstRowFirstColumn="0" w:firstRowLastColumn="0" w:lastRowFirstColumn="0" w:lastRowLastColumn="0"/>
            </w:pPr>
            <w:r>
              <w:t>Meaning</w:t>
            </w:r>
          </w:p>
        </w:tc>
      </w:tr>
      <w:tr w:rsidR="009A7800" w:rsidRPr="00850C34" w:rsidTr="009A7800">
        <w:tc>
          <w:tcPr>
            <w:cnfStyle w:val="001000000000" w:firstRow="0" w:lastRow="0" w:firstColumn="1" w:lastColumn="0" w:oddVBand="0" w:evenVBand="0" w:oddHBand="0" w:evenHBand="0" w:firstRowFirstColumn="0" w:firstRowLastColumn="0" w:lastRowFirstColumn="0" w:lastRowLastColumn="0"/>
            <w:tcW w:w="1890" w:type="dxa"/>
          </w:tcPr>
          <w:p w:rsidR="009A7800" w:rsidRPr="00850C34" w:rsidRDefault="009A7800" w:rsidP="007611EA">
            <w:pPr>
              <w:pStyle w:val="Abbreviations"/>
              <w:spacing w:line="360" w:lineRule="auto"/>
            </w:pPr>
            <w:r w:rsidRPr="00850C34">
              <w:t>ADT</w:t>
            </w:r>
          </w:p>
        </w:tc>
        <w:tc>
          <w:tcPr>
            <w:tcW w:w="6911" w:type="dxa"/>
          </w:tcPr>
          <w:p w:rsidR="009A7800" w:rsidRPr="00850C34" w:rsidRDefault="009A7800" w:rsidP="007611EA">
            <w:pPr>
              <w:pStyle w:val="Abbreviations"/>
              <w:spacing w:line="360" w:lineRule="auto"/>
              <w:cnfStyle w:val="000000000000" w:firstRow="0" w:lastRow="0" w:firstColumn="0" w:lastColumn="0" w:oddVBand="0" w:evenVBand="0" w:oddHBand="0" w:evenHBand="0" w:firstRowFirstColumn="0" w:firstRowLastColumn="0" w:lastRowFirstColumn="0" w:lastRowLastColumn="0"/>
            </w:pPr>
            <w:r w:rsidRPr="00850C34">
              <w:t>Androgen Deprivation Therapy</w:t>
            </w:r>
          </w:p>
        </w:tc>
      </w:tr>
      <w:tr w:rsidR="009A7800" w:rsidRPr="00850C34" w:rsidTr="009A7800">
        <w:tc>
          <w:tcPr>
            <w:cnfStyle w:val="001000000000" w:firstRow="0" w:lastRow="0" w:firstColumn="1" w:lastColumn="0" w:oddVBand="0" w:evenVBand="0" w:oddHBand="0" w:evenHBand="0" w:firstRowFirstColumn="0" w:firstRowLastColumn="0" w:lastRowFirstColumn="0" w:lastRowLastColumn="0"/>
            <w:tcW w:w="1890" w:type="dxa"/>
          </w:tcPr>
          <w:p w:rsidR="009A7800" w:rsidRPr="00850C34" w:rsidRDefault="009A7800" w:rsidP="007611EA">
            <w:pPr>
              <w:pStyle w:val="Abbreviations"/>
              <w:spacing w:line="360" w:lineRule="auto"/>
            </w:pPr>
            <w:r w:rsidRPr="00850C34">
              <w:t>AE</w:t>
            </w:r>
          </w:p>
        </w:tc>
        <w:tc>
          <w:tcPr>
            <w:tcW w:w="6911" w:type="dxa"/>
          </w:tcPr>
          <w:p w:rsidR="009A7800" w:rsidRPr="00850C34" w:rsidRDefault="009A7800" w:rsidP="007611EA">
            <w:pPr>
              <w:pStyle w:val="Abbreviations"/>
              <w:spacing w:line="360" w:lineRule="auto"/>
              <w:cnfStyle w:val="000000000000" w:firstRow="0" w:lastRow="0" w:firstColumn="0" w:lastColumn="0" w:oddVBand="0" w:evenVBand="0" w:oddHBand="0" w:evenHBand="0" w:firstRowFirstColumn="0" w:firstRowLastColumn="0" w:lastRowFirstColumn="0" w:lastRowLastColumn="0"/>
            </w:pPr>
            <w:r w:rsidRPr="00850C34">
              <w:t>Adverse Event</w:t>
            </w:r>
          </w:p>
        </w:tc>
      </w:tr>
      <w:tr w:rsidR="009A7800" w:rsidRPr="00850C34" w:rsidTr="009A7800">
        <w:tc>
          <w:tcPr>
            <w:cnfStyle w:val="001000000000" w:firstRow="0" w:lastRow="0" w:firstColumn="1" w:lastColumn="0" w:oddVBand="0" w:evenVBand="0" w:oddHBand="0" w:evenHBand="0" w:firstRowFirstColumn="0" w:firstRowLastColumn="0" w:lastRowFirstColumn="0" w:lastRowLastColumn="0"/>
            <w:tcW w:w="1890" w:type="dxa"/>
          </w:tcPr>
          <w:p w:rsidR="009A7800" w:rsidRPr="00850C34" w:rsidRDefault="009A7800" w:rsidP="007611EA">
            <w:pPr>
              <w:pStyle w:val="Abbreviations"/>
              <w:spacing w:line="360" w:lineRule="auto"/>
            </w:pPr>
            <w:r w:rsidRPr="00850C34">
              <w:t>ALT</w:t>
            </w:r>
          </w:p>
        </w:tc>
        <w:tc>
          <w:tcPr>
            <w:tcW w:w="6911" w:type="dxa"/>
          </w:tcPr>
          <w:p w:rsidR="009A7800" w:rsidRPr="00850C34" w:rsidRDefault="009A7800" w:rsidP="007611EA">
            <w:pPr>
              <w:pStyle w:val="Abbreviations"/>
              <w:spacing w:line="360" w:lineRule="auto"/>
              <w:cnfStyle w:val="000000000000" w:firstRow="0" w:lastRow="0" w:firstColumn="0" w:lastColumn="0" w:oddVBand="0" w:evenVBand="0" w:oddHBand="0" w:evenHBand="0" w:firstRowFirstColumn="0" w:firstRowLastColumn="0" w:lastRowFirstColumn="0" w:lastRowLastColumn="0"/>
            </w:pPr>
            <w:r w:rsidRPr="00850C34">
              <w:t>Alanine Transaminase</w:t>
            </w:r>
          </w:p>
        </w:tc>
      </w:tr>
      <w:tr w:rsidR="009A7800" w:rsidRPr="00850C34" w:rsidTr="009A7800">
        <w:tc>
          <w:tcPr>
            <w:cnfStyle w:val="001000000000" w:firstRow="0" w:lastRow="0" w:firstColumn="1" w:lastColumn="0" w:oddVBand="0" w:evenVBand="0" w:oddHBand="0" w:evenHBand="0" w:firstRowFirstColumn="0" w:firstRowLastColumn="0" w:lastRowFirstColumn="0" w:lastRowLastColumn="0"/>
            <w:tcW w:w="1890" w:type="dxa"/>
          </w:tcPr>
          <w:p w:rsidR="009A7800" w:rsidRPr="00850C34" w:rsidRDefault="009A7800" w:rsidP="007611EA">
            <w:pPr>
              <w:pStyle w:val="Abbreviations"/>
              <w:spacing w:line="360" w:lineRule="auto"/>
            </w:pPr>
            <w:r w:rsidRPr="00850C34">
              <w:t>AST</w:t>
            </w:r>
          </w:p>
        </w:tc>
        <w:tc>
          <w:tcPr>
            <w:tcW w:w="6911" w:type="dxa"/>
          </w:tcPr>
          <w:p w:rsidR="009A7800" w:rsidRPr="00850C34" w:rsidRDefault="009A7800" w:rsidP="007611EA">
            <w:pPr>
              <w:pStyle w:val="Abbreviations"/>
              <w:spacing w:line="360" w:lineRule="auto"/>
              <w:cnfStyle w:val="000000000000" w:firstRow="0" w:lastRow="0" w:firstColumn="0" w:lastColumn="0" w:oddVBand="0" w:evenVBand="0" w:oddHBand="0" w:evenHBand="0" w:firstRowFirstColumn="0" w:firstRowLastColumn="0" w:lastRowFirstColumn="0" w:lastRowLastColumn="0"/>
            </w:pPr>
            <w:r w:rsidRPr="00850C34">
              <w:t>Aspartate Transaminase</w:t>
            </w:r>
          </w:p>
        </w:tc>
      </w:tr>
      <w:tr w:rsidR="009A7800" w:rsidRPr="00850C34" w:rsidTr="009A7800">
        <w:tc>
          <w:tcPr>
            <w:cnfStyle w:val="001000000000" w:firstRow="0" w:lastRow="0" w:firstColumn="1" w:lastColumn="0" w:oddVBand="0" w:evenVBand="0" w:oddHBand="0" w:evenHBand="0" w:firstRowFirstColumn="0" w:firstRowLastColumn="0" w:lastRowFirstColumn="0" w:lastRowLastColumn="0"/>
            <w:tcW w:w="1890" w:type="dxa"/>
          </w:tcPr>
          <w:p w:rsidR="009A7800" w:rsidRPr="00850C34" w:rsidRDefault="009A7800" w:rsidP="007611EA">
            <w:pPr>
              <w:pStyle w:val="Abbreviations"/>
              <w:spacing w:line="360" w:lineRule="auto"/>
            </w:pPr>
            <w:r w:rsidRPr="00850C34">
              <w:t>CIOMS</w:t>
            </w:r>
          </w:p>
        </w:tc>
        <w:tc>
          <w:tcPr>
            <w:tcW w:w="6911" w:type="dxa"/>
          </w:tcPr>
          <w:p w:rsidR="009A7800" w:rsidRPr="00850C34" w:rsidRDefault="009A7800" w:rsidP="007611EA">
            <w:pPr>
              <w:pStyle w:val="Abbreviations"/>
              <w:spacing w:line="360" w:lineRule="auto"/>
              <w:cnfStyle w:val="000000000000" w:firstRow="0" w:lastRow="0" w:firstColumn="0" w:lastColumn="0" w:oddVBand="0" w:evenVBand="0" w:oddHBand="0" w:evenHBand="0" w:firstRowFirstColumn="0" w:firstRowLastColumn="0" w:lastRowFirstColumn="0" w:lastRowLastColumn="0"/>
            </w:pPr>
            <w:r w:rsidRPr="00850C34">
              <w:t>Council for International Organisations of Medical Sciences</w:t>
            </w:r>
          </w:p>
        </w:tc>
      </w:tr>
      <w:tr w:rsidR="009A7800" w:rsidRPr="00850C34" w:rsidTr="009A7800">
        <w:tc>
          <w:tcPr>
            <w:cnfStyle w:val="001000000000" w:firstRow="0" w:lastRow="0" w:firstColumn="1" w:lastColumn="0" w:oddVBand="0" w:evenVBand="0" w:oddHBand="0" w:evenHBand="0" w:firstRowFirstColumn="0" w:firstRowLastColumn="0" w:lastRowFirstColumn="0" w:lastRowLastColumn="0"/>
            <w:tcW w:w="1890" w:type="dxa"/>
          </w:tcPr>
          <w:p w:rsidR="009A7800" w:rsidRPr="00850C34" w:rsidRDefault="009A7800" w:rsidP="007611EA">
            <w:pPr>
              <w:pStyle w:val="Abbreviations"/>
              <w:spacing w:line="360" w:lineRule="auto"/>
            </w:pPr>
            <w:r w:rsidRPr="00850C34">
              <w:t>CL</w:t>
            </w:r>
          </w:p>
        </w:tc>
        <w:tc>
          <w:tcPr>
            <w:tcW w:w="6911" w:type="dxa"/>
          </w:tcPr>
          <w:p w:rsidR="009A7800" w:rsidRPr="00850C34" w:rsidRDefault="009A7800" w:rsidP="007611EA">
            <w:pPr>
              <w:pStyle w:val="Abbreviations"/>
              <w:spacing w:line="360" w:lineRule="auto"/>
              <w:cnfStyle w:val="000000000000" w:firstRow="0" w:lastRow="0" w:firstColumn="0" w:lastColumn="0" w:oddVBand="0" w:evenVBand="0" w:oddHBand="0" w:evenHBand="0" w:firstRowFirstColumn="0" w:firstRowLastColumn="0" w:lastRowFirstColumn="0" w:lastRowLastColumn="0"/>
            </w:pPr>
            <w:r w:rsidRPr="00850C34">
              <w:t>Clearance</w:t>
            </w:r>
          </w:p>
        </w:tc>
      </w:tr>
      <w:tr w:rsidR="009A7800" w:rsidRPr="00850C34" w:rsidTr="009A7800">
        <w:tc>
          <w:tcPr>
            <w:cnfStyle w:val="001000000000" w:firstRow="0" w:lastRow="0" w:firstColumn="1" w:lastColumn="0" w:oddVBand="0" w:evenVBand="0" w:oddHBand="0" w:evenHBand="0" w:firstRowFirstColumn="0" w:firstRowLastColumn="0" w:lastRowFirstColumn="0" w:lastRowLastColumn="0"/>
            <w:tcW w:w="1890" w:type="dxa"/>
          </w:tcPr>
          <w:p w:rsidR="009A7800" w:rsidRPr="00850C34" w:rsidRDefault="009A7800" w:rsidP="007611EA">
            <w:pPr>
              <w:pStyle w:val="Abbreviations"/>
              <w:spacing w:line="360" w:lineRule="auto"/>
            </w:pPr>
            <w:r w:rsidRPr="00850C34">
              <w:t>ECG</w:t>
            </w:r>
          </w:p>
        </w:tc>
        <w:tc>
          <w:tcPr>
            <w:tcW w:w="6911" w:type="dxa"/>
          </w:tcPr>
          <w:p w:rsidR="009A7800" w:rsidRPr="00850C34" w:rsidRDefault="009A7800" w:rsidP="007611EA">
            <w:pPr>
              <w:pStyle w:val="Abbreviations"/>
              <w:spacing w:line="360" w:lineRule="auto"/>
              <w:cnfStyle w:val="000000000000" w:firstRow="0" w:lastRow="0" w:firstColumn="0" w:lastColumn="0" w:oddVBand="0" w:evenVBand="0" w:oddHBand="0" w:evenHBand="0" w:firstRowFirstColumn="0" w:firstRowLastColumn="0" w:lastRowFirstColumn="0" w:lastRowLastColumn="0"/>
            </w:pPr>
            <w:r w:rsidRPr="00850C34">
              <w:t>Electrocardiograph</w:t>
            </w:r>
          </w:p>
        </w:tc>
      </w:tr>
      <w:tr w:rsidR="009A7800" w:rsidRPr="00850C34" w:rsidTr="009A7800">
        <w:tc>
          <w:tcPr>
            <w:cnfStyle w:val="001000000000" w:firstRow="0" w:lastRow="0" w:firstColumn="1" w:lastColumn="0" w:oddVBand="0" w:evenVBand="0" w:oddHBand="0" w:evenHBand="0" w:firstRowFirstColumn="0" w:firstRowLastColumn="0" w:lastRowFirstColumn="0" w:lastRowLastColumn="0"/>
            <w:tcW w:w="1890" w:type="dxa"/>
          </w:tcPr>
          <w:p w:rsidR="009A7800" w:rsidRPr="00850C34" w:rsidRDefault="009A7800" w:rsidP="007611EA">
            <w:pPr>
              <w:pStyle w:val="Abbreviations"/>
              <w:spacing w:line="360" w:lineRule="auto"/>
            </w:pPr>
            <w:r w:rsidRPr="00850C34">
              <w:t>ECOG</w:t>
            </w:r>
          </w:p>
        </w:tc>
        <w:tc>
          <w:tcPr>
            <w:tcW w:w="6911" w:type="dxa"/>
          </w:tcPr>
          <w:p w:rsidR="009A7800" w:rsidRPr="00850C34" w:rsidRDefault="009A7800" w:rsidP="007611EA">
            <w:pPr>
              <w:pStyle w:val="Abbreviations"/>
              <w:spacing w:line="360" w:lineRule="auto"/>
              <w:cnfStyle w:val="000000000000" w:firstRow="0" w:lastRow="0" w:firstColumn="0" w:lastColumn="0" w:oddVBand="0" w:evenVBand="0" w:oddHBand="0" w:evenHBand="0" w:firstRowFirstColumn="0" w:firstRowLastColumn="0" w:lastRowFirstColumn="0" w:lastRowLastColumn="0"/>
            </w:pPr>
            <w:r w:rsidRPr="00850C34">
              <w:t>Eastern Cooperative Oncology Group</w:t>
            </w:r>
          </w:p>
        </w:tc>
      </w:tr>
      <w:tr w:rsidR="009A7800" w:rsidRPr="00850C34" w:rsidTr="009A7800">
        <w:tc>
          <w:tcPr>
            <w:cnfStyle w:val="001000000000" w:firstRow="0" w:lastRow="0" w:firstColumn="1" w:lastColumn="0" w:oddVBand="0" w:evenVBand="0" w:oddHBand="0" w:evenHBand="0" w:firstRowFirstColumn="0" w:firstRowLastColumn="0" w:lastRowFirstColumn="0" w:lastRowLastColumn="0"/>
            <w:tcW w:w="1890" w:type="dxa"/>
          </w:tcPr>
          <w:p w:rsidR="009A7800" w:rsidRPr="00850C34" w:rsidRDefault="009A7800" w:rsidP="007611EA">
            <w:pPr>
              <w:pStyle w:val="Abbreviations"/>
              <w:spacing w:line="360" w:lineRule="auto"/>
            </w:pPr>
            <w:r w:rsidRPr="00850C34">
              <w:t>EMA</w:t>
            </w:r>
          </w:p>
        </w:tc>
        <w:tc>
          <w:tcPr>
            <w:tcW w:w="6911" w:type="dxa"/>
          </w:tcPr>
          <w:p w:rsidR="009A7800" w:rsidRPr="00850C34" w:rsidRDefault="009A7800" w:rsidP="007611EA">
            <w:pPr>
              <w:pStyle w:val="Abbreviations"/>
              <w:spacing w:line="360" w:lineRule="auto"/>
              <w:cnfStyle w:val="000000000000" w:firstRow="0" w:lastRow="0" w:firstColumn="0" w:lastColumn="0" w:oddVBand="0" w:evenVBand="0" w:oddHBand="0" w:evenHBand="0" w:firstRowFirstColumn="0" w:firstRowLastColumn="0" w:lastRowFirstColumn="0" w:lastRowLastColumn="0"/>
            </w:pPr>
            <w:r w:rsidRPr="00850C34">
              <w:t>European Medicines Agency</w:t>
            </w:r>
          </w:p>
        </w:tc>
      </w:tr>
      <w:tr w:rsidR="009A7800" w:rsidRPr="00850C34" w:rsidTr="009A7800">
        <w:tc>
          <w:tcPr>
            <w:cnfStyle w:val="001000000000" w:firstRow="0" w:lastRow="0" w:firstColumn="1" w:lastColumn="0" w:oddVBand="0" w:evenVBand="0" w:oddHBand="0" w:evenHBand="0" w:firstRowFirstColumn="0" w:firstRowLastColumn="0" w:lastRowFirstColumn="0" w:lastRowLastColumn="0"/>
            <w:tcW w:w="1890" w:type="dxa"/>
          </w:tcPr>
          <w:p w:rsidR="009A7800" w:rsidRPr="00850C34" w:rsidRDefault="009A7800" w:rsidP="007611EA">
            <w:pPr>
              <w:pStyle w:val="Abbreviations"/>
              <w:spacing w:line="360" w:lineRule="auto"/>
            </w:pPr>
            <w:r w:rsidRPr="00850C34">
              <w:t xml:space="preserve">F </w:t>
            </w:r>
          </w:p>
        </w:tc>
        <w:tc>
          <w:tcPr>
            <w:tcW w:w="6911" w:type="dxa"/>
          </w:tcPr>
          <w:p w:rsidR="009A7800" w:rsidRPr="00850C34" w:rsidRDefault="009A7800" w:rsidP="007611EA">
            <w:pPr>
              <w:pStyle w:val="Abbreviations"/>
              <w:spacing w:line="360" w:lineRule="auto"/>
              <w:cnfStyle w:val="000000000000" w:firstRow="0" w:lastRow="0" w:firstColumn="0" w:lastColumn="0" w:oddVBand="0" w:evenVBand="0" w:oddHBand="0" w:evenHBand="0" w:firstRowFirstColumn="0" w:firstRowLastColumn="0" w:lastRowFirstColumn="0" w:lastRowLastColumn="0"/>
            </w:pPr>
            <w:r w:rsidRPr="00850C34">
              <w:t>Absolute bioavailability</w:t>
            </w:r>
          </w:p>
        </w:tc>
      </w:tr>
      <w:tr w:rsidR="009A7800" w:rsidRPr="00850C34" w:rsidTr="009A7800">
        <w:tc>
          <w:tcPr>
            <w:cnfStyle w:val="001000000000" w:firstRow="0" w:lastRow="0" w:firstColumn="1" w:lastColumn="0" w:oddVBand="0" w:evenVBand="0" w:oddHBand="0" w:evenHBand="0" w:firstRowFirstColumn="0" w:firstRowLastColumn="0" w:lastRowFirstColumn="0" w:lastRowLastColumn="0"/>
            <w:tcW w:w="1890" w:type="dxa"/>
          </w:tcPr>
          <w:p w:rsidR="009A7800" w:rsidRPr="00850C34" w:rsidRDefault="009A7800" w:rsidP="007611EA">
            <w:pPr>
              <w:pStyle w:val="Abbreviations"/>
              <w:spacing w:line="360" w:lineRule="auto"/>
            </w:pPr>
            <w:r w:rsidRPr="00850C34">
              <w:t>FDA</w:t>
            </w:r>
          </w:p>
        </w:tc>
        <w:tc>
          <w:tcPr>
            <w:tcW w:w="6911" w:type="dxa"/>
          </w:tcPr>
          <w:p w:rsidR="009A7800" w:rsidRPr="00850C34" w:rsidRDefault="009A7800" w:rsidP="007611EA">
            <w:pPr>
              <w:pStyle w:val="Abbreviations"/>
              <w:spacing w:line="360" w:lineRule="auto"/>
              <w:cnfStyle w:val="000000000000" w:firstRow="0" w:lastRow="0" w:firstColumn="0" w:lastColumn="0" w:oddVBand="0" w:evenVBand="0" w:oddHBand="0" w:evenHBand="0" w:firstRowFirstColumn="0" w:firstRowLastColumn="0" w:lastRowFirstColumn="0" w:lastRowLastColumn="0"/>
            </w:pPr>
            <w:r w:rsidRPr="00850C34">
              <w:t>Food and Drug Administration</w:t>
            </w:r>
          </w:p>
        </w:tc>
      </w:tr>
      <w:tr w:rsidR="009A7800" w:rsidRPr="00850C34" w:rsidTr="009A7800">
        <w:tc>
          <w:tcPr>
            <w:cnfStyle w:val="001000000000" w:firstRow="0" w:lastRow="0" w:firstColumn="1" w:lastColumn="0" w:oddVBand="0" w:evenVBand="0" w:oddHBand="0" w:evenHBand="0" w:firstRowFirstColumn="0" w:firstRowLastColumn="0" w:lastRowFirstColumn="0" w:lastRowLastColumn="0"/>
            <w:tcW w:w="1890" w:type="dxa"/>
          </w:tcPr>
          <w:p w:rsidR="009A7800" w:rsidRPr="00850C34" w:rsidRDefault="009A7800" w:rsidP="007611EA">
            <w:pPr>
              <w:pStyle w:val="Abbreviations"/>
              <w:spacing w:line="360" w:lineRule="auto"/>
            </w:pPr>
            <w:r w:rsidRPr="00850C34">
              <w:t>GnRH</w:t>
            </w:r>
          </w:p>
        </w:tc>
        <w:tc>
          <w:tcPr>
            <w:tcW w:w="6911" w:type="dxa"/>
          </w:tcPr>
          <w:p w:rsidR="009A7800" w:rsidRPr="00850C34" w:rsidRDefault="009A7800" w:rsidP="007611EA">
            <w:pPr>
              <w:pStyle w:val="Abbreviations"/>
              <w:spacing w:line="360" w:lineRule="auto"/>
              <w:cnfStyle w:val="000000000000" w:firstRow="0" w:lastRow="0" w:firstColumn="0" w:lastColumn="0" w:oddVBand="0" w:evenVBand="0" w:oddHBand="0" w:evenHBand="0" w:firstRowFirstColumn="0" w:firstRowLastColumn="0" w:lastRowFirstColumn="0" w:lastRowLastColumn="0"/>
            </w:pPr>
            <w:r w:rsidRPr="00850C34">
              <w:t>Gonadotrophin Releasing Hormone</w:t>
            </w:r>
          </w:p>
        </w:tc>
      </w:tr>
      <w:tr w:rsidR="009A7800" w:rsidRPr="00850C34" w:rsidTr="009A7800">
        <w:tc>
          <w:tcPr>
            <w:cnfStyle w:val="001000000000" w:firstRow="0" w:lastRow="0" w:firstColumn="1" w:lastColumn="0" w:oddVBand="0" w:evenVBand="0" w:oddHBand="0" w:evenHBand="0" w:firstRowFirstColumn="0" w:firstRowLastColumn="0" w:lastRowFirstColumn="0" w:lastRowLastColumn="0"/>
            <w:tcW w:w="1890" w:type="dxa"/>
          </w:tcPr>
          <w:p w:rsidR="009A7800" w:rsidRPr="00850C34" w:rsidRDefault="009A7800" w:rsidP="007611EA">
            <w:pPr>
              <w:pStyle w:val="Abbreviations"/>
              <w:spacing w:line="360" w:lineRule="auto"/>
            </w:pPr>
            <w:r w:rsidRPr="00850C34">
              <w:t>HR</w:t>
            </w:r>
          </w:p>
        </w:tc>
        <w:tc>
          <w:tcPr>
            <w:tcW w:w="6911" w:type="dxa"/>
          </w:tcPr>
          <w:p w:rsidR="009A7800" w:rsidRPr="00850C34" w:rsidRDefault="009A7800" w:rsidP="007611EA">
            <w:pPr>
              <w:pStyle w:val="Abbreviations"/>
              <w:spacing w:line="360" w:lineRule="auto"/>
              <w:cnfStyle w:val="000000000000" w:firstRow="0" w:lastRow="0" w:firstColumn="0" w:lastColumn="0" w:oddVBand="0" w:evenVBand="0" w:oddHBand="0" w:evenHBand="0" w:firstRowFirstColumn="0" w:firstRowLastColumn="0" w:lastRowFirstColumn="0" w:lastRowLastColumn="0"/>
            </w:pPr>
            <w:r w:rsidRPr="00850C34">
              <w:t>Hazard Ratio</w:t>
            </w:r>
          </w:p>
        </w:tc>
      </w:tr>
      <w:tr w:rsidR="009A7800" w:rsidRPr="00850C34" w:rsidTr="009A7800">
        <w:tc>
          <w:tcPr>
            <w:cnfStyle w:val="001000000000" w:firstRow="0" w:lastRow="0" w:firstColumn="1" w:lastColumn="0" w:oddVBand="0" w:evenVBand="0" w:oddHBand="0" w:evenHBand="0" w:firstRowFirstColumn="0" w:firstRowLastColumn="0" w:lastRowFirstColumn="0" w:lastRowLastColumn="0"/>
            <w:tcW w:w="1890" w:type="dxa"/>
          </w:tcPr>
          <w:p w:rsidR="009A7800" w:rsidRPr="00850C34" w:rsidRDefault="009A7800" w:rsidP="007611EA">
            <w:pPr>
              <w:pStyle w:val="Abbreviations"/>
              <w:spacing w:line="360" w:lineRule="auto"/>
            </w:pPr>
            <w:r w:rsidRPr="00850C34">
              <w:t>IDMC</w:t>
            </w:r>
          </w:p>
        </w:tc>
        <w:tc>
          <w:tcPr>
            <w:tcW w:w="6911" w:type="dxa"/>
          </w:tcPr>
          <w:p w:rsidR="009A7800" w:rsidRPr="00850C34" w:rsidRDefault="009A7800" w:rsidP="007611EA">
            <w:pPr>
              <w:pStyle w:val="Abbreviations"/>
              <w:spacing w:line="360" w:lineRule="auto"/>
              <w:cnfStyle w:val="000000000000" w:firstRow="0" w:lastRow="0" w:firstColumn="0" w:lastColumn="0" w:oddVBand="0" w:evenVBand="0" w:oddHBand="0" w:evenHBand="0" w:firstRowFirstColumn="0" w:firstRowLastColumn="0" w:lastRowFirstColumn="0" w:lastRowLastColumn="0"/>
            </w:pPr>
            <w:r w:rsidRPr="00850C34">
              <w:t>Independent Data Monitoring Committee</w:t>
            </w:r>
          </w:p>
        </w:tc>
      </w:tr>
      <w:tr w:rsidR="009A7800" w:rsidRPr="00850C34" w:rsidTr="009A7800">
        <w:tc>
          <w:tcPr>
            <w:cnfStyle w:val="001000000000" w:firstRow="0" w:lastRow="0" w:firstColumn="1" w:lastColumn="0" w:oddVBand="0" w:evenVBand="0" w:oddHBand="0" w:evenHBand="0" w:firstRowFirstColumn="0" w:firstRowLastColumn="0" w:lastRowFirstColumn="0" w:lastRowLastColumn="0"/>
            <w:tcW w:w="1890" w:type="dxa"/>
          </w:tcPr>
          <w:p w:rsidR="009A7800" w:rsidRPr="00850C34" w:rsidRDefault="009A7800" w:rsidP="007611EA">
            <w:pPr>
              <w:pStyle w:val="Abbreviations"/>
              <w:spacing w:line="360" w:lineRule="auto"/>
            </w:pPr>
            <w:r w:rsidRPr="00850C34">
              <w:t>ISS</w:t>
            </w:r>
          </w:p>
        </w:tc>
        <w:tc>
          <w:tcPr>
            <w:tcW w:w="6911" w:type="dxa"/>
          </w:tcPr>
          <w:p w:rsidR="009A7800" w:rsidRPr="00850C34" w:rsidRDefault="009A7800" w:rsidP="007611EA">
            <w:pPr>
              <w:pStyle w:val="Abbreviations"/>
              <w:spacing w:line="360" w:lineRule="auto"/>
              <w:cnfStyle w:val="000000000000" w:firstRow="0" w:lastRow="0" w:firstColumn="0" w:lastColumn="0" w:oddVBand="0" w:evenVBand="0" w:oddHBand="0" w:evenHBand="0" w:firstRowFirstColumn="0" w:firstRowLastColumn="0" w:lastRowFirstColumn="0" w:lastRowLastColumn="0"/>
            </w:pPr>
            <w:r w:rsidRPr="00850C34">
              <w:t>Integrated Summary of Safety</w:t>
            </w:r>
          </w:p>
        </w:tc>
      </w:tr>
      <w:tr w:rsidR="009A7800" w:rsidRPr="00850C34" w:rsidTr="009A7800">
        <w:tc>
          <w:tcPr>
            <w:cnfStyle w:val="001000000000" w:firstRow="0" w:lastRow="0" w:firstColumn="1" w:lastColumn="0" w:oddVBand="0" w:evenVBand="0" w:oddHBand="0" w:evenHBand="0" w:firstRowFirstColumn="0" w:firstRowLastColumn="0" w:lastRowFirstColumn="0" w:lastRowLastColumn="0"/>
            <w:tcW w:w="1890" w:type="dxa"/>
          </w:tcPr>
          <w:p w:rsidR="009A7800" w:rsidRPr="00850C34" w:rsidRDefault="009A7800" w:rsidP="007611EA">
            <w:pPr>
              <w:pStyle w:val="Abbreviations"/>
              <w:spacing w:line="360" w:lineRule="auto"/>
            </w:pPr>
            <w:r w:rsidRPr="00850C34">
              <w:t>ITT</w:t>
            </w:r>
          </w:p>
        </w:tc>
        <w:tc>
          <w:tcPr>
            <w:tcW w:w="6911" w:type="dxa"/>
          </w:tcPr>
          <w:p w:rsidR="009A7800" w:rsidRPr="00850C34" w:rsidRDefault="009A7800" w:rsidP="007611EA">
            <w:pPr>
              <w:pStyle w:val="Abbreviations"/>
              <w:spacing w:line="360" w:lineRule="auto"/>
              <w:cnfStyle w:val="000000000000" w:firstRow="0" w:lastRow="0" w:firstColumn="0" w:lastColumn="0" w:oddVBand="0" w:evenVBand="0" w:oddHBand="0" w:evenHBand="0" w:firstRowFirstColumn="0" w:firstRowLastColumn="0" w:lastRowFirstColumn="0" w:lastRowLastColumn="0"/>
            </w:pPr>
            <w:r w:rsidRPr="00850C34">
              <w:t>Intention to Treat</w:t>
            </w:r>
          </w:p>
        </w:tc>
      </w:tr>
      <w:tr w:rsidR="009A7800" w:rsidRPr="00850C34" w:rsidTr="009A7800">
        <w:tc>
          <w:tcPr>
            <w:cnfStyle w:val="001000000000" w:firstRow="0" w:lastRow="0" w:firstColumn="1" w:lastColumn="0" w:oddVBand="0" w:evenVBand="0" w:oddHBand="0" w:evenHBand="0" w:firstRowFirstColumn="0" w:firstRowLastColumn="0" w:lastRowFirstColumn="0" w:lastRowLastColumn="0"/>
            <w:tcW w:w="1890" w:type="dxa"/>
          </w:tcPr>
          <w:p w:rsidR="009A7800" w:rsidRPr="00850C34" w:rsidRDefault="009A7800" w:rsidP="007611EA">
            <w:pPr>
              <w:pStyle w:val="Abbreviations"/>
              <w:spacing w:line="360" w:lineRule="auto"/>
            </w:pPr>
            <w:r w:rsidRPr="00850C34">
              <w:t>mCRPC</w:t>
            </w:r>
          </w:p>
        </w:tc>
        <w:tc>
          <w:tcPr>
            <w:tcW w:w="6911" w:type="dxa"/>
          </w:tcPr>
          <w:p w:rsidR="009A7800" w:rsidRPr="00850C34" w:rsidRDefault="009A7800" w:rsidP="007611EA">
            <w:pPr>
              <w:pStyle w:val="Abbreviations"/>
              <w:spacing w:line="360" w:lineRule="auto"/>
              <w:cnfStyle w:val="000000000000" w:firstRow="0" w:lastRow="0" w:firstColumn="0" w:lastColumn="0" w:oddVBand="0" w:evenVBand="0" w:oddHBand="0" w:evenHBand="0" w:firstRowFirstColumn="0" w:firstRowLastColumn="0" w:lastRowFirstColumn="0" w:lastRowLastColumn="0"/>
            </w:pPr>
            <w:r w:rsidRPr="00850C34">
              <w:t>Metastatic Castration Resistant Prostate Cancer</w:t>
            </w:r>
          </w:p>
        </w:tc>
      </w:tr>
      <w:tr w:rsidR="009A7800" w:rsidRPr="00850C34" w:rsidTr="009A7800">
        <w:tc>
          <w:tcPr>
            <w:cnfStyle w:val="001000000000" w:firstRow="0" w:lastRow="0" w:firstColumn="1" w:lastColumn="0" w:oddVBand="0" w:evenVBand="0" w:oddHBand="0" w:evenHBand="0" w:firstRowFirstColumn="0" w:firstRowLastColumn="0" w:lastRowFirstColumn="0" w:lastRowLastColumn="0"/>
            <w:tcW w:w="1890" w:type="dxa"/>
          </w:tcPr>
          <w:p w:rsidR="009A7800" w:rsidRPr="00850C34" w:rsidRDefault="009A7800" w:rsidP="007611EA">
            <w:pPr>
              <w:pStyle w:val="Abbreviations"/>
              <w:spacing w:line="360" w:lineRule="auto"/>
            </w:pPr>
            <w:r w:rsidRPr="00850C34">
              <w:t>OS</w:t>
            </w:r>
          </w:p>
        </w:tc>
        <w:tc>
          <w:tcPr>
            <w:tcW w:w="6911" w:type="dxa"/>
          </w:tcPr>
          <w:p w:rsidR="009A7800" w:rsidRPr="00850C34" w:rsidRDefault="009A7800" w:rsidP="007611EA">
            <w:pPr>
              <w:pStyle w:val="Abbreviations"/>
              <w:spacing w:line="360" w:lineRule="auto"/>
              <w:cnfStyle w:val="000000000000" w:firstRow="0" w:lastRow="0" w:firstColumn="0" w:lastColumn="0" w:oddVBand="0" w:evenVBand="0" w:oddHBand="0" w:evenHBand="0" w:firstRowFirstColumn="0" w:firstRowLastColumn="0" w:lastRowFirstColumn="0" w:lastRowLastColumn="0"/>
            </w:pPr>
            <w:r w:rsidRPr="00850C34">
              <w:t>Overall Survival</w:t>
            </w:r>
          </w:p>
        </w:tc>
      </w:tr>
      <w:tr w:rsidR="009A7800" w:rsidRPr="00850C34" w:rsidTr="009A7800">
        <w:tc>
          <w:tcPr>
            <w:cnfStyle w:val="001000000000" w:firstRow="0" w:lastRow="0" w:firstColumn="1" w:lastColumn="0" w:oddVBand="0" w:evenVBand="0" w:oddHBand="0" w:evenHBand="0" w:firstRowFirstColumn="0" w:firstRowLastColumn="0" w:lastRowFirstColumn="0" w:lastRowLastColumn="0"/>
            <w:tcW w:w="1890" w:type="dxa"/>
          </w:tcPr>
          <w:p w:rsidR="009A7800" w:rsidRPr="00850C34" w:rsidRDefault="009A7800" w:rsidP="007611EA">
            <w:pPr>
              <w:pStyle w:val="Abbreviations"/>
              <w:spacing w:line="360" w:lineRule="auto"/>
            </w:pPr>
            <w:r w:rsidRPr="00850C34">
              <w:t>PCWG2</w:t>
            </w:r>
          </w:p>
        </w:tc>
        <w:tc>
          <w:tcPr>
            <w:tcW w:w="6911" w:type="dxa"/>
          </w:tcPr>
          <w:p w:rsidR="009A7800" w:rsidRPr="00850C34" w:rsidRDefault="009A7800" w:rsidP="007611EA">
            <w:pPr>
              <w:pStyle w:val="Abbreviations"/>
              <w:spacing w:line="360" w:lineRule="auto"/>
              <w:cnfStyle w:val="000000000000" w:firstRow="0" w:lastRow="0" w:firstColumn="0" w:lastColumn="0" w:oddVBand="0" w:evenVBand="0" w:oddHBand="0" w:evenHBand="0" w:firstRowFirstColumn="0" w:firstRowLastColumn="0" w:lastRowFirstColumn="0" w:lastRowLastColumn="0"/>
            </w:pPr>
            <w:r w:rsidRPr="00850C34">
              <w:t>Prostate Cancer Clinical Trials Working Group-2</w:t>
            </w:r>
          </w:p>
        </w:tc>
      </w:tr>
      <w:tr w:rsidR="009A7800" w:rsidRPr="00850C34" w:rsidTr="009A7800">
        <w:tc>
          <w:tcPr>
            <w:cnfStyle w:val="001000000000" w:firstRow="0" w:lastRow="0" w:firstColumn="1" w:lastColumn="0" w:oddVBand="0" w:evenVBand="0" w:oddHBand="0" w:evenHBand="0" w:firstRowFirstColumn="0" w:firstRowLastColumn="0" w:lastRowFirstColumn="0" w:lastRowLastColumn="0"/>
            <w:tcW w:w="1890" w:type="dxa"/>
          </w:tcPr>
          <w:p w:rsidR="009A7800" w:rsidRPr="00850C34" w:rsidRDefault="009A7800" w:rsidP="007611EA">
            <w:pPr>
              <w:pStyle w:val="Abbreviations"/>
              <w:spacing w:line="360" w:lineRule="auto"/>
            </w:pPr>
            <w:r w:rsidRPr="00850C34">
              <w:t>PD</w:t>
            </w:r>
          </w:p>
        </w:tc>
        <w:tc>
          <w:tcPr>
            <w:tcW w:w="6911" w:type="dxa"/>
          </w:tcPr>
          <w:p w:rsidR="009A7800" w:rsidRPr="00850C34" w:rsidRDefault="009A7800" w:rsidP="007611EA">
            <w:pPr>
              <w:pStyle w:val="Abbreviations"/>
              <w:spacing w:line="360" w:lineRule="auto"/>
              <w:cnfStyle w:val="000000000000" w:firstRow="0" w:lastRow="0" w:firstColumn="0" w:lastColumn="0" w:oddVBand="0" w:evenVBand="0" w:oddHBand="0" w:evenHBand="0" w:firstRowFirstColumn="0" w:firstRowLastColumn="0" w:lastRowFirstColumn="0" w:lastRowLastColumn="0"/>
            </w:pPr>
            <w:r w:rsidRPr="00850C34">
              <w:t>Pharmacodynamics</w:t>
            </w:r>
          </w:p>
        </w:tc>
      </w:tr>
      <w:tr w:rsidR="000B6AEE" w:rsidRPr="00850C34" w:rsidTr="009A7800">
        <w:tc>
          <w:tcPr>
            <w:cnfStyle w:val="001000000000" w:firstRow="0" w:lastRow="0" w:firstColumn="1" w:lastColumn="0" w:oddVBand="0" w:evenVBand="0" w:oddHBand="0" w:evenHBand="0" w:firstRowFirstColumn="0" w:firstRowLastColumn="0" w:lastRowFirstColumn="0" w:lastRowLastColumn="0"/>
            <w:tcW w:w="1890" w:type="dxa"/>
          </w:tcPr>
          <w:p w:rsidR="000B6AEE" w:rsidRPr="00850C34" w:rsidRDefault="000B6AEE" w:rsidP="007611EA">
            <w:pPr>
              <w:pStyle w:val="Abbreviations"/>
              <w:spacing w:line="360" w:lineRule="auto"/>
            </w:pPr>
            <w:r>
              <w:t>PFS</w:t>
            </w:r>
          </w:p>
        </w:tc>
        <w:tc>
          <w:tcPr>
            <w:tcW w:w="6911" w:type="dxa"/>
          </w:tcPr>
          <w:p w:rsidR="000B6AEE" w:rsidRPr="00850C34" w:rsidRDefault="000B6AEE" w:rsidP="007611EA">
            <w:pPr>
              <w:pStyle w:val="Abbreviations"/>
              <w:spacing w:line="360" w:lineRule="auto"/>
              <w:cnfStyle w:val="000000000000" w:firstRow="0" w:lastRow="0" w:firstColumn="0" w:lastColumn="0" w:oddVBand="0" w:evenVBand="0" w:oddHBand="0" w:evenHBand="0" w:firstRowFirstColumn="0" w:firstRowLastColumn="0" w:lastRowFirstColumn="0" w:lastRowLastColumn="0"/>
            </w:pPr>
            <w:r w:rsidRPr="00850C34">
              <w:t>Progression-Free Survival</w:t>
            </w:r>
          </w:p>
        </w:tc>
      </w:tr>
      <w:tr w:rsidR="009A7800" w:rsidRPr="00850C34" w:rsidTr="009A7800">
        <w:tc>
          <w:tcPr>
            <w:cnfStyle w:val="001000000000" w:firstRow="0" w:lastRow="0" w:firstColumn="1" w:lastColumn="0" w:oddVBand="0" w:evenVBand="0" w:oddHBand="0" w:evenHBand="0" w:firstRowFirstColumn="0" w:firstRowLastColumn="0" w:lastRowFirstColumn="0" w:lastRowLastColumn="0"/>
            <w:tcW w:w="1890" w:type="dxa"/>
          </w:tcPr>
          <w:p w:rsidR="009A7800" w:rsidRPr="00850C34" w:rsidRDefault="009A7800" w:rsidP="007611EA">
            <w:pPr>
              <w:pStyle w:val="Abbreviations"/>
              <w:spacing w:line="360" w:lineRule="auto"/>
            </w:pPr>
            <w:r w:rsidRPr="00850C34">
              <w:t>PI</w:t>
            </w:r>
          </w:p>
        </w:tc>
        <w:tc>
          <w:tcPr>
            <w:tcW w:w="6911" w:type="dxa"/>
          </w:tcPr>
          <w:p w:rsidR="009A7800" w:rsidRPr="00850C34" w:rsidRDefault="009A7800" w:rsidP="007611EA">
            <w:pPr>
              <w:pStyle w:val="Abbreviations"/>
              <w:spacing w:line="360" w:lineRule="auto"/>
              <w:cnfStyle w:val="000000000000" w:firstRow="0" w:lastRow="0" w:firstColumn="0" w:lastColumn="0" w:oddVBand="0" w:evenVBand="0" w:oddHBand="0" w:evenHBand="0" w:firstRowFirstColumn="0" w:firstRowLastColumn="0" w:lastRowFirstColumn="0" w:lastRowLastColumn="0"/>
            </w:pPr>
            <w:r w:rsidRPr="00850C34">
              <w:t>Product Information</w:t>
            </w:r>
          </w:p>
        </w:tc>
      </w:tr>
      <w:tr w:rsidR="009A7800" w:rsidRPr="00850C34" w:rsidTr="009A7800">
        <w:tc>
          <w:tcPr>
            <w:cnfStyle w:val="001000000000" w:firstRow="0" w:lastRow="0" w:firstColumn="1" w:lastColumn="0" w:oddVBand="0" w:evenVBand="0" w:oddHBand="0" w:evenHBand="0" w:firstRowFirstColumn="0" w:firstRowLastColumn="0" w:lastRowFirstColumn="0" w:lastRowLastColumn="0"/>
            <w:tcW w:w="1890" w:type="dxa"/>
          </w:tcPr>
          <w:p w:rsidR="009A7800" w:rsidRPr="00850C34" w:rsidRDefault="009A7800" w:rsidP="007611EA">
            <w:pPr>
              <w:pStyle w:val="Abbreviations"/>
              <w:spacing w:line="360" w:lineRule="auto"/>
            </w:pPr>
            <w:r w:rsidRPr="00850C34">
              <w:t>PK</w:t>
            </w:r>
          </w:p>
        </w:tc>
        <w:tc>
          <w:tcPr>
            <w:tcW w:w="6911" w:type="dxa"/>
          </w:tcPr>
          <w:p w:rsidR="009A7800" w:rsidRPr="00850C34" w:rsidRDefault="009A7800" w:rsidP="007611EA">
            <w:pPr>
              <w:pStyle w:val="Abbreviations"/>
              <w:spacing w:line="360" w:lineRule="auto"/>
              <w:cnfStyle w:val="000000000000" w:firstRow="0" w:lastRow="0" w:firstColumn="0" w:lastColumn="0" w:oddVBand="0" w:evenVBand="0" w:oddHBand="0" w:evenHBand="0" w:firstRowFirstColumn="0" w:firstRowLastColumn="0" w:lastRowFirstColumn="0" w:lastRowLastColumn="0"/>
            </w:pPr>
            <w:r w:rsidRPr="00850C34">
              <w:t>Pharmacokinetics</w:t>
            </w:r>
          </w:p>
        </w:tc>
      </w:tr>
      <w:tr w:rsidR="009A7800" w:rsidRPr="00850C34" w:rsidTr="009A7800">
        <w:tc>
          <w:tcPr>
            <w:cnfStyle w:val="001000000000" w:firstRow="0" w:lastRow="0" w:firstColumn="1" w:lastColumn="0" w:oddVBand="0" w:evenVBand="0" w:oddHBand="0" w:evenHBand="0" w:firstRowFirstColumn="0" w:firstRowLastColumn="0" w:lastRowFirstColumn="0" w:lastRowLastColumn="0"/>
            <w:tcW w:w="1890" w:type="dxa"/>
          </w:tcPr>
          <w:p w:rsidR="009A7800" w:rsidRPr="00850C34" w:rsidRDefault="009A7800" w:rsidP="007611EA">
            <w:pPr>
              <w:pStyle w:val="Abbreviations"/>
              <w:spacing w:line="360" w:lineRule="auto"/>
            </w:pPr>
            <w:r w:rsidRPr="00850C34">
              <w:t>PSA</w:t>
            </w:r>
          </w:p>
        </w:tc>
        <w:tc>
          <w:tcPr>
            <w:tcW w:w="6911" w:type="dxa"/>
          </w:tcPr>
          <w:p w:rsidR="009A7800" w:rsidRPr="00850C34" w:rsidRDefault="009A7800" w:rsidP="007611EA">
            <w:pPr>
              <w:pStyle w:val="Abbreviations"/>
              <w:spacing w:line="360" w:lineRule="auto"/>
              <w:cnfStyle w:val="000000000000" w:firstRow="0" w:lastRow="0" w:firstColumn="0" w:lastColumn="0" w:oddVBand="0" w:evenVBand="0" w:oddHBand="0" w:evenHBand="0" w:firstRowFirstColumn="0" w:firstRowLastColumn="0" w:lastRowFirstColumn="0" w:lastRowLastColumn="0"/>
            </w:pPr>
            <w:r w:rsidRPr="00850C34">
              <w:t>Prostate Specific Antigen</w:t>
            </w:r>
          </w:p>
        </w:tc>
      </w:tr>
      <w:tr w:rsidR="009A7800" w:rsidRPr="00850C34" w:rsidTr="009A7800">
        <w:tc>
          <w:tcPr>
            <w:cnfStyle w:val="001000000000" w:firstRow="0" w:lastRow="0" w:firstColumn="1" w:lastColumn="0" w:oddVBand="0" w:evenVBand="0" w:oddHBand="0" w:evenHBand="0" w:firstRowFirstColumn="0" w:firstRowLastColumn="0" w:lastRowFirstColumn="0" w:lastRowLastColumn="0"/>
            <w:tcW w:w="1890" w:type="dxa"/>
          </w:tcPr>
          <w:p w:rsidR="009A7800" w:rsidRPr="00850C34" w:rsidRDefault="009A7800" w:rsidP="007611EA">
            <w:pPr>
              <w:pStyle w:val="Abbreviations"/>
              <w:spacing w:line="360" w:lineRule="auto"/>
            </w:pPr>
            <w:r w:rsidRPr="00850C34">
              <w:t>RECIST</w:t>
            </w:r>
          </w:p>
        </w:tc>
        <w:tc>
          <w:tcPr>
            <w:tcW w:w="6911" w:type="dxa"/>
          </w:tcPr>
          <w:p w:rsidR="009A7800" w:rsidRPr="00850C34" w:rsidRDefault="009A7800" w:rsidP="007611EA">
            <w:pPr>
              <w:pStyle w:val="Abbreviations"/>
              <w:spacing w:line="360" w:lineRule="auto"/>
              <w:cnfStyle w:val="000000000000" w:firstRow="0" w:lastRow="0" w:firstColumn="0" w:lastColumn="0" w:oddVBand="0" w:evenVBand="0" w:oddHBand="0" w:evenHBand="0" w:firstRowFirstColumn="0" w:firstRowLastColumn="0" w:lastRowFirstColumn="0" w:lastRowLastColumn="0"/>
            </w:pPr>
            <w:r w:rsidRPr="00850C34">
              <w:t>Response Evaluation Criteria In Solid Tumours</w:t>
            </w:r>
          </w:p>
        </w:tc>
      </w:tr>
      <w:tr w:rsidR="009A7800" w:rsidRPr="00850C34" w:rsidTr="009A7800">
        <w:tc>
          <w:tcPr>
            <w:cnfStyle w:val="001000000000" w:firstRow="0" w:lastRow="0" w:firstColumn="1" w:lastColumn="0" w:oddVBand="0" w:evenVBand="0" w:oddHBand="0" w:evenHBand="0" w:firstRowFirstColumn="0" w:firstRowLastColumn="0" w:lastRowFirstColumn="0" w:lastRowLastColumn="0"/>
            <w:tcW w:w="1890" w:type="dxa"/>
          </w:tcPr>
          <w:p w:rsidR="009A7800" w:rsidRPr="00850C34" w:rsidRDefault="009A7800" w:rsidP="007611EA">
            <w:pPr>
              <w:pStyle w:val="Abbreviations"/>
              <w:spacing w:line="360" w:lineRule="auto"/>
            </w:pPr>
            <w:r w:rsidRPr="00850C34">
              <w:t>rPFS</w:t>
            </w:r>
          </w:p>
        </w:tc>
        <w:tc>
          <w:tcPr>
            <w:tcW w:w="6911" w:type="dxa"/>
          </w:tcPr>
          <w:p w:rsidR="009A7800" w:rsidRPr="00850C34" w:rsidRDefault="009A7800" w:rsidP="007611EA">
            <w:pPr>
              <w:pStyle w:val="Abbreviations"/>
              <w:spacing w:line="360" w:lineRule="auto"/>
              <w:cnfStyle w:val="000000000000" w:firstRow="0" w:lastRow="0" w:firstColumn="0" w:lastColumn="0" w:oddVBand="0" w:evenVBand="0" w:oddHBand="0" w:evenHBand="0" w:firstRowFirstColumn="0" w:firstRowLastColumn="0" w:lastRowFirstColumn="0" w:lastRowLastColumn="0"/>
            </w:pPr>
            <w:r w:rsidRPr="00850C34">
              <w:t>Radiographic Progression-Free Survival</w:t>
            </w:r>
          </w:p>
        </w:tc>
      </w:tr>
      <w:tr w:rsidR="009A7800" w:rsidRPr="00850C34" w:rsidTr="009A7800">
        <w:tc>
          <w:tcPr>
            <w:cnfStyle w:val="001000000000" w:firstRow="0" w:lastRow="0" w:firstColumn="1" w:lastColumn="0" w:oddVBand="0" w:evenVBand="0" w:oddHBand="0" w:evenHBand="0" w:firstRowFirstColumn="0" w:firstRowLastColumn="0" w:lastRowFirstColumn="0" w:lastRowLastColumn="0"/>
            <w:tcW w:w="1890" w:type="dxa"/>
          </w:tcPr>
          <w:p w:rsidR="009A7800" w:rsidRPr="00850C34" w:rsidRDefault="009A7800" w:rsidP="007611EA">
            <w:pPr>
              <w:pStyle w:val="Abbreviations"/>
              <w:spacing w:line="360" w:lineRule="auto"/>
            </w:pPr>
            <w:r w:rsidRPr="00850C34">
              <w:t>SCS</w:t>
            </w:r>
          </w:p>
        </w:tc>
        <w:tc>
          <w:tcPr>
            <w:tcW w:w="6911" w:type="dxa"/>
          </w:tcPr>
          <w:p w:rsidR="009A7800" w:rsidRPr="00850C34" w:rsidRDefault="009A7800" w:rsidP="007611EA">
            <w:pPr>
              <w:pStyle w:val="Abbreviations"/>
              <w:spacing w:line="360" w:lineRule="auto"/>
              <w:cnfStyle w:val="000000000000" w:firstRow="0" w:lastRow="0" w:firstColumn="0" w:lastColumn="0" w:oddVBand="0" w:evenVBand="0" w:oddHBand="0" w:evenHBand="0" w:firstRowFirstColumn="0" w:firstRowLastColumn="0" w:lastRowFirstColumn="0" w:lastRowLastColumn="0"/>
            </w:pPr>
            <w:r w:rsidRPr="00850C34">
              <w:t>Summary of Clinical Safety</w:t>
            </w:r>
          </w:p>
        </w:tc>
      </w:tr>
      <w:tr w:rsidR="009A7800" w:rsidRPr="00850C34" w:rsidTr="009A7800">
        <w:tc>
          <w:tcPr>
            <w:cnfStyle w:val="001000000000" w:firstRow="0" w:lastRow="0" w:firstColumn="1" w:lastColumn="0" w:oddVBand="0" w:evenVBand="0" w:oddHBand="0" w:evenHBand="0" w:firstRowFirstColumn="0" w:firstRowLastColumn="0" w:lastRowFirstColumn="0" w:lastRowLastColumn="0"/>
            <w:tcW w:w="1890" w:type="dxa"/>
          </w:tcPr>
          <w:p w:rsidR="009A7800" w:rsidRPr="00850C34" w:rsidRDefault="009A7800" w:rsidP="007611EA">
            <w:pPr>
              <w:pStyle w:val="Abbreviations"/>
              <w:spacing w:line="360" w:lineRule="auto"/>
            </w:pPr>
            <w:r w:rsidRPr="00850C34">
              <w:t>WHO</w:t>
            </w:r>
          </w:p>
        </w:tc>
        <w:tc>
          <w:tcPr>
            <w:tcW w:w="6911" w:type="dxa"/>
          </w:tcPr>
          <w:p w:rsidR="009A7800" w:rsidRPr="00850C34" w:rsidRDefault="009A7800" w:rsidP="007611EA">
            <w:pPr>
              <w:pStyle w:val="Abbreviations"/>
              <w:spacing w:line="360" w:lineRule="auto"/>
              <w:cnfStyle w:val="000000000000" w:firstRow="0" w:lastRow="0" w:firstColumn="0" w:lastColumn="0" w:oddVBand="0" w:evenVBand="0" w:oddHBand="0" w:evenHBand="0" w:firstRowFirstColumn="0" w:firstRowLastColumn="0" w:lastRowFirstColumn="0" w:lastRowLastColumn="0"/>
            </w:pPr>
            <w:r w:rsidRPr="00850C34">
              <w:t>World Health Organisation</w:t>
            </w:r>
          </w:p>
        </w:tc>
      </w:tr>
    </w:tbl>
    <w:p w:rsidR="00054068" w:rsidRDefault="00054068" w:rsidP="00054068">
      <w:pPr>
        <w:rPr>
          <w:rFonts w:ascii="Arial" w:eastAsia="Times New Roman" w:hAnsi="Arial"/>
          <w:sz w:val="32"/>
          <w:szCs w:val="26"/>
          <w:lang w:eastAsia="en-AU"/>
        </w:rPr>
      </w:pPr>
      <w:bookmarkStart w:id="8" w:name="_Toc351718900"/>
      <w:bookmarkStart w:id="9" w:name="_Toc355338635"/>
      <w:r>
        <w:rPr>
          <w:lang w:eastAsia="en-AU"/>
        </w:rPr>
        <w:br w:type="page"/>
      </w:r>
    </w:p>
    <w:p w:rsidR="00586F98" w:rsidRDefault="00586F98" w:rsidP="00054068">
      <w:pPr>
        <w:pStyle w:val="Heading2"/>
        <w:rPr>
          <w:lang w:eastAsia="en-AU"/>
        </w:rPr>
      </w:pPr>
      <w:bookmarkStart w:id="10" w:name="_Toc383006415"/>
      <w:r>
        <w:rPr>
          <w:lang w:eastAsia="en-AU"/>
        </w:rPr>
        <w:lastRenderedPageBreak/>
        <w:t>Clinical rationale</w:t>
      </w:r>
      <w:bookmarkEnd w:id="10"/>
    </w:p>
    <w:p w:rsidR="00586F98" w:rsidRPr="00586F98" w:rsidRDefault="009A7800" w:rsidP="00054068">
      <w:pPr>
        <w:rPr>
          <w:lang w:eastAsia="en-AU"/>
        </w:rPr>
      </w:pPr>
      <w:r w:rsidRPr="009A7800">
        <w:rPr>
          <w:lang w:eastAsia="en-AU"/>
        </w:rPr>
        <w:t>Current methods of castration (GnRH agonists and antagonists, orchidectomy) inhibit production of testosterone from the testes. Abiraterone inhibits the production of testosterone from the testes and from other sites such as the adrenal and from prostate cancer tissue. The drug might therefore be expected to be effective in patients who have become castration resistant. The safety profile of abiraterone is also more favourable than that of taxanes. Hence the introduction of abiraterone prior to the use taxane chemotherapy is a logical rationale for the application.</w:t>
      </w:r>
    </w:p>
    <w:p w:rsidR="00586F98" w:rsidRDefault="00586F98" w:rsidP="00054068">
      <w:pPr>
        <w:pStyle w:val="Heading2"/>
        <w:rPr>
          <w:lang w:eastAsia="en-AU"/>
        </w:rPr>
      </w:pPr>
      <w:bookmarkStart w:id="11" w:name="_Toc383006416"/>
      <w:r>
        <w:rPr>
          <w:lang w:eastAsia="en-AU"/>
        </w:rPr>
        <w:t>Contents of the clinical dossier</w:t>
      </w:r>
      <w:bookmarkEnd w:id="8"/>
      <w:bookmarkEnd w:id="9"/>
      <w:bookmarkEnd w:id="11"/>
    </w:p>
    <w:p w:rsidR="00586F98" w:rsidRDefault="00586F98" w:rsidP="00054068">
      <w:pPr>
        <w:pStyle w:val="Heading3"/>
      </w:pPr>
      <w:bookmarkStart w:id="12" w:name="_Toc383006417"/>
      <w:r>
        <w:t>Scope of the clinical dossier</w:t>
      </w:r>
      <w:bookmarkEnd w:id="12"/>
    </w:p>
    <w:p w:rsidR="009A7800" w:rsidRPr="009A7800" w:rsidRDefault="009A7800" w:rsidP="00054068">
      <w:r w:rsidRPr="009A7800">
        <w:t xml:space="preserve">The clinical </w:t>
      </w:r>
      <w:r w:rsidR="000B6AEE">
        <w:t>submission</w:t>
      </w:r>
      <w:r w:rsidRPr="009A7800">
        <w:t xml:space="preserve"> to support the new indication included clinical efficacy and safety data from one large pivotal randomised controlled trial. Population PK data were al</w:t>
      </w:r>
      <w:r w:rsidR="00B3648D">
        <w:t>so collected during this trial.</w:t>
      </w:r>
    </w:p>
    <w:p w:rsidR="009A7800" w:rsidRPr="009A7800" w:rsidRDefault="009A7800" w:rsidP="00054068">
      <w:r w:rsidRPr="009A7800">
        <w:t>The submission contained the following clinical information:</w:t>
      </w:r>
    </w:p>
    <w:p w:rsidR="009A7800" w:rsidRPr="009A7800" w:rsidRDefault="009A7800" w:rsidP="00054068">
      <w:pPr>
        <w:pStyle w:val="ListBullet"/>
      </w:pPr>
      <w:r w:rsidRPr="009A7800">
        <w:t>1 population pharmacokinetic analysis;</w:t>
      </w:r>
    </w:p>
    <w:p w:rsidR="009A7800" w:rsidRPr="000B6AEE" w:rsidRDefault="009A7800" w:rsidP="00054068">
      <w:pPr>
        <w:pStyle w:val="ListBullet"/>
      </w:pPr>
      <w:r w:rsidRPr="009A7800">
        <w:t>1 pivotal efficacy/safety study (</w:t>
      </w:r>
      <w:r w:rsidR="000B6AEE">
        <w:t>S</w:t>
      </w:r>
      <w:r w:rsidRPr="009A7800">
        <w:t xml:space="preserve">tudy 302) in chemotherapy-naïve </w:t>
      </w:r>
      <w:r w:rsidR="00B322FD">
        <w:t>m</w:t>
      </w:r>
      <w:r w:rsidR="000B6AEE" w:rsidRPr="00850C34">
        <w:t>etastatic Castration Resistant Prostate Can</w:t>
      </w:r>
      <w:r w:rsidR="000B6AEE" w:rsidRPr="000B6AEE">
        <w:t>cer (</w:t>
      </w:r>
      <w:r w:rsidRPr="000B6AEE">
        <w:t>mCRPC</w:t>
      </w:r>
      <w:r w:rsidR="000B6AEE" w:rsidRPr="000B6AEE">
        <w:t>)</w:t>
      </w:r>
      <w:r w:rsidRPr="000B6AEE">
        <w:t xml:space="preserve"> subjects;</w:t>
      </w:r>
    </w:p>
    <w:p w:rsidR="009A7800" w:rsidRPr="009A7800" w:rsidRDefault="009A7800" w:rsidP="00054068">
      <w:pPr>
        <w:pStyle w:val="ListBullet"/>
      </w:pPr>
      <w:r w:rsidRPr="009A7800">
        <w:t>Safety updates of several previously submitted phase I and II studies;</w:t>
      </w:r>
    </w:p>
    <w:p w:rsidR="009A7800" w:rsidRPr="009A7800" w:rsidRDefault="009A7800" w:rsidP="00054068">
      <w:pPr>
        <w:pStyle w:val="ListBullet"/>
      </w:pPr>
      <w:r w:rsidRPr="009A7800">
        <w:t xml:space="preserve">An integrated summary of safety (ISS) which provided additional tabulations of safety data to those contained in the </w:t>
      </w:r>
      <w:r w:rsidR="000B6AEE">
        <w:t xml:space="preserve">sponsor’s </w:t>
      </w:r>
      <w:r w:rsidRPr="000B6AEE">
        <w:rPr>
          <w:i/>
        </w:rPr>
        <w:t>Summary of Clinical Safety</w:t>
      </w:r>
      <w:r w:rsidRPr="009A7800">
        <w:t>;</w:t>
      </w:r>
    </w:p>
    <w:p w:rsidR="009A7800" w:rsidRPr="009A7800" w:rsidRDefault="009A7800" w:rsidP="00054068">
      <w:pPr>
        <w:pStyle w:val="ListBullet"/>
      </w:pPr>
      <w:r w:rsidRPr="009A7800">
        <w:t>Literature references.</w:t>
      </w:r>
    </w:p>
    <w:p w:rsidR="00586F98" w:rsidRDefault="00586F98" w:rsidP="00054068">
      <w:pPr>
        <w:pStyle w:val="Heading3"/>
      </w:pPr>
      <w:bookmarkStart w:id="13" w:name="_Toc383006418"/>
      <w:r>
        <w:t>Paediatric data</w:t>
      </w:r>
      <w:bookmarkEnd w:id="13"/>
    </w:p>
    <w:p w:rsidR="00586F98" w:rsidRDefault="009A7800" w:rsidP="00054068">
      <w:r w:rsidRPr="009A7800">
        <w:t>The submission did not include paediatric data. As prostate cancer is disease of adults, this is acceptable</w:t>
      </w:r>
      <w:r>
        <w:t>.</w:t>
      </w:r>
    </w:p>
    <w:p w:rsidR="00586F98" w:rsidRDefault="00586F98" w:rsidP="00054068">
      <w:pPr>
        <w:pStyle w:val="Heading3"/>
      </w:pPr>
      <w:bookmarkStart w:id="14" w:name="_Toc383006419"/>
      <w:r>
        <w:t>Good clinical practice</w:t>
      </w:r>
      <w:bookmarkEnd w:id="14"/>
    </w:p>
    <w:p w:rsidR="009A7800" w:rsidRPr="00586F98" w:rsidRDefault="009A7800" w:rsidP="00054068">
      <w:bookmarkStart w:id="15" w:name="_Toc241374282"/>
      <w:r w:rsidRPr="009A7800">
        <w:t xml:space="preserve">The report for the pivotal study included an assurance that the study was conducted in accordance with </w:t>
      </w:r>
      <w:bookmarkEnd w:id="15"/>
      <w:r w:rsidRPr="009A7800">
        <w:t>the ethical principles of the Declaration of Helsinki, and with Good Clinical Practice and other applicable regulatory requirements.</w:t>
      </w:r>
    </w:p>
    <w:p w:rsidR="00586F98" w:rsidRDefault="00586F98" w:rsidP="00054068">
      <w:pPr>
        <w:pStyle w:val="Heading2"/>
      </w:pPr>
      <w:bookmarkStart w:id="16" w:name="_Toc355338639"/>
      <w:bookmarkStart w:id="17" w:name="_Toc383006420"/>
      <w:r>
        <w:t>Pharmacokinetics</w:t>
      </w:r>
      <w:bookmarkEnd w:id="16"/>
      <w:bookmarkEnd w:id="17"/>
      <w:r>
        <w:t xml:space="preserve"> </w:t>
      </w:r>
    </w:p>
    <w:p w:rsidR="009A7800" w:rsidRPr="009A7800" w:rsidRDefault="009A7800" w:rsidP="00054068">
      <w:pPr>
        <w:pStyle w:val="Heading3"/>
      </w:pPr>
      <w:bookmarkStart w:id="18" w:name="_Ref271017296"/>
      <w:bookmarkStart w:id="19" w:name="_Ref271018924"/>
      <w:bookmarkStart w:id="20" w:name="_Ref271018934"/>
      <w:bookmarkStart w:id="21" w:name="_Toc272414614"/>
      <w:bookmarkStart w:id="22" w:name="_Toc290846238"/>
      <w:bookmarkStart w:id="23" w:name="_Toc228789234"/>
      <w:bookmarkStart w:id="24" w:name="_Toc383006421"/>
      <w:r w:rsidRPr="009A7800">
        <w:t>Studies</w:t>
      </w:r>
      <w:bookmarkEnd w:id="18"/>
      <w:bookmarkEnd w:id="19"/>
      <w:bookmarkEnd w:id="20"/>
      <w:r w:rsidRPr="009A7800">
        <w:t xml:space="preserve"> providing pharmacokinetic data</w:t>
      </w:r>
      <w:bookmarkEnd w:id="21"/>
      <w:bookmarkEnd w:id="22"/>
      <w:bookmarkEnd w:id="23"/>
      <w:bookmarkEnd w:id="24"/>
    </w:p>
    <w:p w:rsidR="009A7800" w:rsidRPr="009A7800" w:rsidRDefault="009A7800" w:rsidP="00054068">
      <w:r w:rsidRPr="009A7800">
        <w:t>The only new PK data in the submission come from a population PK analysis of plasma samples obtained from a subgroup of patients who participated in the pivotal study (</w:t>
      </w:r>
      <w:r w:rsidR="000B6AEE">
        <w:t>S</w:t>
      </w:r>
      <w:r w:rsidR="00B3648D">
        <w:t>tudy 302).</w:t>
      </w:r>
    </w:p>
    <w:p w:rsidR="009A7800" w:rsidRPr="009A7800" w:rsidRDefault="009A7800" w:rsidP="00054068">
      <w:pPr>
        <w:pStyle w:val="Heading3"/>
      </w:pPr>
      <w:bookmarkStart w:id="25" w:name="_Ref269118175"/>
      <w:bookmarkStart w:id="26" w:name="_Toc272414616"/>
      <w:bookmarkStart w:id="27" w:name="_Toc290846239"/>
      <w:bookmarkStart w:id="28" w:name="_Toc228789235"/>
      <w:bookmarkStart w:id="29" w:name="_Toc383006422"/>
      <w:r w:rsidRPr="009A7800">
        <w:lastRenderedPageBreak/>
        <w:t>Summary of pharmacokinetics</w:t>
      </w:r>
      <w:bookmarkEnd w:id="25"/>
      <w:bookmarkEnd w:id="26"/>
      <w:bookmarkEnd w:id="27"/>
      <w:bookmarkEnd w:id="28"/>
      <w:bookmarkEnd w:id="29"/>
    </w:p>
    <w:p w:rsidR="009A7800" w:rsidRPr="009A7800" w:rsidRDefault="009A7800" w:rsidP="00054068">
      <w:r w:rsidRPr="009A7800">
        <w:t>The PK parameters of abiraterone were evaluated and summarised in the original application to register the drug. Apart from the population PK analysis referred to above, no new data on the PK of the drug were submitted.</w:t>
      </w:r>
    </w:p>
    <w:p w:rsidR="009A7800" w:rsidRPr="009A7800" w:rsidRDefault="009A7800" w:rsidP="00054068">
      <w:pPr>
        <w:pStyle w:val="Heading3"/>
      </w:pPr>
      <w:bookmarkStart w:id="30" w:name="_Toc241374296"/>
      <w:bookmarkStart w:id="31" w:name="_Ref269982040"/>
      <w:bookmarkStart w:id="32" w:name="_Ref271018704"/>
      <w:bookmarkStart w:id="33" w:name="_Ref271018755"/>
      <w:bookmarkStart w:id="34" w:name="_Toc272414635"/>
      <w:bookmarkStart w:id="35" w:name="_Toc290846258"/>
      <w:bookmarkStart w:id="36" w:name="_Toc228789236"/>
      <w:bookmarkStart w:id="37" w:name="_Toc383006423"/>
      <w:r w:rsidRPr="009A7800">
        <w:t>Evaluator’s overall conclusions on pharmacokinetics</w:t>
      </w:r>
      <w:bookmarkEnd w:id="30"/>
      <w:bookmarkEnd w:id="31"/>
      <w:bookmarkEnd w:id="32"/>
      <w:bookmarkEnd w:id="33"/>
      <w:bookmarkEnd w:id="34"/>
      <w:bookmarkEnd w:id="35"/>
      <w:bookmarkEnd w:id="36"/>
      <w:bookmarkEnd w:id="37"/>
    </w:p>
    <w:p w:rsidR="009A7800" w:rsidRPr="009A7800" w:rsidRDefault="009A7800" w:rsidP="00054068">
      <w:r w:rsidRPr="009A7800">
        <w:t>The PK of abiraterone in patients who are naïve to chemotherapy is comparable to that prev</w:t>
      </w:r>
      <w:r w:rsidR="00B3648D">
        <w:t>iously documented for the drug.</w:t>
      </w:r>
    </w:p>
    <w:p w:rsidR="00586F98" w:rsidRDefault="00586F98" w:rsidP="00054068">
      <w:pPr>
        <w:pStyle w:val="Heading2"/>
      </w:pPr>
      <w:bookmarkStart w:id="38" w:name="_Toc383006424"/>
      <w:r>
        <w:t>Pharmacodynamics</w:t>
      </w:r>
      <w:bookmarkEnd w:id="38"/>
    </w:p>
    <w:p w:rsidR="009A7800" w:rsidRDefault="009A7800" w:rsidP="00054068">
      <w:r>
        <w:t>No new PD data were submitted.</w:t>
      </w:r>
    </w:p>
    <w:p w:rsidR="00586F98" w:rsidRDefault="00C22678" w:rsidP="00054068">
      <w:pPr>
        <w:pStyle w:val="Heading2"/>
      </w:pPr>
      <w:bookmarkStart w:id="39" w:name="_Toc383006425"/>
      <w:r>
        <w:t>Dosage selection for the pivotal studies</w:t>
      </w:r>
      <w:bookmarkEnd w:id="39"/>
    </w:p>
    <w:p w:rsidR="009A7800" w:rsidRPr="009A7800" w:rsidRDefault="009A7800" w:rsidP="00054068">
      <w:r w:rsidRPr="009A7800">
        <w:t>The dose selected for use in the pivotal study was the same as that currently approved (</w:t>
      </w:r>
      <w:r w:rsidR="000B6AEE">
        <w:t>that is,</w:t>
      </w:r>
      <w:r w:rsidRPr="009A7800">
        <w:t xml:space="preserve"> 1,000 mg daily). The original dose was justified on the grounds that, in dose-ranging studies:</w:t>
      </w:r>
    </w:p>
    <w:p w:rsidR="009A7800" w:rsidRPr="009A7800" w:rsidRDefault="009A7800" w:rsidP="00054068">
      <w:pPr>
        <w:pStyle w:val="ListBullet"/>
      </w:pPr>
      <w:r w:rsidRPr="009A7800">
        <w:t>Dose limiting toxicity was not observed with doses up to 2,000 mg per day; and</w:t>
      </w:r>
    </w:p>
    <w:p w:rsidR="009A7800" w:rsidRPr="009A7800" w:rsidRDefault="009A7800" w:rsidP="00054068">
      <w:pPr>
        <w:pStyle w:val="ListBullet"/>
      </w:pPr>
      <w:r w:rsidRPr="009A7800">
        <w:t>A plateau in the increase in upstream hormones (</w:t>
      </w:r>
      <w:r w:rsidR="000B6AEE">
        <w:t>for example,</w:t>
      </w:r>
      <w:r w:rsidRPr="009A7800">
        <w:t xml:space="preserve"> corticosterone) was observed at a dose of 750 mg per day.</w:t>
      </w:r>
    </w:p>
    <w:p w:rsidR="009A7800" w:rsidRPr="009A7800" w:rsidRDefault="009A7800" w:rsidP="00054068">
      <w:r w:rsidRPr="009A7800">
        <w:t>Comment:</w:t>
      </w:r>
      <w:r w:rsidR="000B6AEE">
        <w:t xml:space="preserve"> </w:t>
      </w:r>
      <w:r w:rsidRPr="009A7800">
        <w:t>CYP17 activity is likely to be similar in the currently approved and proposed new populations. The decision to use the same dose is therefore acceptable.</w:t>
      </w:r>
    </w:p>
    <w:p w:rsidR="00C22678" w:rsidRDefault="00C22678" w:rsidP="00054068">
      <w:pPr>
        <w:pStyle w:val="Heading2"/>
      </w:pPr>
      <w:bookmarkStart w:id="40" w:name="_Toc383006426"/>
      <w:r>
        <w:t>Clinical efficacy</w:t>
      </w:r>
      <w:bookmarkEnd w:id="40"/>
    </w:p>
    <w:p w:rsidR="009A7800" w:rsidRPr="009A7800" w:rsidRDefault="009A7800" w:rsidP="00054068">
      <w:pPr>
        <w:pStyle w:val="Heading3"/>
      </w:pPr>
      <w:bookmarkStart w:id="41" w:name="_Toc228789243"/>
      <w:bookmarkStart w:id="42" w:name="_Toc383006427"/>
      <w:r w:rsidRPr="009A7800">
        <w:t>Treatment of patients with metastatic castration resistant prostate cancer (mCRPC) who are asymptomatic or mildly symptomatic after failure of androgen deprivation therapy (ADT)</w:t>
      </w:r>
      <w:bookmarkEnd w:id="41"/>
      <w:bookmarkEnd w:id="42"/>
    </w:p>
    <w:p w:rsidR="009A7800" w:rsidRPr="009A7800" w:rsidRDefault="009A7800" w:rsidP="00054068">
      <w:pPr>
        <w:pStyle w:val="Heading4"/>
      </w:pPr>
      <w:bookmarkStart w:id="43" w:name="_Ref271037274"/>
      <w:bookmarkStart w:id="44" w:name="_Toc272414652"/>
      <w:bookmarkStart w:id="45" w:name="_Toc290846274"/>
      <w:bookmarkStart w:id="46" w:name="_Toc228789244"/>
      <w:r w:rsidRPr="009A7800">
        <w:t>Pivotal efficacy stud</w:t>
      </w:r>
      <w:bookmarkEnd w:id="43"/>
      <w:bookmarkEnd w:id="44"/>
      <w:bookmarkEnd w:id="45"/>
      <w:r w:rsidRPr="009A7800">
        <w:t>y (COU-AA-302)</w:t>
      </w:r>
      <w:bookmarkEnd w:id="46"/>
    </w:p>
    <w:p w:rsidR="009A7800" w:rsidRPr="009A7800" w:rsidRDefault="009A7800" w:rsidP="00054068">
      <w:pPr>
        <w:pStyle w:val="Heading5"/>
      </w:pPr>
      <w:bookmarkStart w:id="47" w:name="_Toc228789245"/>
      <w:r w:rsidRPr="009A7800">
        <w:t>Study design, objectives, locations and dates</w:t>
      </w:r>
      <w:bookmarkEnd w:id="47"/>
    </w:p>
    <w:p w:rsidR="009A7800" w:rsidRPr="009A7800" w:rsidRDefault="009A7800" w:rsidP="00054068">
      <w:pPr>
        <w:pStyle w:val="Heading6"/>
        <w:rPr>
          <w:lang w:val="en-US"/>
        </w:rPr>
      </w:pPr>
      <w:r w:rsidRPr="009A7800">
        <w:rPr>
          <w:lang w:val="en-US"/>
        </w:rPr>
        <w:t>Design</w:t>
      </w:r>
    </w:p>
    <w:p w:rsidR="009A7800" w:rsidRPr="009A7800" w:rsidRDefault="009A7800" w:rsidP="00054068">
      <w:pPr>
        <w:rPr>
          <w:lang w:val="en-US"/>
        </w:rPr>
      </w:pPr>
      <w:r w:rsidRPr="009A7800">
        <w:rPr>
          <w:lang w:val="en-US"/>
        </w:rPr>
        <w:t>The study was a Phase III, randomised, double blind, placebo-controlled trial with two parallel groups. Subjects were randomised (1:1) to receive abiraterone in combination with prednisone, or placebo in combination with prednisone.</w:t>
      </w:r>
    </w:p>
    <w:p w:rsidR="009A7800" w:rsidRPr="009A7800" w:rsidRDefault="009A7800" w:rsidP="00054068">
      <w:pPr>
        <w:rPr>
          <w:lang w:val="en-US"/>
        </w:rPr>
      </w:pPr>
      <w:r w:rsidRPr="009A7800">
        <w:rPr>
          <w:lang w:val="en-US"/>
        </w:rPr>
        <w:t>The study consisted of a screening period (within 14 days prior to commencement of treatment), a treatment period (from commencement of treatment until the End-Of-Study visit) and a follow-up period (for survival, every 3 months for up to 5 years).</w:t>
      </w:r>
    </w:p>
    <w:p w:rsidR="009A7800" w:rsidRPr="009A7800" w:rsidRDefault="009A7800" w:rsidP="00054068">
      <w:pPr>
        <w:pStyle w:val="Heading6"/>
        <w:rPr>
          <w:lang w:val="en-US"/>
        </w:rPr>
      </w:pPr>
      <w:r w:rsidRPr="009A7800">
        <w:rPr>
          <w:lang w:val="en-US"/>
        </w:rPr>
        <w:t>Objectives</w:t>
      </w:r>
    </w:p>
    <w:p w:rsidR="009A7800" w:rsidRPr="009A7800" w:rsidRDefault="009A7800" w:rsidP="00054068">
      <w:pPr>
        <w:rPr>
          <w:lang w:val="en-US"/>
        </w:rPr>
      </w:pPr>
      <w:r w:rsidRPr="009A7800">
        <w:rPr>
          <w:lang w:val="en-US"/>
        </w:rPr>
        <w:t>The primary objective of the study was: “</w:t>
      </w:r>
      <w:r w:rsidRPr="000B6AEE">
        <w:rPr>
          <w:lang w:val="en-US"/>
        </w:rPr>
        <w:t>to compare the clinical benefit of abiraterone acetate plus prednisone to placebo plus prednisone in men with asymptomatic or mildly symptomatic chemotherapy-naïve metastatic CRPC</w:t>
      </w:r>
      <w:r w:rsidR="00B3648D">
        <w:rPr>
          <w:lang w:val="en-US"/>
        </w:rPr>
        <w:t>”.</w:t>
      </w:r>
    </w:p>
    <w:p w:rsidR="009A7800" w:rsidRPr="009A7800" w:rsidRDefault="009A7800" w:rsidP="00054068">
      <w:pPr>
        <w:rPr>
          <w:lang w:val="en-US"/>
        </w:rPr>
      </w:pPr>
      <w:r w:rsidRPr="009A7800">
        <w:rPr>
          <w:lang w:val="en-US"/>
        </w:rPr>
        <w:t>The secondary objectives of the study were:</w:t>
      </w:r>
    </w:p>
    <w:p w:rsidR="009A7800" w:rsidRPr="000B6AEE" w:rsidRDefault="009A7800" w:rsidP="00054068">
      <w:pPr>
        <w:pStyle w:val="ListBullet"/>
        <w:rPr>
          <w:lang w:val="en-US"/>
        </w:rPr>
      </w:pPr>
      <w:r w:rsidRPr="000B6AEE">
        <w:rPr>
          <w:lang w:val="en-US"/>
        </w:rPr>
        <w:lastRenderedPageBreak/>
        <w:t>“To establish additional clinically relevant improvements in prostate cancer subjects treated with abiraterone acetate in comparison with placebo;</w:t>
      </w:r>
    </w:p>
    <w:p w:rsidR="009A7800" w:rsidRPr="000B6AEE" w:rsidRDefault="009A7800" w:rsidP="00054068">
      <w:pPr>
        <w:pStyle w:val="ListBullet"/>
        <w:rPr>
          <w:lang w:val="en-US"/>
        </w:rPr>
      </w:pPr>
      <w:r w:rsidRPr="000B6AEE">
        <w:rPr>
          <w:lang w:val="en-US"/>
        </w:rPr>
        <w:t xml:space="preserve">To characterize the safety profile of abiraterone acetate in this subject population; </w:t>
      </w:r>
    </w:p>
    <w:p w:rsidR="009A7800" w:rsidRPr="000B6AEE" w:rsidRDefault="009A7800" w:rsidP="00054068">
      <w:pPr>
        <w:pStyle w:val="ListBullet"/>
        <w:rPr>
          <w:lang w:val="en-US"/>
        </w:rPr>
      </w:pPr>
      <w:r w:rsidRPr="000B6AEE">
        <w:rPr>
          <w:lang w:val="en-US"/>
        </w:rPr>
        <w:t>To characterize the pharmacokinetics of abiraterone acetate when administered concurrently with prednisone”.</w:t>
      </w:r>
    </w:p>
    <w:p w:rsidR="009A7800" w:rsidRPr="009A7800" w:rsidRDefault="009A7800" w:rsidP="00054068">
      <w:pPr>
        <w:pStyle w:val="Heading6"/>
        <w:rPr>
          <w:lang w:val="en-US"/>
        </w:rPr>
      </w:pPr>
      <w:r w:rsidRPr="009A7800">
        <w:rPr>
          <w:lang w:val="en-US"/>
        </w:rPr>
        <w:t>Locations</w:t>
      </w:r>
    </w:p>
    <w:p w:rsidR="009A7800" w:rsidRPr="009A7800" w:rsidRDefault="009A7800" w:rsidP="00054068">
      <w:pPr>
        <w:rPr>
          <w:lang w:val="en-US"/>
        </w:rPr>
      </w:pPr>
      <w:r w:rsidRPr="009A7800">
        <w:rPr>
          <w:lang w:val="en-US"/>
        </w:rPr>
        <w:t>The study was conducted at 151 sites in the USA, Europe, Canada and Australia.</w:t>
      </w:r>
    </w:p>
    <w:p w:rsidR="009A7800" w:rsidRPr="009A7800" w:rsidRDefault="009A7800" w:rsidP="00054068">
      <w:pPr>
        <w:pStyle w:val="Heading6"/>
        <w:rPr>
          <w:lang w:val="en-US"/>
        </w:rPr>
      </w:pPr>
      <w:r w:rsidRPr="009A7800">
        <w:rPr>
          <w:lang w:val="en-US"/>
        </w:rPr>
        <w:t>Dates</w:t>
      </w:r>
    </w:p>
    <w:p w:rsidR="009A7800" w:rsidRPr="009A7800" w:rsidRDefault="009A7800" w:rsidP="00054068">
      <w:pPr>
        <w:rPr>
          <w:lang w:val="en-US"/>
        </w:rPr>
      </w:pPr>
      <w:r w:rsidRPr="009A7800">
        <w:rPr>
          <w:lang w:val="en-US"/>
        </w:rPr>
        <w:t xml:space="preserve">The first patient was enrolled on 28 April 2009 and the last patient was enrolled on 23 June 2010. There were two analyses conducted. The date for data cut-off for the first analysis (final analysis of radiographic </w:t>
      </w:r>
      <w:r w:rsidR="000B6AEE" w:rsidRPr="00850C34">
        <w:t>Progression-Free Survival</w:t>
      </w:r>
      <w:r w:rsidR="000B6AEE" w:rsidRPr="009A7800">
        <w:rPr>
          <w:lang w:val="en-US"/>
        </w:rPr>
        <w:t xml:space="preserve"> </w:t>
      </w:r>
      <w:r w:rsidR="000B6AEE">
        <w:rPr>
          <w:lang w:val="en-US"/>
        </w:rPr>
        <w:t>(</w:t>
      </w:r>
      <w:r w:rsidRPr="009A7800">
        <w:rPr>
          <w:lang w:val="en-US"/>
        </w:rPr>
        <w:t>PFS</w:t>
      </w:r>
      <w:r w:rsidR="000B6AEE">
        <w:rPr>
          <w:lang w:val="en-US"/>
        </w:rPr>
        <w:t>)</w:t>
      </w:r>
      <w:r w:rsidRPr="009A7800">
        <w:rPr>
          <w:lang w:val="en-US"/>
        </w:rPr>
        <w:t xml:space="preserve"> endpoint and first interim analysis of </w:t>
      </w:r>
      <w:r w:rsidR="000B6AEE">
        <w:rPr>
          <w:lang w:val="en-US"/>
        </w:rPr>
        <w:t>Overall Survival (</w:t>
      </w:r>
      <w:r w:rsidRPr="009A7800">
        <w:rPr>
          <w:lang w:val="en-US"/>
        </w:rPr>
        <w:t>OS</w:t>
      </w:r>
      <w:r w:rsidR="000B6AEE">
        <w:rPr>
          <w:lang w:val="en-US"/>
        </w:rPr>
        <w:t>)</w:t>
      </w:r>
      <w:r w:rsidRPr="009A7800">
        <w:rPr>
          <w:lang w:val="en-US"/>
        </w:rPr>
        <w:t xml:space="preserve"> endpoint) was 20 December 2010. The data cut-off date for the second analysis (second interim analysis for OS) was 20 December 2011. The submitted study report was dated 31 May 2012.</w:t>
      </w:r>
    </w:p>
    <w:p w:rsidR="009A7800" w:rsidRPr="009A7800" w:rsidRDefault="009A7800" w:rsidP="00054068">
      <w:pPr>
        <w:pStyle w:val="Heading6"/>
      </w:pPr>
      <w:bookmarkStart w:id="48" w:name="_Toc228789246"/>
      <w:r w:rsidRPr="009A7800">
        <w:t>Inclusion and exclusion criteria</w:t>
      </w:r>
      <w:bookmarkEnd w:id="48"/>
    </w:p>
    <w:p w:rsidR="009A7800" w:rsidRPr="009A7800" w:rsidRDefault="009A7800" w:rsidP="00054068">
      <w:r w:rsidRPr="009A7800">
        <w:t>Subjects were required to have metastatic disease and be either surgically or medically castrated (serum testosterone &lt; 2.0 nmol/L). They were required to have evidence of disease progression based on rising PSA levels (using PCWG2 criteria</w:t>
      </w:r>
      <w:r w:rsidR="00AD66CB">
        <w:rPr>
          <w:rStyle w:val="FootnoteReference"/>
          <w:lang w:eastAsia="ja-JP"/>
        </w:rPr>
        <w:footnoteReference w:id="1"/>
      </w:r>
      <w:r w:rsidR="00AD66CB">
        <w:t>)</w:t>
      </w:r>
      <w:r w:rsidRPr="009A7800">
        <w:t xml:space="preserve">or radiographic imaging (using RECIST </w:t>
      </w:r>
      <w:r w:rsidRPr="00AD66CB">
        <w:t>criteria</w:t>
      </w:r>
      <w:r w:rsidR="00AD66CB" w:rsidRPr="00AD66CB">
        <w:rPr>
          <w:rStyle w:val="FootnoteReference"/>
          <w:lang w:eastAsia="ja-JP"/>
        </w:rPr>
        <w:footnoteReference w:id="2"/>
      </w:r>
      <w:r w:rsidRPr="00AD66CB">
        <w:t>)</w:t>
      </w:r>
      <w:r w:rsidRPr="00054068">
        <w:t>. Pro</w:t>
      </w:r>
      <w:r w:rsidRPr="009A7800">
        <w:t>gression must have occurred after discontinuation of antiandrogen therapy, as responses to withdr</w:t>
      </w:r>
      <w:r w:rsidR="00B3648D">
        <w:t>awal of these agents may occur.</w:t>
      </w:r>
    </w:p>
    <w:p w:rsidR="009A7800" w:rsidRPr="009A7800" w:rsidRDefault="009A7800" w:rsidP="00054068">
      <w:r w:rsidRPr="009A7800">
        <w:t>Comment:</w:t>
      </w:r>
      <w:r w:rsidRPr="009A7800">
        <w:tab/>
      </w:r>
      <w:r w:rsidR="000B6AEE">
        <w:t xml:space="preserve"> </w:t>
      </w:r>
      <w:r w:rsidRPr="009A7800">
        <w:t>Enrolment was restricted to patients with asymptomatic or mildly symptomatic disease, as chemotherapy would be indicated in symptomatic patients and use of prednisone alone would not be ethical.</w:t>
      </w:r>
    </w:p>
    <w:p w:rsidR="009A7800" w:rsidRPr="009A7800" w:rsidRDefault="009A7800" w:rsidP="00054068">
      <w:r w:rsidRPr="009A7800">
        <w:t>Patients were excluded if they had already received chemotherapy, biological therapy (</w:t>
      </w:r>
      <w:r w:rsidR="000B6AEE">
        <w:t>for example,</w:t>
      </w:r>
      <w:r w:rsidRPr="009A7800">
        <w:t xml:space="preserve"> </w:t>
      </w:r>
      <w:r w:rsidRPr="009A7800">
        <w:rPr>
          <w:lang w:val="en-US"/>
        </w:rPr>
        <w:t xml:space="preserve">sipuleucel-T) </w:t>
      </w:r>
      <w:r w:rsidRPr="009A7800">
        <w:t xml:space="preserve">or ketoconazole (a CYP17 inhibitor) for </w:t>
      </w:r>
      <w:r w:rsidR="00B3648D">
        <w:t>the treatment of their disease.</w:t>
      </w:r>
    </w:p>
    <w:p w:rsidR="009A7800" w:rsidRPr="009A7800" w:rsidRDefault="009A7800" w:rsidP="00054068">
      <w:pPr>
        <w:pStyle w:val="Heading6"/>
      </w:pPr>
      <w:bookmarkStart w:id="49" w:name="_Toc228789247"/>
      <w:r w:rsidRPr="009A7800">
        <w:t>Study treatments</w:t>
      </w:r>
      <w:bookmarkEnd w:id="49"/>
    </w:p>
    <w:p w:rsidR="009A7800" w:rsidRPr="009A7800" w:rsidRDefault="009A7800" w:rsidP="00054068">
      <w:r w:rsidRPr="009A7800">
        <w:t>Subjects were randomised (1:1) to receive either:</w:t>
      </w:r>
    </w:p>
    <w:p w:rsidR="009A7800" w:rsidRPr="009A7800" w:rsidRDefault="009A7800" w:rsidP="00054068">
      <w:pPr>
        <w:pStyle w:val="ListBullet"/>
        <w:rPr>
          <w:lang w:val="en-US"/>
        </w:rPr>
      </w:pPr>
      <w:r w:rsidRPr="009A7800">
        <w:rPr>
          <w:lang w:val="en-US"/>
        </w:rPr>
        <w:t>Abiraterone 1000mg once daily in combination with prednisone (or prednisolone) 5 mg twice daily;</w:t>
      </w:r>
    </w:p>
    <w:p w:rsidR="009A7800" w:rsidRPr="009A7800" w:rsidRDefault="009A7800" w:rsidP="00054068">
      <w:pPr>
        <w:pStyle w:val="ListBullet"/>
        <w:rPr>
          <w:lang w:val="en-US"/>
        </w:rPr>
      </w:pPr>
      <w:r w:rsidRPr="009A7800">
        <w:rPr>
          <w:lang w:val="en-US"/>
        </w:rPr>
        <w:t>Placebo once daily in combination with prednisone (or prednisolone) 5 mg twice daily.</w:t>
      </w:r>
    </w:p>
    <w:p w:rsidR="009A7800" w:rsidRPr="009A7800" w:rsidRDefault="00B3648D" w:rsidP="00054068">
      <w:pPr>
        <w:rPr>
          <w:lang w:val="en-US"/>
        </w:rPr>
      </w:pPr>
      <w:r>
        <w:rPr>
          <w:lang w:val="en-US"/>
        </w:rPr>
        <w:t xml:space="preserve">Comment: </w:t>
      </w:r>
      <w:r w:rsidR="009A7800" w:rsidRPr="009A7800">
        <w:rPr>
          <w:lang w:val="en-US"/>
        </w:rPr>
        <w:t>There are no accepted therapies for the treatment of asymptomatic/mildly symptomatic mCRPC. The use of placebo/prednisone was therefore acceptable as a comparator arm.</w:t>
      </w:r>
    </w:p>
    <w:p w:rsidR="009A7800" w:rsidRPr="009A7800" w:rsidRDefault="009A7800" w:rsidP="00054068">
      <w:pPr>
        <w:rPr>
          <w:lang w:val="en-US"/>
        </w:rPr>
      </w:pPr>
      <w:r w:rsidRPr="009A7800">
        <w:rPr>
          <w:lang w:val="en-US"/>
        </w:rPr>
        <w:t>Food was not to be consumed for at least 2 hours before and for at least 1 hour after the dose of abiraterone/placebo. Although treatment was continuous, it was divided into ‘cycles’ of 28 days each.</w:t>
      </w:r>
    </w:p>
    <w:p w:rsidR="009A7800" w:rsidRPr="009A7800" w:rsidRDefault="009A7800" w:rsidP="00054068">
      <w:pPr>
        <w:rPr>
          <w:lang w:val="en-US"/>
        </w:rPr>
      </w:pPr>
      <w:r w:rsidRPr="009A7800">
        <w:rPr>
          <w:lang w:val="en-US"/>
        </w:rPr>
        <w:t>In the event of toxicity, the abiraterone dose could be decreased to 750</w:t>
      </w:r>
      <w:r w:rsidR="000B6AEE">
        <w:rPr>
          <w:lang w:val="en-US"/>
        </w:rPr>
        <w:t xml:space="preserve"> </w:t>
      </w:r>
      <w:r w:rsidRPr="009A7800">
        <w:rPr>
          <w:lang w:val="en-US"/>
        </w:rPr>
        <w:t xml:space="preserve">mg and then to 500 mg per day. If the 500 mg dose could not be tolerated, study drug was to be discontinued. The protocol provided specific guidance on the management of hypokalaemia, hypertension, </w:t>
      </w:r>
      <w:r w:rsidRPr="009A7800">
        <w:rPr>
          <w:lang w:val="en-US"/>
        </w:rPr>
        <w:lastRenderedPageBreak/>
        <w:t xml:space="preserve">oedema and fluid retention, hepatotoxicity and non-mineralocorticoid related toxicities. Dose reductions of prednisone were at the </w:t>
      </w:r>
      <w:r w:rsidR="008812F1">
        <w:rPr>
          <w:lang w:val="en-US"/>
        </w:rPr>
        <w:t>discretion of the investigator.</w:t>
      </w:r>
    </w:p>
    <w:p w:rsidR="009A7800" w:rsidRPr="005730D3" w:rsidRDefault="009A7800" w:rsidP="00054068">
      <w:pPr>
        <w:rPr>
          <w:lang w:val="en-US"/>
        </w:rPr>
      </w:pPr>
      <w:r w:rsidRPr="005730D3">
        <w:rPr>
          <w:lang w:val="en-US"/>
        </w:rPr>
        <w:t>Patients were continued on treatment until</w:t>
      </w:r>
      <w:r w:rsidR="008812F1">
        <w:rPr>
          <w:lang w:val="en-US"/>
        </w:rPr>
        <w:t xml:space="preserve"> one of the following occurred:</w:t>
      </w:r>
    </w:p>
    <w:p w:rsidR="009A7800" w:rsidRPr="005730D3" w:rsidRDefault="009A7800" w:rsidP="00054068">
      <w:pPr>
        <w:pStyle w:val="ListBullet"/>
        <w:rPr>
          <w:lang w:val="en-US"/>
        </w:rPr>
      </w:pPr>
      <w:r w:rsidRPr="005730D3">
        <w:rPr>
          <w:lang w:val="en-US"/>
        </w:rPr>
        <w:t>Radiographic progression</w:t>
      </w:r>
      <w:bookmarkStart w:id="50" w:name="_Ref373398530"/>
      <w:r w:rsidR="00ED1E89" w:rsidRPr="005730D3">
        <w:rPr>
          <w:rStyle w:val="FootnoteReference"/>
          <w:lang w:val="en-US"/>
        </w:rPr>
        <w:footnoteReference w:id="3"/>
      </w:r>
      <w:bookmarkEnd w:id="50"/>
    </w:p>
    <w:p w:rsidR="009A7800" w:rsidRPr="005730D3" w:rsidRDefault="009A7800" w:rsidP="00054068">
      <w:pPr>
        <w:pStyle w:val="ListBullet"/>
        <w:rPr>
          <w:lang w:val="en-US"/>
        </w:rPr>
      </w:pPr>
      <w:r w:rsidRPr="005730D3">
        <w:rPr>
          <w:lang w:val="en-US"/>
        </w:rPr>
        <w:t>Unequivocal clinical progression (defined as per</w:t>
      </w:r>
      <w:r w:rsidR="007611EA">
        <w:rPr>
          <w:lang w:val="en-US"/>
        </w:rPr>
        <w:t xml:space="preserve"> Table 1</w:t>
      </w:r>
      <w:r w:rsidRPr="005730D3">
        <w:rPr>
          <w:lang w:val="en-US"/>
        </w:rPr>
        <w:t>);</w:t>
      </w:r>
    </w:p>
    <w:p w:rsidR="009A7800" w:rsidRPr="009A7800" w:rsidRDefault="009A7800" w:rsidP="00054068">
      <w:pPr>
        <w:pStyle w:val="ListBullet"/>
        <w:rPr>
          <w:lang w:val="en-US"/>
        </w:rPr>
      </w:pPr>
      <w:r w:rsidRPr="009A7800">
        <w:rPr>
          <w:lang w:val="en-US"/>
        </w:rPr>
        <w:t>The subject withdrew from the study;</w:t>
      </w:r>
    </w:p>
    <w:p w:rsidR="009A7800" w:rsidRDefault="009A7800" w:rsidP="00054068">
      <w:pPr>
        <w:pStyle w:val="ListBullet"/>
        <w:rPr>
          <w:lang w:val="en-US"/>
        </w:rPr>
      </w:pPr>
      <w:r w:rsidRPr="009A7800">
        <w:rPr>
          <w:lang w:val="en-US"/>
        </w:rPr>
        <w:t>The investigator the subject due to unresolved adverse events or the initiation of new anticancer treatment.</w:t>
      </w:r>
    </w:p>
    <w:p w:rsidR="00ED1E89" w:rsidRPr="00ED1E89" w:rsidRDefault="00ED1E89" w:rsidP="009C2D2F">
      <w:pPr>
        <w:pStyle w:val="TableTitle"/>
      </w:pPr>
      <w:bookmarkStart w:id="51" w:name="_Ref220740288"/>
      <w:bookmarkStart w:id="52" w:name="_Toc228789318"/>
      <w:r w:rsidRPr="00ED1E89">
        <w:t xml:space="preserve">Table </w:t>
      </w:r>
      <w:bookmarkEnd w:id="51"/>
      <w:r>
        <w:t>1:</w:t>
      </w:r>
      <w:r w:rsidRPr="00ED1E89">
        <w:t>Pivotal study 302 – Criteria for unequivocal clinical progression</w:t>
      </w:r>
      <w:bookmarkEnd w:id="52"/>
    </w:p>
    <w:tbl>
      <w:tblPr>
        <w:tblW w:w="8221"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21"/>
      </w:tblGrid>
      <w:tr w:rsidR="00ED1E89" w:rsidTr="00ED1E89">
        <w:trPr>
          <w:trHeight w:val="5480"/>
        </w:trPr>
        <w:tc>
          <w:tcPr>
            <w:tcW w:w="8221" w:type="dxa"/>
          </w:tcPr>
          <w:p w:rsidR="00ED1E89" w:rsidRPr="008812F1" w:rsidRDefault="00ED1E89" w:rsidP="008812F1">
            <w:pPr>
              <w:pStyle w:val="Numberbullet0"/>
              <w:rPr>
                <w:sz w:val="20"/>
                <w:szCs w:val="20"/>
                <w:lang w:val="en-US"/>
              </w:rPr>
            </w:pPr>
            <w:r w:rsidRPr="008812F1">
              <w:rPr>
                <w:sz w:val="20"/>
                <w:szCs w:val="20"/>
                <w:lang w:val="en-US"/>
              </w:rPr>
              <w:t>Cancer pain requiring initiation of chronic administration of opiate analgesia (oral opiate use for ≥3 weeks; parenteral opiate use for ≥7 days); Patients with cancer pain requiring opiate analgesia for relief should also be assessed by the investigator for the need for initiating systemic chemotherapy.</w:t>
            </w:r>
          </w:p>
          <w:p w:rsidR="00ED1E89" w:rsidRPr="008812F1" w:rsidRDefault="00ED1E89" w:rsidP="00ED1E89">
            <w:pPr>
              <w:pStyle w:val="ListBullet"/>
              <w:numPr>
                <w:ilvl w:val="0"/>
                <w:numId w:val="0"/>
              </w:numPr>
              <w:ind w:left="270"/>
              <w:rPr>
                <w:sz w:val="20"/>
                <w:szCs w:val="20"/>
                <w:lang w:val="en-US"/>
              </w:rPr>
            </w:pPr>
            <w:r w:rsidRPr="008812F1">
              <w:rPr>
                <w:sz w:val="20"/>
                <w:szCs w:val="20"/>
                <w:lang w:val="en-US"/>
              </w:rPr>
              <w:t>Or</w:t>
            </w:r>
          </w:p>
          <w:p w:rsidR="00ED1E89" w:rsidRPr="008812F1" w:rsidRDefault="00ED1E89" w:rsidP="008812F1">
            <w:pPr>
              <w:pStyle w:val="Numberbullet0"/>
              <w:rPr>
                <w:sz w:val="20"/>
                <w:szCs w:val="20"/>
                <w:lang w:val="en-US"/>
              </w:rPr>
            </w:pPr>
            <w:r w:rsidRPr="008812F1">
              <w:rPr>
                <w:sz w:val="20"/>
                <w:szCs w:val="20"/>
                <w:lang w:val="en-US"/>
              </w:rPr>
              <w:t>Immediate need to initiate cytotoxic chemotherapy or the immediate need to have either radiation therapy or surgical intervention for complications due to tumor progression, even in the absence of radiographic evidence of disease progression.</w:t>
            </w:r>
          </w:p>
          <w:p w:rsidR="00ED1E89" w:rsidRPr="008812F1" w:rsidRDefault="00ED1E89" w:rsidP="00ED1E89">
            <w:pPr>
              <w:pStyle w:val="ListBullet"/>
              <w:numPr>
                <w:ilvl w:val="0"/>
                <w:numId w:val="0"/>
              </w:numPr>
              <w:ind w:left="270"/>
              <w:rPr>
                <w:sz w:val="20"/>
                <w:szCs w:val="20"/>
                <w:lang w:val="en-US"/>
              </w:rPr>
            </w:pPr>
            <w:r w:rsidRPr="008812F1">
              <w:rPr>
                <w:sz w:val="20"/>
                <w:szCs w:val="20"/>
                <w:lang w:val="en-US"/>
              </w:rPr>
              <w:t>Or</w:t>
            </w:r>
          </w:p>
          <w:p w:rsidR="00ED1E89" w:rsidRPr="008812F1" w:rsidRDefault="00ED1E89" w:rsidP="008812F1">
            <w:pPr>
              <w:pStyle w:val="Numberbullet0"/>
              <w:rPr>
                <w:sz w:val="20"/>
                <w:szCs w:val="20"/>
                <w:lang w:val="en-US"/>
              </w:rPr>
            </w:pPr>
            <w:r w:rsidRPr="008812F1">
              <w:rPr>
                <w:sz w:val="20"/>
                <w:szCs w:val="20"/>
                <w:lang w:val="en-US"/>
              </w:rPr>
              <w:t>Deterioration in ECOG performance status to Grade 3 or higher. Patients whose ECOG performance status decreases to Grade 2 during the study should be assessed carefully for their need for docetaxel therapy.</w:t>
            </w:r>
          </w:p>
          <w:p w:rsidR="00ED1E89" w:rsidRPr="00ED1E89" w:rsidRDefault="00ED1E89" w:rsidP="008812F1">
            <w:pPr>
              <w:pStyle w:val="ListBullet"/>
              <w:numPr>
                <w:ilvl w:val="0"/>
                <w:numId w:val="0"/>
              </w:numPr>
              <w:ind w:left="459"/>
              <w:rPr>
                <w:sz w:val="20"/>
                <w:szCs w:val="20"/>
                <w:lang w:val="en-US"/>
              </w:rPr>
            </w:pPr>
            <w:r w:rsidRPr="00ED1E89">
              <w:rPr>
                <w:sz w:val="20"/>
                <w:szCs w:val="20"/>
                <w:lang w:val="en-US"/>
              </w:rPr>
              <w:t>When study treatment is discontinued due to unequivocal clinical progression, the investigator should obtain imaging studies at the Treatment Discontinuation Visit to assess for radiographic progression, including a confirmatory bone scan, as appropriate.</w:t>
            </w:r>
          </w:p>
          <w:p w:rsidR="00ED1E89" w:rsidRDefault="00ED1E89" w:rsidP="008812F1">
            <w:pPr>
              <w:pStyle w:val="ListBullet"/>
              <w:numPr>
                <w:ilvl w:val="0"/>
                <w:numId w:val="0"/>
              </w:numPr>
              <w:ind w:left="459"/>
              <w:rPr>
                <w:lang w:val="en-US"/>
              </w:rPr>
            </w:pPr>
            <w:r w:rsidRPr="00ED1E89">
              <w:rPr>
                <w:sz w:val="20"/>
                <w:szCs w:val="20"/>
                <w:lang w:val="en-US"/>
              </w:rPr>
              <w:t>Study treatment will be continued on patients who have increasing PSA values in the absence of radiographic or unequivocal clinical progression. Although serial PSA’s will be measured on this study, progression or change in PSA values is not considered a reliable measure of disease progression, and should not be used as an indication to discontinue study therapy.</w:t>
            </w:r>
          </w:p>
        </w:tc>
      </w:tr>
    </w:tbl>
    <w:p w:rsidR="009A7800" w:rsidRPr="009A7800" w:rsidRDefault="009A7800" w:rsidP="00054068">
      <w:pPr>
        <w:rPr>
          <w:lang w:val="en-US"/>
        </w:rPr>
      </w:pPr>
      <w:r w:rsidRPr="009A7800">
        <w:rPr>
          <w:lang w:val="en-US"/>
        </w:rPr>
        <w:t>Of note, the study protocol specified the following:</w:t>
      </w:r>
    </w:p>
    <w:p w:rsidR="009A7800" w:rsidRPr="009A7800" w:rsidRDefault="009A7800" w:rsidP="00054068">
      <w:r w:rsidRPr="009A7800">
        <w:rPr>
          <w:lang w:val="en-US"/>
        </w:rPr>
        <w:t>“</w:t>
      </w:r>
      <w:r w:rsidRPr="00ED1E89">
        <w:rPr>
          <w:i/>
          <w:lang w:val="en-US"/>
        </w:rPr>
        <w:t>Study treatment will be continued on patients who have increasing PSA values in the absence of radiographic or unequivocal clinical progression. Although serial PSA’s will be measured on this study, progression or change in PSA values is not considered a reliable measure of disease progression, and should not be used as an indication to discontinue study therapy</w:t>
      </w:r>
      <w:r w:rsidRPr="009A7800">
        <w:rPr>
          <w:lang w:val="en-US"/>
        </w:rPr>
        <w:t>.”</w:t>
      </w:r>
    </w:p>
    <w:p w:rsidR="009A7800" w:rsidRPr="009A7800" w:rsidRDefault="009A7800" w:rsidP="00054068">
      <w:r w:rsidRPr="009A7800">
        <w:t xml:space="preserve">In patients who had not undergone orchidectomy, ongoing treatment with a GnRH agonist was mandatory to maintain serum testosterone &lt; 2.0 nmol/L. Concomitant use of other drugs that </w:t>
      </w:r>
      <w:r w:rsidRPr="009A7800">
        <w:lastRenderedPageBreak/>
        <w:t>may have affected the disease process (</w:t>
      </w:r>
      <w:r w:rsidR="00ED5AAB">
        <w:t xml:space="preserve">for example </w:t>
      </w:r>
      <w:r w:rsidRPr="009A7800">
        <w:t>antiandrogens, 5α–reductase inhibitors, ketoconazole,</w:t>
      </w:r>
      <w:r w:rsidR="008812F1">
        <w:t xml:space="preserve"> cyproterone) were prohibited.</w:t>
      </w:r>
    </w:p>
    <w:p w:rsidR="009A7800" w:rsidRPr="009A7800" w:rsidRDefault="009A7800" w:rsidP="00054068">
      <w:pPr>
        <w:pStyle w:val="Heading6"/>
      </w:pPr>
      <w:bookmarkStart w:id="53" w:name="_Toc228789248"/>
      <w:r w:rsidRPr="009A7800">
        <w:t>Efficacy variables and outcomes</w:t>
      </w:r>
      <w:bookmarkEnd w:id="53"/>
    </w:p>
    <w:p w:rsidR="009A7800" w:rsidRPr="009A7800" w:rsidRDefault="009A7800" w:rsidP="00054068">
      <w:r w:rsidRPr="009A7800">
        <w:t>The main efficacy variables were:</w:t>
      </w:r>
    </w:p>
    <w:p w:rsidR="009A7800" w:rsidRPr="009A7800" w:rsidRDefault="009A7800" w:rsidP="008812F1">
      <w:pPr>
        <w:pStyle w:val="ListBullet"/>
      </w:pPr>
      <w:r w:rsidRPr="009A7800">
        <w:t>Tumour measurements (</w:t>
      </w:r>
      <w:r w:rsidR="00ED5AAB" w:rsidRPr="00ED5AAB">
        <w:rPr>
          <w:bCs/>
        </w:rPr>
        <w:t>computed tomography</w:t>
      </w:r>
      <w:r w:rsidR="00ED5AAB" w:rsidRPr="00ED5AAB">
        <w:t xml:space="preserve"> (</w:t>
      </w:r>
      <w:r w:rsidRPr="00ED5AAB">
        <w:t>C</w:t>
      </w:r>
      <w:r w:rsidRPr="009A7800">
        <w:t>T</w:t>
      </w:r>
      <w:r w:rsidR="00ED5AAB">
        <w:t>)</w:t>
      </w:r>
      <w:r w:rsidRPr="009A7800">
        <w:t xml:space="preserve">, </w:t>
      </w:r>
      <w:r w:rsidR="00ED5AAB">
        <w:t>magnetic resonance imaging (</w:t>
      </w:r>
      <w:r w:rsidRPr="009A7800">
        <w:t>MRI</w:t>
      </w:r>
      <w:r w:rsidR="00ED5AAB">
        <w:t>)</w:t>
      </w:r>
      <w:r w:rsidRPr="009A7800">
        <w:t xml:space="preserve">, bone scan) were performed at screening and on </w:t>
      </w:r>
      <w:r w:rsidR="00ED5AAB">
        <w:t>D</w:t>
      </w:r>
      <w:r w:rsidRPr="009A7800">
        <w:t>ay 1 of Cycles 3 (</w:t>
      </w:r>
      <w:r w:rsidR="00ED5AAB">
        <w:t>that is,</w:t>
      </w:r>
      <w:r w:rsidRPr="009A7800">
        <w:t xml:space="preserve"> after 8 weeks), 5 (16 weeks), 7 (24 weeks), 10 (36 weeks) and then after every 3 cycles;</w:t>
      </w:r>
    </w:p>
    <w:p w:rsidR="009A7800" w:rsidRPr="009A7800" w:rsidRDefault="009A7800" w:rsidP="008812F1">
      <w:pPr>
        <w:pStyle w:val="ListBullet"/>
      </w:pPr>
      <w:r w:rsidRPr="009A7800">
        <w:t xml:space="preserve">Data on </w:t>
      </w:r>
      <w:r w:rsidRPr="009A7800">
        <w:rPr>
          <w:lang w:val="en-US"/>
        </w:rPr>
        <w:t>survival status, opiate use, ECOG performance status grade</w:t>
      </w:r>
      <w:r w:rsidR="00ED5AAB">
        <w:rPr>
          <w:rStyle w:val="FootnoteReference"/>
          <w:lang w:val="en-US" w:eastAsia="ja-JP"/>
        </w:rPr>
        <w:footnoteReference w:id="4"/>
      </w:r>
      <w:r w:rsidRPr="009A7800">
        <w:rPr>
          <w:lang w:val="en-US"/>
        </w:rPr>
        <w:t>, and first cytotoxic chemotherapy for prostate cancer were assessed every month up to 5 years;</w:t>
      </w:r>
    </w:p>
    <w:p w:rsidR="009A7800" w:rsidRPr="009A7800" w:rsidRDefault="009A7800" w:rsidP="008812F1">
      <w:pPr>
        <w:pStyle w:val="ListBullet"/>
      </w:pPr>
      <w:r w:rsidRPr="009A7800">
        <w:rPr>
          <w:lang w:val="en-US"/>
        </w:rPr>
        <w:t>Se</w:t>
      </w:r>
      <w:r w:rsidRPr="00ED5AAB">
        <w:rPr>
          <w:lang w:val="en-US"/>
        </w:rPr>
        <w:t xml:space="preserve">rum </w:t>
      </w:r>
      <w:r w:rsidR="00ED5AAB" w:rsidRPr="00ED5AAB">
        <w:rPr>
          <w:bCs/>
        </w:rPr>
        <w:t>Prostate-specific antigen (</w:t>
      </w:r>
      <w:r w:rsidRPr="00ED5AAB">
        <w:rPr>
          <w:lang w:val="en-US"/>
        </w:rPr>
        <w:t>PSA</w:t>
      </w:r>
      <w:r w:rsidR="00ED5AAB" w:rsidRPr="00ED5AAB">
        <w:rPr>
          <w:lang w:val="en-US"/>
        </w:rPr>
        <w:t>)</w:t>
      </w:r>
      <w:r w:rsidRPr="00ED5AAB">
        <w:rPr>
          <w:lang w:val="en-US"/>
        </w:rPr>
        <w:t xml:space="preserve"> measurements (performed at a central laboratory) were done at screening, Cycle 1 Day 1, Cycles 3,</w:t>
      </w:r>
      <w:r w:rsidRPr="009A7800">
        <w:rPr>
          <w:lang w:val="en-US"/>
        </w:rPr>
        <w:t xml:space="preserve"> 5, 7, and 10 and then every 3 cycles beyond Cycle 10, at treatment discontinuation if applicable, and at the End-of-Study Visit;</w:t>
      </w:r>
    </w:p>
    <w:p w:rsidR="009A7800" w:rsidRPr="009A7800" w:rsidRDefault="009A7800" w:rsidP="008812F1">
      <w:pPr>
        <w:pStyle w:val="ListBullet"/>
      </w:pPr>
      <w:r w:rsidRPr="009A7800">
        <w:rPr>
          <w:lang w:val="en-US"/>
        </w:rPr>
        <w:t>The Functional Assessment of Cancer Therapy–Prostate (FACT-P) questionnaire was administered to assess quality of life / functional status at Cycle 1 Day 1, Cycles 3, 5, 7, and 10 and then every 3 cycles beyond Cycle 10;</w:t>
      </w:r>
    </w:p>
    <w:p w:rsidR="009A7800" w:rsidRPr="009A7800" w:rsidRDefault="009A7800" w:rsidP="008812F1">
      <w:pPr>
        <w:pStyle w:val="ListBullet"/>
      </w:pPr>
      <w:r w:rsidRPr="009A7800">
        <w:rPr>
          <w:lang w:val="en-US"/>
        </w:rPr>
        <w:t>The Brief Pain Inventory Short Form (BPI-SF) and an analgesic usage score (scored from 0 for no analgesia to 3 for opiates for severe pain) were measured after each cycle.</w:t>
      </w:r>
    </w:p>
    <w:p w:rsidR="009A7800" w:rsidRPr="009A7800" w:rsidRDefault="009A7800" w:rsidP="00054068">
      <w:r w:rsidRPr="009A7800">
        <w:rPr>
          <w:lang w:val="en-US"/>
        </w:rPr>
        <w:t xml:space="preserve">PK samples were to be collected from a subgroup of patients for a population PK </w:t>
      </w:r>
      <w:r w:rsidRPr="00ED1E89">
        <w:rPr>
          <w:lang w:val="en-US"/>
        </w:rPr>
        <w:t>analysis.</w:t>
      </w:r>
    </w:p>
    <w:p w:rsidR="009A7800" w:rsidRPr="009A7800" w:rsidRDefault="009A7800" w:rsidP="00054068">
      <w:r w:rsidRPr="009A7800">
        <w:t xml:space="preserve">There were two </w:t>
      </w:r>
      <w:r w:rsidRPr="00ED5AAB">
        <w:rPr>
          <w:i/>
        </w:rPr>
        <w:t xml:space="preserve">primary efficacy outcomes </w:t>
      </w:r>
      <w:r w:rsidRPr="009A7800">
        <w:t>(‘co-primary endpoints’):</w:t>
      </w:r>
    </w:p>
    <w:p w:rsidR="009A7800" w:rsidRPr="00ED1E89" w:rsidRDefault="009A7800" w:rsidP="001323E4">
      <w:pPr>
        <w:pStyle w:val="Numberbullet0"/>
        <w:numPr>
          <w:ilvl w:val="0"/>
          <w:numId w:val="6"/>
        </w:numPr>
      </w:pPr>
      <w:r w:rsidRPr="009A7800">
        <w:t>Radiographic Progression-Free Survival (rPFS), defined as the time from randomisation to the time of radiographic progression (</w:t>
      </w:r>
      <w:r w:rsidRPr="00ED1E89">
        <w:t xml:space="preserve">as defined in </w:t>
      </w:r>
      <w:r w:rsidR="00ED1E89">
        <w:t>F</w:t>
      </w:r>
      <w:r w:rsidR="00ED1E89" w:rsidRPr="00ED1E89">
        <w:t>ootnote</w:t>
      </w:r>
      <w:r w:rsidR="00ED1E89">
        <w:t xml:space="preserve"> </w:t>
      </w:r>
      <w:r w:rsidR="009947C5">
        <w:fldChar w:fldCharType="begin"/>
      </w:r>
      <w:r w:rsidR="009947C5">
        <w:instrText xml:space="preserve"> NOTEREF _Ref373398530 \h  \* MERGEFORMAT </w:instrText>
      </w:r>
      <w:r w:rsidR="009947C5">
        <w:fldChar w:fldCharType="separate"/>
      </w:r>
      <w:r w:rsidR="009C2D2F">
        <w:t>3</w:t>
      </w:r>
      <w:r w:rsidR="009947C5">
        <w:fldChar w:fldCharType="end"/>
      </w:r>
      <w:r w:rsidR="00ED1E89" w:rsidRPr="00ED1E89">
        <w:t>)</w:t>
      </w:r>
      <w:r w:rsidRPr="00ED1E89">
        <w:t xml:space="preserve"> or death, whichever occurs first;</w:t>
      </w:r>
    </w:p>
    <w:p w:rsidR="009A7800" w:rsidRPr="009A7800" w:rsidRDefault="009A7800" w:rsidP="00054068">
      <w:pPr>
        <w:pStyle w:val="Numberbullet0"/>
      </w:pPr>
      <w:r w:rsidRPr="009A7800">
        <w:t>Overall Survival (OS), defined as the time from randomisation to death from any cause.</w:t>
      </w:r>
    </w:p>
    <w:p w:rsidR="009A7800" w:rsidRPr="009A7800" w:rsidRDefault="009A7800" w:rsidP="00054068">
      <w:pPr>
        <w:pStyle w:val="Numberbullet0"/>
      </w:pPr>
      <w:r w:rsidRPr="009A7800">
        <w:t>Imaging to assess progression was assessed by radiologists and nuclear medicine physicians who were independent from the investigators and were blinded to subjects’ treatment allocation and clinical information.</w:t>
      </w:r>
    </w:p>
    <w:p w:rsidR="009A7800" w:rsidRPr="009A7800" w:rsidRDefault="009A7800" w:rsidP="00054068">
      <w:r w:rsidRPr="009A7800">
        <w:t>Comment:</w:t>
      </w:r>
      <w:r w:rsidR="00ED5AAB">
        <w:t xml:space="preserve"> </w:t>
      </w:r>
      <w:r w:rsidRPr="009A7800">
        <w:t xml:space="preserve">Overall survival is a standard endpoint in oncology trials. rPFS is a novel endpoint that is not specifically referred to in the </w:t>
      </w:r>
      <w:r w:rsidR="00ED5AAB">
        <w:t>European Union (</w:t>
      </w:r>
      <w:r w:rsidRPr="009A7800">
        <w:t>E</w:t>
      </w:r>
      <w:r w:rsidR="00ED5AAB">
        <w:t>U)</w:t>
      </w:r>
      <w:r w:rsidRPr="009A7800">
        <w:t xml:space="preserve"> guidelines on anticancer a</w:t>
      </w:r>
      <w:r w:rsidRPr="00AD66CB">
        <w:t>gents.</w:t>
      </w:r>
      <w:r w:rsidR="00AD66CB" w:rsidRPr="00AD66CB">
        <w:rPr>
          <w:rStyle w:val="FootnoteReference"/>
          <w:lang w:eastAsia="ja-JP"/>
        </w:rPr>
        <w:footnoteReference w:id="5"/>
      </w:r>
      <w:r w:rsidR="00AD66CB" w:rsidRPr="00AD66CB">
        <w:rPr>
          <w:vertAlign w:val="superscript"/>
        </w:rPr>
        <w:t>,</w:t>
      </w:r>
      <w:r w:rsidR="00AD66CB" w:rsidRPr="00AD66CB">
        <w:rPr>
          <w:rStyle w:val="FootnoteReference"/>
          <w:lang w:eastAsia="ja-JP"/>
        </w:rPr>
        <w:footnoteReference w:id="6"/>
      </w:r>
      <w:r w:rsidRPr="00AD66CB">
        <w:t xml:space="preserve"> Co</w:t>
      </w:r>
      <w:r w:rsidRPr="009A7800">
        <w:t xml:space="preserve">nventionally, measurement of PFS requires use of an established set of criteria (RECIST or WHO) for documenting disease progression. These established criteria are of limited </w:t>
      </w:r>
      <w:r w:rsidRPr="009A7800">
        <w:lastRenderedPageBreak/>
        <w:t>applicability to the setting of mCRPC as only a minority of patients have measurable dise</w:t>
      </w:r>
      <w:r w:rsidRPr="00AD66CB">
        <w:t>ase.</w:t>
      </w:r>
      <w:r w:rsidR="00AD66CB" w:rsidRPr="00AD66CB">
        <w:rPr>
          <w:rStyle w:val="FootnoteReference"/>
          <w:lang w:eastAsia="ja-JP"/>
        </w:rPr>
        <w:footnoteReference w:id="7"/>
      </w:r>
      <w:r w:rsidRPr="00AD66CB">
        <w:t xml:space="preserve"> Th</w:t>
      </w:r>
      <w:r w:rsidRPr="009A7800">
        <w:t>e most common site of metastatic disease in prostate cancer is bone. Bone lesions are considered unmeasurable using CT or MRI</w:t>
      </w:r>
      <w:r w:rsidR="00AD66CB">
        <w:rPr>
          <w:rStyle w:val="FootnoteReference"/>
          <w:lang w:eastAsia="ja-JP"/>
        </w:rPr>
        <w:footnoteReference w:id="8"/>
      </w:r>
      <w:r w:rsidRPr="009A7800">
        <w:t xml:space="preserve"> and there are no accepted criteria for interpreting the clinical significance of changes in size or intensity of lesions on bone </w:t>
      </w:r>
      <w:r w:rsidRPr="00054068">
        <w:t>scan.</w:t>
      </w:r>
      <w:bookmarkStart w:id="54" w:name="_Ref373397828"/>
      <w:r w:rsidR="00054068" w:rsidRPr="00054068">
        <w:rPr>
          <w:rStyle w:val="FootnoteReference"/>
        </w:rPr>
        <w:footnoteReference w:id="9"/>
      </w:r>
      <w:bookmarkEnd w:id="54"/>
    </w:p>
    <w:p w:rsidR="009A7800" w:rsidRPr="009A7800" w:rsidRDefault="009A7800" w:rsidP="00054068">
      <w:r w:rsidRPr="009A7800">
        <w:t xml:space="preserve">The proposed rPFS endpoint incorporates criteria for establishing the presence of disease progression using bone scan, in addition to the </w:t>
      </w:r>
      <w:r w:rsidRPr="00ED1E89">
        <w:t xml:space="preserve">use of the conventional RECIST criteria (see </w:t>
      </w:r>
      <w:r w:rsidR="00ED1E89" w:rsidRPr="00ED1E89">
        <w:t xml:space="preserve">Footnote </w:t>
      </w:r>
      <w:r w:rsidR="009947C5">
        <w:fldChar w:fldCharType="begin"/>
      </w:r>
      <w:r w:rsidR="009947C5">
        <w:instrText xml:space="preserve"> NOTEREF _Ref373398530 \h  \* MERGEFORMAT </w:instrText>
      </w:r>
      <w:r w:rsidR="009947C5">
        <w:fldChar w:fldCharType="separate"/>
      </w:r>
      <w:r w:rsidR="009C2D2F">
        <w:t>3</w:t>
      </w:r>
      <w:r w:rsidR="009947C5">
        <w:fldChar w:fldCharType="end"/>
      </w:r>
      <w:r w:rsidRPr="00ED1E89">
        <w:t>). The new criteria for progression essentially require the development of at least 2 new lesions on bone scan. New lesions appearing in the first 12 weeks may represent disease that was present but undetected at baseline. Therefore th</w:t>
      </w:r>
      <w:r w:rsidRPr="009A7800">
        <w:t>e early appearance of new lesions does not qualify as disease progression unless further lesions are documented at a later time.</w:t>
      </w:r>
    </w:p>
    <w:p w:rsidR="009A7800" w:rsidRPr="009A7800" w:rsidRDefault="009A7800" w:rsidP="00054068">
      <w:r w:rsidRPr="009A7800">
        <w:t>The sponsor submitted a justification for the use of rPFS as an acceptable primary endpoint. Points made by the sponsor included the following:</w:t>
      </w:r>
    </w:p>
    <w:p w:rsidR="009A7800" w:rsidRPr="009A7800" w:rsidRDefault="009A7800" w:rsidP="00054068">
      <w:pPr>
        <w:pStyle w:val="ListBullet"/>
      </w:pPr>
      <w:r w:rsidRPr="009A7800">
        <w:t>The bone scan criteria are objective and verifiable;</w:t>
      </w:r>
    </w:p>
    <w:p w:rsidR="009A7800" w:rsidRPr="009A7800" w:rsidRDefault="009A7800" w:rsidP="00054068">
      <w:pPr>
        <w:pStyle w:val="ListBullet"/>
      </w:pPr>
      <w:r w:rsidRPr="009A7800">
        <w:t>It is biologically plausible that it could correlate with clinical benefit, as progression of metastatic bone disease is associated with pathological fractures, pain, spinal cord compression etc.;</w:t>
      </w:r>
    </w:p>
    <w:p w:rsidR="009A7800" w:rsidRPr="00054068" w:rsidRDefault="009A7800" w:rsidP="00054068">
      <w:pPr>
        <w:pStyle w:val="ListBullet"/>
      </w:pPr>
      <w:r w:rsidRPr="009A7800">
        <w:t>The criteria are based on a set of expert consensus guidelines on the conduct of clinical trials in prostate c</w:t>
      </w:r>
      <w:r w:rsidRPr="00054068">
        <w:t>ancer</w:t>
      </w:r>
      <w:r w:rsidR="00054068">
        <w:t>;</w:t>
      </w:r>
      <w:r w:rsidR="009947C5">
        <w:fldChar w:fldCharType="begin"/>
      </w:r>
      <w:r w:rsidR="009947C5">
        <w:instrText xml:space="preserve"> NOTEREF _Ref373397828 \h  \* MERGEFORMAT </w:instrText>
      </w:r>
      <w:r w:rsidR="009947C5">
        <w:fldChar w:fldCharType="separate"/>
      </w:r>
      <w:r w:rsidR="009C2D2F">
        <w:t>9</w:t>
      </w:r>
      <w:r w:rsidR="009947C5">
        <w:fldChar w:fldCharType="end"/>
      </w:r>
    </w:p>
    <w:p w:rsidR="009A7800" w:rsidRPr="009A7800" w:rsidRDefault="009A7800" w:rsidP="00054068">
      <w:pPr>
        <w:pStyle w:val="ListBullet"/>
      </w:pPr>
      <w:r w:rsidRPr="009A7800">
        <w:t>The secondary endpoints of the trial will measure the actual clinical benefit to the patient (in terms of pain, performance status etc.)</w:t>
      </w:r>
    </w:p>
    <w:p w:rsidR="009A7800" w:rsidRPr="009A7800" w:rsidRDefault="009A7800" w:rsidP="00054068">
      <w:pPr>
        <w:pStyle w:val="ListBullet"/>
      </w:pPr>
      <w:r w:rsidRPr="009A7800">
        <w:t xml:space="preserve">The </w:t>
      </w:r>
      <w:r w:rsidR="00ED5AAB">
        <w:t>European Medicines Agency (</w:t>
      </w:r>
      <w:r w:rsidRPr="009A7800">
        <w:t>EMA</w:t>
      </w:r>
      <w:r w:rsidR="00ED5AAB">
        <w:t>)</w:t>
      </w:r>
      <w:r w:rsidRPr="009A7800">
        <w:t xml:space="preserve"> itself considered that rPFS was an acceptable primary endpoint (provided that the secondary endpoints measuring clinical benefits were positive);</w:t>
      </w:r>
    </w:p>
    <w:p w:rsidR="009A7800" w:rsidRPr="009A7800" w:rsidRDefault="009A7800" w:rsidP="00054068">
      <w:r w:rsidRPr="009A7800">
        <w:t>The EMA guidelines envisage the use of alternative measures of disease progression as illustrated by the following extract (emphasis added):</w:t>
      </w:r>
    </w:p>
    <w:p w:rsidR="009A7800" w:rsidRPr="009A7800" w:rsidRDefault="009A7800" w:rsidP="00054068">
      <w:pPr>
        <w:rPr>
          <w:lang w:val="en-US"/>
        </w:rPr>
      </w:pPr>
      <w:r w:rsidRPr="009A7800">
        <w:rPr>
          <w:lang w:val="en-US"/>
        </w:rPr>
        <w:t>“Disease progression and recurrence are typically assessed based on objective radiological findings. Whenever possible, the definition of progression should follow established response evaluation criteria (</w:t>
      </w:r>
      <w:r w:rsidR="000B6AEE">
        <w:rPr>
          <w:lang w:val="en-US"/>
        </w:rPr>
        <w:t>for example,</w:t>
      </w:r>
      <w:r w:rsidRPr="009A7800">
        <w:rPr>
          <w:lang w:val="en-US"/>
        </w:rPr>
        <w:t>, RECIST or WHO criteria, EBMT criteria). However, it is acknowledged that, depending on the type of agent, the site and type of lesion, and the objectives of the trial,</w:t>
      </w:r>
      <w:r w:rsidRPr="00054068">
        <w:rPr>
          <w:i/>
          <w:lang w:val="en-US"/>
        </w:rPr>
        <w:t xml:space="preserve"> modified criteria might be more appropriate</w:t>
      </w:r>
      <w:r w:rsidRPr="009A7800">
        <w:rPr>
          <w:lang w:val="en-US"/>
        </w:rPr>
        <w:t xml:space="preserve">. For instance, additional objective clinical and biochemical </w:t>
      </w:r>
      <w:r w:rsidRPr="00054068">
        <w:rPr>
          <w:i/>
          <w:lang w:val="en-US"/>
        </w:rPr>
        <w:t>or radiological criteria</w:t>
      </w:r>
      <w:r w:rsidRPr="009A7800">
        <w:rPr>
          <w:lang w:val="en-US"/>
        </w:rPr>
        <w:t xml:space="preserve"> may be used to assess progression. In all cases, it is important that the criteria for definition of a progression event are as objective as possible, and that the definitions be clearly and prospectively defined in the protocol.”</w:t>
      </w:r>
    </w:p>
    <w:p w:rsidR="009A7800" w:rsidRPr="009A7800" w:rsidRDefault="009A7800" w:rsidP="00054068">
      <w:r w:rsidRPr="009A7800">
        <w:t>Overall, the use of rPFS as a primary endpoint for the trial is considered acceptable.</w:t>
      </w:r>
    </w:p>
    <w:p w:rsidR="009A7800" w:rsidRPr="009A7800" w:rsidRDefault="009A7800" w:rsidP="00054068">
      <w:r w:rsidRPr="00ED5AAB">
        <w:t>Secondary efficacy endpoints</w:t>
      </w:r>
      <w:r w:rsidRPr="009A7800">
        <w:t xml:space="preserve"> were:</w:t>
      </w:r>
    </w:p>
    <w:p w:rsidR="009A7800" w:rsidRPr="009A7800" w:rsidRDefault="009A7800" w:rsidP="00054068">
      <w:pPr>
        <w:pStyle w:val="ListBullet"/>
      </w:pPr>
      <w:r w:rsidRPr="009A7800">
        <w:t>Time to opiate use for cancer pain;</w:t>
      </w:r>
    </w:p>
    <w:p w:rsidR="009A7800" w:rsidRPr="009A7800" w:rsidRDefault="009A7800" w:rsidP="00054068">
      <w:pPr>
        <w:pStyle w:val="ListBullet"/>
      </w:pPr>
      <w:r w:rsidRPr="009A7800">
        <w:t>Time to initiation of cytotoxic chemotherapy;</w:t>
      </w:r>
    </w:p>
    <w:p w:rsidR="009A7800" w:rsidRPr="009A7800" w:rsidRDefault="009A7800" w:rsidP="00054068">
      <w:pPr>
        <w:pStyle w:val="ListBullet"/>
      </w:pPr>
      <w:r w:rsidRPr="009A7800">
        <w:t xml:space="preserve">Time to clinical deterioration in ECOG performance status by </w:t>
      </w:r>
      <w:r w:rsidR="00ED5AAB">
        <w:t>≥</w:t>
      </w:r>
      <w:r w:rsidRPr="009A7800">
        <w:t xml:space="preserve"> 1 grade;</w:t>
      </w:r>
    </w:p>
    <w:p w:rsidR="009A7800" w:rsidRPr="00ED1E89" w:rsidRDefault="009A7800" w:rsidP="00054068">
      <w:pPr>
        <w:pStyle w:val="ListBullet"/>
      </w:pPr>
      <w:r w:rsidRPr="009A7800">
        <w:lastRenderedPageBreak/>
        <w:t xml:space="preserve">Time to PSA progression. PSA progression was defined according to </w:t>
      </w:r>
      <w:r w:rsidR="006463E9" w:rsidRPr="00850C34">
        <w:t xml:space="preserve">Prostate Cancer Clinical Trials </w:t>
      </w:r>
      <w:r w:rsidR="006463E9" w:rsidRPr="00ED1E89">
        <w:t>Working Group-2 (</w:t>
      </w:r>
      <w:r w:rsidRPr="00ED1E89">
        <w:t>PCWG2</w:t>
      </w:r>
      <w:r w:rsidR="006463E9" w:rsidRPr="00ED1E89">
        <w:t>)</w:t>
      </w:r>
      <w:r w:rsidRPr="00ED1E89">
        <w:t xml:space="preserve"> criteria, which require a minimum level of 2 ng/mL and a sequence of rising values at least 1 week apart.</w:t>
      </w:r>
    </w:p>
    <w:p w:rsidR="009A7800" w:rsidRPr="00ED1E89" w:rsidRDefault="009A7800" w:rsidP="00054068">
      <w:pPr>
        <w:pStyle w:val="ListBullet"/>
      </w:pPr>
      <w:r w:rsidRPr="00ED1E89">
        <w:t>The definitions for these endpoints are shown in</w:t>
      </w:r>
      <w:r w:rsidR="007611EA">
        <w:t xml:space="preserve"> Table 2</w:t>
      </w:r>
      <w:r w:rsidRPr="00ED1E89">
        <w:t>.</w:t>
      </w:r>
    </w:p>
    <w:p w:rsidR="00ED1E89" w:rsidRDefault="00ED1E89" w:rsidP="009C2D2F">
      <w:pPr>
        <w:pStyle w:val="TableTitle"/>
      </w:pPr>
      <w:bookmarkStart w:id="55" w:name="_Ref220822551"/>
      <w:bookmarkStart w:id="56" w:name="_Toc228789319"/>
      <w:r>
        <w:t xml:space="preserve">Table </w:t>
      </w:r>
      <w:bookmarkEnd w:id="55"/>
      <w:r>
        <w:t>2: Pivotal study 302 – Secondary efficacy endpoints</w:t>
      </w:r>
      <w:bookmarkEnd w:id="56"/>
    </w:p>
    <w:p w:rsidR="008812F1" w:rsidRDefault="00ED1E89" w:rsidP="008812F1">
      <w:pPr>
        <w:pStyle w:val="ListBullet"/>
        <w:numPr>
          <w:ilvl w:val="0"/>
          <w:numId w:val="0"/>
        </w:numPr>
        <w:ind w:left="360"/>
        <w:rPr>
          <w:i/>
        </w:rPr>
      </w:pPr>
      <w:r>
        <w:rPr>
          <w:noProof/>
          <w:lang w:eastAsia="en-AU"/>
        </w:rPr>
        <w:drawing>
          <wp:inline distT="0" distB="0" distL="0" distR="0" wp14:anchorId="68DC6E62" wp14:editId="6B838608">
            <wp:extent cx="5766435" cy="3105150"/>
            <wp:effectExtent l="19050" t="0" r="5715" b="0"/>
            <wp:docPr id="50" name="Picture 1" descr="Table 2: – Pivotal study 302 – Secondary efficacy end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t="1511"/>
                    <a:stretch>
                      <a:fillRect/>
                    </a:stretch>
                  </pic:blipFill>
                  <pic:spPr bwMode="auto">
                    <a:xfrm>
                      <a:off x="0" y="0"/>
                      <a:ext cx="5766435" cy="3105150"/>
                    </a:xfrm>
                    <a:prstGeom prst="rect">
                      <a:avLst/>
                    </a:prstGeom>
                    <a:noFill/>
                    <a:ln>
                      <a:noFill/>
                    </a:ln>
                  </pic:spPr>
                </pic:pic>
              </a:graphicData>
            </a:graphic>
          </wp:inline>
        </w:drawing>
      </w:r>
    </w:p>
    <w:p w:rsidR="009A7800" w:rsidRDefault="009A7800" w:rsidP="008812F1">
      <w:pPr>
        <w:pStyle w:val="ListBullet"/>
        <w:numPr>
          <w:ilvl w:val="0"/>
          <w:numId w:val="0"/>
        </w:numPr>
        <w:ind w:left="360"/>
      </w:pPr>
      <w:r w:rsidRPr="00ED5AAB">
        <w:rPr>
          <w:i/>
        </w:rPr>
        <w:t>Other efficacy outcomes</w:t>
      </w:r>
      <w:r w:rsidRPr="009A7800">
        <w:t xml:space="preserve"> used in the study are shown </w:t>
      </w:r>
      <w:r w:rsidRPr="005730D3">
        <w:t>in</w:t>
      </w:r>
      <w:r w:rsidR="007611EA">
        <w:t xml:space="preserve"> Table </w:t>
      </w:r>
      <w:r w:rsidR="005730D3" w:rsidRPr="005730D3">
        <w:t>3</w:t>
      </w:r>
      <w:r w:rsidRPr="005730D3">
        <w:t>.</w:t>
      </w:r>
      <w:r w:rsidRPr="009A7800">
        <w:t xml:space="preserve"> </w:t>
      </w:r>
    </w:p>
    <w:p w:rsidR="00ED1E89" w:rsidRPr="00ED1E89" w:rsidRDefault="00ED1E89" w:rsidP="009C2D2F">
      <w:pPr>
        <w:pStyle w:val="TableTitle"/>
      </w:pPr>
      <w:bookmarkStart w:id="57" w:name="_Ref220822626"/>
      <w:bookmarkStart w:id="58" w:name="_Toc228789320"/>
      <w:r w:rsidRPr="00ED1E89">
        <w:lastRenderedPageBreak/>
        <w:t xml:space="preserve">Table </w:t>
      </w:r>
      <w:bookmarkEnd w:id="57"/>
      <w:r>
        <w:t xml:space="preserve">3: </w:t>
      </w:r>
      <w:r w:rsidR="007611EA">
        <w:t>Pivotal S</w:t>
      </w:r>
      <w:r w:rsidRPr="00ED1E89">
        <w:t>tudy 302 – Other efficacy endpoints</w:t>
      </w:r>
      <w:bookmarkEnd w:id="58"/>
    </w:p>
    <w:p w:rsidR="00ED1E89" w:rsidRPr="00ED1E89" w:rsidRDefault="00ED1E89" w:rsidP="008812F1">
      <w:r w:rsidRPr="00ED1E89">
        <w:rPr>
          <w:noProof/>
          <w:lang w:eastAsia="en-AU"/>
        </w:rPr>
        <w:drawing>
          <wp:inline distT="0" distB="0" distL="0" distR="0" wp14:anchorId="33496BBA" wp14:editId="22B6859B">
            <wp:extent cx="5925820" cy="7150991"/>
            <wp:effectExtent l="19050" t="0" r="0" b="0"/>
            <wp:docPr id="2" name="Picture 2" descr="Table 3:Pivotal study 302 – Other efficacy end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25820" cy="7150991"/>
                    </a:xfrm>
                    <a:prstGeom prst="rect">
                      <a:avLst/>
                    </a:prstGeom>
                    <a:noFill/>
                    <a:ln>
                      <a:noFill/>
                    </a:ln>
                  </pic:spPr>
                </pic:pic>
              </a:graphicData>
            </a:graphic>
          </wp:inline>
        </w:drawing>
      </w:r>
    </w:p>
    <w:p w:rsidR="009A7800" w:rsidRPr="009A7800" w:rsidRDefault="009A7800" w:rsidP="00054068">
      <w:pPr>
        <w:pStyle w:val="Heading6"/>
      </w:pPr>
      <w:bookmarkStart w:id="59" w:name="_Toc228789249"/>
      <w:r w:rsidRPr="009A7800">
        <w:t>Randomisation and blinding methods</w:t>
      </w:r>
      <w:bookmarkEnd w:id="59"/>
    </w:p>
    <w:p w:rsidR="009A7800" w:rsidRPr="009A7800" w:rsidRDefault="009A7800" w:rsidP="00054068">
      <w:r w:rsidRPr="009A7800">
        <w:t>An independent statistician generated the randomisation schedule using a stratified, permuted block design. Randomisation was stratified by baseline ECOG performance status (0 v</w:t>
      </w:r>
      <w:r w:rsidR="006463E9">
        <w:t>ersu</w:t>
      </w:r>
      <w:r w:rsidRPr="009A7800">
        <w:t>s 1). Subjects were allocated to treatment via an Interactive Web or Voice Response System (IWRS/IVRS).</w:t>
      </w:r>
    </w:p>
    <w:p w:rsidR="009A7800" w:rsidRPr="009A7800" w:rsidRDefault="009A7800" w:rsidP="00054068">
      <w:r w:rsidRPr="009A7800">
        <w:t xml:space="preserve">The study was double-blinded through use of a placebo that matched the abiraterone tablets in size colour and shape. Prednisone or prednisolone tablets were not blinded. Radiologists and </w:t>
      </w:r>
      <w:r w:rsidRPr="009A7800">
        <w:lastRenderedPageBreak/>
        <w:t>nuclear medicine physicians who performed the independent assessment of imaging were also blinded to the patient’s treatment allocation.</w:t>
      </w:r>
    </w:p>
    <w:p w:rsidR="009A7800" w:rsidRPr="009A7800" w:rsidRDefault="009A7800" w:rsidP="00054068">
      <w:pPr>
        <w:pStyle w:val="Heading6"/>
      </w:pPr>
      <w:bookmarkStart w:id="60" w:name="_Toc228789250"/>
      <w:r w:rsidRPr="009A7800">
        <w:t>Analysis populations</w:t>
      </w:r>
      <w:bookmarkEnd w:id="60"/>
    </w:p>
    <w:p w:rsidR="009A7800" w:rsidRPr="009A7800" w:rsidRDefault="009A7800" w:rsidP="00054068">
      <w:pPr>
        <w:rPr>
          <w:lang w:val="en-US"/>
        </w:rPr>
      </w:pPr>
      <w:r w:rsidRPr="009A7800">
        <w:rPr>
          <w:lang w:val="en-US"/>
        </w:rPr>
        <w:t>The intent-to-treat (ITT) populatio</w:t>
      </w:r>
      <w:r w:rsidR="006463E9">
        <w:rPr>
          <w:lang w:val="en-US"/>
        </w:rPr>
        <w:t>n included all subjects randomis</w:t>
      </w:r>
      <w:r w:rsidRPr="009A7800">
        <w:rPr>
          <w:lang w:val="en-US"/>
        </w:rPr>
        <w:t>ed into the study. Subjects were to be classified according to assigned treatment group, regardless of the actual treatment received. The ITT population was used for all efficacy analyses and all analyses of disposition, demographic, and ba</w:t>
      </w:r>
      <w:r w:rsidR="001323E4">
        <w:rPr>
          <w:lang w:val="en-US"/>
        </w:rPr>
        <w:t>seline disease characteristics.</w:t>
      </w:r>
    </w:p>
    <w:p w:rsidR="009A7800" w:rsidRPr="009A7800" w:rsidRDefault="009A7800" w:rsidP="00054068">
      <w:pPr>
        <w:rPr>
          <w:lang w:val="en-US"/>
        </w:rPr>
      </w:pPr>
      <w:r w:rsidRPr="009A7800">
        <w:rPr>
          <w:lang w:val="en-US"/>
        </w:rPr>
        <w:t>The safety population included all subjects in the ITT population who received any study medication.</w:t>
      </w:r>
    </w:p>
    <w:p w:rsidR="009A7800" w:rsidRPr="009A7800" w:rsidDel="0081373E" w:rsidRDefault="009A7800" w:rsidP="00054068">
      <w:pPr>
        <w:pStyle w:val="Heading6"/>
      </w:pPr>
      <w:bookmarkStart w:id="61" w:name="_Toc228789251"/>
      <w:r w:rsidRPr="009A7800" w:rsidDel="0081373E">
        <w:t>Sample size</w:t>
      </w:r>
      <w:bookmarkEnd w:id="61"/>
    </w:p>
    <w:p w:rsidR="009A7800" w:rsidRPr="009A7800" w:rsidRDefault="009A7800" w:rsidP="00054068">
      <w:pPr>
        <w:rPr>
          <w:lang w:val="en-US"/>
        </w:rPr>
      </w:pPr>
      <w:r w:rsidRPr="009A7800">
        <w:rPr>
          <w:lang w:val="en-US"/>
        </w:rPr>
        <w:t>The overall level of significance for the study was 0.05, which was allocated between the co-primary endpoints (</w:t>
      </w:r>
      <w:r w:rsidR="001323E4">
        <w:rPr>
          <w:lang w:val="en-US"/>
        </w:rPr>
        <w:t>0.01 for rPFS and 0.04 for OS).</w:t>
      </w:r>
    </w:p>
    <w:p w:rsidR="009A7800" w:rsidRPr="009A7800" w:rsidRDefault="009A7800" w:rsidP="00054068">
      <w:pPr>
        <w:rPr>
          <w:lang w:val="en-US"/>
        </w:rPr>
      </w:pPr>
      <w:r w:rsidRPr="009A7800">
        <w:rPr>
          <w:lang w:val="en-US"/>
        </w:rPr>
        <w:t xml:space="preserve">The median rPFS in subjects with mCRPC who have not received cytotoxic chemotherapy and who are asymptomatic or mildly symptomatic, was estimated to be approximately 4 months, based on a published </w:t>
      </w:r>
      <w:r w:rsidR="006463E9">
        <w:rPr>
          <w:lang w:val="en-US"/>
        </w:rPr>
        <w:t>P</w:t>
      </w:r>
      <w:r w:rsidRPr="009A7800">
        <w:rPr>
          <w:lang w:val="en-US"/>
        </w:rPr>
        <w:t>hase III trial. It was assumed that treatment with abiraterone would produce a hazard ration (HR) of 0.667, with a median rPFS of 6 months with abiraterone and 4 months with placebo. Given the 2-tailed level of significance of 0.01, it was estimated that 378 rPFS events would be required to provide the study with 91% power.</w:t>
      </w:r>
    </w:p>
    <w:p w:rsidR="009A7800" w:rsidRPr="009A7800" w:rsidRDefault="009A7800" w:rsidP="00054068">
      <w:pPr>
        <w:rPr>
          <w:lang w:val="en-US"/>
        </w:rPr>
      </w:pPr>
      <w:r w:rsidRPr="009A7800">
        <w:rPr>
          <w:lang w:val="en-US"/>
        </w:rPr>
        <w:t>The median survival in the same group was estimated to be in the range of 20 to 22 months, based on published data. It was assumed that treatment with abiraterone would produce a hazard ration (HR) of 0.80, with a median OS of 27.5 months with abiraterone and 22 months with placebo. Given the 2-tailed level of significance of 0.04, it was estimated that 773 OS events would be required to provide the study with 85% power.</w:t>
      </w:r>
    </w:p>
    <w:p w:rsidR="009A7800" w:rsidRPr="009A7800" w:rsidRDefault="009A7800" w:rsidP="001323E4">
      <w:pPr>
        <w:rPr>
          <w:lang w:val="en-US"/>
        </w:rPr>
      </w:pPr>
      <w:r w:rsidRPr="009A7800">
        <w:rPr>
          <w:lang w:val="en-US"/>
        </w:rPr>
        <w:t>Assuming an enrollment rate of 50 patients per month (20 months to complete enrollment) and study duration of approximately 64 months, a total sample size of approximately 1000 patients was planned.</w:t>
      </w:r>
    </w:p>
    <w:p w:rsidR="009A7800" w:rsidRPr="009A7800" w:rsidRDefault="009A7800" w:rsidP="00054068">
      <w:pPr>
        <w:pStyle w:val="Heading6"/>
      </w:pPr>
      <w:bookmarkStart w:id="62" w:name="_Toc228789252"/>
      <w:r w:rsidRPr="009A7800">
        <w:t>Statistical methods</w:t>
      </w:r>
      <w:bookmarkEnd w:id="62"/>
    </w:p>
    <w:p w:rsidR="009A7800" w:rsidRPr="009A7800" w:rsidRDefault="009A7800" w:rsidP="00054068">
      <w:r w:rsidRPr="009A7800">
        <w:t>All time-to-event endpoints were analysed using Kaplan-Meier methods to estimate survival distributions and the median time-to-event. For rPFS and OS the treatments were compared usin</w:t>
      </w:r>
      <w:r w:rsidR="001323E4">
        <w:t>g the stratified log rank test.</w:t>
      </w:r>
    </w:p>
    <w:p w:rsidR="009A7800" w:rsidRPr="009A7800" w:rsidRDefault="009A7800" w:rsidP="00054068">
      <w:r w:rsidRPr="009A7800">
        <w:t>Only one analysis of rPFS was planned, after 378 events. Three interim analyses and one final analysis of the OS endpoint were planned, after 116, 311, 425 and 773 events (corresponding to approximately 15%, 40%, 55% and 100% of the total events). The first interim analysis was scheduled for the same time as the rPFS analysis. The purpose of the interim analyses was to terminate the study if superiority of abiraterone was demonstrated. O’Brien-Fleming stopping boundaries, incorporating an alpha-spending function were used.</w:t>
      </w:r>
    </w:p>
    <w:p w:rsidR="009A7800" w:rsidRPr="009A7800" w:rsidRDefault="009A7800" w:rsidP="00054068">
      <w:pPr>
        <w:rPr>
          <w:lang w:val="en-US"/>
        </w:rPr>
      </w:pPr>
      <w:r w:rsidRPr="009A7800">
        <w:t xml:space="preserve">Subgroup analyses were conducted for both rPFS and OS with the </w:t>
      </w:r>
      <w:r w:rsidRPr="009A7800">
        <w:rPr>
          <w:lang w:val="en-US"/>
        </w:rPr>
        <w:t>HR within each subgroup estimated using a non-stratified Cox proportional hazard model. Various sensitivity analyses were also planned, including investigator-assessed rPFS.</w:t>
      </w:r>
    </w:p>
    <w:p w:rsidR="009A7800" w:rsidRPr="009A7800" w:rsidRDefault="009A7800" w:rsidP="00054068">
      <w:r w:rsidRPr="009A7800">
        <w:t>The secondary endpoints were analysed using the Hochberg test procedure, with the overall level of significance controlled at the 2-tailed, 0.05 level.</w:t>
      </w:r>
    </w:p>
    <w:p w:rsidR="009A7800" w:rsidRPr="009A7800" w:rsidRDefault="009A7800" w:rsidP="00054068">
      <w:r w:rsidRPr="009A7800">
        <w:t>Analyses of other endpoints did not include adjustments for multiplicity for multiple comparisons. Each endpoint was tested at a 2-tailed 0.05 level of significance.</w:t>
      </w:r>
    </w:p>
    <w:p w:rsidR="009A7800" w:rsidRPr="009A7800" w:rsidRDefault="009A7800" w:rsidP="00054068">
      <w:pPr>
        <w:pStyle w:val="Heading6"/>
      </w:pPr>
      <w:bookmarkStart w:id="63" w:name="_Toc228789253"/>
      <w:r w:rsidRPr="009A7800">
        <w:lastRenderedPageBreak/>
        <w:t>Participant flow</w:t>
      </w:r>
      <w:bookmarkEnd w:id="63"/>
    </w:p>
    <w:p w:rsidR="009A7800" w:rsidRPr="006463E9" w:rsidRDefault="009A7800" w:rsidP="00054068">
      <w:pPr>
        <w:rPr>
          <w:highlight w:val="yellow"/>
        </w:rPr>
      </w:pPr>
      <w:r w:rsidRPr="009A7800">
        <w:t>A total of 1,088 subjects were randomised and 1,082 received treatment. At the 20 December 2011 cut-off date 31% of patients in the abiraterone arm and 16% of subjects in the placebo arm were still receiving treatment</w:t>
      </w:r>
      <w:r w:rsidRPr="006B081C">
        <w:t>.</w:t>
      </w:r>
    </w:p>
    <w:p w:rsidR="009A7800" w:rsidRDefault="009A7800" w:rsidP="00054068">
      <w:r w:rsidRPr="005730D3">
        <w:t xml:space="preserve">A flow diagram for the study is shown in </w:t>
      </w:r>
      <w:r w:rsidR="007611EA">
        <w:t>Figure 1</w:t>
      </w:r>
      <w:r w:rsidRPr="005730D3">
        <w:t xml:space="preserve">. Reasons for discontinuation are shown in </w:t>
      </w:r>
      <w:r w:rsidR="007611EA">
        <w:t xml:space="preserve">Table </w:t>
      </w:r>
      <w:r w:rsidR="005730D3" w:rsidRPr="005730D3">
        <w:t>4</w:t>
      </w:r>
      <w:r w:rsidRPr="005730D3">
        <w:t xml:space="preserve"> and </w:t>
      </w:r>
      <w:r w:rsidR="007611EA">
        <w:t xml:space="preserve">Table </w:t>
      </w:r>
      <w:r w:rsidR="005730D3" w:rsidRPr="005730D3">
        <w:t>5</w:t>
      </w:r>
      <w:r w:rsidRPr="005730D3">
        <w:t>.</w:t>
      </w:r>
      <w:r w:rsidRPr="009A7800">
        <w:t xml:space="preserve"> </w:t>
      </w:r>
    </w:p>
    <w:p w:rsidR="006B081C" w:rsidRDefault="00ED1E89" w:rsidP="00844ADC">
      <w:pPr>
        <w:pStyle w:val="FigureTitle"/>
      </w:pPr>
      <w:bookmarkStart w:id="64" w:name="_Ref220837126"/>
      <w:bookmarkStart w:id="65" w:name="_Toc228789352"/>
      <w:r w:rsidRPr="00ED1E89">
        <w:t xml:space="preserve">Figure </w:t>
      </w:r>
      <w:bookmarkEnd w:id="64"/>
      <w:r>
        <w:t>1:</w:t>
      </w:r>
      <w:r w:rsidRPr="00ED1E89">
        <w:t>Pivotal study 302 - Participant flow and analysis sets.</w:t>
      </w:r>
      <w:bookmarkEnd w:id="65"/>
    </w:p>
    <w:p w:rsidR="00ED1E89" w:rsidRDefault="00ED1E89" w:rsidP="00844ADC">
      <w:pPr>
        <w:pStyle w:val="FigureTitle"/>
      </w:pPr>
      <w:r w:rsidRPr="00ED1E89">
        <w:rPr>
          <w:noProof/>
          <w:lang w:eastAsia="en-AU"/>
        </w:rPr>
        <w:drawing>
          <wp:inline distT="0" distB="0" distL="0" distR="0">
            <wp:extent cx="3152775" cy="3772608"/>
            <wp:effectExtent l="19050" t="0" r="9525" b="0"/>
            <wp:docPr id="3" name="Picture 1" descr="Figure 1: Pivotal study 302 - Participant flow and analysis s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55071" cy="3775355"/>
                    </a:xfrm>
                    <a:prstGeom prst="rect">
                      <a:avLst/>
                    </a:prstGeom>
                    <a:noFill/>
                    <a:ln>
                      <a:noFill/>
                    </a:ln>
                  </pic:spPr>
                </pic:pic>
              </a:graphicData>
            </a:graphic>
          </wp:inline>
        </w:drawing>
      </w:r>
    </w:p>
    <w:p w:rsidR="00844ADC" w:rsidRPr="00844ADC" w:rsidRDefault="00844ADC" w:rsidP="009C2D2F">
      <w:pPr>
        <w:pStyle w:val="TableTitle"/>
      </w:pPr>
      <w:bookmarkStart w:id="66" w:name="_Ref220837964"/>
      <w:bookmarkStart w:id="67" w:name="_Ref220837862"/>
      <w:bookmarkStart w:id="68" w:name="_Toc228789321"/>
      <w:r w:rsidRPr="00844ADC">
        <w:t xml:space="preserve">Table </w:t>
      </w:r>
      <w:bookmarkEnd w:id="66"/>
      <w:r>
        <w:t xml:space="preserve">4: </w:t>
      </w:r>
      <w:r w:rsidRPr="00844ADC">
        <w:t>Pivotal study 302 – Discontinuations</w:t>
      </w:r>
      <w:bookmarkEnd w:id="67"/>
      <w:bookmarkEnd w:id="68"/>
    </w:p>
    <w:p w:rsidR="00844ADC" w:rsidRPr="00844ADC" w:rsidRDefault="00844ADC" w:rsidP="00844ADC">
      <w:pPr>
        <w:pStyle w:val="FigureTitle"/>
      </w:pPr>
      <w:r w:rsidRPr="00844ADC">
        <w:rPr>
          <w:noProof/>
          <w:lang w:eastAsia="en-AU"/>
        </w:rPr>
        <w:drawing>
          <wp:inline distT="0" distB="0" distL="0" distR="0">
            <wp:extent cx="5925820" cy="2203054"/>
            <wp:effectExtent l="19050" t="0" r="0" b="0"/>
            <wp:docPr id="4" name="Picture 2" descr="Table 4: Pivotal study 302 – Discontinu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25820" cy="2203054"/>
                    </a:xfrm>
                    <a:prstGeom prst="rect">
                      <a:avLst/>
                    </a:prstGeom>
                    <a:noFill/>
                    <a:ln>
                      <a:noFill/>
                    </a:ln>
                  </pic:spPr>
                </pic:pic>
              </a:graphicData>
            </a:graphic>
          </wp:inline>
        </w:drawing>
      </w:r>
    </w:p>
    <w:p w:rsidR="00844ADC" w:rsidRPr="00844ADC" w:rsidRDefault="00844ADC" w:rsidP="009C2D2F">
      <w:pPr>
        <w:pStyle w:val="TableTitle"/>
      </w:pPr>
      <w:bookmarkStart w:id="69" w:name="_Ref220837983"/>
      <w:bookmarkStart w:id="70" w:name="_Toc228789322"/>
      <w:r w:rsidRPr="00844ADC">
        <w:lastRenderedPageBreak/>
        <w:t xml:space="preserve">Table </w:t>
      </w:r>
      <w:bookmarkEnd w:id="69"/>
      <w:r>
        <w:t xml:space="preserve">5: </w:t>
      </w:r>
      <w:r w:rsidRPr="00844ADC">
        <w:t>Pivotal study 302 – Discontinuations due to unequivocal clinical progression</w:t>
      </w:r>
      <w:bookmarkEnd w:id="70"/>
    </w:p>
    <w:p w:rsidR="00844ADC" w:rsidRPr="00844ADC" w:rsidRDefault="00844ADC" w:rsidP="00844ADC">
      <w:pPr>
        <w:pStyle w:val="FigureTitle"/>
        <w:keepNext/>
      </w:pPr>
      <w:r w:rsidRPr="00844ADC">
        <w:rPr>
          <w:noProof/>
          <w:lang w:eastAsia="en-AU"/>
        </w:rPr>
        <w:drawing>
          <wp:inline distT="0" distB="0" distL="0" distR="0">
            <wp:extent cx="5925820" cy="1653337"/>
            <wp:effectExtent l="19050" t="0" r="0" b="0"/>
            <wp:docPr id="5" name="Picture 3" descr="Table 5: Pivotal study 302 – Discontinuations due to unequivocal clinical progr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25820" cy="1653337"/>
                    </a:xfrm>
                    <a:prstGeom prst="rect">
                      <a:avLst/>
                    </a:prstGeom>
                    <a:noFill/>
                    <a:ln>
                      <a:noFill/>
                    </a:ln>
                  </pic:spPr>
                </pic:pic>
              </a:graphicData>
            </a:graphic>
          </wp:inline>
        </w:drawing>
      </w:r>
    </w:p>
    <w:p w:rsidR="009A7800" w:rsidRPr="009A7800" w:rsidRDefault="009A7800" w:rsidP="00054068">
      <w:pPr>
        <w:pStyle w:val="Heading6"/>
      </w:pPr>
      <w:bookmarkStart w:id="71" w:name="_Toc228789254"/>
      <w:r w:rsidRPr="009A7800">
        <w:t>Major protocol violations/deviations</w:t>
      </w:r>
      <w:bookmarkEnd w:id="71"/>
    </w:p>
    <w:p w:rsidR="009A7800" w:rsidRPr="009A7800" w:rsidRDefault="009A7800" w:rsidP="00054068">
      <w:r w:rsidRPr="009A7800">
        <w:t xml:space="preserve">Major protocol violations are </w:t>
      </w:r>
      <w:r w:rsidRPr="00844ADC">
        <w:t>shown in</w:t>
      </w:r>
      <w:r w:rsidR="007611EA">
        <w:t xml:space="preserve"> Table 6.</w:t>
      </w:r>
      <w:r w:rsidRPr="00844ADC">
        <w:t xml:space="preserve"> These w</w:t>
      </w:r>
      <w:r w:rsidRPr="009A7800">
        <w:t>ere balanced between treatment arms.</w:t>
      </w:r>
    </w:p>
    <w:p w:rsidR="00844ADC" w:rsidRPr="00844ADC" w:rsidRDefault="00844ADC" w:rsidP="009C2D2F">
      <w:pPr>
        <w:pStyle w:val="TableTitle"/>
      </w:pPr>
      <w:bookmarkStart w:id="72" w:name="_Ref220838827"/>
      <w:bookmarkStart w:id="73" w:name="_Toc228789323"/>
      <w:r w:rsidRPr="00844ADC">
        <w:t xml:space="preserve">Table </w:t>
      </w:r>
      <w:bookmarkEnd w:id="72"/>
      <w:r>
        <w:t xml:space="preserve">6: </w:t>
      </w:r>
      <w:r w:rsidRPr="00844ADC">
        <w:t>Pivotal study 302 – Major protocol violations</w:t>
      </w:r>
      <w:bookmarkEnd w:id="73"/>
    </w:p>
    <w:p w:rsidR="00844ADC" w:rsidRPr="00844ADC" w:rsidRDefault="00844ADC" w:rsidP="00844ADC">
      <w:r w:rsidRPr="00844ADC">
        <w:rPr>
          <w:noProof/>
          <w:lang w:eastAsia="en-AU"/>
        </w:rPr>
        <w:drawing>
          <wp:inline distT="0" distB="0" distL="0" distR="0">
            <wp:extent cx="5925820" cy="2299706"/>
            <wp:effectExtent l="19050" t="0" r="0" b="0"/>
            <wp:docPr id="6" name="Picture 4" descr="Table 6: Pivotal study 302 – Major protocol vio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25820" cy="2299706"/>
                    </a:xfrm>
                    <a:prstGeom prst="rect">
                      <a:avLst/>
                    </a:prstGeom>
                    <a:noFill/>
                    <a:ln>
                      <a:noFill/>
                    </a:ln>
                  </pic:spPr>
                </pic:pic>
              </a:graphicData>
            </a:graphic>
          </wp:inline>
        </w:drawing>
      </w:r>
    </w:p>
    <w:p w:rsidR="009A7800" w:rsidRPr="009A7800" w:rsidRDefault="009A7800" w:rsidP="00054068">
      <w:pPr>
        <w:pStyle w:val="Heading6"/>
      </w:pPr>
      <w:bookmarkStart w:id="74" w:name="_Toc228789255"/>
      <w:r w:rsidRPr="009A7800">
        <w:t>Baseline data</w:t>
      </w:r>
      <w:bookmarkEnd w:id="74"/>
    </w:p>
    <w:p w:rsidR="009A7800" w:rsidRPr="009A7800" w:rsidRDefault="00844ADC" w:rsidP="00054068">
      <w:r>
        <w:t>Baseline</w:t>
      </w:r>
      <w:r w:rsidR="009A7800" w:rsidRPr="009A7800">
        <w:t xml:space="preserve"> data indicate that the two groups were well matched at baseline. The groups were also well matched with respect to baseline BPI-SF pain scores and analgesic use.</w:t>
      </w:r>
    </w:p>
    <w:p w:rsidR="009A7800" w:rsidRPr="009A7800" w:rsidRDefault="009A7800" w:rsidP="00054068">
      <w:pPr>
        <w:pStyle w:val="Heading5"/>
      </w:pPr>
      <w:bookmarkStart w:id="75" w:name="_Toc228789256"/>
      <w:r w:rsidRPr="009A7800">
        <w:t>Results for the primary efficacy outcomes</w:t>
      </w:r>
      <w:bookmarkEnd w:id="75"/>
    </w:p>
    <w:p w:rsidR="009A7800" w:rsidRPr="009A7800" w:rsidRDefault="009A7800" w:rsidP="00054068">
      <w:pPr>
        <w:pStyle w:val="Heading6"/>
      </w:pPr>
      <w:r w:rsidRPr="009A7800">
        <w:t>rPFS</w:t>
      </w:r>
    </w:p>
    <w:p w:rsidR="009A7800" w:rsidRPr="00844ADC" w:rsidRDefault="009A7800" w:rsidP="00054068">
      <w:r w:rsidRPr="009A7800">
        <w:t>The data cut-off for rPFS was 20 December 2010. At this time the median duration of follow up was 8.3 months. Results for r</w:t>
      </w:r>
      <w:r w:rsidRPr="00844ADC">
        <w:t xml:space="preserve">PFS are shown in </w:t>
      </w:r>
      <w:r w:rsidR="007611EA">
        <w:t>Table 7</w:t>
      </w:r>
      <w:r w:rsidRPr="00844ADC">
        <w:t xml:space="preserve"> and </w:t>
      </w:r>
      <w:r w:rsidR="007611EA">
        <w:t>Figure 2</w:t>
      </w:r>
      <w:r w:rsidRPr="00844ADC">
        <w:t>. A total of 401 rPFS events had occurred. Abiraterone treatment was associated with a statistically significant reduction in the risk of experiencing an rPFS event (HR = 0.425; 95%CI: 0.347 – 0.522; p-value &lt; 0.0001). There was a numerical reduction in the number of both bone scan-detected events and CT/MRI-detected events. Median rPFS was 8.3 months in the placebo group and had not been reached in the abiraterone group. The proportion of patients who were event-free at 12 months increased from 34% in the placebo group t</w:t>
      </w:r>
      <w:r w:rsidR="006B081C">
        <w:t>o 56% in the abiraterone group.</w:t>
      </w:r>
    </w:p>
    <w:p w:rsidR="009A7800" w:rsidRPr="00844ADC" w:rsidRDefault="009A7800" w:rsidP="00054068">
      <w:r w:rsidRPr="00844ADC">
        <w:t xml:space="preserve">Subgroup analyses for rPFS demonstrated consistent efficacy over all subgroups tested (see </w:t>
      </w:r>
      <w:r w:rsidR="007611EA">
        <w:t>Figure 3</w:t>
      </w:r>
      <w:r w:rsidRPr="00844ADC">
        <w:t>).</w:t>
      </w:r>
    </w:p>
    <w:p w:rsidR="009A7800" w:rsidRDefault="009A7800" w:rsidP="00054068">
      <w:r w:rsidRPr="00844ADC">
        <w:t>The sponsor conducted a number of sensitivity analyses (both pre-specified and post-hoc) all of which showed a statistically significant benefit for abiraterone. Several of these involved assessment of rPFS by the investigators, as opposed to independent review. The results of these are shown in</w:t>
      </w:r>
      <w:r w:rsidR="007611EA">
        <w:t xml:space="preserve"> Table 8</w:t>
      </w:r>
      <w:r w:rsidRPr="00844ADC">
        <w:t>. Although only conducted a</w:t>
      </w:r>
      <w:r w:rsidRPr="009A7800">
        <w:t xml:space="preserve">s sensitivity analyses, these data provide </w:t>
      </w:r>
      <w:r w:rsidRPr="009A7800">
        <w:lastRenderedPageBreak/>
        <w:t>estimates of median survival for both treatment groups. They suggest a prolongation of median rPFS of approximately 4-8 months.</w:t>
      </w:r>
    </w:p>
    <w:p w:rsidR="006B081C" w:rsidRDefault="00844ADC" w:rsidP="009C2D2F">
      <w:pPr>
        <w:pStyle w:val="TableTitle"/>
        <w:keepNext w:val="0"/>
      </w:pPr>
      <w:bookmarkStart w:id="76" w:name="_Ref220899865"/>
      <w:bookmarkStart w:id="77" w:name="_Toc228789328"/>
      <w:r w:rsidRPr="00844ADC">
        <w:t xml:space="preserve">Table </w:t>
      </w:r>
      <w:r>
        <w:t>7:</w:t>
      </w:r>
      <w:bookmarkEnd w:id="76"/>
      <w:r w:rsidRPr="00844ADC">
        <w:t xml:space="preserve"> Pivotal </w:t>
      </w:r>
      <w:r w:rsidR="004A5E29">
        <w:t>S</w:t>
      </w:r>
      <w:r w:rsidRPr="00844ADC">
        <w:t>tudy 302 – Results for rPFS co-primary endpoint</w:t>
      </w:r>
      <w:bookmarkEnd w:id="77"/>
    </w:p>
    <w:p w:rsidR="00844ADC" w:rsidRPr="00844ADC" w:rsidRDefault="00844ADC" w:rsidP="009C2D2F">
      <w:pPr>
        <w:pStyle w:val="TableTitle"/>
        <w:keepNext w:val="0"/>
      </w:pPr>
      <w:r w:rsidRPr="00844ADC">
        <w:rPr>
          <w:noProof/>
          <w:lang w:eastAsia="en-AU"/>
        </w:rPr>
        <w:drawing>
          <wp:inline distT="0" distB="0" distL="0" distR="0">
            <wp:extent cx="5766435" cy="3067050"/>
            <wp:effectExtent l="19050" t="0" r="5715" b="0"/>
            <wp:docPr id="9" name="Picture 1" descr="Table 7: Pivotal study 302 – Results for rPFS co-primary end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t="2339" b="3509"/>
                    <a:stretch>
                      <a:fillRect/>
                    </a:stretch>
                  </pic:blipFill>
                  <pic:spPr bwMode="auto">
                    <a:xfrm>
                      <a:off x="0" y="0"/>
                      <a:ext cx="5766435" cy="3067050"/>
                    </a:xfrm>
                    <a:prstGeom prst="rect">
                      <a:avLst/>
                    </a:prstGeom>
                    <a:noFill/>
                    <a:ln>
                      <a:noFill/>
                    </a:ln>
                  </pic:spPr>
                </pic:pic>
              </a:graphicData>
            </a:graphic>
          </wp:inline>
        </w:drawing>
      </w:r>
      <w:r w:rsidRPr="00844ADC">
        <w:rPr>
          <w:noProof/>
          <w:lang w:eastAsia="en-AU"/>
        </w:rPr>
        <w:drawing>
          <wp:inline distT="0" distB="0" distL="0" distR="0">
            <wp:extent cx="5766435" cy="3529919"/>
            <wp:effectExtent l="19050" t="0" r="5715" b="0"/>
            <wp:docPr id="10" name="Picture 3" descr="Table 7: Pivotal study 302 – Results for rPFS co-primary end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67017" cy="3530275"/>
                    </a:xfrm>
                    <a:prstGeom prst="rect">
                      <a:avLst/>
                    </a:prstGeom>
                    <a:noFill/>
                    <a:ln>
                      <a:noFill/>
                    </a:ln>
                  </pic:spPr>
                </pic:pic>
              </a:graphicData>
            </a:graphic>
          </wp:inline>
        </w:drawing>
      </w:r>
    </w:p>
    <w:p w:rsidR="00844ADC" w:rsidRPr="00844ADC" w:rsidRDefault="00844ADC" w:rsidP="00844ADC">
      <w:pPr>
        <w:pStyle w:val="FigureTitle"/>
        <w:keepNext/>
      </w:pPr>
      <w:bookmarkStart w:id="78" w:name="_Ref220899893"/>
      <w:bookmarkStart w:id="79" w:name="_Toc228789353"/>
      <w:r w:rsidRPr="00844ADC">
        <w:lastRenderedPageBreak/>
        <w:t xml:space="preserve">Figure </w:t>
      </w:r>
      <w:bookmarkEnd w:id="78"/>
      <w:r>
        <w:t xml:space="preserve">2: </w:t>
      </w:r>
      <w:r w:rsidRPr="00844ADC">
        <w:t>Pivotal study 302 – Kaplan-Meier curves for rPFS co-primary endpoint</w:t>
      </w:r>
      <w:bookmarkEnd w:id="79"/>
    </w:p>
    <w:p w:rsidR="00844ADC" w:rsidRPr="00844ADC" w:rsidRDefault="00844ADC" w:rsidP="006B081C">
      <w:r w:rsidRPr="00844ADC">
        <w:rPr>
          <w:noProof/>
          <w:lang w:eastAsia="en-AU"/>
        </w:rPr>
        <w:drawing>
          <wp:inline distT="0" distB="0" distL="0" distR="0" wp14:anchorId="3F559E55" wp14:editId="52A7F766">
            <wp:extent cx="3705225" cy="2782171"/>
            <wp:effectExtent l="19050" t="0" r="9525" b="0"/>
            <wp:docPr id="12" name="Picture 2" descr="Figure 2: Pivotal study 302 – Kaplan-Meier curves for rPFS co-primary end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3709663" cy="2785503"/>
                    </a:xfrm>
                    <a:prstGeom prst="rect">
                      <a:avLst/>
                    </a:prstGeom>
                    <a:noFill/>
                    <a:ln>
                      <a:noFill/>
                    </a:ln>
                  </pic:spPr>
                </pic:pic>
              </a:graphicData>
            </a:graphic>
          </wp:inline>
        </w:drawing>
      </w:r>
    </w:p>
    <w:p w:rsidR="00844ADC" w:rsidRPr="00844ADC" w:rsidRDefault="00844ADC" w:rsidP="009C2D2F">
      <w:pPr>
        <w:pStyle w:val="TableTitle"/>
      </w:pPr>
      <w:bookmarkStart w:id="80" w:name="_Ref220902569"/>
      <w:bookmarkStart w:id="81" w:name="_Toc228789354"/>
      <w:r w:rsidRPr="00844ADC">
        <w:t>Figure</w:t>
      </w:r>
      <w:r>
        <w:t xml:space="preserve"> 3:</w:t>
      </w:r>
      <w:bookmarkEnd w:id="80"/>
      <w:r>
        <w:t xml:space="preserve"> </w:t>
      </w:r>
      <w:r w:rsidRPr="00844ADC">
        <w:t>Pivotal study 302 – Subgroup analyses of rPFS co-primary endpoint.</w:t>
      </w:r>
      <w:bookmarkEnd w:id="81"/>
    </w:p>
    <w:p w:rsidR="00844ADC" w:rsidRPr="00844ADC" w:rsidRDefault="00844ADC" w:rsidP="006350AE">
      <w:pPr>
        <w:pStyle w:val="TableTitle"/>
      </w:pPr>
      <w:r w:rsidRPr="00844ADC">
        <w:rPr>
          <w:noProof/>
          <w:lang w:eastAsia="en-AU"/>
        </w:rPr>
        <w:drawing>
          <wp:inline distT="0" distB="0" distL="0" distR="0" wp14:anchorId="246C4648" wp14:editId="68D0F12D">
            <wp:extent cx="4752975" cy="4859388"/>
            <wp:effectExtent l="19050" t="0" r="9525" b="0"/>
            <wp:docPr id="14" name="Picture 4" descr="Figure 3: Pivotal study 302 – Subgroup analyses of rPFS co-primary end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753994" cy="4860430"/>
                    </a:xfrm>
                    <a:prstGeom prst="rect">
                      <a:avLst/>
                    </a:prstGeom>
                    <a:noFill/>
                    <a:ln>
                      <a:noFill/>
                    </a:ln>
                  </pic:spPr>
                </pic:pic>
              </a:graphicData>
            </a:graphic>
          </wp:inline>
        </w:drawing>
      </w:r>
      <w:bookmarkStart w:id="82" w:name="_Ref220903550"/>
      <w:bookmarkStart w:id="83" w:name="_Toc228789329"/>
      <w:r w:rsidR="006B081C">
        <w:br w:type="page"/>
      </w:r>
      <w:r w:rsidRPr="00844ADC">
        <w:lastRenderedPageBreak/>
        <w:t xml:space="preserve">Table </w:t>
      </w:r>
      <w:bookmarkEnd w:id="82"/>
      <w:r>
        <w:t>8:</w:t>
      </w:r>
      <w:r w:rsidRPr="00844ADC">
        <w:t xml:space="preserve"> Pivotal </w:t>
      </w:r>
      <w:r>
        <w:t>S</w:t>
      </w:r>
      <w:r w:rsidRPr="00844ADC">
        <w:t>tudy 302 – Investigator assessment of rPFS</w:t>
      </w:r>
      <w:bookmarkEnd w:id="83"/>
    </w:p>
    <w:p w:rsidR="00844ADC" w:rsidRPr="00844ADC" w:rsidRDefault="00844ADC" w:rsidP="006B081C">
      <w:r w:rsidRPr="00844ADC">
        <w:rPr>
          <w:noProof/>
          <w:lang w:eastAsia="en-AU"/>
        </w:rPr>
        <w:drawing>
          <wp:inline distT="0" distB="0" distL="0" distR="0" wp14:anchorId="153F3136" wp14:editId="344FB072">
            <wp:extent cx="5766435" cy="5116712"/>
            <wp:effectExtent l="0" t="0" r="0" b="0"/>
            <wp:docPr id="16" name="Picture 5" descr="Table 8: Pivotal Study 302 – Investigator assessment of rP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66807" cy="5117042"/>
                    </a:xfrm>
                    <a:prstGeom prst="rect">
                      <a:avLst/>
                    </a:prstGeom>
                    <a:noFill/>
                    <a:ln>
                      <a:noFill/>
                    </a:ln>
                  </pic:spPr>
                </pic:pic>
              </a:graphicData>
            </a:graphic>
          </wp:inline>
        </w:drawing>
      </w:r>
    </w:p>
    <w:p w:rsidR="009A7800" w:rsidRPr="009A7800" w:rsidRDefault="009A7800" w:rsidP="00844ADC">
      <w:pPr>
        <w:ind w:left="993" w:hanging="993"/>
      </w:pPr>
      <w:r w:rsidRPr="009A7800">
        <w:t>Comment:</w:t>
      </w:r>
      <w:r w:rsidRPr="009A7800">
        <w:tab/>
        <w:t>It is notable that the median rPFS in the placebo group (8.3 months) was double that expected in the sample size calculations.</w:t>
      </w:r>
    </w:p>
    <w:p w:rsidR="009A7800" w:rsidRPr="009A7800" w:rsidRDefault="009A7800" w:rsidP="00054068">
      <w:pPr>
        <w:pStyle w:val="Heading6"/>
      </w:pPr>
      <w:r w:rsidRPr="009A7800">
        <w:t>OS</w:t>
      </w:r>
    </w:p>
    <w:p w:rsidR="009A7800" w:rsidRPr="009A7800" w:rsidRDefault="009A7800" w:rsidP="00054068">
      <w:r w:rsidRPr="009A7800">
        <w:t xml:space="preserve">Results were presented for the </w:t>
      </w:r>
      <w:r w:rsidR="006463E9">
        <w:t>second</w:t>
      </w:r>
      <w:r w:rsidRPr="009A7800">
        <w:t xml:space="preserve"> interim analysis of OS, which had a data cut-off of 20 December 2011. At this time the median duration of follow-up was 22.2 months. Results for OS are shown i</w:t>
      </w:r>
      <w:r w:rsidRPr="004A5E29">
        <w:t xml:space="preserve">n </w:t>
      </w:r>
      <w:r w:rsidR="005730D3">
        <w:t>Table 9</w:t>
      </w:r>
      <w:r w:rsidR="004A5E29" w:rsidRPr="004A5E29">
        <w:t xml:space="preserve"> </w:t>
      </w:r>
      <w:r w:rsidRPr="004A5E29">
        <w:t xml:space="preserve">and </w:t>
      </w:r>
      <w:r w:rsidR="005730D3">
        <w:t>Figure 4</w:t>
      </w:r>
      <w:r w:rsidRPr="004A5E29">
        <w:t>.</w:t>
      </w:r>
    </w:p>
    <w:p w:rsidR="004A5E29" w:rsidRDefault="009A7800" w:rsidP="004A5E29">
      <w:pPr>
        <w:rPr>
          <w:rFonts w:eastAsia="Times New Roman"/>
          <w:b/>
          <w:bCs/>
          <w:kern w:val="16"/>
          <w:szCs w:val="24"/>
          <w:lang w:eastAsia="en-AU"/>
        </w:rPr>
      </w:pPr>
      <w:r w:rsidRPr="009A7800">
        <w:t xml:space="preserve">At the time of the </w:t>
      </w:r>
      <w:r w:rsidR="006463E9">
        <w:t>second</w:t>
      </w:r>
      <w:r w:rsidRPr="009A7800">
        <w:t xml:space="preserve"> interim analysis of OS, a total of 333 deaths had occurred. There was a 25% reduction in the risk of death in the abiraterone group (</w:t>
      </w:r>
      <w:r w:rsidR="006463E9">
        <w:t>Hazard Ratio (</w:t>
      </w:r>
      <w:r w:rsidRPr="009A7800">
        <w:t>HR</w:t>
      </w:r>
      <w:r w:rsidR="006463E9">
        <w:t>)</w:t>
      </w:r>
      <w:r w:rsidRPr="009A7800">
        <w:t xml:space="preserve"> = 0.752; 95%</w:t>
      </w:r>
      <w:r w:rsidR="006463E9">
        <w:t>confidence Interval (</w:t>
      </w:r>
      <w:r w:rsidRPr="009A7800">
        <w:t>CI</w:t>
      </w:r>
      <w:r w:rsidR="006463E9">
        <w:t>)</w:t>
      </w:r>
      <w:r w:rsidRPr="009A7800">
        <w:t>: 0.606 – 0.934). Due to multiplicity of testing, the pre-specified statistical significance level for this analysis was p</w:t>
      </w:r>
      <w:r w:rsidR="006463E9">
        <w:t> </w:t>
      </w:r>
      <w:r w:rsidRPr="009A7800">
        <w:t>=</w:t>
      </w:r>
      <w:r w:rsidR="006463E9">
        <w:t> </w:t>
      </w:r>
      <w:r w:rsidRPr="009A7800">
        <w:t xml:space="preserve">0.008. The p-value obtained with the pre-specified log rank test was p = 0.0097, and hence the difference in OS was </w:t>
      </w:r>
      <w:r w:rsidRPr="006463E9">
        <w:rPr>
          <w:i/>
        </w:rPr>
        <w:t>not</w:t>
      </w:r>
      <w:r w:rsidRPr="009A7800">
        <w:t xml:space="preserve"> statistically significant. Median OS was 27.2 months in the placebo group and had not been reached in the abiraterone group. The proportion of patients who were alive at 2 years was increased from 60% in the placebo group to 71% in the abiraterone group.</w:t>
      </w:r>
      <w:bookmarkStart w:id="84" w:name="_Ref220904891"/>
      <w:bookmarkStart w:id="85" w:name="_Toc228789330"/>
    </w:p>
    <w:p w:rsidR="004A5E29" w:rsidRPr="004A5E29" w:rsidRDefault="004A5E29" w:rsidP="009C2D2F">
      <w:pPr>
        <w:pStyle w:val="TableTitle"/>
      </w:pPr>
      <w:r w:rsidRPr="004A5E29">
        <w:lastRenderedPageBreak/>
        <w:t xml:space="preserve">Table </w:t>
      </w:r>
      <w:r>
        <w:t>9</w:t>
      </w:r>
      <w:bookmarkEnd w:id="84"/>
      <w:r>
        <w:t>:</w:t>
      </w:r>
      <w:r w:rsidRPr="004A5E29">
        <w:t xml:space="preserve"> Pivotal study 302 – Results for OS co-primary endpoint</w:t>
      </w:r>
      <w:bookmarkEnd w:id="85"/>
    </w:p>
    <w:p w:rsidR="004A5E29" w:rsidRPr="004A5E29" w:rsidRDefault="004A5E29" w:rsidP="004A5E29">
      <w:pPr>
        <w:keepNext/>
      </w:pPr>
      <w:r w:rsidRPr="004A5E29">
        <w:rPr>
          <w:noProof/>
          <w:lang w:eastAsia="en-AU"/>
        </w:rPr>
        <w:drawing>
          <wp:inline distT="0" distB="0" distL="0" distR="0">
            <wp:extent cx="5021102" cy="2952750"/>
            <wp:effectExtent l="19050" t="0" r="8098" b="0"/>
            <wp:docPr id="19" name="Picture 6" descr="Table 9: Pivotal study 302 – Results for OS co-primary end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021882" cy="2953209"/>
                    </a:xfrm>
                    <a:prstGeom prst="rect">
                      <a:avLst/>
                    </a:prstGeom>
                    <a:noFill/>
                    <a:ln>
                      <a:noFill/>
                    </a:ln>
                  </pic:spPr>
                </pic:pic>
              </a:graphicData>
            </a:graphic>
          </wp:inline>
        </w:drawing>
      </w:r>
    </w:p>
    <w:p w:rsidR="004A5E29" w:rsidRPr="004A5E29" w:rsidRDefault="004A5E29" w:rsidP="004A5E29">
      <w:pPr>
        <w:pStyle w:val="FigureTitle"/>
      </w:pPr>
      <w:bookmarkStart w:id="86" w:name="_Ref220905342"/>
      <w:bookmarkStart w:id="87" w:name="_Toc228789355"/>
      <w:r w:rsidRPr="004A5E29">
        <w:t>Figure</w:t>
      </w:r>
      <w:bookmarkEnd w:id="86"/>
      <w:r w:rsidR="005730D3">
        <w:t xml:space="preserve"> 4</w:t>
      </w:r>
      <w:r>
        <w:t>:</w:t>
      </w:r>
      <w:r w:rsidRPr="004A5E29">
        <w:t xml:space="preserve"> Pivotal study 302 – Kaplan-Meier curves for OS co-primary endpoint</w:t>
      </w:r>
      <w:bookmarkEnd w:id="87"/>
    </w:p>
    <w:p w:rsidR="004A5E29" w:rsidRPr="004A5E29" w:rsidRDefault="004A5E29" w:rsidP="004A5E29">
      <w:r w:rsidRPr="004A5E29">
        <w:rPr>
          <w:noProof/>
          <w:lang w:eastAsia="en-AU"/>
        </w:rPr>
        <w:drawing>
          <wp:inline distT="0" distB="0" distL="0" distR="0">
            <wp:extent cx="4976797" cy="3571875"/>
            <wp:effectExtent l="19050" t="0" r="0" b="0"/>
            <wp:docPr id="20" name="Picture 7" descr="Figure 4: Pivotal study 302 – Kaplan-Meier curves for OS co-primary end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980839" cy="3574776"/>
                    </a:xfrm>
                    <a:prstGeom prst="rect">
                      <a:avLst/>
                    </a:prstGeom>
                    <a:noFill/>
                    <a:ln>
                      <a:noFill/>
                    </a:ln>
                  </pic:spPr>
                </pic:pic>
              </a:graphicData>
            </a:graphic>
          </wp:inline>
        </w:drawing>
      </w:r>
    </w:p>
    <w:p w:rsidR="009A7800" w:rsidRPr="009A7800" w:rsidRDefault="009A7800" w:rsidP="00054068">
      <w:r w:rsidRPr="009A7800">
        <w:t>Subgroup analyses for OS demonstrated consistent efficacy over all subgro</w:t>
      </w:r>
      <w:r w:rsidRPr="004A5E29">
        <w:t xml:space="preserve">ups tested (see </w:t>
      </w:r>
      <w:r w:rsidR="005730D3">
        <w:t>Figure 5</w:t>
      </w:r>
      <w:r w:rsidRPr="004A5E29">
        <w:t>). A number of sensitivity analyses were conducted and these showed hazard ratios similar to that obtained using the OS co-primary endpoint analysis.</w:t>
      </w:r>
    </w:p>
    <w:p w:rsidR="009A7800" w:rsidRDefault="009A7800" w:rsidP="00054068">
      <w:r w:rsidRPr="009A7800">
        <w:t>After discontinuation from study drug or placebo subjects could be treated with further anticancer therapy at the discretion of the investigators</w:t>
      </w:r>
      <w:r w:rsidR="006463E9">
        <w:t>;</w:t>
      </w:r>
      <w:r w:rsidRPr="009A7800">
        <w:t xml:space="preserve"> 56% of subjects in the placebo group and 41% of subjects in the abiraterone group received subsequent antineoplastic agents. More patients in the placebo arm received subsequent docetaxel (53% v</w:t>
      </w:r>
      <w:r w:rsidR="006463E9">
        <w:t>ersu</w:t>
      </w:r>
      <w:r w:rsidRPr="009A7800">
        <w:t>s 40%) and subsequent abiraterone (10% v</w:t>
      </w:r>
      <w:r w:rsidR="006463E9">
        <w:t>ersu</w:t>
      </w:r>
      <w:r w:rsidRPr="009A7800">
        <w:t xml:space="preserve">s 5%).  These imbalances may have biased the survival outcome </w:t>
      </w:r>
      <w:r w:rsidR="006350AE">
        <w:t>in favour of placebo.</w:t>
      </w:r>
    </w:p>
    <w:p w:rsidR="004A5E29" w:rsidRPr="004A5E29" w:rsidRDefault="004A5E29" w:rsidP="004A5E29">
      <w:pPr>
        <w:pStyle w:val="FigureTitle"/>
        <w:keepNext/>
      </w:pPr>
      <w:bookmarkStart w:id="88" w:name="_Ref220906599"/>
      <w:bookmarkStart w:id="89" w:name="_Toc228789356"/>
      <w:r w:rsidRPr="004A5E29">
        <w:lastRenderedPageBreak/>
        <w:t>Figure</w:t>
      </w:r>
      <w:bookmarkEnd w:id="88"/>
      <w:r w:rsidR="005730D3">
        <w:t>5</w:t>
      </w:r>
      <w:r>
        <w:t>:</w:t>
      </w:r>
      <w:r w:rsidR="00D553D3">
        <w:t xml:space="preserve"> </w:t>
      </w:r>
      <w:r w:rsidRPr="004A5E29">
        <w:t>Pivotal study 302 - Subgroup analyses of OS co-primary endpoint.</w:t>
      </w:r>
      <w:bookmarkEnd w:id="89"/>
    </w:p>
    <w:p w:rsidR="004A5E29" w:rsidRPr="004A5E29" w:rsidRDefault="004A5E29" w:rsidP="007247F3">
      <w:r w:rsidRPr="004A5E29">
        <w:rPr>
          <w:noProof/>
          <w:lang w:eastAsia="en-AU"/>
        </w:rPr>
        <w:drawing>
          <wp:inline distT="0" distB="0" distL="0" distR="0" wp14:anchorId="3F8AA0EA" wp14:editId="444BFC3C">
            <wp:extent cx="5543390" cy="5715000"/>
            <wp:effectExtent l="19050" t="0" r="160" b="0"/>
            <wp:docPr id="22" name="Picture 8" descr="Figure 5:Pivotal study 302 - Subgroup analyses of OS co-primary end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546789" cy="5718505"/>
                    </a:xfrm>
                    <a:prstGeom prst="rect">
                      <a:avLst/>
                    </a:prstGeom>
                    <a:noFill/>
                    <a:ln>
                      <a:noFill/>
                    </a:ln>
                  </pic:spPr>
                </pic:pic>
              </a:graphicData>
            </a:graphic>
          </wp:inline>
        </w:drawing>
      </w:r>
    </w:p>
    <w:p w:rsidR="009A7800" w:rsidRPr="009A7800" w:rsidRDefault="009A7800" w:rsidP="00054068">
      <w:pPr>
        <w:rPr>
          <w:lang w:val="en-US"/>
        </w:rPr>
      </w:pPr>
      <w:r w:rsidRPr="009A7800">
        <w:t xml:space="preserve">On reviewing the blinded results of the second interim analysis (on 27 February 2012) the independent data monitoring committee (IDMC) for the study </w:t>
      </w:r>
      <w:r w:rsidRPr="009A7800">
        <w:rPr>
          <w:lang w:val="en-US"/>
        </w:rPr>
        <w:t>concluded that all of the efficacy data demonstrated a “</w:t>
      </w:r>
      <w:r w:rsidRPr="006463E9">
        <w:rPr>
          <w:i/>
          <w:lang w:val="en-US"/>
        </w:rPr>
        <w:t>highly significant advantage</w:t>
      </w:r>
      <w:r w:rsidRPr="009A7800">
        <w:rPr>
          <w:lang w:val="en-US"/>
        </w:rPr>
        <w:t xml:space="preserve">” for subjects in one of the treatment arms. It </w:t>
      </w:r>
      <w:r w:rsidRPr="009A7800">
        <w:t>unanimously recommended unblinding of the study. The arm providing the advantage was revealed to be the abiraterone arm and therefore the IDMC recommended allowing patients in the placebo group to receive abiraterone. The sponsor implemented the IDMC recommendations.</w:t>
      </w:r>
    </w:p>
    <w:p w:rsidR="009A7800" w:rsidRPr="009A7800" w:rsidRDefault="009A7800" w:rsidP="004A5E29">
      <w:pPr>
        <w:ind w:left="993" w:hanging="993"/>
      </w:pPr>
      <w:r w:rsidRPr="009A7800">
        <w:t>Comment:</w:t>
      </w:r>
      <w:r w:rsidRPr="009A7800">
        <w:tab/>
        <w:t xml:space="preserve">It appears that the IDMC recommendation was based on an assessment of all the efficacy data, including rPFS and the secondary endpoints. Hence the trial was unblinded and crossover allowed even though the stopping boundary for OS had not been crossed. At the time of the </w:t>
      </w:r>
      <w:r w:rsidR="006463E9">
        <w:t>second</w:t>
      </w:r>
      <w:r w:rsidRPr="009A7800">
        <w:t xml:space="preserve"> interim analysis, the OS data were not mature with only 43% (333/773) of the required number of deaths having occurred. Further analyses of OS are planned after 55% and 100% of the required number of deaths. However, patients in the placebo arm could be crossed over to abiraterone and it is possible that this may obscure a statistically significant survival benefit on these later analyses.</w:t>
      </w:r>
    </w:p>
    <w:p w:rsidR="009A7800" w:rsidRPr="009A7800" w:rsidRDefault="009A7800" w:rsidP="00054068">
      <w:pPr>
        <w:pStyle w:val="Heading5"/>
      </w:pPr>
      <w:bookmarkStart w:id="90" w:name="_Toc228789257"/>
      <w:r w:rsidRPr="009A7800">
        <w:lastRenderedPageBreak/>
        <w:t>Results for secondary efficacy outcomes</w:t>
      </w:r>
      <w:bookmarkEnd w:id="90"/>
    </w:p>
    <w:p w:rsidR="009A7800" w:rsidRPr="009A7800" w:rsidRDefault="009A7800" w:rsidP="00054068">
      <w:pPr>
        <w:pStyle w:val="Heading6"/>
      </w:pPr>
      <w:r w:rsidRPr="009A7800">
        <w:t>Time to opiate use for cancer pain</w:t>
      </w:r>
    </w:p>
    <w:p w:rsidR="009A7800" w:rsidRPr="009A7800" w:rsidRDefault="009A7800" w:rsidP="00054068">
      <w:r w:rsidRPr="009A7800">
        <w:t>Abiraterone significantly prolonged time to the initiation of opiates (HR = 0.686; 95%CI: 0.566 – 0.833; p = 0.0001). At 24 months 62% of abiraterone subjects were opiate-free compared to 49% of placebo patients.</w:t>
      </w:r>
    </w:p>
    <w:p w:rsidR="009A7800" w:rsidRPr="009A7800" w:rsidRDefault="009A7800" w:rsidP="00054068">
      <w:pPr>
        <w:pStyle w:val="Heading6"/>
      </w:pPr>
      <w:r w:rsidRPr="009A7800">
        <w:t>Time to initiation of cytotoxic chemotherapy</w:t>
      </w:r>
    </w:p>
    <w:p w:rsidR="009A7800" w:rsidRPr="009A7800" w:rsidRDefault="009A7800" w:rsidP="00054068">
      <w:r w:rsidRPr="009A7800">
        <w:t>Abiraterone significantly prolonged time to the initiation of chemotherapy (HR = 0.580; 95%CI: 0.487 – 0.691; p &lt; 0.0001). Median time to initiation was delayed by approximately 8 months (25 v</w:t>
      </w:r>
      <w:r w:rsidR="006463E9">
        <w:t>ersus</w:t>
      </w:r>
      <w:r w:rsidRPr="009A7800">
        <w:t xml:space="preserve"> 17 months).</w:t>
      </w:r>
    </w:p>
    <w:p w:rsidR="009A7800" w:rsidRPr="009A7800" w:rsidRDefault="009A7800" w:rsidP="00054068">
      <w:pPr>
        <w:pStyle w:val="Heading6"/>
      </w:pPr>
      <w:r w:rsidRPr="009A7800">
        <w:t>Time to deterioration in ECOG performance status</w:t>
      </w:r>
    </w:p>
    <w:p w:rsidR="009A7800" w:rsidRPr="009A7800" w:rsidRDefault="009A7800" w:rsidP="00054068">
      <w:r w:rsidRPr="009A7800">
        <w:t>Abiraterone significantly prolonged time to deterioration (HR = 0.821; 95%CI: 0.714 – 0.943; p = 0.0053). Median time to deterioration was delayed by approximately 1.4 months (12.3 v</w:t>
      </w:r>
      <w:r w:rsidR="006463E9">
        <w:t>ersus</w:t>
      </w:r>
      <w:r w:rsidRPr="009A7800">
        <w:t xml:space="preserve"> 10.9 months).</w:t>
      </w:r>
    </w:p>
    <w:p w:rsidR="009A7800" w:rsidRPr="009A7800" w:rsidRDefault="009A7800" w:rsidP="00054068">
      <w:pPr>
        <w:pStyle w:val="Heading6"/>
      </w:pPr>
      <w:r w:rsidRPr="009A7800">
        <w:t>Time to PSA progression</w:t>
      </w:r>
    </w:p>
    <w:p w:rsidR="009A7800" w:rsidRPr="009A7800" w:rsidRDefault="009A7800" w:rsidP="00054068">
      <w:r w:rsidRPr="009A7800">
        <w:t>Abiraterone significantly prolonged time to deterioration (HR = 0.488; 95%CI: 0.420 – 0.568; p = 0.0001). Median time to progression was approximately doubled (11.1 v</w:t>
      </w:r>
      <w:r w:rsidR="006463E9">
        <w:t>ersu</w:t>
      </w:r>
      <w:r w:rsidRPr="009A7800">
        <w:t>s 5.6 months).</w:t>
      </w:r>
    </w:p>
    <w:p w:rsidR="009A7800" w:rsidRPr="009A7800" w:rsidRDefault="009A7800" w:rsidP="004A5E29">
      <w:pPr>
        <w:ind w:left="993" w:hanging="993"/>
      </w:pPr>
      <w:r w:rsidRPr="009A7800">
        <w:t>Comment:</w:t>
      </w:r>
      <w:r w:rsidRPr="009A7800">
        <w:tab/>
        <w:t>The results of the first 3 secondary endpoints provide evidence of benefit on clinically relevant outcomes, especially in terms of delaying the need for cytotoxic chemotherapy and opiate analgesia.</w:t>
      </w:r>
    </w:p>
    <w:p w:rsidR="009A7800" w:rsidRPr="009A7800" w:rsidRDefault="009A7800" w:rsidP="00054068">
      <w:pPr>
        <w:pStyle w:val="Heading5"/>
      </w:pPr>
      <w:bookmarkStart w:id="91" w:name="_Toc228789258"/>
      <w:r w:rsidRPr="009A7800">
        <w:t>Results for other efficacy outcomes</w:t>
      </w:r>
      <w:bookmarkEnd w:id="91"/>
    </w:p>
    <w:p w:rsidR="009A7800" w:rsidRPr="009A7800" w:rsidRDefault="009A7800" w:rsidP="00054068">
      <w:pPr>
        <w:pStyle w:val="ListBullet"/>
      </w:pPr>
      <w:r w:rsidRPr="009A7800">
        <w:t xml:space="preserve">PSA response rate was increased in the abiraterone arm (62% </w:t>
      </w:r>
      <w:r w:rsidR="006463E9">
        <w:t>versus</w:t>
      </w:r>
      <w:r w:rsidRPr="009A7800">
        <w:t xml:space="preserve"> 24%; p &lt; 0.0001);</w:t>
      </w:r>
    </w:p>
    <w:p w:rsidR="009A7800" w:rsidRPr="009A7800" w:rsidRDefault="009A7800" w:rsidP="00054068">
      <w:pPr>
        <w:pStyle w:val="ListBullet"/>
      </w:pPr>
      <w:r w:rsidRPr="009A7800">
        <w:t xml:space="preserve">Objective response rate (in subjects with measurable disease) was also increased in the abiraterone arm (36% </w:t>
      </w:r>
      <w:r w:rsidR="006463E9">
        <w:t>versus</w:t>
      </w:r>
      <w:r w:rsidRPr="009A7800">
        <w:t xml:space="preserve"> 16%; p &lt; 0.0001);</w:t>
      </w:r>
    </w:p>
    <w:p w:rsidR="009A7800" w:rsidRPr="009A7800" w:rsidRDefault="009A7800" w:rsidP="00054068">
      <w:pPr>
        <w:pStyle w:val="ListBullet"/>
      </w:pPr>
      <w:r w:rsidRPr="009A7800">
        <w:t>There was no significant difference in duration of response (median = 10.0 months with abiraterone and 8.6 months with placebo);</w:t>
      </w:r>
    </w:p>
    <w:p w:rsidR="009A7800" w:rsidRPr="004A5E29" w:rsidRDefault="009A7800" w:rsidP="00054068">
      <w:pPr>
        <w:pStyle w:val="ListBullet"/>
      </w:pPr>
      <w:r w:rsidRPr="009A7800">
        <w:t xml:space="preserve">Time to analgesic progression was prolonged in the abiraterone arm </w:t>
      </w:r>
      <w:r w:rsidRPr="009A7800">
        <w:rPr>
          <w:lang w:val="en-US"/>
        </w:rPr>
        <w:t xml:space="preserve">(HR=0.687; 95% CI: </w:t>
      </w:r>
      <w:r w:rsidRPr="004A5E29">
        <w:rPr>
          <w:lang w:val="en-US"/>
        </w:rPr>
        <w:t>0.538, 0.878; p=0.0026). Median time to progression was not reached in either group.</w:t>
      </w:r>
    </w:p>
    <w:p w:rsidR="009A7800" w:rsidRPr="009A7800" w:rsidRDefault="007611EA" w:rsidP="00054068">
      <w:pPr>
        <w:pStyle w:val="ListBullet"/>
      </w:pPr>
      <w:r>
        <w:rPr>
          <w:lang w:val="en-US"/>
        </w:rPr>
        <w:t xml:space="preserve">Table </w:t>
      </w:r>
      <w:r w:rsidR="004A5E29" w:rsidRPr="004A5E29">
        <w:t>10</w:t>
      </w:r>
      <w:r w:rsidR="009A7800" w:rsidRPr="004A5E29">
        <w:rPr>
          <w:lang w:val="en-US"/>
        </w:rPr>
        <w:t xml:space="preserve"> summarises the results for time to degradation of the various functional status scores. For</w:t>
      </w:r>
      <w:r w:rsidR="009A7800" w:rsidRPr="009A7800">
        <w:rPr>
          <w:lang w:val="en-US"/>
        </w:rPr>
        <w:t xml:space="preserve"> all scores except the Social/Family Wellbeing subscale, abiraterone treatment was associated with statistically significant benefit.</w:t>
      </w:r>
    </w:p>
    <w:p w:rsidR="009A7800" w:rsidRPr="009A7800" w:rsidRDefault="009A7800" w:rsidP="00054068">
      <w:pPr>
        <w:pStyle w:val="ListBullet"/>
      </w:pPr>
      <w:r w:rsidRPr="009A7800">
        <w:rPr>
          <w:lang w:val="en-US"/>
        </w:rPr>
        <w:t>Time to average pain intensity progression was prolonged with abiraterone treatment (HR</w:t>
      </w:r>
      <w:r w:rsidR="006463E9">
        <w:rPr>
          <w:lang w:val="en-US"/>
        </w:rPr>
        <w:t>=0.817; 95%</w:t>
      </w:r>
      <w:r w:rsidRPr="009A7800">
        <w:rPr>
          <w:lang w:val="en-US"/>
        </w:rPr>
        <w:t>CI: 0.668 - 0.999; p=0.0490 - median time to progression 26.7</w:t>
      </w:r>
      <w:r w:rsidR="006463E9">
        <w:rPr>
          <w:lang w:val="en-US"/>
        </w:rPr>
        <w:t xml:space="preserve"> versus </w:t>
      </w:r>
      <w:r w:rsidRPr="009A7800">
        <w:rPr>
          <w:lang w:val="en-US"/>
        </w:rPr>
        <w:t>18.4 months).</w:t>
      </w:r>
    </w:p>
    <w:p w:rsidR="009A7800" w:rsidRPr="009A7800" w:rsidRDefault="009A7800" w:rsidP="00054068">
      <w:pPr>
        <w:pStyle w:val="ListBullet"/>
      </w:pPr>
      <w:r w:rsidRPr="009A7800">
        <w:rPr>
          <w:lang w:val="en-US"/>
        </w:rPr>
        <w:t>Time to worst pain intensity progression was prolonged with abiraterone treatment (HR=0.777; 95% CI: 0.607 - 0.995; p=0.0446) Median time to progression was not reached in either group.</w:t>
      </w:r>
    </w:p>
    <w:p w:rsidR="009A7800" w:rsidRPr="004A5E29" w:rsidRDefault="009A7800" w:rsidP="00054068">
      <w:pPr>
        <w:pStyle w:val="ListBullet"/>
      </w:pPr>
      <w:r w:rsidRPr="009A7800">
        <w:rPr>
          <w:lang w:val="en-US"/>
        </w:rPr>
        <w:t>Time to pain interference progression was prolonged with abiraterone treatment (HR=0.792; 95% CI: 0.674 - 0.931; p=0.0045 - median time to progression 10.3</w:t>
      </w:r>
      <w:r w:rsidR="006463E9">
        <w:rPr>
          <w:lang w:val="en-US"/>
        </w:rPr>
        <w:t xml:space="preserve"> versus </w:t>
      </w:r>
      <w:r w:rsidRPr="009A7800">
        <w:rPr>
          <w:lang w:val="en-US"/>
        </w:rPr>
        <w:t>7.4 months).</w:t>
      </w:r>
    </w:p>
    <w:p w:rsidR="004A5E29" w:rsidRDefault="004A5E29" w:rsidP="009C2D2F">
      <w:pPr>
        <w:pStyle w:val="TableTitle"/>
      </w:pPr>
      <w:bookmarkStart w:id="92" w:name="_Ref220916313"/>
      <w:bookmarkStart w:id="93" w:name="_Toc228789335"/>
      <w:r>
        <w:lastRenderedPageBreak/>
        <w:t xml:space="preserve">Table </w:t>
      </w:r>
      <w:bookmarkEnd w:id="92"/>
      <w:r>
        <w:t>10: Pivotal study 302 – Results for time to degradation of functional status</w:t>
      </w:r>
      <w:bookmarkEnd w:id="93"/>
      <w:r>
        <w:t xml:space="preserve"> </w:t>
      </w:r>
    </w:p>
    <w:p w:rsidR="004A5E29" w:rsidRDefault="004A5E29" w:rsidP="007247F3">
      <w:r>
        <w:rPr>
          <w:noProof/>
          <w:lang w:eastAsia="en-AU"/>
        </w:rPr>
        <w:drawing>
          <wp:inline distT="0" distB="0" distL="0" distR="0" wp14:anchorId="519C0958" wp14:editId="6A1F4A16">
            <wp:extent cx="5925820" cy="2352487"/>
            <wp:effectExtent l="19050" t="0" r="0" b="0"/>
            <wp:docPr id="23" name="Picture 17" descr="Table 10: Pivotal study 302 – Results for time to degradation of functional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25820" cy="2352487"/>
                    </a:xfrm>
                    <a:prstGeom prst="rect">
                      <a:avLst/>
                    </a:prstGeom>
                    <a:noFill/>
                    <a:ln>
                      <a:noFill/>
                    </a:ln>
                  </pic:spPr>
                </pic:pic>
              </a:graphicData>
            </a:graphic>
          </wp:inline>
        </w:drawing>
      </w:r>
    </w:p>
    <w:p w:rsidR="009A7800" w:rsidRPr="009A7800" w:rsidRDefault="009A7800" w:rsidP="00054068">
      <w:pPr>
        <w:pStyle w:val="Heading3"/>
      </w:pPr>
      <w:bookmarkStart w:id="94" w:name="_Toc241374312"/>
      <w:bookmarkStart w:id="95" w:name="_Toc272414656"/>
      <w:bookmarkStart w:id="96" w:name="_Toc290846281"/>
      <w:bookmarkStart w:id="97" w:name="_Toc228789259"/>
      <w:bookmarkStart w:id="98" w:name="_Toc383006428"/>
      <w:r w:rsidRPr="009A7800">
        <w:t>Analyses performed across trials (pooled analyses and meta-analyses)</w:t>
      </w:r>
      <w:bookmarkEnd w:id="94"/>
      <w:bookmarkEnd w:id="95"/>
      <w:bookmarkEnd w:id="96"/>
      <w:bookmarkEnd w:id="97"/>
      <w:bookmarkEnd w:id="98"/>
    </w:p>
    <w:p w:rsidR="009A7800" w:rsidRPr="009A7800" w:rsidRDefault="009A7800" w:rsidP="00054068">
      <w:r w:rsidRPr="009A7800">
        <w:t>There were no pooled analyses or meta-analyses of efficacy in the submission.</w:t>
      </w:r>
    </w:p>
    <w:p w:rsidR="009A7800" w:rsidRPr="009A7800" w:rsidRDefault="009A7800" w:rsidP="00054068">
      <w:pPr>
        <w:pStyle w:val="Heading3"/>
      </w:pPr>
      <w:bookmarkStart w:id="99" w:name="_Ref271126605"/>
      <w:bookmarkStart w:id="100" w:name="_Toc272414657"/>
      <w:bookmarkStart w:id="101" w:name="_Toc290846282"/>
      <w:bookmarkStart w:id="102" w:name="_Toc228789260"/>
      <w:bookmarkStart w:id="103" w:name="_Toc383006429"/>
      <w:r w:rsidRPr="009A7800">
        <w:t>Evaluator’s conclusions on clinical efficacy</w:t>
      </w:r>
      <w:bookmarkEnd w:id="99"/>
      <w:bookmarkEnd w:id="100"/>
      <w:bookmarkEnd w:id="101"/>
      <w:bookmarkEnd w:id="102"/>
      <w:bookmarkEnd w:id="103"/>
    </w:p>
    <w:p w:rsidR="009A7800" w:rsidRPr="009A7800" w:rsidRDefault="009A7800" w:rsidP="00054068">
      <w:r w:rsidRPr="009A7800">
        <w:t>The pivotal study was well designed and conducted. The design generally complied with the relevant E</w:t>
      </w:r>
      <w:r w:rsidR="006E15EF">
        <w:t>U</w:t>
      </w:r>
      <w:r w:rsidRPr="009A7800">
        <w:t xml:space="preserve"> guidelines</w:t>
      </w:r>
      <w:r w:rsidR="00054068">
        <w:rPr>
          <w:rStyle w:val="FootnoteReference"/>
        </w:rPr>
        <w:footnoteReference w:id="10"/>
      </w:r>
      <w:r w:rsidR="00054068" w:rsidRPr="00054068">
        <w:rPr>
          <w:vertAlign w:val="superscript"/>
        </w:rPr>
        <w:t>,</w:t>
      </w:r>
      <w:r w:rsidR="00054068">
        <w:rPr>
          <w:rStyle w:val="FootnoteReference"/>
        </w:rPr>
        <w:footnoteReference w:id="11"/>
      </w:r>
      <w:r w:rsidRPr="009A7800">
        <w:t xml:space="preserve"> adopted by the TGA. The use of the novel co-primary endpoint of rPFS was adequately justified.</w:t>
      </w:r>
    </w:p>
    <w:p w:rsidR="009A7800" w:rsidRPr="009A7800" w:rsidRDefault="009A7800" w:rsidP="00054068">
      <w:r w:rsidRPr="009A7800">
        <w:t>The results for the co-primary endpoint of OS just failed to meet the pre-specified criterion for statistical significance. It might be expected that further analyses of OS, with more mature OS data, would establish a statistically significant effect on overall survival. However, the ability of patients in the placebo arm to now crossover and receive abiraterone may make demonstration of a survival benefit impossible.</w:t>
      </w:r>
    </w:p>
    <w:p w:rsidR="009A7800" w:rsidRPr="009A7800" w:rsidRDefault="009A7800" w:rsidP="00054068">
      <w:r w:rsidRPr="009A7800">
        <w:t>There was a highly significant benefit with abiraterone treatment for the co-primary endpoint of rPFS. Although a novel endpoint, it is analogous to the conventional PFS endpoint that is accepted by the TGA. The novel aspects of the rPFS endpoint (determination of progression using bone scan criteria) are objective and have been recommended by an expert consensus group not associated with the sponsor.</w:t>
      </w:r>
    </w:p>
    <w:p w:rsidR="009A7800" w:rsidRPr="009A7800" w:rsidRDefault="009A7800" w:rsidP="00054068">
      <w:r w:rsidRPr="009A7800">
        <w:t>The OS and rPFS data are supported by convincing results on the secondary endpoints, particularly those relating to the initiation of cytotoxic chemotherapy and opiate analgesia. The other endpoints suggest that abiraterone is likely to be also associated with maintenance of functional status/quality of life.</w:t>
      </w:r>
    </w:p>
    <w:p w:rsidR="009A7800" w:rsidRPr="009A7800" w:rsidRDefault="009A7800" w:rsidP="00054068">
      <w:r w:rsidRPr="009A7800">
        <w:t>Overall the data from the pivotal study are considered to provide convincing evidence of the efficacy of abiraterone in chemotherapy-naïve patients with mCRPC.</w:t>
      </w:r>
    </w:p>
    <w:p w:rsidR="009A7800" w:rsidRPr="009A7800" w:rsidRDefault="009A7800" w:rsidP="00054068">
      <w:r w:rsidRPr="009A7800">
        <w:t>Only one pivotal efficacy study was submitted. The TGA has adopted an E</w:t>
      </w:r>
      <w:r w:rsidR="006E15EF">
        <w:t>U</w:t>
      </w:r>
      <w:r w:rsidRPr="009A7800">
        <w:t xml:space="preserve"> “</w:t>
      </w:r>
      <w:r w:rsidRPr="006E15EF">
        <w:rPr>
          <w:i/>
        </w:rPr>
        <w:t>Points to Consider</w:t>
      </w:r>
      <w:r w:rsidRPr="009A7800">
        <w:t>” docum</w:t>
      </w:r>
      <w:r w:rsidRPr="00054068">
        <w:t>ent</w:t>
      </w:r>
      <w:r w:rsidR="00054068" w:rsidRPr="00054068">
        <w:rPr>
          <w:rStyle w:val="FootnoteReference"/>
        </w:rPr>
        <w:footnoteReference w:id="12"/>
      </w:r>
      <w:r w:rsidRPr="00054068">
        <w:t xml:space="preserve"> releva</w:t>
      </w:r>
      <w:r w:rsidRPr="009A7800">
        <w:t xml:space="preserve">nt to this situation. The pivotal study is considered to meet the prerequisites </w:t>
      </w:r>
      <w:r w:rsidRPr="009A7800">
        <w:lastRenderedPageBreak/>
        <w:t xml:space="preserve">in section III.2 of this document. It could also be argued that the previously submitted </w:t>
      </w:r>
      <w:r w:rsidR="006E15EF">
        <w:t>P</w:t>
      </w:r>
      <w:r w:rsidRPr="009A7800">
        <w:t>hase III trial (</w:t>
      </w:r>
      <w:r w:rsidR="006E15EF">
        <w:t>S</w:t>
      </w:r>
      <w:r w:rsidRPr="009A7800">
        <w:t>tudy 301) was conducted in a similar population of patients and hence the E</w:t>
      </w:r>
      <w:r w:rsidR="006E15EF">
        <w:t>U</w:t>
      </w:r>
      <w:r w:rsidRPr="009A7800">
        <w:t xml:space="preserve"> document should not apply.</w:t>
      </w:r>
    </w:p>
    <w:p w:rsidR="00C22678" w:rsidRDefault="00C22678" w:rsidP="00054068">
      <w:pPr>
        <w:pStyle w:val="Heading2"/>
      </w:pPr>
      <w:bookmarkStart w:id="104" w:name="_Toc383006430"/>
      <w:r>
        <w:t>Clinical safety</w:t>
      </w:r>
      <w:bookmarkEnd w:id="104"/>
    </w:p>
    <w:p w:rsidR="009A7800" w:rsidRPr="009A7800" w:rsidRDefault="009A7800" w:rsidP="00054068">
      <w:pPr>
        <w:pStyle w:val="Heading3"/>
      </w:pPr>
      <w:bookmarkStart w:id="105" w:name="_Toc272414659"/>
      <w:bookmarkStart w:id="106" w:name="_Toc290846284"/>
      <w:bookmarkStart w:id="107" w:name="_Toc228789262"/>
      <w:bookmarkStart w:id="108" w:name="_Toc383006431"/>
      <w:r w:rsidRPr="009A7800">
        <w:t>Studies providing evaluable safety data</w:t>
      </w:r>
      <w:bookmarkEnd w:id="105"/>
      <w:bookmarkEnd w:id="106"/>
      <w:bookmarkEnd w:id="107"/>
      <w:bookmarkEnd w:id="108"/>
    </w:p>
    <w:p w:rsidR="009A7800" w:rsidRPr="009A7800" w:rsidRDefault="009A7800" w:rsidP="00054068">
      <w:bookmarkStart w:id="109" w:name="_Ref268776745"/>
      <w:r w:rsidRPr="009A7800">
        <w:t>The following studies provided evaluable safety data:</w:t>
      </w:r>
    </w:p>
    <w:p w:rsidR="009A7800" w:rsidRPr="009A7800" w:rsidRDefault="009A7800" w:rsidP="00054068">
      <w:pPr>
        <w:pStyle w:val="Heading4"/>
      </w:pPr>
      <w:r w:rsidRPr="009A7800">
        <w:t>Pivotal studies that assessed safety as a primary outcome</w:t>
      </w:r>
    </w:p>
    <w:p w:rsidR="009A7800" w:rsidRPr="009A7800" w:rsidRDefault="009A7800" w:rsidP="00054068">
      <w:r w:rsidRPr="009A7800">
        <w:t>There were no pivotal studies assessing safety as a primary outcome.</w:t>
      </w:r>
    </w:p>
    <w:p w:rsidR="009A7800" w:rsidRPr="009A7800" w:rsidRDefault="009A7800" w:rsidP="00054068">
      <w:pPr>
        <w:pStyle w:val="Heading4"/>
      </w:pPr>
      <w:r w:rsidRPr="009A7800">
        <w:t>Pivotal efficacy stud</w:t>
      </w:r>
      <w:bookmarkEnd w:id="109"/>
      <w:r w:rsidRPr="009A7800">
        <w:t>y</w:t>
      </w:r>
    </w:p>
    <w:p w:rsidR="009A7800" w:rsidRPr="009A7800" w:rsidRDefault="009A7800" w:rsidP="00054068">
      <w:r w:rsidRPr="009A7800">
        <w:t>In the pivotal efficacy study, the following safety data were collected:</w:t>
      </w:r>
    </w:p>
    <w:p w:rsidR="009A7800" w:rsidRPr="009A7800" w:rsidRDefault="009A7800" w:rsidP="00054068">
      <w:pPr>
        <w:pStyle w:val="ListBullet"/>
      </w:pPr>
      <w:r w:rsidRPr="009A7800">
        <w:t xml:space="preserve">General adverse events (AEs) were assessed voluntary subject reporting and investigator review of subject history. For all AEs the investigator was required to assess causality of the event. A drug-related AE was defined as one that had an unlikely, possible or related relationship to study medication. Severity of events was graded using </w:t>
      </w:r>
      <w:r w:rsidR="006E15EF" w:rsidRPr="006E15EF">
        <w:t>National Cancer Institute</w:t>
      </w:r>
      <w:r w:rsidR="006E15EF">
        <w:t xml:space="preserve"> </w:t>
      </w:r>
      <w:r w:rsidR="006E15EF" w:rsidRPr="006E15EF">
        <w:t>Common Terminology Criteria for</w:t>
      </w:r>
      <w:r w:rsidR="006E15EF">
        <w:t xml:space="preserve"> </w:t>
      </w:r>
      <w:r w:rsidR="006E15EF" w:rsidRPr="006E15EF">
        <w:t>Adverse Events</w:t>
      </w:r>
      <w:r w:rsidR="006E15EF">
        <w:t xml:space="preserve"> (</w:t>
      </w:r>
      <w:r w:rsidRPr="009A7800">
        <w:t>NCI CTCAE</w:t>
      </w:r>
      <w:r w:rsidR="006E15EF">
        <w:t>)</w:t>
      </w:r>
      <w:r w:rsidRPr="009A7800">
        <w:t xml:space="preserve"> Version 3.</w:t>
      </w:r>
    </w:p>
    <w:p w:rsidR="009A7800" w:rsidRPr="009A7800" w:rsidRDefault="009A7800" w:rsidP="00054068">
      <w:pPr>
        <w:pStyle w:val="ListBullet"/>
      </w:pPr>
      <w:r w:rsidRPr="009A7800">
        <w:t>Physical examination was conducted at regular intervals.</w:t>
      </w:r>
    </w:p>
    <w:p w:rsidR="009A7800" w:rsidRPr="009A7800" w:rsidRDefault="009A7800" w:rsidP="00054068">
      <w:pPr>
        <w:pStyle w:val="ListBullet"/>
      </w:pPr>
      <w:r w:rsidRPr="009A7800">
        <w:t>Laboratory tests were performed at regular intervals.</w:t>
      </w:r>
    </w:p>
    <w:p w:rsidR="009A7800" w:rsidRPr="009A7800" w:rsidRDefault="009A7800" w:rsidP="00054068">
      <w:pPr>
        <w:pStyle w:val="ListBullet"/>
      </w:pPr>
      <w:r w:rsidRPr="009A7800">
        <w:t>Full blood count:</w:t>
      </w:r>
      <w:r w:rsidRPr="009A7800">
        <w:rPr>
          <w:lang w:val="en-US"/>
        </w:rPr>
        <w:t xml:space="preserve"> haemoglobin (Hb), haematocrit (Hct), red blood cell (RBC) count, white blood cell (WBC) count (with differential), platelet count;</w:t>
      </w:r>
    </w:p>
    <w:p w:rsidR="009A7800" w:rsidRPr="009A7800" w:rsidRDefault="009A7800" w:rsidP="00054068">
      <w:pPr>
        <w:pStyle w:val="ListBullet"/>
      </w:pPr>
      <w:r w:rsidRPr="009A7800">
        <w:t xml:space="preserve">Chemistry: </w:t>
      </w:r>
      <w:r w:rsidRPr="009A7800">
        <w:rPr>
          <w:lang w:val="en-US"/>
        </w:rPr>
        <w:t xml:space="preserve">albumin, alkaline phosphatase (ALP), </w:t>
      </w:r>
      <w:r w:rsidR="006E15EF">
        <w:rPr>
          <w:lang w:val="en-US"/>
        </w:rPr>
        <w:t>alanine aminotransferase (</w:t>
      </w:r>
      <w:r w:rsidRPr="009A7800">
        <w:rPr>
          <w:lang w:val="en-US"/>
        </w:rPr>
        <w:t>ALT</w:t>
      </w:r>
      <w:r w:rsidR="006E15EF">
        <w:rPr>
          <w:lang w:val="en-US"/>
        </w:rPr>
        <w:t>)</w:t>
      </w:r>
      <w:r w:rsidRPr="009A7800">
        <w:rPr>
          <w:lang w:val="en-US"/>
        </w:rPr>
        <w:t xml:space="preserve">, amylase, </w:t>
      </w:r>
      <w:r w:rsidR="006E15EF">
        <w:rPr>
          <w:lang w:val="en-US"/>
        </w:rPr>
        <w:t>aspartate aminotransferase (</w:t>
      </w:r>
      <w:r w:rsidRPr="009A7800">
        <w:rPr>
          <w:lang w:val="en-US"/>
        </w:rPr>
        <w:t>AST</w:t>
      </w:r>
      <w:r w:rsidR="006E15EF">
        <w:rPr>
          <w:lang w:val="en-US"/>
        </w:rPr>
        <w:t>)</w:t>
      </w:r>
      <w:r w:rsidRPr="009A7800">
        <w:rPr>
          <w:lang w:val="en-US"/>
        </w:rPr>
        <w:t>, blood urea nitrogen, calcium, carbon dioxide, chloride, creatinine, direct bilirubin, gamma-glutamyl transferase (at screening only), glucose, lactate dehydrogenase (LDH), magnesium, phosphorus, potassium, sodium, total bilirubin, total protein, uric acid.</w:t>
      </w:r>
      <w:r w:rsidR="006E15EF">
        <w:rPr>
          <w:lang w:val="en-US"/>
        </w:rPr>
        <w:t xml:space="preserve"> Liver function tests (</w:t>
      </w:r>
      <w:r w:rsidRPr="009A7800">
        <w:rPr>
          <w:lang w:val="en-US"/>
        </w:rPr>
        <w:t>LFTs</w:t>
      </w:r>
      <w:r w:rsidR="006E15EF">
        <w:rPr>
          <w:lang w:val="en-US"/>
        </w:rPr>
        <w:t>) were measured at D</w:t>
      </w:r>
      <w:r w:rsidRPr="009A7800">
        <w:rPr>
          <w:lang w:val="en-US"/>
        </w:rPr>
        <w:t>ay 15 of Cycles 2 and 3 only.</w:t>
      </w:r>
    </w:p>
    <w:p w:rsidR="009A7800" w:rsidRPr="009A7800" w:rsidRDefault="009A7800" w:rsidP="00054068">
      <w:pPr>
        <w:pStyle w:val="ListBullet"/>
      </w:pPr>
      <w:r w:rsidRPr="009A7800">
        <w:rPr>
          <w:lang w:val="en-US"/>
        </w:rPr>
        <w:t xml:space="preserve">Coagulation factors: prothrombin time (PT), partial thromboplastin time (PTT), international normalized ratio (INR); - performed at screening and </w:t>
      </w:r>
      <w:r w:rsidR="006E15EF">
        <w:rPr>
          <w:lang w:val="en-US"/>
        </w:rPr>
        <w:t>D</w:t>
      </w:r>
      <w:r w:rsidRPr="009A7800">
        <w:rPr>
          <w:lang w:val="en-US"/>
        </w:rPr>
        <w:t>ay 15 only.</w:t>
      </w:r>
    </w:p>
    <w:p w:rsidR="009A7800" w:rsidRPr="009A7800" w:rsidRDefault="009A7800" w:rsidP="00054068">
      <w:pPr>
        <w:pStyle w:val="ListBullet"/>
      </w:pPr>
      <w:r w:rsidRPr="009A7800">
        <w:rPr>
          <w:lang w:val="en-US"/>
        </w:rPr>
        <w:t>Serum lipids: cholesterol, high density lipoprotein (HDL), low density lipoprotein (LDL),</w:t>
      </w:r>
      <w:r w:rsidRPr="009A7800">
        <w:t xml:space="preserve"> </w:t>
      </w:r>
      <w:r w:rsidRPr="009A7800">
        <w:rPr>
          <w:lang w:val="en-US"/>
        </w:rPr>
        <w:t>triglycerides;</w:t>
      </w:r>
    </w:p>
    <w:p w:rsidR="009A7800" w:rsidRPr="009A7800" w:rsidRDefault="009A7800" w:rsidP="00054068">
      <w:pPr>
        <w:pStyle w:val="ListBullet"/>
      </w:pPr>
      <w:r w:rsidRPr="009A7800">
        <w:rPr>
          <w:lang w:val="en-US"/>
        </w:rPr>
        <w:t>Urinalysis: blood, protein, glucose (with microscopic examination if abnormal) was performed at baseline only.</w:t>
      </w:r>
    </w:p>
    <w:p w:rsidR="009A7800" w:rsidRPr="009A7800" w:rsidRDefault="006E15EF" w:rsidP="00054068">
      <w:pPr>
        <w:pStyle w:val="ListBullet"/>
      </w:pPr>
      <w:r>
        <w:t>Electrocardiograms (</w:t>
      </w:r>
      <w:r w:rsidR="009A7800" w:rsidRPr="009A7800">
        <w:t>ECGs</w:t>
      </w:r>
      <w:r>
        <w:t>)</w:t>
      </w:r>
      <w:r w:rsidR="009A7800" w:rsidRPr="009A7800">
        <w:t xml:space="preserve"> were performed </w:t>
      </w:r>
      <w:r w:rsidR="009A7800" w:rsidRPr="009A7800">
        <w:rPr>
          <w:lang w:val="en-US"/>
        </w:rPr>
        <w:t>at screening, at Cycles 3, 5, 7, and 10 and then every 3 cycles beyond Cycle 10, and at the End-of-Study Visit</w:t>
      </w:r>
    </w:p>
    <w:p w:rsidR="009A7800" w:rsidRPr="009A7800" w:rsidRDefault="006E15EF" w:rsidP="00054068">
      <w:pPr>
        <w:pStyle w:val="ListBullet"/>
      </w:pPr>
      <w:r>
        <w:t>Left ventricular ejection fraction (</w:t>
      </w:r>
      <w:r w:rsidR="009A7800" w:rsidRPr="009A7800">
        <w:t>LVEF</w:t>
      </w:r>
      <w:r>
        <w:t>)</w:t>
      </w:r>
      <w:r w:rsidR="009A7800" w:rsidRPr="009A7800">
        <w:t xml:space="preserve"> assessment by </w:t>
      </w:r>
      <w:r w:rsidRPr="006E15EF">
        <w:rPr>
          <w:bCs/>
        </w:rPr>
        <w:t>echocardiogram</w:t>
      </w:r>
      <w:r w:rsidRPr="006E15EF">
        <w:t xml:space="preserve"> </w:t>
      </w:r>
      <w:r>
        <w:t>(</w:t>
      </w:r>
      <w:r w:rsidR="009A7800" w:rsidRPr="009A7800">
        <w:t>ECHO</w:t>
      </w:r>
      <w:r>
        <w:t>)</w:t>
      </w:r>
      <w:r w:rsidR="009A7800" w:rsidRPr="009A7800">
        <w:t xml:space="preserve"> or </w:t>
      </w:r>
      <w:r w:rsidRPr="006E15EF">
        <w:t xml:space="preserve">multiple-gated acquisition </w:t>
      </w:r>
      <w:r>
        <w:t>(</w:t>
      </w:r>
      <w:r w:rsidR="009A7800" w:rsidRPr="009A7800">
        <w:t>MUGA</w:t>
      </w:r>
      <w:r>
        <w:t>)</w:t>
      </w:r>
      <w:r w:rsidR="009A7800" w:rsidRPr="009A7800">
        <w:t xml:space="preserve"> scan was performed at baseline only.</w:t>
      </w:r>
    </w:p>
    <w:p w:rsidR="009A7800" w:rsidRPr="009A7800" w:rsidRDefault="009A7800" w:rsidP="00054068">
      <w:pPr>
        <w:pStyle w:val="Heading4"/>
      </w:pPr>
      <w:r w:rsidRPr="009A7800">
        <w:t>Non-pivotal efficacy studies</w:t>
      </w:r>
    </w:p>
    <w:p w:rsidR="009A7800" w:rsidRPr="009A7800" w:rsidRDefault="009A7800" w:rsidP="00054068">
      <w:r w:rsidRPr="009A7800">
        <w:t xml:space="preserve">The sponsor included a number of updates of </w:t>
      </w:r>
      <w:r w:rsidR="006E15EF">
        <w:t>P</w:t>
      </w:r>
      <w:r w:rsidRPr="009A7800">
        <w:t>hase I and II studies that had been evaluated as part of the original submission to register abiraterone.</w:t>
      </w:r>
    </w:p>
    <w:p w:rsidR="009A7800" w:rsidRPr="009A7800" w:rsidRDefault="009A7800" w:rsidP="00054068">
      <w:pPr>
        <w:pStyle w:val="Heading4"/>
      </w:pPr>
      <w:r w:rsidRPr="009A7800">
        <w:lastRenderedPageBreak/>
        <w:t>Other data</w:t>
      </w:r>
    </w:p>
    <w:p w:rsidR="009A7800" w:rsidRPr="009A7800" w:rsidRDefault="009A7800" w:rsidP="00054068">
      <w:r w:rsidRPr="009A7800">
        <w:t>The summary of clinical safety (SCS) and the Integrated Summary of Safety (ISS) presented various analyses of AEs including:</w:t>
      </w:r>
    </w:p>
    <w:p w:rsidR="009A7800" w:rsidRPr="009A7800" w:rsidRDefault="009A7800" w:rsidP="00E2558C">
      <w:pPr>
        <w:pStyle w:val="ListBullet"/>
      </w:pPr>
      <w:r w:rsidRPr="009A7800">
        <w:t xml:space="preserve">Side-by-side presentation of the incidence of AEs in the two Phase </w:t>
      </w:r>
      <w:r w:rsidR="006E15EF">
        <w:t>III placebo controlled trials (S</w:t>
      </w:r>
      <w:r w:rsidRPr="009A7800">
        <w:t xml:space="preserve">tudy 302 in this submission and </w:t>
      </w:r>
      <w:r w:rsidR="006E15EF">
        <w:t>S</w:t>
      </w:r>
      <w:r w:rsidRPr="009A7800">
        <w:t>tudy 301 from the original submission), together with the incidence figures for the two studies combined;</w:t>
      </w:r>
    </w:p>
    <w:p w:rsidR="009A7800" w:rsidRPr="009A7800" w:rsidRDefault="009A7800" w:rsidP="00E2558C">
      <w:pPr>
        <w:pStyle w:val="ListBullet"/>
      </w:pPr>
      <w:r w:rsidRPr="009A7800">
        <w:t>A pooled analysis of AEs occ</w:t>
      </w:r>
      <w:r w:rsidR="006E15EF">
        <w:t>urring in previously submitted P</w:t>
      </w:r>
      <w:r w:rsidRPr="009A7800">
        <w:t>hase I and II trials, based on updated safety reports for these studies.</w:t>
      </w:r>
    </w:p>
    <w:p w:rsidR="009A7800" w:rsidRPr="009A7800" w:rsidRDefault="009A7800" w:rsidP="00054068">
      <w:pPr>
        <w:pStyle w:val="Heading4"/>
      </w:pPr>
      <w:bookmarkStart w:id="110" w:name="_Toc228789263"/>
      <w:r w:rsidRPr="009A7800">
        <w:t>Pivotal studies that assessed safety as a primary outcome</w:t>
      </w:r>
      <w:bookmarkEnd w:id="110"/>
    </w:p>
    <w:p w:rsidR="009A7800" w:rsidRPr="009A7800" w:rsidRDefault="009A7800" w:rsidP="00054068">
      <w:r w:rsidRPr="009A7800">
        <w:t>Not applicable.</w:t>
      </w:r>
    </w:p>
    <w:p w:rsidR="009A7800" w:rsidRPr="009A7800" w:rsidRDefault="009A7800" w:rsidP="00054068">
      <w:pPr>
        <w:pStyle w:val="Heading3"/>
      </w:pPr>
      <w:bookmarkStart w:id="111" w:name="_Toc228789264"/>
      <w:bookmarkStart w:id="112" w:name="_Toc383006432"/>
      <w:r w:rsidRPr="009A7800">
        <w:t>Pivotal efficacy study</w:t>
      </w:r>
      <w:bookmarkEnd w:id="111"/>
      <w:bookmarkEnd w:id="112"/>
    </w:p>
    <w:p w:rsidR="009A7800" w:rsidRPr="009A7800" w:rsidRDefault="009A7800" w:rsidP="00054068">
      <w:pPr>
        <w:pStyle w:val="Heading4"/>
      </w:pPr>
      <w:bookmarkStart w:id="113" w:name="_Toc228789265"/>
      <w:r w:rsidRPr="009A7800">
        <w:t>Patient exposure</w:t>
      </w:r>
      <w:bookmarkEnd w:id="113"/>
    </w:p>
    <w:p w:rsidR="009A7800" w:rsidRDefault="009A7800" w:rsidP="00054068">
      <w:r w:rsidRPr="009A7800">
        <w:t>The extent of exposure to abiraterone/placebo in the pivotal study, as of 20 December 2011, is summ</w:t>
      </w:r>
      <w:r w:rsidRPr="00D5215A">
        <w:t>arised in</w:t>
      </w:r>
      <w:r w:rsidR="005730D3">
        <w:t xml:space="preserve"> Table 11</w:t>
      </w:r>
      <w:r w:rsidRPr="00D5215A">
        <w:t>. Median duration of treatment was 13.8 months in the abiraterone arm and 8.3 months in the placebo arm.</w:t>
      </w:r>
    </w:p>
    <w:p w:rsidR="00C46F5D" w:rsidRPr="00C46F5D" w:rsidRDefault="00C46F5D" w:rsidP="009C2D2F">
      <w:pPr>
        <w:pStyle w:val="TableTitle"/>
        <w:rPr>
          <w:lang w:val="en-US"/>
        </w:rPr>
      </w:pPr>
      <w:bookmarkStart w:id="114" w:name="_Ref220923725"/>
      <w:bookmarkStart w:id="115" w:name="_Toc228789336"/>
      <w:r w:rsidRPr="00C46F5D">
        <w:t xml:space="preserve">Table </w:t>
      </w:r>
      <w:bookmarkEnd w:id="114"/>
      <w:r>
        <w:t>11:</w:t>
      </w:r>
      <w:r w:rsidRPr="00C46F5D">
        <w:t xml:space="preserve"> Pivotal </w:t>
      </w:r>
      <w:r w:rsidR="00B21465">
        <w:t>S</w:t>
      </w:r>
      <w:r w:rsidRPr="00C46F5D">
        <w:t>tudy 302 – Extent of exposure</w:t>
      </w:r>
      <w:bookmarkEnd w:id="115"/>
      <w:r w:rsidRPr="00C46F5D">
        <w:rPr>
          <w:noProof/>
          <w:lang w:eastAsia="en-AU"/>
        </w:rPr>
        <w:drawing>
          <wp:inline distT="0" distB="0" distL="0" distR="0">
            <wp:extent cx="5219700" cy="2374673"/>
            <wp:effectExtent l="19050" t="0" r="0" b="0"/>
            <wp:docPr id="25" name="Picture 18" descr="Table 11: Pivotal study 302 – Extent of expo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220819" cy="2375182"/>
                    </a:xfrm>
                    <a:prstGeom prst="rect">
                      <a:avLst/>
                    </a:prstGeom>
                    <a:noFill/>
                    <a:ln>
                      <a:noFill/>
                    </a:ln>
                  </pic:spPr>
                </pic:pic>
              </a:graphicData>
            </a:graphic>
          </wp:inline>
        </w:drawing>
      </w:r>
    </w:p>
    <w:p w:rsidR="009A7800" w:rsidRPr="009A7800" w:rsidRDefault="009A7800" w:rsidP="00054068">
      <w:pPr>
        <w:pStyle w:val="Heading4"/>
      </w:pPr>
      <w:bookmarkStart w:id="116" w:name="_Toc241374319"/>
      <w:bookmarkStart w:id="117" w:name="_Ref271044764"/>
      <w:bookmarkStart w:id="118" w:name="_Toc272414663"/>
      <w:bookmarkStart w:id="119" w:name="_Toc290846301"/>
      <w:bookmarkStart w:id="120" w:name="_Toc228789266"/>
      <w:r w:rsidRPr="009A7800">
        <w:t>Adverse events</w:t>
      </w:r>
      <w:bookmarkEnd w:id="116"/>
      <w:bookmarkEnd w:id="117"/>
      <w:bookmarkEnd w:id="118"/>
      <w:bookmarkEnd w:id="119"/>
      <w:bookmarkEnd w:id="120"/>
    </w:p>
    <w:p w:rsidR="009A7800" w:rsidRPr="009A7800" w:rsidRDefault="009A7800" w:rsidP="00054068">
      <w:pPr>
        <w:pStyle w:val="Heading5"/>
      </w:pPr>
      <w:bookmarkStart w:id="121" w:name="_Ref272317284"/>
      <w:bookmarkStart w:id="122" w:name="_Ref272333565"/>
      <w:bookmarkStart w:id="123" w:name="_Toc272414664"/>
      <w:bookmarkStart w:id="124" w:name="_Toc290846302"/>
      <w:bookmarkStart w:id="125" w:name="_Toc228789267"/>
      <w:r w:rsidRPr="009A7800">
        <w:t>All adverse events (irrespective of relationship to study treatment)</w:t>
      </w:r>
      <w:bookmarkEnd w:id="121"/>
      <w:bookmarkEnd w:id="122"/>
      <w:bookmarkEnd w:id="123"/>
      <w:bookmarkEnd w:id="124"/>
      <w:bookmarkEnd w:id="125"/>
    </w:p>
    <w:p w:rsidR="009A7800" w:rsidRPr="009A7800" w:rsidRDefault="009A7800" w:rsidP="00054068">
      <w:r w:rsidRPr="009A7800">
        <w:t xml:space="preserve">The overall safety profile in the pivotal study, in terms of the incidence of adverse events (AEs) </w:t>
      </w:r>
      <w:r w:rsidR="00F26BE3">
        <w:t>and so on</w:t>
      </w:r>
      <w:r w:rsidRPr="009A7800">
        <w:t>, is summarise</w:t>
      </w:r>
      <w:r w:rsidRPr="00C46F5D">
        <w:t xml:space="preserve">d in </w:t>
      </w:r>
      <w:r w:rsidR="005730D3">
        <w:t>Table 12</w:t>
      </w:r>
      <w:r w:rsidRPr="00C46F5D">
        <w:t>.</w:t>
      </w:r>
    </w:p>
    <w:p w:rsidR="009A7800" w:rsidRDefault="009A7800" w:rsidP="00054068">
      <w:r w:rsidRPr="009A7800">
        <w:t>The incidence of overall AEs was comparable in the two treatment arms (99.1%</w:t>
      </w:r>
      <w:r w:rsidR="006463E9">
        <w:t xml:space="preserve"> versus </w:t>
      </w:r>
      <w:r w:rsidRPr="009A7800">
        <w:t>97.0%). Grade 3 or 4 AEs were marginally more common in the abiraterone arm (47.6%</w:t>
      </w:r>
      <w:r w:rsidR="006463E9">
        <w:t xml:space="preserve"> versus </w:t>
      </w:r>
      <w:r w:rsidR="007247F3">
        <w:t>41.7%).</w:t>
      </w:r>
    </w:p>
    <w:p w:rsidR="00C46F5D" w:rsidRPr="00C46F5D" w:rsidRDefault="00C46F5D" w:rsidP="009C2D2F">
      <w:pPr>
        <w:pStyle w:val="TableTitle"/>
        <w:rPr>
          <w:lang w:val="en-US"/>
        </w:rPr>
      </w:pPr>
      <w:bookmarkStart w:id="126" w:name="_Ref220924720"/>
      <w:bookmarkStart w:id="127" w:name="_Toc228789337"/>
      <w:r w:rsidRPr="00C46F5D">
        <w:lastRenderedPageBreak/>
        <w:t>Table</w:t>
      </w:r>
      <w:bookmarkEnd w:id="126"/>
      <w:r>
        <w:t xml:space="preserve"> 12: </w:t>
      </w:r>
      <w:r w:rsidRPr="00C46F5D">
        <w:t>Pivotal study 302 – Overall safety profile</w:t>
      </w:r>
      <w:bookmarkEnd w:id="127"/>
    </w:p>
    <w:p w:rsidR="00C46F5D" w:rsidRPr="00C46F5D" w:rsidRDefault="00C46F5D" w:rsidP="007247F3">
      <w:pPr>
        <w:rPr>
          <w:lang w:val="en-US"/>
        </w:rPr>
      </w:pPr>
      <w:r w:rsidRPr="00C46F5D">
        <w:rPr>
          <w:noProof/>
          <w:lang w:eastAsia="en-AU"/>
        </w:rPr>
        <w:drawing>
          <wp:inline distT="0" distB="0" distL="0" distR="0" wp14:anchorId="0B5F3241" wp14:editId="5E17A4D4">
            <wp:extent cx="5925820" cy="3497810"/>
            <wp:effectExtent l="19050" t="0" r="0" b="0"/>
            <wp:docPr id="27" name="Picture 19" descr="Table 12: Pivotal study 302 – Overall safety pro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25820" cy="3497810"/>
                    </a:xfrm>
                    <a:prstGeom prst="rect">
                      <a:avLst/>
                    </a:prstGeom>
                    <a:noFill/>
                    <a:ln>
                      <a:noFill/>
                    </a:ln>
                  </pic:spPr>
                </pic:pic>
              </a:graphicData>
            </a:graphic>
          </wp:inline>
        </w:drawing>
      </w:r>
    </w:p>
    <w:p w:rsidR="009A7800" w:rsidRPr="009A7800" w:rsidRDefault="009A7800" w:rsidP="00054068">
      <w:r w:rsidRPr="009A7800">
        <w:t xml:space="preserve">Individual AEs </w:t>
      </w:r>
      <w:r w:rsidR="00C46F5D" w:rsidRPr="009A7800">
        <w:t>(</w:t>
      </w:r>
      <w:r w:rsidR="00C46F5D">
        <w:t>that is,</w:t>
      </w:r>
      <w:r w:rsidR="00C46F5D" w:rsidRPr="009A7800">
        <w:t xml:space="preserve"> those occurring in &gt;</w:t>
      </w:r>
      <w:r w:rsidR="00C46F5D">
        <w:t> </w:t>
      </w:r>
      <w:r w:rsidR="00C46F5D" w:rsidRPr="009A7800">
        <w:t>5% of subjects)</w:t>
      </w:r>
      <w:r w:rsidR="00C46F5D">
        <w:t xml:space="preserve"> </w:t>
      </w:r>
      <w:r w:rsidRPr="009A7800">
        <w:t>more common in the abiraterone arm included the following:</w:t>
      </w:r>
    </w:p>
    <w:p w:rsidR="009A7800" w:rsidRPr="009A7800" w:rsidRDefault="009A7800" w:rsidP="00054068">
      <w:pPr>
        <w:pStyle w:val="ListBullet"/>
      </w:pPr>
      <w:r w:rsidRPr="009A7800">
        <w:t>Hypertension (21.6%</w:t>
      </w:r>
      <w:r w:rsidR="006463E9">
        <w:t xml:space="preserve"> versus </w:t>
      </w:r>
      <w:r w:rsidRPr="009A7800">
        <w:t>13.1%) and other AEs indicative of mineralocorticoid excess such as peripheral oedema (24.7%</w:t>
      </w:r>
      <w:r w:rsidR="006463E9">
        <w:t xml:space="preserve"> versus </w:t>
      </w:r>
      <w:r w:rsidRPr="009A7800">
        <w:t>20.0%) and hypokalaemia (16.8%</w:t>
      </w:r>
      <w:r w:rsidR="006463E9">
        <w:t xml:space="preserve"> versus </w:t>
      </w:r>
      <w:r w:rsidRPr="009A7800">
        <w:t>12.6%);</w:t>
      </w:r>
    </w:p>
    <w:p w:rsidR="009A7800" w:rsidRPr="009A7800" w:rsidRDefault="009A7800" w:rsidP="00054068">
      <w:pPr>
        <w:pStyle w:val="ListBullet"/>
      </w:pPr>
      <w:r w:rsidRPr="009A7800">
        <w:t>Increased ALT (11.6%</w:t>
      </w:r>
      <w:r w:rsidR="006463E9">
        <w:t xml:space="preserve"> versus </w:t>
      </w:r>
      <w:r w:rsidRPr="009A7800">
        <w:t>5.0%) and AST (10.7%</w:t>
      </w:r>
      <w:r w:rsidR="006463E9">
        <w:t xml:space="preserve"> versus </w:t>
      </w:r>
      <w:r w:rsidRPr="009A7800">
        <w:t>4.8%).</w:t>
      </w:r>
    </w:p>
    <w:p w:rsidR="009A7800" w:rsidRPr="009A7800" w:rsidRDefault="009A7800" w:rsidP="00054068">
      <w:r w:rsidRPr="009A7800">
        <w:t>These are known adv</w:t>
      </w:r>
      <w:r w:rsidR="007247F3">
        <w:t>erse reactions for abiraterone.</w:t>
      </w:r>
    </w:p>
    <w:p w:rsidR="009A7800" w:rsidRPr="009A7800" w:rsidRDefault="009A7800" w:rsidP="00054068">
      <w:r w:rsidRPr="009A7800">
        <w:t>Upper respiratory tract infections were also more common with abiraterone (12.0%</w:t>
      </w:r>
      <w:r w:rsidR="006463E9">
        <w:t xml:space="preserve"> versus </w:t>
      </w:r>
      <w:r w:rsidRPr="009A7800">
        <w:t xml:space="preserve">8.0%). These were all of </w:t>
      </w:r>
      <w:r w:rsidR="00F26BE3">
        <w:t>G</w:t>
      </w:r>
      <w:r w:rsidRPr="009A7800">
        <w:t>rade 1 or 2 in severity. There were no other striking differences in individual A</w:t>
      </w:r>
      <w:r w:rsidR="007247F3">
        <w:t>Es between groups.</w:t>
      </w:r>
    </w:p>
    <w:p w:rsidR="009A7800" w:rsidRPr="009A7800" w:rsidRDefault="009A7800" w:rsidP="00054068">
      <w:r w:rsidRPr="009A7800">
        <w:t>In t</w:t>
      </w:r>
      <w:r w:rsidR="00F26BE3">
        <w:t>erms of individual AE terms of G</w:t>
      </w:r>
      <w:r w:rsidRPr="009A7800">
        <w:t>rade 3 or 4 severity</w:t>
      </w:r>
      <w:r w:rsidR="00F26BE3">
        <w:t>,</w:t>
      </w:r>
      <w:r w:rsidRPr="009A7800">
        <w:t xml:space="preserve"> increased ALT (5.4%</w:t>
      </w:r>
      <w:r w:rsidR="006463E9">
        <w:t xml:space="preserve"> versus </w:t>
      </w:r>
      <w:r w:rsidRPr="009A7800">
        <w:t>0.8%) and increased AST (3.0%</w:t>
      </w:r>
      <w:r w:rsidR="006463E9">
        <w:t xml:space="preserve"> versus </w:t>
      </w:r>
      <w:r w:rsidRPr="009A7800">
        <w:t>0.9%) were more common with abiraterone treatment. Other individual grade 3 or 4 AEs were evenly distributed across the two arms.</w:t>
      </w:r>
    </w:p>
    <w:p w:rsidR="009A7800" w:rsidRPr="009A7800" w:rsidRDefault="009A7800" w:rsidP="00054068">
      <w:pPr>
        <w:pStyle w:val="Heading5"/>
      </w:pPr>
      <w:bookmarkStart w:id="128" w:name="_Ref272333567"/>
      <w:bookmarkStart w:id="129" w:name="_Toc272414665"/>
      <w:bookmarkStart w:id="130" w:name="_Toc290846303"/>
      <w:bookmarkStart w:id="131" w:name="_Toc228789268"/>
      <w:r w:rsidRPr="009A7800">
        <w:t>Treatment-related adverse events (adverse drug reactions)</w:t>
      </w:r>
      <w:bookmarkEnd w:id="128"/>
      <w:bookmarkEnd w:id="129"/>
      <w:bookmarkEnd w:id="130"/>
      <w:bookmarkEnd w:id="131"/>
    </w:p>
    <w:p w:rsidR="009A7800" w:rsidRPr="009A7800" w:rsidRDefault="009A7800" w:rsidP="00054068">
      <w:r w:rsidRPr="009A7800">
        <w:t>The incidence of AEs considered related to study drug was comparable in the two treatment arms (78.2%</w:t>
      </w:r>
      <w:r w:rsidR="006463E9">
        <w:t xml:space="preserve"> versus </w:t>
      </w:r>
      <w:r w:rsidRPr="009A7800">
        <w:t>76.5%). Common drug-related AEs (occurring in &gt;2% of subjects in either arm) are show</w:t>
      </w:r>
      <w:r w:rsidRPr="00C46F5D">
        <w:t xml:space="preserve">n in </w:t>
      </w:r>
      <w:r w:rsidR="005730D3">
        <w:t xml:space="preserve">Table </w:t>
      </w:r>
      <w:r w:rsidR="00C46F5D" w:rsidRPr="00C46F5D">
        <w:t>13</w:t>
      </w:r>
      <w:r w:rsidRPr="00C46F5D">
        <w:t>. The patter</w:t>
      </w:r>
      <w:r w:rsidRPr="009A7800">
        <w:t>n of toxicity was consistent with that described above for all adverse events.</w:t>
      </w:r>
    </w:p>
    <w:p w:rsidR="009A7800" w:rsidRDefault="00F26BE3" w:rsidP="00054068">
      <w:r>
        <w:t>The incidence of G</w:t>
      </w:r>
      <w:r w:rsidR="009A7800" w:rsidRPr="009A7800">
        <w:t>rade 3 or 4 AEs considered related to study drug was marginally higher in the abiraterone arm (22.5%</w:t>
      </w:r>
      <w:r w:rsidR="006463E9">
        <w:t xml:space="preserve"> versus </w:t>
      </w:r>
      <w:r w:rsidR="007247F3">
        <w:t>16.9%).</w:t>
      </w:r>
    </w:p>
    <w:p w:rsidR="009C2D2F" w:rsidRDefault="00C46F5D" w:rsidP="009C2D2F">
      <w:pPr>
        <w:pStyle w:val="TableTitle"/>
      </w:pPr>
      <w:bookmarkStart w:id="132" w:name="_Ref221005791"/>
      <w:bookmarkStart w:id="133" w:name="_Toc228789339"/>
      <w:r w:rsidRPr="00C46F5D">
        <w:lastRenderedPageBreak/>
        <w:t xml:space="preserve">Table </w:t>
      </w:r>
      <w:bookmarkEnd w:id="132"/>
      <w:r>
        <w:t xml:space="preserve">13. </w:t>
      </w:r>
      <w:r w:rsidRPr="00C46F5D">
        <w:t>Pivotal study 302 - Incidence of common drug-related AEs (reported in at least 2% of subjects)</w:t>
      </w:r>
      <w:bookmarkEnd w:id="133"/>
    </w:p>
    <w:p w:rsidR="00C46F5D" w:rsidRDefault="00C46F5D" w:rsidP="007247F3">
      <w:r w:rsidRPr="00C46F5D">
        <w:rPr>
          <w:noProof/>
          <w:lang w:eastAsia="en-AU"/>
        </w:rPr>
        <w:drawing>
          <wp:inline distT="0" distB="0" distL="0" distR="0" wp14:anchorId="6D903173" wp14:editId="4FC60648">
            <wp:extent cx="5248275" cy="7800975"/>
            <wp:effectExtent l="19050" t="0" r="9525" b="0"/>
            <wp:docPr id="29" name="Picture 2" descr="Table 13. Pivotal study 302 - Incidence of common drug-related AEs (reported in at least 2% of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t="836" b="1314"/>
                    <a:stretch>
                      <a:fillRect/>
                    </a:stretch>
                  </pic:blipFill>
                  <pic:spPr bwMode="auto">
                    <a:xfrm>
                      <a:off x="0" y="0"/>
                      <a:ext cx="5248275" cy="7800975"/>
                    </a:xfrm>
                    <a:prstGeom prst="rect">
                      <a:avLst/>
                    </a:prstGeom>
                    <a:noFill/>
                    <a:ln>
                      <a:noFill/>
                    </a:ln>
                  </pic:spPr>
                </pic:pic>
              </a:graphicData>
            </a:graphic>
          </wp:inline>
        </w:drawing>
      </w:r>
    </w:p>
    <w:p w:rsidR="00B74A7B" w:rsidRPr="00C46F5D" w:rsidRDefault="00B74A7B" w:rsidP="009C2D2F">
      <w:pPr>
        <w:pStyle w:val="TableTitle"/>
      </w:pPr>
      <w:r w:rsidRPr="00B74A7B">
        <w:lastRenderedPageBreak/>
        <w:t>Table 13</w:t>
      </w:r>
      <w:r>
        <w:t xml:space="preserve"> continued</w:t>
      </w:r>
      <w:r w:rsidRPr="00B74A7B">
        <w:t xml:space="preserve">. Pivotal study 302 - Incidence of common drug-related AEs (reported in at least 2% of subjects) </w:t>
      </w:r>
      <w:r w:rsidRPr="00B74A7B">
        <w:rPr>
          <w:noProof/>
          <w:lang w:eastAsia="en-AU"/>
        </w:rPr>
        <w:drawing>
          <wp:inline distT="0" distB="0" distL="0" distR="0">
            <wp:extent cx="5731510" cy="3362325"/>
            <wp:effectExtent l="19050" t="0" r="2540" b="0"/>
            <wp:docPr id="30" name="Picture 3" descr="Table 13 continued. Pivotal study 302 - Incidence of common drug-related AEs (reported in at least 2% of subjects) Table 13. Pivotal study 302 - Incidence of common drug-related AEs (reported in at least 2% of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t="3474" b="8933"/>
                    <a:stretch>
                      <a:fillRect/>
                    </a:stretch>
                  </pic:blipFill>
                  <pic:spPr bwMode="auto">
                    <a:xfrm>
                      <a:off x="0" y="0"/>
                      <a:ext cx="5731510" cy="3362325"/>
                    </a:xfrm>
                    <a:prstGeom prst="rect">
                      <a:avLst/>
                    </a:prstGeom>
                    <a:noFill/>
                    <a:ln>
                      <a:noFill/>
                    </a:ln>
                  </pic:spPr>
                </pic:pic>
              </a:graphicData>
            </a:graphic>
          </wp:inline>
        </w:drawing>
      </w:r>
    </w:p>
    <w:p w:rsidR="009A7800" w:rsidRPr="009A7800" w:rsidRDefault="009A7800" w:rsidP="00054068">
      <w:r w:rsidRPr="009A7800">
        <w:t>The sponsor performed an analysis of treatment related AES that met the following criteria:</w:t>
      </w:r>
    </w:p>
    <w:p w:rsidR="009A7800" w:rsidRPr="009A7800" w:rsidRDefault="009A7800" w:rsidP="00054068">
      <w:pPr>
        <w:pStyle w:val="ListBullet"/>
      </w:pPr>
      <w:r w:rsidRPr="009A7800">
        <w:t>Incidence was at least 1% higher in the abiraterone arm;</w:t>
      </w:r>
    </w:p>
    <w:p w:rsidR="009A7800" w:rsidRPr="009A7800" w:rsidRDefault="009A7800" w:rsidP="00054068">
      <w:pPr>
        <w:pStyle w:val="ListBullet"/>
      </w:pPr>
      <w:r w:rsidRPr="009A7800">
        <w:t>When corrected for differences in duration of exposure between the two groups, a higher incidence in the abiraterone group of at least 5 events per 100 patient-years of treatment existed;</w:t>
      </w:r>
    </w:p>
    <w:p w:rsidR="009A7800" w:rsidRPr="009A7800" w:rsidRDefault="00F26BE3" w:rsidP="00054068">
      <w:pPr>
        <w:pStyle w:val="ListBullet"/>
      </w:pPr>
      <w:r w:rsidRPr="00F26BE3">
        <w:t xml:space="preserve">Council for International Organizations of Medical Sciences </w:t>
      </w:r>
      <w:r>
        <w:t>(</w:t>
      </w:r>
      <w:r w:rsidR="009A7800" w:rsidRPr="009A7800">
        <w:t>CIOMS</w:t>
      </w:r>
      <w:r>
        <w:t>)</w:t>
      </w:r>
      <w:r w:rsidR="009A7800" w:rsidRPr="009A7800">
        <w:t xml:space="preserve"> criteria for relatedness were met.</w:t>
      </w:r>
    </w:p>
    <w:p w:rsidR="009A7800" w:rsidRDefault="009A7800" w:rsidP="00054068">
      <w:r w:rsidRPr="009A7800">
        <w:t>Results are shown i</w:t>
      </w:r>
      <w:r w:rsidRPr="00B74A7B">
        <w:t xml:space="preserve">n </w:t>
      </w:r>
      <w:r w:rsidR="005730D3">
        <w:t>Table</w:t>
      </w:r>
      <w:r w:rsidR="00B21465">
        <w:t xml:space="preserve"> 14</w:t>
      </w:r>
      <w:r w:rsidR="007F6643">
        <w:fldChar w:fldCharType="begin"/>
      </w:r>
      <w:r w:rsidR="007F6643">
        <w:instrText xml:space="preserve"> REF _Ref221174025 \h  \* MERGEFORMAT </w:instrText>
      </w:r>
      <w:r w:rsidR="007F6643">
        <w:fldChar w:fldCharType="separate"/>
      </w:r>
      <w:r w:rsidR="009C2D2F">
        <w:rPr>
          <w:b/>
          <w:bCs/>
          <w:lang w:val="en-US"/>
        </w:rPr>
        <w:t>Error! Reference source not found.</w:t>
      </w:r>
      <w:r w:rsidR="007F6643">
        <w:fldChar w:fldCharType="end"/>
      </w:r>
      <w:r w:rsidR="00B21465">
        <w:t>.</w:t>
      </w:r>
      <w:r w:rsidRPr="00B74A7B">
        <w:t xml:space="preserve"> As a resul</w:t>
      </w:r>
      <w:r w:rsidRPr="009A7800">
        <w:t xml:space="preserve">t of this analysis the sponsor proposes to add dyspepsia and haematuria as </w:t>
      </w:r>
      <w:r w:rsidR="00F26BE3">
        <w:t>adverse drug reactions (</w:t>
      </w:r>
      <w:r w:rsidRPr="009A7800">
        <w:t>ADRs</w:t>
      </w:r>
      <w:r w:rsidR="00F26BE3">
        <w:t>)</w:t>
      </w:r>
      <w:r w:rsidRPr="009A7800">
        <w:t xml:space="preserve"> in the product information.</w:t>
      </w:r>
    </w:p>
    <w:p w:rsidR="00B74A7B" w:rsidRPr="00B74A7B" w:rsidRDefault="00B74A7B" w:rsidP="009C2D2F">
      <w:pPr>
        <w:pStyle w:val="TableTitle"/>
        <w:rPr>
          <w:lang w:val="en-US"/>
        </w:rPr>
      </w:pPr>
      <w:r>
        <w:t>T</w:t>
      </w:r>
      <w:r w:rsidRPr="00B74A7B">
        <w:t xml:space="preserve">able </w:t>
      </w:r>
      <w:r>
        <w:t xml:space="preserve">14: </w:t>
      </w:r>
      <w:r w:rsidRPr="00B74A7B">
        <w:t>Pivotal study 302 – Drug-related AE</w:t>
      </w:r>
      <w:r w:rsidR="00D5215A">
        <w:t>s</w:t>
      </w:r>
    </w:p>
    <w:p w:rsidR="00B74A7B" w:rsidRDefault="00B74A7B" w:rsidP="007247F3">
      <w:r w:rsidRPr="00B74A7B">
        <w:rPr>
          <w:noProof/>
          <w:lang w:eastAsia="en-AU"/>
        </w:rPr>
        <w:drawing>
          <wp:inline distT="0" distB="0" distL="0" distR="0" wp14:anchorId="720E830A" wp14:editId="31C5FA37">
            <wp:extent cx="5619750" cy="2424664"/>
            <wp:effectExtent l="0" t="0" r="0" b="0"/>
            <wp:docPr id="32" name="Picture 3" descr="Table 14: Pivotal study 302 – Drug-related A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b="2271"/>
                    <a:stretch>
                      <a:fillRect/>
                    </a:stretch>
                  </pic:blipFill>
                  <pic:spPr bwMode="auto">
                    <a:xfrm>
                      <a:off x="0" y="0"/>
                      <a:ext cx="5627391" cy="2427961"/>
                    </a:xfrm>
                    <a:prstGeom prst="rect">
                      <a:avLst/>
                    </a:prstGeom>
                    <a:noFill/>
                    <a:ln>
                      <a:noFill/>
                    </a:ln>
                  </pic:spPr>
                </pic:pic>
              </a:graphicData>
            </a:graphic>
          </wp:inline>
        </w:drawing>
      </w:r>
    </w:p>
    <w:p w:rsidR="009A7800" w:rsidRPr="009A7800" w:rsidRDefault="009A7800" w:rsidP="00B74A7B">
      <w:pPr>
        <w:pStyle w:val="Heading5"/>
      </w:pPr>
      <w:bookmarkStart w:id="134" w:name="_Toc241374320"/>
      <w:bookmarkStart w:id="135" w:name="_Ref272333507"/>
      <w:bookmarkStart w:id="136" w:name="_Toc272414666"/>
      <w:bookmarkStart w:id="137" w:name="_Toc290846304"/>
      <w:bookmarkStart w:id="138" w:name="_Toc228789269"/>
      <w:r w:rsidRPr="009A7800">
        <w:lastRenderedPageBreak/>
        <w:t>Deaths and other serious adverse events</w:t>
      </w:r>
      <w:bookmarkEnd w:id="134"/>
      <w:bookmarkEnd w:id="135"/>
      <w:bookmarkEnd w:id="136"/>
      <w:bookmarkEnd w:id="137"/>
      <w:bookmarkEnd w:id="138"/>
    </w:p>
    <w:p w:rsidR="009A7800" w:rsidRPr="009A7800" w:rsidRDefault="009A7800" w:rsidP="00054068">
      <w:pPr>
        <w:pStyle w:val="Heading6"/>
      </w:pPr>
      <w:r w:rsidRPr="009A7800">
        <w:t>Deaths</w:t>
      </w:r>
    </w:p>
    <w:p w:rsidR="009A7800" w:rsidRPr="009A7800" w:rsidRDefault="009A7800" w:rsidP="00054068">
      <w:r w:rsidRPr="00B74A7B">
        <w:t>There wa</w:t>
      </w:r>
      <w:r w:rsidRPr="009A7800">
        <w:t>s an excess of fatal AEs in the abiraterone arm (20</w:t>
      </w:r>
      <w:r w:rsidR="006463E9">
        <w:t xml:space="preserve"> versus </w:t>
      </w:r>
      <w:r w:rsidRPr="009A7800">
        <w:t>12). However the incidence of fatal AEs that were considered related to study drug was comparable in the two arms (5</w:t>
      </w:r>
      <w:r w:rsidR="006463E9">
        <w:t xml:space="preserve"> versus </w:t>
      </w:r>
      <w:r w:rsidRPr="009A7800">
        <w:t>4).</w:t>
      </w:r>
    </w:p>
    <w:p w:rsidR="009A7800" w:rsidRPr="009A7800" w:rsidRDefault="009A7800" w:rsidP="00054068">
      <w:pPr>
        <w:pStyle w:val="Heading6"/>
      </w:pPr>
      <w:r w:rsidRPr="009A7800">
        <w:t>Serious adverse events</w:t>
      </w:r>
    </w:p>
    <w:p w:rsidR="009C2D2F" w:rsidRDefault="009A7800" w:rsidP="009C2D2F">
      <w:r w:rsidRPr="009A7800">
        <w:t>Serious AEs were more common in the abiraterone arm (32.8%</w:t>
      </w:r>
      <w:r w:rsidR="006463E9">
        <w:t xml:space="preserve"> versus </w:t>
      </w:r>
      <w:r w:rsidRPr="009A7800">
        <w:t>26.3%). However the incidence of drug-related SAEs was comparable in the two arms (10.9%</w:t>
      </w:r>
      <w:r w:rsidR="006463E9">
        <w:t xml:space="preserve"> versus </w:t>
      </w:r>
      <w:r w:rsidRPr="009A7800">
        <w:t>10.0%). SAEs occurring in &gt; 1% of subjects in either arm are sho</w:t>
      </w:r>
      <w:r w:rsidRPr="00B74A7B">
        <w:t>wn in</w:t>
      </w:r>
      <w:r w:rsidR="005730D3">
        <w:t xml:space="preserve"> Table </w:t>
      </w:r>
      <w:r w:rsidR="00B74A7B" w:rsidRPr="00B74A7B">
        <w:t>15</w:t>
      </w:r>
      <w:r w:rsidRPr="00B74A7B">
        <w:t>. The incidence of cardiac SAEs was increased in the abiraterone arm (5.4%</w:t>
      </w:r>
      <w:r w:rsidR="006463E9" w:rsidRPr="00B74A7B">
        <w:t xml:space="preserve"> versus </w:t>
      </w:r>
      <w:r w:rsidRPr="00B74A7B">
        <w:t>2.6%).</w:t>
      </w:r>
      <w:bookmarkStart w:id="139" w:name="_Ref221008071"/>
      <w:bookmarkStart w:id="140" w:name="_Toc228789342"/>
    </w:p>
    <w:p w:rsidR="00B74A7B" w:rsidRPr="00B74A7B" w:rsidRDefault="009C2D2F" w:rsidP="009C2D2F">
      <w:pPr>
        <w:rPr>
          <w:b/>
        </w:rPr>
      </w:pPr>
      <w:r>
        <w:t>T</w:t>
      </w:r>
      <w:r w:rsidR="00B74A7B" w:rsidRPr="00B74A7B">
        <w:rPr>
          <w:b/>
        </w:rPr>
        <w:t xml:space="preserve">able </w:t>
      </w:r>
      <w:bookmarkEnd w:id="139"/>
      <w:r w:rsidR="00B74A7B">
        <w:rPr>
          <w:b/>
        </w:rPr>
        <w:t xml:space="preserve">15: </w:t>
      </w:r>
      <w:r w:rsidR="00B74A7B" w:rsidRPr="00B74A7B">
        <w:rPr>
          <w:b/>
        </w:rPr>
        <w:t xml:space="preserve"> Pivotal study 302 – Serious AEs occurring in &gt;1% of subjects</w:t>
      </w:r>
      <w:bookmarkEnd w:id="140"/>
    </w:p>
    <w:p w:rsidR="00B74A7B" w:rsidRDefault="00B74A7B" w:rsidP="00B74A7B">
      <w:r w:rsidRPr="00B74A7B">
        <w:rPr>
          <w:noProof/>
          <w:lang w:eastAsia="en-AU"/>
        </w:rPr>
        <w:drawing>
          <wp:inline distT="0" distB="0" distL="0" distR="0">
            <wp:extent cx="5683937" cy="2135582"/>
            <wp:effectExtent l="19050" t="0" r="0" b="0"/>
            <wp:docPr id="34" name="Picture 5" descr="Table 15:  Pivotal study 302 – Serious AEs occurring in &gt;1% of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89036" cy="2137498"/>
                    </a:xfrm>
                    <a:prstGeom prst="rect">
                      <a:avLst/>
                    </a:prstGeom>
                    <a:noFill/>
                    <a:ln>
                      <a:noFill/>
                    </a:ln>
                  </pic:spPr>
                </pic:pic>
              </a:graphicData>
            </a:graphic>
          </wp:inline>
        </w:drawing>
      </w:r>
    </w:p>
    <w:p w:rsidR="009A7800" w:rsidRPr="009A7800" w:rsidRDefault="009A7800" w:rsidP="00054068">
      <w:pPr>
        <w:pStyle w:val="Heading5"/>
      </w:pPr>
      <w:bookmarkStart w:id="141" w:name="_Toc241374325"/>
      <w:bookmarkStart w:id="142" w:name="_Ref272333477"/>
      <w:bookmarkStart w:id="143" w:name="_Toc272414667"/>
      <w:bookmarkStart w:id="144" w:name="_Toc290846305"/>
      <w:bookmarkStart w:id="145" w:name="_Toc228789270"/>
      <w:r w:rsidRPr="009A7800">
        <w:t>Discontinuation due to adverse events</w:t>
      </w:r>
      <w:bookmarkEnd w:id="141"/>
      <w:bookmarkEnd w:id="142"/>
      <w:bookmarkEnd w:id="143"/>
      <w:bookmarkEnd w:id="144"/>
      <w:bookmarkEnd w:id="145"/>
    </w:p>
    <w:p w:rsidR="009A7800" w:rsidRPr="009A7800" w:rsidRDefault="009A7800" w:rsidP="00054068">
      <w:r w:rsidRPr="009A7800">
        <w:t>The incidence of AEs leading to discontinuation was comparable in the two treatment arms (10.1%</w:t>
      </w:r>
      <w:r w:rsidR="006463E9">
        <w:t xml:space="preserve"> versus </w:t>
      </w:r>
      <w:r w:rsidRPr="009A7800">
        <w:t>9.1%). The only specific AE terms for which discontinuation w</w:t>
      </w:r>
      <w:r w:rsidR="00394B14">
        <w:t>ere</w:t>
      </w:r>
      <w:r w:rsidRPr="009A7800">
        <w:t xml:space="preserve"> notably more common with abiraterone were:</w:t>
      </w:r>
    </w:p>
    <w:p w:rsidR="009A7800" w:rsidRPr="009A7800" w:rsidRDefault="009A7800" w:rsidP="00054068">
      <w:pPr>
        <w:pStyle w:val="ListBullet"/>
      </w:pPr>
      <w:r w:rsidRPr="009A7800">
        <w:t>ALT increased (9</w:t>
      </w:r>
      <w:r w:rsidR="006463E9">
        <w:t xml:space="preserve"> versus </w:t>
      </w:r>
      <w:r w:rsidRPr="009A7800">
        <w:t>1 cases);</w:t>
      </w:r>
    </w:p>
    <w:p w:rsidR="009A7800" w:rsidRPr="009A7800" w:rsidRDefault="009A7800" w:rsidP="00054068">
      <w:pPr>
        <w:pStyle w:val="ListBullet"/>
      </w:pPr>
      <w:r w:rsidRPr="009A7800">
        <w:t>AST increased (7</w:t>
      </w:r>
      <w:r w:rsidR="006463E9">
        <w:t xml:space="preserve"> versus </w:t>
      </w:r>
      <w:r w:rsidRPr="009A7800">
        <w:t>0 cases).</w:t>
      </w:r>
    </w:p>
    <w:p w:rsidR="009A7800" w:rsidRPr="009A7800" w:rsidRDefault="009A7800" w:rsidP="00054068">
      <w:pPr>
        <w:pStyle w:val="Heading5"/>
      </w:pPr>
      <w:bookmarkStart w:id="146" w:name="_Toc228789271"/>
      <w:r w:rsidRPr="009A7800">
        <w:t>Adverse events of special interest</w:t>
      </w:r>
      <w:bookmarkEnd w:id="146"/>
    </w:p>
    <w:p w:rsidR="009A7800" w:rsidRPr="009A7800" w:rsidRDefault="009A7800" w:rsidP="00054068">
      <w:pPr>
        <w:pStyle w:val="Heading6"/>
      </w:pPr>
      <w:bookmarkStart w:id="147" w:name="_Toc228789272"/>
      <w:r w:rsidRPr="009A7800">
        <w:t>Fluid retention / hypokalaemia / hypertension</w:t>
      </w:r>
      <w:bookmarkEnd w:id="147"/>
    </w:p>
    <w:p w:rsidR="009A7800" w:rsidRPr="009A7800" w:rsidRDefault="009A7800" w:rsidP="00054068">
      <w:r w:rsidRPr="009A7800">
        <w:t xml:space="preserve">These are known toxicities of abiraterone, due to mineralocorticoid excess produced by the pharmacological effect of the drug. </w:t>
      </w:r>
      <w:r w:rsidR="00B74A7B">
        <w:t xml:space="preserve">A summary of the </w:t>
      </w:r>
      <w:r w:rsidRPr="009A7800">
        <w:t xml:space="preserve">incidence in the pivotal study of AEs suggestive of these toxicities </w:t>
      </w:r>
      <w:r w:rsidR="00B74A7B">
        <w:t>showed that h</w:t>
      </w:r>
      <w:r w:rsidRPr="009A7800">
        <w:t>ypertension was clearly more common with abiraterone. The difference between treatments in the incidence of fluid retention (mainly peripheral oedema) and hypokalaemia was less marked.</w:t>
      </w:r>
    </w:p>
    <w:p w:rsidR="009A7800" w:rsidRPr="009A7800" w:rsidRDefault="009A7800" w:rsidP="00054068">
      <w:pPr>
        <w:pStyle w:val="Heading6"/>
      </w:pPr>
      <w:bookmarkStart w:id="148" w:name="_Ref221160634"/>
      <w:bookmarkStart w:id="149" w:name="_Toc228789273"/>
      <w:r w:rsidRPr="009A7800">
        <w:t>Hepatotoxicity</w:t>
      </w:r>
      <w:bookmarkEnd w:id="148"/>
      <w:bookmarkEnd w:id="149"/>
    </w:p>
    <w:p w:rsidR="009A7800" w:rsidRDefault="009A7800" w:rsidP="00054068">
      <w:r w:rsidRPr="009A7800">
        <w:t xml:space="preserve">Abiraterone has previously been shown to produce hepatotoxicity. In the pivotal study in this submission, abiraterone was clearly shown to be associated with an increased incidence of hepatotoxicity, predominantly transaminase elevations. Hepatotoxicity AEs are summarised in </w:t>
      </w:r>
      <w:r w:rsidR="005730D3">
        <w:t xml:space="preserve">Table </w:t>
      </w:r>
      <w:r w:rsidR="00B74A7B" w:rsidRPr="00D5215A">
        <w:t>16</w:t>
      </w:r>
      <w:r w:rsidRPr="00D5215A">
        <w:t>.</w:t>
      </w:r>
    </w:p>
    <w:p w:rsidR="00B74A7B" w:rsidRPr="00B74A7B" w:rsidRDefault="00B74A7B" w:rsidP="009C2D2F">
      <w:pPr>
        <w:pStyle w:val="TableTitle"/>
      </w:pPr>
      <w:r>
        <w:lastRenderedPageBreak/>
        <w:t>T</w:t>
      </w:r>
      <w:r w:rsidRPr="00B74A7B">
        <w:t xml:space="preserve">able </w:t>
      </w:r>
      <w:r>
        <w:t>16:</w:t>
      </w:r>
      <w:r w:rsidR="005730D3">
        <w:t xml:space="preserve"> Pivotal S</w:t>
      </w:r>
      <w:r w:rsidRPr="00B74A7B">
        <w:t>tudy 302 – Hepatotoxicity AE</w:t>
      </w:r>
      <w:r>
        <w:t>s</w:t>
      </w:r>
    </w:p>
    <w:p w:rsidR="009A7800" w:rsidRPr="009A7800" w:rsidRDefault="00B74A7B" w:rsidP="009C2D2F">
      <w:pPr>
        <w:keepNext/>
      </w:pPr>
      <w:r w:rsidRPr="00B74A7B">
        <w:rPr>
          <w:noProof/>
          <w:lang w:eastAsia="en-AU"/>
        </w:rPr>
        <w:drawing>
          <wp:inline distT="0" distB="0" distL="0" distR="0">
            <wp:extent cx="5925820" cy="311150"/>
            <wp:effectExtent l="0" t="0" r="0" b="0"/>
            <wp:docPr id="37" name="Picture 6" descr="Table 16: Pivotal Study 302 – Hepatotoxicity A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25820" cy="311150"/>
                    </a:xfrm>
                    <a:prstGeom prst="rect">
                      <a:avLst/>
                    </a:prstGeom>
                    <a:noFill/>
                    <a:ln>
                      <a:noFill/>
                    </a:ln>
                  </pic:spPr>
                </pic:pic>
              </a:graphicData>
            </a:graphic>
          </wp:inline>
        </w:drawing>
      </w:r>
      <w:r w:rsidRPr="00B74A7B">
        <w:rPr>
          <w:noProof/>
          <w:lang w:eastAsia="en-AU"/>
        </w:rPr>
        <w:drawing>
          <wp:inline distT="0" distB="0" distL="0" distR="0">
            <wp:extent cx="5925820" cy="2373557"/>
            <wp:effectExtent l="19050" t="0" r="0" b="0"/>
            <wp:docPr id="38" name="Picture 8" descr="Table 16: Pivotal study 302 – Hepatotoxicity A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25820" cy="2373557"/>
                    </a:xfrm>
                    <a:prstGeom prst="rect">
                      <a:avLst/>
                    </a:prstGeom>
                    <a:noFill/>
                    <a:ln>
                      <a:noFill/>
                    </a:ln>
                  </pic:spPr>
                </pic:pic>
              </a:graphicData>
            </a:graphic>
          </wp:inline>
        </w:drawing>
      </w:r>
      <w:r w:rsidR="009A7800" w:rsidRPr="009A7800">
        <w:t>In the pivotal study there were no cases of hepatotoxicity that met Hy’s Law criteria (</w:t>
      </w:r>
      <w:r w:rsidR="00ED5AAB">
        <w:t>that is,</w:t>
      </w:r>
      <w:r w:rsidR="009A7800" w:rsidRPr="009A7800">
        <w:t xml:space="preserve"> cases to suggest that the drug might be associated with severe drug-induced liver injury).</w:t>
      </w:r>
    </w:p>
    <w:p w:rsidR="009A7800" w:rsidRPr="009A7800" w:rsidRDefault="009A7800" w:rsidP="00054068">
      <w:pPr>
        <w:pStyle w:val="Heading6"/>
      </w:pPr>
      <w:bookmarkStart w:id="150" w:name="_Ref221160712"/>
      <w:bookmarkStart w:id="151" w:name="_Toc228789274"/>
      <w:r w:rsidRPr="009A7800">
        <w:t>Cardiac toxicity</w:t>
      </w:r>
      <w:bookmarkEnd w:id="150"/>
      <w:bookmarkEnd w:id="151"/>
    </w:p>
    <w:p w:rsidR="009A7800" w:rsidRPr="009A7800" w:rsidRDefault="009A7800" w:rsidP="00054068">
      <w:r w:rsidRPr="009A7800">
        <w:t xml:space="preserve">In the </w:t>
      </w:r>
      <w:r w:rsidR="00394B14">
        <w:t>P</w:t>
      </w:r>
      <w:r w:rsidRPr="009A7800">
        <w:t>hase III clinical trial that supported the initial registration of abiraterone (</w:t>
      </w:r>
      <w:r w:rsidR="00394B14">
        <w:t>S</w:t>
      </w:r>
      <w:r w:rsidRPr="009A7800">
        <w:t>tudy 301), there was a suggestion that the drug might be associated with a small incr</w:t>
      </w:r>
      <w:r w:rsidR="000B0E34">
        <w:t>eased risk of cardiac toxicity.</w:t>
      </w:r>
    </w:p>
    <w:p w:rsidR="009A7800" w:rsidRPr="009A7800" w:rsidRDefault="009A7800" w:rsidP="00054068">
      <w:r w:rsidRPr="009A7800">
        <w:t xml:space="preserve">The incidence of cardiac AEs in the pivotal study </w:t>
      </w:r>
      <w:r w:rsidR="00B74A7B">
        <w:t>was summarised in the report.</w:t>
      </w:r>
      <w:r w:rsidRPr="009A7800">
        <w:t xml:space="preserve"> These data show that there was a small increase in the incidence of cardiac AEs in the abiraterone group (19.0%</w:t>
      </w:r>
      <w:r w:rsidR="006463E9">
        <w:t xml:space="preserve"> versus </w:t>
      </w:r>
      <w:r w:rsidRPr="009A7800">
        <w:t>15.7%). However when these data were corrected for the fact that patients in the abiraterone arm had received treatment for a longer period of time, there was no difference in the incidence of cardiac events (cardiac events per 100 patient-years of exposure: 27.1 with abiraterone</w:t>
      </w:r>
      <w:r w:rsidR="006463E9">
        <w:t xml:space="preserve"> versus </w:t>
      </w:r>
      <w:r w:rsidRPr="009A7800">
        <w:t xml:space="preserve">29.2 with placebo). However, the incidence of cardiac </w:t>
      </w:r>
      <w:r w:rsidRPr="009A7800">
        <w:rPr>
          <w:i/>
        </w:rPr>
        <w:t>failure</w:t>
      </w:r>
      <w:r w:rsidRPr="009A7800">
        <w:t xml:space="preserve"> events remained elevated in the abiraterone group (3.6</w:t>
      </w:r>
      <w:r w:rsidR="006463E9">
        <w:t xml:space="preserve"> versus </w:t>
      </w:r>
      <w:r w:rsidRPr="009A7800">
        <w:t>0.4 per 100 patient-years of exposure), consistent with the fluid retaining effects of the drug.</w:t>
      </w:r>
    </w:p>
    <w:p w:rsidR="009A7800" w:rsidRPr="009A7800" w:rsidRDefault="009A7800" w:rsidP="00054068">
      <w:pPr>
        <w:pStyle w:val="Heading4"/>
      </w:pPr>
      <w:bookmarkStart w:id="152" w:name="_Toc241374321"/>
      <w:bookmarkStart w:id="153" w:name="_Ref271044780"/>
      <w:bookmarkStart w:id="154" w:name="_Ref271196640"/>
      <w:bookmarkStart w:id="155" w:name="_Ref272333085"/>
      <w:bookmarkStart w:id="156" w:name="_Toc272414668"/>
      <w:bookmarkStart w:id="157" w:name="_Toc290846306"/>
      <w:bookmarkStart w:id="158" w:name="_Toc228789275"/>
      <w:r w:rsidRPr="009A7800">
        <w:t>Laboratory tests</w:t>
      </w:r>
      <w:bookmarkEnd w:id="152"/>
      <w:bookmarkEnd w:id="153"/>
      <w:bookmarkEnd w:id="154"/>
      <w:bookmarkEnd w:id="155"/>
      <w:bookmarkEnd w:id="156"/>
      <w:bookmarkEnd w:id="157"/>
      <w:bookmarkEnd w:id="158"/>
    </w:p>
    <w:p w:rsidR="009A7800" w:rsidRPr="009A7800" w:rsidRDefault="009A7800" w:rsidP="00054068">
      <w:pPr>
        <w:pStyle w:val="Heading5"/>
      </w:pPr>
      <w:bookmarkStart w:id="159" w:name="_Toc228789276"/>
      <w:r w:rsidRPr="009A7800">
        <w:t>Haematology and Biochemistry</w:t>
      </w:r>
      <w:bookmarkEnd w:id="159"/>
    </w:p>
    <w:p w:rsidR="009A7800" w:rsidRPr="009A7800" w:rsidRDefault="009A7800" w:rsidP="00054068">
      <w:r w:rsidRPr="009A7800">
        <w:t xml:space="preserve">For the pivotal trial, the incidence of haematology and biochemistry laboratory abnormalities (presented as the worst toxicity grade experienced during the study) </w:t>
      </w:r>
      <w:r w:rsidR="00D5215A">
        <w:t>were summa</w:t>
      </w:r>
      <w:r w:rsidR="00D5215A" w:rsidRPr="00D5215A">
        <w:t>rised</w:t>
      </w:r>
      <w:r w:rsidRPr="00D5215A">
        <w:t>.</w:t>
      </w:r>
    </w:p>
    <w:p w:rsidR="009A7800" w:rsidRPr="009A7800" w:rsidRDefault="009A7800" w:rsidP="00054068">
      <w:r w:rsidRPr="009A7800">
        <w:t>As previously described, abnormal LFTs and hypokalaemia are known adverse reactions to abiraterone. E</w:t>
      </w:r>
      <w:r w:rsidR="00394B14">
        <w:t>xamination of the incidence of G</w:t>
      </w:r>
      <w:r w:rsidRPr="009A7800">
        <w:t>rade 3 or 4 abnormalities in the table does not suggest any clinically significant effects on other laboratory tests.</w:t>
      </w:r>
    </w:p>
    <w:p w:rsidR="009A7800" w:rsidRPr="009A7800" w:rsidRDefault="009A7800" w:rsidP="00054068">
      <w:pPr>
        <w:pStyle w:val="Heading5"/>
      </w:pPr>
      <w:bookmarkStart w:id="160" w:name="_Toc272414675"/>
      <w:bookmarkStart w:id="161" w:name="_Toc290846313"/>
      <w:bookmarkStart w:id="162" w:name="_Toc228789277"/>
      <w:r w:rsidRPr="009A7800">
        <w:t>Electrocardiograph</w:t>
      </w:r>
      <w:bookmarkEnd w:id="160"/>
      <w:bookmarkEnd w:id="161"/>
      <w:bookmarkEnd w:id="162"/>
    </w:p>
    <w:p w:rsidR="009A7800" w:rsidRPr="009A7800" w:rsidRDefault="009A7800" w:rsidP="00054068">
      <w:pPr>
        <w:rPr>
          <w:lang w:val="en-US"/>
        </w:rPr>
      </w:pPr>
      <w:r w:rsidRPr="009A7800">
        <w:t>The sponsor has previously submitted a study that demonstrated that abiraterone does not affect the QT interval</w:t>
      </w:r>
      <w:r w:rsidR="00394B14">
        <w:rPr>
          <w:rStyle w:val="FootnoteReference"/>
          <w:lang w:eastAsia="ja-JP"/>
        </w:rPr>
        <w:footnoteReference w:id="13"/>
      </w:r>
      <w:r w:rsidRPr="009A7800">
        <w:t xml:space="preserve">. In the pivotal study, ECGs </w:t>
      </w:r>
      <w:r w:rsidRPr="009A7800">
        <w:rPr>
          <w:lang w:val="en-US"/>
        </w:rPr>
        <w:t>were obtained pre-dose (at the screening visit) and at approximately 2 hours post-dose (at Cycles 1, 2, and 5). One subject who was treated with abiraterone SAEs of Grade 2 ST segment depression and Grade 3 QT prolongation, both of which resolved without any action being taken.</w:t>
      </w:r>
    </w:p>
    <w:p w:rsidR="009A7800" w:rsidRPr="009A7800" w:rsidRDefault="009A7800" w:rsidP="00054068">
      <w:pPr>
        <w:pStyle w:val="Heading5"/>
      </w:pPr>
      <w:bookmarkStart w:id="163" w:name="_Toc272414676"/>
      <w:bookmarkStart w:id="164" w:name="_Toc290846314"/>
      <w:bookmarkStart w:id="165" w:name="_Toc228789278"/>
      <w:r w:rsidRPr="009A7800">
        <w:lastRenderedPageBreak/>
        <w:t>Vital signs</w:t>
      </w:r>
      <w:bookmarkEnd w:id="163"/>
      <w:bookmarkEnd w:id="164"/>
      <w:bookmarkEnd w:id="165"/>
    </w:p>
    <w:p w:rsidR="00D5215A" w:rsidRDefault="009A7800" w:rsidP="00D5215A">
      <w:r w:rsidRPr="009A7800">
        <w:t xml:space="preserve">As indicated above, abiraterone is associated with an increased incidence of hypertension. The incidence of vital sign abnormalities in the pivotal study is shown </w:t>
      </w:r>
      <w:r w:rsidRPr="00D5215A">
        <w:t>in</w:t>
      </w:r>
      <w:r w:rsidR="007611EA">
        <w:t xml:space="preserve"> Table </w:t>
      </w:r>
      <w:r w:rsidR="00D5215A" w:rsidRPr="00D5215A">
        <w:t>17</w:t>
      </w:r>
      <w:r w:rsidRPr="00D5215A">
        <w:t>. Eleva</w:t>
      </w:r>
      <w:r w:rsidRPr="009A7800">
        <w:t>tions in systolic blood pressure were more common in the abiraterone arm. Abnormalities of other parameters were equally distributed in the two arms.</w:t>
      </w:r>
      <w:bookmarkStart w:id="166" w:name="_Toc228789279"/>
    </w:p>
    <w:p w:rsidR="00D5215A" w:rsidRPr="00D5215A" w:rsidRDefault="00D5215A" w:rsidP="009C2D2F">
      <w:pPr>
        <w:pStyle w:val="TableTitle"/>
      </w:pPr>
      <w:bookmarkStart w:id="167" w:name="_Ref221014504"/>
      <w:bookmarkStart w:id="168" w:name="_Toc228789347"/>
      <w:r w:rsidRPr="00D5215A">
        <w:t xml:space="preserve">Table </w:t>
      </w:r>
      <w:bookmarkEnd w:id="167"/>
      <w:r>
        <w:t>17:</w:t>
      </w:r>
      <w:r w:rsidRPr="00D5215A">
        <w:t xml:space="preserve"> Pivotal study 302 – Abnormalities of vital signs</w:t>
      </w:r>
      <w:bookmarkEnd w:id="168"/>
    </w:p>
    <w:p w:rsidR="00D5215A" w:rsidRDefault="00D5215A" w:rsidP="00D5215A">
      <w:r w:rsidRPr="00D5215A">
        <w:rPr>
          <w:noProof/>
          <w:lang w:eastAsia="en-AU"/>
        </w:rPr>
        <w:drawing>
          <wp:inline distT="0" distB="0" distL="0" distR="0">
            <wp:extent cx="5476875" cy="2959888"/>
            <wp:effectExtent l="19050" t="0" r="9525" b="0"/>
            <wp:docPr id="40" name="Picture 12" descr="Table 17: Pivotal study 302 – Abnormalities of vital sig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480491" cy="2961842"/>
                    </a:xfrm>
                    <a:prstGeom prst="rect">
                      <a:avLst/>
                    </a:prstGeom>
                    <a:noFill/>
                    <a:ln>
                      <a:noFill/>
                    </a:ln>
                  </pic:spPr>
                </pic:pic>
              </a:graphicData>
            </a:graphic>
          </wp:inline>
        </w:drawing>
      </w:r>
    </w:p>
    <w:p w:rsidR="009A7800" w:rsidRPr="009A7800" w:rsidRDefault="009A7800" w:rsidP="00D5215A">
      <w:pPr>
        <w:pStyle w:val="Heading3"/>
      </w:pPr>
      <w:bookmarkStart w:id="169" w:name="_Toc383006433"/>
      <w:r w:rsidRPr="009A7800">
        <w:t>Non-pivotal efficacy studies</w:t>
      </w:r>
      <w:bookmarkEnd w:id="166"/>
      <w:bookmarkEnd w:id="169"/>
    </w:p>
    <w:p w:rsidR="009A7800" w:rsidRPr="009A7800" w:rsidRDefault="009A7800" w:rsidP="00054068">
      <w:r w:rsidRPr="009A7800">
        <w:t>The sponsor included a number of updates of studies that had been evaluated as part of the original submission to register abiraterone. The following four studies were conducted in mCRPC patients who were naïve to chemotherapy and hence the safety data are relevant to the current submission.</w:t>
      </w:r>
    </w:p>
    <w:p w:rsidR="009A7800" w:rsidRPr="009A7800" w:rsidRDefault="009A7800" w:rsidP="00054068">
      <w:pPr>
        <w:pStyle w:val="Heading4"/>
      </w:pPr>
      <w:r w:rsidRPr="009A7800">
        <w:t>COU-AA-001 / 001EXT</w:t>
      </w:r>
    </w:p>
    <w:p w:rsidR="009A7800" w:rsidRPr="009A7800" w:rsidRDefault="009A7800" w:rsidP="00054068">
      <w:r w:rsidRPr="009A7800">
        <w:t xml:space="preserve">This was a </w:t>
      </w:r>
      <w:r w:rsidR="00394B14">
        <w:t>P</w:t>
      </w:r>
      <w:r w:rsidRPr="009A7800">
        <w:t>hase I/II dose ranging study. Subjects enrolled in the trial were able to continue open-label abiraterone treatment until th</w:t>
      </w:r>
      <w:r w:rsidR="000B0E34">
        <w:t>e onset of progressive disease.</w:t>
      </w:r>
    </w:p>
    <w:p w:rsidR="009A7800" w:rsidRPr="009A7800" w:rsidRDefault="009A7800" w:rsidP="00054068">
      <w:r w:rsidRPr="009A7800">
        <w:t>The original study report had a data cut-off of 20 February 2009. The current submission included a study report addendum (17 pages only) with a data cut-off 20 September 2011. It consisted of tabulations of adverse events and laboratory abnormalities in 42 subjects who had continued to receive a 1,000 mg daily dose of abiraterone. Median duration of exposure was 14.39 months.</w:t>
      </w:r>
    </w:p>
    <w:p w:rsidR="009A7800" w:rsidRPr="009A7800" w:rsidRDefault="009A7800" w:rsidP="00054068">
      <w:pPr>
        <w:pStyle w:val="Heading4"/>
      </w:pPr>
      <w:r w:rsidRPr="009A7800">
        <w:t>Study COU-AA-002</w:t>
      </w:r>
    </w:p>
    <w:p w:rsidR="009A7800" w:rsidRPr="009A7800" w:rsidRDefault="00394B14" w:rsidP="00054068">
      <w:r>
        <w:t>This was another P</w:t>
      </w:r>
      <w:r w:rsidR="009A7800" w:rsidRPr="009A7800">
        <w:t>hase I/II dose ranging study in which subjects were able to continue open-label abiraterone treatment until the onset of progre</w:t>
      </w:r>
      <w:r w:rsidR="000B0E34">
        <w:t>ssive disease.</w:t>
      </w:r>
    </w:p>
    <w:p w:rsidR="009A7800" w:rsidRPr="009A7800" w:rsidRDefault="009A7800" w:rsidP="00054068">
      <w:r w:rsidRPr="009A7800">
        <w:t>The original study report had a data cut-off of 22 January 2010. The current submission included a study report addendum (16 pages only) with a data cut-off 20 September 2011. It consisted of tabulations of adverse events and laboratory abnormalities in 45 subjects who had continued to receive a 1,000 mg daily dose of abiraterone. Median duration of exposure was 11.27 months.</w:t>
      </w:r>
    </w:p>
    <w:p w:rsidR="009A7800" w:rsidRPr="009A7800" w:rsidRDefault="009A7800" w:rsidP="00054068">
      <w:pPr>
        <w:pStyle w:val="Heading4"/>
      </w:pPr>
      <w:r w:rsidRPr="009A7800">
        <w:lastRenderedPageBreak/>
        <w:t>Study COU-AA-BMA</w:t>
      </w:r>
    </w:p>
    <w:p w:rsidR="009A7800" w:rsidRPr="009A7800" w:rsidRDefault="009A7800" w:rsidP="00054068">
      <w:r w:rsidRPr="009A7800">
        <w:t xml:space="preserve">This is an ongoing </w:t>
      </w:r>
      <w:r w:rsidR="00394B14">
        <w:t>P</w:t>
      </w:r>
      <w:r w:rsidRPr="009A7800">
        <w:t xml:space="preserve">hase II single arm study in which subjects receive open-label abiraterone and prednisone treatment until the onset of progressive disease. The objective of the study is to </w:t>
      </w:r>
      <w:r w:rsidRPr="009A7800">
        <w:rPr>
          <w:i/>
        </w:rPr>
        <w:t>“... evaluate the effect of abiraterone..... on androgens and steroid metabolites in bone marrow”</w:t>
      </w:r>
      <w:r w:rsidRPr="009A7800">
        <w:t>. It is unclear whether a report of this study was included in the original submission.</w:t>
      </w:r>
    </w:p>
    <w:p w:rsidR="009A7800" w:rsidRPr="009A7800" w:rsidRDefault="009A7800" w:rsidP="00054068">
      <w:r w:rsidRPr="009A7800">
        <w:t>The current submission included a study report addendum (13 pages only) with a data cut-off 20 September 2011. It consisted of tabulations of adverse events and laboratory abnormalities in 57 subjects who had continued to receive a 1,000 mg daily dose of abiraterone. Median duration of exposure was 7.62 months.</w:t>
      </w:r>
    </w:p>
    <w:p w:rsidR="009A7800" w:rsidRPr="009A7800" w:rsidRDefault="009A7800" w:rsidP="00054068">
      <w:pPr>
        <w:pStyle w:val="Heading4"/>
      </w:pPr>
      <w:r w:rsidRPr="009A7800">
        <w:t>Study COU-AA-015</w:t>
      </w:r>
    </w:p>
    <w:p w:rsidR="009A7800" w:rsidRPr="009A7800" w:rsidRDefault="009A7800" w:rsidP="00054068">
      <w:r w:rsidRPr="009A7800">
        <w:t xml:space="preserve">This was a </w:t>
      </w:r>
      <w:r w:rsidR="00394B14">
        <w:t>P</w:t>
      </w:r>
      <w:r w:rsidRPr="009A7800">
        <w:t>hase I study examining potential interactions between abiraterone and dextromethorphan and theophylline. The original study report had a data cut-off of 12 August 2010. The current submission included a study report addendum (893 pages) with a data cut-off 1 December 2011. It consisted of detailed safety data from 34 subjects who had continued to receive abiraterone. Median duration of treatment was 35.9 weeks.</w:t>
      </w:r>
    </w:p>
    <w:p w:rsidR="009A7800" w:rsidRPr="009A7800" w:rsidRDefault="009A7800" w:rsidP="00054068">
      <w:r w:rsidRPr="009A7800">
        <w:t>The safety data provided for these studies have been reviewed and they do not raise any additional concerns. The types of adverse events and their incidence rates were generally comparable to those seen in the pivotal study.</w:t>
      </w:r>
    </w:p>
    <w:p w:rsidR="009A7800" w:rsidRPr="009A7800" w:rsidRDefault="009A7800" w:rsidP="00054068">
      <w:r w:rsidRPr="009A7800">
        <w:t>The submission also included similar updates for various other previously evaluated Phase I/II studies that were conducted in mCRPC patients who had already received chemotherapy (COU-AA-BE, COU-AA-004, COU-AA-003 / 003EXT and COU-AA-006). These studies are not considered directly relevant to the current application.</w:t>
      </w:r>
    </w:p>
    <w:p w:rsidR="009A7800" w:rsidRPr="009A7800" w:rsidRDefault="009A7800" w:rsidP="00054068">
      <w:r w:rsidRPr="009A7800">
        <w:t xml:space="preserve">A pooled analysis of AEs occurring in </w:t>
      </w:r>
      <w:r w:rsidR="00394B14">
        <w:t>P</w:t>
      </w:r>
      <w:r w:rsidRPr="009A7800">
        <w:t>hase I/II studies was included in the ISS. This analysis was based on the above updated safety data. Review of this analysis did not raise any new safety issues.</w:t>
      </w:r>
    </w:p>
    <w:p w:rsidR="009A7800" w:rsidRPr="009A7800" w:rsidRDefault="007611EA" w:rsidP="00054068">
      <w:pPr>
        <w:pStyle w:val="Heading3"/>
      </w:pPr>
      <w:bookmarkStart w:id="170" w:name="_Toc241374326"/>
      <w:bookmarkStart w:id="171" w:name="_Ref272333048"/>
      <w:bookmarkStart w:id="172" w:name="_Toc272414679"/>
      <w:bookmarkStart w:id="173" w:name="_Toc290846317"/>
      <w:bookmarkStart w:id="174" w:name="_Toc228789280"/>
      <w:bookmarkStart w:id="175" w:name="_Toc383006434"/>
      <w:r>
        <w:t>Post</w:t>
      </w:r>
      <w:r w:rsidR="009A7800" w:rsidRPr="009A7800">
        <w:t>marketing experience</w:t>
      </w:r>
      <w:bookmarkEnd w:id="170"/>
      <w:bookmarkEnd w:id="171"/>
      <w:bookmarkEnd w:id="172"/>
      <w:bookmarkEnd w:id="173"/>
      <w:bookmarkEnd w:id="174"/>
      <w:bookmarkEnd w:id="175"/>
    </w:p>
    <w:p w:rsidR="009A7800" w:rsidRPr="009A7800" w:rsidRDefault="009A7800" w:rsidP="00054068">
      <w:r w:rsidRPr="009A7800">
        <w:t xml:space="preserve">There were no post-marketing data included in Module 5 of the current submission. The </w:t>
      </w:r>
      <w:r w:rsidR="00394B14">
        <w:t xml:space="preserve">sponsor’s </w:t>
      </w:r>
      <w:r w:rsidR="00394B14" w:rsidRPr="009A7800">
        <w:t xml:space="preserve">Summary </w:t>
      </w:r>
      <w:r w:rsidRPr="009A7800">
        <w:t xml:space="preserve">of </w:t>
      </w:r>
      <w:r w:rsidR="00394B14" w:rsidRPr="009A7800">
        <w:t>Clinical Safety</w:t>
      </w:r>
      <w:r w:rsidRPr="009A7800">
        <w:t xml:space="preserve"> included the following statement:</w:t>
      </w:r>
    </w:p>
    <w:p w:rsidR="009A7800" w:rsidRPr="009A7800" w:rsidRDefault="009A7800" w:rsidP="00054068">
      <w:pPr>
        <w:rPr>
          <w:lang w:val="en-US"/>
        </w:rPr>
      </w:pPr>
      <w:r w:rsidRPr="009A7800">
        <w:rPr>
          <w:lang w:val="en-US"/>
        </w:rPr>
        <w:t>“The first marketing approval for abiraterone acetate was on 28 April 2011 in the United States. Based on the 2,245,830 grams distributed worldwide, the estimated post marketing exposure for abiraterone acetate from launch to 31 January 2012 is 2,245,830 person-days. No new ADRs have been detected for abiraterone acetate from post marketing data.”</w:t>
      </w:r>
    </w:p>
    <w:p w:rsidR="009A7800" w:rsidRPr="009A7800" w:rsidRDefault="009A7800" w:rsidP="00054068">
      <w:pPr>
        <w:pStyle w:val="Heading3"/>
      </w:pPr>
      <w:bookmarkStart w:id="176" w:name="_Toc228789281"/>
      <w:bookmarkStart w:id="177" w:name="_Toc383006435"/>
      <w:r w:rsidRPr="009A7800">
        <w:t>Safety Issues with the potential for major regulatory impact</w:t>
      </w:r>
      <w:bookmarkEnd w:id="176"/>
      <w:bookmarkEnd w:id="177"/>
    </w:p>
    <w:p w:rsidR="009A7800" w:rsidRPr="009A7800" w:rsidRDefault="009A7800" w:rsidP="00054068">
      <w:pPr>
        <w:pStyle w:val="Heading4"/>
      </w:pPr>
      <w:bookmarkStart w:id="178" w:name="_Toc272414681"/>
      <w:bookmarkStart w:id="179" w:name="_Toc290846319"/>
      <w:bookmarkStart w:id="180" w:name="_Toc228789282"/>
      <w:r w:rsidRPr="009A7800">
        <w:t>Liver toxicity</w:t>
      </w:r>
      <w:bookmarkEnd w:id="178"/>
      <w:bookmarkEnd w:id="179"/>
      <w:bookmarkEnd w:id="180"/>
    </w:p>
    <w:p w:rsidR="009A7800" w:rsidRPr="009A7800" w:rsidRDefault="009A7800" w:rsidP="00054068">
      <w:r w:rsidRPr="00D5215A">
        <w:t xml:space="preserve">See </w:t>
      </w:r>
      <w:r w:rsidR="00D5215A" w:rsidRPr="00D5215A">
        <w:rPr>
          <w:i/>
        </w:rPr>
        <w:t>Adverse events of special interest Hepatotoxicity</w:t>
      </w:r>
      <w:r w:rsidR="00D5215A" w:rsidRPr="00D5215A">
        <w:t xml:space="preserve"> above</w:t>
      </w:r>
      <w:r w:rsidRPr="00D5215A">
        <w:t>. The</w:t>
      </w:r>
      <w:r w:rsidRPr="009A7800">
        <w:t xml:space="preserve"> additional analyses in the SCS/ISS, based on previously evaluated studies, gave similar results.</w:t>
      </w:r>
    </w:p>
    <w:p w:rsidR="009A7800" w:rsidRPr="009A7800" w:rsidRDefault="009A7800" w:rsidP="00054068">
      <w:pPr>
        <w:pStyle w:val="Heading4"/>
      </w:pPr>
      <w:bookmarkStart w:id="181" w:name="_Toc272414682"/>
      <w:bookmarkStart w:id="182" w:name="_Toc290846320"/>
      <w:bookmarkStart w:id="183" w:name="_Toc228789283"/>
      <w:r w:rsidRPr="009A7800">
        <w:t>Haematological toxicity</w:t>
      </w:r>
      <w:bookmarkEnd w:id="181"/>
      <w:bookmarkEnd w:id="182"/>
      <w:bookmarkEnd w:id="183"/>
    </w:p>
    <w:p w:rsidR="009A7800" w:rsidRPr="009A7800" w:rsidRDefault="009A7800" w:rsidP="00054068">
      <w:r w:rsidRPr="009A7800">
        <w:t xml:space="preserve">Examination of the incidence of serious haematological AEs in the pivotal </w:t>
      </w:r>
      <w:r w:rsidR="00394B14">
        <w:t>S</w:t>
      </w:r>
      <w:r w:rsidRPr="009A7800">
        <w:t>tudy 302 did not suggest any increased risk for serious idiosyncratic haematological events with abiraterone. In a combined analysis of the two Phase III placebo-controlled studies (301 and 302) the incidence of pancytopaenia was 0.2% with abiraterone and 0.3% with placebo.</w:t>
      </w:r>
    </w:p>
    <w:p w:rsidR="009A7800" w:rsidRPr="009A7800" w:rsidRDefault="009A7800" w:rsidP="00054068">
      <w:pPr>
        <w:pStyle w:val="Heading4"/>
      </w:pPr>
      <w:bookmarkStart w:id="184" w:name="_Toc272414683"/>
      <w:bookmarkStart w:id="185" w:name="_Toc290846321"/>
      <w:bookmarkStart w:id="186" w:name="_Toc228789284"/>
      <w:r w:rsidRPr="009A7800">
        <w:lastRenderedPageBreak/>
        <w:t>Serious skin reactions</w:t>
      </w:r>
      <w:bookmarkEnd w:id="184"/>
      <w:bookmarkEnd w:id="185"/>
      <w:bookmarkEnd w:id="186"/>
    </w:p>
    <w:p w:rsidR="009A7800" w:rsidRPr="009A7800" w:rsidRDefault="009A7800" w:rsidP="00054068">
      <w:r w:rsidRPr="009A7800">
        <w:t>There was no suggestion of an increased incidence of severe skin reactions with abiraterone in the pivotal study. There were no cases of Stevens-Johnson syndrome or Toxic Epidermal Necrosis reported in the combined analysis of the two Phase III placebo-controlled studies.</w:t>
      </w:r>
    </w:p>
    <w:p w:rsidR="009A7800" w:rsidRPr="009A7800" w:rsidRDefault="009A7800" w:rsidP="00054068">
      <w:pPr>
        <w:pStyle w:val="Heading4"/>
      </w:pPr>
      <w:bookmarkStart w:id="187" w:name="_Toc272414684"/>
      <w:bookmarkStart w:id="188" w:name="_Toc290846322"/>
      <w:bookmarkStart w:id="189" w:name="_Toc228789285"/>
      <w:r w:rsidRPr="009A7800">
        <w:t>Cardiovascular safety</w:t>
      </w:r>
      <w:bookmarkEnd w:id="187"/>
      <w:bookmarkEnd w:id="188"/>
      <w:bookmarkEnd w:id="189"/>
    </w:p>
    <w:p w:rsidR="009A7800" w:rsidRPr="009A7800" w:rsidRDefault="009A7800" w:rsidP="00054068">
      <w:r w:rsidRPr="00D5215A">
        <w:t xml:space="preserve">See </w:t>
      </w:r>
      <w:r w:rsidR="00D5215A" w:rsidRPr="00D5215A">
        <w:rPr>
          <w:i/>
        </w:rPr>
        <w:t xml:space="preserve">Adverse events of special interest </w:t>
      </w:r>
      <w:r w:rsidR="00D5215A">
        <w:rPr>
          <w:i/>
        </w:rPr>
        <w:t xml:space="preserve">Cardiac toxicity </w:t>
      </w:r>
      <w:r w:rsidR="00D5215A" w:rsidRPr="00D5215A">
        <w:t>above</w:t>
      </w:r>
      <w:r w:rsidR="00D5215A">
        <w:rPr>
          <w:i/>
        </w:rPr>
        <w:t>.</w:t>
      </w:r>
      <w:r w:rsidRPr="009A7800">
        <w:t xml:space="preserve"> The additional analyses in the SCS/ISS, based on previously evaluated studies, did not indicate any ne</w:t>
      </w:r>
      <w:r w:rsidR="000B0E34">
        <w:t>w cardiovascular safety issues.</w:t>
      </w:r>
    </w:p>
    <w:p w:rsidR="009A7800" w:rsidRPr="009A7800" w:rsidRDefault="009A7800" w:rsidP="00054068">
      <w:pPr>
        <w:pStyle w:val="Heading4"/>
      </w:pPr>
      <w:bookmarkStart w:id="190" w:name="_Toc241374323"/>
      <w:bookmarkStart w:id="191" w:name="_Toc272414685"/>
      <w:bookmarkStart w:id="192" w:name="_Toc290846323"/>
      <w:bookmarkStart w:id="193" w:name="_Toc228789286"/>
      <w:r w:rsidRPr="009A7800">
        <w:t>Unwanted immunological events</w:t>
      </w:r>
      <w:bookmarkEnd w:id="190"/>
      <w:bookmarkEnd w:id="191"/>
      <w:bookmarkEnd w:id="192"/>
      <w:bookmarkEnd w:id="193"/>
    </w:p>
    <w:p w:rsidR="009A7800" w:rsidRPr="009A7800" w:rsidRDefault="009A7800" w:rsidP="00054068">
      <w:r w:rsidRPr="009A7800">
        <w:t>There was no suggestion of an increased incidence of immunological reactions with abiraterone in the pivotal study or in the additional analyses in the SCS/ISS.</w:t>
      </w:r>
    </w:p>
    <w:p w:rsidR="009A7800" w:rsidRPr="009A7800" w:rsidRDefault="009A7800" w:rsidP="00054068">
      <w:pPr>
        <w:pStyle w:val="Heading4"/>
      </w:pPr>
      <w:bookmarkStart w:id="194" w:name="_Toc272414686"/>
      <w:bookmarkStart w:id="195" w:name="_Ref273005527"/>
      <w:bookmarkStart w:id="196" w:name="_Toc290846324"/>
      <w:bookmarkStart w:id="197" w:name="_Toc228789287"/>
      <w:r w:rsidRPr="009A7800">
        <w:t>Other safety issues</w:t>
      </w:r>
      <w:bookmarkEnd w:id="194"/>
      <w:bookmarkEnd w:id="195"/>
      <w:bookmarkEnd w:id="196"/>
      <w:bookmarkEnd w:id="197"/>
    </w:p>
    <w:p w:rsidR="009A7800" w:rsidRPr="009A7800" w:rsidRDefault="009A7800" w:rsidP="00054068">
      <w:pPr>
        <w:pStyle w:val="Heading5"/>
      </w:pPr>
      <w:bookmarkStart w:id="198" w:name="_Toc241374322"/>
      <w:bookmarkStart w:id="199" w:name="_Ref272331212"/>
      <w:bookmarkStart w:id="200" w:name="_Toc272414687"/>
      <w:bookmarkStart w:id="201" w:name="_Toc290846325"/>
      <w:bookmarkStart w:id="202" w:name="_Toc228789288"/>
      <w:r w:rsidRPr="009A7800">
        <w:t>Safety in special populations</w:t>
      </w:r>
      <w:bookmarkEnd w:id="198"/>
      <w:bookmarkEnd w:id="199"/>
      <w:bookmarkEnd w:id="200"/>
      <w:bookmarkEnd w:id="201"/>
      <w:bookmarkEnd w:id="202"/>
    </w:p>
    <w:p w:rsidR="009A7800" w:rsidRPr="009A7800" w:rsidRDefault="009A7800" w:rsidP="00054068">
      <w:r w:rsidRPr="009A7800">
        <w:t>In the pivotal study, an analysis of the overall safety profile of the drug according to age group (&lt;65</w:t>
      </w:r>
      <w:r w:rsidR="006463E9">
        <w:t xml:space="preserve"> versus </w:t>
      </w:r>
      <w:r w:rsidRPr="009A7800">
        <w:t>65-74</w:t>
      </w:r>
      <w:r w:rsidR="006463E9">
        <w:t xml:space="preserve"> versus </w:t>
      </w:r>
      <w:r w:rsidR="00394B14">
        <w:t>≥</w:t>
      </w:r>
      <w:r w:rsidRPr="009A7800">
        <w:t xml:space="preserve"> 75 years) demonstrated that the incidence of AEs generally increased with increasing age. This was true for both the abiraterone and placebo groups. In the very elderly population (</w:t>
      </w:r>
      <w:r w:rsidR="00394B14">
        <w:t>≥</w:t>
      </w:r>
      <w:r w:rsidRPr="009A7800">
        <w:t xml:space="preserve"> 75 years) the incidence of AEs in the abiraterone group was only marginally higher than that in the placebo group</w:t>
      </w:r>
      <w:r w:rsidR="00D5215A">
        <w:t>.</w:t>
      </w:r>
    </w:p>
    <w:p w:rsidR="009A7800" w:rsidRPr="009A7800" w:rsidRDefault="009A7800" w:rsidP="00054068">
      <w:r w:rsidRPr="009A7800">
        <w:t>An analysis of AEs according to race (white</w:t>
      </w:r>
      <w:r w:rsidR="006463E9">
        <w:t xml:space="preserve"> versus </w:t>
      </w:r>
      <w:r w:rsidRPr="009A7800">
        <w:t>non</w:t>
      </w:r>
      <w:r w:rsidR="00394B14">
        <w:t xml:space="preserve"> W</w:t>
      </w:r>
      <w:r w:rsidRPr="009A7800">
        <w:t>hite) was not meaningful due to the small number of non</w:t>
      </w:r>
      <w:r w:rsidR="00394B14">
        <w:t xml:space="preserve"> W</w:t>
      </w:r>
      <w:r w:rsidR="000B0E34">
        <w:t>hite subjects treated (n= 55).</w:t>
      </w:r>
    </w:p>
    <w:p w:rsidR="009A7800" w:rsidRPr="009A7800" w:rsidRDefault="009A7800" w:rsidP="00054068">
      <w:r w:rsidRPr="009A7800">
        <w:t>An analysis of AEs by baseline ECOG subgroup (0</w:t>
      </w:r>
      <w:r w:rsidR="006463E9">
        <w:t xml:space="preserve"> versus </w:t>
      </w:r>
      <w:r w:rsidRPr="009A7800">
        <w:t>1) demonstrated that the incidence of AEs was higher in patients with ECOG 1. This was true for both the abiraterone and placebo groups. In the subgroup of patients with ECOG 1, incidence of AES was higher with abiraterone (</w:t>
      </w:r>
      <w:r w:rsidR="000B6AEE">
        <w:t>for example,</w:t>
      </w:r>
      <w:r w:rsidRPr="009A7800">
        <w:t xml:space="preserve"> serious AEs: 47%</w:t>
      </w:r>
      <w:r w:rsidR="006463E9">
        <w:t xml:space="preserve"> versus </w:t>
      </w:r>
      <w:r w:rsidRPr="009A7800">
        <w:t>29%).</w:t>
      </w:r>
    </w:p>
    <w:p w:rsidR="009A7800" w:rsidRPr="009A7800" w:rsidRDefault="009A7800" w:rsidP="00054068">
      <w:r w:rsidRPr="009A7800">
        <w:t>AEs were more frequent in patients with higher baseline LDH and those with lower baseline haemoglobin (both markers for more advanced disease).</w:t>
      </w:r>
    </w:p>
    <w:p w:rsidR="009A7800" w:rsidRPr="009A7800" w:rsidRDefault="009A7800" w:rsidP="00054068">
      <w:pPr>
        <w:pStyle w:val="Heading3"/>
      </w:pPr>
      <w:bookmarkStart w:id="203" w:name="_Toc241374328"/>
      <w:bookmarkStart w:id="204" w:name="_Toc272414691"/>
      <w:bookmarkStart w:id="205" w:name="_Toc290846329"/>
      <w:bookmarkStart w:id="206" w:name="_Toc228789289"/>
      <w:bookmarkStart w:id="207" w:name="_Toc383006436"/>
      <w:r w:rsidRPr="009A7800">
        <w:t>Evaluator’s overall conclusions on clinical safety</w:t>
      </w:r>
      <w:bookmarkEnd w:id="203"/>
      <w:bookmarkEnd w:id="204"/>
      <w:bookmarkEnd w:id="205"/>
      <w:bookmarkEnd w:id="206"/>
      <w:bookmarkEnd w:id="207"/>
    </w:p>
    <w:p w:rsidR="009A7800" w:rsidRPr="009A7800" w:rsidRDefault="009A7800" w:rsidP="00054068">
      <w:r w:rsidRPr="009A7800">
        <w:t>The toxicity prof</w:t>
      </w:r>
      <w:r w:rsidR="00394B14">
        <w:t>ile of abiraterone in S</w:t>
      </w:r>
      <w:r w:rsidRPr="009A7800">
        <w:t>tudy 302 was comparable to that previously observed in the pivotal study (</w:t>
      </w:r>
      <w:r w:rsidR="00394B14">
        <w:t>S</w:t>
      </w:r>
      <w:r w:rsidRPr="009A7800">
        <w:t>tudy 301) that supported the original registration of the drug. It confirmed that the drug is associated with an increased incidence of AEs suggestive of mineralocorticoid excess (hypertension, hypokalaemia, fluid retention) and with hepatotoxicity. The study did not suggest that the drug is associated with an increased risk of cardiac toxicity, apart from cardiac failure.</w:t>
      </w:r>
    </w:p>
    <w:p w:rsidR="009A7800" w:rsidRPr="009A7800" w:rsidRDefault="009A7800" w:rsidP="00054068">
      <w:r w:rsidRPr="009A7800">
        <w:t xml:space="preserve">The toxicity of the drug appears modest in the chemotherapy-naïve mCRPC setting. The difference between abiraterone and placebo in the incidences of AEs, </w:t>
      </w:r>
      <w:r w:rsidR="00394B14">
        <w:t>G</w:t>
      </w:r>
      <w:r w:rsidRPr="009A7800">
        <w:t xml:space="preserve">grade 3 or 4 AEs, serious AEs </w:t>
      </w:r>
      <w:r w:rsidR="00394B14">
        <w:t>etc</w:t>
      </w:r>
      <w:r w:rsidRPr="009A7800">
        <w:t xml:space="preserve"> were typically &lt; 7</w:t>
      </w:r>
      <w:r w:rsidRPr="00D5215A">
        <w:t xml:space="preserve">% (see </w:t>
      </w:r>
      <w:r w:rsidR="007611EA">
        <w:t>Table 12</w:t>
      </w:r>
      <w:r w:rsidR="00D5215A" w:rsidRPr="00D5215A">
        <w:t xml:space="preserve"> above</w:t>
      </w:r>
      <w:r w:rsidRPr="00D5215A">
        <w:t>). The difference in the rate of discontinuation due to AEs was approximately 1%. This suggests tha</w:t>
      </w:r>
      <w:r w:rsidRPr="009A7800">
        <w:t>t the toxicity of the drug is manageable with dose interruptions or dose reductions. The safety profile of the drug appears more favourable than that of taxane chemotherapy.</w:t>
      </w:r>
    </w:p>
    <w:p w:rsidR="009A7800" w:rsidRPr="009A7800" w:rsidRDefault="009A7800" w:rsidP="00054068">
      <w:r w:rsidRPr="009A7800">
        <w:t xml:space="preserve">Updated safety data from previously evaluated </w:t>
      </w:r>
      <w:r w:rsidR="00394B14">
        <w:t>P</w:t>
      </w:r>
      <w:r w:rsidRPr="009A7800">
        <w:t>hase I/II studies did not raise any new safety issues.</w:t>
      </w:r>
    </w:p>
    <w:p w:rsidR="00C22678" w:rsidRDefault="00C22678" w:rsidP="00054068">
      <w:pPr>
        <w:pStyle w:val="Heading2"/>
      </w:pPr>
      <w:bookmarkStart w:id="208" w:name="_Toc383006437"/>
      <w:r>
        <w:lastRenderedPageBreak/>
        <w:t>First round benefit-risk assessment</w:t>
      </w:r>
      <w:bookmarkEnd w:id="208"/>
    </w:p>
    <w:p w:rsidR="009A7800" w:rsidRPr="009A7800" w:rsidRDefault="009A7800" w:rsidP="00054068">
      <w:pPr>
        <w:pStyle w:val="Heading3"/>
      </w:pPr>
      <w:bookmarkStart w:id="209" w:name="_Toc236802592"/>
      <w:bookmarkStart w:id="210" w:name="_Toc241374331"/>
      <w:bookmarkStart w:id="211" w:name="_Ref272160836"/>
      <w:bookmarkStart w:id="212" w:name="_Toc272414693"/>
      <w:bookmarkStart w:id="213" w:name="_Toc290846331"/>
      <w:bookmarkStart w:id="214" w:name="_Toc228789291"/>
      <w:bookmarkStart w:id="215" w:name="_Toc383006438"/>
      <w:r w:rsidRPr="009A7800">
        <w:t>First round assessment of benefits</w:t>
      </w:r>
      <w:bookmarkEnd w:id="209"/>
      <w:bookmarkEnd w:id="210"/>
      <w:bookmarkEnd w:id="211"/>
      <w:bookmarkEnd w:id="212"/>
      <w:bookmarkEnd w:id="213"/>
      <w:bookmarkEnd w:id="214"/>
      <w:bookmarkEnd w:id="215"/>
    </w:p>
    <w:p w:rsidR="009A7800" w:rsidRPr="009A7800" w:rsidRDefault="009A7800" w:rsidP="00054068">
      <w:r w:rsidRPr="009A7800">
        <w:t>The benefits of abiraterone in the proposed usage are:</w:t>
      </w:r>
    </w:p>
    <w:p w:rsidR="009A7800" w:rsidRPr="009A7800" w:rsidRDefault="009A7800" w:rsidP="00054068">
      <w:pPr>
        <w:pStyle w:val="ListBullet"/>
      </w:pPr>
      <w:r w:rsidRPr="009A7800">
        <w:t>A decreased risk of disease progression as assessed by bone scan/MRI/CT;</w:t>
      </w:r>
    </w:p>
    <w:p w:rsidR="009A7800" w:rsidRPr="009A7800" w:rsidRDefault="009A7800" w:rsidP="00054068">
      <w:pPr>
        <w:pStyle w:val="ListBullet"/>
      </w:pPr>
      <w:r w:rsidRPr="009A7800">
        <w:t>A delay in the need for chemotherapy and opiate analgesia;</w:t>
      </w:r>
    </w:p>
    <w:p w:rsidR="009A7800" w:rsidRPr="009A7800" w:rsidRDefault="009A7800" w:rsidP="00054068">
      <w:pPr>
        <w:pStyle w:val="ListBullet"/>
      </w:pPr>
      <w:r w:rsidRPr="009A7800">
        <w:t>Maintenance of functional status/quality of life.</w:t>
      </w:r>
    </w:p>
    <w:p w:rsidR="009A7800" w:rsidRPr="009A7800" w:rsidRDefault="009A7800" w:rsidP="00054068">
      <w:r w:rsidRPr="009A7800">
        <w:t>A benefit in terms of prolongation of survival has not been definitively established. However, there was a trend in favour of abiraterone on this endpoint.</w:t>
      </w:r>
    </w:p>
    <w:p w:rsidR="009A7800" w:rsidRPr="009A7800" w:rsidRDefault="009A7800" w:rsidP="00054068">
      <w:pPr>
        <w:pStyle w:val="Heading3"/>
      </w:pPr>
      <w:bookmarkStart w:id="216" w:name="_Toc236802596"/>
      <w:bookmarkStart w:id="217" w:name="_Toc241374334"/>
      <w:bookmarkStart w:id="218" w:name="_Ref272160964"/>
      <w:bookmarkStart w:id="219" w:name="_Toc272414694"/>
      <w:bookmarkStart w:id="220" w:name="_Toc290846332"/>
      <w:bookmarkStart w:id="221" w:name="_Toc228789292"/>
      <w:bookmarkStart w:id="222" w:name="_Toc383006439"/>
      <w:r w:rsidRPr="009A7800">
        <w:t>First round assessment of risks</w:t>
      </w:r>
      <w:bookmarkEnd w:id="216"/>
      <w:bookmarkEnd w:id="217"/>
      <w:bookmarkEnd w:id="218"/>
      <w:bookmarkEnd w:id="219"/>
      <w:bookmarkEnd w:id="220"/>
      <w:bookmarkEnd w:id="221"/>
      <w:bookmarkEnd w:id="222"/>
    </w:p>
    <w:p w:rsidR="009A7800" w:rsidRPr="009A7800" w:rsidRDefault="009A7800" w:rsidP="00054068">
      <w:r w:rsidRPr="009A7800">
        <w:t>The risks of abiraterone in the proposed usage are:</w:t>
      </w:r>
    </w:p>
    <w:p w:rsidR="009A7800" w:rsidRPr="009A7800" w:rsidRDefault="009A7800" w:rsidP="00054068">
      <w:pPr>
        <w:pStyle w:val="ListBullet"/>
      </w:pPr>
      <w:r w:rsidRPr="009A7800">
        <w:t>Adverse events associated with mineralocorticoid excess (</w:t>
      </w:r>
      <w:r w:rsidR="000B6AEE">
        <w:t>for example,</w:t>
      </w:r>
      <w:r w:rsidRPr="009A7800">
        <w:t xml:space="preserve"> hypertension, fluid retention, hypokalaemia);</w:t>
      </w:r>
    </w:p>
    <w:p w:rsidR="009A7800" w:rsidRPr="009A7800" w:rsidRDefault="009A7800" w:rsidP="00054068">
      <w:pPr>
        <w:pStyle w:val="ListBullet"/>
      </w:pPr>
      <w:r w:rsidRPr="009A7800">
        <w:t>Hepatotoxicity.</w:t>
      </w:r>
    </w:p>
    <w:p w:rsidR="009A7800" w:rsidRPr="009A7800" w:rsidRDefault="009A7800" w:rsidP="00054068">
      <w:pPr>
        <w:pStyle w:val="Heading3"/>
      </w:pPr>
      <w:bookmarkStart w:id="223" w:name="_Toc236802597"/>
      <w:bookmarkStart w:id="224" w:name="_Toc241374335"/>
      <w:bookmarkStart w:id="225" w:name="_Toc272414695"/>
      <w:bookmarkStart w:id="226" w:name="_Toc290846333"/>
      <w:bookmarkStart w:id="227" w:name="_Toc228789293"/>
      <w:bookmarkStart w:id="228" w:name="_Toc383006440"/>
      <w:r w:rsidRPr="009A7800">
        <w:t>First round assessment of benefit-risk balance</w:t>
      </w:r>
      <w:bookmarkEnd w:id="223"/>
      <w:bookmarkEnd w:id="224"/>
      <w:bookmarkEnd w:id="225"/>
      <w:bookmarkEnd w:id="226"/>
      <w:bookmarkEnd w:id="227"/>
      <w:bookmarkEnd w:id="228"/>
    </w:p>
    <w:p w:rsidR="009A7800" w:rsidRPr="009A7800" w:rsidRDefault="009A7800" w:rsidP="00054068">
      <w:r w:rsidRPr="009A7800">
        <w:t>The benefit-risk balance of abiraterone, given the proposed usage, is favourable.</w:t>
      </w:r>
    </w:p>
    <w:p w:rsidR="00C22678" w:rsidRDefault="00C22678" w:rsidP="00054068">
      <w:pPr>
        <w:pStyle w:val="Heading2"/>
      </w:pPr>
      <w:bookmarkStart w:id="229" w:name="_Toc383006441"/>
      <w:r>
        <w:t>First round recommendation regarding authorisation</w:t>
      </w:r>
      <w:bookmarkEnd w:id="229"/>
    </w:p>
    <w:p w:rsidR="009A7800" w:rsidRDefault="009A7800" w:rsidP="00054068">
      <w:r>
        <w:t>It is recommended that the application be approved.</w:t>
      </w:r>
    </w:p>
    <w:p w:rsidR="00C22678" w:rsidRDefault="00C22678" w:rsidP="00054068">
      <w:pPr>
        <w:pStyle w:val="Heading2"/>
      </w:pPr>
      <w:bookmarkStart w:id="230" w:name="_Toc383006442"/>
      <w:r>
        <w:t>Clinical questions</w:t>
      </w:r>
      <w:bookmarkEnd w:id="230"/>
    </w:p>
    <w:p w:rsidR="00C618F7" w:rsidRDefault="00C618F7" w:rsidP="00054068">
      <w:pPr>
        <w:pStyle w:val="Heading3"/>
      </w:pPr>
      <w:bookmarkStart w:id="231" w:name="_Toc383006443"/>
      <w:r>
        <w:t>Efficacy</w:t>
      </w:r>
      <w:bookmarkEnd w:id="231"/>
    </w:p>
    <w:p w:rsidR="009A7800" w:rsidRDefault="009A7800" w:rsidP="000B0E34">
      <w:r>
        <w:t xml:space="preserve">Please provide the results of the </w:t>
      </w:r>
      <w:r w:rsidR="00AD66CB">
        <w:t>third</w:t>
      </w:r>
      <w:r>
        <w:t xml:space="preserve"> interim and final ana</w:t>
      </w:r>
      <w:r w:rsidR="00AD66CB">
        <w:t>lyses of overall survival from S</w:t>
      </w:r>
      <w:r>
        <w:t>tudy 302. If the results are not yet available, please provide an estimate of when t</w:t>
      </w:r>
      <w:r w:rsidR="000B0E34">
        <w:t>hese results will be available.</w:t>
      </w:r>
    </w:p>
    <w:p w:rsidR="009A7800" w:rsidRDefault="009A7800" w:rsidP="000B0E34">
      <w:r>
        <w:t xml:space="preserve">Please confirm that the formulation of abiraterone acetate used in </w:t>
      </w:r>
      <w:r w:rsidR="00AD66CB">
        <w:t>S</w:t>
      </w:r>
      <w:r>
        <w:t>study 302 was identical to the currently marketed formulation in Australia.</w:t>
      </w:r>
    </w:p>
    <w:p w:rsidR="00C618F7" w:rsidRDefault="00C618F7" w:rsidP="00054068">
      <w:pPr>
        <w:pStyle w:val="Heading3"/>
      </w:pPr>
      <w:bookmarkStart w:id="232" w:name="_Toc383006444"/>
      <w:r>
        <w:t>Safety</w:t>
      </w:r>
      <w:bookmarkEnd w:id="232"/>
    </w:p>
    <w:p w:rsidR="009A7800" w:rsidRDefault="009A7800" w:rsidP="000B0E34">
      <w:r>
        <w:t xml:space="preserve">In </w:t>
      </w:r>
      <w:r w:rsidR="00AD66CB">
        <w:t>S</w:t>
      </w:r>
      <w:r>
        <w:t xml:space="preserve">tudy 302, coagulation parameters were to be tested at screening and </w:t>
      </w:r>
      <w:r w:rsidR="00AD66CB">
        <w:t>D</w:t>
      </w:r>
      <w:r>
        <w:t>ay 15. The results do not appear to have been included in the study report. Please provide the results of this testing.</w:t>
      </w:r>
    </w:p>
    <w:p w:rsidR="00C618F7" w:rsidRDefault="00C618F7" w:rsidP="00054068">
      <w:pPr>
        <w:pStyle w:val="Heading2"/>
      </w:pPr>
      <w:bookmarkStart w:id="233" w:name="_Toc383006445"/>
      <w:r>
        <w:lastRenderedPageBreak/>
        <w:t>Second round evaluation of clinical data submitted in response to questions</w:t>
      </w:r>
      <w:bookmarkEnd w:id="233"/>
    </w:p>
    <w:p w:rsidR="009A7800" w:rsidRPr="009A7800" w:rsidRDefault="009A7800" w:rsidP="00054068">
      <w:pPr>
        <w:pStyle w:val="Heading3"/>
      </w:pPr>
      <w:bookmarkStart w:id="234" w:name="_Toc228789303"/>
      <w:bookmarkStart w:id="235" w:name="_Toc383006446"/>
      <w:r w:rsidRPr="009A7800">
        <w:t>Updated analysis of overall survival</w:t>
      </w:r>
      <w:bookmarkEnd w:id="234"/>
      <w:bookmarkEnd w:id="235"/>
      <w:r w:rsidRPr="009A7800">
        <w:t xml:space="preserve"> </w:t>
      </w:r>
    </w:p>
    <w:p w:rsidR="009A7800" w:rsidRDefault="009A7800" w:rsidP="00054068">
      <w:r w:rsidRPr="009A7800">
        <w:t xml:space="preserve">The sponsor provided an updated survival analysis, based on a data cut-off of </w:t>
      </w:r>
      <w:r w:rsidRPr="005730D3">
        <w:t xml:space="preserve">22 May 2012. At this time point, a further 101 deaths had occurred in the study. Results are shown in </w:t>
      </w:r>
      <w:r w:rsidR="007611EA">
        <w:t xml:space="preserve">Table 18 </w:t>
      </w:r>
      <w:r w:rsidRPr="005730D3">
        <w:t xml:space="preserve">and </w:t>
      </w:r>
      <w:r w:rsidR="007611EA">
        <w:t>Figure 6</w:t>
      </w:r>
      <w:r w:rsidRPr="005730D3">
        <w:t xml:space="preserve">, and a comparison of the initial and updated OS analyses is shown in </w:t>
      </w:r>
      <w:r w:rsidR="007611EA">
        <w:t xml:space="preserve">Table </w:t>
      </w:r>
      <w:r w:rsidR="00D5215A" w:rsidRPr="005730D3">
        <w:t>19</w:t>
      </w:r>
      <w:r w:rsidRPr="005730D3">
        <w:t>.</w:t>
      </w:r>
      <w:r w:rsidRPr="009A7800">
        <w:t xml:space="preserve"> </w:t>
      </w:r>
    </w:p>
    <w:p w:rsidR="00D5215A" w:rsidRPr="00D5215A" w:rsidRDefault="00D5215A" w:rsidP="009C2D2F">
      <w:pPr>
        <w:pStyle w:val="TableTitle"/>
      </w:pPr>
      <w:bookmarkStart w:id="236" w:name="_Ref228786544"/>
      <w:bookmarkStart w:id="237" w:name="_Toc228789350"/>
      <w:r w:rsidRPr="00D5215A">
        <w:t xml:space="preserve">Table </w:t>
      </w:r>
      <w:bookmarkEnd w:id="236"/>
      <w:r>
        <w:t xml:space="preserve">18: </w:t>
      </w:r>
      <w:r w:rsidRPr="00D5215A">
        <w:t xml:space="preserve"> Pivotal study 302 – Results for OS co-primary endpoint (Updated analysis)</w:t>
      </w:r>
      <w:bookmarkEnd w:id="237"/>
    </w:p>
    <w:p w:rsidR="00D5215A" w:rsidRPr="00D5215A" w:rsidRDefault="00D5215A" w:rsidP="00D5215A">
      <w:r w:rsidRPr="00D5215A">
        <w:rPr>
          <w:noProof/>
          <w:lang w:eastAsia="en-AU"/>
        </w:rPr>
        <w:drawing>
          <wp:inline distT="0" distB="0" distL="0" distR="0">
            <wp:extent cx="4600575" cy="2672213"/>
            <wp:effectExtent l="19050" t="0" r="9525" b="0"/>
            <wp:docPr id="41" name="Picture 44" descr="Table 18:  Pivotal study 302 – Results for OS co-primary endpoint (Updated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601528" cy="2672766"/>
                    </a:xfrm>
                    <a:prstGeom prst="rect">
                      <a:avLst/>
                    </a:prstGeom>
                    <a:noFill/>
                    <a:ln>
                      <a:noFill/>
                    </a:ln>
                  </pic:spPr>
                </pic:pic>
              </a:graphicData>
            </a:graphic>
          </wp:inline>
        </w:drawing>
      </w:r>
    </w:p>
    <w:p w:rsidR="005730D3" w:rsidRDefault="00D5215A" w:rsidP="000B0E34">
      <w:pPr>
        <w:pStyle w:val="FigureTitle"/>
      </w:pPr>
      <w:bookmarkStart w:id="238" w:name="_Ref228786580"/>
      <w:bookmarkStart w:id="239" w:name="_Toc228789361"/>
      <w:r w:rsidRPr="00D5215A">
        <w:t xml:space="preserve">Figure </w:t>
      </w:r>
      <w:bookmarkEnd w:id="238"/>
      <w:r w:rsidR="005730D3">
        <w:t>6:</w:t>
      </w:r>
      <w:r w:rsidRPr="00D5215A">
        <w:t>- Pivotal study 302 – Kaplan-Meier curves for OS co-primary endpoint (Updated analysis)</w:t>
      </w:r>
      <w:bookmarkEnd w:id="239"/>
    </w:p>
    <w:p w:rsidR="00D5215A" w:rsidRPr="00D5215A" w:rsidRDefault="00D5215A" w:rsidP="009C2D2F">
      <w:r w:rsidRPr="00D5215A">
        <w:rPr>
          <w:noProof/>
          <w:lang w:eastAsia="en-AU"/>
        </w:rPr>
        <w:drawing>
          <wp:inline distT="0" distB="0" distL="0" distR="0">
            <wp:extent cx="4400550" cy="3062706"/>
            <wp:effectExtent l="19050" t="0" r="0" b="0"/>
            <wp:docPr id="42" name="Picture 45" descr="Figure 6:- Pivotal study 302 – Kaplan-Meier curves for OS co-primary endpoint (Updated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401811" cy="3063584"/>
                    </a:xfrm>
                    <a:prstGeom prst="rect">
                      <a:avLst/>
                    </a:prstGeom>
                    <a:noFill/>
                    <a:ln>
                      <a:noFill/>
                    </a:ln>
                  </pic:spPr>
                </pic:pic>
              </a:graphicData>
            </a:graphic>
          </wp:inline>
        </w:drawing>
      </w:r>
    </w:p>
    <w:p w:rsidR="00D5215A" w:rsidRPr="00D5215A" w:rsidRDefault="00D5215A" w:rsidP="009C2D2F">
      <w:pPr>
        <w:pStyle w:val="TableTitle"/>
      </w:pPr>
      <w:bookmarkStart w:id="240" w:name="_Ref228786629"/>
      <w:bookmarkStart w:id="241" w:name="_Toc228789351"/>
      <w:r w:rsidRPr="00D5215A">
        <w:lastRenderedPageBreak/>
        <w:t xml:space="preserve">Table </w:t>
      </w:r>
      <w:bookmarkEnd w:id="240"/>
      <w:r w:rsidR="005730D3">
        <w:t>19:</w:t>
      </w:r>
      <w:r w:rsidRPr="00D5215A">
        <w:t xml:space="preserve"> Pivotal study 302 – Comparison of results for OS co-primary endpoint (Initial v</w:t>
      </w:r>
      <w:r w:rsidR="005730D3">
        <w:t>ersus</w:t>
      </w:r>
      <w:r w:rsidRPr="00D5215A">
        <w:t xml:space="preserve"> Updated analysis)</w:t>
      </w:r>
      <w:bookmarkEnd w:id="241"/>
    </w:p>
    <w:tbl>
      <w:tblPr>
        <w:tblStyle w:val="TableTGAblue"/>
        <w:tblW w:w="0" w:type="auto"/>
        <w:tblLook w:val="04A0" w:firstRow="1" w:lastRow="0" w:firstColumn="1" w:lastColumn="0" w:noHBand="0" w:noVBand="1"/>
      </w:tblPr>
      <w:tblGrid>
        <w:gridCol w:w="2838"/>
        <w:gridCol w:w="105"/>
        <w:gridCol w:w="2734"/>
        <w:gridCol w:w="2839"/>
      </w:tblGrid>
      <w:tr w:rsidR="00D5215A" w:rsidRPr="00D5215A" w:rsidTr="000B0E3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838" w:type="dxa"/>
          </w:tcPr>
          <w:p w:rsidR="00D5215A" w:rsidRPr="005730D3" w:rsidRDefault="00D5215A" w:rsidP="009C2D2F">
            <w:pPr>
              <w:keepNext/>
              <w:rPr>
                <w:b w:val="0"/>
                <w:sz w:val="20"/>
                <w:szCs w:val="20"/>
              </w:rPr>
            </w:pPr>
          </w:p>
        </w:tc>
        <w:tc>
          <w:tcPr>
            <w:tcW w:w="2839" w:type="dxa"/>
            <w:gridSpan w:val="2"/>
          </w:tcPr>
          <w:p w:rsidR="00D5215A" w:rsidRPr="005730D3" w:rsidRDefault="00D5215A" w:rsidP="009C2D2F">
            <w:pPr>
              <w:keepNext/>
              <w:cnfStyle w:val="100000000000" w:firstRow="1" w:lastRow="0" w:firstColumn="0" w:lastColumn="0" w:oddVBand="0" w:evenVBand="0" w:oddHBand="0" w:evenHBand="0" w:firstRowFirstColumn="0" w:firstRowLastColumn="0" w:lastRowFirstColumn="0" w:lastRowLastColumn="0"/>
              <w:rPr>
                <w:sz w:val="20"/>
                <w:szCs w:val="20"/>
              </w:rPr>
            </w:pPr>
            <w:r w:rsidRPr="005730D3">
              <w:rPr>
                <w:sz w:val="20"/>
                <w:szCs w:val="20"/>
              </w:rPr>
              <w:t>Initial (2</w:t>
            </w:r>
            <w:r w:rsidRPr="005730D3">
              <w:rPr>
                <w:sz w:val="20"/>
                <w:szCs w:val="20"/>
                <w:vertAlign w:val="superscript"/>
              </w:rPr>
              <w:t>nd</w:t>
            </w:r>
            <w:r w:rsidRPr="005730D3">
              <w:rPr>
                <w:sz w:val="20"/>
                <w:szCs w:val="20"/>
              </w:rPr>
              <w:t xml:space="preserve"> interim) analysis</w:t>
            </w:r>
          </w:p>
        </w:tc>
        <w:tc>
          <w:tcPr>
            <w:tcW w:w="2839" w:type="dxa"/>
          </w:tcPr>
          <w:p w:rsidR="00D5215A" w:rsidRPr="005730D3" w:rsidRDefault="00D5215A" w:rsidP="009C2D2F">
            <w:pPr>
              <w:keepNext/>
              <w:cnfStyle w:val="100000000000" w:firstRow="1" w:lastRow="0" w:firstColumn="0" w:lastColumn="0" w:oddVBand="0" w:evenVBand="0" w:oddHBand="0" w:evenHBand="0" w:firstRowFirstColumn="0" w:firstRowLastColumn="0" w:lastRowFirstColumn="0" w:lastRowLastColumn="0"/>
              <w:rPr>
                <w:sz w:val="20"/>
                <w:szCs w:val="20"/>
              </w:rPr>
            </w:pPr>
            <w:r w:rsidRPr="005730D3">
              <w:rPr>
                <w:sz w:val="20"/>
                <w:szCs w:val="20"/>
              </w:rPr>
              <w:t>Updated (3</w:t>
            </w:r>
            <w:r w:rsidRPr="005730D3">
              <w:rPr>
                <w:sz w:val="20"/>
                <w:szCs w:val="20"/>
                <w:vertAlign w:val="superscript"/>
              </w:rPr>
              <w:t>rd</w:t>
            </w:r>
            <w:r w:rsidRPr="005730D3">
              <w:rPr>
                <w:sz w:val="20"/>
                <w:szCs w:val="20"/>
              </w:rPr>
              <w:t xml:space="preserve"> interim) analysis</w:t>
            </w:r>
          </w:p>
        </w:tc>
      </w:tr>
      <w:tr w:rsidR="00D5215A" w:rsidRPr="00D5215A" w:rsidTr="005730D3">
        <w:tc>
          <w:tcPr>
            <w:cnfStyle w:val="001000000000" w:firstRow="0" w:lastRow="0" w:firstColumn="1" w:lastColumn="0" w:oddVBand="0" w:evenVBand="0" w:oddHBand="0" w:evenHBand="0" w:firstRowFirstColumn="0" w:firstRowLastColumn="0" w:lastRowFirstColumn="0" w:lastRowLastColumn="0"/>
            <w:tcW w:w="2943" w:type="dxa"/>
            <w:gridSpan w:val="2"/>
          </w:tcPr>
          <w:p w:rsidR="00D5215A" w:rsidRPr="005730D3" w:rsidRDefault="00D5215A" w:rsidP="009C2D2F">
            <w:pPr>
              <w:keepNext/>
              <w:rPr>
                <w:b/>
                <w:sz w:val="20"/>
                <w:szCs w:val="20"/>
              </w:rPr>
            </w:pPr>
            <w:r w:rsidRPr="005730D3">
              <w:rPr>
                <w:b/>
                <w:sz w:val="20"/>
                <w:szCs w:val="20"/>
              </w:rPr>
              <w:t>Data Cut-off</w:t>
            </w:r>
          </w:p>
        </w:tc>
        <w:tc>
          <w:tcPr>
            <w:tcW w:w="2734" w:type="dxa"/>
          </w:tcPr>
          <w:p w:rsidR="00D5215A" w:rsidRPr="005730D3" w:rsidRDefault="00D5215A" w:rsidP="009C2D2F">
            <w:pPr>
              <w:keepNext/>
              <w:cnfStyle w:val="000000000000" w:firstRow="0" w:lastRow="0" w:firstColumn="0" w:lastColumn="0" w:oddVBand="0" w:evenVBand="0" w:oddHBand="0" w:evenHBand="0" w:firstRowFirstColumn="0" w:firstRowLastColumn="0" w:lastRowFirstColumn="0" w:lastRowLastColumn="0"/>
              <w:rPr>
                <w:sz w:val="20"/>
                <w:szCs w:val="20"/>
              </w:rPr>
            </w:pPr>
            <w:r w:rsidRPr="005730D3">
              <w:rPr>
                <w:sz w:val="20"/>
                <w:szCs w:val="20"/>
              </w:rPr>
              <w:t>20 Dec 2011</w:t>
            </w:r>
          </w:p>
        </w:tc>
        <w:tc>
          <w:tcPr>
            <w:tcW w:w="2839" w:type="dxa"/>
          </w:tcPr>
          <w:p w:rsidR="00D5215A" w:rsidRPr="005730D3" w:rsidRDefault="00D5215A" w:rsidP="009C2D2F">
            <w:pPr>
              <w:keepNext/>
              <w:cnfStyle w:val="000000000000" w:firstRow="0" w:lastRow="0" w:firstColumn="0" w:lastColumn="0" w:oddVBand="0" w:evenVBand="0" w:oddHBand="0" w:evenHBand="0" w:firstRowFirstColumn="0" w:firstRowLastColumn="0" w:lastRowFirstColumn="0" w:lastRowLastColumn="0"/>
              <w:rPr>
                <w:sz w:val="20"/>
                <w:szCs w:val="20"/>
              </w:rPr>
            </w:pPr>
            <w:r w:rsidRPr="005730D3">
              <w:rPr>
                <w:sz w:val="20"/>
                <w:szCs w:val="20"/>
              </w:rPr>
              <w:t>22 May 2012</w:t>
            </w:r>
          </w:p>
        </w:tc>
      </w:tr>
      <w:tr w:rsidR="00D5215A" w:rsidRPr="00D5215A" w:rsidTr="005730D3">
        <w:tc>
          <w:tcPr>
            <w:cnfStyle w:val="001000000000" w:firstRow="0" w:lastRow="0" w:firstColumn="1" w:lastColumn="0" w:oddVBand="0" w:evenVBand="0" w:oddHBand="0" w:evenHBand="0" w:firstRowFirstColumn="0" w:firstRowLastColumn="0" w:lastRowFirstColumn="0" w:lastRowLastColumn="0"/>
            <w:tcW w:w="2943" w:type="dxa"/>
            <w:gridSpan w:val="2"/>
          </w:tcPr>
          <w:p w:rsidR="00D5215A" w:rsidRPr="005730D3" w:rsidRDefault="00D5215A" w:rsidP="009C2D2F">
            <w:pPr>
              <w:keepNext/>
              <w:rPr>
                <w:b/>
                <w:sz w:val="20"/>
                <w:szCs w:val="20"/>
              </w:rPr>
            </w:pPr>
            <w:r w:rsidRPr="005730D3">
              <w:rPr>
                <w:b/>
                <w:sz w:val="20"/>
                <w:szCs w:val="20"/>
              </w:rPr>
              <w:t>Report date</w:t>
            </w:r>
          </w:p>
        </w:tc>
        <w:tc>
          <w:tcPr>
            <w:tcW w:w="2734" w:type="dxa"/>
          </w:tcPr>
          <w:p w:rsidR="00D5215A" w:rsidRPr="005730D3" w:rsidRDefault="00D5215A" w:rsidP="009C2D2F">
            <w:pPr>
              <w:keepNext/>
              <w:cnfStyle w:val="000000000000" w:firstRow="0" w:lastRow="0" w:firstColumn="0" w:lastColumn="0" w:oddVBand="0" w:evenVBand="0" w:oddHBand="0" w:evenHBand="0" w:firstRowFirstColumn="0" w:firstRowLastColumn="0" w:lastRowFirstColumn="0" w:lastRowLastColumn="0"/>
              <w:rPr>
                <w:sz w:val="20"/>
                <w:szCs w:val="20"/>
              </w:rPr>
            </w:pPr>
            <w:r w:rsidRPr="005730D3">
              <w:rPr>
                <w:sz w:val="20"/>
                <w:szCs w:val="20"/>
              </w:rPr>
              <w:t>31 May 2012</w:t>
            </w:r>
          </w:p>
        </w:tc>
        <w:tc>
          <w:tcPr>
            <w:tcW w:w="2839" w:type="dxa"/>
          </w:tcPr>
          <w:p w:rsidR="00D5215A" w:rsidRPr="005730D3" w:rsidRDefault="00D5215A" w:rsidP="009C2D2F">
            <w:pPr>
              <w:keepNext/>
              <w:cnfStyle w:val="000000000000" w:firstRow="0" w:lastRow="0" w:firstColumn="0" w:lastColumn="0" w:oddVBand="0" w:evenVBand="0" w:oddHBand="0" w:evenHBand="0" w:firstRowFirstColumn="0" w:firstRowLastColumn="0" w:lastRowFirstColumn="0" w:lastRowLastColumn="0"/>
              <w:rPr>
                <w:sz w:val="20"/>
                <w:szCs w:val="20"/>
              </w:rPr>
            </w:pPr>
            <w:r w:rsidRPr="005730D3">
              <w:rPr>
                <w:sz w:val="20"/>
                <w:szCs w:val="20"/>
              </w:rPr>
              <w:t>6 Aug 2012</w:t>
            </w:r>
          </w:p>
        </w:tc>
      </w:tr>
      <w:tr w:rsidR="00D5215A" w:rsidRPr="00D5215A" w:rsidTr="005730D3">
        <w:tc>
          <w:tcPr>
            <w:cnfStyle w:val="001000000000" w:firstRow="0" w:lastRow="0" w:firstColumn="1" w:lastColumn="0" w:oddVBand="0" w:evenVBand="0" w:oddHBand="0" w:evenHBand="0" w:firstRowFirstColumn="0" w:firstRowLastColumn="0" w:lastRowFirstColumn="0" w:lastRowLastColumn="0"/>
            <w:tcW w:w="2943" w:type="dxa"/>
            <w:gridSpan w:val="2"/>
          </w:tcPr>
          <w:p w:rsidR="00D5215A" w:rsidRPr="005730D3" w:rsidRDefault="00D5215A" w:rsidP="009C2D2F">
            <w:pPr>
              <w:keepNext/>
              <w:rPr>
                <w:b/>
                <w:sz w:val="20"/>
                <w:szCs w:val="20"/>
              </w:rPr>
            </w:pPr>
            <w:r w:rsidRPr="005730D3">
              <w:rPr>
                <w:b/>
                <w:sz w:val="20"/>
                <w:szCs w:val="20"/>
              </w:rPr>
              <w:t>Median Follow-up</w:t>
            </w:r>
          </w:p>
        </w:tc>
        <w:tc>
          <w:tcPr>
            <w:tcW w:w="2734" w:type="dxa"/>
          </w:tcPr>
          <w:p w:rsidR="00D5215A" w:rsidRPr="005730D3" w:rsidRDefault="00D5215A" w:rsidP="009C2D2F">
            <w:pPr>
              <w:keepNext/>
              <w:cnfStyle w:val="000000000000" w:firstRow="0" w:lastRow="0" w:firstColumn="0" w:lastColumn="0" w:oddVBand="0" w:evenVBand="0" w:oddHBand="0" w:evenHBand="0" w:firstRowFirstColumn="0" w:firstRowLastColumn="0" w:lastRowFirstColumn="0" w:lastRowLastColumn="0"/>
              <w:rPr>
                <w:sz w:val="20"/>
                <w:szCs w:val="20"/>
              </w:rPr>
            </w:pPr>
            <w:r w:rsidRPr="005730D3">
              <w:rPr>
                <w:sz w:val="20"/>
                <w:szCs w:val="20"/>
              </w:rPr>
              <w:t>22.2 m</w:t>
            </w:r>
            <w:r w:rsidR="00D553D3">
              <w:rPr>
                <w:sz w:val="20"/>
                <w:szCs w:val="20"/>
              </w:rPr>
              <w:t>on</w:t>
            </w:r>
            <w:r w:rsidRPr="005730D3">
              <w:rPr>
                <w:sz w:val="20"/>
                <w:szCs w:val="20"/>
              </w:rPr>
              <w:t>ths</w:t>
            </w:r>
          </w:p>
        </w:tc>
        <w:tc>
          <w:tcPr>
            <w:tcW w:w="2839" w:type="dxa"/>
          </w:tcPr>
          <w:p w:rsidR="00D5215A" w:rsidRPr="005730D3" w:rsidRDefault="00D5215A" w:rsidP="009C2D2F">
            <w:pPr>
              <w:keepNext/>
              <w:cnfStyle w:val="000000000000" w:firstRow="0" w:lastRow="0" w:firstColumn="0" w:lastColumn="0" w:oddVBand="0" w:evenVBand="0" w:oddHBand="0" w:evenHBand="0" w:firstRowFirstColumn="0" w:firstRowLastColumn="0" w:lastRowFirstColumn="0" w:lastRowLastColumn="0"/>
              <w:rPr>
                <w:sz w:val="20"/>
                <w:szCs w:val="20"/>
              </w:rPr>
            </w:pPr>
            <w:r w:rsidRPr="005730D3">
              <w:rPr>
                <w:sz w:val="20"/>
                <w:szCs w:val="20"/>
              </w:rPr>
              <w:t>27.1 m</w:t>
            </w:r>
            <w:r w:rsidR="00D553D3">
              <w:rPr>
                <w:sz w:val="20"/>
                <w:szCs w:val="20"/>
              </w:rPr>
              <w:t>on</w:t>
            </w:r>
            <w:r w:rsidRPr="005730D3">
              <w:rPr>
                <w:sz w:val="20"/>
                <w:szCs w:val="20"/>
              </w:rPr>
              <w:t>ths</w:t>
            </w:r>
          </w:p>
        </w:tc>
      </w:tr>
      <w:tr w:rsidR="00D5215A" w:rsidRPr="00D5215A" w:rsidTr="005730D3">
        <w:tc>
          <w:tcPr>
            <w:cnfStyle w:val="001000000000" w:firstRow="0" w:lastRow="0" w:firstColumn="1" w:lastColumn="0" w:oddVBand="0" w:evenVBand="0" w:oddHBand="0" w:evenHBand="0" w:firstRowFirstColumn="0" w:firstRowLastColumn="0" w:lastRowFirstColumn="0" w:lastRowLastColumn="0"/>
            <w:tcW w:w="2943" w:type="dxa"/>
            <w:gridSpan w:val="2"/>
          </w:tcPr>
          <w:p w:rsidR="00D5215A" w:rsidRPr="005730D3" w:rsidRDefault="00D5215A" w:rsidP="009C2D2F">
            <w:pPr>
              <w:keepNext/>
              <w:rPr>
                <w:b/>
                <w:sz w:val="20"/>
                <w:szCs w:val="20"/>
              </w:rPr>
            </w:pPr>
            <w:r w:rsidRPr="005730D3">
              <w:rPr>
                <w:b/>
                <w:sz w:val="20"/>
                <w:szCs w:val="20"/>
              </w:rPr>
              <w:t>Deaths</w:t>
            </w:r>
          </w:p>
        </w:tc>
        <w:tc>
          <w:tcPr>
            <w:tcW w:w="2734" w:type="dxa"/>
          </w:tcPr>
          <w:p w:rsidR="00D5215A" w:rsidRPr="005730D3" w:rsidRDefault="00D5215A" w:rsidP="009C2D2F">
            <w:pPr>
              <w:keepNext/>
              <w:cnfStyle w:val="000000000000" w:firstRow="0" w:lastRow="0" w:firstColumn="0" w:lastColumn="0" w:oddVBand="0" w:evenVBand="0" w:oddHBand="0" w:evenHBand="0" w:firstRowFirstColumn="0" w:firstRowLastColumn="0" w:lastRowFirstColumn="0" w:lastRowLastColumn="0"/>
              <w:rPr>
                <w:sz w:val="20"/>
                <w:szCs w:val="20"/>
              </w:rPr>
            </w:pPr>
          </w:p>
        </w:tc>
        <w:tc>
          <w:tcPr>
            <w:tcW w:w="2839" w:type="dxa"/>
          </w:tcPr>
          <w:p w:rsidR="00D5215A" w:rsidRPr="005730D3" w:rsidRDefault="00D5215A" w:rsidP="009C2D2F">
            <w:pPr>
              <w:keepNext/>
              <w:cnfStyle w:val="000000000000" w:firstRow="0" w:lastRow="0" w:firstColumn="0" w:lastColumn="0" w:oddVBand="0" w:evenVBand="0" w:oddHBand="0" w:evenHBand="0" w:firstRowFirstColumn="0" w:firstRowLastColumn="0" w:lastRowFirstColumn="0" w:lastRowLastColumn="0"/>
              <w:rPr>
                <w:sz w:val="20"/>
                <w:szCs w:val="20"/>
              </w:rPr>
            </w:pPr>
          </w:p>
        </w:tc>
      </w:tr>
      <w:tr w:rsidR="00D5215A" w:rsidRPr="00D5215A" w:rsidTr="005730D3">
        <w:tc>
          <w:tcPr>
            <w:cnfStyle w:val="001000000000" w:firstRow="0" w:lastRow="0" w:firstColumn="1" w:lastColumn="0" w:oddVBand="0" w:evenVBand="0" w:oddHBand="0" w:evenHBand="0" w:firstRowFirstColumn="0" w:firstRowLastColumn="0" w:lastRowFirstColumn="0" w:lastRowLastColumn="0"/>
            <w:tcW w:w="2943" w:type="dxa"/>
            <w:gridSpan w:val="2"/>
          </w:tcPr>
          <w:p w:rsidR="00D5215A" w:rsidRPr="005730D3" w:rsidRDefault="00D5215A" w:rsidP="009C2D2F">
            <w:pPr>
              <w:keepNext/>
              <w:rPr>
                <w:b/>
                <w:sz w:val="20"/>
                <w:szCs w:val="20"/>
              </w:rPr>
            </w:pPr>
            <w:r w:rsidRPr="005730D3">
              <w:rPr>
                <w:b/>
                <w:sz w:val="20"/>
                <w:szCs w:val="20"/>
              </w:rPr>
              <w:t xml:space="preserve"> - Total</w:t>
            </w:r>
          </w:p>
        </w:tc>
        <w:tc>
          <w:tcPr>
            <w:tcW w:w="2734" w:type="dxa"/>
          </w:tcPr>
          <w:p w:rsidR="00D5215A" w:rsidRPr="005730D3" w:rsidRDefault="00D5215A" w:rsidP="009C2D2F">
            <w:pPr>
              <w:keepNext/>
              <w:cnfStyle w:val="000000000000" w:firstRow="0" w:lastRow="0" w:firstColumn="0" w:lastColumn="0" w:oddVBand="0" w:evenVBand="0" w:oddHBand="0" w:evenHBand="0" w:firstRowFirstColumn="0" w:firstRowLastColumn="0" w:lastRowFirstColumn="0" w:lastRowLastColumn="0"/>
              <w:rPr>
                <w:sz w:val="20"/>
                <w:szCs w:val="20"/>
              </w:rPr>
            </w:pPr>
            <w:r w:rsidRPr="005730D3">
              <w:rPr>
                <w:sz w:val="20"/>
                <w:szCs w:val="20"/>
              </w:rPr>
              <w:t>333 (30.6%)</w:t>
            </w:r>
          </w:p>
        </w:tc>
        <w:tc>
          <w:tcPr>
            <w:tcW w:w="2839" w:type="dxa"/>
          </w:tcPr>
          <w:p w:rsidR="00D5215A" w:rsidRPr="005730D3" w:rsidRDefault="00D5215A" w:rsidP="009C2D2F">
            <w:pPr>
              <w:keepNext/>
              <w:cnfStyle w:val="000000000000" w:firstRow="0" w:lastRow="0" w:firstColumn="0" w:lastColumn="0" w:oddVBand="0" w:evenVBand="0" w:oddHBand="0" w:evenHBand="0" w:firstRowFirstColumn="0" w:firstRowLastColumn="0" w:lastRowFirstColumn="0" w:lastRowLastColumn="0"/>
              <w:rPr>
                <w:sz w:val="20"/>
                <w:szCs w:val="20"/>
              </w:rPr>
            </w:pPr>
            <w:r w:rsidRPr="005730D3">
              <w:rPr>
                <w:sz w:val="20"/>
                <w:szCs w:val="20"/>
              </w:rPr>
              <w:t>434 (39.9%)</w:t>
            </w:r>
          </w:p>
        </w:tc>
      </w:tr>
      <w:tr w:rsidR="00D5215A" w:rsidRPr="00D5215A" w:rsidTr="005730D3">
        <w:tc>
          <w:tcPr>
            <w:cnfStyle w:val="001000000000" w:firstRow="0" w:lastRow="0" w:firstColumn="1" w:lastColumn="0" w:oddVBand="0" w:evenVBand="0" w:oddHBand="0" w:evenHBand="0" w:firstRowFirstColumn="0" w:firstRowLastColumn="0" w:lastRowFirstColumn="0" w:lastRowLastColumn="0"/>
            <w:tcW w:w="2943" w:type="dxa"/>
            <w:gridSpan w:val="2"/>
          </w:tcPr>
          <w:p w:rsidR="00D5215A" w:rsidRPr="005730D3" w:rsidRDefault="00D5215A" w:rsidP="009C2D2F">
            <w:pPr>
              <w:keepNext/>
              <w:rPr>
                <w:b/>
                <w:sz w:val="20"/>
                <w:szCs w:val="20"/>
              </w:rPr>
            </w:pPr>
            <w:r w:rsidRPr="005730D3">
              <w:rPr>
                <w:b/>
                <w:sz w:val="20"/>
                <w:szCs w:val="20"/>
              </w:rPr>
              <w:t xml:space="preserve"> - Abiraterone </w:t>
            </w:r>
          </w:p>
        </w:tc>
        <w:tc>
          <w:tcPr>
            <w:tcW w:w="2734" w:type="dxa"/>
          </w:tcPr>
          <w:p w:rsidR="00D5215A" w:rsidRPr="005730D3" w:rsidRDefault="00D5215A" w:rsidP="009C2D2F">
            <w:pPr>
              <w:keepNext/>
              <w:cnfStyle w:val="000000000000" w:firstRow="0" w:lastRow="0" w:firstColumn="0" w:lastColumn="0" w:oddVBand="0" w:evenVBand="0" w:oddHBand="0" w:evenHBand="0" w:firstRowFirstColumn="0" w:firstRowLastColumn="0" w:lastRowFirstColumn="0" w:lastRowLastColumn="0"/>
              <w:rPr>
                <w:sz w:val="20"/>
                <w:szCs w:val="20"/>
              </w:rPr>
            </w:pPr>
            <w:r w:rsidRPr="005730D3">
              <w:rPr>
                <w:sz w:val="20"/>
                <w:szCs w:val="20"/>
              </w:rPr>
              <w:t>147 (26.9%)</w:t>
            </w:r>
          </w:p>
        </w:tc>
        <w:tc>
          <w:tcPr>
            <w:tcW w:w="2839" w:type="dxa"/>
          </w:tcPr>
          <w:p w:rsidR="00D5215A" w:rsidRPr="005730D3" w:rsidRDefault="00D5215A" w:rsidP="009C2D2F">
            <w:pPr>
              <w:keepNext/>
              <w:cnfStyle w:val="000000000000" w:firstRow="0" w:lastRow="0" w:firstColumn="0" w:lastColumn="0" w:oddVBand="0" w:evenVBand="0" w:oddHBand="0" w:evenHBand="0" w:firstRowFirstColumn="0" w:firstRowLastColumn="0" w:lastRowFirstColumn="0" w:lastRowLastColumn="0"/>
              <w:rPr>
                <w:sz w:val="20"/>
                <w:szCs w:val="20"/>
              </w:rPr>
            </w:pPr>
            <w:r w:rsidRPr="005730D3">
              <w:rPr>
                <w:sz w:val="20"/>
                <w:szCs w:val="20"/>
              </w:rPr>
              <w:t>200 (36.6%)</w:t>
            </w:r>
          </w:p>
        </w:tc>
      </w:tr>
      <w:tr w:rsidR="00D5215A" w:rsidRPr="00D5215A" w:rsidTr="005730D3">
        <w:tc>
          <w:tcPr>
            <w:cnfStyle w:val="001000000000" w:firstRow="0" w:lastRow="0" w:firstColumn="1" w:lastColumn="0" w:oddVBand="0" w:evenVBand="0" w:oddHBand="0" w:evenHBand="0" w:firstRowFirstColumn="0" w:firstRowLastColumn="0" w:lastRowFirstColumn="0" w:lastRowLastColumn="0"/>
            <w:tcW w:w="2943" w:type="dxa"/>
            <w:gridSpan w:val="2"/>
          </w:tcPr>
          <w:p w:rsidR="00D5215A" w:rsidRPr="005730D3" w:rsidRDefault="00D5215A" w:rsidP="009C2D2F">
            <w:pPr>
              <w:keepNext/>
              <w:rPr>
                <w:b/>
                <w:sz w:val="20"/>
                <w:szCs w:val="20"/>
              </w:rPr>
            </w:pPr>
            <w:r w:rsidRPr="005730D3">
              <w:rPr>
                <w:b/>
                <w:sz w:val="20"/>
                <w:szCs w:val="20"/>
              </w:rPr>
              <w:t xml:space="preserve"> - Placebo</w:t>
            </w:r>
          </w:p>
        </w:tc>
        <w:tc>
          <w:tcPr>
            <w:tcW w:w="2734" w:type="dxa"/>
          </w:tcPr>
          <w:p w:rsidR="00D5215A" w:rsidRPr="005730D3" w:rsidRDefault="00D5215A" w:rsidP="009C2D2F">
            <w:pPr>
              <w:keepNext/>
              <w:cnfStyle w:val="000000000000" w:firstRow="0" w:lastRow="0" w:firstColumn="0" w:lastColumn="0" w:oddVBand="0" w:evenVBand="0" w:oddHBand="0" w:evenHBand="0" w:firstRowFirstColumn="0" w:firstRowLastColumn="0" w:lastRowFirstColumn="0" w:lastRowLastColumn="0"/>
              <w:rPr>
                <w:sz w:val="20"/>
                <w:szCs w:val="20"/>
              </w:rPr>
            </w:pPr>
            <w:r w:rsidRPr="005730D3">
              <w:rPr>
                <w:sz w:val="20"/>
                <w:szCs w:val="20"/>
              </w:rPr>
              <w:t>186 (34.3%)</w:t>
            </w:r>
          </w:p>
        </w:tc>
        <w:tc>
          <w:tcPr>
            <w:tcW w:w="2839" w:type="dxa"/>
          </w:tcPr>
          <w:p w:rsidR="00D5215A" w:rsidRPr="005730D3" w:rsidRDefault="00D5215A" w:rsidP="009C2D2F">
            <w:pPr>
              <w:keepNext/>
              <w:cnfStyle w:val="000000000000" w:firstRow="0" w:lastRow="0" w:firstColumn="0" w:lastColumn="0" w:oddVBand="0" w:evenVBand="0" w:oddHBand="0" w:evenHBand="0" w:firstRowFirstColumn="0" w:firstRowLastColumn="0" w:lastRowFirstColumn="0" w:lastRowLastColumn="0"/>
              <w:rPr>
                <w:sz w:val="20"/>
                <w:szCs w:val="20"/>
              </w:rPr>
            </w:pPr>
            <w:r w:rsidRPr="005730D3">
              <w:rPr>
                <w:sz w:val="20"/>
                <w:szCs w:val="20"/>
              </w:rPr>
              <w:t>234 (43.2%)</w:t>
            </w:r>
          </w:p>
        </w:tc>
      </w:tr>
      <w:tr w:rsidR="00D5215A" w:rsidRPr="00D5215A" w:rsidTr="005730D3">
        <w:tc>
          <w:tcPr>
            <w:cnfStyle w:val="001000000000" w:firstRow="0" w:lastRow="0" w:firstColumn="1" w:lastColumn="0" w:oddVBand="0" w:evenVBand="0" w:oddHBand="0" w:evenHBand="0" w:firstRowFirstColumn="0" w:firstRowLastColumn="0" w:lastRowFirstColumn="0" w:lastRowLastColumn="0"/>
            <w:tcW w:w="2943" w:type="dxa"/>
            <w:gridSpan w:val="2"/>
          </w:tcPr>
          <w:p w:rsidR="00D5215A" w:rsidRPr="005730D3" w:rsidRDefault="00D5215A" w:rsidP="009C2D2F">
            <w:pPr>
              <w:keepNext/>
              <w:rPr>
                <w:b/>
                <w:sz w:val="20"/>
                <w:szCs w:val="20"/>
              </w:rPr>
            </w:pPr>
            <w:r w:rsidRPr="005730D3">
              <w:rPr>
                <w:b/>
                <w:sz w:val="20"/>
                <w:szCs w:val="20"/>
              </w:rPr>
              <w:t>Hazard Ratio</w:t>
            </w:r>
          </w:p>
          <w:p w:rsidR="00D5215A" w:rsidRPr="005730D3" w:rsidRDefault="00D5215A" w:rsidP="009C2D2F">
            <w:pPr>
              <w:keepNext/>
              <w:rPr>
                <w:b/>
                <w:sz w:val="20"/>
                <w:szCs w:val="20"/>
              </w:rPr>
            </w:pPr>
            <w:r w:rsidRPr="005730D3">
              <w:rPr>
                <w:b/>
                <w:sz w:val="20"/>
                <w:szCs w:val="20"/>
              </w:rPr>
              <w:t>(95% CI)</w:t>
            </w:r>
          </w:p>
        </w:tc>
        <w:tc>
          <w:tcPr>
            <w:tcW w:w="2734" w:type="dxa"/>
          </w:tcPr>
          <w:p w:rsidR="00D5215A" w:rsidRPr="005730D3" w:rsidRDefault="00D5215A" w:rsidP="009C2D2F">
            <w:pPr>
              <w:keepNext/>
              <w:cnfStyle w:val="000000000000" w:firstRow="0" w:lastRow="0" w:firstColumn="0" w:lastColumn="0" w:oddVBand="0" w:evenVBand="0" w:oddHBand="0" w:evenHBand="0" w:firstRowFirstColumn="0" w:firstRowLastColumn="0" w:lastRowFirstColumn="0" w:lastRowLastColumn="0"/>
              <w:rPr>
                <w:sz w:val="20"/>
                <w:szCs w:val="20"/>
              </w:rPr>
            </w:pPr>
            <w:r w:rsidRPr="005730D3">
              <w:rPr>
                <w:sz w:val="20"/>
                <w:szCs w:val="20"/>
              </w:rPr>
              <w:t>0.752</w:t>
            </w:r>
          </w:p>
          <w:p w:rsidR="00D5215A" w:rsidRPr="005730D3" w:rsidRDefault="00D5215A" w:rsidP="009C2D2F">
            <w:pPr>
              <w:keepNext/>
              <w:cnfStyle w:val="000000000000" w:firstRow="0" w:lastRow="0" w:firstColumn="0" w:lastColumn="0" w:oddVBand="0" w:evenVBand="0" w:oddHBand="0" w:evenHBand="0" w:firstRowFirstColumn="0" w:firstRowLastColumn="0" w:lastRowFirstColumn="0" w:lastRowLastColumn="0"/>
              <w:rPr>
                <w:sz w:val="20"/>
                <w:szCs w:val="20"/>
              </w:rPr>
            </w:pPr>
            <w:r w:rsidRPr="005730D3">
              <w:rPr>
                <w:sz w:val="20"/>
                <w:szCs w:val="20"/>
              </w:rPr>
              <w:t>(0.606 – 0.934)</w:t>
            </w:r>
          </w:p>
        </w:tc>
        <w:tc>
          <w:tcPr>
            <w:tcW w:w="2839" w:type="dxa"/>
          </w:tcPr>
          <w:p w:rsidR="00D5215A" w:rsidRPr="005730D3" w:rsidRDefault="00D5215A" w:rsidP="009C2D2F">
            <w:pPr>
              <w:keepNext/>
              <w:cnfStyle w:val="000000000000" w:firstRow="0" w:lastRow="0" w:firstColumn="0" w:lastColumn="0" w:oddVBand="0" w:evenVBand="0" w:oddHBand="0" w:evenHBand="0" w:firstRowFirstColumn="0" w:firstRowLastColumn="0" w:lastRowFirstColumn="0" w:lastRowLastColumn="0"/>
              <w:rPr>
                <w:sz w:val="20"/>
                <w:szCs w:val="20"/>
              </w:rPr>
            </w:pPr>
            <w:r w:rsidRPr="005730D3">
              <w:rPr>
                <w:sz w:val="20"/>
                <w:szCs w:val="20"/>
              </w:rPr>
              <w:t>0.792</w:t>
            </w:r>
          </w:p>
          <w:p w:rsidR="00D5215A" w:rsidRPr="005730D3" w:rsidRDefault="00D5215A" w:rsidP="009C2D2F">
            <w:pPr>
              <w:keepNext/>
              <w:cnfStyle w:val="000000000000" w:firstRow="0" w:lastRow="0" w:firstColumn="0" w:lastColumn="0" w:oddVBand="0" w:evenVBand="0" w:oddHBand="0" w:evenHBand="0" w:firstRowFirstColumn="0" w:firstRowLastColumn="0" w:lastRowFirstColumn="0" w:lastRowLastColumn="0"/>
              <w:rPr>
                <w:sz w:val="20"/>
                <w:szCs w:val="20"/>
              </w:rPr>
            </w:pPr>
            <w:r w:rsidRPr="005730D3">
              <w:rPr>
                <w:sz w:val="20"/>
                <w:szCs w:val="20"/>
              </w:rPr>
              <w:t>(0.655 – 0.956)</w:t>
            </w:r>
          </w:p>
        </w:tc>
      </w:tr>
      <w:tr w:rsidR="00D5215A" w:rsidRPr="00D5215A" w:rsidTr="005730D3">
        <w:tc>
          <w:tcPr>
            <w:cnfStyle w:val="001000000000" w:firstRow="0" w:lastRow="0" w:firstColumn="1" w:lastColumn="0" w:oddVBand="0" w:evenVBand="0" w:oddHBand="0" w:evenHBand="0" w:firstRowFirstColumn="0" w:firstRowLastColumn="0" w:lastRowFirstColumn="0" w:lastRowLastColumn="0"/>
            <w:tcW w:w="2943" w:type="dxa"/>
            <w:gridSpan w:val="2"/>
          </w:tcPr>
          <w:p w:rsidR="00D5215A" w:rsidRPr="005730D3" w:rsidRDefault="00D5215A" w:rsidP="009C2D2F">
            <w:pPr>
              <w:keepNext/>
              <w:rPr>
                <w:b/>
                <w:sz w:val="20"/>
                <w:szCs w:val="20"/>
              </w:rPr>
            </w:pPr>
            <w:r w:rsidRPr="005730D3">
              <w:rPr>
                <w:b/>
                <w:sz w:val="20"/>
                <w:szCs w:val="20"/>
              </w:rPr>
              <w:t>p-value</w:t>
            </w:r>
          </w:p>
        </w:tc>
        <w:tc>
          <w:tcPr>
            <w:tcW w:w="2734" w:type="dxa"/>
          </w:tcPr>
          <w:p w:rsidR="00D5215A" w:rsidRPr="005730D3" w:rsidRDefault="00D5215A" w:rsidP="009C2D2F">
            <w:pPr>
              <w:keepNext/>
              <w:cnfStyle w:val="000000000000" w:firstRow="0" w:lastRow="0" w:firstColumn="0" w:lastColumn="0" w:oddVBand="0" w:evenVBand="0" w:oddHBand="0" w:evenHBand="0" w:firstRowFirstColumn="0" w:firstRowLastColumn="0" w:lastRowFirstColumn="0" w:lastRowLastColumn="0"/>
              <w:rPr>
                <w:sz w:val="20"/>
                <w:szCs w:val="20"/>
              </w:rPr>
            </w:pPr>
            <w:r w:rsidRPr="005730D3">
              <w:rPr>
                <w:sz w:val="20"/>
                <w:szCs w:val="20"/>
              </w:rPr>
              <w:t>0.0097</w:t>
            </w:r>
          </w:p>
        </w:tc>
        <w:tc>
          <w:tcPr>
            <w:tcW w:w="2839" w:type="dxa"/>
          </w:tcPr>
          <w:p w:rsidR="00D5215A" w:rsidRPr="005730D3" w:rsidRDefault="00D5215A" w:rsidP="009C2D2F">
            <w:pPr>
              <w:keepNext/>
              <w:cnfStyle w:val="000000000000" w:firstRow="0" w:lastRow="0" w:firstColumn="0" w:lastColumn="0" w:oddVBand="0" w:evenVBand="0" w:oddHBand="0" w:evenHBand="0" w:firstRowFirstColumn="0" w:firstRowLastColumn="0" w:lastRowFirstColumn="0" w:lastRowLastColumn="0"/>
              <w:rPr>
                <w:sz w:val="20"/>
                <w:szCs w:val="20"/>
              </w:rPr>
            </w:pPr>
            <w:r w:rsidRPr="005730D3">
              <w:rPr>
                <w:sz w:val="20"/>
                <w:szCs w:val="20"/>
              </w:rPr>
              <w:t>0.0151</w:t>
            </w:r>
          </w:p>
        </w:tc>
      </w:tr>
      <w:tr w:rsidR="00D5215A" w:rsidRPr="00D5215A" w:rsidTr="005730D3">
        <w:tc>
          <w:tcPr>
            <w:cnfStyle w:val="001000000000" w:firstRow="0" w:lastRow="0" w:firstColumn="1" w:lastColumn="0" w:oddVBand="0" w:evenVBand="0" w:oddHBand="0" w:evenHBand="0" w:firstRowFirstColumn="0" w:firstRowLastColumn="0" w:lastRowFirstColumn="0" w:lastRowLastColumn="0"/>
            <w:tcW w:w="2943" w:type="dxa"/>
            <w:gridSpan w:val="2"/>
          </w:tcPr>
          <w:p w:rsidR="00D5215A" w:rsidRPr="005730D3" w:rsidRDefault="00D5215A" w:rsidP="00D5215A">
            <w:pPr>
              <w:rPr>
                <w:b/>
                <w:sz w:val="20"/>
                <w:szCs w:val="20"/>
              </w:rPr>
            </w:pPr>
            <w:r w:rsidRPr="005730D3">
              <w:rPr>
                <w:b/>
                <w:sz w:val="20"/>
                <w:szCs w:val="20"/>
              </w:rPr>
              <w:t>Median OS – Abiraterone</w:t>
            </w:r>
          </w:p>
          <w:p w:rsidR="00D5215A" w:rsidRPr="005730D3" w:rsidRDefault="00D5215A" w:rsidP="00D5215A">
            <w:pPr>
              <w:rPr>
                <w:b/>
                <w:sz w:val="20"/>
                <w:szCs w:val="20"/>
              </w:rPr>
            </w:pPr>
            <w:r w:rsidRPr="005730D3">
              <w:rPr>
                <w:b/>
                <w:sz w:val="20"/>
                <w:szCs w:val="20"/>
              </w:rPr>
              <w:t>(95% CI)</w:t>
            </w:r>
          </w:p>
        </w:tc>
        <w:tc>
          <w:tcPr>
            <w:tcW w:w="2734" w:type="dxa"/>
          </w:tcPr>
          <w:p w:rsidR="00D5215A" w:rsidRPr="005730D3" w:rsidRDefault="00D5215A" w:rsidP="00D5215A">
            <w:pPr>
              <w:cnfStyle w:val="000000000000" w:firstRow="0" w:lastRow="0" w:firstColumn="0" w:lastColumn="0" w:oddVBand="0" w:evenVBand="0" w:oddHBand="0" w:evenHBand="0" w:firstRowFirstColumn="0" w:firstRowLastColumn="0" w:lastRowFirstColumn="0" w:lastRowLastColumn="0"/>
              <w:rPr>
                <w:sz w:val="20"/>
                <w:szCs w:val="20"/>
              </w:rPr>
            </w:pPr>
            <w:r w:rsidRPr="005730D3">
              <w:rPr>
                <w:sz w:val="20"/>
                <w:szCs w:val="20"/>
              </w:rPr>
              <w:t>NE</w:t>
            </w:r>
          </w:p>
          <w:p w:rsidR="00D5215A" w:rsidRPr="005730D3" w:rsidRDefault="00D5215A" w:rsidP="00D5215A">
            <w:pPr>
              <w:cnfStyle w:val="000000000000" w:firstRow="0" w:lastRow="0" w:firstColumn="0" w:lastColumn="0" w:oddVBand="0" w:evenVBand="0" w:oddHBand="0" w:evenHBand="0" w:firstRowFirstColumn="0" w:firstRowLastColumn="0" w:lastRowFirstColumn="0" w:lastRowLastColumn="0"/>
              <w:rPr>
                <w:sz w:val="20"/>
                <w:szCs w:val="20"/>
              </w:rPr>
            </w:pPr>
            <w:r w:rsidRPr="005730D3">
              <w:rPr>
                <w:sz w:val="20"/>
                <w:szCs w:val="20"/>
              </w:rPr>
              <w:t>(NE-NE)</w:t>
            </w:r>
          </w:p>
        </w:tc>
        <w:tc>
          <w:tcPr>
            <w:tcW w:w="2839" w:type="dxa"/>
          </w:tcPr>
          <w:p w:rsidR="00D5215A" w:rsidRPr="005730D3" w:rsidRDefault="00D5215A" w:rsidP="00D5215A">
            <w:pPr>
              <w:cnfStyle w:val="000000000000" w:firstRow="0" w:lastRow="0" w:firstColumn="0" w:lastColumn="0" w:oddVBand="0" w:evenVBand="0" w:oddHBand="0" w:evenHBand="0" w:firstRowFirstColumn="0" w:firstRowLastColumn="0" w:lastRowFirstColumn="0" w:lastRowLastColumn="0"/>
              <w:rPr>
                <w:sz w:val="20"/>
                <w:szCs w:val="20"/>
              </w:rPr>
            </w:pPr>
            <w:r w:rsidRPr="005730D3">
              <w:rPr>
                <w:sz w:val="20"/>
                <w:szCs w:val="20"/>
              </w:rPr>
              <w:t>35.29 m</w:t>
            </w:r>
            <w:r w:rsidR="00D553D3">
              <w:rPr>
                <w:sz w:val="20"/>
                <w:szCs w:val="20"/>
              </w:rPr>
              <w:t>on</w:t>
            </w:r>
            <w:r w:rsidRPr="005730D3">
              <w:rPr>
                <w:sz w:val="20"/>
                <w:szCs w:val="20"/>
              </w:rPr>
              <w:t>ths</w:t>
            </w:r>
          </w:p>
          <w:p w:rsidR="00D5215A" w:rsidRPr="005730D3" w:rsidRDefault="00D5215A" w:rsidP="00D5215A">
            <w:pPr>
              <w:cnfStyle w:val="000000000000" w:firstRow="0" w:lastRow="0" w:firstColumn="0" w:lastColumn="0" w:oddVBand="0" w:evenVBand="0" w:oddHBand="0" w:evenHBand="0" w:firstRowFirstColumn="0" w:firstRowLastColumn="0" w:lastRowFirstColumn="0" w:lastRowLastColumn="0"/>
              <w:rPr>
                <w:sz w:val="20"/>
                <w:szCs w:val="20"/>
              </w:rPr>
            </w:pPr>
            <w:r w:rsidRPr="005730D3">
              <w:rPr>
                <w:sz w:val="20"/>
                <w:szCs w:val="20"/>
              </w:rPr>
              <w:t>(31.24 – 35.29)</w:t>
            </w:r>
          </w:p>
        </w:tc>
      </w:tr>
      <w:tr w:rsidR="00D5215A" w:rsidRPr="00D5215A" w:rsidTr="005730D3">
        <w:tc>
          <w:tcPr>
            <w:cnfStyle w:val="001000000000" w:firstRow="0" w:lastRow="0" w:firstColumn="1" w:lastColumn="0" w:oddVBand="0" w:evenVBand="0" w:oddHBand="0" w:evenHBand="0" w:firstRowFirstColumn="0" w:firstRowLastColumn="0" w:lastRowFirstColumn="0" w:lastRowLastColumn="0"/>
            <w:tcW w:w="2943" w:type="dxa"/>
            <w:gridSpan w:val="2"/>
          </w:tcPr>
          <w:p w:rsidR="00D5215A" w:rsidRPr="005730D3" w:rsidRDefault="00D5215A" w:rsidP="00D5215A">
            <w:pPr>
              <w:rPr>
                <w:b/>
                <w:sz w:val="20"/>
                <w:szCs w:val="20"/>
              </w:rPr>
            </w:pPr>
            <w:r w:rsidRPr="005730D3">
              <w:rPr>
                <w:b/>
                <w:sz w:val="20"/>
                <w:szCs w:val="20"/>
              </w:rPr>
              <w:t>Median OS – Placebo</w:t>
            </w:r>
          </w:p>
          <w:p w:rsidR="00D5215A" w:rsidRPr="005730D3" w:rsidRDefault="00D5215A" w:rsidP="00D5215A">
            <w:pPr>
              <w:rPr>
                <w:b/>
                <w:sz w:val="20"/>
                <w:szCs w:val="20"/>
              </w:rPr>
            </w:pPr>
            <w:r w:rsidRPr="005730D3">
              <w:rPr>
                <w:b/>
                <w:sz w:val="20"/>
                <w:szCs w:val="20"/>
              </w:rPr>
              <w:t>(95% CI)</w:t>
            </w:r>
          </w:p>
        </w:tc>
        <w:tc>
          <w:tcPr>
            <w:tcW w:w="2734" w:type="dxa"/>
          </w:tcPr>
          <w:p w:rsidR="00D5215A" w:rsidRPr="005730D3" w:rsidRDefault="00D5215A" w:rsidP="00D5215A">
            <w:pPr>
              <w:cnfStyle w:val="000000000000" w:firstRow="0" w:lastRow="0" w:firstColumn="0" w:lastColumn="0" w:oddVBand="0" w:evenVBand="0" w:oddHBand="0" w:evenHBand="0" w:firstRowFirstColumn="0" w:firstRowLastColumn="0" w:lastRowFirstColumn="0" w:lastRowLastColumn="0"/>
              <w:rPr>
                <w:sz w:val="20"/>
                <w:szCs w:val="20"/>
              </w:rPr>
            </w:pPr>
            <w:r w:rsidRPr="005730D3">
              <w:rPr>
                <w:sz w:val="20"/>
                <w:szCs w:val="20"/>
              </w:rPr>
              <w:t>27.24 m</w:t>
            </w:r>
            <w:r w:rsidR="00D553D3">
              <w:rPr>
                <w:sz w:val="20"/>
                <w:szCs w:val="20"/>
              </w:rPr>
              <w:t>on</w:t>
            </w:r>
            <w:r w:rsidRPr="005730D3">
              <w:rPr>
                <w:sz w:val="20"/>
                <w:szCs w:val="20"/>
              </w:rPr>
              <w:t>ths</w:t>
            </w:r>
          </w:p>
          <w:p w:rsidR="00D5215A" w:rsidRPr="005730D3" w:rsidRDefault="00D5215A" w:rsidP="00D5215A">
            <w:pPr>
              <w:cnfStyle w:val="000000000000" w:firstRow="0" w:lastRow="0" w:firstColumn="0" w:lastColumn="0" w:oddVBand="0" w:evenVBand="0" w:oddHBand="0" w:evenHBand="0" w:firstRowFirstColumn="0" w:firstRowLastColumn="0" w:lastRowFirstColumn="0" w:lastRowLastColumn="0"/>
              <w:rPr>
                <w:sz w:val="20"/>
                <w:szCs w:val="20"/>
              </w:rPr>
            </w:pPr>
            <w:r w:rsidRPr="005730D3">
              <w:rPr>
                <w:sz w:val="20"/>
                <w:szCs w:val="20"/>
              </w:rPr>
              <w:t>(25.95 – NE)</w:t>
            </w:r>
          </w:p>
        </w:tc>
        <w:tc>
          <w:tcPr>
            <w:tcW w:w="2839" w:type="dxa"/>
          </w:tcPr>
          <w:p w:rsidR="00D5215A" w:rsidRPr="005730D3" w:rsidRDefault="00D5215A" w:rsidP="00D5215A">
            <w:pPr>
              <w:cnfStyle w:val="000000000000" w:firstRow="0" w:lastRow="0" w:firstColumn="0" w:lastColumn="0" w:oddVBand="0" w:evenVBand="0" w:oddHBand="0" w:evenHBand="0" w:firstRowFirstColumn="0" w:firstRowLastColumn="0" w:lastRowFirstColumn="0" w:lastRowLastColumn="0"/>
              <w:rPr>
                <w:sz w:val="20"/>
                <w:szCs w:val="20"/>
              </w:rPr>
            </w:pPr>
            <w:r w:rsidRPr="005730D3">
              <w:rPr>
                <w:sz w:val="20"/>
                <w:szCs w:val="20"/>
              </w:rPr>
              <w:t>30.13 m</w:t>
            </w:r>
            <w:r w:rsidR="00D553D3">
              <w:rPr>
                <w:sz w:val="20"/>
                <w:szCs w:val="20"/>
              </w:rPr>
              <w:t>on</w:t>
            </w:r>
            <w:r w:rsidRPr="005730D3">
              <w:rPr>
                <w:sz w:val="20"/>
                <w:szCs w:val="20"/>
              </w:rPr>
              <w:t>ths</w:t>
            </w:r>
          </w:p>
          <w:p w:rsidR="00D5215A" w:rsidRPr="005730D3" w:rsidRDefault="00D5215A" w:rsidP="00D5215A">
            <w:pPr>
              <w:cnfStyle w:val="000000000000" w:firstRow="0" w:lastRow="0" w:firstColumn="0" w:lastColumn="0" w:oddVBand="0" w:evenVBand="0" w:oddHBand="0" w:evenHBand="0" w:firstRowFirstColumn="0" w:firstRowLastColumn="0" w:lastRowFirstColumn="0" w:lastRowLastColumn="0"/>
              <w:rPr>
                <w:sz w:val="20"/>
                <w:szCs w:val="20"/>
              </w:rPr>
            </w:pPr>
            <w:r w:rsidRPr="005730D3">
              <w:rPr>
                <w:sz w:val="20"/>
                <w:szCs w:val="20"/>
              </w:rPr>
              <w:t>(27.30 – 34.10)</w:t>
            </w:r>
          </w:p>
        </w:tc>
      </w:tr>
    </w:tbl>
    <w:p w:rsidR="009A7800" w:rsidRPr="009A7800" w:rsidRDefault="009A7800" w:rsidP="00054068">
      <w:r w:rsidRPr="009A7800">
        <w:t xml:space="preserve">The results again showed a trend towards a survival benefit with abiraterone treatment. The hazard ratio for OS was 0.79 (95% CI: 0.655 – 0.956). Due to multiplicity of testing, the pre-specified statistical significance level for this analysis was p = 0.0035. The p-value obtained with the pre-specified log rank test was p = 0.0151, and hence the difference in OS was </w:t>
      </w:r>
      <w:r w:rsidRPr="00AD66CB">
        <w:rPr>
          <w:i/>
        </w:rPr>
        <w:t>not</w:t>
      </w:r>
      <w:r w:rsidRPr="009A7800">
        <w:t xml:space="preserve"> statistically significant. In the updated analysis the median survival was reached for the abiraterone group (35.29 months; 95%CI: 31.24 – 35.29).</w:t>
      </w:r>
    </w:p>
    <w:p w:rsidR="009A7800" w:rsidRPr="009A7800" w:rsidRDefault="009A7800" w:rsidP="00054068">
      <w:r w:rsidRPr="009A7800">
        <w:t xml:space="preserve">A subgroup analysis for OS again demonstrated consistent efficacy over all subgroups tested </w:t>
      </w:r>
      <w:r w:rsidR="00AD66CB">
        <w:t>with all hazard ratios being les</w:t>
      </w:r>
      <w:r w:rsidRPr="009A7800">
        <w:t>s than 1.0 (</w:t>
      </w:r>
      <w:r w:rsidR="00ED5AAB">
        <w:t>that is,</w:t>
      </w:r>
      <w:r w:rsidRPr="009A7800">
        <w:t xml:space="preserve"> in favour of the abiraterone group).</w:t>
      </w:r>
    </w:p>
    <w:p w:rsidR="009A7800" w:rsidRPr="009A7800" w:rsidRDefault="00AD66CB" w:rsidP="005730D3">
      <w:pPr>
        <w:ind w:left="993" w:hanging="993"/>
      </w:pPr>
      <w:r>
        <w:t>Comment:</w:t>
      </w:r>
      <w:r w:rsidR="005730D3">
        <w:t xml:space="preserve"> </w:t>
      </w:r>
      <w:r>
        <w:t xml:space="preserve">The </w:t>
      </w:r>
      <w:r w:rsidR="009A7800" w:rsidRPr="009A7800">
        <w:t>OS findings are essentially unchanged, with a non-significant trend in favour of abiraterone. Prior to the data cut-off of 22 May 2012 the sponsor had unblinded the study and patients who had been treated with placebo were offered abiraterone. As of the data cut-off, 14.4% of patients who had been randomised to placebo had received subsequent abiraterone treatment (compared with 10% on the previous analysis).</w:t>
      </w:r>
    </w:p>
    <w:p w:rsidR="009A7800" w:rsidRPr="009A7800" w:rsidRDefault="009A7800" w:rsidP="00054068">
      <w:r w:rsidRPr="009A7800">
        <w:rPr>
          <w:lang w:val="en-US"/>
        </w:rPr>
        <w:t>The final analysis of OS will be carried out when the number of death events reaches</w:t>
      </w:r>
      <w:r w:rsidR="00AD66CB">
        <w:rPr>
          <w:lang w:val="en-US"/>
        </w:rPr>
        <w:t xml:space="preserve"> </w:t>
      </w:r>
      <w:r w:rsidRPr="009A7800">
        <w:rPr>
          <w:lang w:val="en-US"/>
        </w:rPr>
        <w:t>773. The sponsor estimates this may occur sometime in 2014.</w:t>
      </w:r>
    </w:p>
    <w:p w:rsidR="009A7800" w:rsidRPr="009A7800" w:rsidRDefault="009A7800" w:rsidP="00054068">
      <w:pPr>
        <w:pStyle w:val="Heading3"/>
      </w:pPr>
      <w:bookmarkStart w:id="242" w:name="_Toc228789304"/>
      <w:bookmarkStart w:id="243" w:name="_Toc383006447"/>
      <w:r w:rsidRPr="009A7800">
        <w:t>Formulation used in Study 302</w:t>
      </w:r>
      <w:bookmarkEnd w:id="242"/>
      <w:bookmarkEnd w:id="243"/>
    </w:p>
    <w:p w:rsidR="009A7800" w:rsidRPr="009A7800" w:rsidRDefault="00054068" w:rsidP="00054068">
      <w:r>
        <w:t>T</w:t>
      </w:r>
      <w:r w:rsidR="009A7800" w:rsidRPr="009A7800">
        <w:t xml:space="preserve">he sponsor has provided an assurance that the formulation of abiraterone acetate used in </w:t>
      </w:r>
      <w:r w:rsidR="00AD66CB">
        <w:t>S</w:t>
      </w:r>
      <w:r w:rsidR="009A7800" w:rsidRPr="009A7800">
        <w:t>tudy 302 was identical to that currently marketed in Australia. This is acceptable.</w:t>
      </w:r>
    </w:p>
    <w:p w:rsidR="009A7800" w:rsidRPr="009A7800" w:rsidRDefault="009A7800" w:rsidP="00054068">
      <w:pPr>
        <w:pStyle w:val="Heading3"/>
      </w:pPr>
      <w:bookmarkStart w:id="244" w:name="_Toc228789305"/>
      <w:bookmarkStart w:id="245" w:name="_Toc383006448"/>
      <w:r w:rsidRPr="009A7800">
        <w:lastRenderedPageBreak/>
        <w:t>Coagulation parameters</w:t>
      </w:r>
      <w:bookmarkEnd w:id="244"/>
      <w:bookmarkEnd w:id="245"/>
    </w:p>
    <w:p w:rsidR="009A7800" w:rsidRPr="009A7800" w:rsidRDefault="009A7800" w:rsidP="00054068">
      <w:r w:rsidRPr="009A7800">
        <w:t xml:space="preserve">The sponsor provided summary data on coagulation testing (prothrombin tine, APTT and INR) done at screening and </w:t>
      </w:r>
      <w:r w:rsidR="00AD66CB">
        <w:t>D</w:t>
      </w:r>
      <w:r w:rsidRPr="009A7800">
        <w:t>ay 15 in study 302. The incidence of abnormal results was comparable in the two treatment arms.</w:t>
      </w:r>
    </w:p>
    <w:p w:rsidR="00C618F7" w:rsidRDefault="00C618F7" w:rsidP="00054068">
      <w:pPr>
        <w:pStyle w:val="Heading2"/>
      </w:pPr>
      <w:bookmarkStart w:id="246" w:name="_Toc383006449"/>
      <w:r>
        <w:t>Second round benefit-risk assessment</w:t>
      </w:r>
      <w:bookmarkEnd w:id="246"/>
    </w:p>
    <w:p w:rsidR="009A7800" w:rsidRDefault="009A7800" w:rsidP="00054068">
      <w:r>
        <w:t>The additional data provided in the sponsor’s response does not alter the benefit-risk assessment, which remains favourable.</w:t>
      </w:r>
    </w:p>
    <w:p w:rsidR="00C618F7" w:rsidRDefault="00C618F7" w:rsidP="00054068">
      <w:pPr>
        <w:pStyle w:val="Heading2"/>
      </w:pPr>
      <w:bookmarkStart w:id="247" w:name="_Toc383006450"/>
      <w:r>
        <w:t>Second round recommendation regarding authorisation</w:t>
      </w:r>
      <w:bookmarkEnd w:id="247"/>
    </w:p>
    <w:p w:rsidR="009A7800" w:rsidRDefault="009A7800" w:rsidP="00054068">
      <w:r>
        <w:t>It is recommended that the application be approved.</w:t>
      </w:r>
    </w:p>
    <w:bookmarkEnd w:id="3"/>
    <w:bookmarkEnd w:id="2"/>
    <w:bookmarkEnd w:id="1"/>
    <w:p w:rsidR="003D1E62" w:rsidRPr="001D043B" w:rsidRDefault="003D1E62" w:rsidP="00054068">
      <w:pPr>
        <w:sectPr w:rsidR="003D1E62" w:rsidRPr="001D043B" w:rsidSect="00B74A7B">
          <w:headerReference w:type="even" r:id="rId44"/>
          <w:headerReference w:type="default" r:id="rId45"/>
          <w:headerReference w:type="first" r:id="rId46"/>
          <w:footerReference w:type="first" r:id="rId47"/>
          <w:pgSz w:w="11906" w:h="16838" w:code="9"/>
          <w:pgMar w:top="1440" w:right="1440" w:bottom="1440" w:left="1440" w:header="907" w:footer="216" w:gutter="0"/>
          <w:cols w:space="708"/>
          <w:docGrid w:linePitch="360"/>
        </w:sectPr>
      </w:pPr>
    </w:p>
    <w:p w:rsidR="00774E1D" w:rsidRPr="008A5E0B" w:rsidRDefault="00774E1D" w:rsidP="00054068"/>
    <w:sectPr w:rsidR="00774E1D" w:rsidRPr="008A5E0B" w:rsidSect="008D770F">
      <w:headerReference w:type="even" r:id="rId48"/>
      <w:headerReference w:type="default" r:id="rId49"/>
      <w:footerReference w:type="default" r:id="rId50"/>
      <w:headerReference w:type="first" r:id="rId51"/>
      <w:footerReference w:type="first" r:id="rId52"/>
      <w:pgSz w:w="11906" w:h="16838" w:code="9"/>
      <w:pgMar w:top="1818" w:right="1701" w:bottom="1701" w:left="1701" w:header="90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47C5" w:rsidRDefault="009947C5" w:rsidP="00054068">
      <w:r>
        <w:separator/>
      </w:r>
    </w:p>
  </w:endnote>
  <w:endnote w:type="continuationSeparator" w:id="0">
    <w:p w:rsidR="009947C5" w:rsidRDefault="009947C5" w:rsidP="000540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435A" w:rsidRDefault="006F435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01" w:type="dxa"/>
      <w:tblLayout w:type="fixed"/>
      <w:tblCellMar>
        <w:top w:w="170" w:type="dxa"/>
        <w:left w:w="0" w:type="dxa"/>
        <w:bottom w:w="227" w:type="dxa"/>
        <w:right w:w="0" w:type="dxa"/>
      </w:tblCellMar>
      <w:tblLook w:val="04A0" w:firstRow="1" w:lastRow="0" w:firstColumn="1" w:lastColumn="0" w:noHBand="0" w:noVBand="1"/>
    </w:tblPr>
    <w:tblGrid>
      <w:gridCol w:w="8422"/>
      <w:gridCol w:w="979"/>
    </w:tblGrid>
    <w:tr w:rsidR="009947C5" w:rsidRPr="00487162" w:rsidTr="00D553D3">
      <w:trPr>
        <w:trHeight w:val="292"/>
      </w:trPr>
      <w:tc>
        <w:tcPr>
          <w:tcW w:w="8422" w:type="dxa"/>
          <w:tcMar>
            <w:top w:w="142" w:type="dxa"/>
            <w:bottom w:w="0" w:type="dxa"/>
          </w:tcMar>
        </w:tcPr>
        <w:p w:rsidR="009947C5" w:rsidRPr="00487162" w:rsidRDefault="009947C5" w:rsidP="007611EA">
          <w:pPr>
            <w:pStyle w:val="Footer"/>
          </w:pPr>
          <w:r>
            <w:t>Submission</w:t>
          </w:r>
          <w:r w:rsidRPr="00487162">
            <w:t xml:space="preserve"> PM</w:t>
          </w:r>
          <w:r w:rsidRPr="007611EA">
            <w:t>-2012-02706-3-4 Ex</w:t>
          </w:r>
          <w:r>
            <w:t xml:space="preserve">tract from the Clinical Evaluation Report for </w:t>
          </w:r>
          <w:proofErr w:type="spellStart"/>
          <w:r>
            <w:t>Zytiga</w:t>
          </w:r>
          <w:proofErr w:type="spellEnd"/>
        </w:p>
      </w:tc>
      <w:tc>
        <w:tcPr>
          <w:tcW w:w="979" w:type="dxa"/>
          <w:tcMar>
            <w:top w:w="142" w:type="dxa"/>
            <w:bottom w:w="0" w:type="dxa"/>
          </w:tcMar>
        </w:tcPr>
        <w:p w:rsidR="009947C5" w:rsidRPr="00487162" w:rsidRDefault="009947C5" w:rsidP="00054068">
          <w:pPr>
            <w:pStyle w:val="Footer"/>
          </w:pPr>
          <w:r w:rsidRPr="007611EA">
            <w:t xml:space="preserve">Page </w:t>
          </w:r>
          <w:r>
            <w:fldChar w:fldCharType="begin"/>
          </w:r>
          <w:r>
            <w:instrText>PAGE</w:instrText>
          </w:r>
          <w:r>
            <w:fldChar w:fldCharType="separate"/>
          </w:r>
          <w:r w:rsidR="00E85A6F">
            <w:rPr>
              <w:noProof/>
            </w:rPr>
            <w:t>ii</w:t>
          </w:r>
          <w:r>
            <w:rPr>
              <w:noProof/>
            </w:rPr>
            <w:fldChar w:fldCharType="end"/>
          </w:r>
          <w:r w:rsidRPr="007611EA">
            <w:t xml:space="preserve"> of </w:t>
          </w:r>
          <w:fldSimple w:instr=" NUMPAGES  \* Arabic ">
            <w:r w:rsidR="00E85A6F">
              <w:rPr>
                <w:noProof/>
              </w:rPr>
              <w:t>38</w:t>
            </w:r>
          </w:fldSimple>
        </w:p>
      </w:tc>
    </w:tr>
  </w:tbl>
  <w:p w:rsidR="009947C5" w:rsidRDefault="009947C5" w:rsidP="0005406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435A" w:rsidRDefault="006F435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9947C5" w:rsidRPr="00487162" w:rsidTr="00E45619">
      <w:trPr>
        <w:trHeight w:val="269"/>
      </w:trPr>
      <w:tc>
        <w:tcPr>
          <w:tcW w:w="4519" w:type="dxa"/>
          <w:tcBorders>
            <w:top w:val="single" w:sz="4" w:space="0" w:color="auto"/>
          </w:tcBorders>
          <w:tcMar>
            <w:top w:w="142" w:type="dxa"/>
            <w:bottom w:w="0" w:type="dxa"/>
          </w:tcMar>
        </w:tcPr>
        <w:p w:rsidR="009947C5" w:rsidRPr="00487162" w:rsidRDefault="009947C5" w:rsidP="00054068">
          <w:pPr>
            <w:pStyle w:val="Footer"/>
          </w:pPr>
          <w:r w:rsidRPr="00487162">
            <w:t>Document title, Part #, Section # - Section title</w:t>
          </w:r>
        </w:p>
        <w:p w:rsidR="009947C5" w:rsidRPr="00487162" w:rsidRDefault="009947C5" w:rsidP="00054068">
          <w:pPr>
            <w:pStyle w:val="Footer"/>
          </w:pPr>
          <w:r w:rsidRPr="00487162">
            <w:t>V1.0 October 2010</w:t>
          </w:r>
        </w:p>
      </w:tc>
      <w:tc>
        <w:tcPr>
          <w:tcW w:w="4342" w:type="dxa"/>
          <w:tcBorders>
            <w:top w:val="single" w:sz="4" w:space="0" w:color="auto"/>
          </w:tcBorders>
          <w:tcMar>
            <w:top w:w="142" w:type="dxa"/>
            <w:bottom w:w="0" w:type="dxa"/>
          </w:tcMar>
        </w:tcPr>
        <w:p w:rsidR="009947C5" w:rsidRPr="00487162" w:rsidRDefault="009947C5" w:rsidP="00054068">
          <w:pPr>
            <w:pStyle w:val="Footer"/>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fldSimple w:instr=" NUMPAGES  ">
            <w:r>
              <w:rPr>
                <w:noProof/>
              </w:rPr>
              <w:t>38</w:t>
            </w:r>
          </w:fldSimple>
        </w:p>
      </w:tc>
    </w:tr>
  </w:tbl>
  <w:p w:rsidR="009947C5" w:rsidRDefault="009947C5" w:rsidP="00054068">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b w:val="0"/>
        <w:sz w:val="16"/>
      </w:rPr>
      <w:id w:val="16144363"/>
      <w:docPartObj>
        <w:docPartGallery w:val="Page Numbers (Bottom of Page)"/>
        <w:docPartUnique/>
      </w:docPartObj>
    </w:sdtPr>
    <w:sdtEndPr/>
    <w:sdtContent>
      <w:sdt>
        <w:sdtPr>
          <w:rPr>
            <w:b w:val="0"/>
            <w:sz w:val="16"/>
          </w:rPr>
          <w:id w:val="16144364"/>
          <w:docPartObj>
            <w:docPartGallery w:val="Page Numbers (Top of Page)"/>
            <w:docPartUnique/>
          </w:docPartObj>
        </w:sdtPr>
        <w:sdtEndPr/>
        <w:sdtContent>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9947C5" w:rsidRPr="00487162" w:rsidTr="008D770F">
              <w:trPr>
                <w:trHeight w:hRule="exact" w:val="564"/>
              </w:trPr>
              <w:tc>
                <w:tcPr>
                  <w:tcW w:w="9175" w:type="dxa"/>
                </w:tcPr>
                <w:p w:rsidR="009947C5" w:rsidRPr="00487162" w:rsidRDefault="009947C5" w:rsidP="00054068">
                  <w:pPr>
                    <w:pStyle w:val="TGASignoff"/>
                  </w:pPr>
                  <w:r w:rsidRPr="00487162">
                    <w:t>Therapeutic Goods Administration</w:t>
                  </w:r>
                </w:p>
              </w:tc>
            </w:tr>
            <w:tr w:rsidR="009947C5" w:rsidRPr="00487162" w:rsidTr="00E45619">
              <w:trPr>
                <w:trHeight w:val="1221"/>
              </w:trPr>
              <w:tc>
                <w:tcPr>
                  <w:tcW w:w="9175" w:type="dxa"/>
                  <w:tcMar>
                    <w:top w:w="28" w:type="dxa"/>
                  </w:tcMar>
                </w:tcPr>
                <w:p w:rsidR="009947C5" w:rsidRPr="00487162" w:rsidRDefault="009947C5" w:rsidP="00054068">
                  <w:pPr>
                    <w:pStyle w:val="Address"/>
                  </w:pPr>
                  <w:r w:rsidRPr="00487162">
                    <w:t>PO Box 100 Woden ACT 2606 Australia</w:t>
                  </w:r>
                </w:p>
                <w:p w:rsidR="009947C5" w:rsidRPr="00487162" w:rsidRDefault="009947C5" w:rsidP="00054068">
                  <w:pPr>
                    <w:pStyle w:val="Address"/>
                  </w:pPr>
                  <w:r w:rsidRPr="00487162">
                    <w:t xml:space="preserve">Email: </w:t>
                  </w:r>
                  <w:hyperlink r:id="rId1" w:history="1">
                    <w:r w:rsidRPr="008D770F">
                      <w:rPr>
                        <w:rStyle w:val="Hyperlink"/>
                      </w:rPr>
                      <w:t>info@tga.gov.au</w:t>
                    </w:r>
                  </w:hyperlink>
                  <w:r w:rsidRPr="00487162">
                    <w:t xml:space="preserve">  Phone: 1800 020 653  Fax: 02 6232 8605</w:t>
                  </w:r>
                </w:p>
                <w:p w:rsidR="009947C5" w:rsidRPr="008D770F" w:rsidRDefault="00E85A6F" w:rsidP="00054068">
                  <w:pPr>
                    <w:pStyle w:val="Address"/>
                    <w:rPr>
                      <w:b/>
                      <w:color w:val="0000FF"/>
                      <w:u w:val="single"/>
                    </w:rPr>
                  </w:pPr>
                  <w:hyperlink r:id="rId2" w:history="1">
                    <w:r w:rsidR="009947C5" w:rsidRPr="007C06C7">
                      <w:rPr>
                        <w:rStyle w:val="Hyperlink"/>
                        <w:b/>
                      </w:rPr>
                      <w:t>http://www.tga.gov.au</w:t>
                    </w:r>
                  </w:hyperlink>
                </w:p>
              </w:tc>
            </w:tr>
          </w:tbl>
          <w:p w:rsidR="009947C5" w:rsidRDefault="00E85A6F" w:rsidP="00054068">
            <w:pPr>
              <w:pStyle w:val="Notes"/>
            </w:pPr>
          </w:p>
        </w:sdtContent>
      </w:sdt>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9947C5" w:rsidTr="0010601F">
      <w:trPr>
        <w:trHeight w:val="108"/>
      </w:trPr>
      <w:tc>
        <w:tcPr>
          <w:tcW w:w="8875" w:type="dxa"/>
          <w:gridSpan w:val="2"/>
          <w:tcBorders>
            <w:bottom w:val="single" w:sz="4" w:space="0" w:color="auto"/>
          </w:tcBorders>
          <w:tcMar>
            <w:right w:w="284" w:type="dxa"/>
          </w:tcMar>
        </w:tcPr>
        <w:p w:rsidR="009947C5" w:rsidRDefault="009947C5" w:rsidP="00054068">
          <w:pPr>
            <w:pStyle w:val="Heading3"/>
          </w:pPr>
          <w:r>
            <w:t>Copyright</w:t>
          </w:r>
        </w:p>
        <w:p w:rsidR="009947C5" w:rsidRDefault="009947C5" w:rsidP="00054068">
          <w:r>
            <w:rPr>
              <w:rFonts w:cs="Arial"/>
            </w:rPr>
            <w:t>©</w:t>
          </w:r>
          <w:r>
            <w:t xml:space="preserve"> Commonwealth of Australia [add year]</w:t>
          </w:r>
        </w:p>
        <w:p w:rsidR="009947C5" w:rsidRDefault="009947C5" w:rsidP="00054068"/>
        <w:p w:rsidR="009947C5" w:rsidRDefault="009947C5" w:rsidP="00054068">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9947C5" w:rsidRDefault="009947C5" w:rsidP="00054068"/>
        <w:p w:rsidR="009947C5" w:rsidRDefault="009947C5" w:rsidP="00054068">
          <w:pPr>
            <w:pStyle w:val="Heading3"/>
          </w:pPr>
          <w:r>
            <w:t>Confidentiality</w:t>
          </w:r>
        </w:p>
        <w:p w:rsidR="009947C5" w:rsidRDefault="009947C5" w:rsidP="00054068">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9947C5" w:rsidRDefault="009947C5" w:rsidP="00054068"/>
        <w:p w:rsidR="009947C5" w:rsidRDefault="009947C5" w:rsidP="00054068">
          <w:r>
            <w:t>For submission made by individuals, all personal details, other than your name, will be removed from your submission before it is published on the TGA’s Internet site.</w:t>
          </w:r>
        </w:p>
        <w:p w:rsidR="009947C5" w:rsidRDefault="009947C5" w:rsidP="00054068"/>
        <w:p w:rsidR="009947C5" w:rsidRDefault="009947C5" w:rsidP="00054068">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9947C5" w:rsidTr="0010601F">
      <w:trPr>
        <w:trHeight w:val="417"/>
      </w:trPr>
      <w:tc>
        <w:tcPr>
          <w:tcW w:w="4519" w:type="dxa"/>
          <w:tcBorders>
            <w:top w:val="single" w:sz="4" w:space="0" w:color="auto"/>
          </w:tcBorders>
          <w:tcMar>
            <w:top w:w="142" w:type="dxa"/>
            <w:bottom w:w="0" w:type="dxa"/>
          </w:tcMar>
        </w:tcPr>
        <w:p w:rsidR="009947C5" w:rsidRDefault="009947C5" w:rsidP="00054068">
          <w:r>
            <w:t>Document title, Part #, Section # - Section title</w:t>
          </w:r>
        </w:p>
        <w:p w:rsidR="009947C5" w:rsidRDefault="009947C5" w:rsidP="00054068">
          <w:r>
            <w:t>V1.0 October 2010</w:t>
          </w:r>
        </w:p>
      </w:tc>
      <w:tc>
        <w:tcPr>
          <w:tcW w:w="4356" w:type="dxa"/>
          <w:tcBorders>
            <w:top w:val="single" w:sz="4" w:space="0" w:color="auto"/>
          </w:tcBorders>
          <w:tcMar>
            <w:top w:w="142" w:type="dxa"/>
            <w:bottom w:w="0" w:type="dxa"/>
          </w:tcMar>
        </w:tcPr>
        <w:p w:rsidR="009947C5" w:rsidRDefault="009947C5" w:rsidP="00054068">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w:r>
              <w:rPr>
                <w:noProof/>
              </w:rPr>
              <w:t>38</w:t>
            </w:r>
          </w:fldSimple>
          <w:r>
            <w:t xml:space="preserve">  </w:t>
          </w:r>
        </w:p>
      </w:tc>
    </w:tr>
  </w:tbl>
  <w:p w:rsidR="009947C5" w:rsidRDefault="009947C5" w:rsidP="0005406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47C5" w:rsidRDefault="009947C5" w:rsidP="00054068">
      <w:r>
        <w:separator/>
      </w:r>
    </w:p>
  </w:footnote>
  <w:footnote w:type="continuationSeparator" w:id="0">
    <w:p w:rsidR="009947C5" w:rsidRDefault="009947C5" w:rsidP="00054068">
      <w:r>
        <w:continuationSeparator/>
      </w:r>
    </w:p>
  </w:footnote>
  <w:footnote w:id="1">
    <w:p w:rsidR="009947C5" w:rsidRDefault="009947C5" w:rsidP="00054068">
      <w:pPr>
        <w:pStyle w:val="FootnoteText"/>
        <w:ind w:left="142" w:hanging="142"/>
      </w:pPr>
      <w:r>
        <w:rPr>
          <w:rStyle w:val="FootnoteReference"/>
        </w:rPr>
        <w:footnoteRef/>
      </w:r>
      <w:r>
        <w:t xml:space="preserve"> </w:t>
      </w:r>
      <w:proofErr w:type="spellStart"/>
      <w:r w:rsidRPr="00AD66CB">
        <w:t>Scher</w:t>
      </w:r>
      <w:proofErr w:type="spellEnd"/>
      <w:r w:rsidRPr="00AD66CB">
        <w:t xml:space="preserve"> HI, </w:t>
      </w:r>
      <w:proofErr w:type="spellStart"/>
      <w:r w:rsidRPr="00AD66CB">
        <w:t>Halabi</w:t>
      </w:r>
      <w:proofErr w:type="spellEnd"/>
      <w:r w:rsidRPr="00AD66CB">
        <w:t xml:space="preserve"> s, </w:t>
      </w:r>
      <w:proofErr w:type="spellStart"/>
      <w:r w:rsidRPr="00AD66CB">
        <w:t>Tannock</w:t>
      </w:r>
      <w:proofErr w:type="spellEnd"/>
      <w:r w:rsidRPr="00AD66CB">
        <w:t xml:space="preserve"> I et al. Design and End Points of Clinical Trials for Patients </w:t>
      </w:r>
      <w:proofErr w:type="gramStart"/>
      <w:r w:rsidRPr="00AD66CB">
        <w:t>With</w:t>
      </w:r>
      <w:proofErr w:type="gramEnd"/>
      <w:r w:rsidRPr="00AD66CB">
        <w:t xml:space="preserve"> Progressive Prostate Cancer and Castrate Levels of Testosterone: Recommendations of the Prostate Cancer Clinical Trials Working Group. </w:t>
      </w:r>
      <w:proofErr w:type="gramStart"/>
      <w:r w:rsidRPr="00AD66CB">
        <w:t xml:space="preserve">J </w:t>
      </w:r>
      <w:proofErr w:type="spellStart"/>
      <w:r w:rsidRPr="00AD66CB">
        <w:t>Clin</w:t>
      </w:r>
      <w:proofErr w:type="spellEnd"/>
      <w:r w:rsidRPr="00AD66CB">
        <w:t xml:space="preserve"> </w:t>
      </w:r>
      <w:proofErr w:type="spellStart"/>
      <w:r w:rsidRPr="00AD66CB">
        <w:t>Oncol</w:t>
      </w:r>
      <w:proofErr w:type="spellEnd"/>
      <w:r w:rsidRPr="00AD66CB">
        <w:t xml:space="preserve"> 2008.</w:t>
      </w:r>
      <w:proofErr w:type="gramEnd"/>
      <w:r w:rsidRPr="00AD66CB">
        <w:t xml:space="preserve"> 26(7): 1148-1159.</w:t>
      </w:r>
    </w:p>
  </w:footnote>
  <w:footnote w:id="2">
    <w:p w:rsidR="009947C5" w:rsidRDefault="009947C5" w:rsidP="00054068">
      <w:pPr>
        <w:pStyle w:val="FootnoteText"/>
        <w:ind w:left="142" w:hanging="142"/>
      </w:pPr>
      <w:r>
        <w:rPr>
          <w:rStyle w:val="FootnoteReference"/>
        </w:rPr>
        <w:footnoteRef/>
      </w:r>
      <w:r>
        <w:t xml:space="preserve"> </w:t>
      </w:r>
      <w:proofErr w:type="spellStart"/>
      <w:proofErr w:type="gramStart"/>
      <w:r w:rsidRPr="00AD66CB">
        <w:t>Therasse</w:t>
      </w:r>
      <w:proofErr w:type="spellEnd"/>
      <w:r w:rsidRPr="00AD66CB">
        <w:t xml:space="preserve"> P, </w:t>
      </w:r>
      <w:proofErr w:type="spellStart"/>
      <w:r w:rsidRPr="00AD66CB">
        <w:t>Arbuck</w:t>
      </w:r>
      <w:proofErr w:type="spellEnd"/>
      <w:r w:rsidRPr="00AD66CB">
        <w:t xml:space="preserve"> SG, </w:t>
      </w:r>
      <w:proofErr w:type="spellStart"/>
      <w:r w:rsidRPr="00AD66CB">
        <w:t>Eisenhauer</w:t>
      </w:r>
      <w:proofErr w:type="spellEnd"/>
      <w:r w:rsidRPr="00AD66CB">
        <w:t xml:space="preserve"> EA et al; New Guidelines to Evaluate the Response to Treatment in Solid Tumours.</w:t>
      </w:r>
      <w:proofErr w:type="gramEnd"/>
      <w:r w:rsidRPr="00AD66CB">
        <w:t xml:space="preserve"> </w:t>
      </w:r>
      <w:proofErr w:type="gramStart"/>
      <w:r w:rsidRPr="00AD66CB">
        <w:t xml:space="preserve">J </w:t>
      </w:r>
      <w:proofErr w:type="spellStart"/>
      <w:r w:rsidRPr="00AD66CB">
        <w:t>Natl</w:t>
      </w:r>
      <w:proofErr w:type="spellEnd"/>
      <w:r w:rsidRPr="00AD66CB">
        <w:t xml:space="preserve"> Cancer </w:t>
      </w:r>
      <w:proofErr w:type="spellStart"/>
      <w:r w:rsidRPr="00AD66CB">
        <w:t>Inst</w:t>
      </w:r>
      <w:proofErr w:type="spellEnd"/>
      <w:r w:rsidRPr="00AD66CB">
        <w:t xml:space="preserve"> 2000.</w:t>
      </w:r>
      <w:proofErr w:type="gramEnd"/>
      <w:r w:rsidRPr="00AD66CB">
        <w:t xml:space="preserve"> 92(3): 205-216.</w:t>
      </w:r>
    </w:p>
  </w:footnote>
  <w:footnote w:id="3">
    <w:p w:rsidR="009947C5" w:rsidRPr="008812F1" w:rsidRDefault="009947C5" w:rsidP="005730D3">
      <w:pPr>
        <w:pStyle w:val="FootnoteText"/>
        <w:keepNext/>
        <w:rPr>
          <w:bCs/>
        </w:rPr>
      </w:pPr>
      <w:r>
        <w:rPr>
          <w:rStyle w:val="FootnoteReference"/>
        </w:rPr>
        <w:footnoteRef/>
      </w:r>
      <w:r>
        <w:t xml:space="preserve"> </w:t>
      </w:r>
      <w:r w:rsidRPr="008812F1">
        <w:rPr>
          <w:bCs/>
        </w:rPr>
        <w:t>Pivotal study 302 - Criteria for radiographic progression</w:t>
      </w:r>
    </w:p>
    <w:p w:rsidR="009947C5" w:rsidRPr="00ED1E89" w:rsidRDefault="009947C5" w:rsidP="005730D3">
      <w:pPr>
        <w:pStyle w:val="FootnoteText"/>
        <w:keepNext/>
        <w:rPr>
          <w:lang w:val="en-US"/>
        </w:rPr>
      </w:pPr>
      <w:r w:rsidRPr="00ED1E89">
        <w:rPr>
          <w:lang w:val="en-US"/>
        </w:rPr>
        <w:t xml:space="preserve">A patient is considered to have progressed by </w:t>
      </w:r>
      <w:r w:rsidRPr="00ED1E89">
        <w:rPr>
          <w:u w:val="single"/>
          <w:lang w:val="en-US"/>
        </w:rPr>
        <w:t>bone scan</w:t>
      </w:r>
      <w:r w:rsidRPr="00ED1E89">
        <w:rPr>
          <w:lang w:val="en-US"/>
        </w:rPr>
        <w:t xml:space="preserve"> if:</w:t>
      </w:r>
    </w:p>
    <w:p w:rsidR="009947C5" w:rsidRPr="008812F1" w:rsidRDefault="009947C5" w:rsidP="008812F1">
      <w:pPr>
        <w:pStyle w:val="Numberbullet2"/>
        <w:spacing w:before="0" w:after="0" w:line="240" w:lineRule="auto"/>
        <w:ind w:left="567" w:hanging="425"/>
        <w:rPr>
          <w:sz w:val="18"/>
          <w:szCs w:val="18"/>
          <w:lang w:val="en-US"/>
        </w:rPr>
      </w:pPr>
      <w:r w:rsidRPr="008812F1">
        <w:rPr>
          <w:sz w:val="18"/>
          <w:szCs w:val="18"/>
          <w:lang w:val="en-US"/>
        </w:rPr>
        <w:t>The first bone scan with ≥ 2 new lesions compared to baseline is observed &lt;12 weeks from randomization and is confirmed by a second bone scan taken ≥6 weeks later showing ≥ 2 additional new lesions (a total of ≥ 4 new lesions compared to baseline);</w:t>
      </w:r>
    </w:p>
    <w:p w:rsidR="009947C5" w:rsidRPr="008812F1" w:rsidRDefault="009947C5" w:rsidP="008812F1">
      <w:pPr>
        <w:pStyle w:val="Numberbullet2"/>
        <w:spacing w:before="0" w:after="0" w:line="240" w:lineRule="auto"/>
        <w:ind w:left="567" w:hanging="425"/>
        <w:rPr>
          <w:sz w:val="18"/>
          <w:szCs w:val="18"/>
          <w:lang w:val="en-US"/>
        </w:rPr>
      </w:pPr>
      <w:r w:rsidRPr="008812F1">
        <w:rPr>
          <w:sz w:val="18"/>
          <w:szCs w:val="18"/>
          <w:lang w:val="en-US"/>
        </w:rPr>
        <w:t>The first bone scan with ≥2 new lesions compared to baseline is observed ≥12 weeks from randomization and the new lesions are verified on the next bone scan ≥6 weeks later (a total of ≥2 new lesions compared to baseline).</w:t>
      </w:r>
    </w:p>
    <w:p w:rsidR="009947C5" w:rsidRDefault="009947C5" w:rsidP="005730D3">
      <w:pPr>
        <w:pStyle w:val="FootnoteText"/>
        <w:keepNext/>
      </w:pPr>
      <w:r w:rsidRPr="00ED1E89">
        <w:rPr>
          <w:lang w:val="en-US"/>
        </w:rPr>
        <w:t xml:space="preserve">Progression of soft tissue lesions measured by </w:t>
      </w:r>
      <w:r w:rsidRPr="00ED1E89">
        <w:rPr>
          <w:u w:val="single"/>
          <w:lang w:val="en-US"/>
        </w:rPr>
        <w:t>CT or MRI</w:t>
      </w:r>
      <w:r w:rsidRPr="00ED1E89">
        <w:rPr>
          <w:lang w:val="en-US"/>
        </w:rPr>
        <w:t xml:space="preserve"> as defined in modified RECIST criteria.</w:t>
      </w:r>
    </w:p>
  </w:footnote>
  <w:footnote w:id="4">
    <w:p w:rsidR="009947C5" w:rsidRPr="008812F1" w:rsidRDefault="009947C5" w:rsidP="008812F1">
      <w:pPr>
        <w:pStyle w:val="FootnoteText"/>
      </w:pPr>
      <w:r>
        <w:rPr>
          <w:rStyle w:val="FootnoteReference"/>
        </w:rPr>
        <w:footnoteRef/>
      </w:r>
      <w:r>
        <w:t xml:space="preserve"> </w:t>
      </w:r>
      <w:proofErr w:type="gramStart"/>
      <w:r w:rsidRPr="008812F1">
        <w:t>ECOG Performance Status.</w:t>
      </w:r>
      <w:proofErr w:type="gramEnd"/>
      <w:r w:rsidRPr="008812F1">
        <w:t xml:space="preserve"> The Eastern Cooperative Oncology Group (ECOG) has developed criteria used by doctors and researchers to assess how a patient's disease is progressing, assess how the disease affects the daily living abilities of the patient, and determine appropriate treatment and prognosis. The following are used: </w:t>
      </w:r>
    </w:p>
    <w:p w:rsidR="009947C5" w:rsidRPr="008812F1" w:rsidRDefault="009947C5" w:rsidP="008812F1">
      <w:pPr>
        <w:pStyle w:val="FootnoteText"/>
        <w:ind w:left="142"/>
      </w:pPr>
      <w:r w:rsidRPr="008812F1">
        <w:t>0 - Fully active, able to carry on all pre-disease performance without restriction</w:t>
      </w:r>
    </w:p>
    <w:p w:rsidR="009947C5" w:rsidRPr="008812F1" w:rsidRDefault="009947C5" w:rsidP="008812F1">
      <w:pPr>
        <w:pStyle w:val="FootnoteText"/>
        <w:ind w:left="142"/>
      </w:pPr>
      <w:r w:rsidRPr="008812F1">
        <w:t>1- Restricted in physically strenuous activity but ambulatory and able to carry out work of a light or sedentary nature, e.g., light house work, office work</w:t>
      </w:r>
    </w:p>
    <w:p w:rsidR="009947C5" w:rsidRPr="008812F1" w:rsidRDefault="009947C5" w:rsidP="008812F1">
      <w:pPr>
        <w:pStyle w:val="FootnoteText"/>
        <w:ind w:left="142"/>
      </w:pPr>
      <w:r w:rsidRPr="008812F1">
        <w:t xml:space="preserve">2 - Ambulatory and capable of all </w:t>
      </w:r>
      <w:proofErr w:type="spellStart"/>
      <w:r w:rsidRPr="008812F1">
        <w:t>selfcare</w:t>
      </w:r>
      <w:proofErr w:type="spellEnd"/>
      <w:r w:rsidRPr="008812F1">
        <w:t xml:space="preserve"> but unable to carry out any work activities. Up and about more than 50% of waking hours</w:t>
      </w:r>
    </w:p>
    <w:p w:rsidR="009947C5" w:rsidRPr="008812F1" w:rsidRDefault="009947C5" w:rsidP="008812F1">
      <w:pPr>
        <w:pStyle w:val="FootnoteText"/>
        <w:ind w:left="142"/>
      </w:pPr>
      <w:r w:rsidRPr="008812F1">
        <w:t xml:space="preserve">3 - Capable of only limited </w:t>
      </w:r>
      <w:proofErr w:type="spellStart"/>
      <w:r w:rsidRPr="008812F1">
        <w:t>selfcare</w:t>
      </w:r>
      <w:proofErr w:type="spellEnd"/>
      <w:r w:rsidRPr="008812F1">
        <w:t>, confined to bed or chair more than 50% of waking hours</w:t>
      </w:r>
    </w:p>
    <w:p w:rsidR="009947C5" w:rsidRPr="008812F1" w:rsidRDefault="009947C5" w:rsidP="008812F1">
      <w:pPr>
        <w:pStyle w:val="FootnoteText"/>
        <w:ind w:left="142"/>
      </w:pPr>
      <w:r w:rsidRPr="008812F1">
        <w:t xml:space="preserve">4 - Completely disabled. </w:t>
      </w:r>
      <w:proofErr w:type="gramStart"/>
      <w:r w:rsidRPr="008812F1">
        <w:t xml:space="preserve">Cannot carry on any </w:t>
      </w:r>
      <w:proofErr w:type="spellStart"/>
      <w:r w:rsidRPr="008812F1">
        <w:t>selfcare</w:t>
      </w:r>
      <w:proofErr w:type="spellEnd"/>
      <w:r w:rsidRPr="008812F1">
        <w:t>.</w:t>
      </w:r>
      <w:proofErr w:type="gramEnd"/>
      <w:r w:rsidRPr="008812F1">
        <w:t xml:space="preserve"> Totally confined to bed or chair</w:t>
      </w:r>
    </w:p>
    <w:p w:rsidR="009947C5" w:rsidRPr="008812F1" w:rsidRDefault="009947C5" w:rsidP="008812F1">
      <w:pPr>
        <w:pStyle w:val="FootnoteText"/>
        <w:ind w:left="142"/>
      </w:pPr>
      <w:r w:rsidRPr="008812F1">
        <w:t>5 – Dead</w:t>
      </w:r>
    </w:p>
  </w:footnote>
  <w:footnote w:id="5">
    <w:p w:rsidR="009947C5" w:rsidRPr="008812F1" w:rsidRDefault="009947C5" w:rsidP="008812F1">
      <w:pPr>
        <w:pStyle w:val="FootnoteText"/>
      </w:pPr>
      <w:r w:rsidRPr="008812F1">
        <w:rPr>
          <w:rStyle w:val="FootnoteReference"/>
        </w:rPr>
        <w:footnoteRef/>
      </w:r>
      <w:r w:rsidRPr="008812F1">
        <w:t xml:space="preserve"> </w:t>
      </w:r>
      <w:proofErr w:type="gramStart"/>
      <w:r w:rsidRPr="008812F1">
        <w:t>European Medicines Agency.</w:t>
      </w:r>
      <w:proofErr w:type="gramEnd"/>
      <w:r w:rsidRPr="008812F1">
        <w:t xml:space="preserve"> </w:t>
      </w:r>
      <w:proofErr w:type="gramStart"/>
      <w:r w:rsidRPr="008812F1">
        <w:t>Guideline on the Evaluation of Anticancer Medicinal Products in Man (CPMP</w:t>
      </w:r>
      <w:r w:rsidR="008812F1" w:rsidRPr="008812F1">
        <w:t>/EWP/205/95/Rev.3/Corr.); 2005.</w:t>
      </w:r>
      <w:proofErr w:type="gramEnd"/>
    </w:p>
  </w:footnote>
  <w:footnote w:id="6">
    <w:p w:rsidR="009947C5" w:rsidRPr="008812F1" w:rsidRDefault="009947C5" w:rsidP="008812F1">
      <w:pPr>
        <w:pStyle w:val="FootnoteText"/>
      </w:pPr>
      <w:r w:rsidRPr="008812F1">
        <w:rPr>
          <w:rStyle w:val="FootnoteReference"/>
        </w:rPr>
        <w:footnoteRef/>
      </w:r>
      <w:r w:rsidRPr="008812F1">
        <w:t xml:space="preserve"> </w:t>
      </w:r>
      <w:proofErr w:type="gramStart"/>
      <w:r w:rsidRPr="008812F1">
        <w:t>European Medicines Agency.</w:t>
      </w:r>
      <w:proofErr w:type="gramEnd"/>
      <w:r w:rsidRPr="008812F1">
        <w:t xml:space="preserve"> Appendix 1 </w:t>
      </w:r>
      <w:proofErr w:type="gramStart"/>
      <w:r w:rsidRPr="008812F1">
        <w:t>To</w:t>
      </w:r>
      <w:proofErr w:type="gramEnd"/>
      <w:r w:rsidRPr="008812F1">
        <w:t xml:space="preserve"> The Guideline On The Evaluation of Anticancer Medicinal Products In Man:  Methodological Considerations For Using Progression-Free Survival (PFS) As Primary Endpoint In Confirmatory Trials For Registration (EMEA/CHMP/EWP/27994/2008); 2008</w:t>
      </w:r>
      <w:r w:rsidR="008812F1" w:rsidRPr="008812F1">
        <w:t>.</w:t>
      </w:r>
    </w:p>
  </w:footnote>
  <w:footnote w:id="7">
    <w:p w:rsidR="009947C5" w:rsidRPr="008812F1" w:rsidRDefault="009947C5" w:rsidP="008812F1">
      <w:pPr>
        <w:pStyle w:val="FootnoteText"/>
      </w:pPr>
      <w:r>
        <w:rPr>
          <w:rStyle w:val="FootnoteReference"/>
        </w:rPr>
        <w:footnoteRef/>
      </w:r>
      <w:r>
        <w:t xml:space="preserve"> </w:t>
      </w:r>
      <w:proofErr w:type="spellStart"/>
      <w:r w:rsidRPr="008812F1">
        <w:t>Scher</w:t>
      </w:r>
      <w:proofErr w:type="spellEnd"/>
      <w:r w:rsidRPr="008812F1">
        <w:t xml:space="preserve"> HI, Morris MJ, Kelly WK. Prostate Cancer Clinical Trial End Points: “</w:t>
      </w:r>
      <w:proofErr w:type="spellStart"/>
      <w:r w:rsidRPr="008812F1">
        <w:t>RECIST”ing</w:t>
      </w:r>
      <w:proofErr w:type="spellEnd"/>
      <w:r w:rsidRPr="008812F1">
        <w:t xml:space="preserve"> a Step Backwards. </w:t>
      </w:r>
      <w:proofErr w:type="spellStart"/>
      <w:r w:rsidRPr="008812F1">
        <w:t>Clin</w:t>
      </w:r>
      <w:proofErr w:type="spellEnd"/>
      <w:r w:rsidRPr="008812F1">
        <w:t xml:space="preserve"> Cancer Research 2005; 11:5223-5232.</w:t>
      </w:r>
    </w:p>
  </w:footnote>
  <w:footnote w:id="8">
    <w:p w:rsidR="009947C5" w:rsidRPr="008812F1" w:rsidRDefault="009947C5" w:rsidP="008812F1">
      <w:pPr>
        <w:pStyle w:val="FootnoteText"/>
      </w:pPr>
      <w:r w:rsidRPr="008812F1">
        <w:rPr>
          <w:rStyle w:val="FootnoteReference"/>
        </w:rPr>
        <w:footnoteRef/>
      </w:r>
      <w:r w:rsidRPr="008812F1">
        <w:t xml:space="preserve"> </w:t>
      </w:r>
      <w:proofErr w:type="spellStart"/>
      <w:proofErr w:type="gramStart"/>
      <w:r w:rsidRPr="008812F1">
        <w:t>Therasse</w:t>
      </w:r>
      <w:proofErr w:type="spellEnd"/>
      <w:r w:rsidRPr="008812F1">
        <w:t xml:space="preserve"> P, </w:t>
      </w:r>
      <w:proofErr w:type="spellStart"/>
      <w:r w:rsidRPr="008812F1">
        <w:t>Arbuck</w:t>
      </w:r>
      <w:proofErr w:type="spellEnd"/>
      <w:r w:rsidRPr="008812F1">
        <w:t xml:space="preserve"> SG, </w:t>
      </w:r>
      <w:proofErr w:type="spellStart"/>
      <w:r w:rsidRPr="008812F1">
        <w:t>Eisenhauer</w:t>
      </w:r>
      <w:proofErr w:type="spellEnd"/>
      <w:r w:rsidRPr="008812F1">
        <w:t xml:space="preserve"> EA et al; New Guidelines to Evaluate the Response to Treatment in Solid Tumours.</w:t>
      </w:r>
      <w:proofErr w:type="gramEnd"/>
      <w:r w:rsidRPr="008812F1">
        <w:t xml:space="preserve"> </w:t>
      </w:r>
      <w:proofErr w:type="gramStart"/>
      <w:r w:rsidRPr="008812F1">
        <w:t xml:space="preserve">J </w:t>
      </w:r>
      <w:proofErr w:type="spellStart"/>
      <w:r w:rsidRPr="008812F1">
        <w:t>Natl</w:t>
      </w:r>
      <w:proofErr w:type="spellEnd"/>
      <w:r w:rsidRPr="008812F1">
        <w:t xml:space="preserve"> Cancer </w:t>
      </w:r>
      <w:proofErr w:type="spellStart"/>
      <w:r w:rsidRPr="008812F1">
        <w:t>Inst</w:t>
      </w:r>
      <w:proofErr w:type="spellEnd"/>
      <w:r w:rsidRPr="008812F1">
        <w:t xml:space="preserve"> 2000.</w:t>
      </w:r>
      <w:proofErr w:type="gramEnd"/>
      <w:r w:rsidRPr="008812F1">
        <w:t xml:space="preserve"> 92(3): 205-216.</w:t>
      </w:r>
    </w:p>
  </w:footnote>
  <w:footnote w:id="9">
    <w:p w:rsidR="009947C5" w:rsidRPr="008812F1" w:rsidRDefault="009947C5" w:rsidP="008812F1">
      <w:pPr>
        <w:pStyle w:val="FootnoteText"/>
      </w:pPr>
      <w:r w:rsidRPr="008812F1">
        <w:rPr>
          <w:rStyle w:val="FootnoteReference"/>
        </w:rPr>
        <w:footnoteRef/>
      </w:r>
      <w:r w:rsidRPr="008812F1">
        <w:t xml:space="preserve"> </w:t>
      </w:r>
      <w:proofErr w:type="spellStart"/>
      <w:r w:rsidRPr="008812F1">
        <w:t>Scher</w:t>
      </w:r>
      <w:proofErr w:type="spellEnd"/>
      <w:r w:rsidRPr="008812F1">
        <w:t xml:space="preserve"> HI, </w:t>
      </w:r>
      <w:proofErr w:type="spellStart"/>
      <w:r w:rsidRPr="008812F1">
        <w:t>Halabi</w:t>
      </w:r>
      <w:proofErr w:type="spellEnd"/>
      <w:r w:rsidRPr="008812F1">
        <w:t xml:space="preserve"> s, </w:t>
      </w:r>
      <w:proofErr w:type="spellStart"/>
      <w:r w:rsidRPr="008812F1">
        <w:t>Tannock</w:t>
      </w:r>
      <w:proofErr w:type="spellEnd"/>
      <w:r w:rsidRPr="008812F1">
        <w:t xml:space="preserve"> I et al. Design and End Points of Clinical Trials for Patients </w:t>
      </w:r>
      <w:proofErr w:type="gramStart"/>
      <w:r w:rsidRPr="008812F1">
        <w:t>With</w:t>
      </w:r>
      <w:proofErr w:type="gramEnd"/>
      <w:r w:rsidRPr="008812F1">
        <w:t xml:space="preserve"> Progressive Prostate Cancer and Castrate Levels of Testosterone: Recommendations of the Prostate Cancer Clinical Trials Working Group. </w:t>
      </w:r>
      <w:proofErr w:type="gramStart"/>
      <w:r w:rsidRPr="008812F1">
        <w:t xml:space="preserve">J </w:t>
      </w:r>
      <w:proofErr w:type="spellStart"/>
      <w:r w:rsidRPr="008812F1">
        <w:t>Clin</w:t>
      </w:r>
      <w:proofErr w:type="spellEnd"/>
      <w:r w:rsidRPr="008812F1">
        <w:t xml:space="preserve"> </w:t>
      </w:r>
      <w:proofErr w:type="spellStart"/>
      <w:r w:rsidRPr="008812F1">
        <w:t>Oncol</w:t>
      </w:r>
      <w:proofErr w:type="spellEnd"/>
      <w:r w:rsidRPr="008812F1">
        <w:t xml:space="preserve"> 2008.</w:t>
      </w:r>
      <w:proofErr w:type="gramEnd"/>
      <w:r w:rsidRPr="008812F1">
        <w:t xml:space="preserve"> 26(7): 1148-1159.</w:t>
      </w:r>
    </w:p>
  </w:footnote>
  <w:footnote w:id="10">
    <w:p w:rsidR="009947C5" w:rsidRDefault="009947C5" w:rsidP="00054068">
      <w:pPr>
        <w:pStyle w:val="FootnoteText"/>
        <w:ind w:left="142" w:hanging="142"/>
      </w:pPr>
      <w:r>
        <w:rPr>
          <w:rStyle w:val="FootnoteReference"/>
        </w:rPr>
        <w:footnoteRef/>
      </w:r>
      <w:r>
        <w:t xml:space="preserve"> </w:t>
      </w:r>
      <w:proofErr w:type="gramStart"/>
      <w:r w:rsidRPr="00054068">
        <w:t>European Medicines Agency.</w:t>
      </w:r>
      <w:proofErr w:type="gramEnd"/>
      <w:r w:rsidRPr="00054068">
        <w:t xml:space="preserve"> </w:t>
      </w:r>
      <w:proofErr w:type="gramStart"/>
      <w:r w:rsidRPr="00054068">
        <w:t>Guideline on the Evaluation of Anticancer Medicinal Products in Man (CPMP/EWP/205/95/Rev.3/Corr.); 2005.</w:t>
      </w:r>
      <w:proofErr w:type="gramEnd"/>
    </w:p>
  </w:footnote>
  <w:footnote w:id="11">
    <w:p w:rsidR="009947C5" w:rsidRDefault="009947C5" w:rsidP="00054068">
      <w:pPr>
        <w:pStyle w:val="FootnoteText"/>
        <w:ind w:left="142" w:hanging="142"/>
      </w:pPr>
      <w:r>
        <w:rPr>
          <w:rStyle w:val="FootnoteReference"/>
        </w:rPr>
        <w:footnoteRef/>
      </w:r>
      <w:r>
        <w:t xml:space="preserve"> </w:t>
      </w:r>
      <w:proofErr w:type="gramStart"/>
      <w:r w:rsidRPr="00054068">
        <w:t>European Medicines Agency.</w:t>
      </w:r>
      <w:proofErr w:type="gramEnd"/>
      <w:r w:rsidRPr="00054068">
        <w:t xml:space="preserve"> </w:t>
      </w:r>
      <w:r w:rsidRPr="00054068">
        <w:rPr>
          <w:lang w:val="en-US"/>
        </w:rPr>
        <w:t xml:space="preserve">Appendix 1 </w:t>
      </w:r>
      <w:proofErr w:type="gramStart"/>
      <w:r w:rsidRPr="00054068">
        <w:rPr>
          <w:lang w:val="en-US"/>
        </w:rPr>
        <w:t>To</w:t>
      </w:r>
      <w:proofErr w:type="gramEnd"/>
      <w:r w:rsidRPr="00054068">
        <w:rPr>
          <w:lang w:val="en-US"/>
        </w:rPr>
        <w:t xml:space="preserve"> The Guideline On The Evaluation of Anticancer Medicinal Products In Man:  Methodological Considerations For Using Progression-Free Survival (PFS) As Primary Endpoint In Confirmatory Trials For Registration (EMEA/CHMP/EWP/27994/2008); 2008.</w:t>
      </w:r>
    </w:p>
  </w:footnote>
  <w:footnote w:id="12">
    <w:p w:rsidR="009947C5" w:rsidRDefault="009947C5" w:rsidP="00054068">
      <w:pPr>
        <w:pStyle w:val="FootnoteText"/>
        <w:ind w:left="142" w:hanging="142"/>
      </w:pPr>
      <w:r>
        <w:rPr>
          <w:rStyle w:val="FootnoteReference"/>
        </w:rPr>
        <w:footnoteRef/>
      </w:r>
      <w:r>
        <w:t xml:space="preserve"> </w:t>
      </w:r>
      <w:proofErr w:type="gramStart"/>
      <w:r w:rsidRPr="00054068">
        <w:t>European Medicines Agency.</w:t>
      </w:r>
      <w:proofErr w:type="gramEnd"/>
      <w:r w:rsidRPr="00054068">
        <w:t xml:space="preserve"> </w:t>
      </w:r>
      <w:proofErr w:type="gramStart"/>
      <w:r w:rsidRPr="00054068">
        <w:t>Points to Consider on Application with 1.</w:t>
      </w:r>
      <w:proofErr w:type="gramEnd"/>
      <w:r w:rsidRPr="00054068">
        <w:t xml:space="preserve"> </w:t>
      </w:r>
      <w:proofErr w:type="gramStart"/>
      <w:r w:rsidRPr="00054068">
        <w:t>Meta-Analyses; 2.</w:t>
      </w:r>
      <w:proofErr w:type="gramEnd"/>
      <w:r w:rsidRPr="00054068">
        <w:t xml:space="preserve"> </w:t>
      </w:r>
      <w:proofErr w:type="gramStart"/>
      <w:r w:rsidRPr="00054068">
        <w:t>One Pivotal Study (CPMP/EWP/2330/99); 2001.</w:t>
      </w:r>
      <w:proofErr w:type="gramEnd"/>
    </w:p>
  </w:footnote>
  <w:footnote w:id="13">
    <w:p w:rsidR="009947C5" w:rsidRDefault="009947C5" w:rsidP="000B0E34">
      <w:pPr>
        <w:pStyle w:val="FootnoteText"/>
      </w:pPr>
      <w:r>
        <w:rPr>
          <w:rStyle w:val="FootnoteReference"/>
        </w:rPr>
        <w:footnoteRef/>
      </w:r>
      <w:r>
        <w:t xml:space="preserve"> </w:t>
      </w:r>
      <w:r w:rsidRPr="00394B14">
        <w:t xml:space="preserve">QT interval: a measure of the time between the start of the Q wave and the end of the T wave in the heart's electrical cycle. A prolonged QT interval is a risk factor for ventricular </w:t>
      </w:r>
      <w:proofErr w:type="spellStart"/>
      <w:r w:rsidRPr="00394B14">
        <w:t>tachyarrhythmias</w:t>
      </w:r>
      <w:proofErr w:type="spellEnd"/>
      <w:r w:rsidRPr="00394B14">
        <w:t xml:space="preserve"> and sudden death.</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435A" w:rsidRDefault="006F435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47C5" w:rsidRDefault="009947C5" w:rsidP="00054068">
    <w:pPr>
      <w:pStyle w:val="Header"/>
    </w:pPr>
    <w:r>
      <w:t>Therapeutic Goods Administration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47C5" w:rsidRDefault="009947C5" w:rsidP="00054068">
    <w:pPr>
      <w:rPr>
        <w:noProof/>
        <w:lang w:eastAsia="en-AU"/>
      </w:rPr>
    </w:pPr>
    <w:r w:rsidRPr="00BE32D5">
      <w:rPr>
        <w:noProof/>
        <w:lang w:eastAsia="en-AU"/>
      </w:rPr>
      <w:drawing>
        <wp:anchor distT="0" distB="0" distL="114300" distR="114300" simplePos="0" relativeHeight="251659264" behindDoc="1" locked="0" layoutInCell="1" allowOverlap="1">
          <wp:simplePos x="0" y="0"/>
          <wp:positionH relativeFrom="column">
            <wp:posOffset>-1084792</wp:posOffset>
          </wp:positionH>
          <wp:positionV relativeFrom="paragraph">
            <wp:posOffset>-585470</wp:posOffset>
          </wp:positionV>
          <wp:extent cx="7568736" cy="10706100"/>
          <wp:effectExtent l="0" t="0" r="0" b="0"/>
          <wp:wrapNone/>
          <wp:docPr id="1"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9947C5" w:rsidRDefault="00E85A6F" w:rsidP="00054068">
    <w:pPr>
      <w:pStyle w:val="HeaderNoLine"/>
    </w:pPr>
    <w:r>
      <w:rPr>
        <w:noProof/>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ightblue.jpg" style="width:425pt;height:601.35pt;visibility:visible">
          <v:imagedata r:id="rId2" o:title="Lightblue"/>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47C5" w:rsidRDefault="009947C5" w:rsidP="0005406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47C5" w:rsidRDefault="009947C5" w:rsidP="00054068">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47C5" w:rsidRDefault="009947C5" w:rsidP="00054068">
    <w:pPr>
      <w:pStyle w:val="Header"/>
    </w:pPr>
    <w:r>
      <w:t>Therapeutic Goods Administration</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47C5" w:rsidRDefault="009947C5" w:rsidP="00054068">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47C5" w:rsidRDefault="009947C5" w:rsidP="00054068">
    <w:pPr>
      <w:pStyle w:val="HeaderNoLine"/>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47C5" w:rsidRDefault="009947C5" w:rsidP="00054068">
    <w:r>
      <w:t>Therapeutic Goods Administration</w:t>
    </w:r>
  </w:p>
  <w:p w:rsidR="009947C5" w:rsidRDefault="009947C5" w:rsidP="0005406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848B94E"/>
    <w:lvl w:ilvl="0">
      <w:start w:val="1"/>
      <w:numFmt w:val="decimal"/>
      <w:lvlText w:val="%1."/>
      <w:lvlJc w:val="left"/>
      <w:pPr>
        <w:tabs>
          <w:tab w:val="num" w:pos="1492"/>
        </w:tabs>
        <w:ind w:left="1492" w:hanging="360"/>
      </w:pPr>
    </w:lvl>
  </w:abstractNum>
  <w:abstractNum w:abstractNumId="1">
    <w:nsid w:val="FFFFFF7D"/>
    <w:multiLevelType w:val="singleLevel"/>
    <w:tmpl w:val="2E70EA5C"/>
    <w:lvl w:ilvl="0">
      <w:start w:val="1"/>
      <w:numFmt w:val="decimal"/>
      <w:lvlText w:val="%1."/>
      <w:lvlJc w:val="left"/>
      <w:pPr>
        <w:tabs>
          <w:tab w:val="num" w:pos="1209"/>
        </w:tabs>
        <w:ind w:left="1209" w:hanging="360"/>
      </w:pPr>
    </w:lvl>
  </w:abstractNum>
  <w:abstractNum w:abstractNumId="2">
    <w:nsid w:val="FFFFFF7E"/>
    <w:multiLevelType w:val="singleLevel"/>
    <w:tmpl w:val="F1A28044"/>
    <w:lvl w:ilvl="0">
      <w:start w:val="1"/>
      <w:numFmt w:val="decimal"/>
      <w:lvlText w:val="%1."/>
      <w:lvlJc w:val="left"/>
      <w:pPr>
        <w:tabs>
          <w:tab w:val="num" w:pos="926"/>
        </w:tabs>
        <w:ind w:left="926" w:hanging="360"/>
      </w:pPr>
    </w:lvl>
  </w:abstractNum>
  <w:abstractNum w:abstractNumId="3">
    <w:nsid w:val="FFFFFF7F"/>
    <w:multiLevelType w:val="singleLevel"/>
    <w:tmpl w:val="43220152"/>
    <w:lvl w:ilvl="0">
      <w:start w:val="1"/>
      <w:numFmt w:val="decimal"/>
      <w:lvlText w:val="%1."/>
      <w:lvlJc w:val="left"/>
      <w:pPr>
        <w:tabs>
          <w:tab w:val="num" w:pos="643"/>
        </w:tabs>
        <w:ind w:left="643" w:hanging="360"/>
      </w:pPr>
    </w:lvl>
  </w:abstractNum>
  <w:abstractNum w:abstractNumId="4">
    <w:nsid w:val="FFFFFF80"/>
    <w:multiLevelType w:val="singleLevel"/>
    <w:tmpl w:val="322C146E"/>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0EC4DC68"/>
    <w:lvl w:ilvl="0">
      <w:start w:val="1"/>
      <w:numFmt w:val="bullet"/>
      <w:lvlText w:val=""/>
      <w:lvlJc w:val="left"/>
      <w:pPr>
        <w:tabs>
          <w:tab w:val="num" w:pos="1209"/>
        </w:tabs>
        <w:ind w:left="1209" w:hanging="360"/>
      </w:pPr>
      <w:rPr>
        <w:rFonts w:ascii="Symbol" w:hAnsi="Symbol" w:hint="default"/>
      </w:rPr>
    </w:lvl>
  </w:abstractNum>
  <w:abstractNum w:abstractNumId="6">
    <w:nsid w:val="FFFFFF88"/>
    <w:multiLevelType w:val="singleLevel"/>
    <w:tmpl w:val="4546074C"/>
    <w:lvl w:ilvl="0">
      <w:start w:val="1"/>
      <w:numFmt w:val="decimal"/>
      <w:lvlText w:val="%1."/>
      <w:lvlJc w:val="left"/>
      <w:pPr>
        <w:tabs>
          <w:tab w:val="num" w:pos="360"/>
        </w:tabs>
        <w:ind w:left="360" w:hanging="360"/>
      </w:pPr>
    </w:lvl>
  </w:abstractNum>
  <w:abstractNum w:abstractNumId="7">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8">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9">
    <w:nsid w:val="6D0B1B75"/>
    <w:multiLevelType w:val="multilevel"/>
    <w:tmpl w:val="D3FAAFB8"/>
    <w:lvl w:ilvl="0">
      <w:start w:val="1"/>
      <w:numFmt w:val="decimal"/>
      <w:pStyle w:val="Heading2"/>
      <w:lvlText w:val="%1."/>
      <w:lvlJc w:val="left"/>
      <w:pPr>
        <w:tabs>
          <w:tab w:val="num" w:pos="567"/>
        </w:tabs>
        <w:ind w:left="567" w:hanging="567"/>
      </w:pPr>
      <w:rPr>
        <w:rFonts w:hint="default"/>
      </w:rPr>
    </w:lvl>
    <w:lvl w:ilvl="1">
      <w:start w:val="1"/>
      <w:numFmt w:val="decimal"/>
      <w:pStyle w:val="Heading3"/>
      <w:lvlText w:val="%1.%2."/>
      <w:lvlJc w:val="left"/>
      <w:pPr>
        <w:tabs>
          <w:tab w:val="num" w:pos="1135"/>
        </w:tabs>
        <w:ind w:left="1135" w:hanging="1022"/>
      </w:pPr>
      <w:rPr>
        <w:rFonts w:hint="default"/>
      </w:rPr>
    </w:lvl>
    <w:lvl w:ilvl="2">
      <w:start w:val="1"/>
      <w:numFmt w:val="decimal"/>
      <w:pStyle w:val="Heading4"/>
      <w:lvlText w:val="%1.%2.%3."/>
      <w:lvlJc w:val="left"/>
      <w:pPr>
        <w:tabs>
          <w:tab w:val="num" w:pos="1134"/>
        </w:tabs>
        <w:ind w:left="1134" w:hanging="964"/>
      </w:pPr>
      <w:rPr>
        <w:rFonts w:hint="default"/>
      </w:rPr>
    </w:lvl>
    <w:lvl w:ilvl="3">
      <w:start w:val="1"/>
      <w:numFmt w:val="decimal"/>
      <w:pStyle w:val="Heading5"/>
      <w:lvlText w:val="%1.%2.%3.%4."/>
      <w:lvlJc w:val="left"/>
      <w:pPr>
        <w:tabs>
          <w:tab w:val="num" w:pos="1418"/>
        </w:tabs>
        <w:ind w:left="1418" w:hanging="1191"/>
      </w:pPr>
      <w:rPr>
        <w:rFonts w:hint="default"/>
      </w:rPr>
    </w:lvl>
    <w:lvl w:ilvl="4">
      <w:start w:val="1"/>
      <w:numFmt w:val="decimal"/>
      <w:pStyle w:val="Heading6"/>
      <w:lvlText w:val="%1.%2.%3.%4.%5."/>
      <w:lvlJc w:val="left"/>
      <w:pPr>
        <w:tabs>
          <w:tab w:val="num" w:pos="1701"/>
        </w:tabs>
        <w:ind w:left="1701" w:hanging="1417"/>
      </w:pPr>
      <w:rPr>
        <w:rFonts w:hint="default"/>
      </w:rPr>
    </w:lvl>
    <w:lvl w:ilvl="5">
      <w:start w:val="1"/>
      <w:numFmt w:val="decimal"/>
      <w:pStyle w:val="Heading7"/>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num w:numId="1">
    <w:abstractNumId w:val="8"/>
  </w:num>
  <w:num w:numId="2">
    <w:abstractNumId w:val="7"/>
  </w:num>
  <w:num w:numId="3">
    <w:abstractNumId w:val="8"/>
  </w:num>
  <w:num w:numId="4">
    <w:abstractNumId w:val="7"/>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5">
    <w:abstractNumId w:val="9"/>
  </w:num>
  <w:num w:numId="6">
    <w:abstractNumId w:val="7"/>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7">
    <w:abstractNumId w:val="5"/>
  </w:num>
  <w:num w:numId="8">
    <w:abstractNumId w:val="4"/>
  </w:num>
  <w:num w:numId="9">
    <w:abstractNumId w:val="6"/>
  </w:num>
  <w:num w:numId="10">
    <w:abstractNumId w:val="3"/>
  </w:num>
  <w:num w:numId="11">
    <w:abstractNumId w:val="2"/>
  </w:num>
  <w:num w:numId="12">
    <w:abstractNumId w:val="1"/>
  </w:num>
  <w:num w:numId="13">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25"/>
  <w:displayBackgroundShape/>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81922">
      <o:colormenu v:ext="edit" fillcolor="none [3206]"/>
    </o:shapedefaults>
  </w:hdrShapeDefaults>
  <w:footnotePr>
    <w:footnote w:id="-1"/>
    <w:footnote w:id="0"/>
  </w:footnotePr>
  <w:endnotePr>
    <w:endnote w:id="-1"/>
    <w:endnote w:id="0"/>
  </w:endnotePr>
  <w:compat>
    <w:compatSetting w:name="compatibilityMode" w:uri="http://schemas.microsoft.com/office/word" w:val="12"/>
  </w:compat>
  <w:rsids>
    <w:rsidRoot w:val="00A004D7"/>
    <w:rsid w:val="00002031"/>
    <w:rsid w:val="00004734"/>
    <w:rsid w:val="00006B22"/>
    <w:rsid w:val="0001276A"/>
    <w:rsid w:val="000246AE"/>
    <w:rsid w:val="00025C67"/>
    <w:rsid w:val="00040ACB"/>
    <w:rsid w:val="00054068"/>
    <w:rsid w:val="0005559E"/>
    <w:rsid w:val="00077775"/>
    <w:rsid w:val="00090471"/>
    <w:rsid w:val="000A3AED"/>
    <w:rsid w:val="000A63AF"/>
    <w:rsid w:val="000B0E34"/>
    <w:rsid w:val="000B3532"/>
    <w:rsid w:val="000B3A75"/>
    <w:rsid w:val="000B6AEE"/>
    <w:rsid w:val="000C690F"/>
    <w:rsid w:val="000D1295"/>
    <w:rsid w:val="000D391B"/>
    <w:rsid w:val="000D3D6D"/>
    <w:rsid w:val="000D4FC7"/>
    <w:rsid w:val="000F02F9"/>
    <w:rsid w:val="000F4869"/>
    <w:rsid w:val="000F5B42"/>
    <w:rsid w:val="000F6E6F"/>
    <w:rsid w:val="00104613"/>
    <w:rsid w:val="0010601F"/>
    <w:rsid w:val="0010788A"/>
    <w:rsid w:val="00107A31"/>
    <w:rsid w:val="00110EA5"/>
    <w:rsid w:val="00112F56"/>
    <w:rsid w:val="001218A4"/>
    <w:rsid w:val="00125318"/>
    <w:rsid w:val="001305A2"/>
    <w:rsid w:val="001323E4"/>
    <w:rsid w:val="00133238"/>
    <w:rsid w:val="0014197B"/>
    <w:rsid w:val="001447CD"/>
    <w:rsid w:val="001516B1"/>
    <w:rsid w:val="00154EBB"/>
    <w:rsid w:val="00156316"/>
    <w:rsid w:val="00165389"/>
    <w:rsid w:val="0017078F"/>
    <w:rsid w:val="00170FC4"/>
    <w:rsid w:val="0017693F"/>
    <w:rsid w:val="0018110E"/>
    <w:rsid w:val="00181684"/>
    <w:rsid w:val="001843C6"/>
    <w:rsid w:val="001850E0"/>
    <w:rsid w:val="001A2158"/>
    <w:rsid w:val="001A525F"/>
    <w:rsid w:val="001B09F9"/>
    <w:rsid w:val="001B6448"/>
    <w:rsid w:val="001E07CF"/>
    <w:rsid w:val="001E59F1"/>
    <w:rsid w:val="001F49EB"/>
    <w:rsid w:val="001F6B54"/>
    <w:rsid w:val="001F6CBA"/>
    <w:rsid w:val="00201D4E"/>
    <w:rsid w:val="00207193"/>
    <w:rsid w:val="002076C9"/>
    <w:rsid w:val="00220B8A"/>
    <w:rsid w:val="002257F3"/>
    <w:rsid w:val="00233456"/>
    <w:rsid w:val="002339A5"/>
    <w:rsid w:val="00257848"/>
    <w:rsid w:val="002666AC"/>
    <w:rsid w:val="0027084A"/>
    <w:rsid w:val="00286434"/>
    <w:rsid w:val="00286C59"/>
    <w:rsid w:val="00292113"/>
    <w:rsid w:val="002942D1"/>
    <w:rsid w:val="0029501A"/>
    <w:rsid w:val="002B1638"/>
    <w:rsid w:val="002C63ED"/>
    <w:rsid w:val="002D6161"/>
    <w:rsid w:val="002D7BDA"/>
    <w:rsid w:val="002E4C9A"/>
    <w:rsid w:val="002F11F8"/>
    <w:rsid w:val="002F3F56"/>
    <w:rsid w:val="002F44B5"/>
    <w:rsid w:val="002F4C25"/>
    <w:rsid w:val="00311AC0"/>
    <w:rsid w:val="0032583B"/>
    <w:rsid w:val="00327883"/>
    <w:rsid w:val="00335504"/>
    <w:rsid w:val="003521E8"/>
    <w:rsid w:val="003728F3"/>
    <w:rsid w:val="0037496E"/>
    <w:rsid w:val="0037623D"/>
    <w:rsid w:val="00386150"/>
    <w:rsid w:val="003874CE"/>
    <w:rsid w:val="00390900"/>
    <w:rsid w:val="00394B14"/>
    <w:rsid w:val="00396C92"/>
    <w:rsid w:val="003A7F6C"/>
    <w:rsid w:val="003B1113"/>
    <w:rsid w:val="003B4D60"/>
    <w:rsid w:val="003B634F"/>
    <w:rsid w:val="003B7E39"/>
    <w:rsid w:val="003C58DC"/>
    <w:rsid w:val="003D0A3B"/>
    <w:rsid w:val="003D1E62"/>
    <w:rsid w:val="003E2486"/>
    <w:rsid w:val="003E3208"/>
    <w:rsid w:val="003F0B04"/>
    <w:rsid w:val="0040134E"/>
    <w:rsid w:val="00415D59"/>
    <w:rsid w:val="0043797D"/>
    <w:rsid w:val="00440A2D"/>
    <w:rsid w:val="00450D2A"/>
    <w:rsid w:val="004564A7"/>
    <w:rsid w:val="004617BF"/>
    <w:rsid w:val="00463658"/>
    <w:rsid w:val="004722CC"/>
    <w:rsid w:val="004936E4"/>
    <w:rsid w:val="00494E60"/>
    <w:rsid w:val="00497487"/>
    <w:rsid w:val="004A0839"/>
    <w:rsid w:val="004A5E29"/>
    <w:rsid w:val="004A7E13"/>
    <w:rsid w:val="004B7B76"/>
    <w:rsid w:val="004C0CB2"/>
    <w:rsid w:val="004C2DCA"/>
    <w:rsid w:val="004F0F38"/>
    <w:rsid w:val="00501921"/>
    <w:rsid w:val="00530354"/>
    <w:rsid w:val="0053625B"/>
    <w:rsid w:val="005434C6"/>
    <w:rsid w:val="00543B39"/>
    <w:rsid w:val="00550096"/>
    <w:rsid w:val="00557FF9"/>
    <w:rsid w:val="005730D3"/>
    <w:rsid w:val="00576378"/>
    <w:rsid w:val="00577945"/>
    <w:rsid w:val="00577E38"/>
    <w:rsid w:val="00585322"/>
    <w:rsid w:val="005857C6"/>
    <w:rsid w:val="00586F98"/>
    <w:rsid w:val="00592F6E"/>
    <w:rsid w:val="00593AD1"/>
    <w:rsid w:val="005A68B6"/>
    <w:rsid w:val="005C5570"/>
    <w:rsid w:val="005C79A4"/>
    <w:rsid w:val="005D5442"/>
    <w:rsid w:val="00603F32"/>
    <w:rsid w:val="00620406"/>
    <w:rsid w:val="00632398"/>
    <w:rsid w:val="006350AE"/>
    <w:rsid w:val="00640FC3"/>
    <w:rsid w:val="00642020"/>
    <w:rsid w:val="00646206"/>
    <w:rsid w:val="006463E9"/>
    <w:rsid w:val="0065337B"/>
    <w:rsid w:val="0065419D"/>
    <w:rsid w:val="006604D8"/>
    <w:rsid w:val="00664A5B"/>
    <w:rsid w:val="006763D2"/>
    <w:rsid w:val="00680C08"/>
    <w:rsid w:val="006931B1"/>
    <w:rsid w:val="006A15C0"/>
    <w:rsid w:val="006B081C"/>
    <w:rsid w:val="006C130C"/>
    <w:rsid w:val="006C3E2A"/>
    <w:rsid w:val="006C642F"/>
    <w:rsid w:val="006D03E5"/>
    <w:rsid w:val="006D5D3E"/>
    <w:rsid w:val="006E08B3"/>
    <w:rsid w:val="006E15EF"/>
    <w:rsid w:val="006F17AC"/>
    <w:rsid w:val="006F1D37"/>
    <w:rsid w:val="006F2796"/>
    <w:rsid w:val="006F435A"/>
    <w:rsid w:val="006F572E"/>
    <w:rsid w:val="007046D6"/>
    <w:rsid w:val="00705DB0"/>
    <w:rsid w:val="00722B57"/>
    <w:rsid w:val="007247F3"/>
    <w:rsid w:val="0074253D"/>
    <w:rsid w:val="0074429B"/>
    <w:rsid w:val="007513B4"/>
    <w:rsid w:val="007611EA"/>
    <w:rsid w:val="007615BC"/>
    <w:rsid w:val="00762F05"/>
    <w:rsid w:val="007652FF"/>
    <w:rsid w:val="00770EF1"/>
    <w:rsid w:val="00773EF7"/>
    <w:rsid w:val="00774E1D"/>
    <w:rsid w:val="0077675A"/>
    <w:rsid w:val="00780355"/>
    <w:rsid w:val="00785721"/>
    <w:rsid w:val="00793A59"/>
    <w:rsid w:val="007B6E9F"/>
    <w:rsid w:val="007C1216"/>
    <w:rsid w:val="007C1AF7"/>
    <w:rsid w:val="007E6E27"/>
    <w:rsid w:val="007F6643"/>
    <w:rsid w:val="00805D27"/>
    <w:rsid w:val="00821776"/>
    <w:rsid w:val="008321F5"/>
    <w:rsid w:val="00832369"/>
    <w:rsid w:val="00834660"/>
    <w:rsid w:val="00836BC2"/>
    <w:rsid w:val="008414A0"/>
    <w:rsid w:val="00844ADC"/>
    <w:rsid w:val="0085641B"/>
    <w:rsid w:val="00857136"/>
    <w:rsid w:val="00861E6E"/>
    <w:rsid w:val="008812F1"/>
    <w:rsid w:val="00886D15"/>
    <w:rsid w:val="00887DD8"/>
    <w:rsid w:val="00896018"/>
    <w:rsid w:val="008960DD"/>
    <w:rsid w:val="0089635C"/>
    <w:rsid w:val="008A2B9D"/>
    <w:rsid w:val="008A5E0B"/>
    <w:rsid w:val="008A6D59"/>
    <w:rsid w:val="008B4B03"/>
    <w:rsid w:val="008B596F"/>
    <w:rsid w:val="008B5A3E"/>
    <w:rsid w:val="008C159F"/>
    <w:rsid w:val="008C1623"/>
    <w:rsid w:val="008C1850"/>
    <w:rsid w:val="008C4B6C"/>
    <w:rsid w:val="008C51A9"/>
    <w:rsid w:val="008D1CDE"/>
    <w:rsid w:val="008D770F"/>
    <w:rsid w:val="008E7846"/>
    <w:rsid w:val="008F1CCC"/>
    <w:rsid w:val="008F2967"/>
    <w:rsid w:val="008F6943"/>
    <w:rsid w:val="00902A21"/>
    <w:rsid w:val="00920330"/>
    <w:rsid w:val="009219D7"/>
    <w:rsid w:val="00922D53"/>
    <w:rsid w:val="00923B70"/>
    <w:rsid w:val="00924482"/>
    <w:rsid w:val="00930237"/>
    <w:rsid w:val="00946EA5"/>
    <w:rsid w:val="0095160F"/>
    <w:rsid w:val="00963C08"/>
    <w:rsid w:val="00977D40"/>
    <w:rsid w:val="0098585A"/>
    <w:rsid w:val="0098669D"/>
    <w:rsid w:val="009947C5"/>
    <w:rsid w:val="009A4CED"/>
    <w:rsid w:val="009A690D"/>
    <w:rsid w:val="009A7800"/>
    <w:rsid w:val="009B1D12"/>
    <w:rsid w:val="009B416B"/>
    <w:rsid w:val="009C2D2F"/>
    <w:rsid w:val="009C4BD5"/>
    <w:rsid w:val="009D7B77"/>
    <w:rsid w:val="009E0BB0"/>
    <w:rsid w:val="009E3FBB"/>
    <w:rsid w:val="00A004D7"/>
    <w:rsid w:val="00A102E4"/>
    <w:rsid w:val="00A12C42"/>
    <w:rsid w:val="00A14DF7"/>
    <w:rsid w:val="00A21DB9"/>
    <w:rsid w:val="00A235D9"/>
    <w:rsid w:val="00A3246D"/>
    <w:rsid w:val="00A329E6"/>
    <w:rsid w:val="00A36FA7"/>
    <w:rsid w:val="00A475B7"/>
    <w:rsid w:val="00A47AF7"/>
    <w:rsid w:val="00A47C3E"/>
    <w:rsid w:val="00A50226"/>
    <w:rsid w:val="00A60BAD"/>
    <w:rsid w:val="00A964D1"/>
    <w:rsid w:val="00AA0ED0"/>
    <w:rsid w:val="00AA3499"/>
    <w:rsid w:val="00AC2B40"/>
    <w:rsid w:val="00AC2BB2"/>
    <w:rsid w:val="00AC2C3C"/>
    <w:rsid w:val="00AC512D"/>
    <w:rsid w:val="00AD66CB"/>
    <w:rsid w:val="00AE01C2"/>
    <w:rsid w:val="00AE65EB"/>
    <w:rsid w:val="00AE67A7"/>
    <w:rsid w:val="00AF1D94"/>
    <w:rsid w:val="00AF60C5"/>
    <w:rsid w:val="00B009C6"/>
    <w:rsid w:val="00B01548"/>
    <w:rsid w:val="00B02208"/>
    <w:rsid w:val="00B1425E"/>
    <w:rsid w:val="00B21465"/>
    <w:rsid w:val="00B21D29"/>
    <w:rsid w:val="00B25034"/>
    <w:rsid w:val="00B322FD"/>
    <w:rsid w:val="00B33588"/>
    <w:rsid w:val="00B33863"/>
    <w:rsid w:val="00B3648D"/>
    <w:rsid w:val="00B37D17"/>
    <w:rsid w:val="00B4175E"/>
    <w:rsid w:val="00B452CE"/>
    <w:rsid w:val="00B54C25"/>
    <w:rsid w:val="00B74A7B"/>
    <w:rsid w:val="00B76B91"/>
    <w:rsid w:val="00B77EB1"/>
    <w:rsid w:val="00B811C6"/>
    <w:rsid w:val="00B85A87"/>
    <w:rsid w:val="00B92E08"/>
    <w:rsid w:val="00B96EBE"/>
    <w:rsid w:val="00BC622A"/>
    <w:rsid w:val="00BD45E3"/>
    <w:rsid w:val="00BE0A78"/>
    <w:rsid w:val="00BE32D5"/>
    <w:rsid w:val="00BE6252"/>
    <w:rsid w:val="00BE79F0"/>
    <w:rsid w:val="00BF046D"/>
    <w:rsid w:val="00BF1190"/>
    <w:rsid w:val="00BF5D04"/>
    <w:rsid w:val="00C1164D"/>
    <w:rsid w:val="00C16861"/>
    <w:rsid w:val="00C17674"/>
    <w:rsid w:val="00C22678"/>
    <w:rsid w:val="00C404A6"/>
    <w:rsid w:val="00C40A36"/>
    <w:rsid w:val="00C44419"/>
    <w:rsid w:val="00C45E7B"/>
    <w:rsid w:val="00C46F5D"/>
    <w:rsid w:val="00C471B1"/>
    <w:rsid w:val="00C618F7"/>
    <w:rsid w:val="00C6316B"/>
    <w:rsid w:val="00C634A9"/>
    <w:rsid w:val="00C64586"/>
    <w:rsid w:val="00C70D53"/>
    <w:rsid w:val="00C73D0B"/>
    <w:rsid w:val="00C772FF"/>
    <w:rsid w:val="00C801AF"/>
    <w:rsid w:val="00C80256"/>
    <w:rsid w:val="00C811C0"/>
    <w:rsid w:val="00CB6BC0"/>
    <w:rsid w:val="00CC1B7C"/>
    <w:rsid w:val="00CC727F"/>
    <w:rsid w:val="00CF15C3"/>
    <w:rsid w:val="00CF2B6F"/>
    <w:rsid w:val="00CF58B6"/>
    <w:rsid w:val="00D017ED"/>
    <w:rsid w:val="00D040D3"/>
    <w:rsid w:val="00D04C65"/>
    <w:rsid w:val="00D224FE"/>
    <w:rsid w:val="00D5215A"/>
    <w:rsid w:val="00D53A31"/>
    <w:rsid w:val="00D553D3"/>
    <w:rsid w:val="00D6493E"/>
    <w:rsid w:val="00D7301E"/>
    <w:rsid w:val="00D83AE1"/>
    <w:rsid w:val="00D855D4"/>
    <w:rsid w:val="00D93466"/>
    <w:rsid w:val="00DA1124"/>
    <w:rsid w:val="00DA54F7"/>
    <w:rsid w:val="00DB75B7"/>
    <w:rsid w:val="00DC6E02"/>
    <w:rsid w:val="00DE02AE"/>
    <w:rsid w:val="00DF1D7F"/>
    <w:rsid w:val="00DF4BE4"/>
    <w:rsid w:val="00E02FB4"/>
    <w:rsid w:val="00E07F15"/>
    <w:rsid w:val="00E20571"/>
    <w:rsid w:val="00E235F7"/>
    <w:rsid w:val="00E23659"/>
    <w:rsid w:val="00E239D4"/>
    <w:rsid w:val="00E2558C"/>
    <w:rsid w:val="00E26130"/>
    <w:rsid w:val="00E2741C"/>
    <w:rsid w:val="00E40B22"/>
    <w:rsid w:val="00E45619"/>
    <w:rsid w:val="00E4588F"/>
    <w:rsid w:val="00E46DA3"/>
    <w:rsid w:val="00E51BB1"/>
    <w:rsid w:val="00E53F4F"/>
    <w:rsid w:val="00E55FCF"/>
    <w:rsid w:val="00E624A5"/>
    <w:rsid w:val="00E7344E"/>
    <w:rsid w:val="00E85A6F"/>
    <w:rsid w:val="00E936E3"/>
    <w:rsid w:val="00EA18EB"/>
    <w:rsid w:val="00EB0798"/>
    <w:rsid w:val="00EB40AD"/>
    <w:rsid w:val="00EB586E"/>
    <w:rsid w:val="00EB5FC8"/>
    <w:rsid w:val="00ED1E89"/>
    <w:rsid w:val="00ED3CAD"/>
    <w:rsid w:val="00ED5A41"/>
    <w:rsid w:val="00ED5AAB"/>
    <w:rsid w:val="00EE1DE8"/>
    <w:rsid w:val="00F033EC"/>
    <w:rsid w:val="00F04F68"/>
    <w:rsid w:val="00F12670"/>
    <w:rsid w:val="00F14B27"/>
    <w:rsid w:val="00F26BE3"/>
    <w:rsid w:val="00F3148D"/>
    <w:rsid w:val="00F325C5"/>
    <w:rsid w:val="00F32FE0"/>
    <w:rsid w:val="00F35298"/>
    <w:rsid w:val="00F47333"/>
    <w:rsid w:val="00F47E37"/>
    <w:rsid w:val="00F53C07"/>
    <w:rsid w:val="00F54B65"/>
    <w:rsid w:val="00F640B6"/>
    <w:rsid w:val="00F80E40"/>
    <w:rsid w:val="00F848D9"/>
    <w:rsid w:val="00FA5B82"/>
    <w:rsid w:val="00FA639E"/>
    <w:rsid w:val="00FC25E4"/>
    <w:rsid w:val="00FC4EF7"/>
    <w:rsid w:val="00FC5B4C"/>
    <w:rsid w:val="00FE1DEE"/>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22">
      <o:colormenu v:ext="edit" fillcolor="none [3206]"/>
    </o:shapedefaults>
    <o:shapelayout v:ext="edit">
      <o:idmap v:ext="edit" data="1"/>
      <o:regrouptable v:ext="edit">
        <o:entry new="1" old="0"/>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iPriority="0" w:unhideWhenUsed="0"/>
    <w:lsdException w:name="caption" w:semiHidden="0" w:uiPriority="0" w:unhideWhenUsed="0" w:qFormat="1"/>
    <w:lsdException w:name="page number"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8812F1"/>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5"/>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586F98"/>
    <w:pPr>
      <w:keepNext/>
      <w:keepLines/>
      <w:numPr>
        <w:ilvl w:val="1"/>
        <w:numId w:val="5"/>
      </w:numPr>
      <w:adjustRightInd w:val="0"/>
      <w:snapToGrid w:val="0"/>
      <w:spacing w:before="400" w:line="220" w:lineRule="atLeast"/>
      <w:outlineLvl w:val="2"/>
    </w:pPr>
    <w:rPr>
      <w:rFonts w:ascii="Arial" w:eastAsia="Times New Roman" w:hAnsi="Arial"/>
      <w:b/>
      <w:bCs/>
      <w:szCs w:val="21"/>
      <w:lang w:eastAsia="ja-JP"/>
    </w:rPr>
  </w:style>
  <w:style w:type="paragraph" w:styleId="Heading4">
    <w:name w:val="heading 4"/>
    <w:basedOn w:val="Normal"/>
    <w:next w:val="Normal"/>
    <w:link w:val="Heading4Char"/>
    <w:qFormat/>
    <w:rsid w:val="008D770F"/>
    <w:pPr>
      <w:keepNext/>
      <w:numPr>
        <w:ilvl w:val="2"/>
        <w:numId w:val="5"/>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uiPriority w:val="9"/>
    <w:rsid w:val="000F02F9"/>
    <w:pPr>
      <w:keepNext/>
      <w:keepLines/>
      <w:numPr>
        <w:ilvl w:val="3"/>
        <w:numId w:val="5"/>
      </w:numPr>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0F02F9"/>
    <w:pPr>
      <w:keepNext/>
      <w:numPr>
        <w:ilvl w:val="4"/>
        <w:numId w:val="5"/>
      </w:numPr>
      <w:spacing w:line="220" w:lineRule="atLeast"/>
      <w:ind w:left="1702" w:hanging="1418"/>
      <w:outlineLvl w:val="5"/>
    </w:pPr>
    <w:rPr>
      <w:rFonts w:eastAsia="Times New Roman"/>
      <w:bCs/>
      <w:i/>
      <w:szCs w:val="21"/>
    </w:rPr>
  </w:style>
  <w:style w:type="paragraph" w:styleId="Heading7">
    <w:name w:val="heading 7"/>
    <w:basedOn w:val="Normal"/>
    <w:next w:val="Normal"/>
    <w:link w:val="Heading7Char"/>
    <w:uiPriority w:val="9"/>
    <w:rsid w:val="000F02F9"/>
    <w:pPr>
      <w:keepNext/>
      <w:numPr>
        <w:ilvl w:val="5"/>
        <w:numId w:val="5"/>
      </w:numPr>
      <w:spacing w:after="60" w:line="180" w:lineRule="atLeast"/>
      <w:ind w:left="1984" w:hanging="1644"/>
      <w:outlineLvl w:val="6"/>
    </w:pPr>
    <w:rPr>
      <w:rFonts w:eastAsia="Times New Roman"/>
      <w:bCs/>
      <w:sz w:val="1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8960DD"/>
    <w:rPr>
      <w:rFonts w:ascii="Arial" w:eastAsia="Times New Roman" w:hAnsi="Arial" w:cs="Times New Roman"/>
      <w:b/>
      <w:bCs/>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F3148D"/>
    <w:pPr>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0F02F9"/>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0F02F9"/>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0F02F9"/>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6B081C"/>
    <w:pPr>
      <w:keepNext/>
    </w:pPr>
    <w:rPr>
      <w:b/>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semiHidden/>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Abbreviations">
    <w:name w:val="Abbreviations"/>
    <w:basedOn w:val="Normal"/>
    <w:rsid w:val="009A7800"/>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Cs w:val="24"/>
      <w:lang w:eastAsia="en-AU"/>
    </w:rPr>
  </w:style>
  <w:style w:type="paragraph" w:styleId="ListParagraph">
    <w:name w:val="List Paragraph"/>
    <w:basedOn w:val="Normal"/>
    <w:uiPriority w:val="34"/>
    <w:qFormat/>
    <w:rsid w:val="009A7800"/>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eastAsia="Times New Roman"/>
      <w:kern w:val="16"/>
      <w:szCs w:val="24"/>
      <w:lang w:eastAsia="en-AU"/>
    </w:rPr>
  </w:style>
  <w:style w:type="character" w:styleId="PageNumber">
    <w:name w:val="page number"/>
    <w:rsid w:val="009A7800"/>
    <w:rPr>
      <w:sz w:val="20"/>
    </w:rPr>
  </w:style>
  <w:style w:type="paragraph" w:styleId="FootnoteText">
    <w:name w:val="footnote text"/>
    <w:basedOn w:val="Normal"/>
    <w:link w:val="FootnoteTextChar"/>
    <w:uiPriority w:val="99"/>
    <w:unhideWhenUsed/>
    <w:rsid w:val="00B3648D"/>
    <w:pPr>
      <w:spacing w:before="0" w:after="0" w:line="240" w:lineRule="auto"/>
    </w:pPr>
    <w:rPr>
      <w:sz w:val="18"/>
      <w:szCs w:val="20"/>
    </w:rPr>
  </w:style>
  <w:style w:type="character" w:customStyle="1" w:styleId="FootnoteTextChar">
    <w:name w:val="Footnote Text Char"/>
    <w:basedOn w:val="DefaultParagraphFont"/>
    <w:link w:val="FootnoteText"/>
    <w:uiPriority w:val="99"/>
    <w:rsid w:val="00B3648D"/>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ED5AAB"/>
    <w:rPr>
      <w:vertAlign w:val="superscript"/>
    </w:rPr>
  </w:style>
  <w:style w:type="character" w:styleId="CommentReference">
    <w:name w:val="annotation reference"/>
    <w:basedOn w:val="DefaultParagraphFont"/>
    <w:uiPriority w:val="99"/>
    <w:semiHidden/>
    <w:unhideWhenUsed/>
    <w:rsid w:val="00B322FD"/>
    <w:rPr>
      <w:sz w:val="16"/>
      <w:szCs w:val="16"/>
    </w:rPr>
  </w:style>
  <w:style w:type="paragraph" w:styleId="CommentText">
    <w:name w:val="annotation text"/>
    <w:basedOn w:val="Normal"/>
    <w:link w:val="CommentTextChar"/>
    <w:uiPriority w:val="99"/>
    <w:semiHidden/>
    <w:unhideWhenUsed/>
    <w:rsid w:val="00B322FD"/>
    <w:pPr>
      <w:spacing w:line="240" w:lineRule="auto"/>
    </w:pPr>
    <w:rPr>
      <w:sz w:val="20"/>
      <w:szCs w:val="20"/>
    </w:rPr>
  </w:style>
  <w:style w:type="character" w:customStyle="1" w:styleId="CommentTextChar">
    <w:name w:val="Comment Text Char"/>
    <w:basedOn w:val="DefaultParagraphFont"/>
    <w:link w:val="CommentText"/>
    <w:uiPriority w:val="99"/>
    <w:semiHidden/>
    <w:rsid w:val="00B322F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B322FD"/>
    <w:rPr>
      <w:b/>
      <w:bCs/>
    </w:rPr>
  </w:style>
  <w:style w:type="character" w:customStyle="1" w:styleId="CommentSubjectChar">
    <w:name w:val="Comment Subject Char"/>
    <w:basedOn w:val="CommentTextChar"/>
    <w:link w:val="CommentSubject"/>
    <w:uiPriority w:val="99"/>
    <w:semiHidden/>
    <w:rsid w:val="00B322FD"/>
    <w:rPr>
      <w:rFonts w:ascii="Cambria" w:eastAsia="Cambria" w:hAnsi="Cambria" w:cs="Times New Roman"/>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Heading1Char">
    <w:name w:val="NumberBullet"/>
    <w:pPr>
      <w:numPr>
        <w:numId w:val="2"/>
      </w:numPr>
    </w:pPr>
  </w:style>
  <w:style w:type="numbering" w:customStyle="1" w:styleId="Heading2Char">
    <w:name w:val="ListBullets"/>
    <w:pPr>
      <w:numPr>
        <w:numId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083618">
      <w:bodyDiv w:val="1"/>
      <w:marLeft w:val="0"/>
      <w:marRight w:val="0"/>
      <w:marTop w:val="0"/>
      <w:marBottom w:val="0"/>
      <w:divBdr>
        <w:top w:val="none" w:sz="0" w:space="0" w:color="auto"/>
        <w:left w:val="none" w:sz="0" w:space="0" w:color="auto"/>
        <w:bottom w:val="none" w:sz="0" w:space="0" w:color="auto"/>
        <w:right w:val="none" w:sz="0" w:space="0" w:color="auto"/>
      </w:divBdr>
    </w:div>
    <w:div w:id="52313538">
      <w:bodyDiv w:val="1"/>
      <w:marLeft w:val="0"/>
      <w:marRight w:val="0"/>
      <w:marTop w:val="0"/>
      <w:marBottom w:val="0"/>
      <w:divBdr>
        <w:top w:val="none" w:sz="0" w:space="0" w:color="auto"/>
        <w:left w:val="none" w:sz="0" w:space="0" w:color="auto"/>
        <w:bottom w:val="none" w:sz="0" w:space="0" w:color="auto"/>
        <w:right w:val="none" w:sz="0" w:space="0" w:color="auto"/>
      </w:divBdr>
    </w:div>
    <w:div w:id="64689660">
      <w:bodyDiv w:val="1"/>
      <w:marLeft w:val="0"/>
      <w:marRight w:val="0"/>
      <w:marTop w:val="0"/>
      <w:marBottom w:val="0"/>
      <w:divBdr>
        <w:top w:val="none" w:sz="0" w:space="0" w:color="auto"/>
        <w:left w:val="none" w:sz="0" w:space="0" w:color="auto"/>
        <w:bottom w:val="none" w:sz="0" w:space="0" w:color="auto"/>
        <w:right w:val="none" w:sz="0" w:space="0" w:color="auto"/>
      </w:divBdr>
    </w:div>
    <w:div w:id="396628163">
      <w:bodyDiv w:val="1"/>
      <w:marLeft w:val="0"/>
      <w:marRight w:val="0"/>
      <w:marTop w:val="0"/>
      <w:marBottom w:val="0"/>
      <w:divBdr>
        <w:top w:val="none" w:sz="0" w:space="0" w:color="auto"/>
        <w:left w:val="none" w:sz="0" w:space="0" w:color="auto"/>
        <w:bottom w:val="none" w:sz="0" w:space="0" w:color="auto"/>
        <w:right w:val="none" w:sz="0" w:space="0" w:color="auto"/>
      </w:divBdr>
    </w:div>
    <w:div w:id="579994433">
      <w:bodyDiv w:val="1"/>
      <w:marLeft w:val="0"/>
      <w:marRight w:val="0"/>
      <w:marTop w:val="0"/>
      <w:marBottom w:val="0"/>
      <w:divBdr>
        <w:top w:val="none" w:sz="0" w:space="0" w:color="auto"/>
        <w:left w:val="none" w:sz="0" w:space="0" w:color="auto"/>
        <w:bottom w:val="none" w:sz="0" w:space="0" w:color="auto"/>
        <w:right w:val="none" w:sz="0" w:space="0" w:color="auto"/>
      </w:divBdr>
    </w:div>
    <w:div w:id="628753446">
      <w:bodyDiv w:val="1"/>
      <w:marLeft w:val="0"/>
      <w:marRight w:val="0"/>
      <w:marTop w:val="0"/>
      <w:marBottom w:val="0"/>
      <w:divBdr>
        <w:top w:val="none" w:sz="0" w:space="0" w:color="auto"/>
        <w:left w:val="none" w:sz="0" w:space="0" w:color="auto"/>
        <w:bottom w:val="none" w:sz="0" w:space="0" w:color="auto"/>
        <w:right w:val="none" w:sz="0" w:space="0" w:color="auto"/>
      </w:divBdr>
    </w:div>
    <w:div w:id="696582186">
      <w:bodyDiv w:val="1"/>
      <w:marLeft w:val="0"/>
      <w:marRight w:val="0"/>
      <w:marTop w:val="0"/>
      <w:marBottom w:val="0"/>
      <w:divBdr>
        <w:top w:val="none" w:sz="0" w:space="0" w:color="auto"/>
        <w:left w:val="none" w:sz="0" w:space="0" w:color="auto"/>
        <w:bottom w:val="none" w:sz="0" w:space="0" w:color="auto"/>
        <w:right w:val="none" w:sz="0" w:space="0" w:color="auto"/>
      </w:divBdr>
    </w:div>
    <w:div w:id="729574655">
      <w:bodyDiv w:val="1"/>
      <w:marLeft w:val="0"/>
      <w:marRight w:val="0"/>
      <w:marTop w:val="0"/>
      <w:marBottom w:val="0"/>
      <w:divBdr>
        <w:top w:val="none" w:sz="0" w:space="0" w:color="auto"/>
        <w:left w:val="none" w:sz="0" w:space="0" w:color="auto"/>
        <w:bottom w:val="none" w:sz="0" w:space="0" w:color="auto"/>
        <w:right w:val="none" w:sz="0" w:space="0" w:color="auto"/>
      </w:divBdr>
    </w:div>
    <w:div w:id="1023094476">
      <w:bodyDiv w:val="1"/>
      <w:marLeft w:val="0"/>
      <w:marRight w:val="0"/>
      <w:marTop w:val="0"/>
      <w:marBottom w:val="0"/>
      <w:divBdr>
        <w:top w:val="none" w:sz="0" w:space="0" w:color="auto"/>
        <w:left w:val="none" w:sz="0" w:space="0" w:color="auto"/>
        <w:bottom w:val="none" w:sz="0" w:space="0" w:color="auto"/>
        <w:right w:val="none" w:sz="0" w:space="0" w:color="auto"/>
      </w:divBdr>
    </w:div>
    <w:div w:id="1104878983">
      <w:bodyDiv w:val="1"/>
      <w:marLeft w:val="0"/>
      <w:marRight w:val="0"/>
      <w:marTop w:val="0"/>
      <w:marBottom w:val="0"/>
      <w:divBdr>
        <w:top w:val="none" w:sz="0" w:space="0" w:color="auto"/>
        <w:left w:val="none" w:sz="0" w:space="0" w:color="auto"/>
        <w:bottom w:val="none" w:sz="0" w:space="0" w:color="auto"/>
        <w:right w:val="none" w:sz="0" w:space="0" w:color="auto"/>
      </w:divBdr>
    </w:div>
    <w:div w:id="1222523964">
      <w:bodyDiv w:val="1"/>
      <w:marLeft w:val="0"/>
      <w:marRight w:val="0"/>
      <w:marTop w:val="0"/>
      <w:marBottom w:val="0"/>
      <w:divBdr>
        <w:top w:val="none" w:sz="0" w:space="0" w:color="auto"/>
        <w:left w:val="none" w:sz="0" w:space="0" w:color="auto"/>
        <w:bottom w:val="none" w:sz="0" w:space="0" w:color="auto"/>
        <w:right w:val="none" w:sz="0" w:space="0" w:color="auto"/>
      </w:divBdr>
    </w:div>
    <w:div w:id="1439526842">
      <w:bodyDiv w:val="1"/>
      <w:marLeft w:val="0"/>
      <w:marRight w:val="0"/>
      <w:marTop w:val="0"/>
      <w:marBottom w:val="0"/>
      <w:divBdr>
        <w:top w:val="none" w:sz="0" w:space="0" w:color="auto"/>
        <w:left w:val="none" w:sz="0" w:space="0" w:color="auto"/>
        <w:bottom w:val="none" w:sz="0" w:space="0" w:color="auto"/>
        <w:right w:val="none" w:sz="0" w:space="0" w:color="auto"/>
      </w:divBdr>
    </w:div>
    <w:div w:id="1567378180">
      <w:bodyDiv w:val="1"/>
      <w:marLeft w:val="0"/>
      <w:marRight w:val="0"/>
      <w:marTop w:val="0"/>
      <w:marBottom w:val="0"/>
      <w:divBdr>
        <w:top w:val="none" w:sz="0" w:space="0" w:color="auto"/>
        <w:left w:val="none" w:sz="0" w:space="0" w:color="auto"/>
        <w:bottom w:val="none" w:sz="0" w:space="0" w:color="auto"/>
        <w:right w:val="none" w:sz="0" w:space="0" w:color="auto"/>
      </w:divBdr>
    </w:div>
    <w:div w:id="1795169905">
      <w:bodyDiv w:val="1"/>
      <w:marLeft w:val="0"/>
      <w:marRight w:val="0"/>
      <w:marTop w:val="0"/>
      <w:marBottom w:val="0"/>
      <w:divBdr>
        <w:top w:val="none" w:sz="0" w:space="0" w:color="auto"/>
        <w:left w:val="none" w:sz="0" w:space="0" w:color="auto"/>
        <w:bottom w:val="none" w:sz="0" w:space="0" w:color="auto"/>
        <w:right w:val="none" w:sz="0" w:space="0" w:color="auto"/>
      </w:divBdr>
    </w:div>
    <w:div w:id="1983004198">
      <w:bodyDiv w:val="1"/>
      <w:marLeft w:val="0"/>
      <w:marRight w:val="0"/>
      <w:marTop w:val="0"/>
      <w:marBottom w:val="0"/>
      <w:divBdr>
        <w:top w:val="none" w:sz="0" w:space="0" w:color="auto"/>
        <w:left w:val="none" w:sz="0" w:space="0" w:color="auto"/>
        <w:bottom w:val="none" w:sz="0" w:space="0" w:color="auto"/>
        <w:right w:val="none" w:sz="0" w:space="0" w:color="auto"/>
      </w:divBdr>
    </w:div>
    <w:div w:id="2082287588">
      <w:bodyDiv w:val="1"/>
      <w:marLeft w:val="0"/>
      <w:marRight w:val="0"/>
      <w:marTop w:val="0"/>
      <w:marBottom w:val="0"/>
      <w:divBdr>
        <w:top w:val="none" w:sz="0" w:space="0" w:color="auto"/>
        <w:left w:val="none" w:sz="0" w:space="0" w:color="auto"/>
        <w:bottom w:val="none" w:sz="0" w:space="0" w:color="auto"/>
        <w:right w:val="none" w:sz="0" w:space="0" w:color="auto"/>
      </w:divBdr>
    </w:div>
    <w:div w:id="2121609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footer" Target="footer4.xml"/><Relationship Id="rId50" Type="http://schemas.openxmlformats.org/officeDocument/2006/relationships/footer" Target="footer5.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image" Target="media/image26.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tga.copyright@tga.gov.au" TargetMode="Externa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header" Target="header5.xml"/><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header" Target="header8.xml"/><Relationship Id="rId10" Type="http://schemas.openxmlformats.org/officeDocument/2006/relationships/hyperlink" Target="http://www.tga.gov.au/hp/information-medicines-pi.htm" TargetMode="Externa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header" Target="header4.xml"/><Relationship Id="rId52" Type="http://schemas.openxmlformats.org/officeDocument/2006/relationships/footer" Target="footer6.xml"/><Relationship Id="rId4" Type="http://schemas.microsoft.com/office/2007/relationships/stylesWithEffects" Target="stylesWithEffects.xml"/><Relationship Id="rId9" Type="http://schemas.openxmlformats.org/officeDocument/2006/relationships/hyperlink" Target="http://www.tga.gov.au" TargetMode="External"/><Relationship Id="rId14" Type="http://schemas.openxmlformats.org/officeDocument/2006/relationships/footer" Target="footer1.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header" Target="header7.xml"/><Relationship Id="rId8" Type="http://schemas.openxmlformats.org/officeDocument/2006/relationships/endnotes" Target="endnotes.xml"/><Relationship Id="rId51" Type="http://schemas.openxmlformats.org/officeDocument/2006/relationships/header" Target="header9.xml"/></Relationships>
</file>

<file path=word/_rels/footer5.xml.rels><?xml version="1.0" encoding="UTF-8" standalone="yes"?>
<Relationships xmlns="http://schemas.openxmlformats.org/package/2006/relationships"><Relationship Id="rId2" Type="http://schemas.openxmlformats.org/officeDocument/2006/relationships/hyperlink" Target="http://www.tga.gov.au" TargetMode="External"/><Relationship Id="rId1" Type="http://schemas.openxmlformats.org/officeDocument/2006/relationships/hyperlink" Target="mailto:info@tga.gov.au"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rann\AppData\Local\Hewlett-Packard\HP%20TRIM\TEMP\HPTRIM.2992\t0N2TDAL.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56FE9E-55A0-4814-AD1A-E784B8A83B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t0N2TDAL.DOTX</Template>
  <TotalTime>1</TotalTime>
  <Pages>38</Pages>
  <Words>8656</Words>
  <Characters>51074</Characters>
  <Application>Microsoft Office Word</Application>
  <DocSecurity>0</DocSecurity>
  <Lines>1187</Lines>
  <Paragraphs>642</Paragraphs>
  <ScaleCrop>false</ScaleCrop>
  <HeadingPairs>
    <vt:vector size="2" baseType="variant">
      <vt:variant>
        <vt:lpstr>Title</vt:lpstr>
      </vt:variant>
      <vt:variant>
        <vt:i4>1</vt:i4>
      </vt:variant>
    </vt:vector>
  </HeadingPairs>
  <TitlesOfParts>
    <vt:vector size="1" baseType="lpstr">
      <vt:lpstr>AusPAR Attachment 2: Extract from the Clinical Evaluation Report for Abiraterone Acetate (Zytiga)</vt:lpstr>
    </vt:vector>
  </TitlesOfParts>
  <Company>TGA</Company>
  <LinksUpToDate>false</LinksUpToDate>
  <CharactersWithSpaces>59088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AusPAR Attachment 2: Extract from the Clinical Evaluation Report for Abiraterone Acetate (Zytiga)</dc:title>
  <dc:subject>prescription medicine regulation</dc:subject>
  <dc:creator>Therapeutic Goods Administration</dc:creator>
  <cp:keywords>clinical, evaluation, report, medicine, assessment, regulation, australia, abiraterone, acetate, zytiga, janssen-cilag</cp:keywords>
  <cp:lastModifiedBy>Sheppard, Fran</cp:lastModifiedBy>
  <cp:revision>3</cp:revision>
  <cp:lastPrinted>2010-12-20T22:59:00Z</cp:lastPrinted>
  <dcterms:created xsi:type="dcterms:W3CDTF">2014-03-19T03:31:00Z</dcterms:created>
  <dcterms:modified xsi:type="dcterms:W3CDTF">2014-03-19T04:31:00Z</dcterms:modified>
</cp:coreProperties>
</file>