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5602127" w14:textId="77777777" w:rsidTr="00BF1190">
        <w:trPr>
          <w:trHeight w:val="1863"/>
        </w:trPr>
        <w:tc>
          <w:tcPr>
            <w:tcW w:w="3652" w:type="dxa"/>
            <w:tcBorders>
              <w:top w:val="nil"/>
              <w:left w:val="nil"/>
              <w:bottom w:val="nil"/>
              <w:right w:val="nil"/>
            </w:tcBorders>
          </w:tcPr>
          <w:p w14:paraId="77D299B8" w14:textId="6B560EFC" w:rsidR="008E7846" w:rsidRPr="00096AA7" w:rsidRDefault="00CE13FD" w:rsidP="00416CEC">
            <w:pPr>
              <w:pStyle w:val="Date"/>
              <w:framePr w:hSpace="0" w:wrap="auto" w:vAnchor="margin" w:hAnchor="text" w:yAlign="inline"/>
              <w:suppressOverlap w:val="0"/>
            </w:pPr>
            <w:r>
              <w:t xml:space="preserve">September </w:t>
            </w:r>
            <w:r w:rsidR="006C5AD7">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78DAC39" w14:textId="77777777" w:rsidTr="0032583B">
        <w:trPr>
          <w:trHeight w:val="868"/>
        </w:trPr>
        <w:tc>
          <w:tcPr>
            <w:tcW w:w="9079" w:type="dxa"/>
          </w:tcPr>
          <w:p w14:paraId="33E4B201" w14:textId="77777777" w:rsidR="0032583B" w:rsidRPr="00A964D1" w:rsidRDefault="0032583B" w:rsidP="00416CEC">
            <w:pPr>
              <w:pStyle w:val="Title"/>
              <w:framePr w:hSpace="0" w:wrap="auto" w:vAnchor="margin" w:yAlign="inline"/>
            </w:pPr>
            <w:bookmarkStart w:id="0" w:name="_GoBack"/>
            <w:r w:rsidRPr="00A964D1">
              <w:t>Australian Pu</w:t>
            </w:r>
            <w:r w:rsidR="006C5AD7">
              <w:t xml:space="preserve">blic Assessment Report for </w:t>
            </w:r>
            <w:proofErr w:type="spellStart"/>
            <w:r w:rsidR="006C5AD7">
              <w:t>Ranibizumab</w:t>
            </w:r>
            <w:bookmarkEnd w:id="0"/>
            <w:proofErr w:type="spellEnd"/>
          </w:p>
        </w:tc>
      </w:tr>
      <w:tr w:rsidR="0032583B" w:rsidRPr="00B64760" w14:paraId="5CF0BEC0" w14:textId="77777777" w:rsidTr="0032583B">
        <w:tc>
          <w:tcPr>
            <w:tcW w:w="9079" w:type="dxa"/>
          </w:tcPr>
          <w:p w14:paraId="4114FB12" w14:textId="77777777" w:rsidR="0032583B" w:rsidRPr="008E7846" w:rsidRDefault="006C5AD7" w:rsidP="00416CEC">
            <w:pPr>
              <w:pStyle w:val="Subtitle"/>
              <w:framePr w:hSpace="0" w:wrap="auto" w:vAnchor="margin" w:yAlign="inline"/>
            </w:pPr>
            <w:r>
              <w:t xml:space="preserve">Proprietary Product Name: </w:t>
            </w:r>
            <w:proofErr w:type="spellStart"/>
            <w:r>
              <w:t>Lucentis</w:t>
            </w:r>
            <w:proofErr w:type="spellEnd"/>
          </w:p>
        </w:tc>
      </w:tr>
      <w:tr w:rsidR="0032583B" w:rsidRPr="00B64760" w14:paraId="1DEDE61E" w14:textId="77777777" w:rsidTr="0032583B">
        <w:trPr>
          <w:trHeight w:val="486"/>
        </w:trPr>
        <w:tc>
          <w:tcPr>
            <w:tcW w:w="9079" w:type="dxa"/>
          </w:tcPr>
          <w:p w14:paraId="1AD2A418" w14:textId="77777777" w:rsidR="0032583B" w:rsidRPr="008E7846" w:rsidRDefault="006C5AD7" w:rsidP="00416CEC">
            <w:pPr>
              <w:pStyle w:val="Subtitle"/>
              <w:framePr w:hSpace="0" w:wrap="auto" w:vAnchor="margin" w:yAlign="inline"/>
            </w:pPr>
            <w:r>
              <w:t>Sponsor: Novartis Pharm</w:t>
            </w:r>
            <w:r w:rsidR="00E044DF">
              <w:t>aceuticals Australia Pty Ltd</w:t>
            </w:r>
          </w:p>
        </w:tc>
      </w:tr>
    </w:tbl>
    <w:p w14:paraId="4AA1C59E" w14:textId="77777777" w:rsidR="008E7846" w:rsidRPr="0085156D" w:rsidRDefault="008E7846" w:rsidP="0085156D">
      <w:r w:rsidRPr="0085156D">
        <w:br w:type="page"/>
      </w:r>
    </w:p>
    <w:p w14:paraId="3B272B7F" w14:textId="77777777" w:rsidR="008E7846" w:rsidRPr="001F6CBA" w:rsidRDefault="008E7846" w:rsidP="008E7846">
      <w:pPr>
        <w:pStyle w:val="NonTOCHeading2"/>
      </w:pPr>
      <w:r w:rsidRPr="001F6CBA">
        <w:lastRenderedPageBreak/>
        <w:t>About the Therapeutic Goods Administration (TGA)</w:t>
      </w:r>
    </w:p>
    <w:p w14:paraId="68BC6C98"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F9EEBA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EC3E0E7" w14:textId="77777777" w:rsidR="008E7846" w:rsidRDefault="008E7846" w:rsidP="008E7846">
      <w:pPr>
        <w:pStyle w:val="ListBullet"/>
        <w:numPr>
          <w:ilvl w:val="0"/>
          <w:numId w:val="3"/>
        </w:numPr>
        <w:ind w:left="357" w:hanging="357"/>
      </w:pPr>
      <w:r>
        <w:t xml:space="preserve">The work of the TGA </w:t>
      </w:r>
      <w:proofErr w:type="gramStart"/>
      <w:r>
        <w:t>is based</w:t>
      </w:r>
      <w:proofErr w:type="gramEnd"/>
      <w:r>
        <w:t xml:space="preserve"> on applying scientific and clinical expertise to decision-making, to ensure that the benefits to consumers outweigh any risks associated with the use of medicines and medical devices.</w:t>
      </w:r>
    </w:p>
    <w:p w14:paraId="2B97D955"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7B795C6E" w14:textId="64531BE5"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79DBDDE5" w14:textId="77777777" w:rsidR="008E7846" w:rsidRDefault="008E7846" w:rsidP="00875A6B">
      <w:pPr>
        <w:pStyle w:val="NonTOCHeading2"/>
      </w:pPr>
      <w:r>
        <w:t xml:space="preserve">About </w:t>
      </w:r>
      <w:proofErr w:type="spellStart"/>
      <w:r>
        <w:t>AusPARs</w:t>
      </w:r>
      <w:proofErr w:type="spellEnd"/>
    </w:p>
    <w:p w14:paraId="02DC96CD"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6391ECA5" w14:textId="77777777" w:rsidR="008E7846" w:rsidRDefault="008E7846" w:rsidP="008E7846">
      <w:pPr>
        <w:pStyle w:val="ListBullet"/>
        <w:numPr>
          <w:ilvl w:val="0"/>
          <w:numId w:val="3"/>
        </w:numPr>
        <w:ind w:left="357" w:hanging="357"/>
      </w:pPr>
      <w:proofErr w:type="spellStart"/>
      <w:r>
        <w:t>AusPARs</w:t>
      </w:r>
      <w:proofErr w:type="spellEnd"/>
      <w:r>
        <w:t xml:space="preserve"> </w:t>
      </w:r>
      <w:proofErr w:type="gramStart"/>
      <w:r>
        <w:t>are prepared and published by the TGA</w:t>
      </w:r>
      <w:proofErr w:type="gramEnd"/>
      <w:r>
        <w:t>.</w:t>
      </w:r>
    </w:p>
    <w:p w14:paraId="70305C4B"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w:t>
      </w:r>
      <w:proofErr w:type="gramStart"/>
      <w:r>
        <w:t>is prepared</w:t>
      </w:r>
      <w:proofErr w:type="gramEnd"/>
      <w:r>
        <w:t xml:space="preserve"> for submissions that relate to new chemical entities, generic medicines, major variations and extensions of indications.</w:t>
      </w:r>
    </w:p>
    <w:p w14:paraId="0A519EBD"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784364F1"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t>
      </w:r>
      <w:proofErr w:type="gramStart"/>
      <w:r>
        <w:t>will be developed</w:t>
      </w:r>
      <w:proofErr w:type="gramEnd"/>
      <w:r>
        <w:t xml:space="preserve"> to reflect changes to indications and/or major variations to a prescription medicine subject to evaluation by the TGA.</w:t>
      </w:r>
    </w:p>
    <w:p w14:paraId="4C8458CD" w14:textId="77777777" w:rsidR="00924482" w:rsidRPr="00DF1D7F" w:rsidRDefault="00924482" w:rsidP="00F54B65">
      <w:pPr>
        <w:pStyle w:val="LegalSubheading"/>
        <w:spacing w:before="3120"/>
      </w:pPr>
      <w:r w:rsidRPr="00DF1D7F">
        <w:t>Copyright</w:t>
      </w:r>
    </w:p>
    <w:p w14:paraId="0C4F9601" w14:textId="63620EC9" w:rsidR="00924482" w:rsidRDefault="00924482" w:rsidP="00924482">
      <w:pPr>
        <w:pStyle w:val="LegalCopy"/>
      </w:pPr>
      <w:r w:rsidRPr="00191B3B">
        <w:rPr>
          <w:rFonts w:cs="Arial"/>
          <w:lang w:val="en-GB"/>
        </w:rPr>
        <w:t>© Comm</w:t>
      </w:r>
      <w:r w:rsidR="006C5AD7">
        <w:rPr>
          <w:rFonts w:cs="Arial"/>
          <w:lang w:val="en-GB"/>
        </w:rPr>
        <w:t>onwealth of Australia 2020</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w:t>
      </w:r>
      <w:proofErr w:type="gramStart"/>
      <w:r w:rsidRPr="00191B3B">
        <w:rPr>
          <w:rFonts w:cs="Arial"/>
          <w:lang w:val="en-GB"/>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191B3B">
        <w:rPr>
          <w:rFonts w:cs="Arial"/>
          <w:lang w:val="en-GB"/>
        </w:rPr>
        <w:t xml:space="preserve">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191B3B">
        <w:rPr>
          <w:rFonts w:cs="Arial"/>
          <w:lang w:val="en-GB"/>
        </w:rPr>
        <w:t>sent</w:t>
      </w:r>
      <w:proofErr w:type="gramEnd"/>
      <w:r w:rsidRPr="00191B3B">
        <w:rPr>
          <w:rFonts w:cs="Arial"/>
          <w:lang w:val="en-GB"/>
        </w:rPr>
        <w:t xml:space="preserve">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643A5C8F"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DFDBCA2" w14:textId="77777777" w:rsidR="0089635C" w:rsidRPr="0089635C" w:rsidRDefault="0089635C" w:rsidP="0010788A">
          <w:pPr>
            <w:pStyle w:val="Contents"/>
          </w:pPr>
          <w:r w:rsidRPr="0010788A">
            <w:t>Contents</w:t>
          </w:r>
        </w:p>
        <w:p w14:paraId="065B8BAA" w14:textId="5DA11295" w:rsidR="00EA746F"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50054476" w:history="1">
            <w:r w:rsidR="00EA746F" w:rsidRPr="00DC12D0">
              <w:rPr>
                <w:rStyle w:val="Hyperlink"/>
                <w:noProof/>
              </w:rPr>
              <w:t>Common abbreviations</w:t>
            </w:r>
            <w:r w:rsidR="00EA746F">
              <w:rPr>
                <w:noProof/>
                <w:webHidden/>
              </w:rPr>
              <w:tab/>
            </w:r>
            <w:r w:rsidR="00EA746F">
              <w:rPr>
                <w:noProof/>
                <w:webHidden/>
              </w:rPr>
              <w:fldChar w:fldCharType="begin"/>
            </w:r>
            <w:r w:rsidR="00EA746F">
              <w:rPr>
                <w:noProof/>
                <w:webHidden/>
              </w:rPr>
              <w:instrText xml:space="preserve"> PAGEREF _Toc50054476 \h </w:instrText>
            </w:r>
            <w:r w:rsidR="00EA746F">
              <w:rPr>
                <w:noProof/>
                <w:webHidden/>
              </w:rPr>
            </w:r>
            <w:r w:rsidR="00EA746F">
              <w:rPr>
                <w:noProof/>
                <w:webHidden/>
              </w:rPr>
              <w:fldChar w:fldCharType="separate"/>
            </w:r>
            <w:r w:rsidR="00EA746F">
              <w:rPr>
                <w:noProof/>
                <w:webHidden/>
              </w:rPr>
              <w:t>4</w:t>
            </w:r>
            <w:r w:rsidR="00EA746F">
              <w:rPr>
                <w:noProof/>
                <w:webHidden/>
              </w:rPr>
              <w:fldChar w:fldCharType="end"/>
            </w:r>
          </w:hyperlink>
        </w:p>
        <w:p w14:paraId="0109ACD6" w14:textId="2377A772" w:rsidR="00EA746F" w:rsidRDefault="004616F9">
          <w:pPr>
            <w:pStyle w:val="TOC2"/>
            <w:rPr>
              <w:rFonts w:asciiTheme="minorHAnsi" w:eastAsiaTheme="minorEastAsia" w:hAnsiTheme="minorHAnsi" w:cstheme="minorBidi"/>
              <w:b w:val="0"/>
              <w:noProof/>
              <w:sz w:val="22"/>
              <w:lang w:eastAsia="en-AU"/>
            </w:rPr>
          </w:pPr>
          <w:hyperlink w:anchor="_Toc50054477" w:history="1">
            <w:r w:rsidR="00EA746F" w:rsidRPr="00DC12D0">
              <w:rPr>
                <w:rStyle w:val="Hyperlink"/>
                <w:noProof/>
              </w:rPr>
              <w:t>I. Introduction to product submission</w:t>
            </w:r>
            <w:r w:rsidR="00EA746F">
              <w:rPr>
                <w:noProof/>
                <w:webHidden/>
              </w:rPr>
              <w:tab/>
            </w:r>
            <w:r w:rsidR="00EA746F">
              <w:rPr>
                <w:noProof/>
                <w:webHidden/>
              </w:rPr>
              <w:fldChar w:fldCharType="begin"/>
            </w:r>
            <w:r w:rsidR="00EA746F">
              <w:rPr>
                <w:noProof/>
                <w:webHidden/>
              </w:rPr>
              <w:instrText xml:space="preserve"> PAGEREF _Toc50054477 \h </w:instrText>
            </w:r>
            <w:r w:rsidR="00EA746F">
              <w:rPr>
                <w:noProof/>
                <w:webHidden/>
              </w:rPr>
            </w:r>
            <w:r w:rsidR="00EA746F">
              <w:rPr>
                <w:noProof/>
                <w:webHidden/>
              </w:rPr>
              <w:fldChar w:fldCharType="separate"/>
            </w:r>
            <w:r w:rsidR="00EA746F">
              <w:rPr>
                <w:noProof/>
                <w:webHidden/>
              </w:rPr>
              <w:t>6</w:t>
            </w:r>
            <w:r w:rsidR="00EA746F">
              <w:rPr>
                <w:noProof/>
                <w:webHidden/>
              </w:rPr>
              <w:fldChar w:fldCharType="end"/>
            </w:r>
          </w:hyperlink>
        </w:p>
        <w:p w14:paraId="6B384A6F" w14:textId="15DE1B3D" w:rsidR="00EA746F" w:rsidRDefault="004616F9">
          <w:pPr>
            <w:pStyle w:val="TOC3"/>
            <w:rPr>
              <w:rFonts w:asciiTheme="minorHAnsi" w:eastAsiaTheme="minorEastAsia" w:hAnsiTheme="minorHAnsi" w:cstheme="minorBidi"/>
              <w:noProof/>
              <w:lang w:eastAsia="en-AU"/>
            </w:rPr>
          </w:pPr>
          <w:hyperlink w:anchor="_Toc50054478" w:history="1">
            <w:r w:rsidR="00EA746F" w:rsidRPr="00DC12D0">
              <w:rPr>
                <w:rStyle w:val="Hyperlink"/>
                <w:noProof/>
                <w:lang w:eastAsia="en-AU"/>
              </w:rPr>
              <w:t>Submission details</w:t>
            </w:r>
            <w:r w:rsidR="00EA746F">
              <w:rPr>
                <w:noProof/>
                <w:webHidden/>
              </w:rPr>
              <w:tab/>
            </w:r>
            <w:r w:rsidR="00EA746F">
              <w:rPr>
                <w:noProof/>
                <w:webHidden/>
              </w:rPr>
              <w:fldChar w:fldCharType="begin"/>
            </w:r>
            <w:r w:rsidR="00EA746F">
              <w:rPr>
                <w:noProof/>
                <w:webHidden/>
              </w:rPr>
              <w:instrText xml:space="preserve"> PAGEREF _Toc50054478 \h </w:instrText>
            </w:r>
            <w:r w:rsidR="00EA746F">
              <w:rPr>
                <w:noProof/>
                <w:webHidden/>
              </w:rPr>
            </w:r>
            <w:r w:rsidR="00EA746F">
              <w:rPr>
                <w:noProof/>
                <w:webHidden/>
              </w:rPr>
              <w:fldChar w:fldCharType="separate"/>
            </w:r>
            <w:r w:rsidR="00EA746F">
              <w:rPr>
                <w:noProof/>
                <w:webHidden/>
              </w:rPr>
              <w:t>6</w:t>
            </w:r>
            <w:r w:rsidR="00EA746F">
              <w:rPr>
                <w:noProof/>
                <w:webHidden/>
              </w:rPr>
              <w:fldChar w:fldCharType="end"/>
            </w:r>
          </w:hyperlink>
        </w:p>
        <w:p w14:paraId="698C631C" w14:textId="4CF10B38" w:rsidR="00EA746F" w:rsidRDefault="004616F9">
          <w:pPr>
            <w:pStyle w:val="TOC3"/>
            <w:rPr>
              <w:rFonts w:asciiTheme="minorHAnsi" w:eastAsiaTheme="minorEastAsia" w:hAnsiTheme="minorHAnsi" w:cstheme="minorBidi"/>
              <w:noProof/>
              <w:lang w:eastAsia="en-AU"/>
            </w:rPr>
          </w:pPr>
          <w:hyperlink w:anchor="_Toc50054479" w:history="1">
            <w:r w:rsidR="00EA746F" w:rsidRPr="00DC12D0">
              <w:rPr>
                <w:rStyle w:val="Hyperlink"/>
                <w:noProof/>
              </w:rPr>
              <w:t>Product background</w:t>
            </w:r>
            <w:r w:rsidR="00EA746F">
              <w:rPr>
                <w:noProof/>
                <w:webHidden/>
              </w:rPr>
              <w:tab/>
            </w:r>
            <w:r w:rsidR="00EA746F">
              <w:rPr>
                <w:noProof/>
                <w:webHidden/>
              </w:rPr>
              <w:fldChar w:fldCharType="begin"/>
            </w:r>
            <w:r w:rsidR="00EA746F">
              <w:rPr>
                <w:noProof/>
                <w:webHidden/>
              </w:rPr>
              <w:instrText xml:space="preserve"> PAGEREF _Toc50054479 \h </w:instrText>
            </w:r>
            <w:r w:rsidR="00EA746F">
              <w:rPr>
                <w:noProof/>
                <w:webHidden/>
              </w:rPr>
            </w:r>
            <w:r w:rsidR="00EA746F">
              <w:rPr>
                <w:noProof/>
                <w:webHidden/>
              </w:rPr>
              <w:fldChar w:fldCharType="separate"/>
            </w:r>
            <w:r w:rsidR="00EA746F">
              <w:rPr>
                <w:noProof/>
                <w:webHidden/>
              </w:rPr>
              <w:t>7</w:t>
            </w:r>
            <w:r w:rsidR="00EA746F">
              <w:rPr>
                <w:noProof/>
                <w:webHidden/>
              </w:rPr>
              <w:fldChar w:fldCharType="end"/>
            </w:r>
          </w:hyperlink>
        </w:p>
        <w:p w14:paraId="49C30602" w14:textId="05748CC9" w:rsidR="00EA746F" w:rsidRDefault="004616F9">
          <w:pPr>
            <w:pStyle w:val="TOC3"/>
            <w:rPr>
              <w:rFonts w:asciiTheme="minorHAnsi" w:eastAsiaTheme="minorEastAsia" w:hAnsiTheme="minorHAnsi" w:cstheme="minorBidi"/>
              <w:noProof/>
              <w:lang w:eastAsia="en-AU"/>
            </w:rPr>
          </w:pPr>
          <w:hyperlink w:anchor="_Toc50054480" w:history="1">
            <w:r w:rsidR="00EA746F" w:rsidRPr="00DC12D0">
              <w:rPr>
                <w:rStyle w:val="Hyperlink"/>
                <w:noProof/>
              </w:rPr>
              <w:t>Regulatory status</w:t>
            </w:r>
            <w:r w:rsidR="00EA746F">
              <w:rPr>
                <w:noProof/>
                <w:webHidden/>
              </w:rPr>
              <w:tab/>
            </w:r>
            <w:r w:rsidR="00EA746F">
              <w:rPr>
                <w:noProof/>
                <w:webHidden/>
              </w:rPr>
              <w:fldChar w:fldCharType="begin"/>
            </w:r>
            <w:r w:rsidR="00EA746F">
              <w:rPr>
                <w:noProof/>
                <w:webHidden/>
              </w:rPr>
              <w:instrText xml:space="preserve"> PAGEREF _Toc50054480 \h </w:instrText>
            </w:r>
            <w:r w:rsidR="00EA746F">
              <w:rPr>
                <w:noProof/>
                <w:webHidden/>
              </w:rPr>
            </w:r>
            <w:r w:rsidR="00EA746F">
              <w:rPr>
                <w:noProof/>
                <w:webHidden/>
              </w:rPr>
              <w:fldChar w:fldCharType="separate"/>
            </w:r>
            <w:r w:rsidR="00EA746F">
              <w:rPr>
                <w:noProof/>
                <w:webHidden/>
              </w:rPr>
              <w:t>9</w:t>
            </w:r>
            <w:r w:rsidR="00EA746F">
              <w:rPr>
                <w:noProof/>
                <w:webHidden/>
              </w:rPr>
              <w:fldChar w:fldCharType="end"/>
            </w:r>
          </w:hyperlink>
        </w:p>
        <w:p w14:paraId="59CA5696" w14:textId="68337371" w:rsidR="00EA746F" w:rsidRDefault="004616F9">
          <w:pPr>
            <w:pStyle w:val="TOC2"/>
            <w:rPr>
              <w:rFonts w:asciiTheme="minorHAnsi" w:eastAsiaTheme="minorEastAsia" w:hAnsiTheme="minorHAnsi" w:cstheme="minorBidi"/>
              <w:b w:val="0"/>
              <w:noProof/>
              <w:sz w:val="22"/>
              <w:lang w:eastAsia="en-AU"/>
            </w:rPr>
          </w:pPr>
          <w:hyperlink w:anchor="_Toc50054481" w:history="1">
            <w:r w:rsidR="00EA746F" w:rsidRPr="00DC12D0">
              <w:rPr>
                <w:rStyle w:val="Hyperlink"/>
                <w:noProof/>
              </w:rPr>
              <w:t>II. Registration timeline</w:t>
            </w:r>
            <w:r w:rsidR="00EA746F">
              <w:rPr>
                <w:noProof/>
                <w:webHidden/>
              </w:rPr>
              <w:tab/>
            </w:r>
            <w:r w:rsidR="00EA746F">
              <w:rPr>
                <w:noProof/>
                <w:webHidden/>
              </w:rPr>
              <w:fldChar w:fldCharType="begin"/>
            </w:r>
            <w:r w:rsidR="00EA746F">
              <w:rPr>
                <w:noProof/>
                <w:webHidden/>
              </w:rPr>
              <w:instrText xml:space="preserve"> PAGEREF _Toc50054481 \h </w:instrText>
            </w:r>
            <w:r w:rsidR="00EA746F">
              <w:rPr>
                <w:noProof/>
                <w:webHidden/>
              </w:rPr>
            </w:r>
            <w:r w:rsidR="00EA746F">
              <w:rPr>
                <w:noProof/>
                <w:webHidden/>
              </w:rPr>
              <w:fldChar w:fldCharType="separate"/>
            </w:r>
            <w:r w:rsidR="00EA746F">
              <w:rPr>
                <w:noProof/>
                <w:webHidden/>
              </w:rPr>
              <w:t>9</w:t>
            </w:r>
            <w:r w:rsidR="00EA746F">
              <w:rPr>
                <w:noProof/>
                <w:webHidden/>
              </w:rPr>
              <w:fldChar w:fldCharType="end"/>
            </w:r>
          </w:hyperlink>
        </w:p>
        <w:p w14:paraId="4268ACDB" w14:textId="54BE81ED" w:rsidR="00EA746F" w:rsidRDefault="004616F9">
          <w:pPr>
            <w:pStyle w:val="TOC2"/>
            <w:rPr>
              <w:rFonts w:asciiTheme="minorHAnsi" w:eastAsiaTheme="minorEastAsia" w:hAnsiTheme="minorHAnsi" w:cstheme="minorBidi"/>
              <w:b w:val="0"/>
              <w:noProof/>
              <w:sz w:val="22"/>
              <w:lang w:eastAsia="en-AU"/>
            </w:rPr>
          </w:pPr>
          <w:hyperlink w:anchor="_Toc50054482" w:history="1">
            <w:r w:rsidR="00EA746F" w:rsidRPr="00DC12D0">
              <w:rPr>
                <w:rStyle w:val="Hyperlink"/>
                <w:noProof/>
              </w:rPr>
              <w:t>III. Submission overview and risk/benefit assessment</w:t>
            </w:r>
            <w:r w:rsidR="00EA746F">
              <w:rPr>
                <w:noProof/>
                <w:webHidden/>
              </w:rPr>
              <w:tab/>
            </w:r>
            <w:r w:rsidR="00EA746F">
              <w:rPr>
                <w:noProof/>
                <w:webHidden/>
              </w:rPr>
              <w:fldChar w:fldCharType="begin"/>
            </w:r>
            <w:r w:rsidR="00EA746F">
              <w:rPr>
                <w:noProof/>
                <w:webHidden/>
              </w:rPr>
              <w:instrText xml:space="preserve"> PAGEREF _Toc50054482 \h </w:instrText>
            </w:r>
            <w:r w:rsidR="00EA746F">
              <w:rPr>
                <w:noProof/>
                <w:webHidden/>
              </w:rPr>
            </w:r>
            <w:r w:rsidR="00EA746F">
              <w:rPr>
                <w:noProof/>
                <w:webHidden/>
              </w:rPr>
              <w:fldChar w:fldCharType="separate"/>
            </w:r>
            <w:r w:rsidR="00EA746F">
              <w:rPr>
                <w:noProof/>
                <w:webHidden/>
              </w:rPr>
              <w:t>10</w:t>
            </w:r>
            <w:r w:rsidR="00EA746F">
              <w:rPr>
                <w:noProof/>
                <w:webHidden/>
              </w:rPr>
              <w:fldChar w:fldCharType="end"/>
            </w:r>
          </w:hyperlink>
        </w:p>
        <w:p w14:paraId="44BC2AC5" w14:textId="151BA079" w:rsidR="00EA746F" w:rsidRDefault="004616F9">
          <w:pPr>
            <w:pStyle w:val="TOC3"/>
            <w:rPr>
              <w:rFonts w:asciiTheme="minorHAnsi" w:eastAsiaTheme="minorEastAsia" w:hAnsiTheme="minorHAnsi" w:cstheme="minorBidi"/>
              <w:noProof/>
              <w:lang w:eastAsia="en-AU"/>
            </w:rPr>
          </w:pPr>
          <w:hyperlink w:anchor="_Toc50054483" w:history="1">
            <w:r w:rsidR="00EA746F" w:rsidRPr="00DC12D0">
              <w:rPr>
                <w:rStyle w:val="Hyperlink"/>
                <w:noProof/>
              </w:rPr>
              <w:t>Quality</w:t>
            </w:r>
            <w:r w:rsidR="00EA746F">
              <w:rPr>
                <w:noProof/>
                <w:webHidden/>
              </w:rPr>
              <w:tab/>
            </w:r>
            <w:r w:rsidR="00EA746F">
              <w:rPr>
                <w:noProof/>
                <w:webHidden/>
              </w:rPr>
              <w:fldChar w:fldCharType="begin"/>
            </w:r>
            <w:r w:rsidR="00EA746F">
              <w:rPr>
                <w:noProof/>
                <w:webHidden/>
              </w:rPr>
              <w:instrText xml:space="preserve"> PAGEREF _Toc50054483 \h </w:instrText>
            </w:r>
            <w:r w:rsidR="00EA746F">
              <w:rPr>
                <w:noProof/>
                <w:webHidden/>
              </w:rPr>
            </w:r>
            <w:r w:rsidR="00EA746F">
              <w:rPr>
                <w:noProof/>
                <w:webHidden/>
              </w:rPr>
              <w:fldChar w:fldCharType="separate"/>
            </w:r>
            <w:r w:rsidR="00EA746F">
              <w:rPr>
                <w:noProof/>
                <w:webHidden/>
              </w:rPr>
              <w:t>10</w:t>
            </w:r>
            <w:r w:rsidR="00EA746F">
              <w:rPr>
                <w:noProof/>
                <w:webHidden/>
              </w:rPr>
              <w:fldChar w:fldCharType="end"/>
            </w:r>
          </w:hyperlink>
        </w:p>
        <w:p w14:paraId="01C19FE9" w14:textId="20D446B3" w:rsidR="00EA746F" w:rsidRDefault="004616F9">
          <w:pPr>
            <w:pStyle w:val="TOC3"/>
            <w:rPr>
              <w:rFonts w:asciiTheme="minorHAnsi" w:eastAsiaTheme="minorEastAsia" w:hAnsiTheme="minorHAnsi" w:cstheme="minorBidi"/>
              <w:noProof/>
              <w:lang w:eastAsia="en-AU"/>
            </w:rPr>
          </w:pPr>
          <w:hyperlink w:anchor="_Toc50054484" w:history="1">
            <w:r w:rsidR="00EA746F" w:rsidRPr="00DC12D0">
              <w:rPr>
                <w:rStyle w:val="Hyperlink"/>
                <w:noProof/>
              </w:rPr>
              <w:t>Nonclinical</w:t>
            </w:r>
            <w:r w:rsidR="00EA746F">
              <w:rPr>
                <w:noProof/>
                <w:webHidden/>
              </w:rPr>
              <w:tab/>
            </w:r>
            <w:r w:rsidR="00EA746F">
              <w:rPr>
                <w:noProof/>
                <w:webHidden/>
              </w:rPr>
              <w:fldChar w:fldCharType="begin"/>
            </w:r>
            <w:r w:rsidR="00EA746F">
              <w:rPr>
                <w:noProof/>
                <w:webHidden/>
              </w:rPr>
              <w:instrText xml:space="preserve"> PAGEREF _Toc50054484 \h </w:instrText>
            </w:r>
            <w:r w:rsidR="00EA746F">
              <w:rPr>
                <w:noProof/>
                <w:webHidden/>
              </w:rPr>
            </w:r>
            <w:r w:rsidR="00EA746F">
              <w:rPr>
                <w:noProof/>
                <w:webHidden/>
              </w:rPr>
              <w:fldChar w:fldCharType="separate"/>
            </w:r>
            <w:r w:rsidR="00EA746F">
              <w:rPr>
                <w:noProof/>
                <w:webHidden/>
              </w:rPr>
              <w:t>10</w:t>
            </w:r>
            <w:r w:rsidR="00EA746F">
              <w:rPr>
                <w:noProof/>
                <w:webHidden/>
              </w:rPr>
              <w:fldChar w:fldCharType="end"/>
            </w:r>
          </w:hyperlink>
        </w:p>
        <w:p w14:paraId="7C206709" w14:textId="0D21EC6F" w:rsidR="00EA746F" w:rsidRDefault="004616F9">
          <w:pPr>
            <w:pStyle w:val="TOC3"/>
            <w:rPr>
              <w:rFonts w:asciiTheme="minorHAnsi" w:eastAsiaTheme="minorEastAsia" w:hAnsiTheme="minorHAnsi" w:cstheme="minorBidi"/>
              <w:noProof/>
              <w:lang w:eastAsia="en-AU"/>
            </w:rPr>
          </w:pPr>
          <w:hyperlink w:anchor="_Toc50054485" w:history="1">
            <w:r w:rsidR="00EA746F" w:rsidRPr="00DC12D0">
              <w:rPr>
                <w:rStyle w:val="Hyperlink"/>
                <w:noProof/>
              </w:rPr>
              <w:t>Clinical</w:t>
            </w:r>
            <w:r w:rsidR="00EA746F">
              <w:rPr>
                <w:noProof/>
                <w:webHidden/>
              </w:rPr>
              <w:tab/>
            </w:r>
            <w:r w:rsidR="00EA746F">
              <w:rPr>
                <w:noProof/>
                <w:webHidden/>
              </w:rPr>
              <w:fldChar w:fldCharType="begin"/>
            </w:r>
            <w:r w:rsidR="00EA746F">
              <w:rPr>
                <w:noProof/>
                <w:webHidden/>
              </w:rPr>
              <w:instrText xml:space="preserve"> PAGEREF _Toc50054485 \h </w:instrText>
            </w:r>
            <w:r w:rsidR="00EA746F">
              <w:rPr>
                <w:noProof/>
                <w:webHidden/>
              </w:rPr>
            </w:r>
            <w:r w:rsidR="00EA746F">
              <w:rPr>
                <w:noProof/>
                <w:webHidden/>
              </w:rPr>
              <w:fldChar w:fldCharType="separate"/>
            </w:r>
            <w:r w:rsidR="00EA746F">
              <w:rPr>
                <w:noProof/>
                <w:webHidden/>
              </w:rPr>
              <w:t>11</w:t>
            </w:r>
            <w:r w:rsidR="00EA746F">
              <w:rPr>
                <w:noProof/>
                <w:webHidden/>
              </w:rPr>
              <w:fldChar w:fldCharType="end"/>
            </w:r>
          </w:hyperlink>
        </w:p>
        <w:p w14:paraId="021DC9B9" w14:textId="49C02D2C" w:rsidR="00EA746F" w:rsidRDefault="004616F9">
          <w:pPr>
            <w:pStyle w:val="TOC3"/>
            <w:rPr>
              <w:rFonts w:asciiTheme="minorHAnsi" w:eastAsiaTheme="minorEastAsia" w:hAnsiTheme="minorHAnsi" w:cstheme="minorBidi"/>
              <w:noProof/>
              <w:lang w:eastAsia="en-AU"/>
            </w:rPr>
          </w:pPr>
          <w:hyperlink w:anchor="_Toc50054486" w:history="1">
            <w:r w:rsidR="00EA746F" w:rsidRPr="00DC12D0">
              <w:rPr>
                <w:rStyle w:val="Hyperlink"/>
                <w:noProof/>
                <w:lang w:eastAsia="en-AU"/>
              </w:rPr>
              <w:t>Risk management plan</w:t>
            </w:r>
            <w:r w:rsidR="00EA746F">
              <w:rPr>
                <w:noProof/>
                <w:webHidden/>
              </w:rPr>
              <w:tab/>
            </w:r>
            <w:r w:rsidR="00EA746F">
              <w:rPr>
                <w:noProof/>
                <w:webHidden/>
              </w:rPr>
              <w:fldChar w:fldCharType="begin"/>
            </w:r>
            <w:r w:rsidR="00EA746F">
              <w:rPr>
                <w:noProof/>
                <w:webHidden/>
              </w:rPr>
              <w:instrText xml:space="preserve"> PAGEREF _Toc50054486 \h </w:instrText>
            </w:r>
            <w:r w:rsidR="00EA746F">
              <w:rPr>
                <w:noProof/>
                <w:webHidden/>
              </w:rPr>
            </w:r>
            <w:r w:rsidR="00EA746F">
              <w:rPr>
                <w:noProof/>
                <w:webHidden/>
              </w:rPr>
              <w:fldChar w:fldCharType="separate"/>
            </w:r>
            <w:r w:rsidR="00EA746F">
              <w:rPr>
                <w:noProof/>
                <w:webHidden/>
              </w:rPr>
              <w:t>14</w:t>
            </w:r>
            <w:r w:rsidR="00EA746F">
              <w:rPr>
                <w:noProof/>
                <w:webHidden/>
              </w:rPr>
              <w:fldChar w:fldCharType="end"/>
            </w:r>
          </w:hyperlink>
        </w:p>
        <w:p w14:paraId="4BD07594" w14:textId="4C228DC9" w:rsidR="00EA746F" w:rsidRDefault="004616F9">
          <w:pPr>
            <w:pStyle w:val="TOC3"/>
            <w:rPr>
              <w:rFonts w:asciiTheme="minorHAnsi" w:eastAsiaTheme="minorEastAsia" w:hAnsiTheme="minorHAnsi" w:cstheme="minorBidi"/>
              <w:noProof/>
              <w:lang w:eastAsia="en-AU"/>
            </w:rPr>
          </w:pPr>
          <w:hyperlink w:anchor="_Toc50054487" w:history="1">
            <w:r w:rsidR="00EA746F" w:rsidRPr="00DC12D0">
              <w:rPr>
                <w:rStyle w:val="Hyperlink"/>
                <w:noProof/>
              </w:rPr>
              <w:t>Risk-benefit analysis</w:t>
            </w:r>
            <w:r w:rsidR="00EA746F">
              <w:rPr>
                <w:noProof/>
                <w:webHidden/>
              </w:rPr>
              <w:tab/>
            </w:r>
            <w:r w:rsidR="00EA746F">
              <w:rPr>
                <w:noProof/>
                <w:webHidden/>
              </w:rPr>
              <w:fldChar w:fldCharType="begin"/>
            </w:r>
            <w:r w:rsidR="00EA746F">
              <w:rPr>
                <w:noProof/>
                <w:webHidden/>
              </w:rPr>
              <w:instrText xml:space="preserve"> PAGEREF _Toc50054487 \h </w:instrText>
            </w:r>
            <w:r w:rsidR="00EA746F">
              <w:rPr>
                <w:noProof/>
                <w:webHidden/>
              </w:rPr>
            </w:r>
            <w:r w:rsidR="00EA746F">
              <w:rPr>
                <w:noProof/>
                <w:webHidden/>
              </w:rPr>
              <w:fldChar w:fldCharType="separate"/>
            </w:r>
            <w:r w:rsidR="00EA746F">
              <w:rPr>
                <w:noProof/>
                <w:webHidden/>
              </w:rPr>
              <w:t>17</w:t>
            </w:r>
            <w:r w:rsidR="00EA746F">
              <w:rPr>
                <w:noProof/>
                <w:webHidden/>
              </w:rPr>
              <w:fldChar w:fldCharType="end"/>
            </w:r>
          </w:hyperlink>
        </w:p>
        <w:p w14:paraId="173B9187" w14:textId="4D6CB3AE" w:rsidR="00EA746F" w:rsidRDefault="004616F9">
          <w:pPr>
            <w:pStyle w:val="TOC3"/>
            <w:rPr>
              <w:rFonts w:asciiTheme="minorHAnsi" w:eastAsiaTheme="minorEastAsia" w:hAnsiTheme="minorHAnsi" w:cstheme="minorBidi"/>
              <w:noProof/>
              <w:lang w:eastAsia="en-AU"/>
            </w:rPr>
          </w:pPr>
          <w:hyperlink w:anchor="_Toc50054488" w:history="1">
            <w:r w:rsidR="00EA746F" w:rsidRPr="00DC12D0">
              <w:rPr>
                <w:rStyle w:val="Hyperlink"/>
                <w:noProof/>
              </w:rPr>
              <w:t>Outcome</w:t>
            </w:r>
            <w:r w:rsidR="00EA746F">
              <w:rPr>
                <w:noProof/>
                <w:webHidden/>
              </w:rPr>
              <w:tab/>
            </w:r>
            <w:r w:rsidR="00EA746F">
              <w:rPr>
                <w:noProof/>
                <w:webHidden/>
              </w:rPr>
              <w:fldChar w:fldCharType="begin"/>
            </w:r>
            <w:r w:rsidR="00EA746F">
              <w:rPr>
                <w:noProof/>
                <w:webHidden/>
              </w:rPr>
              <w:instrText xml:space="preserve"> PAGEREF _Toc50054488 \h </w:instrText>
            </w:r>
            <w:r w:rsidR="00EA746F">
              <w:rPr>
                <w:noProof/>
                <w:webHidden/>
              </w:rPr>
            </w:r>
            <w:r w:rsidR="00EA746F">
              <w:rPr>
                <w:noProof/>
                <w:webHidden/>
              </w:rPr>
              <w:fldChar w:fldCharType="separate"/>
            </w:r>
            <w:r w:rsidR="00EA746F">
              <w:rPr>
                <w:noProof/>
                <w:webHidden/>
              </w:rPr>
              <w:t>22</w:t>
            </w:r>
            <w:r w:rsidR="00EA746F">
              <w:rPr>
                <w:noProof/>
                <w:webHidden/>
              </w:rPr>
              <w:fldChar w:fldCharType="end"/>
            </w:r>
          </w:hyperlink>
        </w:p>
        <w:p w14:paraId="7F2A6114" w14:textId="138F9533" w:rsidR="003A7F6C" w:rsidRPr="00B811C6" w:rsidRDefault="00960520" w:rsidP="00B811C6">
          <w:pPr>
            <w:pStyle w:val="TOC2"/>
          </w:pPr>
          <w:r>
            <w:fldChar w:fldCharType="end"/>
          </w:r>
        </w:p>
      </w:sdtContent>
    </w:sdt>
    <w:bookmarkStart w:id="3" w:name="_Toc314842482" w:displacedByCustomXml="prev"/>
    <w:p w14:paraId="52BC818B" w14:textId="77777777" w:rsidR="00FD119B" w:rsidRDefault="00441C3F" w:rsidP="00416CEC">
      <w:pPr>
        <w:pStyle w:val="Heading2"/>
        <w:pageBreakBefore/>
      </w:pPr>
      <w:bookmarkStart w:id="4" w:name="_Toc351716269"/>
      <w:bookmarkStart w:id="5" w:name="_Toc351718881"/>
      <w:bookmarkStart w:id="6" w:name="_Toc355338616"/>
      <w:bookmarkStart w:id="7" w:name="_Toc356306144"/>
      <w:bookmarkStart w:id="8" w:name="_Toc50054476"/>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594"/>
      </w:tblGrid>
      <w:tr w:rsidR="008E6545" w:rsidRPr="00FD119B" w14:paraId="3884D58E" w14:textId="77777777" w:rsidTr="007A0025">
        <w:trPr>
          <w:cnfStyle w:val="100000000000" w:firstRow="1" w:lastRow="0" w:firstColumn="0" w:lastColumn="0" w:oddVBand="0" w:evenVBand="0" w:oddHBand="0" w:evenHBand="0" w:firstRowFirstColumn="0" w:firstRowLastColumn="0" w:lastRowFirstColumn="0" w:lastRowLastColumn="0"/>
        </w:trPr>
        <w:tc>
          <w:tcPr>
            <w:tcW w:w="1890" w:type="dxa"/>
          </w:tcPr>
          <w:p w14:paraId="3F0D435D" w14:textId="77777777" w:rsidR="008E6545" w:rsidRPr="00FD119B" w:rsidRDefault="008E6545" w:rsidP="00591E06">
            <w:pPr>
              <w:rPr>
                <w:lang w:eastAsia="en-US"/>
              </w:rPr>
            </w:pPr>
            <w:r w:rsidRPr="00FD119B">
              <w:rPr>
                <w:lang w:eastAsia="en-US"/>
              </w:rPr>
              <w:t>Abbreviation</w:t>
            </w:r>
          </w:p>
        </w:tc>
        <w:tc>
          <w:tcPr>
            <w:tcW w:w="6830" w:type="dxa"/>
          </w:tcPr>
          <w:p w14:paraId="7ADE2D82" w14:textId="77777777" w:rsidR="008E6545" w:rsidRPr="00FD119B" w:rsidRDefault="008E6545" w:rsidP="00591E06">
            <w:pPr>
              <w:rPr>
                <w:lang w:eastAsia="en-US"/>
              </w:rPr>
            </w:pPr>
            <w:r w:rsidRPr="00FD119B">
              <w:rPr>
                <w:lang w:eastAsia="en-US"/>
              </w:rPr>
              <w:t>Meaning</w:t>
            </w:r>
          </w:p>
        </w:tc>
      </w:tr>
      <w:tr w:rsidR="008E6545" w:rsidRPr="00FD119B" w14:paraId="036AD893" w14:textId="77777777" w:rsidTr="007A0025">
        <w:tc>
          <w:tcPr>
            <w:tcW w:w="1890" w:type="dxa"/>
          </w:tcPr>
          <w:p w14:paraId="5B016FD7" w14:textId="77777777" w:rsidR="008E6545" w:rsidRPr="00FD119B" w:rsidRDefault="008E6545" w:rsidP="00591E06">
            <w:r>
              <w:t>ACM</w:t>
            </w:r>
          </w:p>
        </w:tc>
        <w:tc>
          <w:tcPr>
            <w:tcW w:w="6830" w:type="dxa"/>
          </w:tcPr>
          <w:p w14:paraId="612C8157" w14:textId="77777777" w:rsidR="008E6545" w:rsidRPr="00FD119B" w:rsidRDefault="008E6545" w:rsidP="00591E06">
            <w:r>
              <w:t>Advisory Committee on Medicines</w:t>
            </w:r>
          </w:p>
        </w:tc>
      </w:tr>
      <w:tr w:rsidR="008E6545" w:rsidRPr="00FD119B" w14:paraId="698EEF1E" w14:textId="77777777" w:rsidTr="007A0025">
        <w:tc>
          <w:tcPr>
            <w:tcW w:w="1890" w:type="dxa"/>
          </w:tcPr>
          <w:p w14:paraId="35033D72" w14:textId="77777777" w:rsidR="008E6545" w:rsidRPr="00FD119B" w:rsidRDefault="008E6545" w:rsidP="00591E06">
            <w:r>
              <w:t>AE</w:t>
            </w:r>
          </w:p>
        </w:tc>
        <w:tc>
          <w:tcPr>
            <w:tcW w:w="6830" w:type="dxa"/>
          </w:tcPr>
          <w:p w14:paraId="5859012D" w14:textId="20BFE619" w:rsidR="008E6545" w:rsidRPr="00FD119B" w:rsidRDefault="008E6545" w:rsidP="00591E06">
            <w:r>
              <w:t>Adverse event</w:t>
            </w:r>
          </w:p>
        </w:tc>
      </w:tr>
      <w:tr w:rsidR="008E6545" w:rsidRPr="00FD119B" w14:paraId="60F0251D" w14:textId="77777777" w:rsidTr="007A0025">
        <w:tc>
          <w:tcPr>
            <w:tcW w:w="1890" w:type="dxa"/>
          </w:tcPr>
          <w:p w14:paraId="2B782E96" w14:textId="77777777" w:rsidR="008E6545" w:rsidRDefault="008E6545" w:rsidP="00591E06">
            <w:r>
              <w:t>AMD</w:t>
            </w:r>
          </w:p>
        </w:tc>
        <w:tc>
          <w:tcPr>
            <w:tcW w:w="6830" w:type="dxa"/>
          </w:tcPr>
          <w:p w14:paraId="3C9FFE6B" w14:textId="77777777" w:rsidR="008E6545" w:rsidRPr="003A2AC4" w:rsidRDefault="008E6545" w:rsidP="00591E06">
            <w:r>
              <w:t>Age related macular degeneration</w:t>
            </w:r>
          </w:p>
        </w:tc>
      </w:tr>
      <w:tr w:rsidR="008E6545" w:rsidRPr="00FD119B" w14:paraId="525F2D7F" w14:textId="77777777" w:rsidTr="007A0025">
        <w:tc>
          <w:tcPr>
            <w:tcW w:w="1890" w:type="dxa"/>
          </w:tcPr>
          <w:p w14:paraId="77CCA5FE" w14:textId="77777777" w:rsidR="008E6545" w:rsidRPr="00591E06" w:rsidRDefault="008E6545" w:rsidP="00591E06">
            <w:r w:rsidRPr="00591E06">
              <w:t>AP-ROP</w:t>
            </w:r>
          </w:p>
        </w:tc>
        <w:tc>
          <w:tcPr>
            <w:tcW w:w="6830" w:type="dxa"/>
          </w:tcPr>
          <w:p w14:paraId="01090706" w14:textId="77777777" w:rsidR="008E6545" w:rsidRPr="00591E06" w:rsidRDefault="008E6545" w:rsidP="00591E06">
            <w:r w:rsidRPr="00591E06">
              <w:t>Aggressive posterior retinopathy of prematurity</w:t>
            </w:r>
          </w:p>
        </w:tc>
      </w:tr>
      <w:tr w:rsidR="008E6545" w:rsidRPr="00FD119B" w14:paraId="6408F705" w14:textId="77777777" w:rsidTr="007A0025">
        <w:tc>
          <w:tcPr>
            <w:tcW w:w="1890" w:type="dxa"/>
          </w:tcPr>
          <w:p w14:paraId="28614372" w14:textId="77777777" w:rsidR="008E6545" w:rsidRPr="00591E06" w:rsidRDefault="008E6545" w:rsidP="00591E06">
            <w:r w:rsidRPr="00591E06">
              <w:t>ARTG</w:t>
            </w:r>
          </w:p>
        </w:tc>
        <w:tc>
          <w:tcPr>
            <w:tcW w:w="6830" w:type="dxa"/>
          </w:tcPr>
          <w:p w14:paraId="36653758" w14:textId="77777777" w:rsidR="008E6545" w:rsidRPr="00591E06" w:rsidRDefault="008E6545" w:rsidP="00591E06">
            <w:r w:rsidRPr="00591E06">
              <w:t>Australian Register of Therapeutic Goods</w:t>
            </w:r>
          </w:p>
        </w:tc>
      </w:tr>
      <w:tr w:rsidR="008E6545" w:rsidRPr="00FD119B" w14:paraId="21DF6656" w14:textId="77777777" w:rsidTr="007A0025">
        <w:tc>
          <w:tcPr>
            <w:tcW w:w="1890" w:type="dxa"/>
          </w:tcPr>
          <w:p w14:paraId="46F962AB" w14:textId="77777777" w:rsidR="008E6545" w:rsidRPr="00591E06" w:rsidRDefault="008E6545" w:rsidP="00591E06">
            <w:r w:rsidRPr="00591E06">
              <w:t>ASA</w:t>
            </w:r>
          </w:p>
        </w:tc>
        <w:tc>
          <w:tcPr>
            <w:tcW w:w="6830" w:type="dxa"/>
          </w:tcPr>
          <w:p w14:paraId="684B0A84" w14:textId="77777777" w:rsidR="008E6545" w:rsidRPr="00591E06" w:rsidRDefault="008E6545" w:rsidP="00591E06">
            <w:r w:rsidRPr="00591E06">
              <w:t>Australian specific Annex</w:t>
            </w:r>
          </w:p>
        </w:tc>
      </w:tr>
      <w:tr w:rsidR="008E6545" w:rsidRPr="00FD119B" w14:paraId="413D940A" w14:textId="77777777" w:rsidTr="007A0025">
        <w:tc>
          <w:tcPr>
            <w:tcW w:w="1890" w:type="dxa"/>
          </w:tcPr>
          <w:p w14:paraId="1265B8CD" w14:textId="77777777" w:rsidR="008E6545" w:rsidRDefault="008E6545" w:rsidP="00591E06">
            <w:proofErr w:type="spellStart"/>
            <w:r>
              <w:t>AUC</w:t>
            </w:r>
            <w:r w:rsidRPr="009C7F00">
              <w:rPr>
                <w:vertAlign w:val="subscript"/>
              </w:rPr>
              <w:t>inf</w:t>
            </w:r>
            <w:proofErr w:type="spellEnd"/>
          </w:p>
        </w:tc>
        <w:tc>
          <w:tcPr>
            <w:tcW w:w="6830" w:type="dxa"/>
          </w:tcPr>
          <w:p w14:paraId="636F55DB" w14:textId="77777777" w:rsidR="008E6545" w:rsidRDefault="008E6545" w:rsidP="00591E06">
            <w:r>
              <w:rPr>
                <w:szCs w:val="22"/>
              </w:rPr>
              <w:t>Area under the plasma concentration-time curve from time zero to infinity</w:t>
            </w:r>
          </w:p>
        </w:tc>
      </w:tr>
      <w:tr w:rsidR="008E6545" w:rsidRPr="00FD119B" w14:paraId="028A9E5A" w14:textId="77777777" w:rsidTr="007A0025">
        <w:tc>
          <w:tcPr>
            <w:tcW w:w="1890" w:type="dxa"/>
          </w:tcPr>
          <w:p w14:paraId="72652988" w14:textId="77777777" w:rsidR="008E6545" w:rsidRPr="00591E06" w:rsidRDefault="008E6545" w:rsidP="00591E06">
            <w:r w:rsidRPr="00591E06">
              <w:t>CI</w:t>
            </w:r>
          </w:p>
        </w:tc>
        <w:tc>
          <w:tcPr>
            <w:tcW w:w="6830" w:type="dxa"/>
          </w:tcPr>
          <w:p w14:paraId="2DF747CF" w14:textId="77777777" w:rsidR="008E6545" w:rsidRPr="00591E06" w:rsidRDefault="008E6545" w:rsidP="00591E06">
            <w:r w:rsidRPr="00591E06">
              <w:t>Confidence interval</w:t>
            </w:r>
          </w:p>
        </w:tc>
      </w:tr>
      <w:tr w:rsidR="008E6545" w:rsidRPr="00FD119B" w14:paraId="5377952A" w14:textId="77777777" w:rsidTr="007A0025">
        <w:tc>
          <w:tcPr>
            <w:tcW w:w="1890" w:type="dxa"/>
          </w:tcPr>
          <w:p w14:paraId="1AE9A77B" w14:textId="77777777" w:rsidR="008E6545" w:rsidRDefault="008E6545" w:rsidP="00591E06">
            <w:proofErr w:type="spellStart"/>
            <w:r>
              <w:t>C</w:t>
            </w:r>
            <w:r w:rsidRPr="009C7F00">
              <w:rPr>
                <w:vertAlign w:val="subscript"/>
              </w:rPr>
              <w:t>max</w:t>
            </w:r>
            <w:proofErr w:type="spellEnd"/>
          </w:p>
        </w:tc>
        <w:tc>
          <w:tcPr>
            <w:tcW w:w="6830" w:type="dxa"/>
          </w:tcPr>
          <w:p w14:paraId="10CAE9CA" w14:textId="77777777" w:rsidR="008E6545" w:rsidRPr="003A2AC4" w:rsidRDefault="008E6545" w:rsidP="00591E06">
            <w:r>
              <w:t>Maximum plasma drug concentration</w:t>
            </w:r>
          </w:p>
        </w:tc>
      </w:tr>
      <w:tr w:rsidR="008E6545" w:rsidRPr="00FD119B" w14:paraId="5896D960" w14:textId="77777777" w:rsidTr="007A0025">
        <w:tc>
          <w:tcPr>
            <w:tcW w:w="1890" w:type="dxa"/>
          </w:tcPr>
          <w:p w14:paraId="2DA26199" w14:textId="77777777" w:rsidR="008E6545" w:rsidRDefault="008E6545" w:rsidP="00591E06">
            <w:r>
              <w:t>CMI</w:t>
            </w:r>
          </w:p>
        </w:tc>
        <w:tc>
          <w:tcPr>
            <w:tcW w:w="6830" w:type="dxa"/>
          </w:tcPr>
          <w:p w14:paraId="4986EF4B" w14:textId="77777777" w:rsidR="008E6545" w:rsidRDefault="008E6545" w:rsidP="00591E06">
            <w:r>
              <w:t>Consumer Medicines Information</w:t>
            </w:r>
          </w:p>
        </w:tc>
      </w:tr>
      <w:tr w:rsidR="008E6545" w:rsidRPr="00FD119B" w14:paraId="10A920D1" w14:textId="77777777" w:rsidTr="007A0025">
        <w:tc>
          <w:tcPr>
            <w:tcW w:w="1890" w:type="dxa"/>
          </w:tcPr>
          <w:p w14:paraId="2E1E1C81" w14:textId="77777777" w:rsidR="008E6545" w:rsidRPr="00591E06" w:rsidRDefault="008E6545" w:rsidP="00591E06">
            <w:r w:rsidRPr="00591E06">
              <w:t>CNFUN</w:t>
            </w:r>
          </w:p>
        </w:tc>
        <w:tc>
          <w:tcPr>
            <w:tcW w:w="6830" w:type="dxa"/>
          </w:tcPr>
          <w:p w14:paraId="54385887" w14:textId="77777777" w:rsidR="008E6545" w:rsidRPr="00591E06" w:rsidRDefault="008E6545" w:rsidP="00591E06">
            <w:r w:rsidRPr="00591E06">
              <w:t>Canadian Neonatal Follow-Up Network</w:t>
            </w:r>
          </w:p>
        </w:tc>
      </w:tr>
      <w:tr w:rsidR="008E6545" w:rsidRPr="00FD119B" w14:paraId="5F1C61F3" w14:textId="77777777" w:rsidTr="007A0025">
        <w:tc>
          <w:tcPr>
            <w:tcW w:w="1890" w:type="dxa"/>
          </w:tcPr>
          <w:p w14:paraId="435CA95F" w14:textId="77777777" w:rsidR="008E6545" w:rsidRPr="00591E06" w:rsidRDefault="008E6545" w:rsidP="00591E06">
            <w:r w:rsidRPr="00591E06">
              <w:t>CNN</w:t>
            </w:r>
          </w:p>
        </w:tc>
        <w:tc>
          <w:tcPr>
            <w:tcW w:w="6830" w:type="dxa"/>
          </w:tcPr>
          <w:p w14:paraId="54DA8B3C" w14:textId="77777777" w:rsidR="008E6545" w:rsidRPr="00591E06" w:rsidRDefault="008E6545" w:rsidP="00591E06">
            <w:r w:rsidRPr="00591E06">
              <w:t>Convolutional neural network</w:t>
            </w:r>
          </w:p>
        </w:tc>
      </w:tr>
      <w:tr w:rsidR="008E6545" w:rsidRPr="00FD119B" w14:paraId="53C69367" w14:textId="77777777" w:rsidTr="007A0025">
        <w:tc>
          <w:tcPr>
            <w:tcW w:w="1890" w:type="dxa"/>
          </w:tcPr>
          <w:p w14:paraId="5EE6895B" w14:textId="77777777" w:rsidR="008E6545" w:rsidRPr="00591E06" w:rsidRDefault="008E6545" w:rsidP="00591E06">
            <w:r w:rsidRPr="00591E06">
              <w:t>CNV</w:t>
            </w:r>
          </w:p>
        </w:tc>
        <w:tc>
          <w:tcPr>
            <w:tcW w:w="6830" w:type="dxa"/>
          </w:tcPr>
          <w:p w14:paraId="4D305F58" w14:textId="77777777" w:rsidR="008E6545" w:rsidRPr="00591E06" w:rsidRDefault="008E6545" w:rsidP="00591E06">
            <w:r w:rsidRPr="00591E06">
              <w:t>Choroidal neovascularisation</w:t>
            </w:r>
          </w:p>
        </w:tc>
      </w:tr>
      <w:tr w:rsidR="008E6545" w:rsidRPr="00FD119B" w14:paraId="7BE8457C" w14:textId="77777777" w:rsidTr="007A0025">
        <w:tc>
          <w:tcPr>
            <w:tcW w:w="1890" w:type="dxa"/>
          </w:tcPr>
          <w:p w14:paraId="0411A77F" w14:textId="77777777" w:rsidR="008E6545" w:rsidRDefault="008E6545" w:rsidP="00591E06">
            <w:r>
              <w:t>CRYO-ROP</w:t>
            </w:r>
          </w:p>
        </w:tc>
        <w:tc>
          <w:tcPr>
            <w:tcW w:w="6830" w:type="dxa"/>
          </w:tcPr>
          <w:p w14:paraId="345354C8" w14:textId="77777777" w:rsidR="008E6545" w:rsidRDefault="008E6545" w:rsidP="00591E06">
            <w:r w:rsidRPr="00683C4A">
              <w:t xml:space="preserve">Cryotherapy for Retinopathy of Prematurity </w:t>
            </w:r>
            <w:r>
              <w:t>(</w:t>
            </w:r>
            <w:r w:rsidRPr="00683C4A">
              <w:t>Study</w:t>
            </w:r>
            <w:r>
              <w:t>)</w:t>
            </w:r>
          </w:p>
        </w:tc>
      </w:tr>
      <w:tr w:rsidR="008E6545" w:rsidRPr="00FD119B" w14:paraId="174EE5ED" w14:textId="77777777" w:rsidTr="007A0025">
        <w:tc>
          <w:tcPr>
            <w:tcW w:w="1890" w:type="dxa"/>
          </w:tcPr>
          <w:p w14:paraId="18BE952B" w14:textId="77777777" w:rsidR="008E6545" w:rsidRPr="00591E06" w:rsidRDefault="008E6545" w:rsidP="00591E06">
            <w:r w:rsidRPr="00591E06">
              <w:t>DLP</w:t>
            </w:r>
          </w:p>
        </w:tc>
        <w:tc>
          <w:tcPr>
            <w:tcW w:w="6830" w:type="dxa"/>
          </w:tcPr>
          <w:p w14:paraId="626D547B" w14:textId="77777777" w:rsidR="008E6545" w:rsidRPr="00591E06" w:rsidRDefault="008E6545" w:rsidP="00591E06">
            <w:r w:rsidRPr="00591E06">
              <w:t>Data lock point</w:t>
            </w:r>
          </w:p>
        </w:tc>
      </w:tr>
      <w:tr w:rsidR="008E6545" w:rsidRPr="00FD119B" w14:paraId="13001EF5" w14:textId="77777777" w:rsidTr="007A0025">
        <w:tc>
          <w:tcPr>
            <w:tcW w:w="1890" w:type="dxa"/>
          </w:tcPr>
          <w:p w14:paraId="48D77683" w14:textId="77777777" w:rsidR="008E6545" w:rsidRPr="00591E06" w:rsidRDefault="008E6545" w:rsidP="00591E06">
            <w:r w:rsidRPr="00591E06">
              <w:t>DME</w:t>
            </w:r>
          </w:p>
        </w:tc>
        <w:tc>
          <w:tcPr>
            <w:tcW w:w="6830" w:type="dxa"/>
          </w:tcPr>
          <w:p w14:paraId="0CEA4906" w14:textId="6B2D93B5" w:rsidR="008E6545" w:rsidRPr="00591E06" w:rsidRDefault="008E6545" w:rsidP="00591E06">
            <w:r w:rsidRPr="00591E06">
              <w:t xml:space="preserve">Diabetic macular </w:t>
            </w:r>
            <w:r w:rsidR="00CE13FD">
              <w:t>o</w:t>
            </w:r>
            <w:r w:rsidRPr="00591E06">
              <w:t>edema</w:t>
            </w:r>
          </w:p>
        </w:tc>
      </w:tr>
      <w:tr w:rsidR="008E6545" w:rsidRPr="00FD119B" w14:paraId="7ECA55B0" w14:textId="77777777" w:rsidTr="007A0025">
        <w:tc>
          <w:tcPr>
            <w:tcW w:w="1890" w:type="dxa"/>
          </w:tcPr>
          <w:p w14:paraId="06B06431" w14:textId="77777777" w:rsidR="008E6545" w:rsidRPr="00591E06" w:rsidRDefault="008E6545" w:rsidP="00591E06">
            <w:r>
              <w:t>DNA</w:t>
            </w:r>
          </w:p>
        </w:tc>
        <w:tc>
          <w:tcPr>
            <w:tcW w:w="6830" w:type="dxa"/>
          </w:tcPr>
          <w:p w14:paraId="38004E58" w14:textId="77777777" w:rsidR="008E6545" w:rsidRPr="00591E06" w:rsidRDefault="008E6545" w:rsidP="00591E06">
            <w:r>
              <w:t>Deoxyribonucleic acid</w:t>
            </w:r>
          </w:p>
        </w:tc>
      </w:tr>
      <w:tr w:rsidR="008E6545" w:rsidRPr="00FD119B" w14:paraId="595C6724" w14:textId="77777777" w:rsidTr="007A0025">
        <w:tc>
          <w:tcPr>
            <w:tcW w:w="1890" w:type="dxa"/>
          </w:tcPr>
          <w:p w14:paraId="33464B55" w14:textId="77777777" w:rsidR="008E6545" w:rsidRPr="00591E06" w:rsidRDefault="008E6545" w:rsidP="00591E06">
            <w:r w:rsidRPr="00591E06">
              <w:t>EU</w:t>
            </w:r>
          </w:p>
        </w:tc>
        <w:tc>
          <w:tcPr>
            <w:tcW w:w="6830" w:type="dxa"/>
          </w:tcPr>
          <w:p w14:paraId="2AC4C23D" w14:textId="77777777" w:rsidR="008E6545" w:rsidRPr="00591E06" w:rsidRDefault="008E6545" w:rsidP="00591E06">
            <w:r w:rsidRPr="00591E06">
              <w:t>European Union</w:t>
            </w:r>
          </w:p>
        </w:tc>
      </w:tr>
      <w:tr w:rsidR="008E6545" w:rsidRPr="00FD119B" w14:paraId="54A915FA" w14:textId="77777777" w:rsidTr="007A0025">
        <w:tc>
          <w:tcPr>
            <w:tcW w:w="1890" w:type="dxa"/>
          </w:tcPr>
          <w:p w14:paraId="48EDA6C5" w14:textId="77777777" w:rsidR="008E6545" w:rsidRPr="00591E06" w:rsidRDefault="008E6545" w:rsidP="00591E06">
            <w:r w:rsidRPr="00591E06">
              <w:t>ICROP</w:t>
            </w:r>
          </w:p>
        </w:tc>
        <w:tc>
          <w:tcPr>
            <w:tcW w:w="6830" w:type="dxa"/>
          </w:tcPr>
          <w:p w14:paraId="6023B379" w14:textId="77777777" w:rsidR="008E6545" w:rsidRPr="00591E06" w:rsidRDefault="008E6545" w:rsidP="00591E06">
            <w:r w:rsidRPr="00591E06">
              <w:t>International Conference on Ophthalmology and Retinal Problems</w:t>
            </w:r>
          </w:p>
        </w:tc>
      </w:tr>
      <w:tr w:rsidR="008E6545" w:rsidRPr="00FD119B" w14:paraId="321DDD92" w14:textId="77777777" w:rsidTr="007A0025">
        <w:tc>
          <w:tcPr>
            <w:tcW w:w="1890" w:type="dxa"/>
          </w:tcPr>
          <w:p w14:paraId="75BCFCAC" w14:textId="77777777" w:rsidR="008E6545" w:rsidRPr="00591E06" w:rsidRDefault="008E6545" w:rsidP="00591E06">
            <w:proofErr w:type="spellStart"/>
            <w:r w:rsidRPr="00591E06">
              <w:t>nAMD</w:t>
            </w:r>
            <w:proofErr w:type="spellEnd"/>
          </w:p>
        </w:tc>
        <w:tc>
          <w:tcPr>
            <w:tcW w:w="6830" w:type="dxa"/>
          </w:tcPr>
          <w:p w14:paraId="6E363F0E" w14:textId="77777777" w:rsidR="008E6545" w:rsidRPr="00591E06" w:rsidRDefault="008E6545" w:rsidP="00591E06">
            <w:proofErr w:type="spellStart"/>
            <w:r w:rsidRPr="00591E06">
              <w:t>Neovascular</w:t>
            </w:r>
            <w:proofErr w:type="spellEnd"/>
            <w:r w:rsidRPr="00591E06">
              <w:t xml:space="preserve"> age-related macular degeneration</w:t>
            </w:r>
          </w:p>
        </w:tc>
      </w:tr>
      <w:tr w:rsidR="008E6545" w:rsidRPr="00FD119B" w14:paraId="4CE8EFCD" w14:textId="77777777" w:rsidTr="007A0025">
        <w:tc>
          <w:tcPr>
            <w:tcW w:w="1890" w:type="dxa"/>
          </w:tcPr>
          <w:p w14:paraId="3EC9E9A7" w14:textId="77777777" w:rsidR="008E6545" w:rsidRPr="00591E06" w:rsidRDefault="008E6545" w:rsidP="00591E06">
            <w:r w:rsidRPr="00591E06">
              <w:t>OR</w:t>
            </w:r>
          </w:p>
        </w:tc>
        <w:tc>
          <w:tcPr>
            <w:tcW w:w="6830" w:type="dxa"/>
          </w:tcPr>
          <w:p w14:paraId="63158DAC" w14:textId="77777777" w:rsidR="008E6545" w:rsidRPr="00591E06" w:rsidRDefault="008E6545" w:rsidP="00591E06">
            <w:r w:rsidRPr="00591E06">
              <w:t>Odds ratio</w:t>
            </w:r>
          </w:p>
        </w:tc>
      </w:tr>
      <w:tr w:rsidR="008E6545" w:rsidRPr="00FD119B" w14:paraId="21594F0E" w14:textId="77777777" w:rsidTr="007A0025">
        <w:tc>
          <w:tcPr>
            <w:tcW w:w="1890" w:type="dxa"/>
          </w:tcPr>
          <w:p w14:paraId="1F447007" w14:textId="77777777" w:rsidR="008E6545" w:rsidRPr="00591E06" w:rsidRDefault="008E6545" w:rsidP="00591E06">
            <w:r w:rsidRPr="00591E06">
              <w:t>PD</w:t>
            </w:r>
          </w:p>
        </w:tc>
        <w:tc>
          <w:tcPr>
            <w:tcW w:w="6830" w:type="dxa"/>
          </w:tcPr>
          <w:p w14:paraId="1F8A8D3E" w14:textId="77777777" w:rsidR="008E6545" w:rsidRPr="00591E06" w:rsidRDefault="008E6545" w:rsidP="00591E06">
            <w:proofErr w:type="spellStart"/>
            <w:r w:rsidRPr="00591E06">
              <w:t>Pharmacodynamic</w:t>
            </w:r>
            <w:proofErr w:type="spellEnd"/>
            <w:r w:rsidRPr="00591E06">
              <w:t>(s)</w:t>
            </w:r>
          </w:p>
        </w:tc>
      </w:tr>
      <w:tr w:rsidR="008E6545" w:rsidRPr="00FD119B" w14:paraId="2793DFD7" w14:textId="77777777" w:rsidTr="007A0025">
        <w:tc>
          <w:tcPr>
            <w:tcW w:w="1890" w:type="dxa"/>
          </w:tcPr>
          <w:p w14:paraId="7A3A8328" w14:textId="77777777" w:rsidR="008E6545" w:rsidRDefault="008E6545" w:rsidP="00591E06">
            <w:r>
              <w:t>PDR</w:t>
            </w:r>
          </w:p>
        </w:tc>
        <w:tc>
          <w:tcPr>
            <w:tcW w:w="6830" w:type="dxa"/>
          </w:tcPr>
          <w:p w14:paraId="31C682C7" w14:textId="77777777" w:rsidR="008E6545" w:rsidRPr="009C7F00" w:rsidRDefault="008E6545" w:rsidP="00591E06">
            <w:r w:rsidRPr="009C7F00">
              <w:t>Proliferative diabetic retinopathy</w:t>
            </w:r>
          </w:p>
        </w:tc>
      </w:tr>
      <w:tr w:rsidR="008E6545" w:rsidRPr="00FD119B" w14:paraId="58D6F94E" w14:textId="77777777" w:rsidTr="007A0025">
        <w:tc>
          <w:tcPr>
            <w:tcW w:w="1890" w:type="dxa"/>
          </w:tcPr>
          <w:p w14:paraId="6EFF02E2" w14:textId="77777777" w:rsidR="008E6545" w:rsidRPr="00591E06" w:rsidRDefault="008E6545" w:rsidP="00591E06">
            <w:r w:rsidRPr="00591E06">
              <w:t>PDT</w:t>
            </w:r>
          </w:p>
        </w:tc>
        <w:tc>
          <w:tcPr>
            <w:tcW w:w="6830" w:type="dxa"/>
          </w:tcPr>
          <w:p w14:paraId="481E98C1" w14:textId="77777777" w:rsidR="008E6545" w:rsidRPr="00591E06" w:rsidRDefault="008E6545" w:rsidP="00591E06">
            <w:r w:rsidRPr="00591E06">
              <w:t>Photodynamic therapy</w:t>
            </w:r>
          </w:p>
        </w:tc>
      </w:tr>
      <w:tr w:rsidR="008E6545" w:rsidRPr="00FD119B" w14:paraId="7C6764CA" w14:textId="77777777" w:rsidTr="007A0025">
        <w:tc>
          <w:tcPr>
            <w:tcW w:w="1890" w:type="dxa"/>
          </w:tcPr>
          <w:p w14:paraId="4A271355" w14:textId="77777777" w:rsidR="008E6545" w:rsidRDefault="008E6545" w:rsidP="00591E06">
            <w:r>
              <w:lastRenderedPageBreak/>
              <w:t>PI</w:t>
            </w:r>
          </w:p>
        </w:tc>
        <w:tc>
          <w:tcPr>
            <w:tcW w:w="6830" w:type="dxa"/>
          </w:tcPr>
          <w:p w14:paraId="581D703B" w14:textId="77777777" w:rsidR="008E6545" w:rsidRDefault="008E6545" w:rsidP="00591E06">
            <w:r>
              <w:t>Product Information</w:t>
            </w:r>
          </w:p>
        </w:tc>
      </w:tr>
      <w:tr w:rsidR="008E6545" w:rsidRPr="00FD119B" w14:paraId="17E86B5F" w14:textId="77777777" w:rsidTr="007A0025">
        <w:tc>
          <w:tcPr>
            <w:tcW w:w="1890" w:type="dxa"/>
          </w:tcPr>
          <w:p w14:paraId="2592A606" w14:textId="77777777" w:rsidR="008E6545" w:rsidRPr="00591E06" w:rsidRDefault="008E6545" w:rsidP="00591E06">
            <w:r w:rsidRPr="00591E06">
              <w:t>PK</w:t>
            </w:r>
          </w:p>
        </w:tc>
        <w:tc>
          <w:tcPr>
            <w:tcW w:w="6830" w:type="dxa"/>
          </w:tcPr>
          <w:p w14:paraId="05F80BC6" w14:textId="77777777" w:rsidR="008E6545" w:rsidRPr="00591E06" w:rsidRDefault="008E6545" w:rsidP="00591E06">
            <w:r w:rsidRPr="00591E06">
              <w:t>Pharmacokinetic(s)</w:t>
            </w:r>
          </w:p>
        </w:tc>
      </w:tr>
      <w:tr w:rsidR="008E6545" w:rsidRPr="00FD119B" w14:paraId="41C286B6" w14:textId="77777777" w:rsidTr="007A0025">
        <w:tc>
          <w:tcPr>
            <w:tcW w:w="1890" w:type="dxa"/>
          </w:tcPr>
          <w:p w14:paraId="4A6BD714" w14:textId="77777777" w:rsidR="008E6545" w:rsidRPr="00591E06" w:rsidRDefault="008E6545" w:rsidP="00591E06">
            <w:r>
              <w:t>PK/PD</w:t>
            </w:r>
          </w:p>
        </w:tc>
        <w:tc>
          <w:tcPr>
            <w:tcW w:w="6830" w:type="dxa"/>
          </w:tcPr>
          <w:p w14:paraId="2627039E" w14:textId="77777777" w:rsidR="008E6545" w:rsidRPr="00591E06" w:rsidRDefault="008E6545" w:rsidP="00591E06">
            <w:r>
              <w:t>Pharmacokinetic/</w:t>
            </w:r>
            <w:proofErr w:type="spellStart"/>
            <w:r>
              <w:t>pharmacodynamic</w:t>
            </w:r>
            <w:proofErr w:type="spellEnd"/>
          </w:p>
        </w:tc>
      </w:tr>
      <w:tr w:rsidR="008E6545" w:rsidRPr="00FD119B" w14:paraId="67469B1F" w14:textId="77777777" w:rsidTr="007A0025">
        <w:tc>
          <w:tcPr>
            <w:tcW w:w="1890" w:type="dxa"/>
          </w:tcPr>
          <w:p w14:paraId="5EB6C470" w14:textId="77777777" w:rsidR="008E6545" w:rsidRPr="00591E06" w:rsidRDefault="008E6545" w:rsidP="00591E06">
            <w:r w:rsidRPr="00591E06">
              <w:t>PM</w:t>
            </w:r>
          </w:p>
        </w:tc>
        <w:tc>
          <w:tcPr>
            <w:tcW w:w="6830" w:type="dxa"/>
          </w:tcPr>
          <w:p w14:paraId="249AF21A" w14:textId="77777777" w:rsidR="008E6545" w:rsidRPr="00591E06" w:rsidRDefault="008E6545" w:rsidP="00591E06">
            <w:r w:rsidRPr="00591E06">
              <w:t>Pathologic myopia</w:t>
            </w:r>
          </w:p>
        </w:tc>
      </w:tr>
      <w:tr w:rsidR="008E6545" w:rsidRPr="00FD119B" w14:paraId="12A35BB5" w14:textId="77777777" w:rsidTr="007A0025">
        <w:tc>
          <w:tcPr>
            <w:tcW w:w="1890" w:type="dxa"/>
          </w:tcPr>
          <w:p w14:paraId="1AB9DFA3" w14:textId="77777777" w:rsidR="008E6545" w:rsidRPr="00591E06" w:rsidRDefault="008E6545" w:rsidP="00591E06">
            <w:r w:rsidRPr="00591E06">
              <w:t>PSUR</w:t>
            </w:r>
          </w:p>
        </w:tc>
        <w:tc>
          <w:tcPr>
            <w:tcW w:w="6830" w:type="dxa"/>
          </w:tcPr>
          <w:p w14:paraId="67C52EDA" w14:textId="2FCCD729" w:rsidR="008E6545" w:rsidRPr="00591E06" w:rsidRDefault="008E6545" w:rsidP="00591E06">
            <w:r w:rsidRPr="00591E06">
              <w:t>Periodic safety update report</w:t>
            </w:r>
          </w:p>
        </w:tc>
      </w:tr>
      <w:tr w:rsidR="008E6545" w:rsidRPr="00FD119B" w14:paraId="6BE0032E" w14:textId="77777777" w:rsidTr="007A0025">
        <w:tc>
          <w:tcPr>
            <w:tcW w:w="1890" w:type="dxa"/>
          </w:tcPr>
          <w:p w14:paraId="2001E18F" w14:textId="77777777" w:rsidR="008E6545" w:rsidRPr="00591E06" w:rsidRDefault="008E6545" w:rsidP="00591E06">
            <w:r w:rsidRPr="00591E06">
              <w:t>RMP</w:t>
            </w:r>
          </w:p>
        </w:tc>
        <w:tc>
          <w:tcPr>
            <w:tcW w:w="6830" w:type="dxa"/>
          </w:tcPr>
          <w:p w14:paraId="0336E446" w14:textId="77777777" w:rsidR="008E6545" w:rsidRPr="00591E06" w:rsidRDefault="008E6545" w:rsidP="00591E06">
            <w:r w:rsidRPr="00591E06">
              <w:t>Risk management plan</w:t>
            </w:r>
          </w:p>
        </w:tc>
      </w:tr>
      <w:tr w:rsidR="008E6545" w:rsidRPr="00FD119B" w14:paraId="1831D7C4" w14:textId="77777777" w:rsidTr="007A0025">
        <w:tc>
          <w:tcPr>
            <w:tcW w:w="1890" w:type="dxa"/>
          </w:tcPr>
          <w:p w14:paraId="0BE6ECEF" w14:textId="77777777" w:rsidR="008E6545" w:rsidRPr="00591E06" w:rsidRDefault="008E6545" w:rsidP="00591E06">
            <w:r w:rsidRPr="00591E06">
              <w:t>ROP</w:t>
            </w:r>
          </w:p>
        </w:tc>
        <w:tc>
          <w:tcPr>
            <w:tcW w:w="6830" w:type="dxa"/>
          </w:tcPr>
          <w:p w14:paraId="351C428C" w14:textId="742D0573" w:rsidR="008E6545" w:rsidRPr="00591E06" w:rsidRDefault="008E6545" w:rsidP="00591E06">
            <w:r>
              <w:t xml:space="preserve">Retinopathy of </w:t>
            </w:r>
            <w:r w:rsidR="005D0417">
              <w:t>p</w:t>
            </w:r>
            <w:r w:rsidRPr="00591E06">
              <w:t>rematurity</w:t>
            </w:r>
          </w:p>
        </w:tc>
      </w:tr>
      <w:tr w:rsidR="008E6545" w:rsidRPr="00FD119B" w14:paraId="093D05A2" w14:textId="77777777" w:rsidTr="007A0025">
        <w:tc>
          <w:tcPr>
            <w:tcW w:w="1890" w:type="dxa"/>
          </w:tcPr>
          <w:p w14:paraId="4B2F4B0D" w14:textId="77777777" w:rsidR="008E6545" w:rsidRPr="00591E06" w:rsidRDefault="008E6545" w:rsidP="00591E06">
            <w:r w:rsidRPr="00591E06">
              <w:t>RVO</w:t>
            </w:r>
          </w:p>
        </w:tc>
        <w:tc>
          <w:tcPr>
            <w:tcW w:w="6830" w:type="dxa"/>
          </w:tcPr>
          <w:p w14:paraId="705F0B2F" w14:textId="77777777" w:rsidR="008E6545" w:rsidRPr="00591E06" w:rsidRDefault="008E6545" w:rsidP="00591E06">
            <w:r w:rsidRPr="00591E06">
              <w:t>Retinal vein occlusion</w:t>
            </w:r>
          </w:p>
        </w:tc>
      </w:tr>
      <w:tr w:rsidR="008E6545" w:rsidRPr="00FD119B" w14:paraId="22B5E44F" w14:textId="77777777" w:rsidTr="007A0025">
        <w:tc>
          <w:tcPr>
            <w:tcW w:w="1890" w:type="dxa"/>
          </w:tcPr>
          <w:p w14:paraId="050DDF90" w14:textId="77777777" w:rsidR="008E6545" w:rsidRPr="00591E06" w:rsidRDefault="008E6545" w:rsidP="00591E06">
            <w:r w:rsidRPr="00591E06">
              <w:t>SAS</w:t>
            </w:r>
          </w:p>
        </w:tc>
        <w:tc>
          <w:tcPr>
            <w:tcW w:w="6830" w:type="dxa"/>
          </w:tcPr>
          <w:p w14:paraId="00464446" w14:textId="77777777" w:rsidR="008E6545" w:rsidRPr="00591E06" w:rsidRDefault="008E6545" w:rsidP="00591E06">
            <w:r w:rsidRPr="00591E06">
              <w:t>Special Access Scheme</w:t>
            </w:r>
          </w:p>
        </w:tc>
      </w:tr>
      <w:tr w:rsidR="008E6545" w:rsidRPr="00FD119B" w14:paraId="118D59AF" w14:textId="77777777" w:rsidTr="007A0025">
        <w:tc>
          <w:tcPr>
            <w:tcW w:w="1890" w:type="dxa"/>
          </w:tcPr>
          <w:p w14:paraId="37046AFD" w14:textId="77777777" w:rsidR="008E6545" w:rsidRDefault="008E6545" w:rsidP="00591E06">
            <w:r>
              <w:t>T</w:t>
            </w:r>
            <w:r w:rsidRPr="009C7F00">
              <w:rPr>
                <w:vertAlign w:val="subscript"/>
              </w:rPr>
              <w:t>1/2</w:t>
            </w:r>
          </w:p>
        </w:tc>
        <w:tc>
          <w:tcPr>
            <w:tcW w:w="6830" w:type="dxa"/>
          </w:tcPr>
          <w:p w14:paraId="3F894E4B" w14:textId="77777777" w:rsidR="008E6545" w:rsidRDefault="008E6545" w:rsidP="00591E06">
            <w:r>
              <w:t>Half life</w:t>
            </w:r>
          </w:p>
        </w:tc>
      </w:tr>
      <w:tr w:rsidR="008E6545" w:rsidRPr="00FD119B" w14:paraId="461668AA" w14:textId="77777777" w:rsidTr="007A0025">
        <w:tc>
          <w:tcPr>
            <w:tcW w:w="1890" w:type="dxa"/>
          </w:tcPr>
          <w:p w14:paraId="76B63828" w14:textId="77777777" w:rsidR="008E6545" w:rsidRPr="00591E06" w:rsidRDefault="008E6545" w:rsidP="00591E06">
            <w:r w:rsidRPr="00591E06">
              <w:t>VEGF</w:t>
            </w:r>
          </w:p>
        </w:tc>
        <w:tc>
          <w:tcPr>
            <w:tcW w:w="6830" w:type="dxa"/>
          </w:tcPr>
          <w:p w14:paraId="47954F77" w14:textId="77777777" w:rsidR="008E6545" w:rsidRPr="00591E06" w:rsidRDefault="008E6545" w:rsidP="00591E06">
            <w:r w:rsidRPr="00591E06">
              <w:t>Vascular endothelial growth factor</w:t>
            </w:r>
          </w:p>
        </w:tc>
      </w:tr>
      <w:tr w:rsidR="008E6545" w:rsidRPr="00FD119B" w14:paraId="004CC7CD" w14:textId="77777777" w:rsidTr="007A0025">
        <w:tc>
          <w:tcPr>
            <w:tcW w:w="1890" w:type="dxa"/>
          </w:tcPr>
          <w:p w14:paraId="64BA12D4" w14:textId="77777777" w:rsidR="008E6545" w:rsidRPr="00591E06" w:rsidRDefault="008E6545" w:rsidP="00591E06">
            <w:r>
              <w:t>VEGF-A</w:t>
            </w:r>
          </w:p>
        </w:tc>
        <w:tc>
          <w:tcPr>
            <w:tcW w:w="6830" w:type="dxa"/>
          </w:tcPr>
          <w:p w14:paraId="51713D62" w14:textId="77777777" w:rsidR="008E6545" w:rsidRPr="00591E06" w:rsidRDefault="008E6545" w:rsidP="00591E06">
            <w:r>
              <w:t>V</w:t>
            </w:r>
            <w:r w:rsidRPr="003A2AC4">
              <w:t>ascular</w:t>
            </w:r>
            <w:r>
              <w:t xml:space="preserve"> endothelial growth factor A</w:t>
            </w:r>
          </w:p>
        </w:tc>
      </w:tr>
      <w:tr w:rsidR="008E6545" w:rsidRPr="00FD119B" w14:paraId="4E2D57FB" w14:textId="77777777" w:rsidTr="007A0025">
        <w:tc>
          <w:tcPr>
            <w:tcW w:w="1890" w:type="dxa"/>
          </w:tcPr>
          <w:p w14:paraId="1C99A5DE" w14:textId="77777777" w:rsidR="008E6545" w:rsidRPr="00591E06" w:rsidRDefault="008E6545" w:rsidP="00591E06">
            <w:r>
              <w:t>VEGFR</w:t>
            </w:r>
          </w:p>
        </w:tc>
        <w:tc>
          <w:tcPr>
            <w:tcW w:w="6830" w:type="dxa"/>
          </w:tcPr>
          <w:p w14:paraId="4D7CF770" w14:textId="77777777" w:rsidR="008E6545" w:rsidRPr="00591E06" w:rsidRDefault="008E6545" w:rsidP="00591E06">
            <w:r>
              <w:t>Vascular endothelial growth factor receptor</w:t>
            </w:r>
          </w:p>
        </w:tc>
      </w:tr>
    </w:tbl>
    <w:p w14:paraId="10B81AE9" w14:textId="77777777" w:rsidR="008E7846" w:rsidRDefault="00F53C07" w:rsidP="00416CEC">
      <w:pPr>
        <w:pStyle w:val="Heading2"/>
        <w:pageBreakBefore/>
      </w:pPr>
      <w:bookmarkStart w:id="9" w:name="_Toc50054477"/>
      <w:r>
        <w:lastRenderedPageBreak/>
        <w:t>I.</w:t>
      </w:r>
      <w:r w:rsidR="008E7846">
        <w:t xml:space="preserve"> Introduction to product submission</w:t>
      </w:r>
      <w:bookmarkEnd w:id="9"/>
      <w:bookmarkEnd w:id="3"/>
      <w:bookmarkEnd w:id="1"/>
    </w:p>
    <w:p w14:paraId="01ED2900" w14:textId="77777777" w:rsidR="008E7846" w:rsidRDefault="008E7846" w:rsidP="004616F9">
      <w:pPr>
        <w:pStyle w:val="Heading3"/>
        <w:spacing w:before="360"/>
        <w:rPr>
          <w:lang w:eastAsia="en-AU"/>
        </w:rPr>
      </w:pPr>
      <w:bookmarkStart w:id="10" w:name="_Toc247691502"/>
      <w:bookmarkStart w:id="11" w:name="_Toc314842483"/>
      <w:bookmarkStart w:id="12" w:name="_Toc5005447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8EBDE86" w14:textId="77777777" w:rsidTr="003735BC">
        <w:tc>
          <w:tcPr>
            <w:tcW w:w="2907" w:type="dxa"/>
          </w:tcPr>
          <w:p w14:paraId="024A9C00"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34F6BEC" w14:textId="77777777" w:rsidR="008E7846" w:rsidRPr="003D1E62" w:rsidRDefault="00E044DF" w:rsidP="001B5C90">
            <w:r>
              <w:t>Extension of indications</w:t>
            </w:r>
          </w:p>
        </w:tc>
      </w:tr>
      <w:tr w:rsidR="008E7846" w:rsidRPr="003D1E62" w14:paraId="3BD85618" w14:textId="77777777" w:rsidTr="003735BC">
        <w:tc>
          <w:tcPr>
            <w:tcW w:w="2907" w:type="dxa"/>
          </w:tcPr>
          <w:p w14:paraId="2BC489D2" w14:textId="33E1DF70" w:rsidR="008E7846" w:rsidRPr="003D1E62" w:rsidRDefault="005D0417" w:rsidP="003D1E62">
            <w:r>
              <w:rPr>
                <w:i/>
              </w:rPr>
              <w:t>Outcome</w:t>
            </w:r>
            <w:r w:rsidR="008E7846" w:rsidRPr="003D1E62">
              <w:t>:</w:t>
            </w:r>
          </w:p>
        </w:tc>
        <w:tc>
          <w:tcPr>
            <w:tcW w:w="6307" w:type="dxa"/>
          </w:tcPr>
          <w:p w14:paraId="2DE81773" w14:textId="77777777" w:rsidR="008E7846" w:rsidRPr="003D1E62" w:rsidRDefault="00E044DF" w:rsidP="001B5C90">
            <w:r>
              <w:t>W</w:t>
            </w:r>
            <w:r w:rsidR="008E7846" w:rsidRPr="003D1E62">
              <w:t>ithdrawn</w:t>
            </w:r>
          </w:p>
        </w:tc>
      </w:tr>
      <w:tr w:rsidR="008E7846" w:rsidRPr="003D1E62" w14:paraId="4415F6FB" w14:textId="77777777" w:rsidTr="003735BC">
        <w:tc>
          <w:tcPr>
            <w:tcW w:w="2907" w:type="dxa"/>
          </w:tcPr>
          <w:p w14:paraId="756B9CD9" w14:textId="77777777" w:rsidR="008E7846" w:rsidRPr="003D1E62" w:rsidRDefault="008E7846" w:rsidP="001B5C90">
            <w:pPr>
              <w:rPr>
                <w:i/>
              </w:rPr>
            </w:pPr>
            <w:r w:rsidRPr="003D1E62">
              <w:rPr>
                <w:i/>
              </w:rPr>
              <w:t xml:space="preserve">Date of </w:t>
            </w:r>
            <w:r w:rsidR="00E044DF">
              <w:rPr>
                <w:i/>
              </w:rPr>
              <w:t>withdrawal</w:t>
            </w:r>
            <w:r w:rsidRPr="003D1E62">
              <w:rPr>
                <w:i/>
              </w:rPr>
              <w:t>:</w:t>
            </w:r>
          </w:p>
        </w:tc>
        <w:tc>
          <w:tcPr>
            <w:tcW w:w="6307" w:type="dxa"/>
          </w:tcPr>
          <w:p w14:paraId="3C6D31A2" w14:textId="77777777" w:rsidR="008E7846" w:rsidRPr="003D1E62" w:rsidRDefault="00E044DF" w:rsidP="001B5C90">
            <w:r>
              <w:t>14 January 2020</w:t>
            </w:r>
          </w:p>
        </w:tc>
      </w:tr>
      <w:tr w:rsidR="00ED2922" w:rsidRPr="003D1E62" w14:paraId="1A270134" w14:textId="77777777" w:rsidTr="003735BC">
        <w:tc>
          <w:tcPr>
            <w:tcW w:w="2907" w:type="dxa"/>
          </w:tcPr>
          <w:p w14:paraId="19B0E0F0" w14:textId="77777777" w:rsidR="00ED2922" w:rsidRPr="00441C3F" w:rsidRDefault="00ED2922" w:rsidP="001B5C90">
            <w:pPr>
              <w:rPr>
                <w:i/>
              </w:rPr>
            </w:pPr>
            <w:r w:rsidRPr="00441C3F">
              <w:rPr>
                <w:i/>
              </w:rPr>
              <w:t>Date of entry onto ARTG</w:t>
            </w:r>
            <w:r w:rsidR="00500337">
              <w:rPr>
                <w:i/>
              </w:rPr>
              <w:t>:</w:t>
            </w:r>
          </w:p>
        </w:tc>
        <w:tc>
          <w:tcPr>
            <w:tcW w:w="6307" w:type="dxa"/>
          </w:tcPr>
          <w:p w14:paraId="31B2244A" w14:textId="77777777" w:rsidR="00ED2922" w:rsidRPr="00441C3F" w:rsidRDefault="00E044DF" w:rsidP="00D153D8">
            <w:pPr>
              <w:rPr>
                <w:i/>
              </w:rPr>
            </w:pPr>
            <w:r>
              <w:t>Not applicable</w:t>
            </w:r>
          </w:p>
        </w:tc>
      </w:tr>
      <w:tr w:rsidR="00500337" w:rsidRPr="003D1E62" w14:paraId="4A1921AF" w14:textId="77777777" w:rsidTr="003735BC">
        <w:tc>
          <w:tcPr>
            <w:tcW w:w="2907" w:type="dxa"/>
          </w:tcPr>
          <w:p w14:paraId="6565E4F5" w14:textId="77777777" w:rsidR="00500337" w:rsidRPr="00441C3F" w:rsidRDefault="006B158B" w:rsidP="001B5C90">
            <w:pPr>
              <w:rPr>
                <w:i/>
              </w:rPr>
            </w:pPr>
            <w:r>
              <w:rPr>
                <w:i/>
              </w:rPr>
              <w:t>ARTG number</w:t>
            </w:r>
            <w:r w:rsidR="00500337">
              <w:rPr>
                <w:i/>
              </w:rPr>
              <w:t>:</w:t>
            </w:r>
          </w:p>
        </w:tc>
        <w:tc>
          <w:tcPr>
            <w:tcW w:w="6307" w:type="dxa"/>
          </w:tcPr>
          <w:p w14:paraId="110D6645" w14:textId="77777777" w:rsidR="00500337" w:rsidRPr="00441C3F" w:rsidRDefault="00E044DF" w:rsidP="00EC463D">
            <w:r>
              <w:t>Not applicable</w:t>
            </w:r>
          </w:p>
        </w:tc>
      </w:tr>
      <w:tr w:rsidR="003735BC" w:rsidRPr="003D1E62" w14:paraId="34C6870E" w14:textId="77777777" w:rsidTr="003735BC">
        <w:tc>
          <w:tcPr>
            <w:tcW w:w="2907" w:type="dxa"/>
          </w:tcPr>
          <w:p w14:paraId="412E0E64" w14:textId="32CCC9CB" w:rsidR="003735BC" w:rsidRDefault="00FA5069" w:rsidP="001B5C90">
            <w:pPr>
              <w:rPr>
                <w:i/>
              </w:rPr>
            </w:pPr>
            <w:r>
              <w:rPr>
                <w:rFonts w:ascii="Wingdings 3" w:hAnsi="Wingdings 3"/>
                <w:sz w:val="34"/>
                <w:szCs w:val="34"/>
                <w:lang w:eastAsia="en-AU"/>
              </w:rPr>
              <w:t></w:t>
            </w:r>
            <w:r w:rsidR="003735BC" w:rsidRPr="003735BC">
              <w:rPr>
                <w:i/>
              </w:rPr>
              <w:t>Black Triangle Scheme</w:t>
            </w:r>
            <w:r w:rsidR="00EA746F">
              <w:rPr>
                <w:i/>
              </w:rPr>
              <w:t>:</w:t>
            </w:r>
            <w:r w:rsidR="00EA746F">
              <w:rPr>
                <w:rStyle w:val="FootnoteReference"/>
                <w:i/>
              </w:rPr>
              <w:footnoteReference w:id="1"/>
            </w:r>
          </w:p>
        </w:tc>
        <w:tc>
          <w:tcPr>
            <w:tcW w:w="6307" w:type="dxa"/>
          </w:tcPr>
          <w:p w14:paraId="1EEAE7AC" w14:textId="77777777" w:rsidR="003735BC" w:rsidRPr="00487162" w:rsidRDefault="00E044DF" w:rsidP="003735BC">
            <w:r>
              <w:t>Not applicable</w:t>
            </w:r>
          </w:p>
        </w:tc>
      </w:tr>
      <w:tr w:rsidR="008E7846" w:rsidRPr="00487162" w14:paraId="7851F0A9" w14:textId="77777777" w:rsidTr="00BF1190">
        <w:tc>
          <w:tcPr>
            <w:tcW w:w="2907" w:type="dxa"/>
          </w:tcPr>
          <w:p w14:paraId="3F37E832" w14:textId="77777777" w:rsidR="008E7846" w:rsidRPr="00487162" w:rsidRDefault="006B158B" w:rsidP="00E45619">
            <w:pPr>
              <w:rPr>
                <w:i/>
              </w:rPr>
            </w:pPr>
            <w:r>
              <w:rPr>
                <w:i/>
              </w:rPr>
              <w:t>Active ingredient</w:t>
            </w:r>
            <w:r w:rsidR="001B5C90">
              <w:rPr>
                <w:i/>
              </w:rPr>
              <w:t>:</w:t>
            </w:r>
          </w:p>
        </w:tc>
        <w:tc>
          <w:tcPr>
            <w:tcW w:w="6307" w:type="dxa"/>
          </w:tcPr>
          <w:p w14:paraId="5ED3A446" w14:textId="77777777" w:rsidR="008E7846" w:rsidRPr="00487162" w:rsidRDefault="00E044DF" w:rsidP="00E55CB0">
            <w:proofErr w:type="spellStart"/>
            <w:r>
              <w:t>Ranibizumab</w:t>
            </w:r>
            <w:proofErr w:type="spellEnd"/>
            <w:r>
              <w:t xml:space="preserve"> (</w:t>
            </w:r>
            <w:proofErr w:type="spellStart"/>
            <w:r>
              <w:t>rbe</w:t>
            </w:r>
            <w:proofErr w:type="spellEnd"/>
            <w:r>
              <w:t>)</w:t>
            </w:r>
          </w:p>
        </w:tc>
      </w:tr>
      <w:tr w:rsidR="008E7846" w:rsidRPr="00487162" w14:paraId="42F00A5D" w14:textId="77777777" w:rsidTr="00BF1190">
        <w:tc>
          <w:tcPr>
            <w:tcW w:w="2907" w:type="dxa"/>
          </w:tcPr>
          <w:p w14:paraId="7A8A7E6C" w14:textId="77777777" w:rsidR="008E7846" w:rsidRPr="00487162" w:rsidRDefault="008E7846" w:rsidP="001B5C90">
            <w:pPr>
              <w:rPr>
                <w:i/>
              </w:rPr>
            </w:pPr>
            <w:r w:rsidRPr="00487162">
              <w:rPr>
                <w:i/>
              </w:rPr>
              <w:t>Product</w:t>
            </w:r>
            <w:r w:rsidR="006B158B">
              <w:rPr>
                <w:i/>
              </w:rPr>
              <w:t xml:space="preserve"> name</w:t>
            </w:r>
            <w:r w:rsidR="001B5C90">
              <w:rPr>
                <w:i/>
              </w:rPr>
              <w:t>:</w:t>
            </w:r>
          </w:p>
        </w:tc>
        <w:tc>
          <w:tcPr>
            <w:tcW w:w="6307" w:type="dxa"/>
          </w:tcPr>
          <w:p w14:paraId="2E20FF54" w14:textId="77777777" w:rsidR="008E7846" w:rsidRPr="00487162" w:rsidRDefault="006B158B" w:rsidP="00E45619">
            <w:proofErr w:type="spellStart"/>
            <w:r>
              <w:t>Lucentis</w:t>
            </w:r>
            <w:proofErr w:type="spellEnd"/>
          </w:p>
        </w:tc>
      </w:tr>
      <w:tr w:rsidR="008E7846" w:rsidRPr="00487162" w14:paraId="6398C4B6" w14:textId="77777777" w:rsidTr="00BF1190">
        <w:tc>
          <w:tcPr>
            <w:tcW w:w="2907" w:type="dxa"/>
          </w:tcPr>
          <w:p w14:paraId="0DCA6B4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9814B72" w14:textId="77777777" w:rsidR="006B158B" w:rsidRDefault="006B158B" w:rsidP="006B158B">
            <w:r>
              <w:t>Novartis Pharmaceuticals Australia Pty Ltd</w:t>
            </w:r>
          </w:p>
          <w:p w14:paraId="60381C0B" w14:textId="77777777" w:rsidR="008E7846" w:rsidRPr="00487162" w:rsidRDefault="006B158B" w:rsidP="006B158B">
            <w:r>
              <w:t>54 Waterloo Road, Macquarie Park NSW 2113</w:t>
            </w:r>
          </w:p>
        </w:tc>
      </w:tr>
      <w:tr w:rsidR="008E7846" w:rsidRPr="00487162" w14:paraId="7EC1CA2B" w14:textId="77777777" w:rsidTr="00BF1190">
        <w:tc>
          <w:tcPr>
            <w:tcW w:w="2907" w:type="dxa"/>
          </w:tcPr>
          <w:p w14:paraId="76BF577A" w14:textId="77777777" w:rsidR="008E7846" w:rsidRPr="00487162" w:rsidRDefault="006B158B" w:rsidP="00E45619">
            <w:pPr>
              <w:rPr>
                <w:i/>
              </w:rPr>
            </w:pPr>
            <w:r>
              <w:rPr>
                <w:i/>
              </w:rPr>
              <w:t>Dose form</w:t>
            </w:r>
            <w:r w:rsidR="001B5C90">
              <w:rPr>
                <w:i/>
              </w:rPr>
              <w:t>:</w:t>
            </w:r>
          </w:p>
        </w:tc>
        <w:tc>
          <w:tcPr>
            <w:tcW w:w="6307" w:type="dxa"/>
          </w:tcPr>
          <w:p w14:paraId="258BC999" w14:textId="77777777" w:rsidR="008E7846" w:rsidRPr="00487162" w:rsidRDefault="006B158B" w:rsidP="00E45619">
            <w:r>
              <w:t>Solution for injection</w:t>
            </w:r>
          </w:p>
        </w:tc>
      </w:tr>
      <w:tr w:rsidR="008E7846" w:rsidRPr="00487162" w14:paraId="61BD33B3" w14:textId="77777777" w:rsidTr="00BF1190">
        <w:tc>
          <w:tcPr>
            <w:tcW w:w="2907" w:type="dxa"/>
          </w:tcPr>
          <w:p w14:paraId="6B75E0C9" w14:textId="6495C8A2" w:rsidR="008E7846" w:rsidRPr="00487162" w:rsidRDefault="006B158B" w:rsidP="00E45619">
            <w:pPr>
              <w:rPr>
                <w:i/>
              </w:rPr>
            </w:pPr>
            <w:r>
              <w:rPr>
                <w:i/>
              </w:rPr>
              <w:t>Strength</w:t>
            </w:r>
            <w:r w:rsidR="004616F9">
              <w:rPr>
                <w:i/>
              </w:rPr>
              <w:t>:</w:t>
            </w:r>
          </w:p>
        </w:tc>
        <w:tc>
          <w:tcPr>
            <w:tcW w:w="6307" w:type="dxa"/>
          </w:tcPr>
          <w:p w14:paraId="243D60F4" w14:textId="77777777" w:rsidR="008E7846" w:rsidRPr="00487162" w:rsidRDefault="006B158B" w:rsidP="00E45619">
            <w:r>
              <w:t>2.3 mg/0.23 mL</w:t>
            </w:r>
          </w:p>
        </w:tc>
      </w:tr>
      <w:tr w:rsidR="008E7846" w:rsidRPr="00487162" w14:paraId="5DD18A5C" w14:textId="77777777" w:rsidTr="00BF1190">
        <w:tc>
          <w:tcPr>
            <w:tcW w:w="2907" w:type="dxa"/>
          </w:tcPr>
          <w:p w14:paraId="327549AC" w14:textId="77777777" w:rsidR="008E7846" w:rsidRPr="00487162" w:rsidRDefault="006B158B" w:rsidP="00E45619">
            <w:pPr>
              <w:rPr>
                <w:i/>
              </w:rPr>
            </w:pPr>
            <w:r>
              <w:rPr>
                <w:i/>
              </w:rPr>
              <w:t>Containers</w:t>
            </w:r>
            <w:r w:rsidR="008E7846" w:rsidRPr="00487162">
              <w:rPr>
                <w:i/>
              </w:rPr>
              <w:t>:</w:t>
            </w:r>
          </w:p>
        </w:tc>
        <w:tc>
          <w:tcPr>
            <w:tcW w:w="6307" w:type="dxa"/>
          </w:tcPr>
          <w:p w14:paraId="589817AF" w14:textId="77777777" w:rsidR="008E7846" w:rsidRPr="00487162" w:rsidRDefault="006B158B" w:rsidP="007D165B">
            <w:r>
              <w:t>Vial</w:t>
            </w:r>
          </w:p>
        </w:tc>
      </w:tr>
      <w:tr w:rsidR="008E7846" w:rsidRPr="00487162" w14:paraId="11160F4E" w14:textId="77777777" w:rsidTr="00BF1190">
        <w:tc>
          <w:tcPr>
            <w:tcW w:w="2907" w:type="dxa"/>
          </w:tcPr>
          <w:p w14:paraId="4AB5D9F1" w14:textId="77777777" w:rsidR="008E7846" w:rsidRPr="00487162" w:rsidRDefault="00572182" w:rsidP="00E45619">
            <w:pPr>
              <w:rPr>
                <w:i/>
              </w:rPr>
            </w:pPr>
            <w:r>
              <w:rPr>
                <w:i/>
              </w:rPr>
              <w:t>Pack size</w:t>
            </w:r>
            <w:r w:rsidR="008E7846" w:rsidRPr="00487162">
              <w:rPr>
                <w:i/>
              </w:rPr>
              <w:t>:</w:t>
            </w:r>
          </w:p>
        </w:tc>
        <w:tc>
          <w:tcPr>
            <w:tcW w:w="6307" w:type="dxa"/>
          </w:tcPr>
          <w:p w14:paraId="3D76C951" w14:textId="77777777" w:rsidR="00572182" w:rsidRPr="00487162" w:rsidRDefault="0045630E" w:rsidP="0045630E">
            <w:r>
              <w:t>One</w:t>
            </w:r>
          </w:p>
        </w:tc>
      </w:tr>
      <w:tr w:rsidR="008E7846" w:rsidRPr="00487162" w14:paraId="294AEA36" w14:textId="77777777" w:rsidTr="00BF1190">
        <w:tc>
          <w:tcPr>
            <w:tcW w:w="2907" w:type="dxa"/>
          </w:tcPr>
          <w:p w14:paraId="1655E5E0"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860813D" w14:textId="77777777" w:rsidR="008E7846" w:rsidRPr="00487162" w:rsidRDefault="00572182" w:rsidP="00E45619">
            <w:pPr>
              <w:rPr>
                <w:rFonts w:eastAsia="MS Mincho"/>
                <w:lang w:eastAsia="ja-JP"/>
              </w:rPr>
            </w:pPr>
            <w:r>
              <w:t>Not applicable</w:t>
            </w:r>
          </w:p>
        </w:tc>
      </w:tr>
      <w:tr w:rsidR="008E7846" w:rsidRPr="00487162" w14:paraId="1ACBEF8C" w14:textId="77777777" w:rsidTr="00BF1190">
        <w:tc>
          <w:tcPr>
            <w:tcW w:w="2907" w:type="dxa"/>
          </w:tcPr>
          <w:p w14:paraId="3A07E692" w14:textId="77777777" w:rsidR="008E7846" w:rsidRPr="00487162" w:rsidRDefault="00572182" w:rsidP="00E45619">
            <w:pPr>
              <w:rPr>
                <w:i/>
              </w:rPr>
            </w:pPr>
            <w:r>
              <w:rPr>
                <w:i/>
              </w:rPr>
              <w:t>Route</w:t>
            </w:r>
            <w:r w:rsidR="008E7846" w:rsidRPr="00487162">
              <w:rPr>
                <w:i/>
              </w:rPr>
              <w:t xml:space="preserve"> of administration:</w:t>
            </w:r>
          </w:p>
        </w:tc>
        <w:tc>
          <w:tcPr>
            <w:tcW w:w="6307" w:type="dxa"/>
          </w:tcPr>
          <w:p w14:paraId="5C25376B" w14:textId="5D1A3C3D" w:rsidR="008E7846" w:rsidRPr="00487162" w:rsidRDefault="00572182" w:rsidP="00E45619">
            <w:proofErr w:type="spellStart"/>
            <w:r>
              <w:t>Intravitreal</w:t>
            </w:r>
            <w:proofErr w:type="spellEnd"/>
            <w:r w:rsidR="00CE13FD">
              <w:t xml:space="preserve"> injection</w:t>
            </w:r>
          </w:p>
        </w:tc>
      </w:tr>
      <w:tr w:rsidR="008E7846" w:rsidRPr="00487162" w14:paraId="77535069" w14:textId="77777777" w:rsidTr="00BF1190">
        <w:tc>
          <w:tcPr>
            <w:tcW w:w="2907" w:type="dxa"/>
          </w:tcPr>
          <w:p w14:paraId="1CB18203" w14:textId="27087ABC" w:rsidR="008E7846" w:rsidRPr="00487162" w:rsidRDefault="00133A3B" w:rsidP="000F207C">
            <w:pPr>
              <w:rPr>
                <w:i/>
              </w:rPr>
            </w:pPr>
            <w:r>
              <w:rPr>
                <w:i/>
              </w:rPr>
              <w:t>Proposed d</w:t>
            </w:r>
            <w:r w:rsidR="008E7846" w:rsidRPr="00487162">
              <w:rPr>
                <w:i/>
              </w:rPr>
              <w:t>osage:</w:t>
            </w:r>
          </w:p>
        </w:tc>
        <w:tc>
          <w:tcPr>
            <w:tcW w:w="6307" w:type="dxa"/>
          </w:tcPr>
          <w:p w14:paraId="5CDFC017" w14:textId="4AF68646" w:rsidR="00DE6B6C" w:rsidRDefault="00DE6B6C" w:rsidP="00DE6B6C">
            <w:r>
              <w:t>Single-use vial (adults and preterm infants) or single-use pre</w:t>
            </w:r>
            <w:r w:rsidR="00133A3B">
              <w:noBreakHyphen/>
            </w:r>
            <w:r>
              <w:t xml:space="preserve">filled syringe (adults only) for </w:t>
            </w:r>
            <w:proofErr w:type="spellStart"/>
            <w:r>
              <w:t>intravitreal</w:t>
            </w:r>
            <w:proofErr w:type="spellEnd"/>
            <w:r>
              <w:t xml:space="preserve"> use only. Use of more than one injection from a vial can lead to product contamination and subsequent ocular infection.</w:t>
            </w:r>
          </w:p>
          <w:p w14:paraId="0ED923E0" w14:textId="77777777" w:rsidR="00DE6B6C" w:rsidRDefault="00DE6B6C" w:rsidP="00DE6B6C">
            <w:proofErr w:type="spellStart"/>
            <w:proofErr w:type="gramStart"/>
            <w:r>
              <w:t>Lucentis</w:t>
            </w:r>
            <w:proofErr w:type="spellEnd"/>
            <w:r>
              <w:t xml:space="preserve"> must be administered by a qualified ophthalmologist experienced in </w:t>
            </w:r>
            <w:proofErr w:type="spellStart"/>
            <w:r>
              <w:t>intravitreal</w:t>
            </w:r>
            <w:proofErr w:type="spellEnd"/>
            <w:r>
              <w:t xml:space="preserve"> injections</w:t>
            </w:r>
            <w:proofErr w:type="gramEnd"/>
            <w:r>
              <w:t>.</w:t>
            </w:r>
          </w:p>
          <w:p w14:paraId="0530BBE9" w14:textId="77777777" w:rsidR="00CE13FD" w:rsidRDefault="00DE6B6C" w:rsidP="00DE6B6C">
            <w:r>
              <w:t xml:space="preserve">The recommended dose for </w:t>
            </w:r>
            <w:proofErr w:type="spellStart"/>
            <w:r>
              <w:t>Lucentis</w:t>
            </w:r>
            <w:proofErr w:type="spellEnd"/>
            <w:r>
              <w:t xml:space="preserve"> in preterm infants is 0.2 mg given as a single </w:t>
            </w:r>
            <w:proofErr w:type="spellStart"/>
            <w:r>
              <w:t>intravitreal</w:t>
            </w:r>
            <w:proofErr w:type="spellEnd"/>
            <w:r>
              <w:t xml:space="preserve"> injection. This corresponds to an injection volume of 0.02 </w:t>
            </w:r>
            <w:proofErr w:type="spellStart"/>
            <w:r>
              <w:t>mL.</w:t>
            </w:r>
            <w:proofErr w:type="spellEnd"/>
            <w:r>
              <w:t xml:space="preserve"> Treatment of </w:t>
            </w:r>
            <w:r w:rsidR="00D419E4" w:rsidRPr="00D419E4">
              <w:t xml:space="preserve">retinopathy of prematurity </w:t>
            </w:r>
            <w:r w:rsidR="00D419E4">
              <w:t>(</w:t>
            </w:r>
            <w:r>
              <w:t>ROP</w:t>
            </w:r>
            <w:r w:rsidR="00D419E4">
              <w:t>)</w:t>
            </w:r>
            <w:r>
              <w:t xml:space="preserve"> is initiated with a single dose and can be given bilaterally on the same day.</w:t>
            </w:r>
          </w:p>
          <w:p w14:paraId="60D570C0" w14:textId="4419D8A3" w:rsidR="008E7846" w:rsidRPr="00487162" w:rsidRDefault="00DE6B6C" w:rsidP="00DE6B6C">
            <w:r>
              <w:lastRenderedPageBreak/>
              <w:t xml:space="preserve">Further treatment </w:t>
            </w:r>
            <w:proofErr w:type="gramStart"/>
            <w:r>
              <w:t>may be administered</w:t>
            </w:r>
            <w:proofErr w:type="gramEnd"/>
            <w:r>
              <w:t xml:space="preserve"> if there are signs of disease activity. The interval between two doses injected into the same eye should not be shorter than one month.</w:t>
            </w:r>
          </w:p>
        </w:tc>
      </w:tr>
    </w:tbl>
    <w:p w14:paraId="5240C41B" w14:textId="77777777" w:rsidR="008E7846" w:rsidRDefault="008E7846" w:rsidP="008E7846">
      <w:pPr>
        <w:pStyle w:val="Heading3"/>
      </w:pPr>
      <w:bookmarkStart w:id="13" w:name="_Toc247691503"/>
      <w:bookmarkStart w:id="14" w:name="_Toc314842484"/>
      <w:bookmarkStart w:id="15" w:name="_Toc50054479"/>
      <w:r>
        <w:lastRenderedPageBreak/>
        <w:t>Product background</w:t>
      </w:r>
      <w:bookmarkEnd w:id="13"/>
      <w:bookmarkEnd w:id="14"/>
      <w:bookmarkEnd w:id="15"/>
    </w:p>
    <w:p w14:paraId="19B0124F" w14:textId="6F873626" w:rsidR="008E7846" w:rsidRDefault="00940A89" w:rsidP="00940A89">
      <w:r w:rsidRPr="00940A89">
        <w:t xml:space="preserve">This </w:t>
      </w:r>
      <w:proofErr w:type="spellStart"/>
      <w:r w:rsidRPr="00940A89">
        <w:t>AusPAR</w:t>
      </w:r>
      <w:proofErr w:type="spellEnd"/>
      <w:r w:rsidRPr="00940A89">
        <w:t xml:space="preserve"> describes the application by</w:t>
      </w:r>
      <w:r w:rsidR="00E044DF">
        <w:t xml:space="preserve"> Novartis Pharm</w:t>
      </w:r>
      <w:r w:rsidR="007D165B">
        <w:t xml:space="preserve">aceuticals Australia Pty Ltd </w:t>
      </w:r>
      <w:r w:rsidR="00E044DF">
        <w:t>(</w:t>
      </w:r>
      <w:r w:rsidRPr="00940A89">
        <w:t>the</w:t>
      </w:r>
      <w:r w:rsidR="00CE13FD">
        <w:t> </w:t>
      </w:r>
      <w:r w:rsidRPr="00940A89">
        <w:t>sponsor</w:t>
      </w:r>
      <w:r w:rsidR="00E044DF">
        <w:t>)</w:t>
      </w:r>
      <w:r w:rsidRPr="00940A89">
        <w:t xml:space="preserve"> to register </w:t>
      </w:r>
      <w:proofErr w:type="spellStart"/>
      <w:r w:rsidR="007D165B" w:rsidRPr="006C5AD7">
        <w:t>Lucentis</w:t>
      </w:r>
      <w:proofErr w:type="spellEnd"/>
      <w:r w:rsidR="007D165B" w:rsidRPr="006C5AD7">
        <w:t xml:space="preserve"> </w:t>
      </w:r>
      <w:r w:rsidR="007D165B">
        <w:t>(</w:t>
      </w:r>
      <w:proofErr w:type="spellStart"/>
      <w:r w:rsidR="007D165B" w:rsidRPr="006C5AD7">
        <w:t>ranibizumab</w:t>
      </w:r>
      <w:proofErr w:type="spellEnd"/>
      <w:r w:rsidR="007D165B">
        <w:t xml:space="preserve"> (</w:t>
      </w:r>
      <w:proofErr w:type="spellStart"/>
      <w:proofErr w:type="gramStart"/>
      <w:r w:rsidR="007D165B">
        <w:t>rbe</w:t>
      </w:r>
      <w:proofErr w:type="spellEnd"/>
      <w:proofErr w:type="gramEnd"/>
      <w:r w:rsidR="007D165B">
        <w:t>)) 2.3 mg/0.23 mL s</w:t>
      </w:r>
      <w:r w:rsidR="0045630E">
        <w:t>olution for injection</w:t>
      </w:r>
      <w:r w:rsidRPr="00940A89">
        <w:t xml:space="preserve"> for the following </w:t>
      </w:r>
      <w:r w:rsidR="0045630E">
        <w:t>proposed extension of indications:</w:t>
      </w:r>
    </w:p>
    <w:p w14:paraId="12BB13A7" w14:textId="77777777" w:rsidR="00ED2922" w:rsidRPr="0045630E" w:rsidRDefault="0045630E" w:rsidP="0045630E">
      <w:pPr>
        <w:ind w:left="720"/>
        <w:rPr>
          <w:i/>
        </w:rPr>
      </w:pPr>
      <w:proofErr w:type="spellStart"/>
      <w:r w:rsidRPr="0045630E">
        <w:rPr>
          <w:i/>
        </w:rPr>
        <w:t>Lucentis</w:t>
      </w:r>
      <w:proofErr w:type="spellEnd"/>
      <w:r w:rsidRPr="0045630E">
        <w:rPr>
          <w:i/>
        </w:rPr>
        <w:t xml:space="preserve"> </w:t>
      </w:r>
      <w:proofErr w:type="gramStart"/>
      <w:r w:rsidRPr="0045630E">
        <w:rPr>
          <w:i/>
        </w:rPr>
        <w:t>is indicated</w:t>
      </w:r>
      <w:proofErr w:type="gramEnd"/>
      <w:r w:rsidRPr="0045630E">
        <w:rPr>
          <w:i/>
        </w:rPr>
        <w:t xml:space="preserve"> in preterm infants for the treatment of retinopathy of prematurity (ROP)</w:t>
      </w:r>
      <w:r>
        <w:rPr>
          <w:i/>
        </w:rPr>
        <w:t>.</w:t>
      </w:r>
    </w:p>
    <w:p w14:paraId="0D8827F8" w14:textId="66C05066" w:rsidR="0060447F" w:rsidRDefault="00087CB4" w:rsidP="004616F9">
      <w:pPr>
        <w:rPr>
          <w:rFonts w:asciiTheme="minorHAnsi" w:eastAsia="ScalaLancetPro" w:hAnsiTheme="minorHAnsi" w:cs="ScalaLancetPro"/>
        </w:rPr>
      </w:pPr>
      <w:r w:rsidRPr="00DF6611">
        <w:t xml:space="preserve">Retinopathy of prematurity (ROP) is a </w:t>
      </w:r>
      <w:r>
        <w:t>proliferative vascular disease of the developing retina affecting preterm neonates of low gestational age and low birth weight</w:t>
      </w:r>
      <w:r>
        <w:rPr>
          <w:lang w:val="en-US"/>
        </w:rPr>
        <w:t xml:space="preserve">. </w:t>
      </w:r>
      <w:r w:rsidRPr="008905CF">
        <w:t xml:space="preserve">In humans, retinal vascularisation begins at about 12 weeks and </w:t>
      </w:r>
      <w:proofErr w:type="gramStart"/>
      <w:r w:rsidRPr="008905CF">
        <w:t>is completed</w:t>
      </w:r>
      <w:proofErr w:type="gramEnd"/>
      <w:r w:rsidRPr="008905CF">
        <w:t xml:space="preserve"> by 36 to 40 weeks of gestation. Vascular endothelial growth factor (VEGF) is a key regulator of angiogenesis in </w:t>
      </w:r>
      <w:proofErr w:type="spellStart"/>
      <w:r w:rsidRPr="008905CF">
        <w:t>fetal</w:t>
      </w:r>
      <w:proofErr w:type="spellEnd"/>
      <w:r w:rsidRPr="008905CF">
        <w:t xml:space="preserve"> life. Infants born before term have an immature retina with a peripheral avascular zone. ROP develops if there is a disruption in the new vessel formation (angiogenesis) in this zone. In most cases the vascular changes of ROP regress with time, however, in some cases, they can lead to fibrous scar formation, visual distortion</w:t>
      </w:r>
      <w:r w:rsidRPr="00257436">
        <w:rPr>
          <w:rFonts w:asciiTheme="minorHAnsi" w:eastAsia="ScalaLancetPro" w:hAnsiTheme="minorHAnsi" w:cs="ScalaLancetPro"/>
        </w:rPr>
        <w:t>, retinal detachment, and blindness if left untreated.</w:t>
      </w:r>
    </w:p>
    <w:p w14:paraId="5E4CC9D9" w14:textId="480DC1F5" w:rsidR="00087CB4" w:rsidRDefault="00087CB4" w:rsidP="004616F9">
      <w:pPr>
        <w:rPr>
          <w:lang w:val="en-US"/>
        </w:rPr>
      </w:pPr>
      <w:r w:rsidRPr="00D12690">
        <w:t>The extent and severity of ROP is traditionally described in terms of location (</w:t>
      </w:r>
      <w:r w:rsidR="00773150">
        <w:t>z</w:t>
      </w:r>
      <w:r w:rsidRPr="00D12690">
        <w:t>ones; I to III)</w:t>
      </w:r>
      <w:r w:rsidR="002620F2">
        <w:t>;</w:t>
      </w:r>
      <w:r w:rsidR="002620F2">
        <w:rPr>
          <w:rStyle w:val="FootnoteReference"/>
        </w:rPr>
        <w:footnoteReference w:id="2"/>
      </w:r>
      <w:r w:rsidRPr="00D12690">
        <w:t xml:space="preserve"> severity (</w:t>
      </w:r>
      <w:r w:rsidR="00773150">
        <w:t>s</w:t>
      </w:r>
      <w:r w:rsidR="00F12C37">
        <w:t>tage</w:t>
      </w:r>
      <w:r w:rsidRPr="00D12690">
        <w:t>s; 1 to 5), extent</w:t>
      </w:r>
      <w:r w:rsidR="00773150">
        <w:t xml:space="preserve"> of retinal involvement</w:t>
      </w:r>
      <w:r w:rsidRPr="00D12690">
        <w:t xml:space="preserve"> (</w:t>
      </w:r>
      <w:r w:rsidR="00773150">
        <w:t xml:space="preserve">in </w:t>
      </w:r>
      <w:r w:rsidRPr="00D12690">
        <w:t xml:space="preserve">clock hours; 1 to 12), and </w:t>
      </w:r>
      <w:r w:rsidR="00773150">
        <w:t xml:space="preserve">the presence of </w:t>
      </w:r>
      <w:r w:rsidRPr="00D12690">
        <w:t>vascular dilatation and tortuosity (</w:t>
      </w:r>
      <w:r w:rsidR="00773150">
        <w:t>termed ‘</w:t>
      </w:r>
      <w:r w:rsidRPr="00D12690">
        <w:t>plus disease</w:t>
      </w:r>
      <w:r w:rsidR="00773150">
        <w:t>’</w:t>
      </w:r>
      <w:r w:rsidRPr="00D12690">
        <w:t>) according to the International Classification of ROP</w:t>
      </w:r>
      <w:r w:rsidR="007F7A94">
        <w:t xml:space="preserve"> (ICROP)</w:t>
      </w:r>
      <w:r w:rsidRPr="00D12690">
        <w:t xml:space="preserve"> definitions</w:t>
      </w:r>
      <w:r w:rsidR="003536B4">
        <w:t xml:space="preserve"> (see </w:t>
      </w:r>
      <w:r w:rsidR="003536B4">
        <w:fldChar w:fldCharType="begin"/>
      </w:r>
      <w:r w:rsidR="003536B4">
        <w:instrText xml:space="preserve"> REF _Ref45789752 \h </w:instrText>
      </w:r>
      <w:r w:rsidR="003536B4">
        <w:fldChar w:fldCharType="separate"/>
      </w:r>
      <w:r w:rsidR="00EA746F">
        <w:t xml:space="preserve">Table </w:t>
      </w:r>
      <w:r w:rsidR="00EA746F">
        <w:rPr>
          <w:noProof/>
        </w:rPr>
        <w:t>1</w:t>
      </w:r>
      <w:r w:rsidR="003536B4">
        <w:fldChar w:fldCharType="end"/>
      </w:r>
      <w:r w:rsidR="003536B4">
        <w:t>)</w:t>
      </w:r>
      <w:proofErr w:type="gramStart"/>
      <w:r w:rsidR="00D12690" w:rsidRPr="00D12690">
        <w:t>.</w:t>
      </w:r>
      <w:bookmarkStart w:id="16" w:name="_Ref44499884"/>
      <w:r w:rsidR="00D12690">
        <w:rPr>
          <w:rStyle w:val="FootnoteReference"/>
          <w:rFonts w:asciiTheme="minorHAnsi" w:hAnsiTheme="minorHAnsi"/>
          <w:color w:val="333333"/>
          <w:lang w:val="en-US"/>
        </w:rPr>
        <w:footnoteReference w:id="3"/>
      </w:r>
      <w:bookmarkEnd w:id="16"/>
      <w:r w:rsidR="00D12690" w:rsidRPr="0060447F">
        <w:rPr>
          <w:vertAlign w:val="superscript"/>
          <w:lang w:val="en-US"/>
        </w:rPr>
        <w:t>,</w:t>
      </w:r>
      <w:bookmarkStart w:id="17" w:name="_Ref44499888"/>
      <w:proofErr w:type="gramEnd"/>
      <w:r w:rsidR="00D12690">
        <w:rPr>
          <w:rStyle w:val="FootnoteReference"/>
          <w:rFonts w:asciiTheme="minorHAnsi" w:hAnsiTheme="minorHAnsi"/>
          <w:color w:val="333333"/>
          <w:lang w:val="en-US"/>
        </w:rPr>
        <w:footnoteReference w:id="4"/>
      </w:r>
      <w:bookmarkEnd w:id="17"/>
    </w:p>
    <w:p w14:paraId="42E86D90" w14:textId="07FF3E91" w:rsidR="00087CB4" w:rsidRDefault="00087CB4" w:rsidP="00D12690">
      <w:pPr>
        <w:pStyle w:val="TableTitle"/>
      </w:pPr>
      <w:bookmarkStart w:id="18" w:name="_Ref45789752"/>
      <w:r>
        <w:t xml:space="preserve">Table </w:t>
      </w:r>
      <w:r w:rsidR="004616F9">
        <w:fldChar w:fldCharType="begin"/>
      </w:r>
      <w:r w:rsidR="004616F9">
        <w:instrText xml:space="preserve"> SEQ Table \* ARABIC </w:instrText>
      </w:r>
      <w:r w:rsidR="004616F9">
        <w:fldChar w:fldCharType="separate"/>
      </w:r>
      <w:r w:rsidR="00EA746F">
        <w:rPr>
          <w:noProof/>
        </w:rPr>
        <w:t>1</w:t>
      </w:r>
      <w:r w:rsidR="004616F9">
        <w:rPr>
          <w:noProof/>
        </w:rPr>
        <w:fldChar w:fldCharType="end"/>
      </w:r>
      <w:bookmarkEnd w:id="18"/>
      <w:r>
        <w:t xml:space="preserve">: </w:t>
      </w:r>
      <w:r w:rsidR="00773150">
        <w:t>International Classification of Retinopathy of Prematurity</w:t>
      </w:r>
      <w:proofErr w:type="gramStart"/>
      <w:r w:rsidR="00773150">
        <w:t>;</w:t>
      </w:r>
      <w:proofErr w:type="gramEnd"/>
      <w:r w:rsidR="00773150">
        <w:t xml:space="preserve"> s</w:t>
      </w:r>
      <w:r>
        <w:t>tages and description</w:t>
      </w:r>
      <w:r w:rsidR="002620F2">
        <w:t>s</w:t>
      </w:r>
      <w:r>
        <w:t xml:space="preserve"> of</w:t>
      </w:r>
      <w:r w:rsidR="002620F2">
        <w:t xml:space="preserve"> the key observations in</w:t>
      </w:r>
      <w:r>
        <w:t xml:space="preserve"> retinopathy of prematurity</w:t>
      </w:r>
    </w:p>
    <w:tbl>
      <w:tblPr>
        <w:tblStyle w:val="TableTGAblue"/>
        <w:tblW w:w="0" w:type="auto"/>
        <w:tblLook w:val="04A0" w:firstRow="1" w:lastRow="0" w:firstColumn="1" w:lastColumn="0" w:noHBand="0" w:noVBand="1"/>
      </w:tblPr>
      <w:tblGrid>
        <w:gridCol w:w="1604"/>
        <w:gridCol w:w="6880"/>
      </w:tblGrid>
      <w:tr w:rsidR="008532AC" w:rsidRPr="00A21CFA" w14:paraId="0583647E" w14:textId="293A0BFA" w:rsidTr="008532AC">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69BFFE15" w14:textId="09A0DF1B" w:rsidR="008532AC" w:rsidRPr="003C31FD" w:rsidRDefault="008532AC" w:rsidP="008532AC">
            <w:pPr>
              <w:rPr>
                <w:sz w:val="20"/>
                <w:szCs w:val="20"/>
              </w:rPr>
            </w:pPr>
            <w:r w:rsidRPr="003C31FD">
              <w:rPr>
                <w:sz w:val="20"/>
                <w:szCs w:val="20"/>
              </w:rPr>
              <w:t>Stage</w:t>
            </w:r>
            <w:r w:rsidR="002620F2">
              <w:rPr>
                <w:sz w:val="20"/>
                <w:szCs w:val="20"/>
              </w:rPr>
              <w:t>s</w:t>
            </w:r>
            <w:r w:rsidR="005B2E7C">
              <w:rPr>
                <w:sz w:val="20"/>
                <w:szCs w:val="20"/>
              </w:rPr>
              <w:t xml:space="preserve"> </w:t>
            </w:r>
            <w:r w:rsidRPr="003C31FD">
              <w:rPr>
                <w:sz w:val="20"/>
                <w:szCs w:val="20"/>
              </w:rPr>
              <w:t>and description</w:t>
            </w:r>
            <w:r w:rsidR="002620F2">
              <w:rPr>
                <w:sz w:val="20"/>
                <w:szCs w:val="20"/>
              </w:rPr>
              <w:t>s of key observations in</w:t>
            </w:r>
            <w:r w:rsidRPr="003C31FD">
              <w:rPr>
                <w:sz w:val="20"/>
                <w:szCs w:val="20"/>
              </w:rPr>
              <w:t xml:space="preserve"> retinopathy of prematurity</w:t>
            </w:r>
          </w:p>
        </w:tc>
      </w:tr>
      <w:tr w:rsidR="008532AC" w:rsidRPr="00A21CFA" w14:paraId="37550AE4" w14:textId="389DDE0D" w:rsidTr="008532AC">
        <w:tc>
          <w:tcPr>
            <w:tcW w:w="0" w:type="auto"/>
          </w:tcPr>
          <w:p w14:paraId="1CB2E8BA" w14:textId="32EA4E3D" w:rsidR="008532AC" w:rsidRPr="0036788F" w:rsidRDefault="008532AC" w:rsidP="008532AC">
            <w:pPr>
              <w:rPr>
                <w:color w:val="auto"/>
                <w:sz w:val="20"/>
                <w:szCs w:val="20"/>
              </w:rPr>
            </w:pPr>
            <w:r w:rsidRPr="000F207C">
              <w:rPr>
                <w:sz w:val="20"/>
                <w:szCs w:val="20"/>
              </w:rPr>
              <w:t>Stage 1</w:t>
            </w:r>
          </w:p>
        </w:tc>
        <w:tc>
          <w:tcPr>
            <w:tcW w:w="0" w:type="auto"/>
          </w:tcPr>
          <w:p w14:paraId="1696EED4" w14:textId="73EAF3E0" w:rsidR="008532AC" w:rsidRPr="0036788F" w:rsidRDefault="008532AC" w:rsidP="008532AC">
            <w:pPr>
              <w:rPr>
                <w:color w:val="auto"/>
                <w:sz w:val="20"/>
                <w:szCs w:val="20"/>
              </w:rPr>
            </w:pPr>
            <w:r w:rsidRPr="0036788F">
              <w:rPr>
                <w:color w:val="auto"/>
                <w:sz w:val="20"/>
                <w:szCs w:val="20"/>
              </w:rPr>
              <w:t>Demarcation line separating avascular from vasculari</w:t>
            </w:r>
            <w:r w:rsidR="002620F2">
              <w:rPr>
                <w:color w:val="auto"/>
                <w:sz w:val="20"/>
                <w:szCs w:val="20"/>
              </w:rPr>
              <w:t>s</w:t>
            </w:r>
            <w:r w:rsidRPr="0036788F">
              <w:rPr>
                <w:color w:val="auto"/>
                <w:sz w:val="20"/>
                <w:szCs w:val="20"/>
              </w:rPr>
              <w:t>ed retina</w:t>
            </w:r>
          </w:p>
        </w:tc>
      </w:tr>
      <w:tr w:rsidR="008532AC" w:rsidRPr="00A21CFA" w14:paraId="20FD10E9" w14:textId="291407BB" w:rsidTr="008532AC">
        <w:tc>
          <w:tcPr>
            <w:tcW w:w="0" w:type="auto"/>
          </w:tcPr>
          <w:p w14:paraId="548F986E" w14:textId="1B5C5AAA" w:rsidR="008532AC" w:rsidRPr="0036788F" w:rsidRDefault="008532AC" w:rsidP="008532AC">
            <w:pPr>
              <w:rPr>
                <w:color w:val="auto"/>
                <w:sz w:val="20"/>
                <w:szCs w:val="20"/>
              </w:rPr>
            </w:pPr>
            <w:r w:rsidRPr="000F207C">
              <w:rPr>
                <w:sz w:val="20"/>
                <w:szCs w:val="20"/>
              </w:rPr>
              <w:t>Stage 2</w:t>
            </w:r>
          </w:p>
        </w:tc>
        <w:tc>
          <w:tcPr>
            <w:tcW w:w="0" w:type="auto"/>
          </w:tcPr>
          <w:p w14:paraId="23D7985E" w14:textId="45B77C46" w:rsidR="008532AC" w:rsidRPr="0036788F" w:rsidRDefault="008532AC" w:rsidP="008532AC">
            <w:pPr>
              <w:rPr>
                <w:color w:val="auto"/>
                <w:sz w:val="20"/>
                <w:szCs w:val="20"/>
              </w:rPr>
            </w:pPr>
            <w:r w:rsidRPr="0036788F">
              <w:rPr>
                <w:color w:val="auto"/>
                <w:sz w:val="20"/>
                <w:szCs w:val="20"/>
              </w:rPr>
              <w:t>Ridge arising in region of demarcation li</w:t>
            </w:r>
            <w:r w:rsidR="000F207C" w:rsidRPr="0036788F">
              <w:rPr>
                <w:color w:val="auto"/>
                <w:sz w:val="20"/>
                <w:szCs w:val="20"/>
              </w:rPr>
              <w:t>ne</w:t>
            </w:r>
          </w:p>
        </w:tc>
      </w:tr>
      <w:tr w:rsidR="008532AC" w:rsidRPr="00A21CFA" w14:paraId="1C132D18" w14:textId="147E9B11" w:rsidTr="008532AC">
        <w:tc>
          <w:tcPr>
            <w:tcW w:w="0" w:type="auto"/>
          </w:tcPr>
          <w:p w14:paraId="277E8E6B" w14:textId="007967A1" w:rsidR="008532AC" w:rsidRPr="0036788F" w:rsidRDefault="008532AC" w:rsidP="008532AC">
            <w:pPr>
              <w:rPr>
                <w:color w:val="auto"/>
                <w:sz w:val="20"/>
                <w:szCs w:val="20"/>
              </w:rPr>
            </w:pPr>
            <w:r w:rsidRPr="000F207C">
              <w:rPr>
                <w:sz w:val="20"/>
                <w:szCs w:val="20"/>
              </w:rPr>
              <w:t>Stage 3</w:t>
            </w:r>
          </w:p>
        </w:tc>
        <w:tc>
          <w:tcPr>
            <w:tcW w:w="0" w:type="auto"/>
          </w:tcPr>
          <w:p w14:paraId="3D2A5532" w14:textId="074FAEA2" w:rsidR="008532AC" w:rsidRPr="0036788F" w:rsidRDefault="008532AC" w:rsidP="008532AC">
            <w:pPr>
              <w:rPr>
                <w:color w:val="auto"/>
                <w:sz w:val="20"/>
                <w:szCs w:val="20"/>
              </w:rPr>
            </w:pPr>
            <w:proofErr w:type="spellStart"/>
            <w:r w:rsidRPr="0036788F">
              <w:rPr>
                <w:color w:val="auto"/>
                <w:sz w:val="20"/>
                <w:szCs w:val="20"/>
              </w:rPr>
              <w:t>Extraretinal</w:t>
            </w:r>
            <w:proofErr w:type="spellEnd"/>
            <w:r w:rsidRPr="0036788F">
              <w:rPr>
                <w:color w:val="auto"/>
                <w:sz w:val="20"/>
                <w:szCs w:val="20"/>
              </w:rPr>
              <w:t xml:space="preserve"> </w:t>
            </w:r>
            <w:proofErr w:type="spellStart"/>
            <w:r w:rsidRPr="0036788F">
              <w:rPr>
                <w:color w:val="auto"/>
                <w:sz w:val="20"/>
                <w:szCs w:val="20"/>
              </w:rPr>
              <w:t>fibrovascular</w:t>
            </w:r>
            <w:proofErr w:type="spellEnd"/>
            <w:r w:rsidRPr="0036788F">
              <w:rPr>
                <w:color w:val="auto"/>
                <w:sz w:val="20"/>
                <w:szCs w:val="20"/>
              </w:rPr>
              <w:t xml:space="preserve"> proliferation/neovasculari</w:t>
            </w:r>
            <w:r w:rsidR="002620F2">
              <w:rPr>
                <w:color w:val="auto"/>
                <w:sz w:val="20"/>
                <w:szCs w:val="20"/>
              </w:rPr>
              <w:t>s</w:t>
            </w:r>
            <w:r w:rsidRPr="0036788F">
              <w:rPr>
                <w:color w:val="auto"/>
                <w:sz w:val="20"/>
                <w:szCs w:val="20"/>
              </w:rPr>
              <w:t>ation extending into the vitreous</w:t>
            </w:r>
          </w:p>
        </w:tc>
      </w:tr>
      <w:tr w:rsidR="008532AC" w:rsidRPr="00A21CFA" w14:paraId="62835061" w14:textId="11CCE488" w:rsidTr="008532AC">
        <w:tc>
          <w:tcPr>
            <w:tcW w:w="0" w:type="auto"/>
          </w:tcPr>
          <w:p w14:paraId="26B5A19A" w14:textId="580F85A9" w:rsidR="008532AC" w:rsidRPr="0036788F" w:rsidRDefault="008532AC" w:rsidP="008532AC">
            <w:pPr>
              <w:rPr>
                <w:color w:val="auto"/>
                <w:sz w:val="20"/>
                <w:szCs w:val="20"/>
              </w:rPr>
            </w:pPr>
            <w:r w:rsidRPr="000F207C">
              <w:rPr>
                <w:sz w:val="20"/>
                <w:szCs w:val="20"/>
              </w:rPr>
              <w:t>Stage 4</w:t>
            </w:r>
          </w:p>
        </w:tc>
        <w:tc>
          <w:tcPr>
            <w:tcW w:w="0" w:type="auto"/>
          </w:tcPr>
          <w:p w14:paraId="2105470C" w14:textId="08143531" w:rsidR="008532AC" w:rsidRPr="0036788F" w:rsidRDefault="008532AC" w:rsidP="008532AC">
            <w:pPr>
              <w:rPr>
                <w:color w:val="auto"/>
                <w:sz w:val="20"/>
                <w:szCs w:val="20"/>
              </w:rPr>
            </w:pPr>
            <w:r w:rsidRPr="0036788F">
              <w:rPr>
                <w:color w:val="auto"/>
                <w:sz w:val="20"/>
                <w:szCs w:val="20"/>
              </w:rPr>
              <w:t>Partial retinal detachment</w:t>
            </w:r>
          </w:p>
        </w:tc>
      </w:tr>
      <w:tr w:rsidR="008532AC" w:rsidRPr="00A21CFA" w14:paraId="7FA610C8" w14:textId="43691B13" w:rsidTr="008532AC">
        <w:tc>
          <w:tcPr>
            <w:tcW w:w="0" w:type="auto"/>
          </w:tcPr>
          <w:p w14:paraId="62AF7BD8" w14:textId="7C6801C1" w:rsidR="008532AC" w:rsidRPr="0036788F" w:rsidRDefault="008532AC" w:rsidP="008532AC">
            <w:pPr>
              <w:rPr>
                <w:color w:val="auto"/>
                <w:sz w:val="20"/>
                <w:szCs w:val="20"/>
              </w:rPr>
            </w:pPr>
            <w:r w:rsidRPr="000F207C">
              <w:rPr>
                <w:sz w:val="20"/>
                <w:szCs w:val="20"/>
              </w:rPr>
              <w:t>Stage 5</w:t>
            </w:r>
          </w:p>
        </w:tc>
        <w:tc>
          <w:tcPr>
            <w:tcW w:w="0" w:type="auto"/>
          </w:tcPr>
          <w:p w14:paraId="012EE8CF" w14:textId="27A354CA" w:rsidR="008532AC" w:rsidRPr="0036788F" w:rsidRDefault="008532AC" w:rsidP="008532AC">
            <w:pPr>
              <w:rPr>
                <w:color w:val="auto"/>
                <w:sz w:val="20"/>
                <w:szCs w:val="20"/>
              </w:rPr>
            </w:pPr>
            <w:r w:rsidRPr="0036788F">
              <w:rPr>
                <w:color w:val="auto"/>
                <w:sz w:val="20"/>
                <w:szCs w:val="20"/>
              </w:rPr>
              <w:t>Total retinal detachment</w:t>
            </w:r>
          </w:p>
        </w:tc>
      </w:tr>
      <w:tr w:rsidR="008532AC" w:rsidRPr="00A21CFA" w14:paraId="765E4E86" w14:textId="2B74CE4E" w:rsidTr="008532AC">
        <w:tc>
          <w:tcPr>
            <w:tcW w:w="0" w:type="auto"/>
          </w:tcPr>
          <w:p w14:paraId="20DEC2B8" w14:textId="32407F7F" w:rsidR="008532AC" w:rsidRPr="0036788F" w:rsidRDefault="008532AC" w:rsidP="008532AC">
            <w:pPr>
              <w:rPr>
                <w:color w:val="auto"/>
                <w:sz w:val="20"/>
                <w:szCs w:val="20"/>
              </w:rPr>
            </w:pPr>
            <w:r w:rsidRPr="000F207C">
              <w:rPr>
                <w:sz w:val="20"/>
                <w:szCs w:val="20"/>
              </w:rPr>
              <w:t>Plus disease</w:t>
            </w:r>
          </w:p>
        </w:tc>
        <w:tc>
          <w:tcPr>
            <w:tcW w:w="0" w:type="auto"/>
          </w:tcPr>
          <w:p w14:paraId="1CE0C7D1" w14:textId="06A6CB32" w:rsidR="008532AC" w:rsidRPr="0036788F" w:rsidRDefault="008532AC" w:rsidP="008532AC">
            <w:pPr>
              <w:rPr>
                <w:color w:val="auto"/>
                <w:sz w:val="20"/>
                <w:szCs w:val="20"/>
              </w:rPr>
            </w:pPr>
            <w:r w:rsidRPr="0036788F">
              <w:rPr>
                <w:color w:val="auto"/>
                <w:sz w:val="20"/>
                <w:szCs w:val="20"/>
              </w:rPr>
              <w:t>Increased vascular dilatation and tortuosity of posterior retinal vessels in at least two quadrants of the retina</w:t>
            </w:r>
          </w:p>
        </w:tc>
      </w:tr>
      <w:tr w:rsidR="008532AC" w:rsidRPr="00A21CFA" w14:paraId="1B49506A" w14:textId="720B4DF5" w:rsidTr="008532AC">
        <w:tc>
          <w:tcPr>
            <w:tcW w:w="0" w:type="auto"/>
          </w:tcPr>
          <w:p w14:paraId="1AF77453" w14:textId="3B1B4F9E" w:rsidR="008532AC" w:rsidRPr="0036788F" w:rsidRDefault="008532AC" w:rsidP="008532AC">
            <w:pPr>
              <w:rPr>
                <w:color w:val="auto"/>
                <w:sz w:val="20"/>
                <w:szCs w:val="20"/>
              </w:rPr>
            </w:pPr>
            <w:r w:rsidRPr="000F207C">
              <w:rPr>
                <w:sz w:val="20"/>
                <w:szCs w:val="20"/>
              </w:rPr>
              <w:lastRenderedPageBreak/>
              <w:t>Pre-plus disease</w:t>
            </w:r>
          </w:p>
        </w:tc>
        <w:tc>
          <w:tcPr>
            <w:tcW w:w="0" w:type="auto"/>
          </w:tcPr>
          <w:p w14:paraId="2236618E" w14:textId="7B634F15" w:rsidR="008532AC" w:rsidRPr="0036788F" w:rsidRDefault="008532AC" w:rsidP="008532AC">
            <w:pPr>
              <w:rPr>
                <w:color w:val="auto"/>
                <w:sz w:val="20"/>
                <w:szCs w:val="20"/>
              </w:rPr>
            </w:pPr>
            <w:r w:rsidRPr="0036788F">
              <w:rPr>
                <w:color w:val="auto"/>
                <w:sz w:val="20"/>
                <w:szCs w:val="20"/>
              </w:rPr>
              <w:t>More vascular dilatation and tortuosity than normal but insufficient to make the diagnosis of plus disease</w:t>
            </w:r>
          </w:p>
        </w:tc>
      </w:tr>
      <w:tr w:rsidR="008532AC" w:rsidRPr="00A21CFA" w14:paraId="50DAEEC2" w14:textId="240E6E37" w:rsidTr="008532AC">
        <w:tc>
          <w:tcPr>
            <w:tcW w:w="0" w:type="auto"/>
          </w:tcPr>
          <w:p w14:paraId="669EC574" w14:textId="36BA9396" w:rsidR="008532AC" w:rsidRPr="0036788F" w:rsidRDefault="008532AC" w:rsidP="008532AC">
            <w:pPr>
              <w:rPr>
                <w:color w:val="auto"/>
                <w:sz w:val="20"/>
                <w:szCs w:val="20"/>
              </w:rPr>
            </w:pPr>
            <w:r w:rsidRPr="000F207C">
              <w:rPr>
                <w:sz w:val="20"/>
                <w:szCs w:val="20"/>
              </w:rPr>
              <w:t>Type 1 ROP</w:t>
            </w:r>
          </w:p>
        </w:tc>
        <w:tc>
          <w:tcPr>
            <w:tcW w:w="0" w:type="auto"/>
          </w:tcPr>
          <w:p w14:paraId="7409CFE6" w14:textId="1CADA74D" w:rsidR="008532AC" w:rsidRPr="0036788F" w:rsidRDefault="008532AC" w:rsidP="008532AC">
            <w:pPr>
              <w:rPr>
                <w:color w:val="auto"/>
                <w:sz w:val="20"/>
                <w:szCs w:val="20"/>
              </w:rPr>
            </w:pPr>
            <w:r w:rsidRPr="000F207C">
              <w:rPr>
                <w:sz w:val="20"/>
                <w:szCs w:val="20"/>
              </w:rPr>
              <w:t>Zone I</w:t>
            </w:r>
            <w:r w:rsidR="002620F2">
              <w:rPr>
                <w:sz w:val="20"/>
                <w:szCs w:val="20"/>
              </w:rPr>
              <w:t xml:space="preserve">: </w:t>
            </w:r>
            <w:r w:rsidRPr="000F207C">
              <w:rPr>
                <w:sz w:val="20"/>
                <w:szCs w:val="20"/>
              </w:rPr>
              <w:t xml:space="preserve">any stage ROP with plus disease as well as </w:t>
            </w:r>
            <w:r w:rsidR="002620F2">
              <w:rPr>
                <w:sz w:val="20"/>
                <w:szCs w:val="20"/>
              </w:rPr>
              <w:t>s</w:t>
            </w:r>
            <w:r w:rsidR="00F12C37" w:rsidRPr="000F207C">
              <w:rPr>
                <w:sz w:val="20"/>
                <w:szCs w:val="20"/>
              </w:rPr>
              <w:t>tage</w:t>
            </w:r>
            <w:r w:rsidRPr="000F207C">
              <w:rPr>
                <w:sz w:val="20"/>
                <w:szCs w:val="20"/>
              </w:rPr>
              <w:t xml:space="preserve"> 3 ROP without plus disease</w:t>
            </w:r>
          </w:p>
          <w:p w14:paraId="3779A5D0" w14:textId="256FAF0E" w:rsidR="008532AC" w:rsidRPr="0036788F" w:rsidRDefault="008532AC" w:rsidP="008532AC">
            <w:pPr>
              <w:rPr>
                <w:color w:val="auto"/>
                <w:sz w:val="20"/>
                <w:szCs w:val="20"/>
              </w:rPr>
            </w:pPr>
            <w:r w:rsidRPr="000F207C">
              <w:rPr>
                <w:sz w:val="20"/>
                <w:szCs w:val="20"/>
              </w:rPr>
              <w:t>Zone II</w:t>
            </w:r>
            <w:r w:rsidR="002620F2">
              <w:rPr>
                <w:sz w:val="20"/>
                <w:szCs w:val="20"/>
              </w:rPr>
              <w:t>; s</w:t>
            </w:r>
            <w:r w:rsidR="00F12C37" w:rsidRPr="000F207C">
              <w:rPr>
                <w:sz w:val="20"/>
                <w:szCs w:val="20"/>
              </w:rPr>
              <w:t>tage</w:t>
            </w:r>
            <w:r w:rsidRPr="000F207C">
              <w:rPr>
                <w:sz w:val="20"/>
                <w:szCs w:val="20"/>
              </w:rPr>
              <w:t xml:space="preserve"> 2 or 3 ROP with plus disease</w:t>
            </w:r>
          </w:p>
        </w:tc>
      </w:tr>
      <w:tr w:rsidR="008532AC" w:rsidRPr="00A21CFA" w14:paraId="4087FA05" w14:textId="3CF96185" w:rsidTr="008532AC">
        <w:tc>
          <w:tcPr>
            <w:tcW w:w="0" w:type="auto"/>
          </w:tcPr>
          <w:p w14:paraId="7A066C47" w14:textId="58A70354" w:rsidR="008532AC" w:rsidRPr="0036788F" w:rsidRDefault="008532AC" w:rsidP="008532AC">
            <w:pPr>
              <w:rPr>
                <w:color w:val="auto"/>
                <w:sz w:val="20"/>
                <w:szCs w:val="20"/>
              </w:rPr>
            </w:pPr>
            <w:r w:rsidRPr="000F207C">
              <w:rPr>
                <w:sz w:val="20"/>
                <w:szCs w:val="20"/>
              </w:rPr>
              <w:t>Type 2 ROP</w:t>
            </w:r>
          </w:p>
        </w:tc>
        <w:tc>
          <w:tcPr>
            <w:tcW w:w="0" w:type="auto"/>
          </w:tcPr>
          <w:p w14:paraId="6374DDE5" w14:textId="0933C420" w:rsidR="008532AC" w:rsidRPr="0036788F" w:rsidRDefault="008532AC" w:rsidP="008532AC">
            <w:pPr>
              <w:rPr>
                <w:color w:val="auto"/>
                <w:sz w:val="20"/>
                <w:szCs w:val="20"/>
              </w:rPr>
            </w:pPr>
            <w:r w:rsidRPr="000F207C">
              <w:rPr>
                <w:sz w:val="20"/>
                <w:szCs w:val="20"/>
              </w:rPr>
              <w:t>Zone I</w:t>
            </w:r>
            <w:r w:rsidR="002620F2">
              <w:rPr>
                <w:sz w:val="20"/>
                <w:szCs w:val="20"/>
              </w:rPr>
              <w:t>: s</w:t>
            </w:r>
            <w:r w:rsidR="00F12C37" w:rsidRPr="000F207C">
              <w:rPr>
                <w:sz w:val="20"/>
                <w:szCs w:val="20"/>
              </w:rPr>
              <w:t>tage</w:t>
            </w:r>
            <w:r w:rsidRPr="000F207C">
              <w:rPr>
                <w:sz w:val="20"/>
                <w:szCs w:val="20"/>
              </w:rPr>
              <w:t xml:space="preserve"> 1 or 2 ROP without plus disease</w:t>
            </w:r>
          </w:p>
          <w:p w14:paraId="15718F02" w14:textId="422EF51D" w:rsidR="008532AC" w:rsidRPr="0036788F" w:rsidRDefault="008532AC" w:rsidP="008532AC">
            <w:pPr>
              <w:rPr>
                <w:color w:val="auto"/>
                <w:sz w:val="20"/>
                <w:szCs w:val="20"/>
              </w:rPr>
            </w:pPr>
            <w:r w:rsidRPr="000F207C">
              <w:rPr>
                <w:sz w:val="20"/>
                <w:szCs w:val="20"/>
              </w:rPr>
              <w:t>Zone II</w:t>
            </w:r>
            <w:r w:rsidR="002620F2">
              <w:rPr>
                <w:sz w:val="20"/>
                <w:szCs w:val="20"/>
              </w:rPr>
              <w:t>: s</w:t>
            </w:r>
            <w:r w:rsidR="00F12C37" w:rsidRPr="000F207C">
              <w:rPr>
                <w:sz w:val="20"/>
                <w:szCs w:val="20"/>
              </w:rPr>
              <w:t>tage</w:t>
            </w:r>
            <w:r w:rsidRPr="000F207C">
              <w:rPr>
                <w:sz w:val="20"/>
                <w:szCs w:val="20"/>
              </w:rPr>
              <w:t xml:space="preserve"> 3 ROP without plus disease</w:t>
            </w:r>
          </w:p>
        </w:tc>
      </w:tr>
    </w:tbl>
    <w:p w14:paraId="6E0D14DB" w14:textId="4FF4CC8F" w:rsidR="005D0417" w:rsidRDefault="005D0417" w:rsidP="003C31FD">
      <w:pPr>
        <w:pStyle w:val="TableDescription"/>
        <w:rPr>
          <w:lang w:val="en-US"/>
        </w:rPr>
      </w:pPr>
      <w:r>
        <w:t>Source: Revised international classification of ROP (ICROP) 2005)</w:t>
      </w:r>
      <w:r w:rsidRPr="008905CF">
        <w:rPr>
          <w:b/>
          <w:vertAlign w:val="superscript"/>
        </w:rPr>
        <w:fldChar w:fldCharType="begin"/>
      </w:r>
      <w:r w:rsidRPr="008905CF">
        <w:rPr>
          <w:vertAlign w:val="superscript"/>
        </w:rPr>
        <w:instrText xml:space="preserve"> NOTEREF _Ref44499884 \h  \* MERGEFORMAT </w:instrText>
      </w:r>
      <w:r w:rsidRPr="008905CF">
        <w:rPr>
          <w:b/>
          <w:vertAlign w:val="superscript"/>
        </w:rPr>
      </w:r>
      <w:r w:rsidRPr="008905CF">
        <w:rPr>
          <w:b/>
          <w:vertAlign w:val="superscript"/>
        </w:rPr>
        <w:fldChar w:fldCharType="separate"/>
      </w:r>
      <w:r w:rsidR="00EA746F">
        <w:rPr>
          <w:vertAlign w:val="superscript"/>
        </w:rPr>
        <w:t>3</w:t>
      </w:r>
      <w:r w:rsidRPr="008905CF">
        <w:rPr>
          <w:b/>
          <w:vertAlign w:val="superscript"/>
        </w:rPr>
        <w:fldChar w:fldCharType="end"/>
      </w:r>
      <w:proofErr w:type="gramStart"/>
      <w:r w:rsidRPr="008905CF">
        <w:rPr>
          <w:vertAlign w:val="superscript"/>
        </w:rPr>
        <w:t>,</w:t>
      </w:r>
      <w:proofErr w:type="gramEnd"/>
      <w:r w:rsidRPr="008905CF">
        <w:rPr>
          <w:b/>
          <w:vertAlign w:val="superscript"/>
        </w:rPr>
        <w:fldChar w:fldCharType="begin"/>
      </w:r>
      <w:r w:rsidRPr="008905CF">
        <w:rPr>
          <w:vertAlign w:val="superscript"/>
        </w:rPr>
        <w:instrText xml:space="preserve"> NOTEREF _Ref44499888 \h  \* MERGEFORMAT </w:instrText>
      </w:r>
      <w:r w:rsidRPr="008905CF">
        <w:rPr>
          <w:b/>
          <w:vertAlign w:val="superscript"/>
        </w:rPr>
      </w:r>
      <w:r w:rsidRPr="008905CF">
        <w:rPr>
          <w:b/>
          <w:vertAlign w:val="superscript"/>
        </w:rPr>
        <w:fldChar w:fldCharType="separate"/>
      </w:r>
      <w:r w:rsidR="00EA746F">
        <w:rPr>
          <w:vertAlign w:val="superscript"/>
        </w:rPr>
        <w:t>4</w:t>
      </w:r>
      <w:r w:rsidRPr="008905CF">
        <w:rPr>
          <w:b/>
          <w:vertAlign w:val="superscript"/>
        </w:rPr>
        <w:fldChar w:fldCharType="end"/>
      </w:r>
    </w:p>
    <w:p w14:paraId="3AD847CE" w14:textId="5A13CA73" w:rsidR="00BF494A" w:rsidRDefault="00087CB4" w:rsidP="008905CF">
      <w:pPr>
        <w:rPr>
          <w:lang w:val="en-US"/>
        </w:rPr>
      </w:pPr>
      <w:r w:rsidRPr="00257436">
        <w:rPr>
          <w:lang w:val="en-US"/>
        </w:rPr>
        <w:t>The aim of treatment is to remove the stimulus for vessel growth by ablating the peripheral avascular retina. Th</w:t>
      </w:r>
      <w:r>
        <w:rPr>
          <w:lang w:val="en-US"/>
        </w:rPr>
        <w:t xml:space="preserve">e </w:t>
      </w:r>
      <w:r w:rsidRPr="00257436">
        <w:rPr>
          <w:lang w:val="en-US"/>
        </w:rPr>
        <w:t>current</w:t>
      </w:r>
      <w:r>
        <w:rPr>
          <w:lang w:val="en-US"/>
        </w:rPr>
        <w:t xml:space="preserve"> usual treatment is p</w:t>
      </w:r>
      <w:r w:rsidRPr="00257436">
        <w:rPr>
          <w:lang w:val="en-US"/>
        </w:rPr>
        <w:t>eripheral retinal laser photocoagulation</w:t>
      </w:r>
      <w:r w:rsidR="00C63BF7">
        <w:rPr>
          <w:lang w:val="en-US"/>
        </w:rPr>
        <w:t>,</w:t>
      </w:r>
      <w:r>
        <w:rPr>
          <w:lang w:val="en-US"/>
        </w:rPr>
        <w:t xml:space="preserve"> </w:t>
      </w:r>
      <w:r w:rsidR="00C63BF7">
        <w:rPr>
          <w:lang w:val="en-US"/>
        </w:rPr>
        <w:t>b</w:t>
      </w:r>
      <w:r>
        <w:rPr>
          <w:lang w:val="en-US"/>
        </w:rPr>
        <w:t>ut laser treatment has potential c</w:t>
      </w:r>
      <w:r w:rsidRPr="00257436">
        <w:rPr>
          <w:lang w:val="en-US"/>
        </w:rPr>
        <w:t xml:space="preserve">omplications </w:t>
      </w:r>
      <w:r>
        <w:rPr>
          <w:lang w:val="en-US"/>
        </w:rPr>
        <w:t xml:space="preserve">including </w:t>
      </w:r>
      <w:r w:rsidRPr="00257436">
        <w:rPr>
          <w:lang w:val="en-US"/>
        </w:rPr>
        <w:t>systemic (</w:t>
      </w:r>
      <w:r w:rsidR="00C63BF7">
        <w:rPr>
          <w:lang w:val="en-US"/>
        </w:rPr>
        <w:t xml:space="preserve">for example </w:t>
      </w:r>
      <w:r w:rsidRPr="00257436">
        <w:rPr>
          <w:lang w:val="en-US"/>
        </w:rPr>
        <w:t>bradycardia, cyanosis) and loc</w:t>
      </w:r>
      <w:r w:rsidR="00A606B0">
        <w:rPr>
          <w:lang w:val="en-US"/>
        </w:rPr>
        <w:t xml:space="preserve">al </w:t>
      </w:r>
      <w:r w:rsidR="00C63BF7">
        <w:rPr>
          <w:lang w:val="en-US"/>
        </w:rPr>
        <w:t xml:space="preserve">complications </w:t>
      </w:r>
      <w:r w:rsidR="00A606B0">
        <w:rPr>
          <w:lang w:val="en-US"/>
        </w:rPr>
        <w:t>(</w:t>
      </w:r>
      <w:r w:rsidR="00C63BF7">
        <w:rPr>
          <w:lang w:val="en-US"/>
        </w:rPr>
        <w:t xml:space="preserve">for example, </w:t>
      </w:r>
      <w:proofErr w:type="spellStart"/>
      <w:r w:rsidR="00A606B0">
        <w:rPr>
          <w:lang w:val="en-US"/>
        </w:rPr>
        <w:t>oedema</w:t>
      </w:r>
      <w:proofErr w:type="spellEnd"/>
      <w:r w:rsidR="00A606B0">
        <w:rPr>
          <w:lang w:val="en-US"/>
        </w:rPr>
        <w:t xml:space="preserve">, </w:t>
      </w:r>
      <w:proofErr w:type="spellStart"/>
      <w:r w:rsidR="00A606B0">
        <w:rPr>
          <w:lang w:val="en-US"/>
        </w:rPr>
        <w:t>haemorrhage</w:t>
      </w:r>
      <w:proofErr w:type="spellEnd"/>
      <w:r w:rsidR="00C63BF7">
        <w:rPr>
          <w:lang w:val="en-US"/>
        </w:rPr>
        <w:t xml:space="preserve"> or</w:t>
      </w:r>
      <w:r w:rsidR="00A606B0">
        <w:rPr>
          <w:lang w:val="en-US"/>
        </w:rPr>
        <w:t xml:space="preserve"> burns).</w:t>
      </w:r>
      <w:r w:rsidRPr="00257436">
        <w:rPr>
          <w:rStyle w:val="FootnoteReference"/>
          <w:rFonts w:asciiTheme="minorHAnsi" w:hAnsiTheme="minorHAnsi"/>
          <w:color w:val="333333"/>
          <w:lang w:val="en-US"/>
        </w:rPr>
        <w:footnoteReference w:id="5"/>
      </w:r>
      <w:r w:rsidR="00A606B0">
        <w:rPr>
          <w:lang w:val="en-US"/>
        </w:rPr>
        <w:t xml:space="preserve"> </w:t>
      </w:r>
      <w:r w:rsidRPr="00257436">
        <w:rPr>
          <w:lang w:val="en-US"/>
        </w:rPr>
        <w:t>Further</w:t>
      </w:r>
      <w:r w:rsidR="00EA746F">
        <w:rPr>
          <w:lang w:val="en-US"/>
        </w:rPr>
        <w:t>,</w:t>
      </w:r>
      <w:r w:rsidRPr="00257436">
        <w:rPr>
          <w:lang w:val="en-US"/>
        </w:rPr>
        <w:t xml:space="preserve"> there are concerns regarding the risks of intubation and sedation on neurodevelopment</w:t>
      </w:r>
      <w:r w:rsidR="00C63BF7">
        <w:rPr>
          <w:lang w:val="en-US"/>
        </w:rPr>
        <w:t>;</w:t>
      </w:r>
      <w:r w:rsidRPr="00257436">
        <w:rPr>
          <w:rStyle w:val="FootnoteReference"/>
          <w:rFonts w:asciiTheme="minorHAnsi" w:hAnsiTheme="minorHAnsi"/>
          <w:color w:val="333333"/>
          <w:lang w:val="en-US"/>
        </w:rPr>
        <w:footnoteReference w:id="6"/>
      </w:r>
      <w:r w:rsidRPr="00257436">
        <w:rPr>
          <w:lang w:val="en-US"/>
        </w:rPr>
        <w:t xml:space="preserve"> adverse effects such as </w:t>
      </w:r>
      <w:proofErr w:type="gramStart"/>
      <w:r w:rsidRPr="00257436">
        <w:rPr>
          <w:lang w:val="en-US"/>
        </w:rPr>
        <w:t>laser induced</w:t>
      </w:r>
      <w:proofErr w:type="gramEnd"/>
      <w:r w:rsidRPr="00257436">
        <w:rPr>
          <w:lang w:val="en-US"/>
        </w:rPr>
        <w:t xml:space="preserve"> myopia</w:t>
      </w:r>
      <w:r w:rsidR="00C63BF7">
        <w:rPr>
          <w:lang w:val="en-US"/>
        </w:rPr>
        <w:t>;</w:t>
      </w:r>
      <w:r w:rsidRPr="00257436">
        <w:rPr>
          <w:rStyle w:val="FootnoteReference"/>
          <w:rFonts w:asciiTheme="minorHAnsi" w:hAnsiTheme="minorHAnsi"/>
          <w:color w:val="333333"/>
          <w:lang w:val="en-US"/>
        </w:rPr>
        <w:footnoteReference w:id="7"/>
      </w:r>
      <w:r w:rsidR="00A606B0">
        <w:rPr>
          <w:lang w:val="en-US"/>
        </w:rPr>
        <w:t xml:space="preserve"> </w:t>
      </w:r>
      <w:r w:rsidRPr="00257436">
        <w:rPr>
          <w:lang w:val="en-US"/>
        </w:rPr>
        <w:t>visual field reduction</w:t>
      </w:r>
      <w:r w:rsidR="00C63BF7">
        <w:rPr>
          <w:lang w:val="en-US"/>
        </w:rPr>
        <w:t>;</w:t>
      </w:r>
      <w:r w:rsidRPr="00257436">
        <w:rPr>
          <w:rStyle w:val="FootnoteReference"/>
          <w:rFonts w:asciiTheme="minorHAnsi" w:hAnsiTheme="minorHAnsi"/>
          <w:color w:val="333333"/>
          <w:lang w:val="en-US"/>
        </w:rPr>
        <w:footnoteReference w:id="8"/>
      </w:r>
      <w:r w:rsidRPr="00257436">
        <w:rPr>
          <w:lang w:val="en-US"/>
        </w:rPr>
        <w:t xml:space="preserve"> and suboptimal visual results in cases of posterior ROP</w:t>
      </w:r>
      <w:r w:rsidR="00A606B0">
        <w:rPr>
          <w:lang w:val="en-US"/>
        </w:rPr>
        <w:t>.</w:t>
      </w:r>
      <w:r w:rsidRPr="00257436">
        <w:rPr>
          <w:rStyle w:val="FootnoteReference"/>
          <w:rFonts w:asciiTheme="minorHAnsi" w:hAnsiTheme="minorHAnsi"/>
          <w:color w:val="333333"/>
          <w:lang w:val="en-US"/>
        </w:rPr>
        <w:footnoteReference w:id="9"/>
      </w:r>
    </w:p>
    <w:p w14:paraId="50A7749D" w14:textId="6C59FA81" w:rsidR="00087CB4" w:rsidRDefault="00087CB4" w:rsidP="008905CF">
      <w:r>
        <w:t xml:space="preserve">As VEGF </w:t>
      </w:r>
      <w:proofErr w:type="gramStart"/>
      <w:r>
        <w:t>is</w:t>
      </w:r>
      <w:proofErr w:type="gramEnd"/>
      <w:r>
        <w:t xml:space="preserve"> a key factor in regulation of angiogenesis anti-VEGF agents have been explored</w:t>
      </w:r>
      <w:r w:rsidR="00703397">
        <w:t xml:space="preserve"> study, </w:t>
      </w:r>
      <w:r>
        <w:t>as an alternative to laser. A multicentre randomi</w:t>
      </w:r>
      <w:r w:rsidR="00C63BF7">
        <w:t>s</w:t>
      </w:r>
      <w:r>
        <w:t>ed controlled trial</w:t>
      </w:r>
      <w:r w:rsidR="00703397">
        <w:t xml:space="preserve">, the </w:t>
      </w:r>
      <w:r>
        <w:t>BEAT-ROP</w:t>
      </w:r>
      <w:r w:rsidR="00703397">
        <w:t xml:space="preserve"> </w:t>
      </w:r>
      <w:r w:rsidR="005D0417">
        <w:t>trial</w:t>
      </w:r>
      <w:r w:rsidR="00703397">
        <w:t>,</w:t>
      </w:r>
      <w:r>
        <w:t xml:space="preserve"> used an </w:t>
      </w:r>
      <w:proofErr w:type="spellStart"/>
      <w:r>
        <w:t>intravitreal</w:t>
      </w:r>
      <w:proofErr w:type="spellEnd"/>
      <w:r>
        <w:t xml:space="preserve"> injection of bevacizumab, an anti-VEGF agent, to treat type I ROP.</w:t>
      </w:r>
      <w:r>
        <w:rPr>
          <w:rStyle w:val="FootnoteReference"/>
        </w:rPr>
        <w:footnoteReference w:id="10"/>
      </w:r>
      <w:r>
        <w:t xml:space="preserve"> Compared with laser, bevacizumab reduce</w:t>
      </w:r>
      <w:r w:rsidR="003E1369">
        <w:t xml:space="preserve">d recurrence of </w:t>
      </w:r>
      <w:r w:rsidR="00EB6F1E">
        <w:t xml:space="preserve">ROP </w:t>
      </w:r>
      <w:r w:rsidR="003E1369">
        <w:t>at 54 weeks</w:t>
      </w:r>
      <w:r>
        <w:t xml:space="preserve"> postmenstrual age for </w:t>
      </w:r>
      <w:r w:rsidR="00C63BF7">
        <w:t>z</w:t>
      </w:r>
      <w:r>
        <w:t>one I ROP but</w:t>
      </w:r>
      <w:r w:rsidR="003E1369">
        <w:t xml:space="preserve"> not for </w:t>
      </w:r>
      <w:r w:rsidR="00C63BF7">
        <w:t>z</w:t>
      </w:r>
      <w:r w:rsidR="003E1369">
        <w:t>one II. At 2.5 years</w:t>
      </w:r>
      <w:r w:rsidR="00C63BF7">
        <w:t xml:space="preserve"> of age,</w:t>
      </w:r>
      <w:r>
        <w:t xml:space="preserve"> infants treated with bevacizumab also had decreased rates of severe myopia. Moreover, the injection is a short procedure and required only topical anaesthesia.</w:t>
      </w:r>
    </w:p>
    <w:p w14:paraId="43318DF1" w14:textId="20E91C18" w:rsidR="00BF494A" w:rsidRDefault="00087CB4" w:rsidP="008905CF">
      <w:proofErr w:type="gramStart"/>
      <w:r>
        <w:t>In Australia</w:t>
      </w:r>
      <w:r w:rsidR="00AF6FEB">
        <w:t>,</w:t>
      </w:r>
      <w:r>
        <w:t xml:space="preserve"> there is no anti-VEGF agent on the </w:t>
      </w:r>
      <w:r w:rsidR="00C63BF7">
        <w:t>Australian Register of Therapeutic Goods (</w:t>
      </w:r>
      <w:r>
        <w:t>ARTG</w:t>
      </w:r>
      <w:r w:rsidR="00C63BF7">
        <w:t>)</w:t>
      </w:r>
      <w:r>
        <w:t xml:space="preserve"> indicated for ROP</w:t>
      </w:r>
      <w:r w:rsidR="005D0417">
        <w:t xml:space="preserve"> at the time submission was under consideration</w:t>
      </w:r>
      <w:r>
        <w:t>.</w:t>
      </w:r>
      <w:proofErr w:type="gramEnd"/>
      <w:r>
        <w:t xml:space="preserve"> However, ROP treatment guidelines in some local health districts recommend the use of anti-VEGF agents in specific circumstances, including failure to respond to </w:t>
      </w:r>
      <w:proofErr w:type="gramStart"/>
      <w:r>
        <w:t xml:space="preserve">laser or </w:t>
      </w:r>
      <w:r w:rsidR="00EB6F1E">
        <w:t xml:space="preserve">when </w:t>
      </w:r>
      <w:r>
        <w:t>laser treatment is not possible</w:t>
      </w:r>
      <w:proofErr w:type="gramEnd"/>
      <w:r>
        <w:t>.</w:t>
      </w:r>
      <w:r>
        <w:rPr>
          <w:rStyle w:val="FootnoteReference"/>
        </w:rPr>
        <w:footnoteReference w:id="11"/>
      </w:r>
      <w:r>
        <w:t xml:space="preserve"> </w:t>
      </w:r>
      <w:r w:rsidRPr="00FD5E2A">
        <w:t xml:space="preserve">However, there are concerns about systemic absorption of anti-VEGF agents </w:t>
      </w:r>
      <w:r>
        <w:t>(</w:t>
      </w:r>
      <w:r w:rsidRPr="00FD5E2A">
        <w:t>such as bevacizumab</w:t>
      </w:r>
      <w:r>
        <w:t>)</w:t>
      </w:r>
      <w:r w:rsidRPr="00FD5E2A">
        <w:t xml:space="preserve"> and its effect on developing tissues </w:t>
      </w:r>
      <w:r>
        <w:t>(</w:t>
      </w:r>
      <w:r w:rsidRPr="00FD5E2A">
        <w:t>including brain</w:t>
      </w:r>
      <w:r>
        <w:t>)</w:t>
      </w:r>
      <w:r w:rsidRPr="00FD5E2A">
        <w:t>, given its prolonged half-life and antiangiogenic effect</w:t>
      </w:r>
      <w:r w:rsidR="00BF494A">
        <w:t>.</w:t>
      </w:r>
    </w:p>
    <w:p w14:paraId="2CCDD4D0" w14:textId="1FAA07A2" w:rsidR="00BF494A" w:rsidRDefault="00087CB4" w:rsidP="00087CB4">
      <w:proofErr w:type="spellStart"/>
      <w:r>
        <w:lastRenderedPageBreak/>
        <w:t>Ranibizumab</w:t>
      </w:r>
      <w:proofErr w:type="spellEnd"/>
      <w:r>
        <w:t xml:space="preserve"> is an anti-neovascularisation agent. It is </w:t>
      </w:r>
      <w:r w:rsidRPr="003A2AC4">
        <w:t>a humanised monoclonal antibody fragment</w:t>
      </w:r>
      <w:r w:rsidRPr="00EB1954">
        <w:t xml:space="preserve"> </w:t>
      </w:r>
      <w:r w:rsidRPr="003A2AC4">
        <w:t>targeted against human vascular</w:t>
      </w:r>
      <w:r>
        <w:t xml:space="preserve"> endothelial growth factor A (VEGF-A) </w:t>
      </w:r>
      <w:r w:rsidRPr="003A2AC4">
        <w:t xml:space="preserve">produced in </w:t>
      </w:r>
      <w:r w:rsidRPr="003A2AC4">
        <w:rPr>
          <w:i/>
          <w:iCs/>
        </w:rPr>
        <w:t xml:space="preserve">Escherichia coli </w:t>
      </w:r>
      <w:r w:rsidRPr="003A2AC4">
        <w:t xml:space="preserve">cells by recombinant </w:t>
      </w:r>
      <w:r w:rsidR="007F7A94">
        <w:t>deoxyribonucleic acid (</w:t>
      </w:r>
      <w:r w:rsidRPr="003A2AC4">
        <w:t>DNA</w:t>
      </w:r>
      <w:r w:rsidR="007F7A94">
        <w:t>)</w:t>
      </w:r>
      <w:r w:rsidRPr="003A2AC4">
        <w:t xml:space="preserve"> technology</w:t>
      </w:r>
      <w:r>
        <w:t xml:space="preserve">. </w:t>
      </w:r>
      <w:proofErr w:type="spellStart"/>
      <w:r w:rsidRPr="003A2AC4">
        <w:t>Ranibizumab</w:t>
      </w:r>
      <w:proofErr w:type="spellEnd"/>
      <w:r w:rsidRPr="00EB1954">
        <w:t xml:space="preserve"> </w:t>
      </w:r>
      <w:r>
        <w:t>inhibits the binding</w:t>
      </w:r>
      <w:r w:rsidRPr="002F32C2">
        <w:t xml:space="preserve"> </w:t>
      </w:r>
      <w:r>
        <w:t xml:space="preserve">of VEGF-A to its receptors </w:t>
      </w:r>
      <w:r w:rsidR="007A0025">
        <w:t>vascular endo</w:t>
      </w:r>
      <w:r w:rsidR="004023F9">
        <w:t>thelial growth factor receptor</w:t>
      </w:r>
      <w:r w:rsidR="00862E92">
        <w:t>s 1 and 2</w:t>
      </w:r>
      <w:r w:rsidR="004023F9">
        <w:t xml:space="preserve"> </w:t>
      </w:r>
      <w:r w:rsidR="008800D9">
        <w:t>(</w:t>
      </w:r>
      <w:r>
        <w:t>VEGFR</w:t>
      </w:r>
      <w:r w:rsidR="00862E92">
        <w:t>-</w:t>
      </w:r>
      <w:r>
        <w:t>1</w:t>
      </w:r>
      <w:r w:rsidR="00862E92">
        <w:t>;</w:t>
      </w:r>
      <w:r>
        <w:t xml:space="preserve"> and VEGFR-2</w:t>
      </w:r>
      <w:r w:rsidR="00862E92">
        <w:t>)</w:t>
      </w:r>
      <w:r>
        <w:t xml:space="preserve"> on the surface of endothelial cells, thereby reducing endothelial cell proliferation, vascular leakage and new blood vessel formation</w:t>
      </w:r>
      <w:r w:rsidR="00BF494A">
        <w:t>.</w:t>
      </w:r>
    </w:p>
    <w:p w14:paraId="6F69EF79" w14:textId="77777777" w:rsidR="008E7846" w:rsidRPr="003F31A2" w:rsidRDefault="00386150" w:rsidP="004616F9">
      <w:pPr>
        <w:pStyle w:val="Heading3"/>
      </w:pPr>
      <w:bookmarkStart w:id="19" w:name="_Toc314842485"/>
      <w:bookmarkStart w:id="20" w:name="_Toc247691504"/>
      <w:bookmarkStart w:id="21" w:name="_Toc50054480"/>
      <w:r>
        <w:t>Regulatory s</w:t>
      </w:r>
      <w:r w:rsidR="008E7846">
        <w:t>tatus</w:t>
      </w:r>
      <w:bookmarkEnd w:id="19"/>
      <w:bookmarkEnd w:id="20"/>
      <w:bookmarkEnd w:id="21"/>
    </w:p>
    <w:p w14:paraId="4E14F2D6" w14:textId="7879663B" w:rsidR="00940A89" w:rsidRDefault="00940A89" w:rsidP="00940A89">
      <w:bookmarkStart w:id="22" w:name="_Toc247691505"/>
      <w:bookmarkStart w:id="23" w:name="_Toc314842486"/>
      <w:r w:rsidRPr="00940A89">
        <w:t>The product received initial registration on the Australian Register</w:t>
      </w:r>
      <w:r w:rsidR="007E34FB">
        <w:t xml:space="preserve"> of Therapeutic Goods (ARTG) on </w:t>
      </w:r>
      <w:r w:rsidR="006341E7" w:rsidRPr="003C31FD">
        <w:t>1</w:t>
      </w:r>
      <w:r w:rsidR="003647B3" w:rsidRPr="003C31FD">
        <w:t>0 November 2008</w:t>
      </w:r>
      <w:r w:rsidR="007E34FB" w:rsidRPr="003C31FD">
        <w:t xml:space="preserve"> </w:t>
      </w:r>
      <w:r w:rsidR="007E34FB" w:rsidRPr="00E436EE">
        <w:t>for treatment</w:t>
      </w:r>
      <w:r w:rsidR="007E34FB">
        <w:t xml:space="preserve"> of </w:t>
      </w:r>
      <w:proofErr w:type="spellStart"/>
      <w:r w:rsidR="007E34FB">
        <w:t>neovascular</w:t>
      </w:r>
      <w:proofErr w:type="spellEnd"/>
      <w:r w:rsidR="007E34FB">
        <w:t xml:space="preserve"> (wet) </w:t>
      </w:r>
      <w:r w:rsidR="009C7F00">
        <w:t>age related macular degeneration (</w:t>
      </w:r>
      <w:r w:rsidR="007E34FB" w:rsidRPr="00E436EE">
        <w:t>AMD</w:t>
      </w:r>
      <w:r w:rsidR="009C7F00">
        <w:t>)</w:t>
      </w:r>
      <w:r w:rsidR="007E34FB">
        <w:t xml:space="preserve"> in adults</w:t>
      </w:r>
      <w:r w:rsidR="007E34FB" w:rsidRPr="00E436EE">
        <w:t>.</w:t>
      </w:r>
      <w:r w:rsidR="004D4048">
        <w:t xml:space="preserve"> The current indications approved in Australia are:</w:t>
      </w:r>
    </w:p>
    <w:p w14:paraId="14B4DB94" w14:textId="77777777" w:rsidR="00667C42" w:rsidRPr="00CF189F" w:rsidRDefault="00667C42" w:rsidP="00CF189F">
      <w:pPr>
        <w:keepNext/>
        <w:ind w:left="720"/>
        <w:rPr>
          <w:i/>
        </w:rPr>
      </w:pPr>
      <w:proofErr w:type="spellStart"/>
      <w:r w:rsidRPr="00CF189F">
        <w:rPr>
          <w:i/>
        </w:rPr>
        <w:t>Lucentis</w:t>
      </w:r>
      <w:proofErr w:type="spellEnd"/>
      <w:r w:rsidRPr="00CF189F">
        <w:rPr>
          <w:i/>
        </w:rPr>
        <w:t xml:space="preserve"> (</w:t>
      </w:r>
      <w:proofErr w:type="spellStart"/>
      <w:r w:rsidRPr="00CF189F">
        <w:rPr>
          <w:i/>
        </w:rPr>
        <w:t>ranibizumab</w:t>
      </w:r>
      <w:proofErr w:type="spellEnd"/>
      <w:r w:rsidRPr="00CF189F">
        <w:rPr>
          <w:i/>
        </w:rPr>
        <w:t xml:space="preserve">) </w:t>
      </w:r>
      <w:proofErr w:type="gramStart"/>
      <w:r w:rsidRPr="00CF189F">
        <w:rPr>
          <w:i/>
        </w:rPr>
        <w:t>is indicated</w:t>
      </w:r>
      <w:proofErr w:type="gramEnd"/>
      <w:r w:rsidRPr="00CF189F">
        <w:rPr>
          <w:i/>
        </w:rPr>
        <w:t xml:space="preserve"> in adults for:</w:t>
      </w:r>
    </w:p>
    <w:p w14:paraId="79587C74" w14:textId="77777777" w:rsidR="00667C42" w:rsidRPr="00CF189F" w:rsidRDefault="00667C42" w:rsidP="00CF189F">
      <w:pPr>
        <w:pStyle w:val="ListBullet"/>
        <w:ind w:left="1080"/>
        <w:rPr>
          <w:i/>
        </w:rPr>
      </w:pPr>
      <w:r w:rsidRPr="00CF189F">
        <w:rPr>
          <w:i/>
        </w:rPr>
        <w:t xml:space="preserve">the treatment of </w:t>
      </w:r>
      <w:proofErr w:type="spellStart"/>
      <w:r w:rsidRPr="00CF189F">
        <w:rPr>
          <w:i/>
        </w:rPr>
        <w:t>neovascular</w:t>
      </w:r>
      <w:proofErr w:type="spellEnd"/>
      <w:r w:rsidRPr="00CF189F">
        <w:rPr>
          <w:i/>
        </w:rPr>
        <w:t xml:space="preserve"> (wet) age-related macular degeneration (AMD),</w:t>
      </w:r>
    </w:p>
    <w:p w14:paraId="52AB571D" w14:textId="77777777" w:rsidR="00667C42" w:rsidRPr="00CF189F" w:rsidRDefault="00667C42" w:rsidP="00CF189F">
      <w:pPr>
        <w:pStyle w:val="ListBullet"/>
        <w:ind w:left="1080"/>
        <w:rPr>
          <w:i/>
        </w:rPr>
      </w:pPr>
      <w:r w:rsidRPr="00CF189F">
        <w:rPr>
          <w:i/>
        </w:rPr>
        <w:t>the treatment of visual impairment due to diabetic macular oedema (DME),</w:t>
      </w:r>
    </w:p>
    <w:p w14:paraId="1239DFCF" w14:textId="77777777" w:rsidR="00667C42" w:rsidRPr="00CF189F" w:rsidRDefault="00667C42" w:rsidP="00CF189F">
      <w:pPr>
        <w:pStyle w:val="ListBullet"/>
        <w:ind w:left="1080"/>
        <w:rPr>
          <w:i/>
        </w:rPr>
      </w:pPr>
      <w:r w:rsidRPr="00CF189F">
        <w:rPr>
          <w:i/>
        </w:rPr>
        <w:t>the treatment of proliferative diabetic retinopathy (PDR),</w:t>
      </w:r>
    </w:p>
    <w:p w14:paraId="514BCDBB" w14:textId="77777777" w:rsidR="00667C42" w:rsidRPr="00CF189F" w:rsidRDefault="00667C42" w:rsidP="00CF189F">
      <w:pPr>
        <w:pStyle w:val="ListBullet"/>
        <w:ind w:left="1080"/>
        <w:rPr>
          <w:i/>
        </w:rPr>
      </w:pPr>
      <w:r w:rsidRPr="00CF189F">
        <w:rPr>
          <w:i/>
        </w:rPr>
        <w:t>the treatment of visual impairment due to choroidal neovascularisation</w:t>
      </w:r>
    </w:p>
    <w:p w14:paraId="64206E5A" w14:textId="77777777" w:rsidR="00667C42" w:rsidRPr="00CF189F" w:rsidRDefault="00667C42" w:rsidP="00CF189F">
      <w:pPr>
        <w:pStyle w:val="ListBullet"/>
        <w:ind w:left="1080"/>
        <w:rPr>
          <w:i/>
        </w:rPr>
      </w:pPr>
      <w:r w:rsidRPr="00CF189F">
        <w:rPr>
          <w:i/>
        </w:rPr>
        <w:t>the treatment of visual impairment due to choroidal neovascularisation (CNV) secondary to pathologic myopia (PM),</w:t>
      </w:r>
    </w:p>
    <w:p w14:paraId="4B36505B" w14:textId="77777777" w:rsidR="00667C42" w:rsidRPr="00CF189F" w:rsidRDefault="00667C42" w:rsidP="00CF189F">
      <w:pPr>
        <w:pStyle w:val="ListBullet"/>
        <w:ind w:left="1080"/>
        <w:rPr>
          <w:i/>
        </w:rPr>
      </w:pPr>
      <w:proofErr w:type="gramStart"/>
      <w:r w:rsidRPr="00CF189F">
        <w:rPr>
          <w:i/>
        </w:rPr>
        <w:t>the</w:t>
      </w:r>
      <w:proofErr w:type="gramEnd"/>
      <w:r w:rsidRPr="00CF189F">
        <w:rPr>
          <w:i/>
        </w:rPr>
        <w:t xml:space="preserve"> treatment of visual impairment due to macular oedema secondary to retinal vein occlusion (RVO).</w:t>
      </w:r>
    </w:p>
    <w:p w14:paraId="7DB58ED8" w14:textId="537827F0" w:rsidR="007E34FB" w:rsidRDefault="004D4048" w:rsidP="004D4048">
      <w:pPr>
        <w:rPr>
          <w:lang w:eastAsia="ja-JP"/>
        </w:rPr>
      </w:pPr>
      <w:r w:rsidRPr="00940A89">
        <w:t>At the time the TGA considered this application</w:t>
      </w:r>
      <w:r>
        <w:t>,</w:t>
      </w:r>
      <w:r>
        <w:rPr>
          <w:lang w:eastAsia="ja-JP"/>
        </w:rPr>
        <w:t xml:space="preserve"> a similar application </w:t>
      </w:r>
      <w:proofErr w:type="gramStart"/>
      <w:r>
        <w:rPr>
          <w:lang w:eastAsia="ja-JP"/>
        </w:rPr>
        <w:t>had</w:t>
      </w:r>
      <w:r w:rsidR="007E34FB">
        <w:rPr>
          <w:lang w:eastAsia="ja-JP"/>
        </w:rPr>
        <w:t xml:space="preserve"> been approved</w:t>
      </w:r>
      <w:proofErr w:type="gramEnd"/>
      <w:r w:rsidR="007E34FB">
        <w:rPr>
          <w:lang w:eastAsia="ja-JP"/>
        </w:rPr>
        <w:t xml:space="preserve"> </w:t>
      </w:r>
      <w:r>
        <w:rPr>
          <w:lang w:eastAsia="ja-JP"/>
        </w:rPr>
        <w:t>in the European Union</w:t>
      </w:r>
      <w:r w:rsidR="00C9270E">
        <w:rPr>
          <w:lang w:eastAsia="ja-JP"/>
        </w:rPr>
        <w:t xml:space="preserve"> (EU)</w:t>
      </w:r>
      <w:r>
        <w:rPr>
          <w:lang w:eastAsia="ja-JP"/>
        </w:rPr>
        <w:t xml:space="preserve"> (approv</w:t>
      </w:r>
      <w:r w:rsidR="00A21CFA">
        <w:rPr>
          <w:lang w:eastAsia="ja-JP"/>
        </w:rPr>
        <w:t>ed on</w:t>
      </w:r>
      <w:r>
        <w:rPr>
          <w:lang w:eastAsia="ja-JP"/>
        </w:rPr>
        <w:t xml:space="preserve"> 3 September 2019) for the following indication:</w:t>
      </w:r>
    </w:p>
    <w:p w14:paraId="3935E1DD" w14:textId="73924232" w:rsidR="004D4048" w:rsidRPr="004D4048" w:rsidRDefault="004D4048" w:rsidP="00CF189F">
      <w:pPr>
        <w:ind w:left="720"/>
        <w:rPr>
          <w:i/>
        </w:rPr>
      </w:pPr>
      <w:proofErr w:type="spellStart"/>
      <w:r w:rsidRPr="004D4048">
        <w:rPr>
          <w:i/>
        </w:rPr>
        <w:t>Lucentis</w:t>
      </w:r>
      <w:proofErr w:type="spellEnd"/>
      <w:r w:rsidRPr="004D4048">
        <w:rPr>
          <w:i/>
        </w:rPr>
        <w:t xml:space="preserve"> is indicated in preterm infants for the treatment of retinopathy of prematurity (ROP) with zone I (stage 1+, 2+, 3 or 3+), zone II (stage 3+) or AP-ROP (aggressive posterior ROP) disease</w:t>
      </w:r>
    </w:p>
    <w:p w14:paraId="6326BC9D" w14:textId="29DE33B6" w:rsidR="007E34FB" w:rsidRDefault="004D4048" w:rsidP="004D4048">
      <w:r>
        <w:rPr>
          <w:lang w:eastAsia="ja-JP"/>
        </w:rPr>
        <w:t>Similar application</w:t>
      </w:r>
      <w:r w:rsidR="00A21CFA">
        <w:rPr>
          <w:lang w:eastAsia="ja-JP"/>
        </w:rPr>
        <w:t>s</w:t>
      </w:r>
      <w:r>
        <w:rPr>
          <w:lang w:eastAsia="ja-JP"/>
        </w:rPr>
        <w:t xml:space="preserve"> for </w:t>
      </w:r>
      <w:proofErr w:type="spellStart"/>
      <w:r>
        <w:rPr>
          <w:lang w:eastAsia="ja-JP"/>
        </w:rPr>
        <w:t>Lucentis</w:t>
      </w:r>
      <w:proofErr w:type="spellEnd"/>
      <w:r w:rsidR="007E34FB">
        <w:t xml:space="preserve"> for the treatme</w:t>
      </w:r>
      <w:r>
        <w:t>nt of ROP in preterm infants were</w:t>
      </w:r>
      <w:r w:rsidR="007E34FB">
        <w:t xml:space="preserve"> under evaluation in Switzerland (</w:t>
      </w:r>
      <w:r>
        <w:t>submi</w:t>
      </w:r>
      <w:r w:rsidR="00A21CFA">
        <w:t>tted</w:t>
      </w:r>
      <w:r>
        <w:t xml:space="preserve"> 4 December 2018</w:t>
      </w:r>
      <w:r w:rsidR="007E34FB">
        <w:t>) and Singapore</w:t>
      </w:r>
      <w:r w:rsidR="00335D7A">
        <w:t xml:space="preserve"> (submi</w:t>
      </w:r>
      <w:r w:rsidR="00A21CFA">
        <w:t>tted</w:t>
      </w:r>
      <w:r>
        <w:t xml:space="preserve"> 1</w:t>
      </w:r>
      <w:r w:rsidR="00335D7A">
        <w:t> </w:t>
      </w:r>
      <w:r>
        <w:t>October 2019)</w:t>
      </w:r>
      <w:r w:rsidR="007E34FB">
        <w:t>.</w:t>
      </w:r>
      <w:r>
        <w:t xml:space="preserve"> </w:t>
      </w:r>
      <w:r w:rsidRPr="004D4048">
        <w:t>There have been no referrals, withdrawals or rejections of similar applications in other countries.</w:t>
      </w:r>
    </w:p>
    <w:p w14:paraId="4C728D68" w14:textId="250FF630" w:rsidR="00185833" w:rsidRDefault="00185833" w:rsidP="004D4048">
      <w:pPr>
        <w:rPr>
          <w:lang w:eastAsia="ja-JP"/>
        </w:rPr>
      </w:pPr>
      <w:r>
        <w:rPr>
          <w:lang w:eastAsia="ja-JP"/>
        </w:rPr>
        <w:t xml:space="preserve">On 5 October 2018, the TGA granted </w:t>
      </w:r>
      <w:proofErr w:type="spellStart"/>
      <w:r>
        <w:rPr>
          <w:lang w:eastAsia="ja-JP"/>
        </w:rPr>
        <w:t>Lucentis</w:t>
      </w:r>
      <w:proofErr w:type="spellEnd"/>
      <w:r>
        <w:rPr>
          <w:lang w:eastAsia="ja-JP"/>
        </w:rPr>
        <w:t xml:space="preserve"> a positive Orphan drug designation;</w:t>
      </w:r>
      <w:r>
        <w:rPr>
          <w:rStyle w:val="FootnoteReference"/>
          <w:lang w:eastAsia="ja-JP"/>
        </w:rPr>
        <w:footnoteReference w:id="12"/>
      </w:r>
      <w:r>
        <w:rPr>
          <w:lang w:eastAsia="ja-JP"/>
        </w:rPr>
        <w:t xml:space="preserve"> for the indication listed in the Product Background (see above).</w:t>
      </w:r>
    </w:p>
    <w:p w14:paraId="601ED15D" w14:textId="77777777" w:rsidR="00500337" w:rsidRDefault="00D51183" w:rsidP="00500337">
      <w:pPr>
        <w:pStyle w:val="Heading2"/>
      </w:pPr>
      <w:bookmarkStart w:id="24" w:name="_Toc504480011"/>
      <w:bookmarkStart w:id="25" w:name="_Toc50054481"/>
      <w:bookmarkStart w:id="26" w:name="_Toc247691506"/>
      <w:bookmarkStart w:id="27" w:name="_Toc314842487"/>
      <w:bookmarkEnd w:id="22"/>
      <w:bookmarkEnd w:id="23"/>
      <w:r>
        <w:t>II. Registration time</w:t>
      </w:r>
      <w:r w:rsidR="00500337">
        <w:t>line</w:t>
      </w:r>
      <w:bookmarkEnd w:id="24"/>
      <w:bookmarkEnd w:id="25"/>
    </w:p>
    <w:p w14:paraId="1952C011" w14:textId="77777777" w:rsidR="00500337" w:rsidRDefault="00500337" w:rsidP="00500337">
      <w:r>
        <w:t xml:space="preserve">The following table captures the key steps and dates for this application and which </w:t>
      </w:r>
      <w:proofErr w:type="gramStart"/>
      <w:r>
        <w:t>are detailed and discussed</w:t>
      </w:r>
      <w:r w:rsidR="00D51183">
        <w:t xml:space="preserve"> in this </w:t>
      </w:r>
      <w:proofErr w:type="spellStart"/>
      <w:r w:rsidR="00D51183">
        <w:t>AusPAR</w:t>
      </w:r>
      <w:proofErr w:type="spellEnd"/>
      <w:proofErr w:type="gramEnd"/>
      <w:r>
        <w:t>.</w:t>
      </w:r>
    </w:p>
    <w:p w14:paraId="169F1981" w14:textId="40EBC89C" w:rsidR="00500337" w:rsidRDefault="00C46C7E" w:rsidP="00C46C7E">
      <w:pPr>
        <w:pStyle w:val="TableTitle"/>
      </w:pPr>
      <w:r>
        <w:lastRenderedPageBreak/>
        <w:t xml:space="preserve">Table </w:t>
      </w:r>
      <w:r w:rsidR="004616F9">
        <w:fldChar w:fldCharType="begin"/>
      </w:r>
      <w:r w:rsidR="004616F9">
        <w:instrText xml:space="preserve"> SEQ Table \* ARABIC </w:instrText>
      </w:r>
      <w:r w:rsidR="004616F9">
        <w:fldChar w:fldCharType="separate"/>
      </w:r>
      <w:r w:rsidR="00EA746F">
        <w:rPr>
          <w:noProof/>
        </w:rPr>
        <w:t>2</w:t>
      </w:r>
      <w:r w:rsidR="004616F9">
        <w:rPr>
          <w:noProof/>
        </w:rPr>
        <w:fldChar w:fldCharType="end"/>
      </w:r>
      <w:r>
        <w:t>:</w:t>
      </w:r>
      <w:r w:rsidR="006A58A8" w:rsidRPr="006A58A8">
        <w:t xml:space="preserve"> Timeline </w:t>
      </w:r>
      <w:r>
        <w:t>for Submission PM-2018-04902-1-5</w:t>
      </w:r>
    </w:p>
    <w:tbl>
      <w:tblPr>
        <w:tblStyle w:val="TableTGAblue"/>
        <w:tblW w:w="0" w:type="auto"/>
        <w:tblLook w:val="04A0" w:firstRow="1" w:lastRow="0" w:firstColumn="1" w:lastColumn="0" w:noHBand="0" w:noVBand="1"/>
      </w:tblPr>
      <w:tblGrid>
        <w:gridCol w:w="4249"/>
        <w:gridCol w:w="4235"/>
      </w:tblGrid>
      <w:tr w:rsidR="00500337" w14:paraId="7B7FC7F6"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70A22EB8" w14:textId="77777777" w:rsidR="00500337" w:rsidRDefault="00500337" w:rsidP="00500337">
            <w:pPr>
              <w:ind w:left="0" w:right="0"/>
            </w:pPr>
            <w:r>
              <w:t>Description</w:t>
            </w:r>
          </w:p>
        </w:tc>
        <w:tc>
          <w:tcPr>
            <w:tcW w:w="4360" w:type="dxa"/>
          </w:tcPr>
          <w:p w14:paraId="18E74647" w14:textId="77777777" w:rsidR="00500337" w:rsidRDefault="00500337" w:rsidP="00500337">
            <w:pPr>
              <w:ind w:left="0" w:right="0"/>
            </w:pPr>
            <w:r>
              <w:t>Date</w:t>
            </w:r>
          </w:p>
        </w:tc>
      </w:tr>
      <w:tr w:rsidR="00500337" w14:paraId="5C6A0510" w14:textId="77777777" w:rsidTr="00500337">
        <w:tc>
          <w:tcPr>
            <w:tcW w:w="4360" w:type="dxa"/>
          </w:tcPr>
          <w:p w14:paraId="70273514" w14:textId="2EA9B972" w:rsidR="00500337" w:rsidRDefault="00CD1EB9" w:rsidP="00500337">
            <w:pPr>
              <w:ind w:left="0" w:right="0"/>
            </w:pPr>
            <w:r>
              <w:t xml:space="preserve">Positive </w:t>
            </w:r>
            <w:r w:rsidR="005B2E7C">
              <w:t>D</w:t>
            </w:r>
            <w:r w:rsidR="00185833">
              <w:t>esignation</w:t>
            </w:r>
            <w:r w:rsidR="005B2E7C">
              <w:t xml:space="preserve"> </w:t>
            </w:r>
            <w:r w:rsidR="00185833">
              <w:t>(</w:t>
            </w:r>
            <w:r w:rsidR="00500337">
              <w:t>Orp</w:t>
            </w:r>
            <w:r w:rsidR="00624C22">
              <w:t>han</w:t>
            </w:r>
            <w:r w:rsidR="00185833">
              <w:t>)</w:t>
            </w:r>
          </w:p>
        </w:tc>
        <w:tc>
          <w:tcPr>
            <w:tcW w:w="4360" w:type="dxa"/>
          </w:tcPr>
          <w:p w14:paraId="2B2C4544" w14:textId="5B125035" w:rsidR="00500337" w:rsidRDefault="00CD1EB9" w:rsidP="00500337">
            <w:pPr>
              <w:ind w:left="0" w:right="0"/>
            </w:pPr>
            <w:r>
              <w:t>5 October 2018</w:t>
            </w:r>
          </w:p>
        </w:tc>
      </w:tr>
      <w:tr w:rsidR="00500337" w14:paraId="63E7607C" w14:textId="77777777" w:rsidTr="00500337">
        <w:tc>
          <w:tcPr>
            <w:tcW w:w="4360" w:type="dxa"/>
          </w:tcPr>
          <w:p w14:paraId="6A511BF7" w14:textId="77777777" w:rsidR="00500337" w:rsidRDefault="00500337" w:rsidP="00500337">
            <w:pPr>
              <w:ind w:left="0" w:right="0"/>
            </w:pPr>
            <w:r>
              <w:t>Submission dossier accepted and first round evaluation commenced</w:t>
            </w:r>
          </w:p>
        </w:tc>
        <w:tc>
          <w:tcPr>
            <w:tcW w:w="4360" w:type="dxa"/>
          </w:tcPr>
          <w:p w14:paraId="44AAB4D0" w14:textId="77777777" w:rsidR="00500337" w:rsidRDefault="00624C22" w:rsidP="00500337">
            <w:pPr>
              <w:ind w:left="0" w:right="0"/>
            </w:pPr>
            <w:r>
              <w:t>2 January 2019</w:t>
            </w:r>
          </w:p>
        </w:tc>
      </w:tr>
      <w:tr w:rsidR="00500337" w14:paraId="3F767A7C" w14:textId="77777777" w:rsidTr="00500337">
        <w:tc>
          <w:tcPr>
            <w:tcW w:w="4360" w:type="dxa"/>
          </w:tcPr>
          <w:p w14:paraId="3E6D557B" w14:textId="77777777" w:rsidR="00500337" w:rsidRDefault="00500337" w:rsidP="00500337">
            <w:pPr>
              <w:ind w:left="0" w:right="0"/>
            </w:pPr>
            <w:r>
              <w:t>First round evaluation completed</w:t>
            </w:r>
          </w:p>
        </w:tc>
        <w:tc>
          <w:tcPr>
            <w:tcW w:w="4360" w:type="dxa"/>
          </w:tcPr>
          <w:p w14:paraId="037520C3" w14:textId="77777777" w:rsidR="00500337" w:rsidRDefault="00624C22" w:rsidP="00500337">
            <w:pPr>
              <w:ind w:left="0" w:right="0"/>
            </w:pPr>
            <w:r>
              <w:t>31 May 2019</w:t>
            </w:r>
          </w:p>
        </w:tc>
      </w:tr>
      <w:tr w:rsidR="00500337" w14:paraId="12EDB0ED" w14:textId="77777777" w:rsidTr="00500337">
        <w:tc>
          <w:tcPr>
            <w:tcW w:w="4360" w:type="dxa"/>
          </w:tcPr>
          <w:p w14:paraId="3F45AFE1" w14:textId="77777777" w:rsidR="00500337" w:rsidRDefault="00500337" w:rsidP="00500337">
            <w:pPr>
              <w:ind w:left="0" w:right="0"/>
            </w:pPr>
            <w:r>
              <w:t>Sponsor provides responses on questions raised in first round evaluation</w:t>
            </w:r>
          </w:p>
        </w:tc>
        <w:tc>
          <w:tcPr>
            <w:tcW w:w="4360" w:type="dxa"/>
          </w:tcPr>
          <w:p w14:paraId="6F79137E" w14:textId="77777777" w:rsidR="00500337" w:rsidRDefault="00624C22" w:rsidP="00500337">
            <w:pPr>
              <w:ind w:left="0" w:right="0"/>
            </w:pPr>
            <w:r>
              <w:t>31 July 2019</w:t>
            </w:r>
          </w:p>
        </w:tc>
      </w:tr>
      <w:tr w:rsidR="00500337" w14:paraId="11BFBB2E" w14:textId="77777777" w:rsidTr="00500337">
        <w:tc>
          <w:tcPr>
            <w:tcW w:w="4360" w:type="dxa"/>
          </w:tcPr>
          <w:p w14:paraId="43A93A28" w14:textId="77777777" w:rsidR="00500337" w:rsidRDefault="00500337" w:rsidP="00500337">
            <w:pPr>
              <w:ind w:left="0" w:right="0"/>
            </w:pPr>
            <w:r>
              <w:t>Second round evaluation completed</w:t>
            </w:r>
          </w:p>
        </w:tc>
        <w:tc>
          <w:tcPr>
            <w:tcW w:w="4360" w:type="dxa"/>
          </w:tcPr>
          <w:p w14:paraId="4E28E400" w14:textId="77777777" w:rsidR="00500337" w:rsidRDefault="00624C22" w:rsidP="00500337">
            <w:pPr>
              <w:ind w:left="0" w:right="0"/>
            </w:pPr>
            <w:r>
              <w:t>16 September 2019</w:t>
            </w:r>
          </w:p>
        </w:tc>
      </w:tr>
      <w:tr w:rsidR="00500337" w14:paraId="16005CE5" w14:textId="77777777" w:rsidTr="00500337">
        <w:tc>
          <w:tcPr>
            <w:tcW w:w="4360" w:type="dxa"/>
          </w:tcPr>
          <w:p w14:paraId="037C8BC3" w14:textId="77777777" w:rsidR="00500337" w:rsidRDefault="00500337" w:rsidP="00500337">
            <w:pPr>
              <w:ind w:left="0" w:right="0"/>
            </w:pPr>
            <w:r>
              <w:t>Delegate’s Overall benefit-risk assessment and request for Advisory Committee advice</w:t>
            </w:r>
          </w:p>
        </w:tc>
        <w:tc>
          <w:tcPr>
            <w:tcW w:w="4360" w:type="dxa"/>
          </w:tcPr>
          <w:p w14:paraId="5C0A6638" w14:textId="77777777" w:rsidR="00500337" w:rsidRDefault="00624C22" w:rsidP="00500337">
            <w:pPr>
              <w:ind w:left="0" w:right="0"/>
            </w:pPr>
            <w:r>
              <w:t>5 November 2019</w:t>
            </w:r>
          </w:p>
        </w:tc>
      </w:tr>
      <w:tr w:rsidR="00500337" w14:paraId="5DEA4DBC" w14:textId="77777777" w:rsidTr="00500337">
        <w:tc>
          <w:tcPr>
            <w:tcW w:w="4360" w:type="dxa"/>
          </w:tcPr>
          <w:p w14:paraId="26F87BE9" w14:textId="77777777" w:rsidR="00500337" w:rsidRDefault="00500337" w:rsidP="00500337">
            <w:pPr>
              <w:ind w:left="0" w:right="0"/>
            </w:pPr>
            <w:r>
              <w:t>Sponsor’s pre-Advisory Committee response</w:t>
            </w:r>
          </w:p>
        </w:tc>
        <w:tc>
          <w:tcPr>
            <w:tcW w:w="4360" w:type="dxa"/>
          </w:tcPr>
          <w:p w14:paraId="25B64E65" w14:textId="77777777" w:rsidR="00500337" w:rsidRDefault="00624C22" w:rsidP="00500337">
            <w:pPr>
              <w:ind w:left="0" w:right="0"/>
            </w:pPr>
            <w:r>
              <w:t>15 November 2019</w:t>
            </w:r>
          </w:p>
        </w:tc>
      </w:tr>
      <w:tr w:rsidR="00500337" w14:paraId="4F3F0B48" w14:textId="77777777" w:rsidTr="00500337">
        <w:tc>
          <w:tcPr>
            <w:tcW w:w="4360" w:type="dxa"/>
          </w:tcPr>
          <w:p w14:paraId="00B5055C" w14:textId="77777777" w:rsidR="00500337" w:rsidRDefault="00500337" w:rsidP="00500337">
            <w:pPr>
              <w:ind w:left="0" w:right="0"/>
            </w:pPr>
            <w:r>
              <w:t>Advisory Committee meeting</w:t>
            </w:r>
          </w:p>
        </w:tc>
        <w:tc>
          <w:tcPr>
            <w:tcW w:w="4360" w:type="dxa"/>
          </w:tcPr>
          <w:p w14:paraId="3B9B48A7" w14:textId="5DE44F1A" w:rsidR="00500337" w:rsidRDefault="00CF189F" w:rsidP="00500337">
            <w:pPr>
              <w:ind w:left="0" w:right="0"/>
            </w:pPr>
            <w:r>
              <w:t>6 December 2019</w:t>
            </w:r>
          </w:p>
        </w:tc>
      </w:tr>
      <w:tr w:rsidR="00500337" w14:paraId="1E50D6EA" w14:textId="77777777" w:rsidTr="00500337">
        <w:tc>
          <w:tcPr>
            <w:tcW w:w="4360" w:type="dxa"/>
          </w:tcPr>
          <w:p w14:paraId="40A09B94" w14:textId="77777777" w:rsidR="00500337" w:rsidRDefault="00500337" w:rsidP="00500337">
            <w:pPr>
              <w:ind w:left="0" w:right="0"/>
            </w:pPr>
            <w:r>
              <w:t>Registration decision (Outcome)</w:t>
            </w:r>
          </w:p>
        </w:tc>
        <w:tc>
          <w:tcPr>
            <w:tcW w:w="4360" w:type="dxa"/>
          </w:tcPr>
          <w:p w14:paraId="6C7D4F1C" w14:textId="5AA52F8A" w:rsidR="00500337" w:rsidRDefault="0071267D" w:rsidP="0071267D">
            <w:pPr>
              <w:ind w:left="0" w:right="0"/>
            </w:pPr>
            <w:r>
              <w:t xml:space="preserve">Not applicable; </w:t>
            </w:r>
            <w:r w:rsidR="00CF189F">
              <w:t xml:space="preserve">withdrawn by sponsor </w:t>
            </w:r>
            <w:r>
              <w:t xml:space="preserve">on </w:t>
            </w:r>
            <w:r w:rsidR="00624C22">
              <w:t>14</w:t>
            </w:r>
            <w:r>
              <w:t> </w:t>
            </w:r>
            <w:r w:rsidR="00624C22">
              <w:t>January 2019</w:t>
            </w:r>
          </w:p>
        </w:tc>
      </w:tr>
      <w:tr w:rsidR="00500337" w14:paraId="0F191320" w14:textId="77777777" w:rsidTr="00500337">
        <w:tc>
          <w:tcPr>
            <w:tcW w:w="4360" w:type="dxa"/>
          </w:tcPr>
          <w:p w14:paraId="1E519EA9" w14:textId="77777777" w:rsidR="00500337" w:rsidRDefault="00500337" w:rsidP="00500337">
            <w:pPr>
              <w:ind w:left="0" w:right="0"/>
            </w:pPr>
            <w:r>
              <w:t xml:space="preserve">Completion of administrative activities and registration on </w:t>
            </w:r>
            <w:r w:rsidR="00D51183">
              <w:t xml:space="preserve">the </w:t>
            </w:r>
            <w:r>
              <w:t>ARTG</w:t>
            </w:r>
          </w:p>
        </w:tc>
        <w:tc>
          <w:tcPr>
            <w:tcW w:w="4360" w:type="dxa"/>
          </w:tcPr>
          <w:p w14:paraId="3C407018" w14:textId="77777777" w:rsidR="00500337" w:rsidRDefault="00624C22" w:rsidP="00500337">
            <w:pPr>
              <w:ind w:left="0" w:right="0"/>
            </w:pPr>
            <w:r>
              <w:t>Not applicable</w:t>
            </w:r>
          </w:p>
        </w:tc>
      </w:tr>
      <w:tr w:rsidR="00500337" w14:paraId="4D1F169F" w14:textId="77777777" w:rsidTr="00500337">
        <w:tc>
          <w:tcPr>
            <w:tcW w:w="4360" w:type="dxa"/>
          </w:tcPr>
          <w:p w14:paraId="4FFF7443" w14:textId="77777777" w:rsidR="00500337" w:rsidRDefault="00500337" w:rsidP="00500337">
            <w:pPr>
              <w:ind w:left="0" w:right="0"/>
            </w:pPr>
            <w:r>
              <w:t>Number of working days from submission dossier acceptance to registration decision*</w:t>
            </w:r>
          </w:p>
        </w:tc>
        <w:tc>
          <w:tcPr>
            <w:tcW w:w="4360" w:type="dxa"/>
          </w:tcPr>
          <w:p w14:paraId="161C0CAD" w14:textId="35572666" w:rsidR="00500337" w:rsidRDefault="00CF189F" w:rsidP="00500337">
            <w:pPr>
              <w:ind w:left="0" w:right="0"/>
            </w:pPr>
            <w:r>
              <w:t>Not applicable</w:t>
            </w:r>
          </w:p>
        </w:tc>
      </w:tr>
    </w:tbl>
    <w:p w14:paraId="56EA20AA" w14:textId="0636B8A0" w:rsidR="00500337" w:rsidRDefault="00500337" w:rsidP="004D0014">
      <w:pPr>
        <w:pStyle w:val="TableDescription"/>
      </w:pPr>
      <w:r>
        <w:t>*</w:t>
      </w:r>
      <w:r w:rsidR="006603BC" w:rsidRPr="006603BC">
        <w:t>Statutory timeframe for standard applications is 255 working days</w:t>
      </w:r>
    </w:p>
    <w:p w14:paraId="6EF3F864" w14:textId="77777777" w:rsidR="008E7846" w:rsidRPr="00792A32" w:rsidRDefault="00456765" w:rsidP="008E7846">
      <w:pPr>
        <w:pStyle w:val="Heading2"/>
      </w:pPr>
      <w:bookmarkStart w:id="28" w:name="_Toc196046504"/>
      <w:bookmarkStart w:id="29" w:name="_Toc247691527"/>
      <w:bookmarkStart w:id="30" w:name="_Toc314842510"/>
      <w:bookmarkStart w:id="31" w:name="_Toc50054482"/>
      <w:bookmarkStart w:id="32" w:name="_Toc163441390"/>
      <w:bookmarkEnd w:id="26"/>
      <w:bookmarkEnd w:id="27"/>
      <w:bookmarkEnd w:id="2"/>
      <w:r>
        <w:t>I</w:t>
      </w:r>
      <w:r w:rsidR="00DA64CB">
        <w:t>I</w:t>
      </w:r>
      <w:r w:rsidR="008E7846">
        <w:t xml:space="preserve">I. </w:t>
      </w:r>
      <w:r w:rsidR="00D51183">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208CFDFB" w14:textId="674989FA" w:rsidR="008E7846" w:rsidRDefault="008E7846" w:rsidP="008E7846">
      <w:bookmarkStart w:id="33" w:name="_Toc247691528"/>
      <w:r>
        <w:t xml:space="preserve">The submission was summarised in the following </w:t>
      </w:r>
      <w:r w:rsidRPr="00EF5C48">
        <w:t xml:space="preserve">Delegate’s </w:t>
      </w:r>
      <w:r>
        <w:t>overview</w:t>
      </w:r>
      <w:r w:rsidRPr="00EF5C48">
        <w:t xml:space="preserve"> and recommendation</w:t>
      </w:r>
      <w:r>
        <w:t>s</w:t>
      </w:r>
      <w:r w:rsidR="00A21CFA">
        <w:t>.</w:t>
      </w:r>
    </w:p>
    <w:p w14:paraId="5BF83E27" w14:textId="77777777" w:rsidR="008E7846" w:rsidRDefault="008E7846" w:rsidP="008E7846">
      <w:pPr>
        <w:pStyle w:val="Heading3"/>
      </w:pPr>
      <w:bookmarkStart w:id="34" w:name="_Toc314842511"/>
      <w:bookmarkStart w:id="35" w:name="_Toc50054483"/>
      <w:r>
        <w:t>Quality</w:t>
      </w:r>
      <w:bookmarkEnd w:id="33"/>
      <w:bookmarkEnd w:id="34"/>
      <w:bookmarkEnd w:id="35"/>
    </w:p>
    <w:p w14:paraId="5D75524E" w14:textId="77777777" w:rsidR="00E45619" w:rsidRDefault="008E7846" w:rsidP="003A7F6C">
      <w:r>
        <w:t>There was no requirement for a quality evaluation in a submission of this type.</w:t>
      </w:r>
    </w:p>
    <w:p w14:paraId="78E36900" w14:textId="77777777" w:rsidR="008E7846" w:rsidRDefault="008E7846" w:rsidP="004616F9">
      <w:pPr>
        <w:pStyle w:val="Heading3"/>
      </w:pPr>
      <w:bookmarkStart w:id="36" w:name="_Toc314842512"/>
      <w:bookmarkStart w:id="37" w:name="_Toc50054484"/>
      <w:r>
        <w:lastRenderedPageBreak/>
        <w:t>Nonclinical</w:t>
      </w:r>
      <w:bookmarkEnd w:id="36"/>
      <w:bookmarkEnd w:id="37"/>
    </w:p>
    <w:p w14:paraId="168F2F11" w14:textId="57756269" w:rsidR="00947729" w:rsidRDefault="007E34FB" w:rsidP="004616F9">
      <w:pPr>
        <w:keepNext/>
        <w:keepLines/>
      </w:pPr>
      <w:r w:rsidRPr="00947729">
        <w:t>There</w:t>
      </w:r>
      <w:r w:rsidR="00947729">
        <w:t xml:space="preserve"> is no biological, nonclinical</w:t>
      </w:r>
      <w:r w:rsidRPr="00947729">
        <w:t xml:space="preserve"> </w:t>
      </w:r>
      <w:r w:rsidR="00947729">
        <w:t xml:space="preserve">and </w:t>
      </w:r>
      <w:r w:rsidRPr="00947729">
        <w:t>toxicology evaluation</w:t>
      </w:r>
      <w:r w:rsidR="00947729" w:rsidRPr="00947729">
        <w:t xml:space="preserve"> with this submission</w:t>
      </w:r>
      <w:r w:rsidRPr="00947729">
        <w:t xml:space="preserve">. </w:t>
      </w:r>
      <w:proofErr w:type="gramStart"/>
      <w:r w:rsidRPr="00947729">
        <w:t>However</w:t>
      </w:r>
      <w:proofErr w:type="gramEnd"/>
      <w:r w:rsidRPr="00947729">
        <w:t xml:space="preserve"> general advice from </w:t>
      </w:r>
      <w:r w:rsidR="00A21CFA">
        <w:t>the nonclinical area of the TGA</w:t>
      </w:r>
      <w:r w:rsidRPr="00947729">
        <w:t xml:space="preserve"> regarding the potential for </w:t>
      </w:r>
      <w:proofErr w:type="spellStart"/>
      <w:r w:rsidRPr="00947729">
        <w:t>ranibizumab</w:t>
      </w:r>
      <w:proofErr w:type="spellEnd"/>
      <w:r w:rsidRPr="00947729">
        <w:t xml:space="preserve"> to have systemic effects on the brain was as follows</w:t>
      </w:r>
      <w:r w:rsidR="00947729">
        <w:t>:</w:t>
      </w:r>
    </w:p>
    <w:p w14:paraId="47403011" w14:textId="3E76BFBE" w:rsidR="007E34FB" w:rsidRPr="00AF7993" w:rsidRDefault="00A21CFA" w:rsidP="003C31FD">
      <w:pPr>
        <w:ind w:left="720"/>
        <w:rPr>
          <w:rFonts w:cs="Segoe UI"/>
        </w:rPr>
      </w:pPr>
      <w:r>
        <w:t>‘</w:t>
      </w:r>
      <w:r w:rsidR="007E34FB" w:rsidRPr="00947729">
        <w:t xml:space="preserve">There are no useful evaluated studies in neonatal or juvenile animals for </w:t>
      </w:r>
      <w:proofErr w:type="spellStart"/>
      <w:r w:rsidR="007E34FB" w:rsidRPr="00947729">
        <w:t>ranibizumab</w:t>
      </w:r>
      <w:proofErr w:type="spellEnd"/>
      <w:r w:rsidR="007E34FB" w:rsidRPr="00947729">
        <w:t xml:space="preserve"> </w:t>
      </w:r>
      <w:r w:rsidR="007E34FB" w:rsidRPr="00AF7993">
        <w:rPr>
          <w:rFonts w:cs="Segoe UI"/>
        </w:rPr>
        <w:t>examining distribution into the brain. The specific concern is the unknown effect of anti VEGF agents on the developing brain in a vulnerable population of neonates and the ability to cross the blood brain barrier. Prevention of entry of antibodies into the brain from blood will depend on the presence of tight junctions rather than other components o</w:t>
      </w:r>
      <w:r w:rsidR="00C46C7E">
        <w:rPr>
          <w:rFonts w:cs="Segoe UI"/>
        </w:rPr>
        <w:t>f the blood-brain barrier (that is</w:t>
      </w:r>
      <w:r w:rsidR="007E34FB" w:rsidRPr="00AF7993">
        <w:rPr>
          <w:rFonts w:cs="Segoe UI"/>
        </w:rPr>
        <w:t xml:space="preserve"> operation of various efflux proteins) that develop later. There is enough formation</w:t>
      </w:r>
      <w:r w:rsidR="00C46C7E">
        <w:rPr>
          <w:rFonts w:cs="Segoe UI"/>
        </w:rPr>
        <w:t xml:space="preserve"> of the blood-brain barrier by W</w:t>
      </w:r>
      <w:r w:rsidR="007E34FB" w:rsidRPr="00AF7993">
        <w:rPr>
          <w:rFonts w:cs="Segoe UI"/>
        </w:rPr>
        <w:t>eek 12 of gestation in humans to block albumin from entering the brain.</w:t>
      </w:r>
      <w:r w:rsidR="007E34FB" w:rsidRPr="00AF7993">
        <w:rPr>
          <w:rStyle w:val="FootnoteReference"/>
          <w:rFonts w:asciiTheme="minorHAnsi" w:hAnsiTheme="minorHAnsi" w:cs="Segoe UI"/>
        </w:rPr>
        <w:footnoteReference w:id="13"/>
      </w:r>
      <w:r w:rsidR="007E34FB" w:rsidRPr="00AF7993">
        <w:rPr>
          <w:rFonts w:cs="Segoe UI"/>
        </w:rPr>
        <w:t xml:space="preserve"> </w:t>
      </w:r>
      <w:proofErr w:type="spellStart"/>
      <w:r w:rsidR="007E34FB" w:rsidRPr="00AF7993">
        <w:rPr>
          <w:rFonts w:cs="Segoe UI"/>
        </w:rPr>
        <w:t>Ranibizumab</w:t>
      </w:r>
      <w:proofErr w:type="spellEnd"/>
      <w:r w:rsidR="007E34FB" w:rsidRPr="00AF7993">
        <w:rPr>
          <w:rFonts w:cs="Segoe UI"/>
        </w:rPr>
        <w:t xml:space="preserve"> is a little smaller</w:t>
      </w:r>
      <w:r w:rsidR="00947729">
        <w:rPr>
          <w:rFonts w:cs="Segoe UI"/>
        </w:rPr>
        <w:t xml:space="preserve"> </w:t>
      </w:r>
      <w:r w:rsidR="00EA746F">
        <w:rPr>
          <w:rFonts w:cs="Segoe UI"/>
        </w:rPr>
        <w:t>(molecular weights of 48 </w:t>
      </w:r>
      <w:proofErr w:type="spellStart"/>
      <w:r w:rsidR="00947729" w:rsidRPr="00AF7993">
        <w:rPr>
          <w:rFonts w:cs="Segoe UI"/>
        </w:rPr>
        <w:t>kDa</w:t>
      </w:r>
      <w:proofErr w:type="spellEnd"/>
      <w:r w:rsidR="00947729">
        <w:rPr>
          <w:rFonts w:cs="Segoe UI"/>
        </w:rPr>
        <w:t>)</w:t>
      </w:r>
      <w:r w:rsidR="007E34FB" w:rsidRPr="00AF7993">
        <w:rPr>
          <w:rFonts w:cs="Segoe UI"/>
        </w:rPr>
        <w:t xml:space="preserve"> than albumin (</w:t>
      </w:r>
      <w:r w:rsidR="00947729">
        <w:rPr>
          <w:rFonts w:cs="Segoe UI"/>
        </w:rPr>
        <w:t xml:space="preserve">molecular weights of 66.5 </w:t>
      </w:r>
      <w:proofErr w:type="spellStart"/>
      <w:r w:rsidR="00947729">
        <w:rPr>
          <w:rFonts w:cs="Segoe UI"/>
        </w:rPr>
        <w:t>kDa</w:t>
      </w:r>
      <w:proofErr w:type="spellEnd"/>
      <w:r w:rsidR="007E34FB" w:rsidRPr="00AF7993">
        <w:rPr>
          <w:rFonts w:cs="Segoe UI"/>
        </w:rPr>
        <w:t xml:space="preserve">), but a similar result would be expected. However the tight junctions are discontinuous and in some </w:t>
      </w:r>
      <w:r w:rsidR="00C46C7E">
        <w:rPr>
          <w:rFonts w:cs="Segoe UI"/>
        </w:rPr>
        <w:t>regions of the brain</w:t>
      </w:r>
      <w:r w:rsidR="00947729">
        <w:rPr>
          <w:rFonts w:cs="Segoe UI"/>
        </w:rPr>
        <w:t>,</w:t>
      </w:r>
      <w:r w:rsidR="00C46C7E">
        <w:rPr>
          <w:rFonts w:cs="Segoe UI"/>
        </w:rPr>
        <w:t xml:space="preserve"> the brain-</w:t>
      </w:r>
      <w:r w:rsidR="007E34FB" w:rsidRPr="00AF7993">
        <w:rPr>
          <w:rFonts w:cs="Segoe UI"/>
        </w:rPr>
        <w:t>blood barrier is absent.</w:t>
      </w:r>
      <w:r w:rsidR="007E34FB" w:rsidRPr="00AF7993">
        <w:rPr>
          <w:rStyle w:val="FootnoteReference"/>
          <w:rFonts w:asciiTheme="minorHAnsi" w:hAnsiTheme="minorHAnsi" w:cs="Segoe UI"/>
        </w:rPr>
        <w:footnoteReference w:id="14"/>
      </w:r>
      <w:r>
        <w:rPr>
          <w:rFonts w:cs="Segoe UI"/>
        </w:rPr>
        <w:t>’</w:t>
      </w:r>
    </w:p>
    <w:p w14:paraId="0480DAD0" w14:textId="77777777" w:rsidR="008E7846" w:rsidRDefault="008E7846" w:rsidP="008E7846">
      <w:pPr>
        <w:pStyle w:val="Heading3"/>
      </w:pPr>
      <w:bookmarkStart w:id="38" w:name="_Toc247691530"/>
      <w:bookmarkStart w:id="39" w:name="_Toc314842513"/>
      <w:bookmarkStart w:id="40" w:name="_Toc50054485"/>
      <w:r>
        <w:t>Clinical</w:t>
      </w:r>
      <w:bookmarkEnd w:id="38"/>
      <w:bookmarkEnd w:id="39"/>
      <w:bookmarkEnd w:id="40"/>
    </w:p>
    <w:p w14:paraId="5E5720D9" w14:textId="0BCE171C" w:rsidR="007E34FB" w:rsidRPr="00C46C7E" w:rsidRDefault="007E34FB" w:rsidP="00C46C7E">
      <w:bookmarkStart w:id="41" w:name="_Toc314842514"/>
      <w:r w:rsidRPr="004F7225">
        <w:t xml:space="preserve">In </w:t>
      </w:r>
      <w:r w:rsidR="00A21CFA">
        <w:t>the clinical dossier</w:t>
      </w:r>
      <w:r w:rsidR="00C46C7E">
        <w:t>,</w:t>
      </w:r>
      <w:r w:rsidRPr="004F7225">
        <w:t xml:space="preserve"> a single</w:t>
      </w:r>
      <w:r>
        <w:t xml:space="preserve"> completed</w:t>
      </w:r>
      <w:r w:rsidR="00C46C7E">
        <w:rPr>
          <w:b/>
        </w:rPr>
        <w:t xml:space="preserve"> </w:t>
      </w:r>
      <w:r w:rsidR="00C46C7E" w:rsidRPr="00C46C7E">
        <w:t>study, Study</w:t>
      </w:r>
      <w:r w:rsidRPr="00C46C7E">
        <w:t xml:space="preserve"> CRFB0</w:t>
      </w:r>
      <w:r w:rsidR="0095666F">
        <w:t xml:space="preserve">02H2301, also known as </w:t>
      </w:r>
      <w:r w:rsidR="00A21CFA">
        <w:t xml:space="preserve">the </w:t>
      </w:r>
      <w:r w:rsidR="0095666F">
        <w:t xml:space="preserve">RAINBOW </w:t>
      </w:r>
      <w:r w:rsidR="00A21CFA">
        <w:t>trial</w:t>
      </w:r>
      <w:r w:rsidR="00627AE4">
        <w:t>;</w:t>
      </w:r>
      <w:bookmarkStart w:id="42" w:name="_Ref49510709"/>
      <w:r w:rsidR="00627AE4">
        <w:rPr>
          <w:rStyle w:val="FootnoteReference"/>
        </w:rPr>
        <w:footnoteReference w:id="15"/>
      </w:r>
      <w:bookmarkEnd w:id="42"/>
      <w:r w:rsidR="00C46C7E" w:rsidRPr="00C46C7E">
        <w:t xml:space="preserve"> </w:t>
      </w:r>
      <w:r w:rsidR="00C46C7E">
        <w:t xml:space="preserve">provided pharmacokinetic (PK), </w:t>
      </w:r>
      <w:proofErr w:type="spellStart"/>
      <w:r w:rsidR="00C46C7E">
        <w:t>pharmacodynamic</w:t>
      </w:r>
      <w:proofErr w:type="spellEnd"/>
      <w:r w:rsidR="00C46C7E">
        <w:t xml:space="preserve"> (PD)</w:t>
      </w:r>
      <w:r w:rsidRPr="00C46C7E">
        <w:t xml:space="preserve"> and clinical data for the study period of 24 weeks. In addition, the first interim results </w:t>
      </w:r>
      <w:r w:rsidR="002D3602">
        <w:t xml:space="preserve">of the RAINBOW Extension </w:t>
      </w:r>
      <w:r w:rsidR="00A21CFA">
        <w:t>trial</w:t>
      </w:r>
      <w:r w:rsidR="0095666F">
        <w:t xml:space="preserve">, </w:t>
      </w:r>
      <w:r w:rsidR="00C46C7E" w:rsidRPr="00C46C7E">
        <w:t xml:space="preserve">Study </w:t>
      </w:r>
      <w:r w:rsidR="0095666F">
        <w:t>CRFB002H2301E1</w:t>
      </w:r>
      <w:r w:rsidR="002512D8">
        <w:t>;</w:t>
      </w:r>
      <w:bookmarkStart w:id="43" w:name="_Ref49510737"/>
      <w:r w:rsidR="002512D8">
        <w:rPr>
          <w:rStyle w:val="FootnoteReference"/>
        </w:rPr>
        <w:footnoteReference w:id="16"/>
      </w:r>
      <w:bookmarkEnd w:id="43"/>
      <w:r w:rsidRPr="00C46C7E">
        <w:t xml:space="preserve"> provided clinical data for t</w:t>
      </w:r>
      <w:r w:rsidR="00C46C7E" w:rsidRPr="00C46C7E">
        <w:t>he study period up to 40 weeks.</w:t>
      </w:r>
    </w:p>
    <w:p w14:paraId="69C9E627" w14:textId="33318B8B" w:rsidR="00A015F8" w:rsidRDefault="00A015F8" w:rsidP="00C46C7E">
      <w:pPr>
        <w:pStyle w:val="Heading4"/>
      </w:pPr>
      <w:r>
        <w:t>Pharmacology</w:t>
      </w:r>
    </w:p>
    <w:p w14:paraId="4F940304" w14:textId="09FDD465" w:rsidR="007E34FB" w:rsidRPr="00CF6E82" w:rsidRDefault="00C46C7E" w:rsidP="003C31FD">
      <w:pPr>
        <w:pStyle w:val="Heading5"/>
      </w:pPr>
      <w:r>
        <w:t>Pharmacokinetics</w:t>
      </w:r>
    </w:p>
    <w:p w14:paraId="7C4496A7" w14:textId="54786A56" w:rsidR="007E34FB" w:rsidRDefault="007E34FB" w:rsidP="00BF494A">
      <w:pPr>
        <w:rPr>
          <w:lang w:eastAsia="ja-JP"/>
        </w:rPr>
      </w:pPr>
      <w:r>
        <w:rPr>
          <w:lang w:eastAsia="ja-JP"/>
        </w:rPr>
        <w:t xml:space="preserve">The </w:t>
      </w:r>
      <w:r w:rsidR="0095666F">
        <w:rPr>
          <w:lang w:eastAsia="ja-JP"/>
        </w:rPr>
        <w:t>pharmacokinetic/</w:t>
      </w:r>
      <w:proofErr w:type="spellStart"/>
      <w:r w:rsidR="0095666F">
        <w:rPr>
          <w:lang w:eastAsia="ja-JP"/>
        </w:rPr>
        <w:t>pharmacodynamic</w:t>
      </w:r>
      <w:proofErr w:type="spellEnd"/>
      <w:r w:rsidR="0095666F">
        <w:rPr>
          <w:lang w:eastAsia="ja-JP"/>
        </w:rPr>
        <w:t xml:space="preserve"> (</w:t>
      </w:r>
      <w:r>
        <w:rPr>
          <w:lang w:eastAsia="ja-JP"/>
        </w:rPr>
        <w:t>PK/PD</w:t>
      </w:r>
      <w:r w:rsidR="0095666F">
        <w:rPr>
          <w:lang w:eastAsia="ja-JP"/>
        </w:rPr>
        <w:t>)</w:t>
      </w:r>
      <w:r>
        <w:rPr>
          <w:lang w:eastAsia="ja-JP"/>
        </w:rPr>
        <w:t xml:space="preserve"> evaluation set included 49 patients in the </w:t>
      </w:r>
      <w:proofErr w:type="spellStart"/>
      <w:r>
        <w:rPr>
          <w:lang w:eastAsia="ja-JP"/>
        </w:rPr>
        <w:t>ranibizumab</w:t>
      </w:r>
      <w:proofErr w:type="spellEnd"/>
      <w:r>
        <w:rPr>
          <w:lang w:eastAsia="ja-JP"/>
        </w:rPr>
        <w:t xml:space="preserve"> 0.2 mg group and 46 patients in the </w:t>
      </w:r>
      <w:proofErr w:type="spellStart"/>
      <w:r>
        <w:rPr>
          <w:lang w:eastAsia="ja-JP"/>
        </w:rPr>
        <w:t>ranibizumab</w:t>
      </w:r>
      <w:proofErr w:type="spellEnd"/>
      <w:r>
        <w:rPr>
          <w:lang w:eastAsia="ja-JP"/>
        </w:rPr>
        <w:t xml:space="preserve"> 0.1 mg group.</w:t>
      </w:r>
    </w:p>
    <w:p w14:paraId="6E547B94" w14:textId="77777777" w:rsidR="007E34FB" w:rsidRDefault="007E34FB" w:rsidP="00BF494A">
      <w:pPr>
        <w:rPr>
          <w:lang w:eastAsia="ja-JP"/>
        </w:rPr>
      </w:pPr>
      <w:r>
        <w:rPr>
          <w:lang w:eastAsia="ja-JP"/>
        </w:rPr>
        <w:t xml:space="preserve">Sparse PK sampling occurred on Day 1 (within 24 hours after administration of </w:t>
      </w:r>
      <w:proofErr w:type="spellStart"/>
      <w:r>
        <w:rPr>
          <w:lang w:eastAsia="ja-JP"/>
        </w:rPr>
        <w:t>intravitreal</w:t>
      </w:r>
      <w:proofErr w:type="spellEnd"/>
      <w:r>
        <w:rPr>
          <w:lang w:eastAsia="ja-JP"/>
        </w:rPr>
        <w:t xml:space="preserve"> </w:t>
      </w:r>
      <w:proofErr w:type="spellStart"/>
      <w:r>
        <w:rPr>
          <w:lang w:eastAsia="ja-JP"/>
        </w:rPr>
        <w:t>ra</w:t>
      </w:r>
      <w:r w:rsidR="00C46C7E">
        <w:rPr>
          <w:lang w:eastAsia="ja-JP"/>
        </w:rPr>
        <w:t>nibizumab</w:t>
      </w:r>
      <w:proofErr w:type="spellEnd"/>
      <w:r w:rsidR="00C46C7E">
        <w:rPr>
          <w:lang w:eastAsia="ja-JP"/>
        </w:rPr>
        <w:t xml:space="preserve">), Day 15 (window of 7 to </w:t>
      </w:r>
      <w:r>
        <w:rPr>
          <w:lang w:eastAsia="ja-JP"/>
        </w:rPr>
        <w:t xml:space="preserve">21 days after first administration of </w:t>
      </w:r>
      <w:proofErr w:type="spellStart"/>
      <w:r>
        <w:rPr>
          <w:lang w:eastAsia="ja-JP"/>
        </w:rPr>
        <w:t>ranibi</w:t>
      </w:r>
      <w:r w:rsidR="00C46C7E">
        <w:rPr>
          <w:lang w:eastAsia="ja-JP"/>
        </w:rPr>
        <w:t>zumab</w:t>
      </w:r>
      <w:proofErr w:type="spellEnd"/>
      <w:r w:rsidR="00C46C7E">
        <w:rPr>
          <w:lang w:eastAsia="ja-JP"/>
        </w:rPr>
        <w:t xml:space="preserve">) and Day 29 (window of 22 to </w:t>
      </w:r>
      <w:r>
        <w:rPr>
          <w:lang w:eastAsia="ja-JP"/>
        </w:rPr>
        <w:t xml:space="preserve">28 days after first administration of </w:t>
      </w:r>
      <w:proofErr w:type="spellStart"/>
      <w:r>
        <w:rPr>
          <w:lang w:eastAsia="ja-JP"/>
        </w:rPr>
        <w:t>ranibizumab</w:t>
      </w:r>
      <w:proofErr w:type="spellEnd"/>
      <w:r>
        <w:rPr>
          <w:lang w:eastAsia="ja-JP"/>
        </w:rPr>
        <w:t>) of the study.</w:t>
      </w:r>
    </w:p>
    <w:p w14:paraId="3A15C0CC" w14:textId="5A8E8E8C" w:rsidR="007E34FB" w:rsidRPr="003945E7" w:rsidRDefault="007E34FB" w:rsidP="00BF494A">
      <w:pPr>
        <w:rPr>
          <w:rFonts w:asciiTheme="minorHAnsi" w:hAnsiTheme="minorHAnsi"/>
          <w:strike/>
          <w:lang w:eastAsia="ja-JP"/>
        </w:rPr>
      </w:pPr>
      <w:r w:rsidRPr="003945E7">
        <w:rPr>
          <w:rFonts w:asciiTheme="minorHAnsi" w:hAnsiTheme="minorHAnsi"/>
          <w:lang w:eastAsia="ja-JP"/>
        </w:rPr>
        <w:t xml:space="preserve">Limited conclusions </w:t>
      </w:r>
      <w:proofErr w:type="gramStart"/>
      <w:r w:rsidRPr="003945E7">
        <w:rPr>
          <w:rFonts w:asciiTheme="minorHAnsi" w:hAnsiTheme="minorHAnsi"/>
          <w:lang w:eastAsia="ja-JP"/>
        </w:rPr>
        <w:t>can be drawn</w:t>
      </w:r>
      <w:proofErr w:type="gramEnd"/>
      <w:r w:rsidRPr="003945E7">
        <w:rPr>
          <w:rFonts w:asciiTheme="minorHAnsi" w:hAnsiTheme="minorHAnsi"/>
          <w:lang w:eastAsia="ja-JP"/>
        </w:rPr>
        <w:t xml:space="preserve"> from these descriptive data due to sparse data collection, wide sampling window and high inter-individual variability across dose groups and time. Overall, median </w:t>
      </w:r>
      <w:proofErr w:type="spellStart"/>
      <w:r w:rsidRPr="003945E7">
        <w:rPr>
          <w:rFonts w:asciiTheme="minorHAnsi" w:hAnsiTheme="minorHAnsi"/>
          <w:lang w:eastAsia="ja-JP"/>
        </w:rPr>
        <w:t>ranibizumab</w:t>
      </w:r>
      <w:proofErr w:type="spellEnd"/>
      <w:r w:rsidRPr="003945E7">
        <w:rPr>
          <w:rFonts w:asciiTheme="minorHAnsi" w:hAnsiTheme="minorHAnsi"/>
          <w:lang w:eastAsia="ja-JP"/>
        </w:rPr>
        <w:t xml:space="preserve"> concentratio</w:t>
      </w:r>
      <w:r w:rsidR="00BF494A">
        <w:rPr>
          <w:rFonts w:asciiTheme="minorHAnsi" w:hAnsiTheme="minorHAnsi"/>
          <w:lang w:eastAsia="ja-JP"/>
        </w:rPr>
        <w:t xml:space="preserve">ns were highest on Day 1 with 7 to </w:t>
      </w:r>
      <w:r w:rsidRPr="003945E7">
        <w:rPr>
          <w:rFonts w:asciiTheme="minorHAnsi" w:hAnsiTheme="minorHAnsi"/>
          <w:lang w:eastAsia="ja-JP"/>
        </w:rPr>
        <w:t>8</w:t>
      </w:r>
      <w:r w:rsidR="00A015F8">
        <w:rPr>
          <w:rFonts w:asciiTheme="minorHAnsi" w:hAnsiTheme="minorHAnsi"/>
          <w:lang w:eastAsia="ja-JP"/>
        </w:rPr>
        <w:t> </w:t>
      </w:r>
      <w:r w:rsidRPr="003945E7">
        <w:rPr>
          <w:rFonts w:asciiTheme="minorHAnsi" w:hAnsiTheme="minorHAnsi"/>
          <w:lang w:eastAsia="ja-JP"/>
        </w:rPr>
        <w:t xml:space="preserve">fold lower </w:t>
      </w:r>
      <w:proofErr w:type="spellStart"/>
      <w:r w:rsidRPr="003945E7">
        <w:rPr>
          <w:rFonts w:asciiTheme="minorHAnsi" w:hAnsiTheme="minorHAnsi"/>
          <w:lang w:eastAsia="ja-JP"/>
        </w:rPr>
        <w:t>ranibizumab</w:t>
      </w:r>
      <w:proofErr w:type="spellEnd"/>
      <w:r w:rsidRPr="003945E7">
        <w:rPr>
          <w:rFonts w:asciiTheme="minorHAnsi" w:hAnsiTheme="minorHAnsi"/>
          <w:lang w:eastAsia="ja-JP"/>
        </w:rPr>
        <w:t xml:space="preserve"> con</w:t>
      </w:r>
      <w:r w:rsidR="00BF494A">
        <w:rPr>
          <w:rFonts w:asciiTheme="minorHAnsi" w:hAnsiTheme="minorHAnsi"/>
          <w:lang w:eastAsia="ja-JP"/>
        </w:rPr>
        <w:t>centrations observed on Day 29.</w:t>
      </w:r>
    </w:p>
    <w:p w14:paraId="6F921877" w14:textId="61E61912" w:rsidR="007E34FB" w:rsidRDefault="007E34FB" w:rsidP="00BF494A">
      <w:r>
        <w:lastRenderedPageBreak/>
        <w:t xml:space="preserve">The population PK/PD analysis </w:t>
      </w:r>
      <w:proofErr w:type="gramStart"/>
      <w:r>
        <w:t>was conducted</w:t>
      </w:r>
      <w:proofErr w:type="gramEnd"/>
      <w:r>
        <w:t xml:space="preserve"> to characterise the systemic exposure in pre-term infants and to assess the relationship between VEGF concentration and PK. The objectives of the</w:t>
      </w:r>
      <w:r w:rsidRPr="009B08C8">
        <w:t xml:space="preserve"> modelling analysis </w:t>
      </w:r>
      <w:r>
        <w:t>were firstly to a</w:t>
      </w:r>
      <w:r w:rsidRPr="009B08C8">
        <w:rPr>
          <w:rFonts w:eastAsiaTheme="minorHAnsi"/>
        </w:rPr>
        <w:t xml:space="preserve">ssess if the </w:t>
      </w:r>
      <w:proofErr w:type="spellStart"/>
      <w:r w:rsidRPr="009B08C8">
        <w:rPr>
          <w:rFonts w:eastAsiaTheme="minorHAnsi"/>
        </w:rPr>
        <w:t>ranibizumab</w:t>
      </w:r>
      <w:proofErr w:type="spellEnd"/>
      <w:r w:rsidRPr="009B08C8">
        <w:rPr>
          <w:rFonts w:eastAsiaTheme="minorHAnsi"/>
        </w:rPr>
        <w:t xml:space="preserve"> population PK model for adults</w:t>
      </w:r>
      <w:r w:rsidR="0095666F">
        <w:rPr>
          <w:rFonts w:eastAsiaTheme="minorHAnsi"/>
        </w:rPr>
        <w:t>;</w:t>
      </w:r>
      <w:r w:rsidR="00E965F2">
        <w:rPr>
          <w:rStyle w:val="FootnoteReference"/>
          <w:rFonts w:eastAsiaTheme="minorHAnsi"/>
        </w:rPr>
        <w:footnoteReference w:id="17"/>
      </w:r>
      <w:r w:rsidRPr="009B08C8">
        <w:rPr>
          <w:rFonts w:eastAsiaTheme="minorHAnsi"/>
        </w:rPr>
        <w:t xml:space="preserve"> describes </w:t>
      </w:r>
      <w:r>
        <w:rPr>
          <w:rFonts w:eastAsiaTheme="minorHAnsi"/>
        </w:rPr>
        <w:t>the PK in the preterm infant ROP population and if needed to use preterm infant patient weight as a fixed covariate and adjust for creatinine clearance</w:t>
      </w:r>
      <w:r w:rsidR="00BF494A">
        <w:rPr>
          <w:rFonts w:eastAsiaTheme="minorHAnsi"/>
        </w:rPr>
        <w:t>.</w:t>
      </w:r>
    </w:p>
    <w:p w14:paraId="52C17C93" w14:textId="42589059" w:rsidR="007E34FB" w:rsidRDefault="007E34FB" w:rsidP="00BF494A">
      <w:pPr>
        <w:rPr>
          <w:lang w:eastAsia="ja-JP"/>
        </w:rPr>
      </w:pPr>
      <w:r>
        <w:rPr>
          <w:lang w:eastAsia="ja-JP"/>
        </w:rPr>
        <w:t>The elimination rate from the eye is stated to be 50% faster</w:t>
      </w:r>
      <w:r w:rsidR="00E965F2">
        <w:rPr>
          <w:lang w:eastAsia="ja-JP"/>
        </w:rPr>
        <w:t xml:space="preserve"> in preterm babies compared to</w:t>
      </w:r>
      <w:r>
        <w:rPr>
          <w:lang w:eastAsia="ja-JP"/>
        </w:rPr>
        <w:t xml:space="preserve"> adults (</w:t>
      </w:r>
      <w:r w:rsidR="003C31FD">
        <w:rPr>
          <w:lang w:eastAsia="ja-JP"/>
        </w:rPr>
        <w:t>half</w:t>
      </w:r>
      <w:r w:rsidR="002512D8">
        <w:rPr>
          <w:lang w:eastAsia="ja-JP"/>
        </w:rPr>
        <w:t>-</w:t>
      </w:r>
      <w:r w:rsidR="003C31FD">
        <w:rPr>
          <w:lang w:eastAsia="ja-JP"/>
        </w:rPr>
        <w:t>life (T</w:t>
      </w:r>
      <w:r w:rsidRPr="009A4F2A">
        <w:rPr>
          <w:vertAlign w:val="subscript"/>
          <w:lang w:eastAsia="ja-JP"/>
        </w:rPr>
        <w:t>1/2</w:t>
      </w:r>
      <w:r w:rsidR="003C31FD" w:rsidRPr="0036788F">
        <w:rPr>
          <w:lang w:eastAsia="ja-JP"/>
        </w:rPr>
        <w:t>)</w:t>
      </w:r>
      <w:r w:rsidRPr="00BF494A">
        <w:rPr>
          <w:lang w:eastAsia="ja-JP"/>
        </w:rPr>
        <w:t xml:space="preserve"> </w:t>
      </w:r>
      <w:r w:rsidR="00BF494A">
        <w:rPr>
          <w:lang w:eastAsia="ja-JP"/>
        </w:rPr>
        <w:t xml:space="preserve">= 5.6 days versus </w:t>
      </w:r>
      <w:r>
        <w:rPr>
          <w:lang w:eastAsia="ja-JP"/>
        </w:rPr>
        <w:t>8.7 days) whilst the e</w:t>
      </w:r>
      <w:r w:rsidR="00BF494A">
        <w:rPr>
          <w:lang w:eastAsia="ja-JP"/>
        </w:rPr>
        <w:t xml:space="preserve">limination rate from serum is 3 </w:t>
      </w:r>
      <w:r>
        <w:rPr>
          <w:lang w:eastAsia="ja-JP"/>
        </w:rPr>
        <w:t>fold lower than in adults (</w:t>
      </w:r>
      <w:r w:rsidR="004227A1">
        <w:rPr>
          <w:lang w:eastAsia="ja-JP"/>
        </w:rPr>
        <w:t>T</w:t>
      </w:r>
      <w:r w:rsidRPr="009A4F2A">
        <w:rPr>
          <w:vertAlign w:val="subscript"/>
          <w:lang w:eastAsia="ja-JP"/>
        </w:rPr>
        <w:t>1/2</w:t>
      </w:r>
      <w:r w:rsidR="00BF494A" w:rsidRPr="00BF494A">
        <w:rPr>
          <w:lang w:eastAsia="ja-JP"/>
        </w:rPr>
        <w:t> </w:t>
      </w:r>
      <w:r w:rsidR="00BF494A">
        <w:rPr>
          <w:lang w:eastAsia="ja-JP"/>
        </w:rPr>
        <w:t>= 0.3 days versus 0.09 days).</w:t>
      </w:r>
    </w:p>
    <w:p w14:paraId="63D4EA3E" w14:textId="7F53EF84" w:rsidR="007E34FB" w:rsidRDefault="007E34FB" w:rsidP="007F276D">
      <w:pPr>
        <w:spacing w:before="240"/>
        <w:rPr>
          <w:lang w:val="en-US"/>
        </w:rPr>
      </w:pPr>
      <w:r>
        <w:rPr>
          <w:lang w:val="en-US"/>
        </w:rPr>
        <w:t xml:space="preserve">From the population PK/PD analysis, median systemic </w:t>
      </w:r>
      <w:proofErr w:type="spellStart"/>
      <w:r>
        <w:rPr>
          <w:lang w:eastAsia="ja-JP"/>
        </w:rPr>
        <w:t>ranibizumab</w:t>
      </w:r>
      <w:proofErr w:type="spellEnd"/>
      <w:r>
        <w:rPr>
          <w:lang w:eastAsia="ja-JP"/>
        </w:rPr>
        <w:t xml:space="preserve"> </w:t>
      </w:r>
      <w:r w:rsidR="004227A1">
        <w:t>maximum plasma drug concentration</w:t>
      </w:r>
      <w:r w:rsidR="004227A1">
        <w:rPr>
          <w:lang w:val="en-US"/>
        </w:rPr>
        <w:t xml:space="preserve"> (</w:t>
      </w:r>
      <w:proofErr w:type="spellStart"/>
      <w:r>
        <w:rPr>
          <w:lang w:val="en-US"/>
        </w:rPr>
        <w:t>C</w:t>
      </w:r>
      <w:r w:rsidRPr="00DD4938">
        <w:rPr>
          <w:vertAlign w:val="subscript"/>
          <w:lang w:val="en-US"/>
        </w:rPr>
        <w:t>max</w:t>
      </w:r>
      <w:proofErr w:type="spellEnd"/>
      <w:r w:rsidR="004227A1" w:rsidRPr="0036788F">
        <w:rPr>
          <w:lang w:val="en-US"/>
        </w:rPr>
        <w:t>)</w:t>
      </w:r>
      <w:r>
        <w:rPr>
          <w:lang w:val="en-US"/>
        </w:rPr>
        <w:t xml:space="preserve"> and </w:t>
      </w:r>
      <w:r w:rsidR="003C31FD">
        <w:t>area under the plasma concentration-time curve from time zero to infinity</w:t>
      </w:r>
      <w:r w:rsidR="003C31FD">
        <w:rPr>
          <w:lang w:val="en-US"/>
        </w:rPr>
        <w:t xml:space="preserve"> (</w:t>
      </w:r>
      <w:proofErr w:type="spellStart"/>
      <w:r>
        <w:rPr>
          <w:lang w:val="en-US"/>
        </w:rPr>
        <w:t>AUC</w:t>
      </w:r>
      <w:r w:rsidRPr="00DD4938">
        <w:rPr>
          <w:vertAlign w:val="subscript"/>
          <w:lang w:val="en-US"/>
        </w:rPr>
        <w:t>inf</w:t>
      </w:r>
      <w:proofErr w:type="spellEnd"/>
      <w:r w:rsidR="003C31FD" w:rsidRPr="0036788F">
        <w:rPr>
          <w:lang w:val="en-US"/>
        </w:rPr>
        <w:t>)</w:t>
      </w:r>
      <w:r w:rsidR="00BF494A">
        <w:rPr>
          <w:lang w:val="en-US"/>
        </w:rPr>
        <w:t xml:space="preserve"> were 16 </w:t>
      </w:r>
      <w:r>
        <w:rPr>
          <w:lang w:val="en-US"/>
        </w:rPr>
        <w:t>fold</w:t>
      </w:r>
      <w:r w:rsidR="00BF494A">
        <w:rPr>
          <w:lang w:val="en-US"/>
        </w:rPr>
        <w:t xml:space="preserve"> and 12 </w:t>
      </w:r>
      <w:r>
        <w:rPr>
          <w:lang w:val="en-US"/>
        </w:rPr>
        <w:t>fold higher</w:t>
      </w:r>
      <w:r w:rsidR="00E965F2">
        <w:rPr>
          <w:lang w:val="en-US"/>
        </w:rPr>
        <w:t>,</w:t>
      </w:r>
      <w:r>
        <w:rPr>
          <w:lang w:val="en-US"/>
        </w:rPr>
        <w:t xml:space="preserve"> respectively</w:t>
      </w:r>
      <w:r w:rsidR="00E965F2">
        <w:rPr>
          <w:lang w:val="en-US"/>
        </w:rPr>
        <w:t>,</w:t>
      </w:r>
      <w:r>
        <w:rPr>
          <w:lang w:val="en-US"/>
        </w:rPr>
        <w:t xml:space="preserve"> in premature infants receiving </w:t>
      </w:r>
      <w:proofErr w:type="spellStart"/>
      <w:r>
        <w:rPr>
          <w:lang w:val="en-US"/>
        </w:rPr>
        <w:t>intravitreal</w:t>
      </w:r>
      <w:proofErr w:type="spellEnd"/>
      <w:r>
        <w:rPr>
          <w:lang w:val="en-US"/>
        </w:rPr>
        <w:t xml:space="preserve"> </w:t>
      </w:r>
      <w:proofErr w:type="spellStart"/>
      <w:r>
        <w:rPr>
          <w:lang w:eastAsia="ja-JP"/>
        </w:rPr>
        <w:t>ranibizumab</w:t>
      </w:r>
      <w:proofErr w:type="spellEnd"/>
      <w:r w:rsidRPr="009B08C8">
        <w:rPr>
          <w:rFonts w:eastAsiaTheme="minorHAnsi" w:cs="Arial"/>
        </w:rPr>
        <w:t xml:space="preserve"> </w:t>
      </w:r>
      <w:r>
        <w:rPr>
          <w:lang w:val="en-US"/>
        </w:rPr>
        <w:t>0.</w:t>
      </w:r>
      <w:r w:rsidR="003C31FD">
        <w:rPr>
          <w:lang w:val="en-US"/>
        </w:rPr>
        <w:t>2 </w:t>
      </w:r>
      <w:r>
        <w:rPr>
          <w:lang w:val="en-US"/>
        </w:rPr>
        <w:t xml:space="preserve">mg </w:t>
      </w:r>
      <w:r w:rsidRPr="00EE206A">
        <w:rPr>
          <w:lang w:val="en-US"/>
        </w:rPr>
        <w:t>per eye</w:t>
      </w:r>
      <w:r>
        <w:rPr>
          <w:lang w:val="en-US"/>
        </w:rPr>
        <w:t xml:space="preserve"> than in adults receiving </w:t>
      </w:r>
      <w:proofErr w:type="spellStart"/>
      <w:r>
        <w:rPr>
          <w:lang w:eastAsia="ja-JP"/>
        </w:rPr>
        <w:t>ranibizumab</w:t>
      </w:r>
      <w:proofErr w:type="spellEnd"/>
      <w:r w:rsidRPr="009B08C8">
        <w:rPr>
          <w:rFonts w:eastAsiaTheme="minorHAnsi" w:cs="Arial"/>
        </w:rPr>
        <w:t xml:space="preserve"> </w:t>
      </w:r>
      <w:r>
        <w:rPr>
          <w:lang w:val="en-US"/>
        </w:rPr>
        <w:t>0.</w:t>
      </w:r>
      <w:r w:rsidR="004227A1">
        <w:rPr>
          <w:lang w:val="en-US"/>
        </w:rPr>
        <w:t>5 </w:t>
      </w:r>
      <w:r>
        <w:rPr>
          <w:lang w:val="en-US"/>
        </w:rPr>
        <w:t xml:space="preserve">mg </w:t>
      </w:r>
      <w:r w:rsidRPr="00EE206A">
        <w:rPr>
          <w:lang w:val="en-US"/>
        </w:rPr>
        <w:t>in one eye</w:t>
      </w:r>
      <w:r w:rsidR="00BF494A">
        <w:rPr>
          <w:lang w:val="en-US"/>
        </w:rPr>
        <w:t>.</w:t>
      </w:r>
    </w:p>
    <w:p w14:paraId="7A2B3A5D" w14:textId="6481DAD6" w:rsidR="007E34FB" w:rsidRPr="002D3602" w:rsidRDefault="007E34FB" w:rsidP="00BF494A">
      <w:pPr>
        <w:rPr>
          <w:lang w:eastAsia="ja-JP"/>
        </w:rPr>
      </w:pPr>
      <w:r>
        <w:rPr>
          <w:lang w:eastAsia="ja-JP"/>
        </w:rPr>
        <w:t xml:space="preserve">The </w:t>
      </w:r>
      <w:r>
        <w:rPr>
          <w:lang w:val="en-US"/>
        </w:rPr>
        <w:t xml:space="preserve">population </w:t>
      </w:r>
      <w:r>
        <w:rPr>
          <w:lang w:eastAsia="ja-JP"/>
        </w:rPr>
        <w:t xml:space="preserve">PK/PD model did not predict a relationship between systemic </w:t>
      </w:r>
      <w:proofErr w:type="spellStart"/>
      <w:r>
        <w:rPr>
          <w:lang w:eastAsia="ja-JP"/>
        </w:rPr>
        <w:t>ranibizumab</w:t>
      </w:r>
      <w:proofErr w:type="spellEnd"/>
      <w:r w:rsidRPr="009B08C8">
        <w:rPr>
          <w:rFonts w:eastAsiaTheme="minorHAnsi" w:cs="Arial"/>
        </w:rPr>
        <w:t xml:space="preserve"> </w:t>
      </w:r>
      <w:r>
        <w:rPr>
          <w:lang w:eastAsia="ja-JP"/>
        </w:rPr>
        <w:t>concentrations and systemic free V</w:t>
      </w:r>
      <w:r w:rsidR="002D3602">
        <w:rPr>
          <w:lang w:eastAsia="ja-JP"/>
        </w:rPr>
        <w:t>EGF concentrations</w:t>
      </w:r>
      <w:r>
        <w:rPr>
          <w:lang w:eastAsia="ja-JP"/>
        </w:rPr>
        <w:t xml:space="preserve">. </w:t>
      </w:r>
      <w:proofErr w:type="gramStart"/>
      <w:r>
        <w:rPr>
          <w:lang w:eastAsia="ja-JP"/>
        </w:rPr>
        <w:t>Also</w:t>
      </w:r>
      <w:proofErr w:type="gramEnd"/>
      <w:r>
        <w:rPr>
          <w:lang w:eastAsia="ja-JP"/>
        </w:rPr>
        <w:t xml:space="preserve">, there was no association demonstrated between systemic </w:t>
      </w:r>
      <w:proofErr w:type="spellStart"/>
      <w:r>
        <w:rPr>
          <w:lang w:eastAsia="ja-JP"/>
        </w:rPr>
        <w:t>ranibizumab</w:t>
      </w:r>
      <w:proofErr w:type="spellEnd"/>
      <w:r>
        <w:rPr>
          <w:lang w:eastAsia="ja-JP"/>
        </w:rPr>
        <w:t xml:space="preserve"> concentrations and free VEGF levels in the premature infants and no predicted sus</w:t>
      </w:r>
      <w:r w:rsidR="00BF494A">
        <w:rPr>
          <w:lang w:eastAsia="ja-JP"/>
        </w:rPr>
        <w:t>tained inhibition of free VEGF.</w:t>
      </w:r>
    </w:p>
    <w:p w14:paraId="676B0CED" w14:textId="6C011BE3" w:rsidR="007E34FB" w:rsidRDefault="00E965F2" w:rsidP="007F276D">
      <w:pPr>
        <w:pStyle w:val="Heading5"/>
      </w:pPr>
      <w:r>
        <w:t>Pharmacodynamics</w:t>
      </w:r>
    </w:p>
    <w:p w14:paraId="10DBC5C7" w14:textId="798E60EF" w:rsidR="007E34FB" w:rsidRDefault="007E34FB" w:rsidP="00BF494A">
      <w:pPr>
        <w:rPr>
          <w:lang w:eastAsia="ja-JP"/>
        </w:rPr>
      </w:pPr>
      <w:r>
        <w:rPr>
          <w:lang w:eastAsia="ja-JP"/>
        </w:rPr>
        <w:t>From the population P</w:t>
      </w:r>
      <w:r w:rsidR="00E965F2">
        <w:rPr>
          <w:lang w:eastAsia="ja-JP"/>
        </w:rPr>
        <w:t xml:space="preserve">K/PD </w:t>
      </w:r>
      <w:r w:rsidR="00E965F2" w:rsidRPr="002D3602">
        <w:t>analysis, concentration versus</w:t>
      </w:r>
      <w:r w:rsidRPr="002D3602">
        <w:t xml:space="preserve"> effect </w:t>
      </w:r>
      <w:proofErr w:type="gramStart"/>
      <w:r w:rsidRPr="002D3602">
        <w:t>was not able to</w:t>
      </w:r>
      <w:proofErr w:type="gramEnd"/>
      <w:r w:rsidRPr="002D3602">
        <w:t xml:space="preserve"> be predicted as the effect is local. Although the median serum VEGF concentrations in the </w:t>
      </w:r>
      <w:proofErr w:type="spellStart"/>
      <w:r w:rsidRPr="002D3602">
        <w:t>ranibizumab</w:t>
      </w:r>
      <w:proofErr w:type="spellEnd"/>
      <w:r w:rsidRPr="002D3602">
        <w:t xml:space="preserve"> groups are lower than the laser group, the ranges of values are wide and thus no conclusions </w:t>
      </w:r>
      <w:proofErr w:type="gramStart"/>
      <w:r w:rsidRPr="002D3602">
        <w:t>can be drawn</w:t>
      </w:r>
      <w:proofErr w:type="gramEnd"/>
      <w:r w:rsidRPr="002D3602">
        <w:t xml:space="preserve">. There was no data on </w:t>
      </w:r>
      <w:proofErr w:type="spellStart"/>
      <w:r w:rsidRPr="002D3602">
        <w:t>vitreal</w:t>
      </w:r>
      <w:proofErr w:type="spellEnd"/>
      <w:r w:rsidRPr="002D3602">
        <w:t xml:space="preserve"> VEGF</w:t>
      </w:r>
      <w:r w:rsidR="00BF494A" w:rsidRPr="002D3602">
        <w:t>.</w:t>
      </w:r>
    </w:p>
    <w:p w14:paraId="5A3F296D" w14:textId="3816E967" w:rsidR="007E34FB" w:rsidRPr="009763C8" w:rsidRDefault="002D3602" w:rsidP="00335CD0">
      <w:pPr>
        <w:pStyle w:val="Heading4"/>
      </w:pPr>
      <w:r>
        <w:t>Efficacy</w:t>
      </w:r>
    </w:p>
    <w:p w14:paraId="44251509" w14:textId="16F4D2D1" w:rsidR="007E34FB" w:rsidRDefault="007E34FB" w:rsidP="00BF494A">
      <w:pPr>
        <w:rPr>
          <w:rFonts w:asciiTheme="minorHAnsi" w:hAnsiTheme="minorHAnsi"/>
        </w:rPr>
      </w:pPr>
      <w:r w:rsidRPr="009763C8">
        <w:rPr>
          <w:rFonts w:asciiTheme="minorHAnsi" w:hAnsiTheme="minorHAnsi"/>
        </w:rPr>
        <w:t>Eff</w:t>
      </w:r>
      <w:r>
        <w:rPr>
          <w:rFonts w:asciiTheme="minorHAnsi" w:hAnsiTheme="minorHAnsi"/>
        </w:rPr>
        <w:t xml:space="preserve">icacy was examined in a single </w:t>
      </w:r>
      <w:r w:rsidRPr="009763C8">
        <w:rPr>
          <w:rFonts w:asciiTheme="minorHAnsi" w:hAnsiTheme="minorHAnsi"/>
        </w:rPr>
        <w:t>primary efficacy study</w:t>
      </w:r>
      <w:r w:rsidR="00BF494A">
        <w:rPr>
          <w:rFonts w:asciiTheme="minorHAnsi" w:hAnsiTheme="minorHAnsi"/>
        </w:rPr>
        <w:t>, Study</w:t>
      </w:r>
      <w:r w:rsidRPr="009763C8">
        <w:rPr>
          <w:rFonts w:asciiTheme="minorHAnsi" w:hAnsiTheme="minorHAnsi"/>
        </w:rPr>
        <w:t xml:space="preserve"> </w:t>
      </w:r>
      <w:r>
        <w:rPr>
          <w:lang w:eastAsia="ja-JP"/>
        </w:rPr>
        <w:t>CRFB002H2301</w:t>
      </w:r>
      <w:r w:rsidR="00BF494A">
        <w:rPr>
          <w:lang w:eastAsia="ja-JP"/>
        </w:rPr>
        <w:t xml:space="preserve"> </w:t>
      </w:r>
      <w:r>
        <w:rPr>
          <w:lang w:eastAsia="ja-JP"/>
        </w:rPr>
        <w:t>(RAINBOW</w:t>
      </w:r>
      <w:r w:rsidR="002D3602">
        <w:rPr>
          <w:lang w:eastAsia="ja-JP"/>
        </w:rPr>
        <w:t xml:space="preserve"> </w:t>
      </w:r>
      <w:r w:rsidR="00A015F8">
        <w:rPr>
          <w:lang w:eastAsia="ja-JP"/>
        </w:rPr>
        <w:t>trial</w:t>
      </w:r>
      <w:r>
        <w:rPr>
          <w:lang w:eastAsia="ja-JP"/>
        </w:rPr>
        <w:t>)</w:t>
      </w:r>
      <w:proofErr w:type="gramStart"/>
      <w:r w:rsidR="00C230E6">
        <w:rPr>
          <w:lang w:eastAsia="ja-JP"/>
        </w:rPr>
        <w:t>;</w:t>
      </w:r>
      <w:proofErr w:type="gramEnd"/>
      <w:r w:rsidR="00C230E6" w:rsidRPr="005B2E7C">
        <w:rPr>
          <w:vertAlign w:val="superscript"/>
          <w:lang w:eastAsia="ja-JP"/>
        </w:rPr>
        <w:fldChar w:fldCharType="begin"/>
      </w:r>
      <w:r w:rsidR="00C230E6" w:rsidRPr="005B2E7C">
        <w:rPr>
          <w:vertAlign w:val="superscript"/>
          <w:lang w:eastAsia="ja-JP"/>
        </w:rPr>
        <w:instrText xml:space="preserve"> NOTEREF _Ref49510709 \h </w:instrText>
      </w:r>
      <w:r w:rsidR="00C230E6">
        <w:rPr>
          <w:vertAlign w:val="superscript"/>
          <w:lang w:eastAsia="ja-JP"/>
        </w:rPr>
        <w:instrText xml:space="preserve"> \* MERGEFORMAT </w:instrText>
      </w:r>
      <w:r w:rsidR="00C230E6" w:rsidRPr="005B2E7C">
        <w:rPr>
          <w:vertAlign w:val="superscript"/>
          <w:lang w:eastAsia="ja-JP"/>
        </w:rPr>
      </w:r>
      <w:r w:rsidR="00C230E6" w:rsidRPr="005B2E7C">
        <w:rPr>
          <w:vertAlign w:val="superscript"/>
          <w:lang w:eastAsia="ja-JP"/>
        </w:rPr>
        <w:fldChar w:fldCharType="separate"/>
      </w:r>
      <w:r w:rsidR="00EA746F">
        <w:rPr>
          <w:vertAlign w:val="superscript"/>
          <w:lang w:eastAsia="ja-JP"/>
        </w:rPr>
        <w:t>15</w:t>
      </w:r>
      <w:r w:rsidR="00C230E6" w:rsidRPr="005B2E7C">
        <w:rPr>
          <w:vertAlign w:val="superscript"/>
          <w:lang w:eastAsia="ja-JP"/>
        </w:rPr>
        <w:fldChar w:fldCharType="end"/>
      </w:r>
      <w:r>
        <w:rPr>
          <w:lang w:eastAsia="ja-JP"/>
        </w:rPr>
        <w:t xml:space="preserve"> with outcome measures at 24 weeks after starting treatment. Additional data was provided from the first interim analysis of the ongoing extension study</w:t>
      </w:r>
      <w:r w:rsidR="00BF494A">
        <w:rPr>
          <w:lang w:eastAsia="ja-JP"/>
        </w:rPr>
        <w:t>, Study</w:t>
      </w:r>
      <w:r>
        <w:rPr>
          <w:lang w:eastAsia="ja-JP"/>
        </w:rPr>
        <w:t xml:space="preserve"> CRFB002H2301E1-IA1</w:t>
      </w:r>
      <w:r w:rsidRPr="009763C8">
        <w:rPr>
          <w:rFonts w:asciiTheme="minorHAnsi" w:hAnsiTheme="minorHAnsi"/>
        </w:rPr>
        <w:t xml:space="preserve"> (</w:t>
      </w:r>
      <w:r w:rsidR="002D3602">
        <w:rPr>
          <w:rFonts w:asciiTheme="minorHAnsi" w:hAnsiTheme="minorHAnsi"/>
        </w:rPr>
        <w:t>RAINBOW E</w:t>
      </w:r>
      <w:r>
        <w:rPr>
          <w:rFonts w:asciiTheme="minorHAnsi" w:hAnsiTheme="minorHAnsi"/>
        </w:rPr>
        <w:t>xtension</w:t>
      </w:r>
      <w:r w:rsidR="00A015F8">
        <w:rPr>
          <w:rFonts w:asciiTheme="minorHAnsi" w:hAnsiTheme="minorHAnsi"/>
        </w:rPr>
        <w:t xml:space="preserve"> trial</w:t>
      </w:r>
      <w:r w:rsidRPr="009763C8">
        <w:rPr>
          <w:rFonts w:asciiTheme="minorHAnsi" w:hAnsiTheme="minorHAnsi"/>
        </w:rPr>
        <w:t>)</w:t>
      </w:r>
      <w:proofErr w:type="gramStart"/>
      <w:r w:rsidR="00C230E6">
        <w:rPr>
          <w:rFonts w:asciiTheme="minorHAnsi" w:hAnsiTheme="minorHAnsi"/>
        </w:rPr>
        <w:t>;</w:t>
      </w:r>
      <w:proofErr w:type="gramEnd"/>
      <w:r w:rsidR="00C230E6" w:rsidRPr="005B2E7C">
        <w:rPr>
          <w:rFonts w:asciiTheme="minorHAnsi" w:hAnsiTheme="minorHAnsi"/>
          <w:vertAlign w:val="superscript"/>
        </w:rPr>
        <w:fldChar w:fldCharType="begin"/>
      </w:r>
      <w:r w:rsidR="00C230E6" w:rsidRPr="005B2E7C">
        <w:rPr>
          <w:rFonts w:asciiTheme="minorHAnsi" w:hAnsiTheme="minorHAnsi"/>
          <w:vertAlign w:val="superscript"/>
        </w:rPr>
        <w:instrText xml:space="preserve"> NOTEREF _Ref49510737 \h </w:instrText>
      </w:r>
      <w:r w:rsidR="00C230E6">
        <w:rPr>
          <w:rFonts w:asciiTheme="minorHAnsi" w:hAnsiTheme="minorHAnsi"/>
          <w:vertAlign w:val="superscript"/>
        </w:rPr>
        <w:instrText xml:space="preserve"> \* MERGEFORMAT </w:instrText>
      </w:r>
      <w:r w:rsidR="00C230E6" w:rsidRPr="005B2E7C">
        <w:rPr>
          <w:rFonts w:asciiTheme="minorHAnsi" w:hAnsiTheme="minorHAnsi"/>
          <w:vertAlign w:val="superscript"/>
        </w:rPr>
      </w:r>
      <w:r w:rsidR="00C230E6" w:rsidRPr="005B2E7C">
        <w:rPr>
          <w:rFonts w:asciiTheme="minorHAnsi" w:hAnsiTheme="minorHAnsi"/>
          <w:vertAlign w:val="superscript"/>
        </w:rPr>
        <w:fldChar w:fldCharType="separate"/>
      </w:r>
      <w:r w:rsidR="00EA746F">
        <w:rPr>
          <w:rFonts w:asciiTheme="minorHAnsi" w:hAnsiTheme="minorHAnsi"/>
          <w:vertAlign w:val="superscript"/>
        </w:rPr>
        <w:t>16</w:t>
      </w:r>
      <w:r w:rsidR="00C230E6" w:rsidRPr="005B2E7C">
        <w:rPr>
          <w:rFonts w:asciiTheme="minorHAnsi" w:hAnsiTheme="minorHAnsi"/>
          <w:vertAlign w:val="superscript"/>
        </w:rPr>
        <w:fldChar w:fldCharType="end"/>
      </w:r>
      <w:r>
        <w:rPr>
          <w:rFonts w:asciiTheme="minorHAnsi" w:hAnsiTheme="minorHAnsi"/>
        </w:rPr>
        <w:t xml:space="preserve"> with outcome measures at 40 weeks after the initial treatment</w:t>
      </w:r>
      <w:r w:rsidR="00BF494A">
        <w:rPr>
          <w:rFonts w:asciiTheme="minorHAnsi" w:hAnsiTheme="minorHAnsi"/>
        </w:rPr>
        <w:t>.</w:t>
      </w:r>
    </w:p>
    <w:p w14:paraId="5DA4DD53" w14:textId="0E716FC4" w:rsidR="007E34FB" w:rsidRPr="00FB7F84" w:rsidRDefault="00D36548" w:rsidP="004616F9">
      <w:pPr>
        <w:pStyle w:val="Heading5"/>
        <w:rPr>
          <w:rStyle w:val="Heading4Char"/>
          <w:u w:val="single"/>
        </w:rPr>
      </w:pPr>
      <w:r>
        <w:rPr>
          <w:rStyle w:val="Heading4Char"/>
          <w:b/>
          <w:bCs/>
        </w:rPr>
        <w:t xml:space="preserve">RAINBOW </w:t>
      </w:r>
      <w:r w:rsidR="00A015F8">
        <w:rPr>
          <w:rStyle w:val="Heading4Char"/>
          <w:b/>
          <w:bCs/>
        </w:rPr>
        <w:t>trial</w:t>
      </w:r>
      <w:r w:rsidR="00C230E6">
        <w:rPr>
          <w:rStyle w:val="Heading4Char"/>
          <w:b/>
          <w:bCs/>
        </w:rPr>
        <w:t xml:space="preserve"> (</w:t>
      </w:r>
      <w:r w:rsidR="00C230E6">
        <w:rPr>
          <w:rFonts w:asciiTheme="minorHAnsi" w:hAnsiTheme="minorHAnsi"/>
        </w:rPr>
        <w:t>Study</w:t>
      </w:r>
      <w:r w:rsidR="00C230E6" w:rsidRPr="009763C8">
        <w:rPr>
          <w:rFonts w:asciiTheme="minorHAnsi" w:hAnsiTheme="minorHAnsi"/>
        </w:rPr>
        <w:t xml:space="preserve"> </w:t>
      </w:r>
      <w:r w:rsidR="00C230E6">
        <w:rPr>
          <w:lang w:eastAsia="ja-JP"/>
        </w:rPr>
        <w:t>CRFB002H2301)</w:t>
      </w:r>
    </w:p>
    <w:p w14:paraId="18CB97F0" w14:textId="7AD036DC" w:rsidR="007E34FB" w:rsidRDefault="007E34FB" w:rsidP="007E34FB">
      <w:pPr>
        <w:spacing w:line="240" w:lineRule="auto"/>
        <w:rPr>
          <w:rFonts w:asciiTheme="minorHAnsi" w:hAnsiTheme="minorHAnsi"/>
        </w:rPr>
      </w:pPr>
      <w:r>
        <w:rPr>
          <w:rStyle w:val="Heading4Char"/>
          <w:b w:val="0"/>
        </w:rPr>
        <w:t xml:space="preserve">The </w:t>
      </w:r>
      <w:r w:rsidR="00D36548">
        <w:rPr>
          <w:rStyle w:val="Heading4Char"/>
          <w:b w:val="0"/>
        </w:rPr>
        <w:t xml:space="preserve">RAINBOW </w:t>
      </w:r>
      <w:r w:rsidR="00A015F8">
        <w:rPr>
          <w:rStyle w:val="Heading4Char"/>
          <w:b w:val="0"/>
        </w:rPr>
        <w:t xml:space="preserve">trial </w:t>
      </w:r>
      <w:r>
        <w:rPr>
          <w:rFonts w:asciiTheme="minorHAnsi" w:hAnsiTheme="minorHAnsi"/>
        </w:rPr>
        <w:t xml:space="preserve">was a </w:t>
      </w:r>
      <w:r w:rsidRPr="009763C8">
        <w:rPr>
          <w:rFonts w:asciiTheme="minorHAnsi" w:hAnsiTheme="minorHAnsi"/>
        </w:rPr>
        <w:t>randomi</w:t>
      </w:r>
      <w:r w:rsidR="00A015F8">
        <w:rPr>
          <w:rFonts w:asciiTheme="minorHAnsi" w:hAnsiTheme="minorHAnsi"/>
        </w:rPr>
        <w:t>s</w:t>
      </w:r>
      <w:r w:rsidRPr="009763C8">
        <w:rPr>
          <w:rFonts w:asciiTheme="minorHAnsi" w:hAnsiTheme="minorHAnsi"/>
        </w:rPr>
        <w:t>ed, open label, controlled, multi-</w:t>
      </w:r>
      <w:r w:rsidR="00A015F8" w:rsidRPr="009763C8">
        <w:rPr>
          <w:rFonts w:asciiTheme="minorHAnsi" w:hAnsiTheme="minorHAnsi"/>
        </w:rPr>
        <w:t>centre</w:t>
      </w:r>
      <w:r w:rsidRPr="009763C8">
        <w:rPr>
          <w:rFonts w:asciiTheme="minorHAnsi" w:hAnsiTheme="minorHAnsi"/>
        </w:rPr>
        <w:t xml:space="preserve">, pivotal clinical trial </w:t>
      </w:r>
      <w:r>
        <w:rPr>
          <w:rFonts w:asciiTheme="minorHAnsi" w:hAnsiTheme="minorHAnsi"/>
        </w:rPr>
        <w:t xml:space="preserve">with three arms: </w:t>
      </w:r>
      <w:proofErr w:type="spellStart"/>
      <w:r w:rsidRPr="009763C8">
        <w:rPr>
          <w:rFonts w:asciiTheme="minorHAnsi" w:hAnsiTheme="minorHAnsi"/>
        </w:rPr>
        <w:t>intravitreal</w:t>
      </w:r>
      <w:proofErr w:type="spellEnd"/>
      <w:r w:rsidRPr="009763C8">
        <w:rPr>
          <w:rFonts w:asciiTheme="minorHAnsi" w:hAnsiTheme="minorHAnsi"/>
        </w:rPr>
        <w:t xml:space="preserve"> </w:t>
      </w:r>
      <w:proofErr w:type="spellStart"/>
      <w:r w:rsidRPr="009763C8">
        <w:rPr>
          <w:rFonts w:asciiTheme="minorHAnsi" w:hAnsiTheme="minorHAnsi"/>
        </w:rPr>
        <w:t>ranibizumab</w:t>
      </w:r>
      <w:proofErr w:type="spellEnd"/>
      <w:r w:rsidRPr="009763C8">
        <w:rPr>
          <w:rFonts w:asciiTheme="minorHAnsi" w:hAnsiTheme="minorHAnsi"/>
        </w:rPr>
        <w:t xml:space="preserve"> 0.</w:t>
      </w:r>
      <w:r>
        <w:rPr>
          <w:rFonts w:asciiTheme="minorHAnsi" w:hAnsiTheme="minorHAnsi"/>
        </w:rPr>
        <w:t>1</w:t>
      </w:r>
      <w:r w:rsidRPr="009763C8">
        <w:rPr>
          <w:rFonts w:asciiTheme="minorHAnsi" w:hAnsiTheme="minorHAnsi"/>
        </w:rPr>
        <w:t xml:space="preserve"> mg </w:t>
      </w:r>
      <w:r>
        <w:rPr>
          <w:rFonts w:asciiTheme="minorHAnsi" w:hAnsiTheme="minorHAnsi"/>
        </w:rPr>
        <w:t>(n</w:t>
      </w:r>
      <w:r w:rsidR="00BF494A">
        <w:rPr>
          <w:rFonts w:asciiTheme="minorHAnsi" w:hAnsiTheme="minorHAnsi"/>
        </w:rPr>
        <w:t xml:space="preserve"> </w:t>
      </w:r>
      <w:r>
        <w:rPr>
          <w:rFonts w:asciiTheme="minorHAnsi" w:hAnsiTheme="minorHAnsi"/>
        </w:rPr>
        <w:t>= 77</w:t>
      </w:r>
      <w:r w:rsidR="00BF494A">
        <w:rPr>
          <w:rFonts w:asciiTheme="minorHAnsi" w:hAnsiTheme="minorHAnsi"/>
        </w:rPr>
        <w:t>)</w:t>
      </w:r>
      <w:r>
        <w:rPr>
          <w:rFonts w:asciiTheme="minorHAnsi" w:hAnsiTheme="minorHAnsi"/>
        </w:rPr>
        <w:t>; 0.2</w:t>
      </w:r>
      <w:r w:rsidR="00335CD0">
        <w:rPr>
          <w:rFonts w:asciiTheme="minorHAnsi" w:hAnsiTheme="minorHAnsi"/>
        </w:rPr>
        <w:t xml:space="preserve"> </w:t>
      </w:r>
      <w:r>
        <w:rPr>
          <w:rFonts w:asciiTheme="minorHAnsi" w:hAnsiTheme="minorHAnsi"/>
        </w:rPr>
        <w:t xml:space="preserve">mg </w:t>
      </w:r>
      <w:proofErr w:type="spellStart"/>
      <w:r>
        <w:rPr>
          <w:rFonts w:asciiTheme="minorHAnsi" w:hAnsiTheme="minorHAnsi"/>
        </w:rPr>
        <w:t>ranibizumab</w:t>
      </w:r>
      <w:proofErr w:type="spellEnd"/>
      <w:r>
        <w:rPr>
          <w:rFonts w:asciiTheme="minorHAnsi" w:hAnsiTheme="minorHAnsi"/>
        </w:rPr>
        <w:t xml:space="preserve"> (n</w:t>
      </w:r>
      <w:r w:rsidR="00C230E6">
        <w:rPr>
          <w:rFonts w:asciiTheme="minorHAnsi" w:hAnsiTheme="minorHAnsi"/>
        </w:rPr>
        <w:t> </w:t>
      </w:r>
      <w:r>
        <w:rPr>
          <w:rFonts w:asciiTheme="minorHAnsi" w:hAnsiTheme="minorHAnsi"/>
        </w:rPr>
        <w:t>=</w:t>
      </w:r>
      <w:r w:rsidR="00C230E6">
        <w:rPr>
          <w:rFonts w:asciiTheme="minorHAnsi" w:hAnsiTheme="minorHAnsi"/>
        </w:rPr>
        <w:t> </w:t>
      </w:r>
      <w:r>
        <w:rPr>
          <w:rFonts w:asciiTheme="minorHAnsi" w:hAnsiTheme="minorHAnsi"/>
        </w:rPr>
        <w:t>74)</w:t>
      </w:r>
      <w:r w:rsidR="00BF494A">
        <w:rPr>
          <w:rFonts w:asciiTheme="minorHAnsi" w:hAnsiTheme="minorHAnsi"/>
        </w:rPr>
        <w:t>;</w:t>
      </w:r>
      <w:r>
        <w:rPr>
          <w:rFonts w:asciiTheme="minorHAnsi" w:hAnsiTheme="minorHAnsi"/>
        </w:rPr>
        <w:t xml:space="preserve"> and laser ablation </w:t>
      </w:r>
      <w:r w:rsidRPr="009763C8">
        <w:rPr>
          <w:rFonts w:asciiTheme="minorHAnsi" w:hAnsiTheme="minorHAnsi"/>
        </w:rPr>
        <w:t xml:space="preserve">therapy </w:t>
      </w:r>
      <w:r>
        <w:rPr>
          <w:rFonts w:asciiTheme="minorHAnsi" w:hAnsiTheme="minorHAnsi"/>
        </w:rPr>
        <w:t>(n</w:t>
      </w:r>
      <w:r w:rsidR="00BF494A">
        <w:rPr>
          <w:rFonts w:asciiTheme="minorHAnsi" w:hAnsiTheme="minorHAnsi"/>
        </w:rPr>
        <w:t xml:space="preserve"> </w:t>
      </w:r>
      <w:r>
        <w:rPr>
          <w:rFonts w:asciiTheme="minorHAnsi" w:hAnsiTheme="minorHAnsi"/>
        </w:rPr>
        <w:t>=</w:t>
      </w:r>
      <w:r w:rsidR="00BF494A">
        <w:rPr>
          <w:rFonts w:asciiTheme="minorHAnsi" w:hAnsiTheme="minorHAnsi"/>
        </w:rPr>
        <w:t xml:space="preserve"> </w:t>
      </w:r>
      <w:r>
        <w:rPr>
          <w:rFonts w:asciiTheme="minorHAnsi" w:hAnsiTheme="minorHAnsi"/>
        </w:rPr>
        <w:t xml:space="preserve">74) </w:t>
      </w:r>
      <w:r w:rsidRPr="009763C8">
        <w:rPr>
          <w:rFonts w:asciiTheme="minorHAnsi" w:hAnsiTheme="minorHAnsi"/>
        </w:rPr>
        <w:t>for the treat</w:t>
      </w:r>
      <w:r w:rsidR="00BF494A">
        <w:rPr>
          <w:rFonts w:asciiTheme="minorHAnsi" w:hAnsiTheme="minorHAnsi"/>
        </w:rPr>
        <w:t>ment of ROP in preterm infants.</w:t>
      </w:r>
    </w:p>
    <w:p w14:paraId="5590A369" w14:textId="709A1146" w:rsidR="007E34FB" w:rsidRPr="00EE0290" w:rsidRDefault="007E34FB" w:rsidP="007E34FB">
      <w:pPr>
        <w:rPr>
          <w:lang w:eastAsia="ja-JP"/>
        </w:rPr>
      </w:pPr>
      <w:r w:rsidRPr="00F819B8">
        <w:rPr>
          <w:lang w:eastAsia="ja-JP"/>
        </w:rPr>
        <w:t>The primary objective</w:t>
      </w:r>
      <w:r w:rsidRPr="007476CF">
        <w:rPr>
          <w:lang w:eastAsia="ja-JP"/>
        </w:rPr>
        <w:t xml:space="preserve"> of the study was to demonstrate that </w:t>
      </w:r>
      <w:proofErr w:type="spellStart"/>
      <w:r w:rsidRPr="007476CF">
        <w:rPr>
          <w:lang w:eastAsia="ja-JP"/>
        </w:rPr>
        <w:t>intravitreal</w:t>
      </w:r>
      <w:proofErr w:type="spellEnd"/>
      <w:r w:rsidRPr="007476CF">
        <w:rPr>
          <w:lang w:eastAsia="ja-JP"/>
        </w:rPr>
        <w:t xml:space="preserve"> </w:t>
      </w:r>
      <w:proofErr w:type="spellStart"/>
      <w:r w:rsidRPr="007476CF">
        <w:rPr>
          <w:lang w:eastAsia="ja-JP"/>
        </w:rPr>
        <w:t>ranibizumab</w:t>
      </w:r>
      <w:proofErr w:type="spellEnd"/>
      <w:r w:rsidRPr="007476CF">
        <w:rPr>
          <w:lang w:eastAsia="ja-JP"/>
        </w:rPr>
        <w:t xml:space="preserve"> 0.2</w:t>
      </w:r>
      <w:r w:rsidR="00BF494A">
        <w:rPr>
          <w:lang w:eastAsia="ja-JP"/>
        </w:rPr>
        <w:t> </w:t>
      </w:r>
      <w:r w:rsidRPr="007476CF">
        <w:rPr>
          <w:lang w:eastAsia="ja-JP"/>
        </w:rPr>
        <w:t>mg was superior to laser</w:t>
      </w:r>
      <w:r>
        <w:rPr>
          <w:lang w:eastAsia="ja-JP"/>
        </w:rPr>
        <w:t xml:space="preserve"> therapy in the treatment of ROP. Treatment success </w:t>
      </w:r>
      <w:proofErr w:type="gramStart"/>
      <w:r>
        <w:rPr>
          <w:lang w:eastAsia="ja-JP"/>
        </w:rPr>
        <w:t>was measured</w:t>
      </w:r>
      <w:proofErr w:type="gramEnd"/>
      <w:r>
        <w:rPr>
          <w:lang w:eastAsia="ja-JP"/>
        </w:rPr>
        <w:t xml:space="preserve"> by the absence of active ROP and absence of unfavourable structural outcomes in both </w:t>
      </w:r>
      <w:r w:rsidRPr="00BF494A">
        <w:rPr>
          <w:lang w:eastAsia="ja-JP"/>
        </w:rPr>
        <w:t>eyes 24 weeks</w:t>
      </w:r>
      <w:r>
        <w:rPr>
          <w:lang w:eastAsia="ja-JP"/>
        </w:rPr>
        <w:t xml:space="preserve"> afte</w:t>
      </w:r>
      <w:r w:rsidR="00335CD0">
        <w:rPr>
          <w:lang w:eastAsia="ja-JP"/>
        </w:rPr>
        <w:t>r starting treatment. Post-base</w:t>
      </w:r>
      <w:r>
        <w:rPr>
          <w:lang w:eastAsia="ja-JP"/>
        </w:rPr>
        <w:t xml:space="preserve">line treatment </w:t>
      </w:r>
      <w:proofErr w:type="gramStart"/>
      <w:r>
        <w:rPr>
          <w:lang w:eastAsia="ja-JP"/>
        </w:rPr>
        <w:t>was permitted</w:t>
      </w:r>
      <w:proofErr w:type="gramEnd"/>
      <w:r>
        <w:rPr>
          <w:lang w:eastAsia="ja-JP"/>
        </w:rPr>
        <w:t xml:space="preserve"> if required. </w:t>
      </w:r>
      <w:r w:rsidRPr="00F819B8">
        <w:rPr>
          <w:lang w:eastAsia="ja-JP"/>
        </w:rPr>
        <w:t xml:space="preserve">Eligible </w:t>
      </w:r>
      <w:r w:rsidRPr="00F819B8">
        <w:rPr>
          <w:rFonts w:asciiTheme="minorHAnsi" w:hAnsiTheme="minorHAnsi"/>
        </w:rPr>
        <w:t>subjects</w:t>
      </w:r>
      <w:r w:rsidR="00BF494A" w:rsidRPr="00BF494A">
        <w:rPr>
          <w:rFonts w:asciiTheme="minorHAnsi" w:hAnsiTheme="minorHAnsi"/>
        </w:rPr>
        <w:t xml:space="preserve"> </w:t>
      </w:r>
      <w:r w:rsidRPr="009763C8">
        <w:rPr>
          <w:rFonts w:asciiTheme="minorHAnsi" w:hAnsiTheme="minorHAnsi"/>
        </w:rPr>
        <w:t xml:space="preserve">had bilateral ROP with one of the </w:t>
      </w:r>
      <w:r w:rsidR="00BF494A">
        <w:rPr>
          <w:rFonts w:asciiTheme="minorHAnsi" w:hAnsiTheme="minorHAnsi"/>
        </w:rPr>
        <w:t>following findings in each eye:</w:t>
      </w:r>
    </w:p>
    <w:p w14:paraId="28D9C917" w14:textId="1FACBB48" w:rsidR="007E34FB" w:rsidRPr="00276B99" w:rsidRDefault="00C230E6" w:rsidP="005B2E7C">
      <w:pPr>
        <w:pStyle w:val="ListBullet"/>
      </w:pPr>
      <w:r>
        <w:t>z</w:t>
      </w:r>
      <w:r w:rsidR="007E34FB" w:rsidRPr="00276B99">
        <w:t xml:space="preserve">one </w:t>
      </w:r>
      <w:r w:rsidR="00F12C37">
        <w:t>I</w:t>
      </w:r>
      <w:r w:rsidR="007E34FB" w:rsidRPr="00276B99">
        <w:t xml:space="preserve">, </w:t>
      </w:r>
      <w:r>
        <w:t>s</w:t>
      </w:r>
      <w:r w:rsidR="00F12C37">
        <w:t>tage</w:t>
      </w:r>
      <w:r w:rsidR="007E34FB" w:rsidRPr="00276B99">
        <w:t xml:space="preserve"> 1+, 2+, 3 or 3+ disease;</w:t>
      </w:r>
    </w:p>
    <w:p w14:paraId="460437F2" w14:textId="4813687A" w:rsidR="007E34FB" w:rsidRPr="00276B99" w:rsidRDefault="00C230E6" w:rsidP="005B2E7C">
      <w:pPr>
        <w:pStyle w:val="ListBullet"/>
      </w:pPr>
      <w:r>
        <w:t>z</w:t>
      </w:r>
      <w:r w:rsidR="00BF494A">
        <w:t xml:space="preserve">one II, </w:t>
      </w:r>
      <w:r>
        <w:t>s</w:t>
      </w:r>
      <w:r w:rsidR="00F12C37">
        <w:t>tage</w:t>
      </w:r>
      <w:r w:rsidR="00BF494A">
        <w:t xml:space="preserve"> 3+ disease; and</w:t>
      </w:r>
      <w:r>
        <w:t>/or</w:t>
      </w:r>
    </w:p>
    <w:p w14:paraId="2AE3086C" w14:textId="7349149E" w:rsidR="007E34FB" w:rsidRPr="00276B99" w:rsidRDefault="00C230E6" w:rsidP="005B2E7C">
      <w:pPr>
        <w:pStyle w:val="ListBullet"/>
      </w:pPr>
      <w:proofErr w:type="gramStart"/>
      <w:r>
        <w:t>a</w:t>
      </w:r>
      <w:r w:rsidR="007F276D" w:rsidRPr="00591E06">
        <w:t>ggressive</w:t>
      </w:r>
      <w:proofErr w:type="gramEnd"/>
      <w:r w:rsidR="007F276D" w:rsidRPr="00591E06">
        <w:t xml:space="preserve"> posterior retinopathy of prematurity</w:t>
      </w:r>
      <w:r w:rsidR="007F276D" w:rsidRPr="00276B99">
        <w:t xml:space="preserve"> </w:t>
      </w:r>
      <w:r w:rsidR="007F276D">
        <w:t>(</w:t>
      </w:r>
      <w:r w:rsidR="007E34FB" w:rsidRPr="00276B99">
        <w:t>A</w:t>
      </w:r>
      <w:r w:rsidR="007F276D">
        <w:t>P</w:t>
      </w:r>
      <w:r w:rsidR="007E34FB" w:rsidRPr="00276B99">
        <w:t>-ROP</w:t>
      </w:r>
      <w:r w:rsidR="007F276D">
        <w:t>)</w:t>
      </w:r>
      <w:r w:rsidR="007E34FB" w:rsidRPr="00276B99">
        <w:t>.</w:t>
      </w:r>
    </w:p>
    <w:p w14:paraId="62C6D1FA" w14:textId="77777777" w:rsidR="007E34FB" w:rsidRPr="00226CD5" w:rsidRDefault="007E34FB" w:rsidP="00335CD0">
      <w:pPr>
        <w:pStyle w:val="Heading6"/>
        <w:rPr>
          <w:lang w:eastAsia="ja-JP"/>
        </w:rPr>
      </w:pPr>
      <w:r w:rsidRPr="00226CD5">
        <w:rPr>
          <w:lang w:eastAsia="ja-JP"/>
        </w:rPr>
        <w:lastRenderedPageBreak/>
        <w:t>Results</w:t>
      </w:r>
    </w:p>
    <w:p w14:paraId="00724D40" w14:textId="77777777" w:rsidR="007E34FB" w:rsidRPr="000F207C" w:rsidRDefault="007E34FB" w:rsidP="00335CD0">
      <w:proofErr w:type="gramStart"/>
      <w:r>
        <w:rPr>
          <w:lang w:eastAsia="ja-JP"/>
        </w:rPr>
        <w:t xml:space="preserve">A total of </w:t>
      </w:r>
      <w:r w:rsidRPr="00B23064">
        <w:rPr>
          <w:lang w:eastAsia="ja-JP"/>
        </w:rPr>
        <w:t>218</w:t>
      </w:r>
      <w:proofErr w:type="gramEnd"/>
      <w:r w:rsidRPr="00B23064">
        <w:rPr>
          <w:lang w:eastAsia="ja-JP"/>
        </w:rPr>
        <w:t xml:space="preserve"> preterm infants received baseline treatment. Baseline disease characteristics were generally comparable across the groups, </w:t>
      </w:r>
      <w:r>
        <w:rPr>
          <w:lang w:eastAsia="ja-JP"/>
        </w:rPr>
        <w:t xml:space="preserve">apart from </w:t>
      </w:r>
      <w:r w:rsidRPr="00B23064">
        <w:rPr>
          <w:lang w:eastAsia="ja-JP"/>
        </w:rPr>
        <w:t>an imbalance in b</w:t>
      </w:r>
      <w:r w:rsidR="00BF494A">
        <w:rPr>
          <w:lang w:eastAsia="ja-JP"/>
        </w:rPr>
        <w:t>irth weight groups observed at B</w:t>
      </w:r>
      <w:r w:rsidRPr="00B23064">
        <w:rPr>
          <w:lang w:eastAsia="ja-JP"/>
        </w:rPr>
        <w:t xml:space="preserve">aseline. </w:t>
      </w:r>
      <w:r w:rsidRPr="0036788F">
        <w:t>Mean gestational age was 26.1 weeks and mean chro</w:t>
      </w:r>
      <w:r w:rsidR="00BF494A" w:rsidRPr="0036788F">
        <w:t>nological age at Baseline was 10.9 weeks.</w:t>
      </w:r>
    </w:p>
    <w:p w14:paraId="3C0A332B" w14:textId="2FFEF063" w:rsidR="007E34FB" w:rsidRDefault="007E34FB" w:rsidP="00335CD0">
      <w:pPr>
        <w:rPr>
          <w:lang w:val="en-US"/>
        </w:rPr>
      </w:pPr>
      <w:r w:rsidRPr="00BF494A">
        <w:rPr>
          <w:lang w:eastAsia="ja-JP"/>
        </w:rPr>
        <w:t>Treatment success</w:t>
      </w:r>
      <w:r w:rsidRPr="00AA6957">
        <w:rPr>
          <w:lang w:eastAsia="ja-JP"/>
        </w:rPr>
        <w:t xml:space="preserve"> at Week 24 was</w:t>
      </w:r>
      <w:r w:rsidR="0079562F">
        <w:rPr>
          <w:lang w:eastAsia="ja-JP"/>
        </w:rPr>
        <w:t xml:space="preserve"> as follows: </w:t>
      </w:r>
      <w:r w:rsidRPr="00B23064">
        <w:rPr>
          <w:lang w:eastAsia="ja-JP"/>
        </w:rPr>
        <w:t xml:space="preserve">80.0% </w:t>
      </w:r>
      <w:proofErr w:type="spellStart"/>
      <w:r w:rsidRPr="00B23064">
        <w:rPr>
          <w:lang w:eastAsia="ja-JP"/>
        </w:rPr>
        <w:t>ranibizumab</w:t>
      </w:r>
      <w:proofErr w:type="spellEnd"/>
      <w:r w:rsidRPr="00B23064">
        <w:rPr>
          <w:lang w:eastAsia="ja-JP"/>
        </w:rPr>
        <w:t xml:space="preserve"> </w:t>
      </w:r>
      <w:r w:rsidR="00C230E6">
        <w:rPr>
          <w:lang w:eastAsia="ja-JP"/>
        </w:rPr>
        <w:t xml:space="preserve">in the </w:t>
      </w:r>
      <w:r w:rsidRPr="00B23064">
        <w:rPr>
          <w:lang w:eastAsia="ja-JP"/>
        </w:rPr>
        <w:t>0.2 mg</w:t>
      </w:r>
      <w:r>
        <w:rPr>
          <w:lang w:eastAsia="ja-JP"/>
        </w:rPr>
        <w:t xml:space="preserve"> group;</w:t>
      </w:r>
      <w:r w:rsidRPr="00B23064">
        <w:rPr>
          <w:lang w:eastAsia="ja-JP"/>
        </w:rPr>
        <w:t xml:space="preserve"> 75.0% </w:t>
      </w:r>
      <w:r w:rsidR="00C230E6">
        <w:rPr>
          <w:lang w:eastAsia="ja-JP"/>
        </w:rPr>
        <w:t xml:space="preserve">in the </w:t>
      </w:r>
      <w:proofErr w:type="spellStart"/>
      <w:r w:rsidRPr="00B23064">
        <w:rPr>
          <w:lang w:eastAsia="ja-JP"/>
        </w:rPr>
        <w:t>ranibizumab</w:t>
      </w:r>
      <w:proofErr w:type="spellEnd"/>
      <w:r w:rsidRPr="00B23064">
        <w:rPr>
          <w:lang w:eastAsia="ja-JP"/>
        </w:rPr>
        <w:t xml:space="preserve"> 0.1 mg </w:t>
      </w:r>
      <w:r>
        <w:rPr>
          <w:lang w:eastAsia="ja-JP"/>
        </w:rPr>
        <w:t xml:space="preserve">group; </w:t>
      </w:r>
      <w:r w:rsidRPr="00B23064">
        <w:rPr>
          <w:lang w:eastAsia="ja-JP"/>
        </w:rPr>
        <w:t xml:space="preserve">and 66.2% </w:t>
      </w:r>
      <w:r w:rsidR="00C230E6">
        <w:rPr>
          <w:lang w:eastAsia="ja-JP"/>
        </w:rPr>
        <w:t xml:space="preserve">in the </w:t>
      </w:r>
      <w:r w:rsidRPr="00B23064">
        <w:rPr>
          <w:lang w:eastAsia="ja-JP"/>
        </w:rPr>
        <w:t xml:space="preserve">laser group. </w:t>
      </w:r>
      <w:r>
        <w:rPr>
          <w:lang w:eastAsia="ja-JP"/>
        </w:rPr>
        <w:t>T</w:t>
      </w:r>
      <w:r w:rsidRPr="00F819B8">
        <w:rPr>
          <w:lang w:eastAsia="ja-JP"/>
        </w:rPr>
        <w:t xml:space="preserve">he comparison </w:t>
      </w:r>
      <w:r>
        <w:rPr>
          <w:lang w:eastAsia="ja-JP"/>
        </w:rPr>
        <w:t xml:space="preserve">of </w:t>
      </w:r>
      <w:proofErr w:type="spellStart"/>
      <w:r>
        <w:rPr>
          <w:lang w:eastAsia="ja-JP"/>
        </w:rPr>
        <w:t>r</w:t>
      </w:r>
      <w:r w:rsidRPr="00F819B8">
        <w:rPr>
          <w:lang w:eastAsia="ja-JP"/>
        </w:rPr>
        <w:t>anibizumab</w:t>
      </w:r>
      <w:proofErr w:type="spellEnd"/>
      <w:r w:rsidR="002730F7">
        <w:rPr>
          <w:lang w:val="en-US"/>
        </w:rPr>
        <w:t xml:space="preserve"> 0.2 mg versus</w:t>
      </w:r>
      <w:r w:rsidRPr="00F819B8">
        <w:rPr>
          <w:lang w:val="en-US"/>
        </w:rPr>
        <w:t xml:space="preserve"> </w:t>
      </w:r>
      <w:r w:rsidR="00A015F8">
        <w:rPr>
          <w:lang w:val="en-US"/>
        </w:rPr>
        <w:t>l</w:t>
      </w:r>
      <w:r w:rsidRPr="00F819B8">
        <w:rPr>
          <w:lang w:val="en-US"/>
        </w:rPr>
        <w:t>aser odds ratio</w:t>
      </w:r>
      <w:r w:rsidR="002D3602">
        <w:rPr>
          <w:lang w:val="en-US"/>
        </w:rPr>
        <w:t xml:space="preserve"> (OR)</w:t>
      </w:r>
      <w:r w:rsidRPr="00F819B8">
        <w:rPr>
          <w:lang w:val="en-US"/>
        </w:rPr>
        <w:t xml:space="preserve"> </w:t>
      </w:r>
      <w:r w:rsidR="00C230E6">
        <w:rPr>
          <w:lang w:val="en-US"/>
        </w:rPr>
        <w:t xml:space="preserve">was </w:t>
      </w:r>
      <w:r w:rsidRPr="00F819B8">
        <w:rPr>
          <w:lang w:val="en-US"/>
        </w:rPr>
        <w:t>2.19 (</w:t>
      </w:r>
      <w:r w:rsidR="002D3602">
        <w:rPr>
          <w:lang w:val="en-US"/>
        </w:rPr>
        <w:t xml:space="preserve">95% CI: </w:t>
      </w:r>
      <w:r w:rsidRPr="00F819B8">
        <w:rPr>
          <w:lang w:val="en-US"/>
        </w:rPr>
        <w:t>0.9932, 4.8235), p</w:t>
      </w:r>
      <w:r w:rsidR="00C230E6">
        <w:rPr>
          <w:lang w:val="en-US"/>
        </w:rPr>
        <w:t> </w:t>
      </w:r>
      <w:r w:rsidRPr="00F819B8">
        <w:rPr>
          <w:lang w:val="en-US"/>
        </w:rPr>
        <w:t>=</w:t>
      </w:r>
      <w:r w:rsidR="00C230E6">
        <w:rPr>
          <w:lang w:val="en-US"/>
        </w:rPr>
        <w:t> </w:t>
      </w:r>
      <w:r w:rsidRPr="00F819B8">
        <w:rPr>
          <w:lang w:val="en-US"/>
        </w:rPr>
        <w:t>0.0254</w:t>
      </w:r>
      <w:r>
        <w:rPr>
          <w:lang w:val="en-US"/>
        </w:rPr>
        <w:t>.</w:t>
      </w:r>
    </w:p>
    <w:p w14:paraId="6E59C4D2" w14:textId="77777777" w:rsidR="00BF494A" w:rsidRDefault="007E34FB" w:rsidP="00335CD0">
      <w:pPr>
        <w:rPr>
          <w:lang w:val="en-US"/>
        </w:rPr>
      </w:pPr>
      <w:r>
        <w:rPr>
          <w:lang w:val="en-US"/>
        </w:rPr>
        <w:t xml:space="preserve">As the primary endpoint did not </w:t>
      </w:r>
      <w:proofErr w:type="gramStart"/>
      <w:r>
        <w:rPr>
          <w:lang w:val="en-US"/>
        </w:rPr>
        <w:t>reach</w:t>
      </w:r>
      <w:proofErr w:type="gramEnd"/>
      <w:r>
        <w:rPr>
          <w:lang w:val="en-US"/>
        </w:rPr>
        <w:t xml:space="preserve"> statistical significance key secondary endpoints were not tested</w:t>
      </w:r>
      <w:r w:rsidR="00BF494A">
        <w:rPr>
          <w:lang w:val="en-US"/>
        </w:rPr>
        <w:t>.</w:t>
      </w:r>
    </w:p>
    <w:p w14:paraId="04E0AD8B" w14:textId="671CB9F2" w:rsidR="00BF494A" w:rsidRDefault="007E34FB" w:rsidP="00335CD0">
      <w:pPr>
        <w:rPr>
          <w:lang w:eastAsia="ja-JP"/>
        </w:rPr>
      </w:pPr>
      <w:r>
        <w:rPr>
          <w:lang w:eastAsia="ja-JP"/>
        </w:rPr>
        <w:t>T</w:t>
      </w:r>
      <w:r w:rsidRPr="00822CA6">
        <w:rPr>
          <w:lang w:eastAsia="ja-JP"/>
        </w:rPr>
        <w:t xml:space="preserve">he proportion of patients </w:t>
      </w:r>
      <w:r w:rsidRPr="002730F7">
        <w:rPr>
          <w:lang w:eastAsia="ja-JP"/>
        </w:rPr>
        <w:t>with recurrence of ROP req</w:t>
      </w:r>
      <w:r w:rsidRPr="00822CA6">
        <w:rPr>
          <w:lang w:eastAsia="ja-JP"/>
        </w:rPr>
        <w:t>uiring any post-</w:t>
      </w:r>
      <w:r w:rsidR="00C230E6">
        <w:rPr>
          <w:lang w:eastAsia="ja-JP"/>
        </w:rPr>
        <w:t>B</w:t>
      </w:r>
      <w:r w:rsidRPr="00822CA6">
        <w:rPr>
          <w:lang w:eastAsia="ja-JP"/>
        </w:rPr>
        <w:t>aseline intervention</w:t>
      </w:r>
      <w:r>
        <w:rPr>
          <w:lang w:eastAsia="ja-JP"/>
        </w:rPr>
        <w:t xml:space="preserve"> </w:t>
      </w:r>
      <w:r w:rsidRPr="00822CA6">
        <w:rPr>
          <w:lang w:eastAsia="ja-JP"/>
        </w:rPr>
        <w:t xml:space="preserve">at or before 24 weeks was higher in the </w:t>
      </w:r>
      <w:proofErr w:type="spellStart"/>
      <w:r w:rsidRPr="00822CA6">
        <w:rPr>
          <w:lang w:eastAsia="ja-JP"/>
        </w:rPr>
        <w:t>ranibizumab</w:t>
      </w:r>
      <w:proofErr w:type="spellEnd"/>
      <w:r w:rsidRPr="00822CA6">
        <w:rPr>
          <w:lang w:eastAsia="ja-JP"/>
        </w:rPr>
        <w:t xml:space="preserve"> groups (31.1% for </w:t>
      </w:r>
      <w:proofErr w:type="spellStart"/>
      <w:r w:rsidRPr="00822CA6">
        <w:rPr>
          <w:lang w:eastAsia="ja-JP"/>
        </w:rPr>
        <w:t>ranibizumab</w:t>
      </w:r>
      <w:proofErr w:type="spellEnd"/>
      <w:r w:rsidRPr="00822CA6">
        <w:rPr>
          <w:lang w:eastAsia="ja-JP"/>
        </w:rPr>
        <w:t xml:space="preserve"> 0.2 mg</w:t>
      </w:r>
      <w:r>
        <w:rPr>
          <w:lang w:eastAsia="ja-JP"/>
        </w:rPr>
        <w:t xml:space="preserve">) </w:t>
      </w:r>
      <w:r w:rsidRPr="00822CA6">
        <w:rPr>
          <w:lang w:eastAsia="ja-JP"/>
        </w:rPr>
        <w:t>than the laser group (18.9%)</w:t>
      </w:r>
      <w:r w:rsidR="00BF494A">
        <w:rPr>
          <w:lang w:eastAsia="ja-JP"/>
        </w:rPr>
        <w:t>.</w:t>
      </w:r>
    </w:p>
    <w:p w14:paraId="3A6E6DB6" w14:textId="65264316" w:rsidR="00BF494A" w:rsidRDefault="007E34FB" w:rsidP="00335CD0">
      <w:r w:rsidRPr="000D0EFC">
        <w:rPr>
          <w:rFonts w:asciiTheme="minorHAnsi" w:hAnsiTheme="minorHAnsi"/>
        </w:rPr>
        <w:t>Overall</w:t>
      </w:r>
      <w:r w:rsidR="00EA746F">
        <w:rPr>
          <w:rFonts w:asciiTheme="minorHAnsi" w:hAnsiTheme="minorHAnsi"/>
        </w:rPr>
        <w:t>,</w:t>
      </w:r>
      <w:r w:rsidRPr="000D0EFC">
        <w:rPr>
          <w:rFonts w:asciiTheme="minorHAnsi" w:hAnsiTheme="minorHAnsi"/>
        </w:rPr>
        <w:t xml:space="preserve"> the efficacy data provided favour the 0.2 mg dose rather than the 0.1 mg dose of </w:t>
      </w:r>
      <w:proofErr w:type="spellStart"/>
      <w:r w:rsidRPr="000D0EFC">
        <w:rPr>
          <w:rFonts w:asciiTheme="minorHAnsi" w:hAnsiTheme="minorHAnsi"/>
          <w:lang w:eastAsia="ja-JP"/>
        </w:rPr>
        <w:t>ranibizumab</w:t>
      </w:r>
      <w:proofErr w:type="spellEnd"/>
      <w:r w:rsidRPr="000D0EFC">
        <w:rPr>
          <w:rFonts w:asciiTheme="minorHAnsi" w:hAnsiTheme="minorHAnsi"/>
        </w:rPr>
        <w:t>.</w:t>
      </w:r>
      <w:r>
        <w:rPr>
          <w:rFonts w:asciiTheme="minorHAnsi" w:hAnsiTheme="minorHAnsi"/>
        </w:rPr>
        <w:t xml:space="preserve"> </w:t>
      </w:r>
      <w:r>
        <w:t xml:space="preserve">Numerically, treatment success was higher in the </w:t>
      </w:r>
      <w:proofErr w:type="spellStart"/>
      <w:r w:rsidRPr="006507AB">
        <w:rPr>
          <w:lang w:eastAsia="ja-JP"/>
        </w:rPr>
        <w:t>ranibizumab</w:t>
      </w:r>
      <w:proofErr w:type="spellEnd"/>
      <w:r w:rsidRPr="006507AB">
        <w:rPr>
          <w:lang w:eastAsia="ja-JP"/>
        </w:rPr>
        <w:t xml:space="preserve"> </w:t>
      </w:r>
      <w:r>
        <w:t xml:space="preserve">0.2 mg group (80.0%) than </w:t>
      </w:r>
      <w:proofErr w:type="spellStart"/>
      <w:r>
        <w:t>ranibizumab</w:t>
      </w:r>
      <w:proofErr w:type="spellEnd"/>
      <w:r>
        <w:t xml:space="preserve"> 0.1</w:t>
      </w:r>
      <w:r w:rsidR="00335CD0">
        <w:t xml:space="preserve"> </w:t>
      </w:r>
      <w:r>
        <w:t>mg</w:t>
      </w:r>
      <w:r w:rsidR="00C230E6">
        <w:t xml:space="preserve"> group</w:t>
      </w:r>
      <w:r>
        <w:t xml:space="preserve"> (75.0%) and the presence of unfavourable structural outcomes at Week 24 was lower in the </w:t>
      </w:r>
      <w:proofErr w:type="spellStart"/>
      <w:r w:rsidRPr="006507AB">
        <w:rPr>
          <w:lang w:eastAsia="ja-JP"/>
        </w:rPr>
        <w:t>ranibizumab</w:t>
      </w:r>
      <w:proofErr w:type="spellEnd"/>
      <w:r w:rsidRPr="006507AB">
        <w:rPr>
          <w:lang w:eastAsia="ja-JP"/>
        </w:rPr>
        <w:t xml:space="preserve"> </w:t>
      </w:r>
      <w:r>
        <w:t xml:space="preserve">0.2 mg group (1.4%) than </w:t>
      </w:r>
      <w:proofErr w:type="spellStart"/>
      <w:r>
        <w:t>ranibizumab</w:t>
      </w:r>
      <w:proofErr w:type="spellEnd"/>
      <w:r>
        <w:t xml:space="preserve"> 0.1</w:t>
      </w:r>
      <w:r w:rsidR="00335CD0">
        <w:t xml:space="preserve"> </w:t>
      </w:r>
      <w:r>
        <w:t>mg</w:t>
      </w:r>
      <w:r w:rsidR="00C230E6">
        <w:t xml:space="preserve"> group</w:t>
      </w:r>
      <w:r>
        <w:t xml:space="preserve"> (6.7%). Both were lower than </w:t>
      </w:r>
      <w:r w:rsidR="00C230E6">
        <w:t xml:space="preserve">the </w:t>
      </w:r>
      <w:r>
        <w:t xml:space="preserve">laser </w:t>
      </w:r>
      <w:r w:rsidR="00C230E6">
        <w:t xml:space="preserve">group </w:t>
      </w:r>
      <w:r>
        <w:t>(10.1%)</w:t>
      </w:r>
      <w:r w:rsidR="00BF494A">
        <w:t>.</w:t>
      </w:r>
    </w:p>
    <w:p w14:paraId="3973AC25" w14:textId="5D54DD4E" w:rsidR="00BF494A" w:rsidRDefault="007E34FB" w:rsidP="00335CD0">
      <w:pPr>
        <w:rPr>
          <w:lang w:eastAsia="ja-JP"/>
        </w:rPr>
      </w:pPr>
      <w:r>
        <w:rPr>
          <w:lang w:eastAsia="ja-JP"/>
        </w:rPr>
        <w:t xml:space="preserve">An individual </w:t>
      </w:r>
      <w:r w:rsidRPr="002730F7">
        <w:rPr>
          <w:lang w:eastAsia="ja-JP"/>
        </w:rPr>
        <w:t xml:space="preserve">component of the primary efficacy variable, the proportion of patients with unfavourable structural outcomes in either eye at or before 24 weeks, was lower for the </w:t>
      </w:r>
      <w:proofErr w:type="spellStart"/>
      <w:r w:rsidRPr="002730F7">
        <w:rPr>
          <w:lang w:eastAsia="ja-JP"/>
        </w:rPr>
        <w:t>ranibizumab</w:t>
      </w:r>
      <w:proofErr w:type="spellEnd"/>
      <w:r w:rsidRPr="002730F7">
        <w:rPr>
          <w:lang w:eastAsia="ja-JP"/>
        </w:rPr>
        <w:t xml:space="preserve"> 0.2 mg group (</w:t>
      </w:r>
      <w:r>
        <w:rPr>
          <w:lang w:eastAsia="ja-JP"/>
        </w:rPr>
        <w:t xml:space="preserve">1.4%) and </w:t>
      </w:r>
      <w:proofErr w:type="spellStart"/>
      <w:r>
        <w:rPr>
          <w:lang w:eastAsia="ja-JP"/>
        </w:rPr>
        <w:t>ranibizumab</w:t>
      </w:r>
      <w:proofErr w:type="spellEnd"/>
      <w:r>
        <w:rPr>
          <w:lang w:eastAsia="ja-JP"/>
        </w:rPr>
        <w:t xml:space="preserve"> 0.1</w:t>
      </w:r>
      <w:r w:rsidR="00335CD0">
        <w:rPr>
          <w:lang w:eastAsia="ja-JP"/>
        </w:rPr>
        <w:t xml:space="preserve"> </w:t>
      </w:r>
      <w:r>
        <w:rPr>
          <w:lang w:eastAsia="ja-JP"/>
        </w:rPr>
        <w:t xml:space="preserve">mg </w:t>
      </w:r>
      <w:r w:rsidR="00C230E6">
        <w:rPr>
          <w:lang w:eastAsia="ja-JP"/>
        </w:rPr>
        <w:t xml:space="preserve">group </w:t>
      </w:r>
      <w:r>
        <w:rPr>
          <w:lang w:eastAsia="ja-JP"/>
        </w:rPr>
        <w:t>(6.7%) than the laser group (10.1%)</w:t>
      </w:r>
      <w:r w:rsidR="00BF494A">
        <w:rPr>
          <w:lang w:eastAsia="ja-JP"/>
        </w:rPr>
        <w:t>.</w:t>
      </w:r>
    </w:p>
    <w:p w14:paraId="259FD6CB" w14:textId="77777777" w:rsidR="007E34FB" w:rsidRDefault="007E34FB" w:rsidP="00335CD0">
      <w:pPr>
        <w:pStyle w:val="Heading6"/>
      </w:pPr>
      <w:r w:rsidRPr="00711298">
        <w:t>Conclusion</w:t>
      </w:r>
    </w:p>
    <w:p w14:paraId="7FFFEAEE" w14:textId="489C2B96" w:rsidR="00BF494A" w:rsidRDefault="007E34FB" w:rsidP="007E34FB">
      <w:r>
        <w:rPr>
          <w:rFonts w:asciiTheme="minorHAnsi" w:hAnsiTheme="minorHAnsi"/>
          <w:lang w:val="en-US"/>
        </w:rPr>
        <w:t>P</w:t>
      </w:r>
      <w:proofErr w:type="spellStart"/>
      <w:r>
        <w:rPr>
          <w:lang w:eastAsia="ja-JP"/>
        </w:rPr>
        <w:t>reterm</w:t>
      </w:r>
      <w:proofErr w:type="spellEnd"/>
      <w:r>
        <w:rPr>
          <w:lang w:eastAsia="ja-JP"/>
        </w:rPr>
        <w:t xml:space="preserve"> infants are</w:t>
      </w:r>
      <w:r w:rsidR="00335CD0">
        <w:rPr>
          <w:lang w:eastAsia="ja-JP"/>
        </w:rPr>
        <w:t xml:space="preserve"> a vulnerable study population and </w:t>
      </w:r>
      <w:r>
        <w:rPr>
          <w:lang w:eastAsia="ja-JP"/>
        </w:rPr>
        <w:t>there</w:t>
      </w:r>
      <w:r>
        <w:t xml:space="preserve"> </w:t>
      </w:r>
      <w:r w:rsidR="00335CD0">
        <w:t xml:space="preserve">are </w:t>
      </w:r>
      <w:r>
        <w:t>many practical difficulties in performing clinical studies i</w:t>
      </w:r>
      <w:r w:rsidR="00D36548">
        <w:t xml:space="preserve">n this population. The RAINBOW </w:t>
      </w:r>
      <w:r w:rsidR="00A015F8">
        <w:t xml:space="preserve">trial </w:t>
      </w:r>
      <w:r>
        <w:t xml:space="preserve">was a thoughtfully designed clinical study in the relevant patient population. The primary endpoint set a very high </w:t>
      </w:r>
      <w:proofErr w:type="gramStart"/>
      <w:r>
        <w:t>bar</w:t>
      </w:r>
      <w:proofErr w:type="gramEnd"/>
      <w:r>
        <w:t xml:space="preserve"> as infants were required to have no ROP or adverse structural outcomes</w:t>
      </w:r>
      <w:r w:rsidR="00BF494A">
        <w:t>.</w:t>
      </w:r>
    </w:p>
    <w:p w14:paraId="17E4ADB7" w14:textId="44B1912E" w:rsidR="00BF494A" w:rsidRDefault="007E34FB" w:rsidP="007E34FB">
      <w:r w:rsidRPr="00B439D0">
        <w:t>Overall, the study did not demonstrate statistical significance for the primary endpoint</w:t>
      </w:r>
      <w:r w:rsidRPr="000D0EFC">
        <w:rPr>
          <w:rFonts w:asciiTheme="minorHAnsi" w:hAnsiTheme="minorHAnsi"/>
        </w:rPr>
        <w:t>. However,</w:t>
      </w:r>
      <w:r>
        <w:rPr>
          <w:rFonts w:asciiTheme="minorHAnsi" w:hAnsiTheme="minorHAnsi"/>
        </w:rPr>
        <w:t xml:space="preserve"> </w:t>
      </w:r>
      <w:proofErr w:type="spellStart"/>
      <w:r>
        <w:rPr>
          <w:rFonts w:asciiTheme="minorHAnsi" w:hAnsiTheme="minorHAnsi"/>
          <w:lang w:val="en-US"/>
        </w:rPr>
        <w:t>ranibizumab</w:t>
      </w:r>
      <w:proofErr w:type="spellEnd"/>
      <w:r>
        <w:rPr>
          <w:rFonts w:asciiTheme="minorHAnsi" w:hAnsiTheme="minorHAnsi"/>
          <w:lang w:val="en-US"/>
        </w:rPr>
        <w:t xml:space="preserve"> had</w:t>
      </w:r>
      <w:r w:rsidRPr="000D0EFC">
        <w:rPr>
          <w:rFonts w:asciiTheme="minorHAnsi" w:hAnsiTheme="minorHAnsi"/>
          <w:lang w:val="en-US"/>
        </w:rPr>
        <w:t xml:space="preserve"> numerically higher treatment success over laser (OR of 2.19).</w:t>
      </w:r>
      <w:r>
        <w:rPr>
          <w:rFonts w:asciiTheme="minorHAnsi" w:hAnsiTheme="minorHAnsi"/>
          <w:lang w:val="en-US"/>
        </w:rPr>
        <w:t xml:space="preserve"> </w:t>
      </w:r>
      <w:r w:rsidR="00D36548">
        <w:rPr>
          <w:lang w:eastAsia="ja-JP"/>
        </w:rPr>
        <w:t xml:space="preserve">The RAINBOW </w:t>
      </w:r>
      <w:r w:rsidR="00A015F8">
        <w:rPr>
          <w:lang w:eastAsia="ja-JP"/>
        </w:rPr>
        <w:t xml:space="preserve">trial </w:t>
      </w:r>
      <w:proofErr w:type="gramStart"/>
      <w:r>
        <w:rPr>
          <w:lang w:eastAsia="ja-JP"/>
        </w:rPr>
        <w:t>was not powered</w:t>
      </w:r>
      <w:proofErr w:type="gramEnd"/>
      <w:r>
        <w:rPr>
          <w:lang w:eastAsia="ja-JP"/>
        </w:rPr>
        <w:t xml:space="preserve"> to determine whether particular disease characteristics, such as location or severity of ROP, predict response to VEGF. </w:t>
      </w:r>
      <w:proofErr w:type="gramStart"/>
      <w:r>
        <w:rPr>
          <w:lang w:eastAsia="ja-JP"/>
        </w:rPr>
        <w:t>L</w:t>
      </w:r>
      <w:r w:rsidRPr="003A5D77">
        <w:t>onger term</w:t>
      </w:r>
      <w:proofErr w:type="gramEnd"/>
      <w:r w:rsidRPr="003A5D77">
        <w:t xml:space="preserve"> visual acuity</w:t>
      </w:r>
      <w:r>
        <w:t xml:space="preserve"> or developmental</w:t>
      </w:r>
      <w:r w:rsidRPr="003A5D77">
        <w:t xml:space="preserve"> outcomes</w:t>
      </w:r>
      <w:r>
        <w:t xml:space="preserve"> are not yet known</w:t>
      </w:r>
      <w:r w:rsidR="00BF494A">
        <w:t>.</w:t>
      </w:r>
    </w:p>
    <w:p w14:paraId="3AE905B2" w14:textId="647FB71C" w:rsidR="007E34FB" w:rsidRPr="002730F7" w:rsidRDefault="004D1A6C" w:rsidP="00335CD0">
      <w:pPr>
        <w:pStyle w:val="Heading5"/>
      </w:pPr>
      <w:bookmarkStart w:id="44" w:name="_Toc290888504"/>
      <w:bookmarkStart w:id="45" w:name="_Toc416353720"/>
      <w:r>
        <w:t>RAINBOW E</w:t>
      </w:r>
      <w:r w:rsidR="007E34FB" w:rsidRPr="002730F7">
        <w:t xml:space="preserve">xtension </w:t>
      </w:r>
      <w:bookmarkEnd w:id="44"/>
      <w:bookmarkEnd w:id="45"/>
      <w:r w:rsidR="00A015F8">
        <w:t>trial</w:t>
      </w:r>
      <w:r w:rsidR="00C230E6">
        <w:t xml:space="preserve"> (</w:t>
      </w:r>
      <w:r w:rsidR="00C230E6">
        <w:rPr>
          <w:lang w:eastAsia="ja-JP"/>
        </w:rPr>
        <w:t>Study CRFB002H2301E1)</w:t>
      </w:r>
    </w:p>
    <w:p w14:paraId="188C4AB1" w14:textId="45225427" w:rsidR="007E34FB" w:rsidRDefault="007E34FB" w:rsidP="007E34FB">
      <w:pPr>
        <w:rPr>
          <w:lang w:eastAsia="ja-JP"/>
        </w:rPr>
      </w:pPr>
      <w:r>
        <w:rPr>
          <w:lang w:eastAsia="ja-JP"/>
        </w:rPr>
        <w:t>Results of the first phase of the Study CRFB002H2301E1 (RAINBOW E</w:t>
      </w:r>
      <w:r w:rsidR="002730F7">
        <w:rPr>
          <w:lang w:eastAsia="ja-JP"/>
        </w:rPr>
        <w:t>xtension</w:t>
      </w:r>
      <w:r w:rsidR="004D1A6C">
        <w:rPr>
          <w:lang w:eastAsia="ja-JP"/>
        </w:rPr>
        <w:t xml:space="preserve"> </w:t>
      </w:r>
      <w:r w:rsidR="00A015F8">
        <w:rPr>
          <w:lang w:eastAsia="ja-JP"/>
        </w:rPr>
        <w:t>trial</w:t>
      </w:r>
      <w:r>
        <w:rPr>
          <w:lang w:eastAsia="ja-JP"/>
        </w:rPr>
        <w:t>)</w:t>
      </w:r>
      <w:r w:rsidR="00C230E6">
        <w:rPr>
          <w:lang w:eastAsia="ja-JP"/>
        </w:rPr>
        <w:t>;</w:t>
      </w:r>
      <w:r w:rsidR="00C230E6" w:rsidRPr="005B2E7C">
        <w:rPr>
          <w:vertAlign w:val="superscript"/>
          <w:lang w:eastAsia="ja-JP"/>
        </w:rPr>
        <w:fldChar w:fldCharType="begin"/>
      </w:r>
      <w:r w:rsidR="00C230E6" w:rsidRPr="005B2E7C">
        <w:rPr>
          <w:vertAlign w:val="superscript"/>
          <w:lang w:eastAsia="ja-JP"/>
        </w:rPr>
        <w:instrText xml:space="preserve"> NOTEREF _Ref49510737 \h </w:instrText>
      </w:r>
      <w:r w:rsidR="00C230E6">
        <w:rPr>
          <w:vertAlign w:val="superscript"/>
          <w:lang w:eastAsia="ja-JP"/>
        </w:rPr>
        <w:instrText xml:space="preserve"> \* MERGEFORMAT </w:instrText>
      </w:r>
      <w:r w:rsidR="00C230E6" w:rsidRPr="005B2E7C">
        <w:rPr>
          <w:vertAlign w:val="superscript"/>
          <w:lang w:eastAsia="ja-JP"/>
        </w:rPr>
      </w:r>
      <w:r w:rsidR="00C230E6" w:rsidRPr="005B2E7C">
        <w:rPr>
          <w:vertAlign w:val="superscript"/>
          <w:lang w:eastAsia="ja-JP"/>
        </w:rPr>
        <w:fldChar w:fldCharType="separate"/>
      </w:r>
      <w:r w:rsidR="00EA746F">
        <w:rPr>
          <w:vertAlign w:val="superscript"/>
          <w:lang w:eastAsia="ja-JP"/>
        </w:rPr>
        <w:t>16</w:t>
      </w:r>
      <w:r w:rsidR="00C230E6" w:rsidRPr="005B2E7C">
        <w:rPr>
          <w:vertAlign w:val="superscript"/>
          <w:lang w:eastAsia="ja-JP"/>
        </w:rPr>
        <w:fldChar w:fldCharType="end"/>
      </w:r>
      <w:r>
        <w:rPr>
          <w:lang w:eastAsia="ja-JP"/>
        </w:rPr>
        <w:t xml:space="preserve"> evaluating long term efficacy and safety</w:t>
      </w:r>
      <w:r w:rsidR="002730F7">
        <w:rPr>
          <w:lang w:eastAsia="ja-JP"/>
        </w:rPr>
        <w:t xml:space="preserve">, </w:t>
      </w:r>
      <w:r>
        <w:rPr>
          <w:lang w:eastAsia="ja-JP"/>
        </w:rPr>
        <w:t xml:space="preserve">provide data corresponding to 40 weeks after initial </w:t>
      </w:r>
      <w:proofErr w:type="spellStart"/>
      <w:r>
        <w:rPr>
          <w:lang w:eastAsia="ja-JP"/>
        </w:rPr>
        <w:t>ranibizumab</w:t>
      </w:r>
      <w:proofErr w:type="spellEnd"/>
      <w:r>
        <w:rPr>
          <w:lang w:eastAsia="ja-JP"/>
        </w:rPr>
        <w:t xml:space="preserve"> treatment in the </w:t>
      </w:r>
      <w:r w:rsidR="00335CD0" w:rsidRPr="00335CD0">
        <w:rPr>
          <w:lang w:eastAsia="ja-JP"/>
        </w:rPr>
        <w:t>Core S</w:t>
      </w:r>
      <w:r w:rsidRPr="00335CD0">
        <w:rPr>
          <w:lang w:eastAsia="ja-JP"/>
        </w:rPr>
        <w:t>tudy</w:t>
      </w:r>
      <w:r w:rsidR="00335CD0">
        <w:rPr>
          <w:lang w:eastAsia="ja-JP"/>
        </w:rPr>
        <w:t xml:space="preserve"> </w:t>
      </w:r>
      <w:r w:rsidR="00335CD0">
        <w:t>CRFB002H2301</w:t>
      </w:r>
      <w:r w:rsidR="00C230E6">
        <w:rPr>
          <w:lang w:eastAsia="ja-JP"/>
        </w:rPr>
        <w:t>;</w:t>
      </w:r>
      <w:r w:rsidR="00C230E6" w:rsidRPr="005B2E7C">
        <w:rPr>
          <w:vertAlign w:val="superscript"/>
          <w:lang w:eastAsia="ja-JP"/>
        </w:rPr>
        <w:fldChar w:fldCharType="begin"/>
      </w:r>
      <w:r w:rsidR="00C230E6" w:rsidRPr="005B2E7C">
        <w:rPr>
          <w:vertAlign w:val="superscript"/>
          <w:lang w:eastAsia="ja-JP"/>
        </w:rPr>
        <w:instrText xml:space="preserve"> NOTEREF _Ref49510709 \h </w:instrText>
      </w:r>
      <w:r w:rsidR="00C230E6">
        <w:rPr>
          <w:vertAlign w:val="superscript"/>
          <w:lang w:eastAsia="ja-JP"/>
        </w:rPr>
        <w:instrText xml:space="preserve"> \* MERGEFORMAT </w:instrText>
      </w:r>
      <w:r w:rsidR="00C230E6" w:rsidRPr="005B2E7C">
        <w:rPr>
          <w:vertAlign w:val="superscript"/>
          <w:lang w:eastAsia="ja-JP"/>
        </w:rPr>
      </w:r>
      <w:r w:rsidR="00C230E6" w:rsidRPr="005B2E7C">
        <w:rPr>
          <w:vertAlign w:val="superscript"/>
          <w:lang w:eastAsia="ja-JP"/>
        </w:rPr>
        <w:fldChar w:fldCharType="separate"/>
      </w:r>
      <w:r w:rsidR="00EA746F">
        <w:rPr>
          <w:vertAlign w:val="superscript"/>
          <w:lang w:eastAsia="ja-JP"/>
        </w:rPr>
        <w:t>15</w:t>
      </w:r>
      <w:r w:rsidR="00C230E6" w:rsidRPr="005B2E7C">
        <w:rPr>
          <w:vertAlign w:val="superscript"/>
          <w:lang w:eastAsia="ja-JP"/>
        </w:rPr>
        <w:fldChar w:fldCharType="end"/>
      </w:r>
      <w:r>
        <w:rPr>
          <w:lang w:eastAsia="ja-JP"/>
        </w:rPr>
        <w:t xml:space="preserve"> were presented</w:t>
      </w:r>
      <w:r w:rsidR="002730F7">
        <w:rPr>
          <w:lang w:eastAsia="ja-JP"/>
        </w:rPr>
        <w:t>.</w:t>
      </w:r>
      <w:r>
        <w:rPr>
          <w:lang w:eastAsia="ja-JP"/>
        </w:rPr>
        <w:t xml:space="preserve"> During the extension </w:t>
      </w:r>
      <w:proofErr w:type="gramStart"/>
      <w:r>
        <w:rPr>
          <w:lang w:eastAsia="ja-JP"/>
        </w:rPr>
        <w:t>study</w:t>
      </w:r>
      <w:proofErr w:type="gramEnd"/>
      <w:r>
        <w:rPr>
          <w:lang w:eastAsia="ja-JP"/>
        </w:rPr>
        <w:t xml:space="preserve"> patients could receive treatment with </w:t>
      </w:r>
      <w:proofErr w:type="spellStart"/>
      <w:r>
        <w:rPr>
          <w:lang w:eastAsia="ja-JP"/>
        </w:rPr>
        <w:t>ranibizumab</w:t>
      </w:r>
      <w:proofErr w:type="spellEnd"/>
      <w:r>
        <w:rPr>
          <w:lang w:eastAsia="ja-JP"/>
        </w:rPr>
        <w:t>, (either re</w:t>
      </w:r>
      <w:r w:rsidR="00335CD0">
        <w:rPr>
          <w:lang w:eastAsia="ja-JP"/>
        </w:rPr>
        <w:noBreakHyphen/>
      </w:r>
      <w:r>
        <w:rPr>
          <w:lang w:eastAsia="ja-JP"/>
        </w:rPr>
        <w:t xml:space="preserve">treatment if they were in the </w:t>
      </w:r>
      <w:proofErr w:type="spellStart"/>
      <w:r>
        <w:rPr>
          <w:lang w:eastAsia="ja-JP"/>
        </w:rPr>
        <w:t>ranibizumab</w:t>
      </w:r>
      <w:proofErr w:type="spellEnd"/>
      <w:r>
        <w:rPr>
          <w:lang w:eastAsia="ja-JP"/>
        </w:rPr>
        <w:t xml:space="preserve"> arms of RAINBOW</w:t>
      </w:r>
      <w:r w:rsidR="00D36548">
        <w:rPr>
          <w:lang w:eastAsia="ja-JP"/>
        </w:rPr>
        <w:t xml:space="preserve"> </w:t>
      </w:r>
      <w:r w:rsidR="00A015F8">
        <w:rPr>
          <w:lang w:eastAsia="ja-JP"/>
        </w:rPr>
        <w:t xml:space="preserve">trial </w:t>
      </w:r>
      <w:r>
        <w:rPr>
          <w:lang w:eastAsia="ja-JP"/>
        </w:rPr>
        <w:t>or switch treatment for those who received laser</w:t>
      </w:r>
      <w:r w:rsidR="002730F7">
        <w:rPr>
          <w:lang w:eastAsia="ja-JP"/>
        </w:rPr>
        <w:t>).</w:t>
      </w:r>
    </w:p>
    <w:p w14:paraId="591A37A6" w14:textId="77777777" w:rsidR="00BF494A" w:rsidRDefault="007E34FB" w:rsidP="007E34FB">
      <w:pPr>
        <w:rPr>
          <w:lang w:eastAsia="ja-JP"/>
        </w:rPr>
      </w:pPr>
      <w:r>
        <w:rPr>
          <w:lang w:eastAsia="ja-JP"/>
        </w:rPr>
        <w:t>The remainder of the study is observational up to the patient’s fifth birthday</w:t>
      </w:r>
      <w:r w:rsidR="00BF494A">
        <w:rPr>
          <w:lang w:eastAsia="ja-JP"/>
        </w:rPr>
        <w:t>.</w:t>
      </w:r>
    </w:p>
    <w:p w14:paraId="5DD5C2DB" w14:textId="1EB0B63B" w:rsidR="007E34FB" w:rsidRDefault="007E34FB" w:rsidP="007E34FB">
      <w:pPr>
        <w:rPr>
          <w:lang w:eastAsia="ja-JP"/>
        </w:rPr>
      </w:pPr>
      <w:r>
        <w:rPr>
          <w:lang w:eastAsia="ja-JP"/>
        </w:rPr>
        <w:t>The primary objective of the first interim analysis was to evaluate the absence of ocular structural abnormalities in both eyes at or before the Week 40 visit. There were 144</w:t>
      </w:r>
      <w:r w:rsidR="00A015F8">
        <w:rPr>
          <w:lang w:eastAsia="ja-JP"/>
        </w:rPr>
        <w:t> </w:t>
      </w:r>
      <w:r>
        <w:rPr>
          <w:lang w:eastAsia="ja-JP"/>
        </w:rPr>
        <w:t>patients who had completed the Week 40 visit (n = 143) or discontinued (n = 1) at the time of the data cut-off for the interim analysis</w:t>
      </w:r>
      <w:r w:rsidR="002730F7">
        <w:rPr>
          <w:lang w:eastAsia="ja-JP"/>
        </w:rPr>
        <w:t>.</w:t>
      </w:r>
    </w:p>
    <w:p w14:paraId="6CA12672" w14:textId="77777777" w:rsidR="007E34FB" w:rsidRPr="00711298" w:rsidRDefault="007E34FB" w:rsidP="00335CD0">
      <w:pPr>
        <w:pStyle w:val="Heading6"/>
        <w:rPr>
          <w:lang w:eastAsia="ja-JP"/>
        </w:rPr>
      </w:pPr>
      <w:r w:rsidRPr="00711298">
        <w:rPr>
          <w:lang w:eastAsia="ja-JP"/>
        </w:rPr>
        <w:lastRenderedPageBreak/>
        <w:t>Results</w:t>
      </w:r>
    </w:p>
    <w:p w14:paraId="7D4CC9EA" w14:textId="1FCE9228" w:rsidR="007E34FB" w:rsidRDefault="007E34FB" w:rsidP="007E34FB">
      <w:pPr>
        <w:rPr>
          <w:lang w:eastAsia="ja-JP"/>
        </w:rPr>
      </w:pPr>
      <w:r>
        <w:rPr>
          <w:lang w:eastAsia="ja-JP"/>
        </w:rPr>
        <w:t xml:space="preserve">The mean number of </w:t>
      </w:r>
      <w:proofErr w:type="spellStart"/>
      <w:r>
        <w:rPr>
          <w:lang w:eastAsia="ja-JP"/>
        </w:rPr>
        <w:t>ranibizumab</w:t>
      </w:r>
      <w:proofErr w:type="spellEnd"/>
      <w:r>
        <w:rPr>
          <w:lang w:eastAsia="ja-JP"/>
        </w:rPr>
        <w:t xml:space="preserve"> injections received u</w:t>
      </w:r>
      <w:r w:rsidR="001D3C48">
        <w:rPr>
          <w:lang w:eastAsia="ja-JP"/>
        </w:rPr>
        <w:t xml:space="preserve">p to the Week 40 visit for the </w:t>
      </w:r>
      <w:r w:rsidR="00C230E6">
        <w:rPr>
          <w:lang w:eastAsia="ja-JP"/>
        </w:rPr>
        <w:t xml:space="preserve">RAINBOW </w:t>
      </w:r>
      <w:r w:rsidR="001D3C48">
        <w:rPr>
          <w:lang w:eastAsia="ja-JP"/>
        </w:rPr>
        <w:t xml:space="preserve">Extension </w:t>
      </w:r>
      <w:r w:rsidR="00C230E6">
        <w:rPr>
          <w:lang w:eastAsia="ja-JP"/>
        </w:rPr>
        <w:t>s</w:t>
      </w:r>
      <w:r w:rsidR="001D3C48">
        <w:rPr>
          <w:lang w:eastAsia="ja-JP"/>
        </w:rPr>
        <w:t xml:space="preserve">afety </w:t>
      </w:r>
      <w:r w:rsidR="00C230E6">
        <w:rPr>
          <w:lang w:eastAsia="ja-JP"/>
        </w:rPr>
        <w:t>s</w:t>
      </w:r>
      <w:r w:rsidR="001D3C48">
        <w:rPr>
          <w:lang w:eastAsia="ja-JP"/>
        </w:rPr>
        <w:t xml:space="preserve">et </w:t>
      </w:r>
      <w:r>
        <w:rPr>
          <w:lang w:eastAsia="ja-JP"/>
        </w:rPr>
        <w:t xml:space="preserve">was 2.3 and 2.6 in the </w:t>
      </w:r>
      <w:proofErr w:type="spellStart"/>
      <w:r>
        <w:rPr>
          <w:lang w:eastAsia="ja-JP"/>
        </w:rPr>
        <w:t>ranibizumab</w:t>
      </w:r>
      <w:proofErr w:type="spellEnd"/>
      <w:r>
        <w:rPr>
          <w:lang w:eastAsia="ja-JP"/>
        </w:rPr>
        <w:t xml:space="preserve"> 0.2 mg and </w:t>
      </w:r>
      <w:proofErr w:type="spellStart"/>
      <w:r>
        <w:rPr>
          <w:lang w:eastAsia="ja-JP"/>
        </w:rPr>
        <w:t>ranibizumab</w:t>
      </w:r>
      <w:proofErr w:type="spellEnd"/>
      <w:r>
        <w:rPr>
          <w:lang w:eastAsia="ja-JP"/>
        </w:rPr>
        <w:t xml:space="preserve"> 0.1 mg groups</w:t>
      </w:r>
      <w:r w:rsidR="003438D4">
        <w:rPr>
          <w:lang w:eastAsia="ja-JP"/>
        </w:rPr>
        <w:t>,</w:t>
      </w:r>
      <w:r>
        <w:rPr>
          <w:lang w:eastAsia="ja-JP"/>
        </w:rPr>
        <w:t xml:space="preserve"> respectively. There were </w:t>
      </w:r>
      <w:proofErr w:type="gramStart"/>
      <w:r>
        <w:rPr>
          <w:lang w:eastAsia="ja-JP"/>
        </w:rPr>
        <w:t>8</w:t>
      </w:r>
      <w:proofErr w:type="gramEnd"/>
      <w:r>
        <w:rPr>
          <w:lang w:eastAsia="ja-JP"/>
        </w:rPr>
        <w:t xml:space="preserve"> patients in the laser group who received </w:t>
      </w:r>
      <w:proofErr w:type="spellStart"/>
      <w:r>
        <w:rPr>
          <w:lang w:eastAsia="ja-JP"/>
        </w:rPr>
        <w:t>ranibizumab</w:t>
      </w:r>
      <w:proofErr w:type="spellEnd"/>
      <w:r>
        <w:rPr>
          <w:lang w:eastAsia="ja-JP"/>
        </w:rPr>
        <w:t xml:space="preserve"> injections</w:t>
      </w:r>
      <w:r w:rsidR="005F1752">
        <w:rPr>
          <w:lang w:eastAsia="ja-JP"/>
        </w:rPr>
        <w:t>.</w:t>
      </w:r>
    </w:p>
    <w:p w14:paraId="05EB026F" w14:textId="5763155A" w:rsidR="00BF494A" w:rsidRDefault="007E34FB" w:rsidP="007E34FB">
      <w:pPr>
        <w:rPr>
          <w:lang w:eastAsia="ja-JP"/>
        </w:rPr>
      </w:pPr>
      <w:r>
        <w:rPr>
          <w:lang w:eastAsia="ja-JP"/>
        </w:rPr>
        <w:t>Absence of ocular structural abnormalities were observed for 49</w:t>
      </w:r>
      <w:r w:rsidR="00A015F8">
        <w:rPr>
          <w:lang w:eastAsia="ja-JP"/>
        </w:rPr>
        <w:t xml:space="preserve"> out of </w:t>
      </w:r>
      <w:r>
        <w:rPr>
          <w:lang w:eastAsia="ja-JP"/>
        </w:rPr>
        <w:t xml:space="preserve">50 (98.0%) patients in the </w:t>
      </w:r>
      <w:proofErr w:type="spellStart"/>
      <w:r>
        <w:rPr>
          <w:lang w:eastAsia="ja-JP"/>
        </w:rPr>
        <w:t>ranibizumab</w:t>
      </w:r>
      <w:proofErr w:type="spellEnd"/>
      <w:r>
        <w:rPr>
          <w:lang w:eastAsia="ja-JP"/>
        </w:rPr>
        <w:t xml:space="preserve"> 0.2 mg group, 50</w:t>
      </w:r>
      <w:r w:rsidR="00A015F8">
        <w:rPr>
          <w:lang w:eastAsia="ja-JP"/>
        </w:rPr>
        <w:t xml:space="preserve"> out of </w:t>
      </w:r>
      <w:r>
        <w:rPr>
          <w:lang w:eastAsia="ja-JP"/>
        </w:rPr>
        <w:t xml:space="preserve">51 (98.0%) patients in the </w:t>
      </w:r>
      <w:proofErr w:type="spellStart"/>
      <w:r>
        <w:rPr>
          <w:lang w:eastAsia="ja-JP"/>
        </w:rPr>
        <w:t>ranibizumab</w:t>
      </w:r>
      <w:proofErr w:type="spellEnd"/>
      <w:r>
        <w:rPr>
          <w:lang w:eastAsia="ja-JP"/>
        </w:rPr>
        <w:t xml:space="preserve"> 0.1 mg group and 38</w:t>
      </w:r>
      <w:r w:rsidR="00A015F8">
        <w:rPr>
          <w:lang w:eastAsia="ja-JP"/>
        </w:rPr>
        <w:t xml:space="preserve"> out of </w:t>
      </w:r>
      <w:r>
        <w:rPr>
          <w:lang w:eastAsia="ja-JP"/>
        </w:rPr>
        <w:t>43 (88.4%) patients in the laser group</w:t>
      </w:r>
      <w:r w:rsidR="00BF494A">
        <w:rPr>
          <w:lang w:eastAsia="ja-JP"/>
        </w:rPr>
        <w:t>.</w:t>
      </w:r>
    </w:p>
    <w:p w14:paraId="23C90982" w14:textId="08B7E4AF" w:rsidR="00BF494A" w:rsidRDefault="007E34FB" w:rsidP="007E34FB">
      <w:r>
        <w:t xml:space="preserve">Recurrence </w:t>
      </w:r>
      <w:r w:rsidR="009B5A29" w:rsidRPr="009B5A29">
        <w:t>(defined as persistence of disease requiring additional injections)</w:t>
      </w:r>
      <w:r w:rsidR="009B5A29" w:rsidRPr="009B5A29">
        <w:rPr>
          <w:rFonts w:ascii="Arial" w:hAnsi="Arial" w:cs="Arial"/>
          <w:bCs/>
          <w:iCs/>
          <w:color w:val="000000" w:themeColor="text1"/>
          <w:sz w:val="20"/>
          <w:szCs w:val="20"/>
        </w:rPr>
        <w:t xml:space="preserve"> </w:t>
      </w:r>
      <w:r>
        <w:t xml:space="preserve">of ROP up to Week 40 was higher in the </w:t>
      </w:r>
      <w:proofErr w:type="spellStart"/>
      <w:r w:rsidRPr="006507AB">
        <w:rPr>
          <w:lang w:eastAsia="ja-JP"/>
        </w:rPr>
        <w:t>ranibizumab</w:t>
      </w:r>
      <w:proofErr w:type="spellEnd"/>
      <w:r w:rsidRPr="006507AB">
        <w:rPr>
          <w:lang w:eastAsia="ja-JP"/>
        </w:rPr>
        <w:t xml:space="preserve"> </w:t>
      </w:r>
      <w:r>
        <w:t xml:space="preserve">group (26.0% in the </w:t>
      </w:r>
      <w:proofErr w:type="spellStart"/>
      <w:r w:rsidRPr="006507AB">
        <w:rPr>
          <w:lang w:eastAsia="ja-JP"/>
        </w:rPr>
        <w:t>ranibizumab</w:t>
      </w:r>
      <w:proofErr w:type="spellEnd"/>
      <w:r w:rsidRPr="006507AB">
        <w:rPr>
          <w:lang w:eastAsia="ja-JP"/>
        </w:rPr>
        <w:t xml:space="preserve"> </w:t>
      </w:r>
      <w:r>
        <w:t xml:space="preserve">0.2 mg group and 35.3% in the </w:t>
      </w:r>
      <w:proofErr w:type="spellStart"/>
      <w:r w:rsidRPr="006507AB">
        <w:rPr>
          <w:lang w:eastAsia="ja-JP"/>
        </w:rPr>
        <w:t>ranibizumab</w:t>
      </w:r>
      <w:proofErr w:type="spellEnd"/>
      <w:r w:rsidRPr="006507AB">
        <w:rPr>
          <w:lang w:eastAsia="ja-JP"/>
        </w:rPr>
        <w:t xml:space="preserve"> </w:t>
      </w:r>
      <w:r>
        <w:t>0.1 mg group) compared with the laser group (18.6%)</w:t>
      </w:r>
      <w:r w:rsidR="00BF494A">
        <w:t>.</w:t>
      </w:r>
    </w:p>
    <w:p w14:paraId="727E8801" w14:textId="77777777" w:rsidR="007E34FB" w:rsidRPr="00541DC9" w:rsidRDefault="002730F7" w:rsidP="00774CCD">
      <w:pPr>
        <w:pStyle w:val="Heading4"/>
        <w:rPr>
          <w:lang w:val="en-US"/>
        </w:rPr>
      </w:pPr>
      <w:r>
        <w:rPr>
          <w:lang w:val="en-US"/>
        </w:rPr>
        <w:t>Safety</w:t>
      </w:r>
    </w:p>
    <w:p w14:paraId="7B348F03" w14:textId="0C6129D9" w:rsidR="00BF494A" w:rsidRDefault="007E34FB" w:rsidP="007E34FB">
      <w:pPr>
        <w:rPr>
          <w:rFonts w:asciiTheme="minorHAnsi" w:hAnsiTheme="minorHAnsi"/>
          <w:sz w:val="24"/>
          <w:szCs w:val="24"/>
          <w:lang w:eastAsia="ja-JP"/>
        </w:rPr>
      </w:pPr>
      <w:r w:rsidRPr="005D23AE">
        <w:t xml:space="preserve">The RAINBOW </w:t>
      </w:r>
      <w:r w:rsidR="00A015F8">
        <w:t>trial</w:t>
      </w:r>
      <w:r w:rsidR="00A015F8" w:rsidRPr="00FB4650">
        <w:rPr>
          <w:b/>
          <w:i/>
        </w:rPr>
        <w:t xml:space="preserve"> </w:t>
      </w:r>
      <w:r w:rsidR="002730F7">
        <w:t xml:space="preserve">provided 24 </w:t>
      </w:r>
      <w:r w:rsidRPr="008508D9">
        <w:t>week safety data</w:t>
      </w:r>
      <w:proofErr w:type="gramStart"/>
      <w:r w:rsidR="00932696">
        <w:t>;</w:t>
      </w:r>
      <w:proofErr w:type="gramEnd"/>
      <w:r w:rsidR="00932696" w:rsidRPr="005B2E7C">
        <w:rPr>
          <w:vertAlign w:val="superscript"/>
        </w:rPr>
        <w:fldChar w:fldCharType="begin"/>
      </w:r>
      <w:r w:rsidR="00932696" w:rsidRPr="005B2E7C">
        <w:rPr>
          <w:vertAlign w:val="superscript"/>
        </w:rPr>
        <w:instrText xml:space="preserve"> NOTEREF _Ref49510709 \h </w:instrText>
      </w:r>
      <w:r w:rsidR="00932696">
        <w:rPr>
          <w:vertAlign w:val="superscript"/>
        </w:rPr>
        <w:instrText xml:space="preserve"> \* MERGEFORMAT </w:instrText>
      </w:r>
      <w:r w:rsidR="00932696" w:rsidRPr="005B2E7C">
        <w:rPr>
          <w:vertAlign w:val="superscript"/>
        </w:rPr>
      </w:r>
      <w:r w:rsidR="00932696" w:rsidRPr="005B2E7C">
        <w:rPr>
          <w:vertAlign w:val="superscript"/>
        </w:rPr>
        <w:fldChar w:fldCharType="separate"/>
      </w:r>
      <w:r w:rsidR="00EA746F">
        <w:rPr>
          <w:vertAlign w:val="superscript"/>
        </w:rPr>
        <w:t>15</w:t>
      </w:r>
      <w:r w:rsidR="00932696" w:rsidRPr="005B2E7C">
        <w:rPr>
          <w:vertAlign w:val="superscript"/>
        </w:rPr>
        <w:fldChar w:fldCharType="end"/>
      </w:r>
      <w:r>
        <w:t xml:space="preserve"> </w:t>
      </w:r>
      <w:r w:rsidR="00D36548">
        <w:t xml:space="preserve">and </w:t>
      </w:r>
      <w:r w:rsidR="00932696">
        <w:t xml:space="preserve">the </w:t>
      </w:r>
      <w:r w:rsidR="00D36548">
        <w:t>RAINBOW E</w:t>
      </w:r>
      <w:r>
        <w:t xml:space="preserve">xtension </w:t>
      </w:r>
      <w:r w:rsidR="00A015F8">
        <w:t xml:space="preserve">trial </w:t>
      </w:r>
      <w:r>
        <w:t>provided data at 40 weeks from the initial injection</w:t>
      </w:r>
      <w:bookmarkStart w:id="46" w:name="_Toc421005277"/>
      <w:bookmarkStart w:id="47" w:name="_Toc432079159"/>
      <w:bookmarkStart w:id="48" w:name="_Toc432080732"/>
      <w:r w:rsidR="002730F7">
        <w:t>.</w:t>
      </w:r>
      <w:r w:rsidR="00932696" w:rsidRPr="005B2E7C">
        <w:rPr>
          <w:vertAlign w:val="superscript"/>
        </w:rPr>
        <w:fldChar w:fldCharType="begin"/>
      </w:r>
      <w:r w:rsidR="00932696" w:rsidRPr="005B2E7C">
        <w:rPr>
          <w:vertAlign w:val="superscript"/>
        </w:rPr>
        <w:instrText xml:space="preserve"> NOTEREF _Ref49510737 \h </w:instrText>
      </w:r>
      <w:r w:rsidR="00932696">
        <w:rPr>
          <w:vertAlign w:val="superscript"/>
        </w:rPr>
        <w:instrText xml:space="preserve"> \* MERGEFORMAT </w:instrText>
      </w:r>
      <w:r w:rsidR="00932696" w:rsidRPr="005B2E7C">
        <w:rPr>
          <w:vertAlign w:val="superscript"/>
        </w:rPr>
      </w:r>
      <w:r w:rsidR="00932696" w:rsidRPr="005B2E7C">
        <w:rPr>
          <w:vertAlign w:val="superscript"/>
        </w:rPr>
        <w:fldChar w:fldCharType="separate"/>
      </w:r>
      <w:r w:rsidR="00EA746F">
        <w:rPr>
          <w:vertAlign w:val="superscript"/>
        </w:rPr>
        <w:t>16</w:t>
      </w:r>
      <w:r w:rsidR="00932696" w:rsidRPr="005B2E7C">
        <w:rPr>
          <w:vertAlign w:val="superscript"/>
        </w:rPr>
        <w:fldChar w:fldCharType="end"/>
      </w:r>
    </w:p>
    <w:bookmarkEnd w:id="46"/>
    <w:bookmarkEnd w:id="47"/>
    <w:bookmarkEnd w:id="48"/>
    <w:p w14:paraId="2A5F61A6" w14:textId="77777777" w:rsidR="007E34FB" w:rsidRDefault="007E34FB" w:rsidP="007E34FB">
      <w:pPr>
        <w:rPr>
          <w:lang w:eastAsia="ja-JP"/>
        </w:rPr>
      </w:pPr>
      <w:proofErr w:type="gramStart"/>
      <w:r>
        <w:rPr>
          <w:lang w:eastAsia="ja-JP"/>
        </w:rPr>
        <w:t>Overall</w:t>
      </w:r>
      <w:proofErr w:type="gramEnd"/>
      <w:r>
        <w:rPr>
          <w:lang w:eastAsia="ja-JP"/>
        </w:rPr>
        <w:t xml:space="preserve"> the ocular adverse event</w:t>
      </w:r>
      <w:r w:rsidR="002730F7">
        <w:rPr>
          <w:lang w:eastAsia="ja-JP"/>
        </w:rPr>
        <w:t xml:space="preserve"> (AE)</w:t>
      </w:r>
      <w:r>
        <w:rPr>
          <w:lang w:eastAsia="ja-JP"/>
        </w:rPr>
        <w:t xml:space="preserve"> profile of </w:t>
      </w:r>
      <w:proofErr w:type="spellStart"/>
      <w:r>
        <w:rPr>
          <w:lang w:eastAsia="ja-JP"/>
        </w:rPr>
        <w:t>ranibizumab</w:t>
      </w:r>
      <w:proofErr w:type="spellEnd"/>
      <w:r>
        <w:rPr>
          <w:lang w:eastAsia="ja-JP"/>
        </w:rPr>
        <w:t xml:space="preserve"> was generally consistent with the known ocular adverse event profile of </w:t>
      </w:r>
      <w:proofErr w:type="spellStart"/>
      <w:r>
        <w:rPr>
          <w:lang w:eastAsia="ja-JP"/>
        </w:rPr>
        <w:t>ranibizumab</w:t>
      </w:r>
      <w:proofErr w:type="spellEnd"/>
      <w:r>
        <w:rPr>
          <w:lang w:eastAsia="ja-JP"/>
        </w:rPr>
        <w:t xml:space="preserve"> in the adult population, and there were no major differences in non-ocular adverse events between the treatment groups.</w:t>
      </w:r>
    </w:p>
    <w:p w14:paraId="2831E503" w14:textId="056051AC" w:rsidR="00BF494A" w:rsidRDefault="007E34FB" w:rsidP="007E34FB">
      <w:pPr>
        <w:rPr>
          <w:lang w:eastAsia="ja-JP"/>
        </w:rPr>
      </w:pPr>
      <w:r w:rsidRPr="00593A45">
        <w:rPr>
          <w:lang w:eastAsia="ja-JP"/>
        </w:rPr>
        <w:t xml:space="preserve">Ocular AEs </w:t>
      </w:r>
      <w:proofErr w:type="gramStart"/>
      <w:r w:rsidRPr="00593A45">
        <w:rPr>
          <w:lang w:eastAsia="ja-JP"/>
        </w:rPr>
        <w:t>were reported</w:t>
      </w:r>
      <w:proofErr w:type="gramEnd"/>
      <w:r w:rsidRPr="00593A45">
        <w:rPr>
          <w:lang w:eastAsia="ja-JP"/>
        </w:rPr>
        <w:t xml:space="preserve"> for 30.1%</w:t>
      </w:r>
      <w:r>
        <w:rPr>
          <w:lang w:eastAsia="ja-JP"/>
        </w:rPr>
        <w:t xml:space="preserve">, </w:t>
      </w:r>
      <w:r w:rsidRPr="00593A45">
        <w:rPr>
          <w:lang w:eastAsia="ja-JP"/>
        </w:rPr>
        <w:t xml:space="preserve">40.8% and 33.3% patients in the </w:t>
      </w:r>
      <w:proofErr w:type="spellStart"/>
      <w:r w:rsidRPr="00593A45">
        <w:rPr>
          <w:lang w:eastAsia="ja-JP"/>
        </w:rPr>
        <w:t>ranibizumab</w:t>
      </w:r>
      <w:proofErr w:type="spellEnd"/>
      <w:r w:rsidRPr="00593A45">
        <w:rPr>
          <w:lang w:eastAsia="ja-JP"/>
        </w:rPr>
        <w:t xml:space="preserve"> 0.2</w:t>
      </w:r>
      <w:r w:rsidR="002730F7">
        <w:rPr>
          <w:lang w:eastAsia="ja-JP"/>
        </w:rPr>
        <w:t> </w:t>
      </w:r>
      <w:r w:rsidRPr="00593A45">
        <w:rPr>
          <w:lang w:eastAsia="ja-JP"/>
        </w:rPr>
        <w:t xml:space="preserve">mg, </w:t>
      </w:r>
      <w:proofErr w:type="spellStart"/>
      <w:r w:rsidRPr="00593A45">
        <w:rPr>
          <w:lang w:eastAsia="ja-JP"/>
        </w:rPr>
        <w:t>ranibizumab</w:t>
      </w:r>
      <w:proofErr w:type="spellEnd"/>
      <w:r w:rsidRPr="00593A45">
        <w:rPr>
          <w:lang w:eastAsia="ja-JP"/>
        </w:rPr>
        <w:t xml:space="preserve"> 0.1</w:t>
      </w:r>
      <w:r w:rsidR="003438D4">
        <w:rPr>
          <w:lang w:eastAsia="ja-JP"/>
        </w:rPr>
        <w:t xml:space="preserve"> </w:t>
      </w:r>
      <w:r w:rsidRPr="00593A45">
        <w:rPr>
          <w:lang w:eastAsia="ja-JP"/>
        </w:rPr>
        <w:t>mg and laser groups</w:t>
      </w:r>
      <w:r w:rsidR="003438D4">
        <w:rPr>
          <w:lang w:eastAsia="ja-JP"/>
        </w:rPr>
        <w:t>,</w:t>
      </w:r>
      <w:r w:rsidRPr="00593A45">
        <w:rPr>
          <w:lang w:eastAsia="ja-JP"/>
        </w:rPr>
        <w:t xml:space="preserve"> respectively</w:t>
      </w:r>
      <w:r>
        <w:rPr>
          <w:lang w:eastAsia="ja-JP"/>
        </w:rPr>
        <w:t xml:space="preserve">. Retinal </w:t>
      </w:r>
      <w:r w:rsidRPr="00593A45">
        <w:rPr>
          <w:lang w:eastAsia="ja-JP"/>
        </w:rPr>
        <w:t>haemorrhage</w:t>
      </w:r>
      <w:r>
        <w:rPr>
          <w:lang w:eastAsia="ja-JP"/>
        </w:rPr>
        <w:t>,</w:t>
      </w:r>
      <w:r w:rsidRPr="00593A45">
        <w:rPr>
          <w:lang w:eastAsia="ja-JP"/>
        </w:rPr>
        <w:t xml:space="preserve"> conjunctival haemorrhage, conjunctivitis and ROP </w:t>
      </w:r>
      <w:r>
        <w:rPr>
          <w:lang w:eastAsia="ja-JP"/>
        </w:rPr>
        <w:t>were the most common.</w:t>
      </w:r>
      <w:r w:rsidRPr="00593A45">
        <w:rPr>
          <w:lang w:eastAsia="ja-JP"/>
        </w:rPr>
        <w:t xml:space="preserve"> </w:t>
      </w:r>
      <w:r>
        <w:rPr>
          <w:lang w:eastAsia="ja-JP"/>
        </w:rPr>
        <w:t xml:space="preserve">A higher proportion of patients in the </w:t>
      </w:r>
      <w:proofErr w:type="spellStart"/>
      <w:r w:rsidRPr="008508D9">
        <w:rPr>
          <w:lang w:eastAsia="ja-JP"/>
        </w:rPr>
        <w:t>ranibizumab</w:t>
      </w:r>
      <w:proofErr w:type="spellEnd"/>
      <w:r w:rsidRPr="008508D9">
        <w:rPr>
          <w:lang w:eastAsia="ja-JP"/>
        </w:rPr>
        <w:t xml:space="preserve"> </w:t>
      </w:r>
      <w:r>
        <w:rPr>
          <w:lang w:eastAsia="ja-JP"/>
        </w:rPr>
        <w:t xml:space="preserve">groups had AEs </w:t>
      </w:r>
      <w:r w:rsidRPr="00535FF9">
        <w:rPr>
          <w:lang w:eastAsia="ja-JP"/>
        </w:rPr>
        <w:t xml:space="preserve">suspected to </w:t>
      </w:r>
      <w:proofErr w:type="gramStart"/>
      <w:r w:rsidRPr="00535FF9">
        <w:rPr>
          <w:lang w:eastAsia="ja-JP"/>
        </w:rPr>
        <w:t>be related</w:t>
      </w:r>
      <w:proofErr w:type="gramEnd"/>
      <w:r w:rsidRPr="00535FF9">
        <w:rPr>
          <w:lang w:eastAsia="ja-JP"/>
        </w:rPr>
        <w:t xml:space="preserve"> to study drug </w:t>
      </w:r>
      <w:r>
        <w:rPr>
          <w:lang w:eastAsia="ja-JP"/>
        </w:rPr>
        <w:t xml:space="preserve">treatment or procedure than the laser group. The most common was </w:t>
      </w:r>
      <w:r w:rsidRPr="00593A45">
        <w:rPr>
          <w:lang w:eastAsia="ja-JP"/>
        </w:rPr>
        <w:t>conjunctival haemorrhage</w:t>
      </w:r>
      <w:r w:rsidR="00BF494A">
        <w:rPr>
          <w:lang w:eastAsia="ja-JP"/>
        </w:rPr>
        <w:t>.</w:t>
      </w:r>
    </w:p>
    <w:p w14:paraId="1D2B776A" w14:textId="77777777" w:rsidR="00BF494A" w:rsidRDefault="007E34FB" w:rsidP="007E34FB">
      <w:pPr>
        <w:rPr>
          <w:lang w:eastAsia="ja-JP"/>
        </w:rPr>
      </w:pPr>
      <w:r>
        <w:rPr>
          <w:lang w:eastAsia="ja-JP"/>
        </w:rPr>
        <w:t xml:space="preserve">One patient in the </w:t>
      </w:r>
      <w:proofErr w:type="spellStart"/>
      <w:r w:rsidRPr="008508D9">
        <w:rPr>
          <w:lang w:eastAsia="ja-JP"/>
        </w:rPr>
        <w:t>ranibizumab</w:t>
      </w:r>
      <w:proofErr w:type="spellEnd"/>
      <w:r w:rsidRPr="008508D9">
        <w:rPr>
          <w:lang w:eastAsia="ja-JP"/>
        </w:rPr>
        <w:t xml:space="preserve"> </w:t>
      </w:r>
      <w:r>
        <w:rPr>
          <w:lang w:eastAsia="ja-JP"/>
        </w:rPr>
        <w:t xml:space="preserve">0.1 mg group had </w:t>
      </w:r>
      <w:proofErr w:type="spellStart"/>
      <w:r>
        <w:rPr>
          <w:lang w:eastAsia="ja-JP"/>
        </w:rPr>
        <w:t>endophthalmitis</w:t>
      </w:r>
      <w:proofErr w:type="spellEnd"/>
      <w:r>
        <w:rPr>
          <w:lang w:eastAsia="ja-JP"/>
        </w:rPr>
        <w:t xml:space="preserve"> </w:t>
      </w:r>
      <w:proofErr w:type="gramStart"/>
      <w:r>
        <w:rPr>
          <w:lang w:eastAsia="ja-JP"/>
        </w:rPr>
        <w:t>suspected to be related</w:t>
      </w:r>
      <w:proofErr w:type="gramEnd"/>
      <w:r>
        <w:rPr>
          <w:lang w:eastAsia="ja-JP"/>
        </w:rPr>
        <w:t xml:space="preserve"> to study treatment</w:t>
      </w:r>
      <w:r w:rsidR="00BF494A">
        <w:rPr>
          <w:lang w:eastAsia="ja-JP"/>
        </w:rPr>
        <w:t>.</w:t>
      </w:r>
    </w:p>
    <w:p w14:paraId="2790D063" w14:textId="77777777" w:rsidR="007E34FB" w:rsidRPr="0084649D" w:rsidRDefault="007E34FB" w:rsidP="007E34FB">
      <w:pPr>
        <w:spacing w:line="240" w:lineRule="auto"/>
        <w:rPr>
          <w:rFonts w:asciiTheme="minorHAnsi" w:hAnsiTheme="minorHAnsi"/>
        </w:rPr>
      </w:pPr>
      <w:r w:rsidRPr="005D23AE">
        <w:rPr>
          <w:lang w:eastAsia="ja-JP"/>
        </w:rPr>
        <w:t xml:space="preserve">There were generally no major differences in the non-ocular AE profile between the treatment groups. </w:t>
      </w:r>
      <w:r w:rsidRPr="0084649D">
        <w:rPr>
          <w:rFonts w:asciiTheme="minorHAnsi" w:hAnsiTheme="minorHAnsi"/>
        </w:rPr>
        <w:t xml:space="preserve">The non-ocular events (respiratory events and infections) </w:t>
      </w:r>
      <w:proofErr w:type="gramStart"/>
      <w:r w:rsidRPr="0084649D">
        <w:rPr>
          <w:rFonts w:asciiTheme="minorHAnsi" w:hAnsiTheme="minorHAnsi"/>
        </w:rPr>
        <w:t>were mainly related</w:t>
      </w:r>
      <w:proofErr w:type="gramEnd"/>
      <w:r w:rsidRPr="0084649D">
        <w:rPr>
          <w:rFonts w:asciiTheme="minorHAnsi" w:hAnsiTheme="minorHAnsi"/>
        </w:rPr>
        <w:t xml:space="preserve"> to the comorbidity of the population and medical history</w:t>
      </w:r>
      <w:r>
        <w:rPr>
          <w:rFonts w:asciiTheme="minorHAnsi" w:hAnsiTheme="minorHAnsi"/>
        </w:rPr>
        <w:t>. N</w:t>
      </w:r>
      <w:r w:rsidRPr="0084649D">
        <w:rPr>
          <w:rFonts w:asciiTheme="minorHAnsi" w:hAnsiTheme="minorHAnsi"/>
        </w:rPr>
        <w:t xml:space="preserve">o clinically relevant difference compared to laser </w:t>
      </w:r>
      <w:proofErr w:type="gramStart"/>
      <w:r w:rsidRPr="0084649D">
        <w:rPr>
          <w:rFonts w:asciiTheme="minorHAnsi" w:hAnsiTheme="minorHAnsi"/>
        </w:rPr>
        <w:t>was observed</w:t>
      </w:r>
      <w:proofErr w:type="gramEnd"/>
      <w:r w:rsidRPr="0084649D">
        <w:rPr>
          <w:rFonts w:asciiTheme="minorHAnsi" w:hAnsiTheme="minorHAnsi"/>
        </w:rPr>
        <w:t>.</w:t>
      </w:r>
    </w:p>
    <w:p w14:paraId="79972640" w14:textId="77777777" w:rsidR="007E34FB" w:rsidRDefault="007E34FB" w:rsidP="007E34FB">
      <w:pPr>
        <w:rPr>
          <w:lang w:eastAsia="ja-JP"/>
        </w:rPr>
      </w:pPr>
      <w:r>
        <w:rPr>
          <w:lang w:eastAsia="ja-JP"/>
        </w:rPr>
        <w:t>Severe non-ocular AEs reported for 20.2% patients.</w:t>
      </w:r>
    </w:p>
    <w:p w14:paraId="36A35F9C" w14:textId="77777777" w:rsidR="00BF494A" w:rsidRDefault="007E34FB" w:rsidP="007E34FB">
      <w:pPr>
        <w:rPr>
          <w:lang w:eastAsia="ja-JP"/>
        </w:rPr>
      </w:pPr>
      <w:r w:rsidRPr="004C2F80">
        <w:rPr>
          <w:lang w:eastAsia="ja-JP"/>
        </w:rPr>
        <w:t xml:space="preserve">There were 12 deaths in the study, 4 subjects in each group. One death in the </w:t>
      </w:r>
      <w:proofErr w:type="spellStart"/>
      <w:r>
        <w:rPr>
          <w:lang w:eastAsia="ja-JP"/>
        </w:rPr>
        <w:t>ranibizumab</w:t>
      </w:r>
      <w:proofErr w:type="spellEnd"/>
      <w:r>
        <w:rPr>
          <w:lang w:eastAsia="ja-JP"/>
        </w:rPr>
        <w:t xml:space="preserve"> </w:t>
      </w:r>
      <w:r w:rsidRPr="004C2F80">
        <w:rPr>
          <w:lang w:eastAsia="ja-JP"/>
        </w:rPr>
        <w:t>0</w:t>
      </w:r>
      <w:r>
        <w:rPr>
          <w:lang w:eastAsia="ja-JP"/>
        </w:rPr>
        <w:t xml:space="preserve">.1 mg group due to respiratory </w:t>
      </w:r>
      <w:r w:rsidRPr="004C2F80">
        <w:rPr>
          <w:lang w:eastAsia="ja-JP"/>
        </w:rPr>
        <w:t xml:space="preserve">failure </w:t>
      </w:r>
      <w:proofErr w:type="gramStart"/>
      <w:r w:rsidRPr="004C2F80">
        <w:rPr>
          <w:lang w:eastAsia="ja-JP"/>
        </w:rPr>
        <w:t>was suspected to be related</w:t>
      </w:r>
      <w:proofErr w:type="gramEnd"/>
      <w:r w:rsidRPr="004C2F80">
        <w:rPr>
          <w:lang w:eastAsia="ja-JP"/>
        </w:rPr>
        <w:t xml:space="preserve"> to study medication</w:t>
      </w:r>
      <w:r w:rsidR="00BF494A">
        <w:rPr>
          <w:lang w:eastAsia="ja-JP"/>
        </w:rPr>
        <w:t>.</w:t>
      </w:r>
    </w:p>
    <w:p w14:paraId="3497AEFA" w14:textId="330582EE" w:rsidR="00456765" w:rsidRPr="002730F7" w:rsidRDefault="00932696" w:rsidP="00456765">
      <w:pPr>
        <w:rPr>
          <w:rFonts w:cs="Arial"/>
        </w:rPr>
      </w:pPr>
      <w:r>
        <w:rPr>
          <w:rFonts w:cs="Arial"/>
        </w:rPr>
        <w:t>The i</w:t>
      </w:r>
      <w:r w:rsidR="007E34FB">
        <w:rPr>
          <w:rFonts w:cs="Arial"/>
        </w:rPr>
        <w:t>nterim analysis of available safety data up to 40 weeks from the first treatment identified no new safety concerns</w:t>
      </w:r>
      <w:r w:rsidR="002730F7">
        <w:rPr>
          <w:rFonts w:cs="Arial"/>
        </w:rPr>
        <w:t>.</w:t>
      </w:r>
    </w:p>
    <w:p w14:paraId="3A20755A" w14:textId="77777777" w:rsidR="008E7846" w:rsidRDefault="00386150" w:rsidP="007B6132">
      <w:pPr>
        <w:pStyle w:val="Heading3"/>
        <w:rPr>
          <w:lang w:eastAsia="en-AU"/>
        </w:rPr>
      </w:pPr>
      <w:bookmarkStart w:id="49" w:name="_Toc50054486"/>
      <w:r>
        <w:rPr>
          <w:lang w:eastAsia="en-AU"/>
        </w:rPr>
        <w:t>Risk m</w:t>
      </w:r>
      <w:r w:rsidR="008E7846">
        <w:rPr>
          <w:lang w:eastAsia="en-AU"/>
        </w:rPr>
        <w:t xml:space="preserve">anagement </w:t>
      </w:r>
      <w:r>
        <w:rPr>
          <w:lang w:eastAsia="en-AU"/>
        </w:rPr>
        <w:t>p</w:t>
      </w:r>
      <w:r w:rsidR="008E7846">
        <w:rPr>
          <w:lang w:eastAsia="en-AU"/>
        </w:rPr>
        <w:t>lan</w:t>
      </w:r>
      <w:bookmarkEnd w:id="41"/>
      <w:bookmarkEnd w:id="49"/>
    </w:p>
    <w:p w14:paraId="0A42D0F2" w14:textId="4D4FF7E0" w:rsidR="001667BC" w:rsidRPr="001667BC" w:rsidRDefault="001667BC" w:rsidP="001667BC">
      <w:r w:rsidRPr="001667BC">
        <w:t>The most recently evaluated EU-</w:t>
      </w:r>
      <w:r>
        <w:t>risk management plan (</w:t>
      </w:r>
      <w:r w:rsidRPr="001667BC">
        <w:t>RMP</w:t>
      </w:r>
      <w:r>
        <w:t>)</w:t>
      </w:r>
      <w:r w:rsidRPr="001667BC">
        <w:t xml:space="preserve"> was version 12.1 (14</w:t>
      </w:r>
      <w:r w:rsidR="0029257A">
        <w:t> </w:t>
      </w:r>
      <w:r w:rsidRPr="001667BC">
        <w:t>Aug</w:t>
      </w:r>
      <w:r>
        <w:t>ust</w:t>
      </w:r>
      <w:r w:rsidRPr="001667BC">
        <w:t xml:space="preserve"> 2013, </w:t>
      </w:r>
      <w:r>
        <w:t>data lock point (</w:t>
      </w:r>
      <w:r w:rsidRPr="001667BC">
        <w:t>DLP</w:t>
      </w:r>
      <w:r>
        <w:t>)</w:t>
      </w:r>
      <w:r w:rsidRPr="001667BC">
        <w:t xml:space="preserve"> not specified) and </w:t>
      </w:r>
      <w:r w:rsidR="004A4609">
        <w:t>Australian s</w:t>
      </w:r>
      <w:r>
        <w:t>pecific Annex (</w:t>
      </w:r>
      <w:r w:rsidRPr="001667BC">
        <w:t>ASA</w:t>
      </w:r>
      <w:r>
        <w:t>)</w:t>
      </w:r>
      <w:r w:rsidRPr="001667BC">
        <w:t xml:space="preserve"> version 2.0 (20 Dec</w:t>
      </w:r>
      <w:r>
        <w:t>ember</w:t>
      </w:r>
      <w:r w:rsidRPr="001667BC">
        <w:t xml:space="preserve"> 2013). A RMP update including EU-RMP version 17.2 (15</w:t>
      </w:r>
      <w:r w:rsidR="0029257A">
        <w:t> </w:t>
      </w:r>
      <w:r w:rsidRPr="001667BC">
        <w:t>Jun</w:t>
      </w:r>
      <w:r>
        <w:t>e</w:t>
      </w:r>
      <w:r w:rsidR="0029257A">
        <w:t> </w:t>
      </w:r>
      <w:r w:rsidRPr="001667BC">
        <w:t>2018; DLP clinical trial data 30 Jun</w:t>
      </w:r>
      <w:r>
        <w:t>e</w:t>
      </w:r>
      <w:r w:rsidRPr="001667BC">
        <w:t xml:space="preserve"> 2017; DLP post marketing data 5</w:t>
      </w:r>
      <w:r w:rsidR="0029257A">
        <w:t> </w:t>
      </w:r>
      <w:r w:rsidRPr="001667BC">
        <w:t>Oct</w:t>
      </w:r>
      <w:r>
        <w:t>ober</w:t>
      </w:r>
      <w:r w:rsidR="0029257A">
        <w:t> </w:t>
      </w:r>
      <w:r w:rsidRPr="001667BC">
        <w:t>2016) and ASA version 6.0 (17 Aug</w:t>
      </w:r>
      <w:r>
        <w:t>ust</w:t>
      </w:r>
      <w:r w:rsidRPr="001667BC">
        <w:t xml:space="preserve"> 2018) has also been reviewed by the TGA. In support of the extended indications, the sponsor has submitted EU-RMP version 18.0 (21 Sep</w:t>
      </w:r>
      <w:r>
        <w:t>tember</w:t>
      </w:r>
      <w:r w:rsidRPr="001667BC">
        <w:t xml:space="preserve"> 2018; DLP for clinical trial data 24 Jan</w:t>
      </w:r>
      <w:r>
        <w:t>uary</w:t>
      </w:r>
      <w:r w:rsidRPr="001667BC">
        <w:t xml:space="preserve"> 2018; DLP for post marketing data 31 May 2018) and ASA version 7.0 (12 Nov</w:t>
      </w:r>
      <w:r>
        <w:t>ember 2018).</w:t>
      </w:r>
    </w:p>
    <w:p w14:paraId="40567FD3" w14:textId="77777777" w:rsidR="001667BC" w:rsidRDefault="001667BC" w:rsidP="001667BC">
      <w:r w:rsidRPr="001667BC">
        <w:lastRenderedPageBreak/>
        <w:t>The sponsor has submitted EU-RMP version 18.2 (17 Jun</w:t>
      </w:r>
      <w:r>
        <w:t>e</w:t>
      </w:r>
      <w:r w:rsidRPr="001667BC">
        <w:t xml:space="preserve"> 2019; DLP for clinical trial data 24 Jan</w:t>
      </w:r>
      <w:r>
        <w:t>uary</w:t>
      </w:r>
      <w:r w:rsidRPr="001667BC">
        <w:t xml:space="preserve"> 2018; DLP for post marketing data 31 May 2018) and ASA version 9.0 (11 July 2019) at the second round of evaluation.</w:t>
      </w:r>
    </w:p>
    <w:p w14:paraId="51728610" w14:textId="45DD0E8E" w:rsidR="008E2167" w:rsidRDefault="008E2167" w:rsidP="001667BC">
      <w:pPr>
        <w:rPr>
          <w:lang w:eastAsia="en-AU"/>
        </w:rPr>
      </w:pPr>
      <w:r w:rsidRPr="001667BC">
        <w:t>The summary of safety concerns and their associated risk monitoring and mitigation strat</w:t>
      </w:r>
      <w:r w:rsidR="001667BC" w:rsidRPr="001667BC">
        <w:t xml:space="preserve">egies are summarised in </w:t>
      </w:r>
      <w:r w:rsidR="003438D4">
        <w:fldChar w:fldCharType="begin"/>
      </w:r>
      <w:r w:rsidR="003438D4">
        <w:instrText xml:space="preserve"> REF _Ref44336692 \h </w:instrText>
      </w:r>
      <w:r w:rsidR="003438D4">
        <w:fldChar w:fldCharType="separate"/>
      </w:r>
      <w:r w:rsidR="00EA746F">
        <w:t xml:space="preserve">Table </w:t>
      </w:r>
      <w:r w:rsidR="00EA746F">
        <w:rPr>
          <w:noProof/>
        </w:rPr>
        <w:t>3</w:t>
      </w:r>
      <w:r w:rsidR="003438D4">
        <w:fldChar w:fldCharType="end"/>
      </w:r>
      <w:r w:rsidRPr="008E2167">
        <w:t>.</w:t>
      </w:r>
      <w:r w:rsidRPr="003438D4">
        <w:rPr>
          <w:rStyle w:val="FootnoteReference"/>
          <w:lang w:eastAsia="en-AU"/>
        </w:rPr>
        <w:footnoteReference w:id="18"/>
      </w:r>
    </w:p>
    <w:p w14:paraId="318DE76F" w14:textId="0F7214BF" w:rsidR="001667BC" w:rsidRPr="001667BC" w:rsidRDefault="001667BC" w:rsidP="001667BC">
      <w:pPr>
        <w:pStyle w:val="TableTitle"/>
      </w:pPr>
      <w:bookmarkStart w:id="50" w:name="_Ref44336692"/>
      <w:bookmarkStart w:id="51" w:name="_Ref44336686"/>
      <w:r>
        <w:t xml:space="preserve">Table </w:t>
      </w:r>
      <w:r w:rsidR="004616F9">
        <w:fldChar w:fldCharType="begin"/>
      </w:r>
      <w:r w:rsidR="004616F9">
        <w:instrText xml:space="preserve"> SEQ Table \* ARABIC </w:instrText>
      </w:r>
      <w:r w:rsidR="004616F9">
        <w:fldChar w:fldCharType="separate"/>
      </w:r>
      <w:r w:rsidR="00EA746F">
        <w:rPr>
          <w:noProof/>
        </w:rPr>
        <w:t>3</w:t>
      </w:r>
      <w:r w:rsidR="004616F9">
        <w:rPr>
          <w:noProof/>
        </w:rPr>
        <w:fldChar w:fldCharType="end"/>
      </w:r>
      <w:bookmarkEnd w:id="50"/>
      <w:r>
        <w:t>: Summary of safety concerns</w:t>
      </w:r>
      <w:bookmarkEnd w:id="51"/>
    </w:p>
    <w:tbl>
      <w:tblPr>
        <w:tblStyle w:val="TableTGAblue"/>
        <w:tblW w:w="0" w:type="auto"/>
        <w:tblLook w:val="04A0" w:firstRow="1" w:lastRow="0" w:firstColumn="1" w:lastColumn="0" w:noHBand="0" w:noVBand="1"/>
      </w:tblPr>
      <w:tblGrid>
        <w:gridCol w:w="1328"/>
        <w:gridCol w:w="3062"/>
        <w:gridCol w:w="908"/>
        <w:gridCol w:w="1139"/>
        <w:gridCol w:w="908"/>
        <w:gridCol w:w="1139"/>
      </w:tblGrid>
      <w:tr w:rsidR="001667BC" w:rsidRPr="001667BC" w14:paraId="3A0BB169" w14:textId="77777777" w:rsidTr="004616F9">
        <w:trPr>
          <w:cnfStyle w:val="100000000000" w:firstRow="1" w:lastRow="0" w:firstColumn="0" w:lastColumn="0" w:oddVBand="0" w:evenVBand="0" w:oddHBand="0" w:evenHBand="0" w:firstRowFirstColumn="0" w:firstRowLastColumn="0" w:lastRowFirstColumn="0" w:lastRowLastColumn="0"/>
          <w:trHeight w:val="131"/>
        </w:trPr>
        <w:tc>
          <w:tcPr>
            <w:tcW w:w="0" w:type="auto"/>
            <w:gridSpan w:val="2"/>
            <w:vMerge w:val="restart"/>
          </w:tcPr>
          <w:p w14:paraId="2BF45C13" w14:textId="77777777" w:rsidR="001667BC" w:rsidRPr="001667BC" w:rsidRDefault="001667BC" w:rsidP="001667BC">
            <w:pPr>
              <w:ind w:left="0" w:right="0"/>
              <w:rPr>
                <w:b w:val="0"/>
                <w:sz w:val="19"/>
                <w:szCs w:val="19"/>
              </w:rPr>
            </w:pPr>
            <w:r w:rsidRPr="001667BC">
              <w:rPr>
                <w:sz w:val="19"/>
                <w:szCs w:val="19"/>
              </w:rPr>
              <w:t>Summary of safety concerns</w:t>
            </w:r>
          </w:p>
        </w:tc>
        <w:tc>
          <w:tcPr>
            <w:tcW w:w="0" w:type="auto"/>
            <w:gridSpan w:val="2"/>
            <w:tcBorders>
              <w:bottom w:val="single" w:sz="4" w:space="0" w:color="FFFFFF" w:themeColor="background1"/>
            </w:tcBorders>
          </w:tcPr>
          <w:p w14:paraId="587D1B12" w14:textId="77777777" w:rsidR="001667BC" w:rsidRPr="001667BC" w:rsidRDefault="001667BC" w:rsidP="001667BC">
            <w:pPr>
              <w:ind w:left="0" w:right="0"/>
              <w:rPr>
                <w:b w:val="0"/>
                <w:sz w:val="19"/>
                <w:szCs w:val="19"/>
              </w:rPr>
            </w:pPr>
            <w:r w:rsidRPr="001667BC">
              <w:rPr>
                <w:sz w:val="19"/>
                <w:szCs w:val="19"/>
              </w:rPr>
              <w:t>Pharmacovigilance</w:t>
            </w:r>
          </w:p>
        </w:tc>
        <w:tc>
          <w:tcPr>
            <w:tcW w:w="0" w:type="auto"/>
            <w:gridSpan w:val="2"/>
            <w:tcBorders>
              <w:bottom w:val="single" w:sz="4" w:space="0" w:color="FFFFFF" w:themeColor="background1"/>
            </w:tcBorders>
          </w:tcPr>
          <w:p w14:paraId="52845708" w14:textId="175DB669" w:rsidR="001667BC" w:rsidRPr="001667BC" w:rsidRDefault="003438D4" w:rsidP="001667BC">
            <w:pPr>
              <w:ind w:left="0" w:right="0"/>
              <w:rPr>
                <w:b w:val="0"/>
                <w:sz w:val="19"/>
                <w:szCs w:val="19"/>
              </w:rPr>
            </w:pPr>
            <w:r>
              <w:rPr>
                <w:sz w:val="19"/>
                <w:szCs w:val="19"/>
              </w:rPr>
              <w:t>Risk m</w:t>
            </w:r>
            <w:r w:rsidR="001667BC" w:rsidRPr="001667BC">
              <w:rPr>
                <w:sz w:val="19"/>
                <w:szCs w:val="19"/>
              </w:rPr>
              <w:t>inimisation</w:t>
            </w:r>
          </w:p>
        </w:tc>
      </w:tr>
      <w:tr w:rsidR="001667BC" w:rsidRPr="001667BC" w14:paraId="23D357FE" w14:textId="77777777" w:rsidTr="004616F9">
        <w:trPr>
          <w:trHeight w:val="150"/>
        </w:trPr>
        <w:tc>
          <w:tcPr>
            <w:tcW w:w="0" w:type="auto"/>
            <w:gridSpan w:val="2"/>
            <w:vMerge/>
            <w:tcBorders>
              <w:right w:val="single" w:sz="4" w:space="0" w:color="FFFFFF" w:themeColor="background1"/>
            </w:tcBorders>
          </w:tcPr>
          <w:p w14:paraId="6DA1EB60" w14:textId="77777777" w:rsidR="001667BC" w:rsidRPr="001667BC" w:rsidRDefault="001667BC" w:rsidP="001667BC">
            <w:pPr>
              <w:ind w:left="0" w:right="0"/>
              <w:rPr>
                <w:sz w:val="19"/>
                <w:szCs w:val="19"/>
              </w:rPr>
            </w:pPr>
          </w:p>
        </w:tc>
        <w:tc>
          <w:tcPr>
            <w:tcW w:w="0" w:type="auto"/>
            <w:tcBorders>
              <w:top w:val="single" w:sz="4" w:space="0" w:color="FFFFFF" w:themeColor="background1"/>
              <w:left w:val="single" w:sz="4" w:space="0" w:color="FFFFFF" w:themeColor="background1"/>
              <w:right w:val="single" w:sz="4" w:space="0" w:color="FFFFFF" w:themeColor="background1"/>
            </w:tcBorders>
            <w:shd w:val="clear" w:color="auto" w:fill="006DA7"/>
          </w:tcPr>
          <w:p w14:paraId="77CFA0BB" w14:textId="77777777" w:rsidR="001667BC" w:rsidRPr="004616F9" w:rsidRDefault="001667BC" w:rsidP="001667BC">
            <w:pPr>
              <w:ind w:left="0" w:right="0"/>
              <w:rPr>
                <w:b/>
                <w:color w:val="FFFFFF" w:themeColor="background1"/>
                <w:sz w:val="19"/>
                <w:szCs w:val="19"/>
              </w:rPr>
            </w:pPr>
            <w:r w:rsidRPr="004616F9">
              <w:rPr>
                <w:b/>
                <w:color w:val="FFFFFF" w:themeColor="background1"/>
                <w:sz w:val="19"/>
                <w:szCs w:val="19"/>
              </w:rPr>
              <w:t>Routine</w:t>
            </w:r>
          </w:p>
        </w:tc>
        <w:tc>
          <w:tcPr>
            <w:tcW w:w="0" w:type="auto"/>
            <w:tcBorders>
              <w:top w:val="single" w:sz="4" w:space="0" w:color="FFFFFF" w:themeColor="background1"/>
              <w:left w:val="single" w:sz="4" w:space="0" w:color="FFFFFF" w:themeColor="background1"/>
              <w:right w:val="single" w:sz="4" w:space="0" w:color="FFFFFF" w:themeColor="background1"/>
            </w:tcBorders>
            <w:shd w:val="clear" w:color="auto" w:fill="006DA7"/>
          </w:tcPr>
          <w:p w14:paraId="735624A2" w14:textId="77777777" w:rsidR="001667BC" w:rsidRPr="004616F9" w:rsidRDefault="001667BC" w:rsidP="001667BC">
            <w:pPr>
              <w:ind w:left="0" w:right="0"/>
              <w:rPr>
                <w:b/>
                <w:color w:val="FFFFFF" w:themeColor="background1"/>
                <w:sz w:val="19"/>
                <w:szCs w:val="19"/>
              </w:rPr>
            </w:pPr>
            <w:r w:rsidRPr="004616F9">
              <w:rPr>
                <w:b/>
                <w:color w:val="FFFFFF" w:themeColor="background1"/>
                <w:sz w:val="19"/>
                <w:szCs w:val="19"/>
              </w:rPr>
              <w:t>Additional</w:t>
            </w:r>
          </w:p>
        </w:tc>
        <w:tc>
          <w:tcPr>
            <w:tcW w:w="0" w:type="auto"/>
            <w:tcBorders>
              <w:top w:val="single" w:sz="4" w:space="0" w:color="FFFFFF" w:themeColor="background1"/>
              <w:left w:val="single" w:sz="4" w:space="0" w:color="FFFFFF" w:themeColor="background1"/>
              <w:right w:val="single" w:sz="4" w:space="0" w:color="FFFFFF" w:themeColor="background1"/>
            </w:tcBorders>
            <w:shd w:val="clear" w:color="auto" w:fill="006DA7"/>
          </w:tcPr>
          <w:p w14:paraId="4AC8610C" w14:textId="77777777" w:rsidR="001667BC" w:rsidRPr="004616F9" w:rsidRDefault="001667BC" w:rsidP="001667BC">
            <w:pPr>
              <w:ind w:left="0" w:right="0"/>
              <w:rPr>
                <w:b/>
                <w:color w:val="FFFFFF" w:themeColor="background1"/>
                <w:sz w:val="19"/>
                <w:szCs w:val="19"/>
              </w:rPr>
            </w:pPr>
            <w:r w:rsidRPr="004616F9">
              <w:rPr>
                <w:b/>
                <w:color w:val="FFFFFF" w:themeColor="background1"/>
                <w:sz w:val="19"/>
                <w:szCs w:val="19"/>
              </w:rPr>
              <w:t>Routine</w:t>
            </w:r>
          </w:p>
        </w:tc>
        <w:tc>
          <w:tcPr>
            <w:tcW w:w="0" w:type="auto"/>
            <w:tcBorders>
              <w:top w:val="single" w:sz="4" w:space="0" w:color="FFFFFF" w:themeColor="background1"/>
              <w:left w:val="single" w:sz="4" w:space="0" w:color="FFFFFF" w:themeColor="background1"/>
            </w:tcBorders>
            <w:shd w:val="clear" w:color="auto" w:fill="006DA7"/>
          </w:tcPr>
          <w:p w14:paraId="043FEF7E" w14:textId="77777777" w:rsidR="001667BC" w:rsidRPr="004616F9" w:rsidRDefault="001667BC" w:rsidP="001667BC">
            <w:pPr>
              <w:ind w:left="0" w:right="0"/>
              <w:rPr>
                <w:b/>
                <w:color w:val="FFFFFF" w:themeColor="background1"/>
                <w:sz w:val="19"/>
                <w:szCs w:val="19"/>
              </w:rPr>
            </w:pPr>
            <w:r w:rsidRPr="004616F9">
              <w:rPr>
                <w:b/>
                <w:color w:val="FFFFFF" w:themeColor="background1"/>
                <w:sz w:val="19"/>
                <w:szCs w:val="19"/>
              </w:rPr>
              <w:t>Additional</w:t>
            </w:r>
          </w:p>
        </w:tc>
      </w:tr>
      <w:tr w:rsidR="00C9270E" w:rsidRPr="001667BC" w14:paraId="472CC637" w14:textId="77777777" w:rsidTr="001667BC">
        <w:trPr>
          <w:trHeight w:val="137"/>
        </w:trPr>
        <w:tc>
          <w:tcPr>
            <w:tcW w:w="0" w:type="auto"/>
            <w:vMerge w:val="restart"/>
          </w:tcPr>
          <w:p w14:paraId="7DE36CFB" w14:textId="77777777" w:rsidR="001667BC" w:rsidRPr="001667BC" w:rsidRDefault="001667BC" w:rsidP="001667BC">
            <w:pPr>
              <w:ind w:left="0" w:right="0"/>
              <w:rPr>
                <w:sz w:val="19"/>
                <w:szCs w:val="19"/>
              </w:rPr>
            </w:pPr>
            <w:r w:rsidRPr="001667BC">
              <w:rPr>
                <w:sz w:val="19"/>
                <w:szCs w:val="19"/>
              </w:rPr>
              <w:t>Important identified risks</w:t>
            </w:r>
          </w:p>
        </w:tc>
        <w:tc>
          <w:tcPr>
            <w:tcW w:w="0" w:type="auto"/>
          </w:tcPr>
          <w:p w14:paraId="18D8E4DA" w14:textId="77777777" w:rsidR="001667BC" w:rsidRPr="001667BC" w:rsidRDefault="001667BC" w:rsidP="001667BC">
            <w:pPr>
              <w:ind w:left="0" w:right="0"/>
              <w:rPr>
                <w:sz w:val="19"/>
                <w:szCs w:val="19"/>
              </w:rPr>
            </w:pPr>
            <w:r w:rsidRPr="001667BC">
              <w:rPr>
                <w:sz w:val="19"/>
                <w:szCs w:val="19"/>
              </w:rPr>
              <w:t xml:space="preserve">Infectious </w:t>
            </w:r>
            <w:proofErr w:type="spellStart"/>
            <w:r w:rsidRPr="001667BC">
              <w:rPr>
                <w:sz w:val="19"/>
                <w:szCs w:val="19"/>
              </w:rPr>
              <w:t>endophthalmitis</w:t>
            </w:r>
            <w:proofErr w:type="spellEnd"/>
          </w:p>
        </w:tc>
        <w:tc>
          <w:tcPr>
            <w:tcW w:w="0" w:type="auto"/>
          </w:tcPr>
          <w:p w14:paraId="53D048D9" w14:textId="77777777" w:rsidR="001667BC" w:rsidRPr="001667BC" w:rsidRDefault="001667BC" w:rsidP="001667BC">
            <w:pPr>
              <w:ind w:left="0" w:right="0"/>
              <w:rPr>
                <w:sz w:val="19"/>
                <w:szCs w:val="19"/>
              </w:rPr>
            </w:pPr>
            <w:r w:rsidRPr="001667BC">
              <w:rPr>
                <w:sz w:val="19"/>
                <w:szCs w:val="19"/>
              </w:rPr>
              <w:sym w:font="Wingdings" w:char="F0FC"/>
            </w:r>
            <w:r w:rsidRPr="001667BC">
              <w:rPr>
                <w:rFonts w:asciiTheme="majorHAnsi" w:hAnsiTheme="majorHAnsi"/>
                <w:sz w:val="19"/>
                <w:szCs w:val="19"/>
                <w:vertAlign w:val="superscript"/>
              </w:rPr>
              <w:t>†</w:t>
            </w:r>
          </w:p>
        </w:tc>
        <w:tc>
          <w:tcPr>
            <w:tcW w:w="0" w:type="auto"/>
          </w:tcPr>
          <w:p w14:paraId="78879BDF" w14:textId="77777777" w:rsidR="001667BC" w:rsidRPr="001667BC" w:rsidRDefault="001667BC" w:rsidP="001667BC">
            <w:pPr>
              <w:ind w:left="0" w:right="0"/>
              <w:rPr>
                <w:sz w:val="19"/>
                <w:szCs w:val="19"/>
              </w:rPr>
            </w:pPr>
            <w:r w:rsidRPr="001667BC">
              <w:rPr>
                <w:sz w:val="19"/>
                <w:szCs w:val="19"/>
              </w:rPr>
              <w:t>–</w:t>
            </w:r>
          </w:p>
        </w:tc>
        <w:tc>
          <w:tcPr>
            <w:tcW w:w="0" w:type="auto"/>
          </w:tcPr>
          <w:p w14:paraId="0573C190"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44D5550E" w14:textId="77777777" w:rsidR="001667BC" w:rsidRPr="001667BC" w:rsidRDefault="001667BC" w:rsidP="001667BC">
            <w:pPr>
              <w:ind w:left="0" w:right="0"/>
              <w:rPr>
                <w:sz w:val="19"/>
                <w:szCs w:val="19"/>
              </w:rPr>
            </w:pPr>
            <w:r w:rsidRPr="001667BC">
              <w:rPr>
                <w:sz w:val="19"/>
                <w:szCs w:val="19"/>
              </w:rPr>
              <w:sym w:font="Wingdings" w:char="F0FC"/>
            </w:r>
            <w:r w:rsidRPr="001667BC">
              <w:rPr>
                <w:sz w:val="19"/>
                <w:szCs w:val="19"/>
              </w:rPr>
              <w:t>*</w:t>
            </w:r>
          </w:p>
        </w:tc>
      </w:tr>
      <w:tr w:rsidR="00C9270E" w:rsidRPr="001667BC" w14:paraId="494F15EB" w14:textId="77777777" w:rsidTr="001667BC">
        <w:trPr>
          <w:trHeight w:val="94"/>
        </w:trPr>
        <w:tc>
          <w:tcPr>
            <w:tcW w:w="0" w:type="auto"/>
            <w:vMerge/>
          </w:tcPr>
          <w:p w14:paraId="1BBCF470" w14:textId="77777777" w:rsidR="001667BC" w:rsidRPr="001667BC" w:rsidRDefault="001667BC" w:rsidP="001667BC">
            <w:pPr>
              <w:ind w:left="0" w:right="0"/>
              <w:rPr>
                <w:sz w:val="19"/>
                <w:szCs w:val="19"/>
              </w:rPr>
            </w:pPr>
          </w:p>
        </w:tc>
        <w:tc>
          <w:tcPr>
            <w:tcW w:w="0" w:type="auto"/>
          </w:tcPr>
          <w:p w14:paraId="3AFA38F7" w14:textId="77777777" w:rsidR="001667BC" w:rsidRPr="001667BC" w:rsidRDefault="001667BC" w:rsidP="001667BC">
            <w:pPr>
              <w:ind w:left="0" w:right="0"/>
              <w:rPr>
                <w:sz w:val="19"/>
                <w:szCs w:val="19"/>
              </w:rPr>
            </w:pPr>
            <w:r w:rsidRPr="001667BC">
              <w:rPr>
                <w:sz w:val="19"/>
                <w:szCs w:val="19"/>
              </w:rPr>
              <w:t>Retinal detachment and retinal tear</w:t>
            </w:r>
          </w:p>
        </w:tc>
        <w:tc>
          <w:tcPr>
            <w:tcW w:w="0" w:type="auto"/>
          </w:tcPr>
          <w:p w14:paraId="2C683220"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3457B9A9" w14:textId="77777777" w:rsidR="001667BC" w:rsidRPr="001667BC" w:rsidRDefault="001667BC" w:rsidP="001667BC">
            <w:pPr>
              <w:ind w:left="0" w:right="0"/>
              <w:rPr>
                <w:sz w:val="19"/>
                <w:szCs w:val="19"/>
              </w:rPr>
            </w:pPr>
            <w:r w:rsidRPr="001667BC">
              <w:rPr>
                <w:sz w:val="19"/>
                <w:szCs w:val="19"/>
              </w:rPr>
              <w:t>–</w:t>
            </w:r>
          </w:p>
        </w:tc>
        <w:tc>
          <w:tcPr>
            <w:tcW w:w="0" w:type="auto"/>
          </w:tcPr>
          <w:p w14:paraId="247A5F8A"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05AFEE21" w14:textId="77777777" w:rsidR="001667BC" w:rsidRPr="001667BC" w:rsidRDefault="001667BC" w:rsidP="001667BC">
            <w:pPr>
              <w:ind w:left="0" w:right="0"/>
              <w:rPr>
                <w:sz w:val="19"/>
                <w:szCs w:val="19"/>
              </w:rPr>
            </w:pPr>
            <w:r w:rsidRPr="001667BC">
              <w:rPr>
                <w:sz w:val="19"/>
                <w:szCs w:val="19"/>
              </w:rPr>
              <w:sym w:font="Wingdings" w:char="F0FC"/>
            </w:r>
            <w:r w:rsidRPr="001667BC">
              <w:rPr>
                <w:sz w:val="19"/>
                <w:szCs w:val="19"/>
              </w:rPr>
              <w:t>*</w:t>
            </w:r>
          </w:p>
        </w:tc>
      </w:tr>
      <w:tr w:rsidR="00C9270E" w:rsidRPr="001667BC" w14:paraId="6580023A" w14:textId="77777777" w:rsidTr="001667BC">
        <w:trPr>
          <w:trHeight w:val="187"/>
        </w:trPr>
        <w:tc>
          <w:tcPr>
            <w:tcW w:w="0" w:type="auto"/>
            <w:vMerge/>
          </w:tcPr>
          <w:p w14:paraId="7A08BF78" w14:textId="77777777" w:rsidR="001667BC" w:rsidRPr="001667BC" w:rsidRDefault="001667BC" w:rsidP="001667BC">
            <w:pPr>
              <w:ind w:left="0" w:right="0"/>
              <w:rPr>
                <w:sz w:val="19"/>
                <w:szCs w:val="19"/>
              </w:rPr>
            </w:pPr>
          </w:p>
        </w:tc>
        <w:tc>
          <w:tcPr>
            <w:tcW w:w="0" w:type="auto"/>
          </w:tcPr>
          <w:p w14:paraId="3CA65C66" w14:textId="77777777" w:rsidR="001667BC" w:rsidRPr="001667BC" w:rsidRDefault="001667BC" w:rsidP="001667BC">
            <w:pPr>
              <w:ind w:left="0" w:right="0"/>
              <w:rPr>
                <w:sz w:val="19"/>
                <w:szCs w:val="19"/>
              </w:rPr>
            </w:pPr>
            <w:r w:rsidRPr="001667BC">
              <w:rPr>
                <w:sz w:val="19"/>
                <w:szCs w:val="19"/>
              </w:rPr>
              <w:t>Intraocular inflammation</w:t>
            </w:r>
          </w:p>
        </w:tc>
        <w:tc>
          <w:tcPr>
            <w:tcW w:w="0" w:type="auto"/>
          </w:tcPr>
          <w:p w14:paraId="55338DFE"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35DB3A6B" w14:textId="77777777" w:rsidR="001667BC" w:rsidRPr="001667BC" w:rsidRDefault="001667BC" w:rsidP="001667BC">
            <w:pPr>
              <w:ind w:left="0" w:right="0"/>
              <w:rPr>
                <w:sz w:val="19"/>
                <w:szCs w:val="19"/>
              </w:rPr>
            </w:pPr>
            <w:r w:rsidRPr="001667BC">
              <w:rPr>
                <w:sz w:val="19"/>
                <w:szCs w:val="19"/>
              </w:rPr>
              <w:t>–</w:t>
            </w:r>
          </w:p>
        </w:tc>
        <w:tc>
          <w:tcPr>
            <w:tcW w:w="0" w:type="auto"/>
          </w:tcPr>
          <w:p w14:paraId="365CD8FD"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22FD2BA4" w14:textId="77777777" w:rsidR="001667BC" w:rsidRPr="001667BC" w:rsidRDefault="001667BC" w:rsidP="001667BC">
            <w:pPr>
              <w:ind w:left="0" w:right="0"/>
              <w:rPr>
                <w:sz w:val="19"/>
                <w:szCs w:val="19"/>
              </w:rPr>
            </w:pPr>
            <w:r w:rsidRPr="001667BC">
              <w:rPr>
                <w:sz w:val="19"/>
                <w:szCs w:val="19"/>
              </w:rPr>
              <w:sym w:font="Wingdings" w:char="F0FC"/>
            </w:r>
            <w:r w:rsidRPr="001667BC">
              <w:rPr>
                <w:sz w:val="19"/>
                <w:szCs w:val="19"/>
              </w:rPr>
              <w:t>*</w:t>
            </w:r>
          </w:p>
        </w:tc>
      </w:tr>
      <w:tr w:rsidR="00C9270E" w:rsidRPr="001667BC" w14:paraId="30133129" w14:textId="77777777" w:rsidTr="001667BC">
        <w:trPr>
          <w:trHeight w:val="187"/>
        </w:trPr>
        <w:tc>
          <w:tcPr>
            <w:tcW w:w="0" w:type="auto"/>
            <w:vMerge/>
          </w:tcPr>
          <w:p w14:paraId="7AE24821" w14:textId="77777777" w:rsidR="001667BC" w:rsidRPr="001667BC" w:rsidRDefault="001667BC" w:rsidP="001667BC">
            <w:pPr>
              <w:ind w:left="0" w:right="0"/>
              <w:rPr>
                <w:sz w:val="19"/>
                <w:szCs w:val="19"/>
              </w:rPr>
            </w:pPr>
          </w:p>
        </w:tc>
        <w:tc>
          <w:tcPr>
            <w:tcW w:w="0" w:type="auto"/>
          </w:tcPr>
          <w:p w14:paraId="55F60AC1" w14:textId="77777777" w:rsidR="001667BC" w:rsidRPr="001667BC" w:rsidRDefault="001667BC" w:rsidP="001667BC">
            <w:pPr>
              <w:ind w:left="0" w:right="0"/>
              <w:rPr>
                <w:sz w:val="19"/>
                <w:szCs w:val="19"/>
              </w:rPr>
            </w:pPr>
            <w:r w:rsidRPr="001667BC">
              <w:rPr>
                <w:sz w:val="19"/>
                <w:szCs w:val="19"/>
              </w:rPr>
              <w:t>Intraocular pressure increase</w:t>
            </w:r>
          </w:p>
        </w:tc>
        <w:tc>
          <w:tcPr>
            <w:tcW w:w="0" w:type="auto"/>
          </w:tcPr>
          <w:p w14:paraId="5B077630"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484DF4BE" w14:textId="77777777" w:rsidR="001667BC" w:rsidRPr="001667BC" w:rsidRDefault="001667BC" w:rsidP="001667BC">
            <w:pPr>
              <w:ind w:left="0" w:right="0"/>
              <w:rPr>
                <w:sz w:val="19"/>
                <w:szCs w:val="19"/>
              </w:rPr>
            </w:pPr>
            <w:r w:rsidRPr="001667BC">
              <w:rPr>
                <w:sz w:val="19"/>
                <w:szCs w:val="19"/>
              </w:rPr>
              <w:t>–</w:t>
            </w:r>
          </w:p>
        </w:tc>
        <w:tc>
          <w:tcPr>
            <w:tcW w:w="0" w:type="auto"/>
          </w:tcPr>
          <w:p w14:paraId="71B2E6AD"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774869E3" w14:textId="77777777" w:rsidR="001667BC" w:rsidRPr="001667BC" w:rsidRDefault="001667BC" w:rsidP="001667BC">
            <w:pPr>
              <w:ind w:left="0" w:right="0"/>
              <w:rPr>
                <w:sz w:val="19"/>
                <w:szCs w:val="19"/>
              </w:rPr>
            </w:pPr>
            <w:r w:rsidRPr="001667BC">
              <w:rPr>
                <w:sz w:val="19"/>
                <w:szCs w:val="19"/>
              </w:rPr>
              <w:sym w:font="Wingdings" w:char="F0FC"/>
            </w:r>
            <w:r w:rsidRPr="001667BC">
              <w:rPr>
                <w:sz w:val="19"/>
                <w:szCs w:val="19"/>
              </w:rPr>
              <w:t>*</w:t>
            </w:r>
          </w:p>
        </w:tc>
      </w:tr>
      <w:tr w:rsidR="00C9270E" w:rsidRPr="001667BC" w14:paraId="485458A3" w14:textId="77777777" w:rsidTr="001667BC">
        <w:trPr>
          <w:trHeight w:val="159"/>
        </w:trPr>
        <w:tc>
          <w:tcPr>
            <w:tcW w:w="0" w:type="auto"/>
          </w:tcPr>
          <w:p w14:paraId="6B51C9EF" w14:textId="77777777" w:rsidR="001667BC" w:rsidRPr="001667BC" w:rsidRDefault="001667BC" w:rsidP="001667BC">
            <w:pPr>
              <w:ind w:left="0" w:right="0"/>
              <w:rPr>
                <w:sz w:val="19"/>
                <w:szCs w:val="19"/>
              </w:rPr>
            </w:pPr>
            <w:r w:rsidRPr="001667BC">
              <w:rPr>
                <w:sz w:val="19"/>
                <w:szCs w:val="19"/>
              </w:rPr>
              <w:t>Important potential risks</w:t>
            </w:r>
          </w:p>
        </w:tc>
        <w:tc>
          <w:tcPr>
            <w:tcW w:w="0" w:type="auto"/>
          </w:tcPr>
          <w:p w14:paraId="3BBCC013" w14:textId="77777777" w:rsidR="001667BC" w:rsidRPr="001667BC" w:rsidRDefault="001667BC" w:rsidP="001667BC">
            <w:pPr>
              <w:ind w:left="0" w:right="0"/>
              <w:rPr>
                <w:sz w:val="19"/>
                <w:szCs w:val="19"/>
              </w:rPr>
            </w:pPr>
            <w:r w:rsidRPr="001667BC">
              <w:rPr>
                <w:sz w:val="19"/>
                <w:szCs w:val="19"/>
              </w:rPr>
              <w:t>Neurodevelopmental delay (ROP only)</w:t>
            </w:r>
          </w:p>
        </w:tc>
        <w:tc>
          <w:tcPr>
            <w:tcW w:w="0" w:type="auto"/>
          </w:tcPr>
          <w:p w14:paraId="53216242"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42C35126" w14:textId="77777777" w:rsidR="001667BC" w:rsidRPr="001667BC" w:rsidRDefault="001667BC" w:rsidP="001667BC">
            <w:pPr>
              <w:ind w:left="0" w:right="0"/>
              <w:rPr>
                <w:sz w:val="19"/>
                <w:szCs w:val="19"/>
              </w:rPr>
            </w:pPr>
            <w:r w:rsidRPr="001667BC">
              <w:rPr>
                <w:sz w:val="19"/>
                <w:szCs w:val="19"/>
              </w:rPr>
              <w:t>–</w:t>
            </w:r>
          </w:p>
        </w:tc>
        <w:tc>
          <w:tcPr>
            <w:tcW w:w="0" w:type="auto"/>
          </w:tcPr>
          <w:p w14:paraId="5A0CEA1B" w14:textId="77777777" w:rsidR="001667BC" w:rsidRPr="001667BC" w:rsidRDefault="001667BC" w:rsidP="001667BC">
            <w:pPr>
              <w:ind w:left="0" w:right="0"/>
              <w:rPr>
                <w:sz w:val="19"/>
                <w:szCs w:val="19"/>
              </w:rPr>
            </w:pPr>
            <w:r w:rsidRPr="001667BC">
              <w:rPr>
                <w:sz w:val="19"/>
                <w:szCs w:val="19"/>
              </w:rPr>
              <w:t>–</w:t>
            </w:r>
          </w:p>
        </w:tc>
        <w:tc>
          <w:tcPr>
            <w:tcW w:w="0" w:type="auto"/>
          </w:tcPr>
          <w:p w14:paraId="3C7DFCB4" w14:textId="77777777" w:rsidR="001667BC" w:rsidRPr="001667BC" w:rsidRDefault="001667BC" w:rsidP="001667BC">
            <w:pPr>
              <w:ind w:left="0" w:right="0"/>
              <w:rPr>
                <w:sz w:val="19"/>
                <w:szCs w:val="19"/>
              </w:rPr>
            </w:pPr>
            <w:r w:rsidRPr="001667BC">
              <w:rPr>
                <w:sz w:val="19"/>
                <w:szCs w:val="19"/>
              </w:rPr>
              <w:t>–</w:t>
            </w:r>
          </w:p>
        </w:tc>
      </w:tr>
      <w:tr w:rsidR="00C9270E" w:rsidRPr="001667BC" w14:paraId="155BC104" w14:textId="77777777" w:rsidTr="001667BC">
        <w:trPr>
          <w:trHeight w:val="178"/>
        </w:trPr>
        <w:tc>
          <w:tcPr>
            <w:tcW w:w="0" w:type="auto"/>
            <w:vMerge w:val="restart"/>
          </w:tcPr>
          <w:p w14:paraId="66D9377C" w14:textId="77777777" w:rsidR="001667BC" w:rsidRPr="001667BC" w:rsidRDefault="001667BC" w:rsidP="001667BC">
            <w:pPr>
              <w:ind w:left="0" w:right="0"/>
              <w:rPr>
                <w:sz w:val="19"/>
                <w:szCs w:val="19"/>
              </w:rPr>
            </w:pPr>
            <w:r w:rsidRPr="001667BC">
              <w:rPr>
                <w:sz w:val="19"/>
                <w:szCs w:val="19"/>
              </w:rPr>
              <w:t>Missing information</w:t>
            </w:r>
          </w:p>
        </w:tc>
        <w:tc>
          <w:tcPr>
            <w:tcW w:w="0" w:type="auto"/>
          </w:tcPr>
          <w:p w14:paraId="36327AD2" w14:textId="10D93FE9" w:rsidR="001667BC" w:rsidRPr="001667BC" w:rsidRDefault="001667BC" w:rsidP="001667BC">
            <w:pPr>
              <w:ind w:left="0" w:right="0"/>
              <w:rPr>
                <w:sz w:val="19"/>
                <w:szCs w:val="19"/>
              </w:rPr>
            </w:pPr>
            <w:r w:rsidRPr="001667BC">
              <w:rPr>
                <w:sz w:val="19"/>
                <w:szCs w:val="19"/>
              </w:rPr>
              <w:t>Potential effect on diabetic retinopathy of stopping periodic anti-VEGF (</w:t>
            </w:r>
            <w:r w:rsidR="005A5897">
              <w:rPr>
                <w:sz w:val="19"/>
                <w:szCs w:val="19"/>
              </w:rPr>
              <w:t xml:space="preserve">diabetic macular </w:t>
            </w:r>
            <w:proofErr w:type="spellStart"/>
            <w:r w:rsidR="005A5897">
              <w:rPr>
                <w:sz w:val="19"/>
                <w:szCs w:val="19"/>
              </w:rPr>
              <w:t>edema</w:t>
            </w:r>
            <w:proofErr w:type="spellEnd"/>
            <w:r w:rsidR="005A5897">
              <w:rPr>
                <w:sz w:val="19"/>
                <w:szCs w:val="19"/>
              </w:rPr>
              <w:t xml:space="preserve"> (</w:t>
            </w:r>
            <w:r w:rsidRPr="001667BC">
              <w:rPr>
                <w:sz w:val="19"/>
                <w:szCs w:val="19"/>
              </w:rPr>
              <w:t>DME</w:t>
            </w:r>
            <w:r w:rsidR="005A5897">
              <w:rPr>
                <w:sz w:val="19"/>
                <w:szCs w:val="19"/>
              </w:rPr>
              <w:t>)</w:t>
            </w:r>
            <w:r w:rsidRPr="001667BC">
              <w:rPr>
                <w:sz w:val="19"/>
                <w:szCs w:val="19"/>
              </w:rPr>
              <w:t>)</w:t>
            </w:r>
          </w:p>
        </w:tc>
        <w:tc>
          <w:tcPr>
            <w:tcW w:w="0" w:type="auto"/>
          </w:tcPr>
          <w:p w14:paraId="499E9DE9"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651CC264" w14:textId="77777777" w:rsidR="001667BC" w:rsidRPr="001667BC" w:rsidRDefault="001667BC" w:rsidP="001667BC">
            <w:pPr>
              <w:ind w:left="0" w:right="0"/>
              <w:rPr>
                <w:sz w:val="19"/>
                <w:szCs w:val="19"/>
              </w:rPr>
            </w:pPr>
            <w:r w:rsidRPr="001667BC">
              <w:rPr>
                <w:sz w:val="19"/>
                <w:szCs w:val="19"/>
              </w:rPr>
              <w:t>–</w:t>
            </w:r>
          </w:p>
        </w:tc>
        <w:tc>
          <w:tcPr>
            <w:tcW w:w="0" w:type="auto"/>
          </w:tcPr>
          <w:p w14:paraId="1B5A72DD" w14:textId="77777777" w:rsidR="001667BC" w:rsidRPr="001667BC" w:rsidRDefault="001667BC" w:rsidP="001667BC">
            <w:pPr>
              <w:ind w:left="0" w:right="0"/>
              <w:rPr>
                <w:sz w:val="19"/>
                <w:szCs w:val="19"/>
              </w:rPr>
            </w:pPr>
            <w:r w:rsidRPr="001667BC">
              <w:rPr>
                <w:sz w:val="19"/>
                <w:szCs w:val="19"/>
              </w:rPr>
              <w:t>–</w:t>
            </w:r>
          </w:p>
        </w:tc>
        <w:tc>
          <w:tcPr>
            <w:tcW w:w="0" w:type="auto"/>
          </w:tcPr>
          <w:p w14:paraId="77F53769" w14:textId="77777777" w:rsidR="001667BC" w:rsidRPr="001667BC" w:rsidRDefault="001667BC" w:rsidP="001667BC">
            <w:pPr>
              <w:ind w:left="0" w:right="0"/>
              <w:rPr>
                <w:sz w:val="19"/>
                <w:szCs w:val="19"/>
              </w:rPr>
            </w:pPr>
            <w:r w:rsidRPr="001667BC">
              <w:rPr>
                <w:sz w:val="19"/>
                <w:szCs w:val="19"/>
              </w:rPr>
              <w:t>–</w:t>
            </w:r>
          </w:p>
        </w:tc>
      </w:tr>
      <w:tr w:rsidR="00C9270E" w:rsidRPr="001667BC" w14:paraId="38FED0BA" w14:textId="77777777" w:rsidTr="001667BC">
        <w:trPr>
          <w:trHeight w:val="103"/>
        </w:trPr>
        <w:tc>
          <w:tcPr>
            <w:tcW w:w="0" w:type="auto"/>
            <w:vMerge/>
          </w:tcPr>
          <w:p w14:paraId="7C087251" w14:textId="77777777" w:rsidR="001667BC" w:rsidRPr="001667BC" w:rsidRDefault="001667BC" w:rsidP="001667BC">
            <w:pPr>
              <w:ind w:left="0" w:right="0"/>
              <w:rPr>
                <w:sz w:val="19"/>
                <w:szCs w:val="19"/>
              </w:rPr>
            </w:pPr>
          </w:p>
        </w:tc>
        <w:tc>
          <w:tcPr>
            <w:tcW w:w="0" w:type="auto"/>
          </w:tcPr>
          <w:p w14:paraId="6B1692A5" w14:textId="71AF28C3" w:rsidR="001667BC" w:rsidRPr="001667BC" w:rsidRDefault="001667BC" w:rsidP="001667BC">
            <w:pPr>
              <w:ind w:left="0" w:right="0"/>
              <w:rPr>
                <w:sz w:val="19"/>
                <w:szCs w:val="19"/>
              </w:rPr>
            </w:pPr>
            <w:r w:rsidRPr="001667BC">
              <w:rPr>
                <w:sz w:val="19"/>
                <w:szCs w:val="19"/>
              </w:rPr>
              <w:t>Long term effects on the progression of the condition</w:t>
            </w:r>
            <w:r w:rsidR="005A5897">
              <w:rPr>
                <w:sz w:val="19"/>
                <w:szCs w:val="19"/>
              </w:rPr>
              <w:t xml:space="preserve"> </w:t>
            </w:r>
            <w:r w:rsidRPr="001667BC">
              <w:rPr>
                <w:sz w:val="19"/>
                <w:szCs w:val="19"/>
              </w:rPr>
              <w:t xml:space="preserve">CNV (other than </w:t>
            </w:r>
            <w:proofErr w:type="spellStart"/>
            <w:r w:rsidR="005A5897">
              <w:rPr>
                <w:sz w:val="19"/>
                <w:szCs w:val="19"/>
              </w:rPr>
              <w:t>n</w:t>
            </w:r>
            <w:r w:rsidR="005A5897" w:rsidRPr="005A5897">
              <w:rPr>
                <w:sz w:val="19"/>
                <w:szCs w:val="19"/>
              </w:rPr>
              <w:t>eovascular</w:t>
            </w:r>
            <w:proofErr w:type="spellEnd"/>
            <w:r w:rsidR="005A5897" w:rsidRPr="005A5897">
              <w:rPr>
                <w:sz w:val="19"/>
                <w:szCs w:val="19"/>
              </w:rPr>
              <w:t xml:space="preserve"> (wet) age-related macular degeneration (</w:t>
            </w:r>
            <w:proofErr w:type="spellStart"/>
            <w:r w:rsidRPr="001667BC">
              <w:rPr>
                <w:sz w:val="19"/>
                <w:szCs w:val="19"/>
              </w:rPr>
              <w:t>nAMD</w:t>
            </w:r>
            <w:proofErr w:type="spellEnd"/>
            <w:r w:rsidR="005A5897">
              <w:rPr>
                <w:sz w:val="19"/>
                <w:szCs w:val="19"/>
              </w:rPr>
              <w:t>)</w:t>
            </w:r>
            <w:r w:rsidRPr="001667BC">
              <w:rPr>
                <w:sz w:val="19"/>
                <w:szCs w:val="19"/>
              </w:rPr>
              <w:t>)</w:t>
            </w:r>
          </w:p>
        </w:tc>
        <w:tc>
          <w:tcPr>
            <w:tcW w:w="0" w:type="auto"/>
          </w:tcPr>
          <w:p w14:paraId="5C04C2A5"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3DAC13C6" w14:textId="77777777" w:rsidR="001667BC" w:rsidRPr="001667BC" w:rsidRDefault="001667BC" w:rsidP="001667BC">
            <w:pPr>
              <w:ind w:left="0" w:right="0"/>
              <w:rPr>
                <w:sz w:val="19"/>
                <w:szCs w:val="19"/>
              </w:rPr>
            </w:pPr>
            <w:r w:rsidRPr="001667BC">
              <w:rPr>
                <w:sz w:val="19"/>
                <w:szCs w:val="19"/>
              </w:rPr>
              <w:t>–</w:t>
            </w:r>
          </w:p>
        </w:tc>
        <w:tc>
          <w:tcPr>
            <w:tcW w:w="0" w:type="auto"/>
          </w:tcPr>
          <w:p w14:paraId="0D7F78FC" w14:textId="77777777" w:rsidR="001667BC" w:rsidRPr="001667BC" w:rsidRDefault="001667BC" w:rsidP="001667BC">
            <w:pPr>
              <w:ind w:left="0" w:right="0"/>
              <w:rPr>
                <w:sz w:val="19"/>
                <w:szCs w:val="19"/>
              </w:rPr>
            </w:pPr>
            <w:r w:rsidRPr="001667BC">
              <w:rPr>
                <w:sz w:val="19"/>
                <w:szCs w:val="19"/>
              </w:rPr>
              <w:t>–</w:t>
            </w:r>
          </w:p>
        </w:tc>
        <w:tc>
          <w:tcPr>
            <w:tcW w:w="0" w:type="auto"/>
          </w:tcPr>
          <w:p w14:paraId="6E511E28" w14:textId="77777777" w:rsidR="001667BC" w:rsidRPr="001667BC" w:rsidRDefault="001667BC" w:rsidP="001667BC">
            <w:pPr>
              <w:ind w:left="0" w:right="0"/>
              <w:rPr>
                <w:sz w:val="19"/>
                <w:szCs w:val="19"/>
              </w:rPr>
            </w:pPr>
            <w:r w:rsidRPr="001667BC">
              <w:rPr>
                <w:sz w:val="19"/>
                <w:szCs w:val="19"/>
              </w:rPr>
              <w:t>–</w:t>
            </w:r>
          </w:p>
        </w:tc>
      </w:tr>
      <w:tr w:rsidR="00C9270E" w:rsidRPr="001667BC" w14:paraId="60159A5C" w14:textId="77777777" w:rsidTr="001667BC">
        <w:trPr>
          <w:trHeight w:val="140"/>
        </w:trPr>
        <w:tc>
          <w:tcPr>
            <w:tcW w:w="0" w:type="auto"/>
            <w:vMerge/>
          </w:tcPr>
          <w:p w14:paraId="229A5480" w14:textId="77777777" w:rsidR="001667BC" w:rsidRPr="001667BC" w:rsidRDefault="001667BC" w:rsidP="001667BC">
            <w:pPr>
              <w:ind w:left="0" w:right="0"/>
              <w:rPr>
                <w:sz w:val="19"/>
                <w:szCs w:val="19"/>
              </w:rPr>
            </w:pPr>
          </w:p>
        </w:tc>
        <w:tc>
          <w:tcPr>
            <w:tcW w:w="0" w:type="auto"/>
          </w:tcPr>
          <w:p w14:paraId="15A87FAE" w14:textId="33B0CE5C" w:rsidR="001667BC" w:rsidRPr="001667BC" w:rsidRDefault="009F7251" w:rsidP="001667BC">
            <w:pPr>
              <w:ind w:left="0" w:right="0"/>
              <w:rPr>
                <w:sz w:val="19"/>
                <w:szCs w:val="19"/>
              </w:rPr>
            </w:pPr>
            <w:proofErr w:type="spellStart"/>
            <w:r>
              <w:rPr>
                <w:sz w:val="19"/>
                <w:szCs w:val="19"/>
              </w:rPr>
              <w:t>Visudyne</w:t>
            </w:r>
            <w:proofErr w:type="spellEnd"/>
            <w:r>
              <w:rPr>
                <w:sz w:val="19"/>
                <w:szCs w:val="19"/>
              </w:rPr>
              <w:t xml:space="preserve"> (</w:t>
            </w:r>
            <w:proofErr w:type="spellStart"/>
            <w:r>
              <w:rPr>
                <w:sz w:val="19"/>
                <w:szCs w:val="19"/>
              </w:rPr>
              <w:t>verteporfin</w:t>
            </w:r>
            <w:proofErr w:type="spellEnd"/>
            <w:r>
              <w:rPr>
                <w:sz w:val="19"/>
                <w:szCs w:val="19"/>
              </w:rPr>
              <w:t>-</w:t>
            </w:r>
            <w:r w:rsidR="005A5897">
              <w:rPr>
                <w:sz w:val="19"/>
                <w:szCs w:val="19"/>
              </w:rPr>
              <w:t>photodynamic therapy (</w:t>
            </w:r>
            <w:r>
              <w:rPr>
                <w:sz w:val="19"/>
                <w:szCs w:val="19"/>
              </w:rPr>
              <w:t>PDT</w:t>
            </w:r>
            <w:r w:rsidR="005A5897">
              <w:rPr>
                <w:sz w:val="19"/>
                <w:szCs w:val="19"/>
              </w:rPr>
              <w:t>)</w:t>
            </w:r>
            <w:r>
              <w:rPr>
                <w:sz w:val="19"/>
                <w:szCs w:val="19"/>
              </w:rPr>
              <w:t xml:space="preserve">) </w:t>
            </w:r>
            <w:r w:rsidR="001667BC" w:rsidRPr="001667BC">
              <w:rPr>
                <w:sz w:val="19"/>
                <w:szCs w:val="19"/>
              </w:rPr>
              <w:t xml:space="preserve">given in combination with </w:t>
            </w:r>
            <w:proofErr w:type="spellStart"/>
            <w:r w:rsidR="001667BC" w:rsidRPr="001667BC">
              <w:rPr>
                <w:sz w:val="19"/>
                <w:szCs w:val="19"/>
              </w:rPr>
              <w:t>ranibizumab</w:t>
            </w:r>
            <w:proofErr w:type="spellEnd"/>
            <w:r w:rsidR="001667BC" w:rsidRPr="001667BC">
              <w:rPr>
                <w:sz w:val="19"/>
                <w:szCs w:val="19"/>
              </w:rPr>
              <w:t xml:space="preserve"> (PM)</w:t>
            </w:r>
          </w:p>
        </w:tc>
        <w:tc>
          <w:tcPr>
            <w:tcW w:w="0" w:type="auto"/>
          </w:tcPr>
          <w:p w14:paraId="7C36ED21"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623410A9" w14:textId="77777777" w:rsidR="001667BC" w:rsidRPr="001667BC" w:rsidRDefault="001667BC" w:rsidP="001667BC">
            <w:pPr>
              <w:ind w:left="0" w:right="0"/>
              <w:rPr>
                <w:sz w:val="19"/>
                <w:szCs w:val="19"/>
              </w:rPr>
            </w:pPr>
            <w:r w:rsidRPr="001667BC">
              <w:rPr>
                <w:sz w:val="19"/>
                <w:szCs w:val="19"/>
              </w:rPr>
              <w:t>–</w:t>
            </w:r>
          </w:p>
        </w:tc>
        <w:tc>
          <w:tcPr>
            <w:tcW w:w="0" w:type="auto"/>
          </w:tcPr>
          <w:p w14:paraId="026FFF09"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1D97B55E" w14:textId="77777777" w:rsidR="001667BC" w:rsidRPr="001667BC" w:rsidRDefault="001667BC" w:rsidP="001667BC">
            <w:pPr>
              <w:ind w:left="0" w:right="0"/>
              <w:rPr>
                <w:sz w:val="19"/>
                <w:szCs w:val="19"/>
              </w:rPr>
            </w:pPr>
            <w:r w:rsidRPr="001667BC">
              <w:rPr>
                <w:sz w:val="19"/>
                <w:szCs w:val="19"/>
              </w:rPr>
              <w:t>–</w:t>
            </w:r>
          </w:p>
        </w:tc>
      </w:tr>
      <w:tr w:rsidR="00C9270E" w:rsidRPr="001667BC" w14:paraId="7E3A35CC" w14:textId="77777777" w:rsidTr="001667BC">
        <w:trPr>
          <w:trHeight w:val="140"/>
        </w:trPr>
        <w:tc>
          <w:tcPr>
            <w:tcW w:w="0" w:type="auto"/>
            <w:vMerge/>
          </w:tcPr>
          <w:p w14:paraId="37CFA9A4" w14:textId="77777777" w:rsidR="001667BC" w:rsidRPr="001667BC" w:rsidRDefault="001667BC" w:rsidP="001667BC">
            <w:pPr>
              <w:ind w:left="0" w:right="0"/>
              <w:rPr>
                <w:sz w:val="19"/>
                <w:szCs w:val="19"/>
              </w:rPr>
            </w:pPr>
          </w:p>
        </w:tc>
        <w:tc>
          <w:tcPr>
            <w:tcW w:w="0" w:type="auto"/>
          </w:tcPr>
          <w:p w14:paraId="34ABD9D6" w14:textId="77777777" w:rsidR="001667BC" w:rsidRPr="001667BC" w:rsidRDefault="001667BC" w:rsidP="001667BC">
            <w:pPr>
              <w:ind w:left="0" w:right="0"/>
              <w:rPr>
                <w:sz w:val="19"/>
                <w:szCs w:val="19"/>
              </w:rPr>
            </w:pPr>
            <w:r w:rsidRPr="001667BC">
              <w:rPr>
                <w:sz w:val="19"/>
                <w:szCs w:val="19"/>
              </w:rPr>
              <w:t xml:space="preserve">Long term safety of </w:t>
            </w:r>
            <w:proofErr w:type="spellStart"/>
            <w:r w:rsidRPr="001667BC">
              <w:rPr>
                <w:sz w:val="19"/>
                <w:szCs w:val="19"/>
              </w:rPr>
              <w:t>ranibizumab</w:t>
            </w:r>
            <w:proofErr w:type="spellEnd"/>
            <w:r w:rsidRPr="001667BC">
              <w:rPr>
                <w:sz w:val="19"/>
                <w:szCs w:val="19"/>
              </w:rPr>
              <w:t xml:space="preserve"> in the condition ROP</w:t>
            </w:r>
          </w:p>
        </w:tc>
        <w:tc>
          <w:tcPr>
            <w:tcW w:w="0" w:type="auto"/>
          </w:tcPr>
          <w:p w14:paraId="3FD0B7BD" w14:textId="77777777" w:rsidR="001667BC" w:rsidRPr="001667BC" w:rsidRDefault="001667BC" w:rsidP="001667BC">
            <w:pPr>
              <w:ind w:left="0" w:right="0"/>
              <w:rPr>
                <w:sz w:val="19"/>
                <w:szCs w:val="19"/>
              </w:rPr>
            </w:pPr>
            <w:r w:rsidRPr="001667BC">
              <w:rPr>
                <w:sz w:val="19"/>
                <w:szCs w:val="19"/>
              </w:rPr>
              <w:sym w:font="Wingdings" w:char="F0FC"/>
            </w:r>
            <w:r w:rsidRPr="001667BC">
              <w:rPr>
                <w:rFonts w:asciiTheme="majorHAnsi" w:hAnsiTheme="majorHAnsi"/>
                <w:sz w:val="19"/>
                <w:szCs w:val="19"/>
                <w:vertAlign w:val="superscript"/>
              </w:rPr>
              <w:t>†</w:t>
            </w:r>
          </w:p>
        </w:tc>
        <w:tc>
          <w:tcPr>
            <w:tcW w:w="0" w:type="auto"/>
          </w:tcPr>
          <w:p w14:paraId="4525B510" w14:textId="77777777" w:rsidR="001667BC" w:rsidRPr="001667BC" w:rsidRDefault="001667BC" w:rsidP="001667BC">
            <w:pPr>
              <w:ind w:left="0" w:right="0"/>
              <w:rPr>
                <w:sz w:val="19"/>
                <w:szCs w:val="19"/>
              </w:rPr>
            </w:pPr>
            <w:r w:rsidRPr="001667BC">
              <w:rPr>
                <w:sz w:val="19"/>
                <w:szCs w:val="19"/>
              </w:rPr>
              <w:t>–</w:t>
            </w:r>
          </w:p>
        </w:tc>
        <w:tc>
          <w:tcPr>
            <w:tcW w:w="0" w:type="auto"/>
          </w:tcPr>
          <w:p w14:paraId="529FF3C3" w14:textId="77777777" w:rsidR="001667BC" w:rsidRPr="001667BC" w:rsidRDefault="001667BC" w:rsidP="001667BC">
            <w:pPr>
              <w:ind w:left="0" w:right="0"/>
              <w:rPr>
                <w:sz w:val="19"/>
                <w:szCs w:val="19"/>
              </w:rPr>
            </w:pPr>
            <w:r w:rsidRPr="001667BC">
              <w:rPr>
                <w:sz w:val="19"/>
                <w:szCs w:val="19"/>
              </w:rPr>
              <w:sym w:font="Wingdings" w:char="F0FC"/>
            </w:r>
          </w:p>
        </w:tc>
        <w:tc>
          <w:tcPr>
            <w:tcW w:w="0" w:type="auto"/>
          </w:tcPr>
          <w:p w14:paraId="5D576E95" w14:textId="77777777" w:rsidR="001667BC" w:rsidRPr="001667BC" w:rsidRDefault="001667BC" w:rsidP="001667BC">
            <w:pPr>
              <w:ind w:left="0" w:right="0"/>
              <w:rPr>
                <w:sz w:val="19"/>
                <w:szCs w:val="19"/>
              </w:rPr>
            </w:pPr>
            <w:r w:rsidRPr="001667BC">
              <w:rPr>
                <w:sz w:val="19"/>
                <w:szCs w:val="19"/>
              </w:rPr>
              <w:t>–</w:t>
            </w:r>
          </w:p>
        </w:tc>
      </w:tr>
    </w:tbl>
    <w:p w14:paraId="1A2ED3FD" w14:textId="24DB6D9B" w:rsidR="001667BC" w:rsidRDefault="001667BC" w:rsidP="004616F9">
      <w:pPr>
        <w:pStyle w:val="TableDescription"/>
        <w:spacing w:before="0"/>
      </w:pPr>
      <w:r>
        <w:t>*Patient educational materials only relate to currently approved indications (not ROP)</w:t>
      </w:r>
      <w:r w:rsidR="0029257A">
        <w:t>.</w:t>
      </w:r>
    </w:p>
    <w:p w14:paraId="11875493" w14:textId="5A07B679" w:rsidR="001667BC" w:rsidRDefault="001667BC" w:rsidP="004616F9">
      <w:pPr>
        <w:pStyle w:val="TableDescription"/>
        <w:spacing w:before="0"/>
      </w:pPr>
      <w:r w:rsidRPr="007522E1">
        <w:rPr>
          <w:vertAlign w:val="superscript"/>
        </w:rPr>
        <w:t>†</w:t>
      </w:r>
      <w:r w:rsidRPr="007522E1">
        <w:t xml:space="preserve">Targeted questionnaires/checklists for the follow-up of </w:t>
      </w:r>
      <w:proofErr w:type="spellStart"/>
      <w:r w:rsidRPr="007522E1">
        <w:t>endophthalmitis</w:t>
      </w:r>
      <w:proofErr w:type="spellEnd"/>
      <w:r w:rsidRPr="007522E1">
        <w:t xml:space="preserve"> and for use in paediatric patients.</w:t>
      </w:r>
    </w:p>
    <w:p w14:paraId="74F021E3" w14:textId="51D097A3" w:rsidR="009F7251" w:rsidRPr="001667BC" w:rsidRDefault="009F7251" w:rsidP="009F7251">
      <w:r>
        <w:lastRenderedPageBreak/>
        <w:t xml:space="preserve">The following are the Delegate’s considerations </w:t>
      </w:r>
      <w:proofErr w:type="gramStart"/>
      <w:r>
        <w:t>w</w:t>
      </w:r>
      <w:r w:rsidR="00246264">
        <w:t>ith regards to</w:t>
      </w:r>
      <w:proofErr w:type="gramEnd"/>
      <w:r w:rsidR="00246264">
        <w:t xml:space="preserve"> RMP evaluation:</w:t>
      </w:r>
    </w:p>
    <w:p w14:paraId="5DF6E670" w14:textId="79648965" w:rsidR="004A4609" w:rsidRDefault="007E34FB" w:rsidP="002730F7">
      <w:pPr>
        <w:pStyle w:val="ListBullet"/>
      </w:pPr>
      <w:r w:rsidRPr="007406AA">
        <w:t>The proposed routine risk</w:t>
      </w:r>
      <w:r w:rsidR="001667BC">
        <w:t xml:space="preserve"> minimisation activities in the </w:t>
      </w:r>
      <w:r w:rsidRPr="007406AA">
        <w:t>ASA are</w:t>
      </w:r>
      <w:r w:rsidR="004A4609">
        <w:t xml:space="preserve"> for the following risks:</w:t>
      </w:r>
    </w:p>
    <w:p w14:paraId="0FC43FB5" w14:textId="702A719E" w:rsidR="007E34FB" w:rsidRPr="007406AA" w:rsidRDefault="007E34FB" w:rsidP="004A4609">
      <w:pPr>
        <w:pStyle w:val="ListBullet"/>
        <w:numPr>
          <w:ilvl w:val="0"/>
          <w:numId w:val="0"/>
        </w:numPr>
        <w:ind w:left="360"/>
      </w:pPr>
      <w:r w:rsidRPr="007406AA">
        <w:t xml:space="preserve">Infectious </w:t>
      </w:r>
      <w:proofErr w:type="spellStart"/>
      <w:r w:rsidRPr="007406AA">
        <w:t>endophthalmitis</w:t>
      </w:r>
      <w:proofErr w:type="spellEnd"/>
      <w:r w:rsidRPr="007406AA">
        <w:t xml:space="preserve">, retinal detachment and retinal tear, intraocular inflammation, intraocular pressure increase and </w:t>
      </w:r>
      <w:proofErr w:type="spellStart"/>
      <w:r w:rsidRPr="007406AA">
        <w:t>Visudyne</w:t>
      </w:r>
      <w:proofErr w:type="spellEnd"/>
      <w:r w:rsidRPr="007406AA">
        <w:t xml:space="preserve"> (</w:t>
      </w:r>
      <w:proofErr w:type="spellStart"/>
      <w:r w:rsidRPr="007406AA">
        <w:t>verteporfin</w:t>
      </w:r>
      <w:proofErr w:type="spellEnd"/>
      <w:r w:rsidRPr="007406AA">
        <w:t>-</w:t>
      </w:r>
      <w:r w:rsidR="00932696">
        <w:t>photodynamic therapy</w:t>
      </w:r>
      <w:r w:rsidRPr="007406AA">
        <w:t xml:space="preserve">) or laser photocoagulation given in combination with </w:t>
      </w:r>
      <w:proofErr w:type="spellStart"/>
      <w:r w:rsidRPr="007406AA">
        <w:t>ranibizumab</w:t>
      </w:r>
      <w:proofErr w:type="spellEnd"/>
      <w:r w:rsidRPr="007406AA">
        <w:t xml:space="preserve"> (</w:t>
      </w:r>
      <w:r w:rsidR="00932696">
        <w:t>pathologic myopia</w:t>
      </w:r>
      <w:r w:rsidRPr="007406AA">
        <w:t xml:space="preserve">). </w:t>
      </w:r>
      <w:r w:rsidR="002730F7">
        <w:t>The sponsor has included ‘</w:t>
      </w:r>
      <w:r w:rsidRPr="007406AA">
        <w:t xml:space="preserve">long term safety of </w:t>
      </w:r>
      <w:proofErr w:type="spellStart"/>
      <w:r w:rsidRPr="007406AA">
        <w:t>ranibizumab</w:t>
      </w:r>
      <w:proofErr w:type="spellEnd"/>
      <w:r w:rsidRPr="007406AA">
        <w:t xml:space="preserve"> in the condition of ROP</w:t>
      </w:r>
      <w:r w:rsidR="002730F7">
        <w:t>’</w:t>
      </w:r>
      <w:r w:rsidRPr="007406AA">
        <w:t xml:space="preserve"> as missing information in the ASA.</w:t>
      </w:r>
    </w:p>
    <w:p w14:paraId="76CCADFC" w14:textId="77777777" w:rsidR="007E34FB" w:rsidRPr="007406AA" w:rsidRDefault="007E34FB" w:rsidP="002730F7">
      <w:pPr>
        <w:pStyle w:val="ListBullet"/>
      </w:pPr>
      <w:r w:rsidRPr="007406AA">
        <w:t xml:space="preserve">Guardians and parents of premature infants </w:t>
      </w:r>
      <w:proofErr w:type="gramStart"/>
      <w:r w:rsidRPr="007406AA">
        <w:t>will be provided</w:t>
      </w:r>
      <w:proofErr w:type="gramEnd"/>
      <w:r w:rsidRPr="007406AA">
        <w:t xml:space="preserve"> with a patient leaflet that includes use of </w:t>
      </w:r>
      <w:proofErr w:type="spellStart"/>
      <w:r w:rsidRPr="007406AA">
        <w:t>Lucentis</w:t>
      </w:r>
      <w:proofErr w:type="spellEnd"/>
      <w:r w:rsidRPr="007406AA">
        <w:t xml:space="preserve"> in premature infants with ROP. </w:t>
      </w:r>
      <w:r w:rsidR="00373E52">
        <w:t xml:space="preserve">The leaflet educates about </w:t>
      </w:r>
      <w:proofErr w:type="gramStart"/>
      <w:r w:rsidRPr="007406AA">
        <w:t>the disease background, administration of the drug and how it works</w:t>
      </w:r>
      <w:r w:rsidR="00373E52">
        <w:t xml:space="preserve">, contraindications, </w:t>
      </w:r>
      <w:r w:rsidRPr="007406AA">
        <w:t>warnings, precau</w:t>
      </w:r>
      <w:r w:rsidR="00373E52">
        <w:t>tions and possible side effects,</w:t>
      </w:r>
      <w:r w:rsidRPr="007406AA">
        <w:t xml:space="preserve"> and advice to contact their treating physician if the baby develops eye </w:t>
      </w:r>
      <w:r w:rsidR="002730F7">
        <w:t>pain or worsening eye redness</w:t>
      </w:r>
      <w:proofErr w:type="gramEnd"/>
      <w:r w:rsidR="002730F7">
        <w:t>.</w:t>
      </w:r>
    </w:p>
    <w:p w14:paraId="253B9555" w14:textId="77777777" w:rsidR="007E34FB" w:rsidRPr="007406AA" w:rsidRDefault="007E34FB" w:rsidP="002730F7">
      <w:pPr>
        <w:pStyle w:val="ListBullet"/>
      </w:pPr>
      <w:r w:rsidRPr="007406AA">
        <w:t xml:space="preserve">The additional risk minimisation activities include targeted questionnaires/checklists (for use in paediatric </w:t>
      </w:r>
      <w:proofErr w:type="gramStart"/>
      <w:r w:rsidRPr="007406AA">
        <w:t>patients and including a record of gestational age at birth</w:t>
      </w:r>
      <w:proofErr w:type="gramEnd"/>
      <w:r w:rsidRPr="007406AA">
        <w:t xml:space="preserve"> and birth weight) for all reported AEs from ROP patients treated with </w:t>
      </w:r>
      <w:proofErr w:type="spellStart"/>
      <w:r w:rsidRPr="007406AA">
        <w:t>ranibizumab</w:t>
      </w:r>
      <w:proofErr w:type="spellEnd"/>
      <w:r w:rsidR="002730F7">
        <w:t>.</w:t>
      </w:r>
    </w:p>
    <w:p w14:paraId="79DCB039" w14:textId="771146A9" w:rsidR="007E34FB" w:rsidRPr="00373E52" w:rsidRDefault="007E34FB" w:rsidP="00373E52">
      <w:pPr>
        <w:pStyle w:val="ListBullet"/>
      </w:pPr>
      <w:r w:rsidRPr="007406AA">
        <w:t>The obligatory periodic safety update reports</w:t>
      </w:r>
      <w:r w:rsidR="00373E52">
        <w:t xml:space="preserve"> (PSUR)</w:t>
      </w:r>
      <w:r w:rsidRPr="007406AA">
        <w:t xml:space="preserve"> frequency is three years. The RMP </w:t>
      </w:r>
      <w:r w:rsidR="0029257A">
        <w:t>area</w:t>
      </w:r>
      <w:r w:rsidR="0029257A" w:rsidRPr="007406AA">
        <w:t xml:space="preserve"> </w:t>
      </w:r>
      <w:r w:rsidRPr="007406AA">
        <w:t>recommended PSURs be submitted no less frequently than annually for the first three years (if the new indication is approved)</w:t>
      </w:r>
      <w:r w:rsidR="00BF494A">
        <w:t>.</w:t>
      </w:r>
    </w:p>
    <w:p w14:paraId="22616C73" w14:textId="77777777" w:rsidR="007E34FB" w:rsidRPr="00D6744E" w:rsidRDefault="007E34FB" w:rsidP="00373E52">
      <w:pPr>
        <w:pStyle w:val="Heading4"/>
      </w:pPr>
      <w:r w:rsidRPr="00D6744E">
        <w:t>Pharmacovigilance activities</w:t>
      </w:r>
    </w:p>
    <w:p w14:paraId="0E8A476E" w14:textId="07074582" w:rsidR="007E34FB" w:rsidRPr="007406AA" w:rsidRDefault="007E34FB" w:rsidP="00373E52">
      <w:r>
        <w:t xml:space="preserve">The </w:t>
      </w:r>
      <w:r w:rsidRPr="007406AA">
        <w:t xml:space="preserve">RMP </w:t>
      </w:r>
      <w:r w:rsidR="0029257A">
        <w:t>area</w:t>
      </w:r>
      <w:r w:rsidR="0029257A" w:rsidRPr="007406AA">
        <w:t xml:space="preserve"> </w:t>
      </w:r>
      <w:r w:rsidRPr="007406AA">
        <w:t xml:space="preserve">suggested </w:t>
      </w:r>
      <w:proofErr w:type="spellStart"/>
      <w:r w:rsidRPr="007406AA">
        <w:t>Lucentis</w:t>
      </w:r>
      <w:proofErr w:type="spellEnd"/>
      <w:r w:rsidRPr="007406AA">
        <w:t xml:space="preserve"> be included in the Black Triangle Scheme to capture AE in preterm infants.</w:t>
      </w:r>
      <w:r>
        <w:t xml:space="preserve"> </w:t>
      </w:r>
      <w:r w:rsidRPr="007406AA">
        <w:t xml:space="preserve">The RMP </w:t>
      </w:r>
      <w:r w:rsidR="0029257A">
        <w:t>area</w:t>
      </w:r>
      <w:r w:rsidR="0029257A" w:rsidRPr="007406AA">
        <w:t xml:space="preserve"> </w:t>
      </w:r>
      <w:r w:rsidRPr="007406AA">
        <w:t>consider</w:t>
      </w:r>
      <w:r w:rsidR="0029257A">
        <w:t>s</w:t>
      </w:r>
      <w:r w:rsidRPr="007406AA">
        <w:t xml:space="preserve"> the risk of neurodevelopmental delay an important potential risk, and the </w:t>
      </w:r>
      <w:proofErr w:type="gramStart"/>
      <w:r w:rsidRPr="007406AA">
        <w:t>long term</w:t>
      </w:r>
      <w:proofErr w:type="gramEnd"/>
      <w:r w:rsidRPr="007406AA">
        <w:t xml:space="preserve"> safety missing information. Additional pharmacovigilance activities regarding the </w:t>
      </w:r>
      <w:proofErr w:type="gramStart"/>
      <w:r w:rsidRPr="007406AA">
        <w:t>long term</w:t>
      </w:r>
      <w:proofErr w:type="gramEnd"/>
      <w:r w:rsidRPr="007406AA">
        <w:t xml:space="preserve"> safety risks </w:t>
      </w:r>
      <w:r w:rsidR="00373E52">
        <w:t xml:space="preserve">include the ongoing </w:t>
      </w:r>
      <w:r w:rsidR="00D36548">
        <w:t xml:space="preserve">RAINBOW Extension </w:t>
      </w:r>
      <w:r w:rsidR="0029257A">
        <w:t>trial</w:t>
      </w:r>
      <w:r w:rsidRPr="007406AA">
        <w:t>.</w:t>
      </w:r>
      <w:r w:rsidR="00932696" w:rsidRPr="005B2E7C">
        <w:rPr>
          <w:vertAlign w:val="superscript"/>
        </w:rPr>
        <w:fldChar w:fldCharType="begin"/>
      </w:r>
      <w:r w:rsidR="00932696" w:rsidRPr="005B2E7C">
        <w:rPr>
          <w:vertAlign w:val="superscript"/>
        </w:rPr>
        <w:instrText xml:space="preserve"> NOTEREF _Ref49510737 \h </w:instrText>
      </w:r>
      <w:r w:rsidR="00932696">
        <w:rPr>
          <w:vertAlign w:val="superscript"/>
        </w:rPr>
        <w:instrText xml:space="preserve"> \* MERGEFORMAT </w:instrText>
      </w:r>
      <w:r w:rsidR="00932696" w:rsidRPr="005B2E7C">
        <w:rPr>
          <w:vertAlign w:val="superscript"/>
        </w:rPr>
      </w:r>
      <w:r w:rsidR="00932696" w:rsidRPr="005B2E7C">
        <w:rPr>
          <w:vertAlign w:val="superscript"/>
        </w:rPr>
        <w:fldChar w:fldCharType="separate"/>
      </w:r>
      <w:r w:rsidR="00EA746F">
        <w:rPr>
          <w:vertAlign w:val="superscript"/>
        </w:rPr>
        <w:t>16</w:t>
      </w:r>
      <w:r w:rsidR="00932696" w:rsidRPr="005B2E7C">
        <w:rPr>
          <w:vertAlign w:val="superscript"/>
        </w:rPr>
        <w:fldChar w:fldCharType="end"/>
      </w:r>
    </w:p>
    <w:p w14:paraId="69E2FDA8" w14:textId="44FDEBC4" w:rsidR="007E34FB" w:rsidRPr="007406AA" w:rsidRDefault="00373E52" w:rsidP="00373E52">
      <w:r>
        <w:t xml:space="preserve">The </w:t>
      </w:r>
      <w:r w:rsidR="00D36548">
        <w:t xml:space="preserve">RAINBOW Extension </w:t>
      </w:r>
      <w:r w:rsidR="0029257A">
        <w:t>trial</w:t>
      </w:r>
      <w:r w:rsidR="0029257A" w:rsidRPr="007406AA">
        <w:t xml:space="preserve"> </w:t>
      </w:r>
      <w:r w:rsidR="007E34FB" w:rsidRPr="007406AA">
        <w:t>follows patients e</w:t>
      </w:r>
      <w:r w:rsidR="00D36548">
        <w:t xml:space="preserve">nrolled in the initial RAINBOW </w:t>
      </w:r>
      <w:r w:rsidR="0029257A">
        <w:t>trial</w:t>
      </w:r>
      <w:r w:rsidR="0029257A" w:rsidRPr="007406AA">
        <w:t xml:space="preserve"> </w:t>
      </w:r>
      <w:proofErr w:type="gramStart"/>
      <w:r w:rsidR="007E34FB" w:rsidRPr="007406AA">
        <w:t>till</w:t>
      </w:r>
      <w:proofErr w:type="gramEnd"/>
      <w:r w:rsidR="007E34FB" w:rsidRPr="007406AA">
        <w:t xml:space="preserve"> their </w:t>
      </w:r>
      <w:r>
        <w:t>fifth</w:t>
      </w:r>
      <w:r w:rsidR="007E34FB" w:rsidRPr="007406AA">
        <w:t xml:space="preserve"> birthday. The patient’s visual acuity will be assessed in the better </w:t>
      </w:r>
      <w:proofErr w:type="gramStart"/>
      <w:r w:rsidR="007E34FB" w:rsidRPr="007406AA">
        <w:t>seeing eye</w:t>
      </w:r>
      <w:proofErr w:type="gramEnd"/>
      <w:r w:rsidR="007E34FB" w:rsidRPr="007406AA">
        <w:t xml:space="preserve"> at the patient’s </w:t>
      </w:r>
      <w:r>
        <w:t>fifth</w:t>
      </w:r>
      <w:r w:rsidR="007E34FB" w:rsidRPr="007406AA">
        <w:t xml:space="preserve"> birthday. The sponsor proposes to report on neurodevelopmental outcomes. The last patient visit </w:t>
      </w:r>
      <w:proofErr w:type="gramStart"/>
      <w:r w:rsidR="007E34FB" w:rsidRPr="007406AA">
        <w:t>is expected</w:t>
      </w:r>
      <w:proofErr w:type="gramEnd"/>
      <w:r w:rsidR="007E34FB" w:rsidRPr="007406AA">
        <w:t xml:space="preserve"> to be in the final months of 2022 and a </w:t>
      </w:r>
      <w:r>
        <w:t>final report produced in 2023.</w:t>
      </w:r>
    </w:p>
    <w:p w14:paraId="442A06CC" w14:textId="52FF7C17" w:rsidR="00BF494A" w:rsidRDefault="007E34FB" w:rsidP="00373E52">
      <w:pPr>
        <w:rPr>
          <w:iCs/>
        </w:rPr>
      </w:pPr>
      <w:r w:rsidRPr="007406AA">
        <w:t>The RMP evaluator is satisfied with the RMP and has recommended that t</w:t>
      </w:r>
      <w:r w:rsidRPr="007406AA">
        <w:rPr>
          <w:iCs/>
        </w:rPr>
        <w:t xml:space="preserve">he </w:t>
      </w:r>
      <w:proofErr w:type="spellStart"/>
      <w:r w:rsidRPr="007406AA">
        <w:rPr>
          <w:iCs/>
        </w:rPr>
        <w:t>ranibizum</w:t>
      </w:r>
      <w:r w:rsidR="00373E52">
        <w:rPr>
          <w:iCs/>
        </w:rPr>
        <w:t>ab</w:t>
      </w:r>
      <w:proofErr w:type="spellEnd"/>
      <w:r w:rsidR="00373E52">
        <w:rPr>
          <w:iCs/>
        </w:rPr>
        <w:t xml:space="preserve"> (</w:t>
      </w:r>
      <w:proofErr w:type="spellStart"/>
      <w:proofErr w:type="gramStart"/>
      <w:r w:rsidR="00373E52">
        <w:rPr>
          <w:iCs/>
        </w:rPr>
        <w:t>rbe</w:t>
      </w:r>
      <w:proofErr w:type="spellEnd"/>
      <w:proofErr w:type="gramEnd"/>
      <w:r w:rsidR="00373E52">
        <w:rPr>
          <w:iCs/>
        </w:rPr>
        <w:t>) EU-RMP</w:t>
      </w:r>
      <w:r w:rsidRPr="007406AA">
        <w:rPr>
          <w:iCs/>
        </w:rPr>
        <w:t xml:space="preserve"> version 18.2, dated 17 June 2019 (data lock point for clinical trial data </w:t>
      </w:r>
      <w:r w:rsidR="00EA746F">
        <w:rPr>
          <w:iCs/>
        </w:rPr>
        <w:t>24 </w:t>
      </w:r>
      <w:r w:rsidR="006130FA">
        <w:rPr>
          <w:iCs/>
        </w:rPr>
        <w:t>January 2018; DLP</w:t>
      </w:r>
      <w:r w:rsidRPr="007406AA">
        <w:rPr>
          <w:iCs/>
        </w:rPr>
        <w:t xml:space="preserve"> for post marketing data 31 May 2018)</w:t>
      </w:r>
      <w:r w:rsidRPr="007406AA">
        <w:rPr>
          <w:i/>
          <w:iCs/>
        </w:rPr>
        <w:t xml:space="preserve"> </w:t>
      </w:r>
      <w:r w:rsidR="00373E52">
        <w:rPr>
          <w:iCs/>
        </w:rPr>
        <w:t>with ASA</w:t>
      </w:r>
      <w:r w:rsidRPr="007406AA">
        <w:rPr>
          <w:iCs/>
        </w:rPr>
        <w:t xml:space="preserve"> (version 9.0, dated 11 July 2019), and any future updates be implemented as a condition of registration</w:t>
      </w:r>
      <w:r w:rsidR="00BF494A">
        <w:rPr>
          <w:iCs/>
        </w:rPr>
        <w:t>.</w:t>
      </w:r>
    </w:p>
    <w:p w14:paraId="1B53A81D" w14:textId="18729938" w:rsidR="007E34FB" w:rsidRPr="00373E52" w:rsidRDefault="007E34FB" w:rsidP="00373E52">
      <w:r w:rsidRPr="007406AA">
        <w:rPr>
          <w:rFonts w:eastAsiaTheme="minorHAnsi" w:cs="Cambria"/>
          <w:color w:val="000000"/>
        </w:rPr>
        <w:t xml:space="preserve">The RMP </w:t>
      </w:r>
      <w:r w:rsidR="00A606B0">
        <w:rPr>
          <w:rFonts w:eastAsiaTheme="minorHAnsi" w:cs="Cambria"/>
          <w:color w:val="000000"/>
        </w:rPr>
        <w:t>evaluator</w:t>
      </w:r>
      <w:r w:rsidRPr="007406AA">
        <w:rPr>
          <w:rFonts w:eastAsiaTheme="minorHAnsi" w:cs="Cambria"/>
          <w:color w:val="000000"/>
        </w:rPr>
        <w:t xml:space="preserve"> considered the ASA is now acceptable and notes that routine </w:t>
      </w:r>
      <w:r w:rsidRPr="007406AA">
        <w:t xml:space="preserve">pharmacovigilance activity is considered acceptable in this instance as the proposed </w:t>
      </w:r>
      <w:proofErr w:type="gramStart"/>
      <w:r w:rsidRPr="007406AA">
        <w:t>long term</w:t>
      </w:r>
      <w:proofErr w:type="gramEnd"/>
      <w:r w:rsidRPr="007406AA">
        <w:t xml:space="preserve"> efficacy and safety study</w:t>
      </w:r>
      <w:r w:rsidR="00373E52">
        <w:t>,</w:t>
      </w:r>
      <w:r w:rsidRPr="007406AA">
        <w:t xml:space="preserve"> </w:t>
      </w:r>
      <w:r w:rsidR="00D36548">
        <w:t xml:space="preserve">RAINBOW Extension </w:t>
      </w:r>
      <w:r w:rsidR="0029257A">
        <w:t>trial</w:t>
      </w:r>
      <w:r w:rsidR="0029257A" w:rsidRPr="007406AA">
        <w:t xml:space="preserve"> </w:t>
      </w:r>
      <w:r w:rsidRPr="007406AA">
        <w:t>(</w:t>
      </w:r>
      <w:r w:rsidR="00373E52">
        <w:t xml:space="preserve">Study </w:t>
      </w:r>
      <w:r w:rsidRPr="007406AA">
        <w:t>CRFB002H2301E1)</w:t>
      </w:r>
      <w:r w:rsidR="00373E52">
        <w:t>,</w:t>
      </w:r>
      <w:r w:rsidRPr="007406AA">
        <w:t xml:space="preserve"> will proceed as part of the marketing authorisation in the EU.</w:t>
      </w:r>
    </w:p>
    <w:p w14:paraId="73651881" w14:textId="77777777" w:rsidR="007E34FB" w:rsidRPr="00373E52" w:rsidRDefault="007E34FB" w:rsidP="00373E52">
      <w:pPr>
        <w:pStyle w:val="Heading4"/>
      </w:pPr>
      <w:r w:rsidRPr="00373E52">
        <w:t>Comment</w:t>
      </w:r>
    </w:p>
    <w:p w14:paraId="086A0102" w14:textId="12E63E3D" w:rsidR="007E34FB" w:rsidRPr="00373E52" w:rsidRDefault="007E34FB" w:rsidP="00373E52">
      <w:r w:rsidRPr="007406AA">
        <w:t xml:space="preserve">The </w:t>
      </w:r>
      <w:proofErr w:type="gramStart"/>
      <w:r w:rsidRPr="007406AA">
        <w:t>long term</w:t>
      </w:r>
      <w:proofErr w:type="gramEnd"/>
      <w:r w:rsidRPr="007406AA">
        <w:t xml:space="preserve"> safety study, </w:t>
      </w:r>
      <w:r w:rsidR="00D36548">
        <w:t xml:space="preserve">RAINBOW Extension </w:t>
      </w:r>
      <w:r w:rsidR="0029257A">
        <w:t>trial</w:t>
      </w:r>
      <w:r w:rsidRPr="007406AA">
        <w:t xml:space="preserve">, will evaluate patients up till their </w:t>
      </w:r>
      <w:r w:rsidR="00373E52">
        <w:t>fifth</w:t>
      </w:r>
      <w:r w:rsidRPr="007406AA">
        <w:t xml:space="preserve"> birthday but will not report until 2023. </w:t>
      </w:r>
      <w:proofErr w:type="gramStart"/>
      <w:r w:rsidRPr="007406AA">
        <w:t>Long term</w:t>
      </w:r>
      <w:proofErr w:type="gramEnd"/>
      <w:r w:rsidRPr="007406AA">
        <w:t xml:space="preserve"> safety including neurodevelopmental delay will be assessed, but it is not clear at what time points and which measures will be used. The current risk mitigation strategies are not adequate to balance the severity of the potential risk</w:t>
      </w:r>
      <w:r w:rsidR="00BF494A">
        <w:t>.</w:t>
      </w:r>
    </w:p>
    <w:p w14:paraId="35062812" w14:textId="77777777" w:rsidR="008E7846" w:rsidRDefault="00AA0ED0" w:rsidP="008E7846">
      <w:pPr>
        <w:pStyle w:val="Heading3"/>
      </w:pPr>
      <w:bookmarkStart w:id="52" w:name="_Toc247691531"/>
      <w:bookmarkStart w:id="53" w:name="_Toc314842515"/>
      <w:bookmarkStart w:id="54" w:name="_Toc50054487"/>
      <w:bookmarkStart w:id="55" w:name="_Toc196046505"/>
      <w:bookmarkStart w:id="56" w:name="_Toc196046949"/>
      <w:r>
        <w:lastRenderedPageBreak/>
        <w:t>Risk-benefit a</w:t>
      </w:r>
      <w:r w:rsidR="008E7846">
        <w:t>nalysis</w:t>
      </w:r>
      <w:bookmarkEnd w:id="52"/>
      <w:bookmarkEnd w:id="53"/>
      <w:bookmarkEnd w:id="54"/>
    </w:p>
    <w:p w14:paraId="483BFEA6" w14:textId="77777777" w:rsidR="00D23139" w:rsidRDefault="008E2167" w:rsidP="00D23139">
      <w:pPr>
        <w:pStyle w:val="Heading4"/>
      </w:pPr>
      <w:r>
        <w:t>Delegate’s considerations</w:t>
      </w:r>
    </w:p>
    <w:p w14:paraId="40A5046A" w14:textId="48F9362C" w:rsidR="007E34FB" w:rsidRPr="006F76CE" w:rsidRDefault="0029257A" w:rsidP="00373E52">
      <w:r>
        <w:t>ROP</w:t>
      </w:r>
      <w:r w:rsidR="007E34FB">
        <w:t xml:space="preserve"> affects preterm neonates. Untreated it can result in detrimental visual outcomes including blindness. The current treatment is laser therapy but there are risks including those that result from sedation and intubation and adve</w:t>
      </w:r>
      <w:r w:rsidR="00373E52">
        <w:t>rse effects on visual fields.</w:t>
      </w:r>
    </w:p>
    <w:p w14:paraId="15A735BF" w14:textId="1872A3AA" w:rsidR="00BF494A" w:rsidRDefault="007E34FB" w:rsidP="00373E52">
      <w:r>
        <w:t>A single completed study (</w:t>
      </w:r>
      <w:r w:rsidR="00932696">
        <w:t xml:space="preserve">the </w:t>
      </w:r>
      <w:r>
        <w:t>RAINBOW</w:t>
      </w:r>
      <w:r w:rsidR="00D36548">
        <w:t xml:space="preserve"> </w:t>
      </w:r>
      <w:r w:rsidR="0029257A">
        <w:t>trial</w:t>
      </w:r>
      <w:r>
        <w:t>)</w:t>
      </w:r>
      <w:proofErr w:type="gramStart"/>
      <w:r w:rsidR="00932696">
        <w:t>;</w:t>
      </w:r>
      <w:proofErr w:type="gramEnd"/>
      <w:r w:rsidR="00932696" w:rsidRPr="005B2E7C">
        <w:rPr>
          <w:vertAlign w:val="superscript"/>
        </w:rPr>
        <w:fldChar w:fldCharType="begin"/>
      </w:r>
      <w:r w:rsidR="00932696" w:rsidRPr="005B2E7C">
        <w:rPr>
          <w:vertAlign w:val="superscript"/>
        </w:rPr>
        <w:instrText xml:space="preserve"> NOTEREF _Ref49510709 \h </w:instrText>
      </w:r>
      <w:r w:rsidR="00932696">
        <w:rPr>
          <w:vertAlign w:val="superscript"/>
        </w:rPr>
        <w:instrText xml:space="preserve"> \* MERGEFORMAT </w:instrText>
      </w:r>
      <w:r w:rsidR="00932696" w:rsidRPr="005B2E7C">
        <w:rPr>
          <w:vertAlign w:val="superscript"/>
        </w:rPr>
      </w:r>
      <w:r w:rsidR="00932696" w:rsidRPr="005B2E7C">
        <w:rPr>
          <w:vertAlign w:val="superscript"/>
        </w:rPr>
        <w:fldChar w:fldCharType="separate"/>
      </w:r>
      <w:r w:rsidR="00EA746F">
        <w:rPr>
          <w:vertAlign w:val="superscript"/>
        </w:rPr>
        <w:t>15</w:t>
      </w:r>
      <w:r w:rsidR="00932696" w:rsidRPr="005B2E7C">
        <w:rPr>
          <w:vertAlign w:val="superscript"/>
        </w:rPr>
        <w:fldChar w:fldCharType="end"/>
      </w:r>
      <w:r>
        <w:t xml:space="preserve"> provides efficacy and safety data for treatment with </w:t>
      </w:r>
      <w:proofErr w:type="spellStart"/>
      <w:r>
        <w:t>ranibizumab</w:t>
      </w:r>
      <w:proofErr w:type="spellEnd"/>
      <w:r>
        <w:t xml:space="preserve"> in premature infants with ROP, with additional data from the first interim analysis of the ongoin</w:t>
      </w:r>
      <w:r w:rsidR="00D36548">
        <w:t xml:space="preserve">g extension study. The RAINBOW </w:t>
      </w:r>
      <w:r w:rsidR="0029257A">
        <w:t>trial</w:t>
      </w:r>
      <w:r>
        <w:t>, which was a randomi</w:t>
      </w:r>
      <w:r w:rsidR="00932696">
        <w:t>s</w:t>
      </w:r>
      <w:r>
        <w:t>ed, open label, controlled, multicentre trial with three arms (total n</w:t>
      </w:r>
      <w:r w:rsidR="00373E52">
        <w:t xml:space="preserve"> </w:t>
      </w:r>
      <w:r>
        <w:t>=</w:t>
      </w:r>
      <w:r w:rsidR="00373E52">
        <w:t xml:space="preserve"> </w:t>
      </w:r>
      <w:r>
        <w:t xml:space="preserve">225), did not demonstrate statistical significance for the primary efficacy measure at 24 weeks. However, numerically, treatment success was higher in the </w:t>
      </w:r>
      <w:proofErr w:type="spellStart"/>
      <w:r>
        <w:t>ranibizumab</w:t>
      </w:r>
      <w:proofErr w:type="spellEnd"/>
      <w:r>
        <w:t xml:space="preserve"> 0.2</w:t>
      </w:r>
      <w:r w:rsidR="00C822EA">
        <w:t xml:space="preserve"> </w:t>
      </w:r>
      <w:r>
        <w:t>mg group than the laser group (OR 2.19)</w:t>
      </w:r>
      <w:r w:rsidR="00BF494A">
        <w:t>.</w:t>
      </w:r>
    </w:p>
    <w:p w14:paraId="4AC58EB1" w14:textId="77777777" w:rsidR="007E34FB" w:rsidRDefault="007E34FB" w:rsidP="00373E52">
      <w:pPr>
        <w:rPr>
          <w:lang w:eastAsia="ja-JP"/>
        </w:rPr>
      </w:pPr>
      <w:r>
        <w:rPr>
          <w:lang w:eastAsia="ja-JP"/>
        </w:rPr>
        <w:t xml:space="preserve">The study </w:t>
      </w:r>
      <w:proofErr w:type="gramStart"/>
      <w:r>
        <w:rPr>
          <w:lang w:eastAsia="ja-JP"/>
        </w:rPr>
        <w:t>was not powered</w:t>
      </w:r>
      <w:proofErr w:type="gramEnd"/>
      <w:r>
        <w:rPr>
          <w:lang w:eastAsia="ja-JP"/>
        </w:rPr>
        <w:t xml:space="preserve"> to determine whether particular patient characteristics or disease characteristics, such as location or severity of ROP, predict response to VEGF. The study did not systematically report on levels of sedation or anaesthesia required across groups.</w:t>
      </w:r>
    </w:p>
    <w:p w14:paraId="17FFFFE2" w14:textId="1390C842" w:rsidR="00BF494A" w:rsidRDefault="007E34FB" w:rsidP="004616F9">
      <w:r>
        <w:t xml:space="preserve">Safety data at 24 weeks (and </w:t>
      </w:r>
      <w:r w:rsidR="00932696">
        <w:t>the RAINBOW E</w:t>
      </w:r>
      <w:r>
        <w:t>xtension</w:t>
      </w:r>
      <w:r w:rsidR="00932696">
        <w:t xml:space="preserve"> trial</w:t>
      </w:r>
      <w:r>
        <w:t xml:space="preserve"> study data at 40 weeks)</w:t>
      </w:r>
      <w:proofErr w:type="gramStart"/>
      <w:r w:rsidR="00932696">
        <w:t>;</w:t>
      </w:r>
      <w:proofErr w:type="gramEnd"/>
      <w:r w:rsidR="00932696" w:rsidRPr="005B2E7C">
        <w:rPr>
          <w:vertAlign w:val="superscript"/>
        </w:rPr>
        <w:fldChar w:fldCharType="begin"/>
      </w:r>
      <w:r w:rsidR="00932696" w:rsidRPr="005B2E7C">
        <w:rPr>
          <w:vertAlign w:val="superscript"/>
        </w:rPr>
        <w:instrText xml:space="preserve"> NOTEREF _Ref49510737 \h </w:instrText>
      </w:r>
      <w:r w:rsidR="00932696">
        <w:rPr>
          <w:vertAlign w:val="superscript"/>
        </w:rPr>
        <w:instrText xml:space="preserve"> \* MERGEFORMAT </w:instrText>
      </w:r>
      <w:r w:rsidR="00932696" w:rsidRPr="005B2E7C">
        <w:rPr>
          <w:vertAlign w:val="superscript"/>
        </w:rPr>
      </w:r>
      <w:r w:rsidR="00932696" w:rsidRPr="005B2E7C">
        <w:rPr>
          <w:vertAlign w:val="superscript"/>
        </w:rPr>
        <w:fldChar w:fldCharType="separate"/>
      </w:r>
      <w:r w:rsidR="00EA746F">
        <w:rPr>
          <w:vertAlign w:val="superscript"/>
        </w:rPr>
        <w:t>16</w:t>
      </w:r>
      <w:r w:rsidR="00932696" w:rsidRPr="005B2E7C">
        <w:rPr>
          <w:vertAlign w:val="superscript"/>
        </w:rPr>
        <w:fldChar w:fldCharType="end"/>
      </w:r>
      <w:r>
        <w:t xml:space="preserve"> showed an ocular adverse event profile consistent with the known profile for </w:t>
      </w:r>
      <w:proofErr w:type="spellStart"/>
      <w:r>
        <w:t>intravitreal</w:t>
      </w:r>
      <w:proofErr w:type="spellEnd"/>
      <w:r>
        <w:t xml:space="preserve"> use in adults. Further, there were no major differences in non-ocular adverse events between </w:t>
      </w:r>
      <w:proofErr w:type="spellStart"/>
      <w:r>
        <w:t>ranibizumab</w:t>
      </w:r>
      <w:proofErr w:type="spellEnd"/>
      <w:r>
        <w:t xml:space="preserve"> and laser treatment groups</w:t>
      </w:r>
      <w:r w:rsidR="00BF494A">
        <w:t>.</w:t>
      </w:r>
    </w:p>
    <w:p w14:paraId="530843F0" w14:textId="77777777" w:rsidR="00BF494A" w:rsidRDefault="007E34FB" w:rsidP="00373E52">
      <w:pPr>
        <w:rPr>
          <w:lang w:eastAsia="ja-JP"/>
        </w:rPr>
      </w:pPr>
      <w:proofErr w:type="gramStart"/>
      <w:r>
        <w:rPr>
          <w:lang w:eastAsia="ja-JP"/>
        </w:rPr>
        <w:t>Longer term</w:t>
      </w:r>
      <w:proofErr w:type="gramEnd"/>
      <w:r>
        <w:rPr>
          <w:lang w:eastAsia="ja-JP"/>
        </w:rPr>
        <w:t xml:space="preserve"> data are required to determine the effects of potential</w:t>
      </w:r>
      <w:r w:rsidR="00C822EA">
        <w:rPr>
          <w:lang w:eastAsia="ja-JP"/>
        </w:rPr>
        <w:t xml:space="preserve"> systemic suppression of VEGF. </w:t>
      </w:r>
      <w:r w:rsidRPr="005D23AE">
        <w:rPr>
          <w:rFonts w:asciiTheme="minorHAnsi" w:hAnsiTheme="minorHAnsi"/>
          <w:lang w:val="en-US"/>
        </w:rPr>
        <w:t xml:space="preserve">Premature infants have very different systemic physiology compared to adults, children and infants due to differences in body fat and muscle, metabolism and renal function. Premature babies’ eyes </w:t>
      </w:r>
      <w:proofErr w:type="gramStart"/>
      <w:r w:rsidRPr="005D23AE">
        <w:rPr>
          <w:rFonts w:asciiTheme="minorHAnsi" w:hAnsiTheme="minorHAnsi"/>
          <w:lang w:val="en-US"/>
        </w:rPr>
        <w:t>are not fully</w:t>
      </w:r>
      <w:r w:rsidR="00C822EA">
        <w:rPr>
          <w:lang w:val="en-US"/>
        </w:rPr>
        <w:t xml:space="preserve"> developed</w:t>
      </w:r>
      <w:proofErr w:type="gramEnd"/>
      <w:r w:rsidRPr="005D23AE">
        <w:rPr>
          <w:lang w:val="en-US"/>
        </w:rPr>
        <w:t xml:space="preserve"> </w:t>
      </w:r>
      <w:r w:rsidR="00C822EA" w:rsidRPr="005D23AE">
        <w:rPr>
          <w:lang w:val="en-US"/>
        </w:rPr>
        <w:t xml:space="preserve">from a </w:t>
      </w:r>
      <w:r w:rsidR="00C822EA">
        <w:rPr>
          <w:lang w:val="en-US"/>
        </w:rPr>
        <w:t>neurological</w:t>
      </w:r>
      <w:r w:rsidRPr="005D23AE">
        <w:rPr>
          <w:lang w:val="en-US"/>
        </w:rPr>
        <w:t xml:space="preserve"> and vascular perspective. </w:t>
      </w:r>
      <w:r>
        <w:rPr>
          <w:lang w:val="en-US"/>
        </w:rPr>
        <w:t>T</w:t>
      </w:r>
      <w:r w:rsidRPr="005D23AE">
        <w:rPr>
          <w:lang w:val="en-US"/>
        </w:rPr>
        <w:t xml:space="preserve">here is a question of how much </w:t>
      </w:r>
      <w:proofErr w:type="spellStart"/>
      <w:r w:rsidRPr="005D23AE">
        <w:rPr>
          <w:lang w:val="en-US"/>
        </w:rPr>
        <w:t>ranibizumab</w:t>
      </w:r>
      <w:proofErr w:type="spellEnd"/>
      <w:r w:rsidRPr="005D23AE">
        <w:rPr>
          <w:lang w:val="en-US"/>
        </w:rPr>
        <w:t xml:space="preserve"> may enter through the blood brain barrier or how the </w:t>
      </w:r>
      <w:proofErr w:type="spellStart"/>
      <w:r w:rsidRPr="0056288D">
        <w:rPr>
          <w:lang w:val="en-US"/>
        </w:rPr>
        <w:t>intravitreal</w:t>
      </w:r>
      <w:proofErr w:type="spellEnd"/>
      <w:r w:rsidRPr="005D23AE">
        <w:rPr>
          <w:lang w:val="en-US"/>
        </w:rPr>
        <w:t>-systemic flow from a prema</w:t>
      </w:r>
      <w:r>
        <w:rPr>
          <w:lang w:val="en-US"/>
        </w:rPr>
        <w:t xml:space="preserve">ture baby compares to an adult. The specific concerns are that anti-VEGF agents </w:t>
      </w:r>
      <w:r>
        <w:rPr>
          <w:lang w:eastAsia="ja-JP"/>
        </w:rPr>
        <w:t>may affect neurodevelopment or other outcomes including vital organ development</w:t>
      </w:r>
      <w:r w:rsidR="00BF494A">
        <w:rPr>
          <w:lang w:eastAsia="ja-JP"/>
        </w:rPr>
        <w:t>.</w:t>
      </w:r>
    </w:p>
    <w:p w14:paraId="7F2328EC" w14:textId="77777777" w:rsidR="007E34FB" w:rsidRDefault="007E34FB" w:rsidP="00373E52">
      <w:r>
        <w:t>The findings of two North American retrospective cohort studies of pre</w:t>
      </w:r>
      <w:r w:rsidR="00A606B0">
        <w:t>term infants</w:t>
      </w:r>
      <w:r>
        <w:t xml:space="preserve"> have reported statistically significant </w:t>
      </w:r>
      <w:proofErr w:type="gramStart"/>
      <w:r>
        <w:t>long term</w:t>
      </w:r>
      <w:proofErr w:type="gramEnd"/>
      <w:r>
        <w:t xml:space="preserve"> neurodevelopmental adverse outcomes in preterm infants treated with anti-VEGF agents compared to laser. However, </w:t>
      </w:r>
      <w:proofErr w:type="gramStart"/>
      <w:r>
        <w:t>there are many confounding factors that</w:t>
      </w:r>
      <w:proofErr w:type="gramEnd"/>
      <w:r>
        <w:t xml:space="preserve"> may have affected the results.</w:t>
      </w:r>
    </w:p>
    <w:p w14:paraId="02E5E4AB" w14:textId="6A6CB815" w:rsidR="00BF494A" w:rsidRDefault="007E34FB" w:rsidP="00373E52">
      <w:pPr>
        <w:pStyle w:val="ListBullet"/>
      </w:pPr>
      <w:r>
        <w:t>Morin et al</w:t>
      </w:r>
      <w:r w:rsidR="00932696">
        <w:t>.</w:t>
      </w:r>
      <w:proofErr w:type="gramStart"/>
      <w:r w:rsidR="00932696">
        <w:t>,</w:t>
      </w:r>
      <w:r>
        <w:t>2016</w:t>
      </w:r>
      <w:proofErr w:type="gramEnd"/>
      <w:r w:rsidR="00A47764">
        <w:t>;</w:t>
      </w:r>
      <w:bookmarkStart w:id="57" w:name="_Ref45709763"/>
      <w:r w:rsidR="00A47764">
        <w:rPr>
          <w:rStyle w:val="FootnoteReference"/>
        </w:rPr>
        <w:footnoteReference w:id="19"/>
      </w:r>
      <w:bookmarkEnd w:id="57"/>
      <w:r>
        <w:t xml:space="preserve"> </w:t>
      </w:r>
      <w:r w:rsidRPr="00FD5E2A">
        <w:t>examin</w:t>
      </w:r>
      <w:r>
        <w:t xml:space="preserve">ed </w:t>
      </w:r>
      <w:r w:rsidRPr="00FD5E2A">
        <w:t>data extracted from the Canadian Neonatal Network (CNN) and the Canadian Neonatal Follow-up Network (CNFUN) database</w:t>
      </w:r>
      <w:r>
        <w:t>. P</w:t>
      </w:r>
      <w:r w:rsidRPr="00FD5E2A">
        <w:t>reterm infants treated with bevacizumab</w:t>
      </w:r>
      <w:r>
        <w:t xml:space="preserve"> (n</w:t>
      </w:r>
      <w:r w:rsidR="00C822EA">
        <w:t xml:space="preserve"> </w:t>
      </w:r>
      <w:r>
        <w:t>=</w:t>
      </w:r>
      <w:r w:rsidR="00C822EA">
        <w:t xml:space="preserve"> </w:t>
      </w:r>
      <w:r>
        <w:t>27) versus those treated with laser (n</w:t>
      </w:r>
      <w:r w:rsidR="00C822EA">
        <w:t xml:space="preserve"> </w:t>
      </w:r>
      <w:r>
        <w:t>=</w:t>
      </w:r>
      <w:r w:rsidR="00C822EA">
        <w:t xml:space="preserve"> </w:t>
      </w:r>
      <w:r>
        <w:t>98)</w:t>
      </w:r>
      <w:r w:rsidRPr="00FD5E2A">
        <w:t xml:space="preserve"> had higher odds ratio of severe neurodevelopmental disabilities at 18 months follow up, with lower motor development scores reaching statistical significance</w:t>
      </w:r>
      <w:r w:rsidR="00BF494A">
        <w:t>.</w:t>
      </w:r>
    </w:p>
    <w:p w14:paraId="48821C35" w14:textId="06DAAC29" w:rsidR="00BF494A" w:rsidRDefault="007E34FB" w:rsidP="00373E52">
      <w:pPr>
        <w:pStyle w:val="ListBullet"/>
        <w:rPr>
          <w:rFonts w:asciiTheme="minorHAnsi" w:hAnsiTheme="minorHAnsi"/>
          <w:lang w:val="en"/>
        </w:rPr>
      </w:pPr>
      <w:r>
        <w:t>Natarajan et al</w:t>
      </w:r>
      <w:r w:rsidR="00932696">
        <w:t>.,</w:t>
      </w:r>
      <w:r>
        <w:t xml:space="preserve"> 2019</w:t>
      </w:r>
      <w:r w:rsidR="00A47764">
        <w:t>;</w:t>
      </w:r>
      <w:bookmarkStart w:id="58" w:name="_Ref45709820"/>
      <w:r w:rsidR="00A47764">
        <w:rPr>
          <w:rStyle w:val="FootnoteReference"/>
        </w:rPr>
        <w:footnoteReference w:id="20"/>
      </w:r>
      <w:bookmarkEnd w:id="58"/>
      <w:r>
        <w:t xml:space="preserve"> extracted data from Eunice Kennedy Shriver National Institute of Child Health and Human Development</w:t>
      </w:r>
      <w:r w:rsidR="00932696">
        <w:t xml:space="preserve">, </w:t>
      </w:r>
      <w:r>
        <w:t xml:space="preserve">Neonatal Research Network </w:t>
      </w:r>
      <w:proofErr w:type="spellStart"/>
      <w:r>
        <w:t>Cente</w:t>
      </w:r>
      <w:r w:rsidR="00932696">
        <w:t>r</w:t>
      </w:r>
      <w:r>
        <w:t>s</w:t>
      </w:r>
      <w:proofErr w:type="spellEnd"/>
      <w:r>
        <w:t xml:space="preserve"> database</w:t>
      </w:r>
      <w:r w:rsidR="00932696">
        <w:t xml:space="preserve"> (National Institutes of Health, USA)</w:t>
      </w:r>
      <w:r>
        <w:t>. A greater proportion of infants in the bevacizumab group died (14.4% versus 6.3%; adjusted odds ratio 2.54 (95%</w:t>
      </w:r>
      <w:r w:rsidR="00C822EA">
        <w:t xml:space="preserve"> </w:t>
      </w:r>
      <w:r>
        <w:t>CI 1.42 to 4.55); p</w:t>
      </w:r>
      <w:r w:rsidR="00C822EA">
        <w:t xml:space="preserve"> </w:t>
      </w:r>
      <w:r>
        <w:t>=</w:t>
      </w:r>
      <w:r w:rsidR="00C822EA">
        <w:t xml:space="preserve"> 0</w:t>
      </w:r>
      <w:r>
        <w:t xml:space="preserve">.002) and the likelihood of having cognitive scores </w:t>
      </w:r>
      <w:r w:rsidRPr="00C2457C">
        <w:rPr>
          <w:rFonts w:asciiTheme="minorHAnsi" w:hAnsiTheme="minorHAnsi"/>
          <w:lang w:val="en"/>
        </w:rPr>
        <w:t>&lt;</w:t>
      </w:r>
      <w:r w:rsidR="00C822EA">
        <w:rPr>
          <w:rFonts w:asciiTheme="minorHAnsi" w:hAnsiTheme="minorHAnsi"/>
          <w:lang w:val="en"/>
        </w:rPr>
        <w:t xml:space="preserve"> </w:t>
      </w:r>
      <w:r w:rsidRPr="00C2457C">
        <w:rPr>
          <w:rFonts w:asciiTheme="minorHAnsi" w:hAnsiTheme="minorHAnsi"/>
          <w:lang w:val="en"/>
        </w:rPr>
        <w:t>85 was 1.78 fold higher in the bevacizumab group (95% CI 1.09 to 2.91)</w:t>
      </w:r>
      <w:r w:rsidR="00BF494A">
        <w:rPr>
          <w:rFonts w:asciiTheme="minorHAnsi" w:hAnsiTheme="minorHAnsi"/>
          <w:lang w:val="en"/>
        </w:rPr>
        <w:t>.</w:t>
      </w:r>
    </w:p>
    <w:p w14:paraId="4280FDEA" w14:textId="382D166C" w:rsidR="007E34FB" w:rsidRPr="000D44E1" w:rsidRDefault="00F12C37" w:rsidP="00373E52">
      <w:pPr>
        <w:pStyle w:val="Heading4"/>
        <w:rPr>
          <w:lang w:val="en"/>
        </w:rPr>
      </w:pPr>
      <w:r>
        <w:rPr>
          <w:lang w:val="en"/>
        </w:rPr>
        <w:lastRenderedPageBreak/>
        <w:t>Proposed action</w:t>
      </w:r>
    </w:p>
    <w:p w14:paraId="6999D09F" w14:textId="402279FD" w:rsidR="007E34FB" w:rsidRDefault="007E34FB" w:rsidP="007E34FB">
      <w:pPr>
        <w:rPr>
          <w:rFonts w:asciiTheme="minorHAnsi" w:hAnsiTheme="minorHAnsi"/>
          <w:lang w:val="en"/>
        </w:rPr>
      </w:pPr>
      <w:r w:rsidRPr="000D44E1">
        <w:rPr>
          <w:rFonts w:asciiTheme="minorHAnsi" w:hAnsiTheme="minorHAnsi"/>
          <w:lang w:val="en"/>
        </w:rPr>
        <w:t xml:space="preserve">At this stage, it is uncertain whether the efficacy benefits for </w:t>
      </w:r>
      <w:proofErr w:type="spellStart"/>
      <w:r w:rsidRPr="000D44E1">
        <w:rPr>
          <w:rFonts w:asciiTheme="minorHAnsi" w:hAnsiTheme="minorHAnsi"/>
          <w:lang w:val="en"/>
        </w:rPr>
        <w:t>intravitreal</w:t>
      </w:r>
      <w:proofErr w:type="spellEnd"/>
      <w:r w:rsidRPr="000D44E1">
        <w:rPr>
          <w:rFonts w:asciiTheme="minorHAnsi" w:hAnsiTheme="minorHAnsi"/>
          <w:lang w:val="en"/>
        </w:rPr>
        <w:t xml:space="preserve"> </w:t>
      </w:r>
      <w:proofErr w:type="spellStart"/>
      <w:r w:rsidRPr="000D44E1">
        <w:rPr>
          <w:rFonts w:asciiTheme="minorHAnsi" w:hAnsiTheme="minorHAnsi"/>
          <w:lang w:val="en"/>
        </w:rPr>
        <w:t>ranibizumab</w:t>
      </w:r>
      <w:proofErr w:type="spellEnd"/>
      <w:r w:rsidRPr="000D44E1">
        <w:rPr>
          <w:rFonts w:asciiTheme="minorHAnsi" w:hAnsiTheme="minorHAnsi"/>
          <w:lang w:val="en"/>
        </w:rPr>
        <w:t xml:space="preserve"> outweigh the lack of long-term safety data and potential risk of neurodevelopmental delay.</w:t>
      </w:r>
      <w:r>
        <w:rPr>
          <w:rFonts w:asciiTheme="minorHAnsi" w:hAnsiTheme="minorHAnsi"/>
          <w:lang w:val="en"/>
        </w:rPr>
        <w:t xml:space="preserve"> </w:t>
      </w:r>
      <w:r w:rsidR="001C535D">
        <w:rPr>
          <w:rFonts w:asciiTheme="minorHAnsi" w:hAnsiTheme="minorHAnsi"/>
          <w:lang w:val="en"/>
        </w:rPr>
        <w:t>T</w:t>
      </w:r>
      <w:r w:rsidR="00C822EA">
        <w:rPr>
          <w:rFonts w:asciiTheme="minorHAnsi" w:hAnsiTheme="minorHAnsi"/>
          <w:lang w:val="en"/>
        </w:rPr>
        <w:t>he Delegate is</w:t>
      </w:r>
      <w:r>
        <w:rPr>
          <w:rFonts w:asciiTheme="minorHAnsi" w:hAnsiTheme="minorHAnsi"/>
          <w:lang w:val="en"/>
        </w:rPr>
        <w:t xml:space="preserve"> of the opinion that the application should be rejected until the </w:t>
      </w:r>
      <w:proofErr w:type="gramStart"/>
      <w:r>
        <w:rPr>
          <w:rFonts w:asciiTheme="minorHAnsi" w:hAnsiTheme="minorHAnsi"/>
          <w:lang w:val="en"/>
        </w:rPr>
        <w:t>long term</w:t>
      </w:r>
      <w:proofErr w:type="gramEnd"/>
      <w:r>
        <w:rPr>
          <w:rFonts w:asciiTheme="minorHAnsi" w:hAnsiTheme="minorHAnsi"/>
          <w:lang w:val="en"/>
        </w:rPr>
        <w:t xml:space="preserve"> outcomes of visual acuity, visual function and developmental outcomes are known.</w:t>
      </w:r>
    </w:p>
    <w:p w14:paraId="4CE56310" w14:textId="685C22DA" w:rsidR="008E2167" w:rsidRDefault="008E2167" w:rsidP="008E2167">
      <w:pPr>
        <w:pStyle w:val="Heading4"/>
      </w:pPr>
      <w:r>
        <w:t>Request for Adv</w:t>
      </w:r>
      <w:r w:rsidR="00615D18">
        <w:t>isory Committee on Medicines</w:t>
      </w:r>
      <w:r w:rsidR="006832E6">
        <w:t xml:space="preserve"> advice</w:t>
      </w:r>
    </w:p>
    <w:p w14:paraId="17164DF5" w14:textId="77777777" w:rsidR="007E34FB" w:rsidRPr="00AF7993" w:rsidRDefault="007E34FB" w:rsidP="004616F9">
      <w:pPr>
        <w:pStyle w:val="Numberbullet0"/>
        <w:numPr>
          <w:ilvl w:val="0"/>
          <w:numId w:val="35"/>
        </w:numPr>
      </w:pPr>
      <w:r w:rsidRPr="00AF7993">
        <w:t xml:space="preserve">Are the infants in the clinical study typical of those in which treatment </w:t>
      </w:r>
      <w:proofErr w:type="gramStart"/>
      <w:r w:rsidRPr="00AF7993">
        <w:t>would be indicated</w:t>
      </w:r>
      <w:proofErr w:type="gramEnd"/>
      <w:r w:rsidRPr="00AF7993">
        <w:t xml:space="preserve"> in clinical practice?</w:t>
      </w:r>
    </w:p>
    <w:p w14:paraId="4DB96E1E" w14:textId="73849E12" w:rsidR="007E34FB" w:rsidRDefault="007E34FB" w:rsidP="00C822EA">
      <w:pPr>
        <w:pStyle w:val="Numberbullet0"/>
        <w:numPr>
          <w:ilvl w:val="0"/>
          <w:numId w:val="0"/>
        </w:numPr>
        <w:ind w:left="425"/>
      </w:pPr>
      <w:r>
        <w:t xml:space="preserve">Not all ROP requires treatment. The RAINBOW clinical </w:t>
      </w:r>
      <w:r w:rsidR="006832E6">
        <w:t xml:space="preserve">trial </w:t>
      </w:r>
      <w:r>
        <w:t>inclusion criteria included retinal examination findings in each eye specifying the extent and seve</w:t>
      </w:r>
      <w:r w:rsidR="00645C41">
        <w:t xml:space="preserve">rity of proliferative disease. </w:t>
      </w:r>
      <w:r>
        <w:t xml:space="preserve">Do the inclusion criteria applied in the </w:t>
      </w:r>
      <w:r w:rsidR="00D36548">
        <w:t xml:space="preserve">RAINBOW </w:t>
      </w:r>
      <w:r w:rsidR="006832E6">
        <w:t xml:space="preserve">trial </w:t>
      </w:r>
      <w:r>
        <w:t xml:space="preserve">match the clinical parameters currently used to determine if a preterm infant </w:t>
      </w:r>
      <w:proofErr w:type="gramStart"/>
      <w:r>
        <w:t>should be treated</w:t>
      </w:r>
      <w:proofErr w:type="gramEnd"/>
      <w:r>
        <w:t xml:space="preserve"> with laser ablation?</w:t>
      </w:r>
    </w:p>
    <w:p w14:paraId="5DC264FD" w14:textId="257E8AC2" w:rsidR="007E34FB" w:rsidRDefault="007E34FB" w:rsidP="00C822EA">
      <w:pPr>
        <w:pStyle w:val="Numberbullet0"/>
      </w:pPr>
      <w:r w:rsidRPr="00C822EA">
        <w:t>Please comment on the increase</w:t>
      </w:r>
      <w:r w:rsidR="00615D18">
        <w:t>d</w:t>
      </w:r>
      <w:r w:rsidRPr="00C822EA">
        <w:t xml:space="preserve"> rate of recurrence of ROP with </w:t>
      </w:r>
      <w:proofErr w:type="spellStart"/>
      <w:r w:rsidRPr="00C822EA">
        <w:t>ranibizumab</w:t>
      </w:r>
      <w:proofErr w:type="spellEnd"/>
      <w:r w:rsidRPr="00C822EA">
        <w:t xml:space="preserve"> and the need for retreatment. Is this</w:t>
      </w:r>
      <w:r w:rsidR="00645C41">
        <w:t xml:space="preserve"> an important negative outcome?</w:t>
      </w:r>
    </w:p>
    <w:p w14:paraId="05A933ED" w14:textId="77777777" w:rsidR="007E34FB" w:rsidRDefault="007E34FB" w:rsidP="00C822EA">
      <w:pPr>
        <w:pStyle w:val="Numberbullet0"/>
        <w:numPr>
          <w:ilvl w:val="0"/>
          <w:numId w:val="0"/>
        </w:numPr>
        <w:ind w:left="425"/>
      </w:pPr>
      <w:r>
        <w:t>Laser is the established treatment and is efficacious but risks of ocular side effects and concerns about anaesthetic risk have resulted in the search for alternative treatments</w:t>
      </w:r>
      <w:r w:rsidR="00645C41">
        <w:t>.</w:t>
      </w:r>
    </w:p>
    <w:p w14:paraId="4739C1CC" w14:textId="5ED975F3" w:rsidR="007E34FB" w:rsidRDefault="007E34FB" w:rsidP="00C822EA">
      <w:pPr>
        <w:pStyle w:val="Numberbullet0"/>
        <w:numPr>
          <w:ilvl w:val="0"/>
          <w:numId w:val="0"/>
        </w:numPr>
        <w:ind w:left="425"/>
      </w:pPr>
      <w:r>
        <w:t>I</w:t>
      </w:r>
      <w:r>
        <w:rPr>
          <w:lang w:eastAsia="ja-JP"/>
        </w:rPr>
        <w:t xml:space="preserve">n the </w:t>
      </w:r>
      <w:proofErr w:type="gramStart"/>
      <w:r w:rsidR="00D36548">
        <w:rPr>
          <w:lang w:eastAsia="ja-JP"/>
        </w:rPr>
        <w:t>RAINBOW</w:t>
      </w:r>
      <w:proofErr w:type="gramEnd"/>
      <w:r w:rsidR="00D36548">
        <w:rPr>
          <w:lang w:eastAsia="ja-JP"/>
        </w:rPr>
        <w:t xml:space="preserve"> </w:t>
      </w:r>
      <w:r w:rsidR="006832E6">
        <w:rPr>
          <w:lang w:eastAsia="ja-JP"/>
        </w:rPr>
        <w:t xml:space="preserve">trial </w:t>
      </w:r>
      <w:r>
        <w:rPr>
          <w:lang w:eastAsia="ja-JP"/>
        </w:rPr>
        <w:t xml:space="preserve">initial bilateral treatment was followed by recurrence of ROP in approximately 31% in the </w:t>
      </w:r>
      <w:proofErr w:type="spellStart"/>
      <w:r>
        <w:rPr>
          <w:lang w:eastAsia="ja-JP"/>
        </w:rPr>
        <w:t>ranibizumab</w:t>
      </w:r>
      <w:proofErr w:type="spellEnd"/>
      <w:r>
        <w:rPr>
          <w:lang w:eastAsia="ja-JP"/>
        </w:rPr>
        <w:t xml:space="preserve"> treatment arm, requiring retreatment. T</w:t>
      </w:r>
      <w:r w:rsidRPr="00C34B84">
        <w:rPr>
          <w:lang w:eastAsia="ja-JP"/>
        </w:rPr>
        <w:t xml:space="preserve">he </w:t>
      </w:r>
      <w:r w:rsidRPr="00C34B84">
        <w:t>higher rates of re</w:t>
      </w:r>
      <w:r>
        <w:t xml:space="preserve">treatment </w:t>
      </w:r>
      <w:r w:rsidRPr="00C34B84">
        <w:t xml:space="preserve">in the </w:t>
      </w:r>
      <w:proofErr w:type="spellStart"/>
      <w:r w:rsidRPr="00C34B84">
        <w:rPr>
          <w:lang w:eastAsia="ja-JP"/>
        </w:rPr>
        <w:t>ranibizumab</w:t>
      </w:r>
      <w:proofErr w:type="spellEnd"/>
      <w:r w:rsidRPr="00C34B84">
        <w:rPr>
          <w:lang w:eastAsia="ja-JP"/>
        </w:rPr>
        <w:t xml:space="preserve"> </w:t>
      </w:r>
      <w:r w:rsidRPr="00C34B84">
        <w:t xml:space="preserve">groups </w:t>
      </w:r>
      <w:r>
        <w:t xml:space="preserve">expose patients to repeated </w:t>
      </w:r>
      <w:r w:rsidRPr="00C34B84">
        <w:t>risk</w:t>
      </w:r>
      <w:r>
        <w:t>s</w:t>
      </w:r>
      <w:r w:rsidRPr="00C34B84">
        <w:t xml:space="preserve"> of treatment/procedure related </w:t>
      </w:r>
      <w:r w:rsidR="006832E6">
        <w:t>AEs</w:t>
      </w:r>
      <w:r>
        <w:t>,</w:t>
      </w:r>
      <w:r w:rsidRPr="00C34B84">
        <w:t xml:space="preserve"> </w:t>
      </w:r>
      <w:r>
        <w:t xml:space="preserve">including sedation. In the pivotal </w:t>
      </w:r>
      <w:r w:rsidR="00D36548">
        <w:t xml:space="preserve">RAINBOW </w:t>
      </w:r>
      <w:proofErr w:type="gramStart"/>
      <w:r w:rsidR="006832E6">
        <w:t>trial</w:t>
      </w:r>
      <w:proofErr w:type="gramEnd"/>
      <w:r w:rsidR="006832E6">
        <w:t xml:space="preserve"> </w:t>
      </w:r>
      <w:r>
        <w:t xml:space="preserve">the level of sedation required by patients receiving </w:t>
      </w:r>
      <w:proofErr w:type="spellStart"/>
      <w:r>
        <w:t>intravitreal</w:t>
      </w:r>
      <w:proofErr w:type="spellEnd"/>
      <w:r>
        <w:t xml:space="preserve"> </w:t>
      </w:r>
      <w:proofErr w:type="spellStart"/>
      <w:r>
        <w:t>ranibizumab</w:t>
      </w:r>
      <w:proofErr w:type="spellEnd"/>
      <w:r>
        <w:t xml:space="preserve"> was not systematically reported, but the sponsor noted that individual records show that some patients in the </w:t>
      </w:r>
      <w:proofErr w:type="spellStart"/>
      <w:r>
        <w:t>ranibizumab</w:t>
      </w:r>
      <w:proofErr w:type="spellEnd"/>
      <w:r>
        <w:t xml:space="preserve"> group required higher </w:t>
      </w:r>
      <w:r w:rsidR="00645C41">
        <w:t>levels of sedation than others.</w:t>
      </w:r>
    </w:p>
    <w:p w14:paraId="0DCC7984" w14:textId="5B183FAB" w:rsidR="007E34FB" w:rsidRPr="002F2757" w:rsidRDefault="007E34FB" w:rsidP="00C822EA">
      <w:pPr>
        <w:pStyle w:val="Numberbullet0"/>
        <w:numPr>
          <w:ilvl w:val="0"/>
          <w:numId w:val="0"/>
        </w:numPr>
        <w:ind w:left="425"/>
        <w:rPr>
          <w:b/>
        </w:rPr>
      </w:pPr>
      <w:r>
        <w:t xml:space="preserve">What level of sedation is required for injection versus laser treatment? What level of pain/discomfort does the patient experience with injection versus laser treatment? Are there other differential risks in level of sedation required? </w:t>
      </w:r>
      <w:proofErr w:type="gramStart"/>
      <w:r>
        <w:t>Does the requirement fo</w:t>
      </w:r>
      <w:r w:rsidR="004F68C2">
        <w:t>r a general anaesthetic weight</w:t>
      </w:r>
      <w:r>
        <w:t xml:space="preserve"> the clinical decision over choice of treatment?</w:t>
      </w:r>
      <w:proofErr w:type="gramEnd"/>
    </w:p>
    <w:p w14:paraId="785E7E96" w14:textId="77777777" w:rsidR="007E34FB" w:rsidRPr="0013267B" w:rsidRDefault="007E34FB" w:rsidP="00C822EA">
      <w:pPr>
        <w:pStyle w:val="Numberbullet0"/>
      </w:pPr>
      <w:r w:rsidRPr="0013267B">
        <w:t xml:space="preserve">How relevant are the differences in </w:t>
      </w:r>
      <w:proofErr w:type="gramStart"/>
      <w:r w:rsidRPr="0013267B">
        <w:t>24 week</w:t>
      </w:r>
      <w:proofErr w:type="gramEnd"/>
      <w:r w:rsidRPr="0013267B">
        <w:t xml:space="preserve"> ocular outcomes reported in this study to long term functional visual outcomes?</w:t>
      </w:r>
    </w:p>
    <w:p w14:paraId="5C2B4530" w14:textId="77777777" w:rsidR="00BF494A" w:rsidRDefault="007E34FB" w:rsidP="00C822EA">
      <w:pPr>
        <w:pStyle w:val="Numberbullet0"/>
        <w:numPr>
          <w:ilvl w:val="0"/>
          <w:numId w:val="0"/>
        </w:numPr>
        <w:ind w:left="425"/>
      </w:pPr>
      <w:r w:rsidRPr="002F2757">
        <w:t>In the pivotal study</w:t>
      </w:r>
      <w:r w:rsidR="00645C41">
        <w:t>,</w:t>
      </w:r>
      <w:r w:rsidRPr="002F2757">
        <w:t xml:space="preserve"> </w:t>
      </w:r>
      <w:r>
        <w:t xml:space="preserve">the </w:t>
      </w:r>
      <w:r w:rsidRPr="009E4BA4">
        <w:t>primary efficacy variable</w:t>
      </w:r>
      <w:r>
        <w:t xml:space="preserve"> was the absence of active ROP </w:t>
      </w:r>
      <w:r w:rsidRPr="00C56A6A">
        <w:t>and</w:t>
      </w:r>
      <w:r>
        <w:t xml:space="preserve"> absence of unfavourable structural outcomes in both eyes 24 weeks after starting study treatment. How clinically important are these measures of disease severity and structural outcomes</w:t>
      </w:r>
      <w:r w:rsidR="00BF494A">
        <w:t>.</w:t>
      </w:r>
    </w:p>
    <w:p w14:paraId="030A36A8" w14:textId="77777777" w:rsidR="007E34FB" w:rsidRDefault="007E34FB" w:rsidP="00C822EA">
      <w:pPr>
        <w:pStyle w:val="Numberbullet0"/>
        <w:numPr>
          <w:ilvl w:val="0"/>
          <w:numId w:val="0"/>
        </w:numPr>
        <w:ind w:left="425"/>
      </w:pPr>
      <w:r>
        <w:t>Do they predict functional visual outcomes in a child</w:t>
      </w:r>
      <w:r w:rsidR="00645C41">
        <w:t>’s everyday life?</w:t>
      </w:r>
    </w:p>
    <w:p w14:paraId="39DF73F1" w14:textId="77777777" w:rsidR="007E34FB" w:rsidRDefault="007E34FB" w:rsidP="00C822EA">
      <w:pPr>
        <w:pStyle w:val="Numberbullet0"/>
        <w:numPr>
          <w:ilvl w:val="0"/>
          <w:numId w:val="0"/>
        </w:numPr>
        <w:ind w:left="425"/>
      </w:pPr>
      <w:r>
        <w:t>Does this difference in structural ocular outcomes result in different ophthalmic fol</w:t>
      </w:r>
      <w:r w:rsidR="00645C41">
        <w:t>low up/intervention?</w:t>
      </w:r>
    </w:p>
    <w:p w14:paraId="4C6FC523" w14:textId="77777777" w:rsidR="007E34FB" w:rsidRPr="00494AF6" w:rsidRDefault="007E34FB" w:rsidP="00C822EA">
      <w:pPr>
        <w:pStyle w:val="Numberbullet0"/>
      </w:pPr>
      <w:r w:rsidRPr="00494AF6">
        <w:t xml:space="preserve">Are there benefits and risks not apparent from the efficacy and safety in the clinical </w:t>
      </w:r>
      <w:proofErr w:type="gramStart"/>
      <w:r w:rsidRPr="00494AF6">
        <w:t>study which</w:t>
      </w:r>
      <w:proofErr w:type="gramEnd"/>
      <w:r w:rsidRPr="00494AF6">
        <w:t xml:space="preserve"> should be considered when making a decision about this drug</w:t>
      </w:r>
      <w:r>
        <w:t xml:space="preserve"> </w:t>
      </w:r>
      <w:r w:rsidR="00645C41">
        <w:t xml:space="preserve">(for example, </w:t>
      </w:r>
      <w:r w:rsidRPr="00494AF6">
        <w:t>different amounts of pain or discomfort associated with treatment, diff</w:t>
      </w:r>
      <w:r w:rsidR="00645C41">
        <w:t>erent needs for sedation)?</w:t>
      </w:r>
    </w:p>
    <w:p w14:paraId="76EA9F5C" w14:textId="77777777" w:rsidR="007E34FB" w:rsidRPr="00135F63" w:rsidRDefault="007E34FB" w:rsidP="00C822EA">
      <w:pPr>
        <w:pStyle w:val="Numberbullet0"/>
        <w:numPr>
          <w:ilvl w:val="0"/>
          <w:numId w:val="0"/>
        </w:numPr>
        <w:ind w:left="425"/>
        <w:rPr>
          <w:lang w:eastAsia="ja-JP"/>
        </w:rPr>
      </w:pPr>
      <w:r>
        <w:rPr>
          <w:lang w:eastAsia="ja-JP"/>
        </w:rPr>
        <w:t xml:space="preserve">The odds of treatment success were two times higher for the </w:t>
      </w:r>
      <w:proofErr w:type="spellStart"/>
      <w:r>
        <w:rPr>
          <w:lang w:eastAsia="ja-JP"/>
        </w:rPr>
        <w:t>ranibizumab</w:t>
      </w:r>
      <w:proofErr w:type="spellEnd"/>
      <w:r>
        <w:rPr>
          <w:lang w:eastAsia="ja-JP"/>
        </w:rPr>
        <w:t xml:space="preserve"> 0.2 mg group than the laser group. </w:t>
      </w:r>
      <w:proofErr w:type="gramStart"/>
      <w:r>
        <w:rPr>
          <w:lang w:eastAsia="ja-JP"/>
        </w:rPr>
        <w:t>But</w:t>
      </w:r>
      <w:proofErr w:type="gramEnd"/>
      <w:r>
        <w:rPr>
          <w:lang w:eastAsia="ja-JP"/>
        </w:rPr>
        <w:t xml:space="preserve"> this was not statistically significant.</w:t>
      </w:r>
      <w:r>
        <w:t xml:space="preserve"> Did the tight definition of treatment success, (both the absence of active </w:t>
      </w:r>
      <w:r w:rsidRPr="00494AF6">
        <w:t>ROP and absence</w:t>
      </w:r>
      <w:r>
        <w:t xml:space="preserve"> of unfavourable structural outcomes in both eyes at 24 weeks) weight the study too heavily against </w:t>
      </w:r>
      <w:proofErr w:type="spellStart"/>
      <w:r>
        <w:t>ranibizumab</w:t>
      </w:r>
      <w:proofErr w:type="spellEnd"/>
      <w:r>
        <w:t>?</w:t>
      </w:r>
    </w:p>
    <w:p w14:paraId="21F08FD9" w14:textId="62C6A331" w:rsidR="007E34FB" w:rsidRPr="000F01F5" w:rsidRDefault="007E34FB" w:rsidP="00C822EA">
      <w:pPr>
        <w:pStyle w:val="Numberbullet0"/>
        <w:numPr>
          <w:ilvl w:val="0"/>
          <w:numId w:val="0"/>
        </w:numPr>
        <w:ind w:left="425"/>
        <w:rPr>
          <w:rFonts w:ascii="AdvTT08640291" w:eastAsiaTheme="minorHAnsi" w:hAnsi="AdvTT08640291" w:cs="AdvTT08640291"/>
          <w:sz w:val="19"/>
          <w:szCs w:val="19"/>
        </w:rPr>
      </w:pPr>
      <w:r>
        <w:lastRenderedPageBreak/>
        <w:t xml:space="preserve">In Australia, laser is the first line treatment but several local health </w:t>
      </w:r>
      <w:r w:rsidR="00135F63">
        <w:t>district protocols include anti-</w:t>
      </w:r>
      <w:r>
        <w:t xml:space="preserve">VEGF agents </w:t>
      </w:r>
      <w:r w:rsidR="00645C41">
        <w:t>in the treatment algorithm.</w:t>
      </w:r>
      <w:r>
        <w:t xml:space="preserve"> In two North American retrospective </w:t>
      </w:r>
      <w:proofErr w:type="gramStart"/>
      <w:r>
        <w:t>non randomi</w:t>
      </w:r>
      <w:r w:rsidR="006832E6">
        <w:t>s</w:t>
      </w:r>
      <w:r>
        <w:t>ed</w:t>
      </w:r>
      <w:proofErr w:type="gramEnd"/>
      <w:r>
        <w:t xml:space="preserve"> cohort studies (bevacizumab versus laser) the reasons for the choice of laser surgery versus bevacizumab were not captured. The Canadian Neonatal Network cohort included 125 preterm infants of whom 22% (n</w:t>
      </w:r>
      <w:r w:rsidR="00645C41">
        <w:t xml:space="preserve"> </w:t>
      </w:r>
      <w:r>
        <w:t>=</w:t>
      </w:r>
      <w:r w:rsidR="00645C41">
        <w:t xml:space="preserve"> </w:t>
      </w:r>
      <w:r>
        <w:t>27) were treated with bevacizumab and the rest with laser.</w:t>
      </w:r>
      <w:r w:rsidR="00F12C37" w:rsidRPr="003536B4">
        <w:rPr>
          <w:vertAlign w:val="superscript"/>
        </w:rPr>
        <w:fldChar w:fldCharType="begin"/>
      </w:r>
      <w:r w:rsidR="00F12C37" w:rsidRPr="003536B4">
        <w:rPr>
          <w:vertAlign w:val="superscript"/>
        </w:rPr>
        <w:instrText xml:space="preserve"> NOTEREF _Ref45709763 \h </w:instrText>
      </w:r>
      <w:r w:rsidR="00F12C37">
        <w:rPr>
          <w:vertAlign w:val="superscript"/>
        </w:rPr>
        <w:instrText xml:space="preserve"> \* MERGEFORMAT </w:instrText>
      </w:r>
      <w:r w:rsidR="00F12C37" w:rsidRPr="003536B4">
        <w:rPr>
          <w:vertAlign w:val="superscript"/>
        </w:rPr>
      </w:r>
      <w:r w:rsidR="00F12C37" w:rsidRPr="003536B4">
        <w:rPr>
          <w:vertAlign w:val="superscript"/>
        </w:rPr>
        <w:fldChar w:fldCharType="separate"/>
      </w:r>
      <w:r w:rsidR="00EA746F">
        <w:rPr>
          <w:vertAlign w:val="superscript"/>
        </w:rPr>
        <w:t>19</w:t>
      </w:r>
      <w:r w:rsidR="00F12C37" w:rsidRPr="003536B4">
        <w:rPr>
          <w:vertAlign w:val="superscript"/>
        </w:rPr>
        <w:fldChar w:fldCharType="end"/>
      </w:r>
      <w:r>
        <w:t xml:space="preserve"> In the United States, the National Institute of Child Health and Human Development Neonatal Research Network </w:t>
      </w:r>
      <w:proofErr w:type="spellStart"/>
      <w:r>
        <w:t>Cent</w:t>
      </w:r>
      <w:r w:rsidR="00932696">
        <w:t>ers</w:t>
      </w:r>
      <w:r>
        <w:t>s</w:t>
      </w:r>
      <w:proofErr w:type="spellEnd"/>
      <w:r>
        <w:t xml:space="preserve"> cohort study 45% (n</w:t>
      </w:r>
      <w:r w:rsidR="00645C41">
        <w:t xml:space="preserve"> </w:t>
      </w:r>
      <w:r>
        <w:t>=</w:t>
      </w:r>
      <w:r w:rsidR="00645C41">
        <w:t xml:space="preserve"> </w:t>
      </w:r>
      <w:r>
        <w:t>181) of subjects were treated with bevacizumab versus laser.</w:t>
      </w:r>
      <w:r w:rsidR="00F12C37" w:rsidRPr="003536B4">
        <w:rPr>
          <w:vertAlign w:val="superscript"/>
        </w:rPr>
        <w:fldChar w:fldCharType="begin"/>
      </w:r>
      <w:r w:rsidR="00F12C37" w:rsidRPr="003536B4">
        <w:rPr>
          <w:vertAlign w:val="superscript"/>
        </w:rPr>
        <w:instrText xml:space="preserve"> NOTEREF _Ref45709820 \h </w:instrText>
      </w:r>
      <w:r w:rsidR="00F12C37">
        <w:rPr>
          <w:vertAlign w:val="superscript"/>
        </w:rPr>
        <w:instrText xml:space="preserve"> \* MERGEFORMAT </w:instrText>
      </w:r>
      <w:r w:rsidR="00F12C37" w:rsidRPr="003536B4">
        <w:rPr>
          <w:vertAlign w:val="superscript"/>
        </w:rPr>
      </w:r>
      <w:r w:rsidR="00F12C37" w:rsidRPr="003536B4">
        <w:rPr>
          <w:vertAlign w:val="superscript"/>
        </w:rPr>
        <w:fldChar w:fldCharType="separate"/>
      </w:r>
      <w:r w:rsidR="00EA746F">
        <w:rPr>
          <w:vertAlign w:val="superscript"/>
        </w:rPr>
        <w:t>20</w:t>
      </w:r>
      <w:r w:rsidR="00F12C37" w:rsidRPr="003536B4">
        <w:rPr>
          <w:vertAlign w:val="superscript"/>
        </w:rPr>
        <w:fldChar w:fldCharType="end"/>
      </w:r>
      <w:r>
        <w:t xml:space="preserve"> The choice of bevacizumab over laser may relate to the vulnerability of the preterm infant, for example in the</w:t>
      </w:r>
      <w:r w:rsidR="00C9270E">
        <w:t xml:space="preserve"> United States</w:t>
      </w:r>
      <w:r>
        <w:t xml:space="preserve"> study infants in the bevacizumab group had a lower median birth weight and longer conventional ventilator support. However, vulnerabilities and co-morbidities of individual preterm infants may be relevant in making real world treatment choices for ROP (injection versus laser).</w:t>
      </w:r>
    </w:p>
    <w:p w14:paraId="24CB4263" w14:textId="34A8A7D0" w:rsidR="007E34FB" w:rsidRDefault="007E34FB" w:rsidP="00C822EA">
      <w:pPr>
        <w:pStyle w:val="Numberbullet0"/>
        <w:numPr>
          <w:ilvl w:val="0"/>
          <w:numId w:val="0"/>
        </w:numPr>
        <w:ind w:left="425"/>
      </w:pPr>
      <w:r>
        <w:t xml:space="preserve">Are there factors not apparent from the RAINBOW clinical </w:t>
      </w:r>
      <w:r w:rsidR="006832E6">
        <w:t xml:space="preserve">trial </w:t>
      </w:r>
      <w:r>
        <w:t>that clinical experts take into account in treatment choice for ROP?</w:t>
      </w:r>
    </w:p>
    <w:p w14:paraId="24BE9F8A" w14:textId="77777777" w:rsidR="007E34FB" w:rsidRPr="002F2757" w:rsidRDefault="007E34FB" w:rsidP="00C822EA">
      <w:pPr>
        <w:pStyle w:val="Numberbullet0"/>
        <w:numPr>
          <w:ilvl w:val="0"/>
          <w:numId w:val="0"/>
        </w:numPr>
        <w:ind w:left="425"/>
      </w:pPr>
      <w:r w:rsidRPr="002F2757">
        <w:t xml:space="preserve">Are there benefits and risks not apparent from the efficacy and safety in the clinical </w:t>
      </w:r>
      <w:proofErr w:type="gramStart"/>
      <w:r w:rsidRPr="002F2757">
        <w:t>study which</w:t>
      </w:r>
      <w:proofErr w:type="gramEnd"/>
      <w:r w:rsidRPr="002F2757">
        <w:t xml:space="preserve"> should be considered when making a decision about this drug?</w:t>
      </w:r>
    </w:p>
    <w:p w14:paraId="3FFB473A" w14:textId="77777777" w:rsidR="007E34FB" w:rsidRPr="0056288D" w:rsidRDefault="007E34FB" w:rsidP="00C822EA">
      <w:pPr>
        <w:pStyle w:val="Numberbullet0"/>
      </w:pPr>
      <w:r w:rsidRPr="0056288D">
        <w:t xml:space="preserve">Please comment on the adverse development outcomes noted in the prospective observational studies. Do you consider the lack of </w:t>
      </w:r>
      <w:proofErr w:type="gramStart"/>
      <w:r w:rsidRPr="0056288D">
        <w:t>long term</w:t>
      </w:r>
      <w:proofErr w:type="gramEnd"/>
      <w:r w:rsidRPr="0056288D">
        <w:t xml:space="preserve"> safety data a significant enough concern to prevent registration?</w:t>
      </w:r>
    </w:p>
    <w:p w14:paraId="25E84A99" w14:textId="77777777" w:rsidR="007E34FB" w:rsidRDefault="007E34FB" w:rsidP="00C822EA">
      <w:pPr>
        <w:pStyle w:val="Numberbullet0"/>
        <w:numPr>
          <w:ilvl w:val="0"/>
          <w:numId w:val="0"/>
        </w:numPr>
        <w:ind w:left="425"/>
        <w:rPr>
          <w:lang w:eastAsia="ja-JP"/>
        </w:rPr>
      </w:pPr>
      <w:r>
        <w:rPr>
          <w:lang w:eastAsia="ja-JP"/>
        </w:rPr>
        <w:t>The key issue is the lack of long-term safety data</w:t>
      </w:r>
      <w:r>
        <w:t>, both ocular and systemic, with particular concern about systemic effects.</w:t>
      </w:r>
    </w:p>
    <w:p w14:paraId="5B8290D8" w14:textId="3631159F" w:rsidR="00BF494A" w:rsidRDefault="007E34FB" w:rsidP="00C822EA">
      <w:pPr>
        <w:pStyle w:val="Numberbullet0"/>
        <w:numPr>
          <w:ilvl w:val="0"/>
          <w:numId w:val="0"/>
        </w:numPr>
        <w:ind w:left="425"/>
        <w:rPr>
          <w:lang w:eastAsia="ja-JP"/>
        </w:rPr>
      </w:pPr>
      <w:r>
        <w:t xml:space="preserve">There is no good data on the </w:t>
      </w:r>
      <w:proofErr w:type="gramStart"/>
      <w:r>
        <w:t>long term</w:t>
      </w:r>
      <w:proofErr w:type="gramEnd"/>
      <w:r>
        <w:t xml:space="preserve"> safety of both ocular and systemic outcomes of</w:t>
      </w:r>
      <w:r w:rsidR="00135F63">
        <w:t xml:space="preserve"> anti-VEGF agents. The RAINBOW E</w:t>
      </w:r>
      <w:r>
        <w:t>xtension</w:t>
      </w:r>
      <w:r w:rsidR="00135F63">
        <w:t xml:space="preserve"> </w:t>
      </w:r>
      <w:r w:rsidR="006832E6">
        <w:t xml:space="preserve">trial </w:t>
      </w:r>
      <w:proofErr w:type="gramStart"/>
      <w:r>
        <w:t>is planned</w:t>
      </w:r>
      <w:proofErr w:type="gramEnd"/>
      <w:r>
        <w:t xml:space="preserve"> to provide outcome data to subjects’ </w:t>
      </w:r>
      <w:r w:rsidR="00373E52">
        <w:t>fifth</w:t>
      </w:r>
      <w:r>
        <w:t xml:space="preserve"> birthday. </w:t>
      </w:r>
      <w:r>
        <w:rPr>
          <w:lang w:eastAsia="ja-JP"/>
        </w:rPr>
        <w:t>While the safety data up to Week 40 did not identify any new concerns, preterm infants are a vulnerable study population a</w:t>
      </w:r>
      <w:r w:rsidR="00135F63">
        <w:rPr>
          <w:lang w:eastAsia="ja-JP"/>
        </w:rPr>
        <w:t>nd assessing long</w:t>
      </w:r>
      <w:r w:rsidR="00135F63">
        <w:rPr>
          <w:lang w:eastAsia="ja-JP"/>
        </w:rPr>
        <w:noBreakHyphen/>
      </w:r>
      <w:r>
        <w:rPr>
          <w:lang w:eastAsia="ja-JP"/>
        </w:rPr>
        <w:t>term safety outcomes in this patient population can be challenging</w:t>
      </w:r>
      <w:r w:rsidR="00BF494A">
        <w:rPr>
          <w:lang w:eastAsia="ja-JP"/>
        </w:rPr>
        <w:t>.</w:t>
      </w:r>
    </w:p>
    <w:p w14:paraId="3AFB9053" w14:textId="0D75321B" w:rsidR="00BF494A" w:rsidRDefault="007E34FB" w:rsidP="00C822EA">
      <w:pPr>
        <w:pStyle w:val="Numberbullet0"/>
        <w:numPr>
          <w:ilvl w:val="0"/>
          <w:numId w:val="0"/>
        </w:numPr>
        <w:ind w:left="425"/>
        <w:rPr>
          <w:lang w:eastAsia="ja-JP"/>
        </w:rPr>
      </w:pPr>
      <w:r>
        <w:rPr>
          <w:rFonts w:cs="Arial"/>
        </w:rPr>
        <w:t xml:space="preserve">The degree of systemic absorption of anti-VEGF agents, and their systemic effects particularly on neurodevelopment are unknown, and an important potential risk. In the </w:t>
      </w:r>
      <w:proofErr w:type="gramStart"/>
      <w:r w:rsidR="00D36548">
        <w:rPr>
          <w:rFonts w:cs="Arial"/>
        </w:rPr>
        <w:t>RAINBOW</w:t>
      </w:r>
      <w:proofErr w:type="gramEnd"/>
      <w:r w:rsidR="00D36548">
        <w:rPr>
          <w:rFonts w:cs="Arial"/>
        </w:rPr>
        <w:t xml:space="preserve"> </w:t>
      </w:r>
      <w:r w:rsidR="006832E6">
        <w:rPr>
          <w:rFonts w:cs="Arial"/>
        </w:rPr>
        <w:t xml:space="preserve">trial </w:t>
      </w:r>
      <w:r>
        <w:rPr>
          <w:rFonts w:cs="Arial"/>
        </w:rPr>
        <w:t>s</w:t>
      </w:r>
      <w:r>
        <w:rPr>
          <w:lang w:eastAsia="ja-JP"/>
        </w:rPr>
        <w:t>ystemic exposures of premature infan</w:t>
      </w:r>
      <w:r w:rsidR="00645C41">
        <w:rPr>
          <w:lang w:eastAsia="ja-JP"/>
        </w:rPr>
        <w:t xml:space="preserve">ts to </w:t>
      </w:r>
      <w:proofErr w:type="spellStart"/>
      <w:r w:rsidR="00645C41">
        <w:rPr>
          <w:lang w:eastAsia="ja-JP"/>
        </w:rPr>
        <w:t>ranibizumab</w:t>
      </w:r>
      <w:proofErr w:type="spellEnd"/>
      <w:r w:rsidR="00645C41">
        <w:rPr>
          <w:lang w:eastAsia="ja-JP"/>
        </w:rPr>
        <w:t xml:space="preserve"> were 12 to 16 </w:t>
      </w:r>
      <w:r>
        <w:rPr>
          <w:lang w:eastAsia="ja-JP"/>
        </w:rPr>
        <w:t xml:space="preserve">fold higher than in adults and 31% of infants required more than 1 injection of </w:t>
      </w:r>
      <w:proofErr w:type="spellStart"/>
      <w:r>
        <w:rPr>
          <w:lang w:eastAsia="ja-JP"/>
        </w:rPr>
        <w:t>ranibizumab</w:t>
      </w:r>
      <w:proofErr w:type="spellEnd"/>
      <w:r>
        <w:rPr>
          <w:lang w:eastAsia="ja-JP"/>
        </w:rPr>
        <w:t xml:space="preserve">. The potential systemic suppression of VEGF </w:t>
      </w:r>
      <w:proofErr w:type="gramStart"/>
      <w:r>
        <w:rPr>
          <w:lang w:eastAsia="ja-JP"/>
        </w:rPr>
        <w:t>cannot be excluded</w:t>
      </w:r>
      <w:proofErr w:type="gramEnd"/>
      <w:r w:rsidR="00BF494A">
        <w:rPr>
          <w:lang w:eastAsia="ja-JP"/>
        </w:rPr>
        <w:t>.</w:t>
      </w:r>
    </w:p>
    <w:p w14:paraId="5FDCA288" w14:textId="4231E029" w:rsidR="007E34FB" w:rsidRDefault="007E34FB" w:rsidP="00C822EA">
      <w:pPr>
        <w:pStyle w:val="Numberbullet0"/>
        <w:numPr>
          <w:ilvl w:val="0"/>
          <w:numId w:val="0"/>
        </w:numPr>
        <w:ind w:left="425"/>
        <w:rPr>
          <w:lang w:eastAsia="ja-JP"/>
        </w:rPr>
      </w:pPr>
      <w:r>
        <w:rPr>
          <w:lang w:eastAsia="ja-JP"/>
        </w:rPr>
        <w:t>In the adult population, safety data from patie</w:t>
      </w:r>
      <w:r w:rsidR="00135F63">
        <w:rPr>
          <w:lang w:eastAsia="ja-JP"/>
        </w:rPr>
        <w:t xml:space="preserve">nts receiving </w:t>
      </w:r>
      <w:proofErr w:type="spellStart"/>
      <w:r w:rsidR="00135F63">
        <w:rPr>
          <w:lang w:eastAsia="ja-JP"/>
        </w:rPr>
        <w:t>intravitreal</w:t>
      </w:r>
      <w:proofErr w:type="spellEnd"/>
      <w:r w:rsidR="00135F63">
        <w:rPr>
          <w:lang w:eastAsia="ja-JP"/>
        </w:rPr>
        <w:t xml:space="preserve"> anti-</w:t>
      </w:r>
      <w:r>
        <w:rPr>
          <w:lang w:eastAsia="ja-JP"/>
        </w:rPr>
        <w:t xml:space="preserve">VEGF agents for retinal conditions have identified systemic safety risks including increased risk of stroke within subgroups of patients with higher baseline risks </w:t>
      </w:r>
      <w:r w:rsidR="004F68C2">
        <w:rPr>
          <w:lang w:eastAsia="ja-JP"/>
        </w:rPr>
        <w:t xml:space="preserve">of </w:t>
      </w:r>
      <w:r>
        <w:rPr>
          <w:lang w:eastAsia="ja-JP"/>
        </w:rPr>
        <w:t>stroke</w:t>
      </w:r>
      <w:r w:rsidR="00645C41">
        <w:rPr>
          <w:lang w:eastAsia="ja-JP"/>
        </w:rPr>
        <w:t>.</w:t>
      </w:r>
      <w:r>
        <w:rPr>
          <w:rStyle w:val="FootnoteReference"/>
          <w:lang w:eastAsia="ja-JP"/>
        </w:rPr>
        <w:footnoteReference w:id="21"/>
      </w:r>
    </w:p>
    <w:p w14:paraId="2E542834" w14:textId="7A3361B4" w:rsidR="007E34FB" w:rsidRDefault="007E34FB" w:rsidP="00C822EA">
      <w:pPr>
        <w:pStyle w:val="Numberbullet0"/>
        <w:numPr>
          <w:ilvl w:val="0"/>
          <w:numId w:val="0"/>
        </w:numPr>
        <w:ind w:left="425"/>
        <w:rPr>
          <w:rFonts w:asciiTheme="minorHAnsi" w:hAnsiTheme="minorHAnsi"/>
          <w:lang w:val="en"/>
        </w:rPr>
      </w:pPr>
      <w:r>
        <w:rPr>
          <w:lang w:eastAsia="ja-JP"/>
        </w:rPr>
        <w:t>Two retrospective cohort studies (mentioned above) provide safety data on a different anti</w:t>
      </w:r>
      <w:r w:rsidR="00135F63">
        <w:rPr>
          <w:lang w:eastAsia="ja-JP"/>
        </w:rPr>
        <w:t>-</w:t>
      </w:r>
      <w:r>
        <w:rPr>
          <w:lang w:eastAsia="ja-JP"/>
        </w:rPr>
        <w:t>VEGF agent, bevacizumab. Concerns arising from these studies are that poorer neurodevelopmental outcomes, deaths and the l</w:t>
      </w:r>
      <w:r>
        <w:t xml:space="preserve">ikelihood of having cognitive scores </w:t>
      </w:r>
      <w:r w:rsidRPr="002B496D">
        <w:rPr>
          <w:rFonts w:asciiTheme="minorHAnsi" w:hAnsiTheme="minorHAnsi"/>
          <w:lang w:val="en"/>
        </w:rPr>
        <w:t>&lt;</w:t>
      </w:r>
      <w:r w:rsidR="00645C41">
        <w:rPr>
          <w:rFonts w:asciiTheme="minorHAnsi" w:hAnsiTheme="minorHAnsi"/>
          <w:lang w:val="en"/>
        </w:rPr>
        <w:t xml:space="preserve"> </w:t>
      </w:r>
      <w:r>
        <w:rPr>
          <w:rFonts w:asciiTheme="minorHAnsi" w:hAnsiTheme="minorHAnsi"/>
          <w:lang w:val="en"/>
        </w:rPr>
        <w:t>85 were higher</w:t>
      </w:r>
      <w:r w:rsidR="00C822EA">
        <w:rPr>
          <w:rFonts w:asciiTheme="minorHAnsi" w:hAnsiTheme="minorHAnsi"/>
          <w:lang w:val="en"/>
        </w:rPr>
        <w:t xml:space="preserve"> in the bevacizumab group.</w:t>
      </w:r>
    </w:p>
    <w:p w14:paraId="6D9722D6" w14:textId="61039F75" w:rsidR="00456765" w:rsidRPr="00456765" w:rsidRDefault="007E34FB" w:rsidP="00C822EA">
      <w:pPr>
        <w:pStyle w:val="Numberbullet0"/>
        <w:numPr>
          <w:ilvl w:val="0"/>
          <w:numId w:val="0"/>
        </w:numPr>
        <w:ind w:left="425"/>
        <w:rPr>
          <w:lang w:eastAsia="ja-JP"/>
        </w:rPr>
      </w:pPr>
      <w:r>
        <w:rPr>
          <w:rFonts w:asciiTheme="minorHAnsi" w:hAnsiTheme="minorHAnsi"/>
          <w:lang w:val="en"/>
        </w:rPr>
        <w:t xml:space="preserve">Is it appropriate to approve this treatment before results of the </w:t>
      </w:r>
      <w:proofErr w:type="gramStart"/>
      <w:r>
        <w:rPr>
          <w:rFonts w:asciiTheme="minorHAnsi" w:hAnsiTheme="minorHAnsi"/>
          <w:lang w:val="en"/>
        </w:rPr>
        <w:t>long term</w:t>
      </w:r>
      <w:proofErr w:type="gramEnd"/>
      <w:r>
        <w:rPr>
          <w:rFonts w:asciiTheme="minorHAnsi" w:hAnsiTheme="minorHAnsi"/>
          <w:lang w:val="en"/>
        </w:rPr>
        <w:t xml:space="preserve"> safety study, which is currently underway, are </w:t>
      </w:r>
      <w:proofErr w:type="spellStart"/>
      <w:r>
        <w:rPr>
          <w:rFonts w:asciiTheme="minorHAnsi" w:hAnsiTheme="minorHAnsi"/>
          <w:lang w:val="en"/>
        </w:rPr>
        <w:t>analy</w:t>
      </w:r>
      <w:r w:rsidR="000D5C29">
        <w:rPr>
          <w:rFonts w:asciiTheme="minorHAnsi" w:hAnsiTheme="minorHAnsi"/>
          <w:lang w:val="en"/>
        </w:rPr>
        <w:t>s</w:t>
      </w:r>
      <w:r>
        <w:rPr>
          <w:rFonts w:asciiTheme="minorHAnsi" w:hAnsiTheme="minorHAnsi"/>
          <w:lang w:val="en"/>
        </w:rPr>
        <w:t>ed</w:t>
      </w:r>
      <w:proofErr w:type="spellEnd"/>
      <w:r>
        <w:rPr>
          <w:rFonts w:asciiTheme="minorHAnsi" w:hAnsiTheme="minorHAnsi"/>
          <w:lang w:val="en"/>
        </w:rPr>
        <w:t>?</w:t>
      </w:r>
    </w:p>
    <w:p w14:paraId="5A2064AD" w14:textId="77777777" w:rsidR="008E7846" w:rsidRDefault="00461337" w:rsidP="008E7846">
      <w:pPr>
        <w:pStyle w:val="Heading4"/>
      </w:pPr>
      <w:r>
        <w:lastRenderedPageBreak/>
        <w:t>Advisory Committee c</w:t>
      </w:r>
      <w:r w:rsidR="008E7846">
        <w:t>onsiderations</w:t>
      </w:r>
      <w:r w:rsidR="00456765">
        <w:rPr>
          <w:rStyle w:val="FootnoteReference"/>
        </w:rPr>
        <w:footnoteReference w:id="22"/>
      </w:r>
    </w:p>
    <w:p w14:paraId="27C32148" w14:textId="3D9AD18D" w:rsidR="008E7846" w:rsidRDefault="00456765" w:rsidP="004616F9">
      <w:r w:rsidRPr="00456765">
        <w:t>The Advisory Committee on Medicines (ACM), having considered the evaluations and the Delegate’s overview, as well as the sponsor’s response to these documents, advised the following</w:t>
      </w:r>
      <w:r w:rsidR="000D5C29">
        <w:t>.</w:t>
      </w:r>
    </w:p>
    <w:p w14:paraId="61E9ADD7" w14:textId="77777777" w:rsidR="000D5C29" w:rsidRDefault="000D5C29" w:rsidP="000D5C29">
      <w:r>
        <w:t>The proposed extension of indications considered by the ACM was:</w:t>
      </w:r>
    </w:p>
    <w:p w14:paraId="483B09D7" w14:textId="5CBF02D8" w:rsidR="000D5C29" w:rsidRPr="00774CCD" w:rsidRDefault="000D5C29" w:rsidP="00F12C37">
      <w:pPr>
        <w:ind w:left="720"/>
        <w:rPr>
          <w:i/>
        </w:rPr>
      </w:pPr>
      <w:proofErr w:type="spellStart"/>
      <w:r w:rsidRPr="00774CCD">
        <w:rPr>
          <w:i/>
        </w:rPr>
        <w:t>Lucentis</w:t>
      </w:r>
      <w:proofErr w:type="spellEnd"/>
      <w:r w:rsidRPr="00774CCD">
        <w:rPr>
          <w:i/>
        </w:rPr>
        <w:t xml:space="preserve"> (</w:t>
      </w:r>
      <w:proofErr w:type="spellStart"/>
      <w:r w:rsidRPr="00774CCD">
        <w:rPr>
          <w:i/>
        </w:rPr>
        <w:t>ranibizumab</w:t>
      </w:r>
      <w:proofErr w:type="spellEnd"/>
      <w:r w:rsidRPr="00774CCD">
        <w:rPr>
          <w:i/>
        </w:rPr>
        <w:t xml:space="preserve">) </w:t>
      </w:r>
      <w:proofErr w:type="gramStart"/>
      <w:r w:rsidRPr="00774CCD">
        <w:rPr>
          <w:i/>
        </w:rPr>
        <w:t>is indicated</w:t>
      </w:r>
      <w:proofErr w:type="gramEnd"/>
      <w:r w:rsidRPr="00774CCD">
        <w:rPr>
          <w:i/>
        </w:rPr>
        <w:t xml:space="preserve"> in preterm infants for the treatment of retinopathy of prematurity (ROP).</w:t>
      </w:r>
    </w:p>
    <w:p w14:paraId="03E0983C" w14:textId="1041D2A7" w:rsidR="00683C4A" w:rsidRDefault="00683C4A" w:rsidP="004F68C2">
      <w:r>
        <w:t xml:space="preserve">The ACM agreed that </w:t>
      </w:r>
      <w:proofErr w:type="spellStart"/>
      <w:r>
        <w:t>L</w:t>
      </w:r>
      <w:r w:rsidR="00645C41">
        <w:t>ucentis</w:t>
      </w:r>
      <w:proofErr w:type="spellEnd"/>
      <w:r>
        <w:t xml:space="preserve"> had an overall negative benefit-risk profile for the proposed extension of indications, as the evidence submitted did not satisfactorily establish the safety of the product. The ACM was of the view that the </w:t>
      </w:r>
      <w:proofErr w:type="gramStart"/>
      <w:r>
        <w:t>long term</w:t>
      </w:r>
      <w:proofErr w:type="gramEnd"/>
      <w:r>
        <w:t xml:space="preserve"> safety of the product is unclear; other similar products are used/available for this purpose; and that infants with ROP will not be disadvantaged if the current application is not approved.</w:t>
      </w:r>
    </w:p>
    <w:p w14:paraId="5A3CD770" w14:textId="20177BFF" w:rsidR="00683C4A" w:rsidRPr="00683C4A" w:rsidRDefault="00645C41" w:rsidP="00645C41">
      <w:pPr>
        <w:pStyle w:val="Heading5"/>
        <w:rPr>
          <w:rFonts w:eastAsiaTheme="minorHAnsi"/>
        </w:rPr>
      </w:pPr>
      <w:r>
        <w:rPr>
          <w:rFonts w:eastAsiaTheme="minorHAnsi"/>
        </w:rPr>
        <w:t xml:space="preserve">Specific </w:t>
      </w:r>
      <w:r w:rsidR="000D5C29">
        <w:rPr>
          <w:rFonts w:eastAsiaTheme="minorHAnsi"/>
        </w:rPr>
        <w:t>a</w:t>
      </w:r>
      <w:r>
        <w:rPr>
          <w:rFonts w:eastAsiaTheme="minorHAnsi"/>
        </w:rPr>
        <w:t>dvice</w:t>
      </w:r>
    </w:p>
    <w:p w14:paraId="6B21D2E1" w14:textId="081328F3" w:rsidR="00683C4A" w:rsidRPr="00683C4A" w:rsidRDefault="00683C4A" w:rsidP="00645C41">
      <w:r w:rsidRPr="00683C4A">
        <w:t>The ACM advised the following in response to the Delegate’s</w:t>
      </w:r>
      <w:r w:rsidR="00645C41">
        <w:t xml:space="preserve"> specific request for advice</w:t>
      </w:r>
      <w:r w:rsidR="000D5C29">
        <w:t>.</w:t>
      </w:r>
    </w:p>
    <w:p w14:paraId="0BA3F0DC" w14:textId="3102AD75" w:rsidR="00645C41" w:rsidRPr="00645C41" w:rsidRDefault="00683C4A" w:rsidP="00645C41">
      <w:pPr>
        <w:pStyle w:val="Numberbullet0"/>
        <w:numPr>
          <w:ilvl w:val="0"/>
          <w:numId w:val="36"/>
        </w:numPr>
        <w:rPr>
          <w:b/>
          <w:i/>
        </w:rPr>
      </w:pPr>
      <w:r w:rsidRPr="00645C41">
        <w:rPr>
          <w:b/>
          <w:bCs/>
          <w:i/>
        </w:rPr>
        <w:t xml:space="preserve">Are the infants in the clinical study typical of those in which treatment </w:t>
      </w:r>
      <w:proofErr w:type="gramStart"/>
      <w:r w:rsidRPr="00645C41">
        <w:rPr>
          <w:b/>
          <w:bCs/>
          <w:i/>
        </w:rPr>
        <w:t>would be</w:t>
      </w:r>
      <w:r w:rsidR="004F68C2">
        <w:rPr>
          <w:b/>
          <w:bCs/>
          <w:i/>
        </w:rPr>
        <w:t xml:space="preserve"> </w:t>
      </w:r>
      <w:r w:rsidRPr="00645C41">
        <w:rPr>
          <w:b/>
          <w:bCs/>
          <w:i/>
        </w:rPr>
        <w:t>indicated</w:t>
      </w:r>
      <w:proofErr w:type="gramEnd"/>
      <w:r w:rsidRPr="00645C41">
        <w:rPr>
          <w:b/>
          <w:bCs/>
          <w:i/>
        </w:rPr>
        <w:t xml:space="preserve"> in clinical practice?</w:t>
      </w:r>
    </w:p>
    <w:p w14:paraId="2B5BE9C9" w14:textId="5E4FE4F5" w:rsidR="00683C4A" w:rsidRPr="00683C4A" w:rsidRDefault="00683C4A" w:rsidP="00645C41">
      <w:pPr>
        <w:pStyle w:val="Numberbullet0"/>
        <w:numPr>
          <w:ilvl w:val="0"/>
          <w:numId w:val="0"/>
        </w:numPr>
      </w:pPr>
      <w:r w:rsidRPr="00683C4A">
        <w:t>The ACM advised that the selection criteria for use of anti-VEGF treatment in the clinical</w:t>
      </w:r>
      <w:r w:rsidR="00645C41">
        <w:t xml:space="preserve"> </w:t>
      </w:r>
      <w:r w:rsidRPr="00683C4A">
        <w:t>studies was broader than that currently applied for ‘off-label’ use of anti-VEGF treatment in</w:t>
      </w:r>
      <w:r w:rsidR="00645C41">
        <w:t xml:space="preserve"> </w:t>
      </w:r>
      <w:r w:rsidRPr="00683C4A">
        <w:t>Australia. The ACM also advised that in regards to baseline ROP characteristics, the</w:t>
      </w:r>
      <w:r w:rsidR="00645C41">
        <w:t xml:space="preserve"> </w:t>
      </w:r>
      <w:r w:rsidRPr="00683C4A">
        <w:t xml:space="preserve">proportion of children with </w:t>
      </w:r>
      <w:r w:rsidR="00932696">
        <w:t>z</w:t>
      </w:r>
      <w:r w:rsidRPr="00683C4A">
        <w:t>one I and aggressive posterior ROP (AP-ROP) in the</w:t>
      </w:r>
      <w:r w:rsidR="00645C41">
        <w:t xml:space="preserve"> </w:t>
      </w:r>
      <w:r w:rsidRPr="00683C4A">
        <w:t xml:space="preserve">clinical study is much higher than what </w:t>
      </w:r>
      <w:proofErr w:type="gramStart"/>
      <w:r w:rsidRPr="00683C4A">
        <w:t>is typically seen</w:t>
      </w:r>
      <w:proofErr w:type="gramEnd"/>
      <w:r w:rsidRPr="00683C4A">
        <w:t xml:space="preserve"> in the Australian context. The ACM</w:t>
      </w:r>
      <w:r w:rsidR="00645C41">
        <w:t xml:space="preserve"> </w:t>
      </w:r>
      <w:r w:rsidRPr="00683C4A">
        <w:t xml:space="preserve">noted that approval of </w:t>
      </w:r>
      <w:proofErr w:type="spellStart"/>
      <w:r w:rsidRPr="00683C4A">
        <w:t>L</w:t>
      </w:r>
      <w:r w:rsidR="00645C41" w:rsidRPr="00683C4A">
        <w:t>ucentis</w:t>
      </w:r>
      <w:proofErr w:type="spellEnd"/>
      <w:r w:rsidRPr="00683C4A">
        <w:t xml:space="preserve"> for treatment of ROP using criteria from the clinical study</w:t>
      </w:r>
      <w:r w:rsidR="00645C41">
        <w:t xml:space="preserve"> </w:t>
      </w:r>
      <w:r w:rsidRPr="00683C4A">
        <w:t xml:space="preserve">would potentially result in many more children being treated with </w:t>
      </w:r>
      <w:proofErr w:type="spellStart"/>
      <w:r w:rsidRPr="00683C4A">
        <w:t>L</w:t>
      </w:r>
      <w:r w:rsidR="00645C41" w:rsidRPr="00683C4A">
        <w:t>ucentis</w:t>
      </w:r>
      <w:proofErr w:type="spellEnd"/>
      <w:r w:rsidRPr="00683C4A">
        <w:t xml:space="preserve"> than are</w:t>
      </w:r>
      <w:r w:rsidR="00645C41">
        <w:t xml:space="preserve"> </w:t>
      </w:r>
      <w:r w:rsidRPr="00683C4A">
        <w:t>currently being exposed to anti-VEGF agents in Australia at present.</w:t>
      </w:r>
    </w:p>
    <w:p w14:paraId="002490E6" w14:textId="77777777" w:rsidR="00683C4A" w:rsidRPr="00645C41" w:rsidRDefault="00683C4A" w:rsidP="00645C41">
      <w:pPr>
        <w:pStyle w:val="Numberbullet0"/>
        <w:rPr>
          <w:b/>
          <w:i/>
        </w:rPr>
      </w:pPr>
      <w:r w:rsidRPr="00645C41">
        <w:rPr>
          <w:b/>
          <w:i/>
        </w:rPr>
        <w:t xml:space="preserve">Please comment on the increased rate of recurrence of ROP with </w:t>
      </w:r>
      <w:proofErr w:type="spellStart"/>
      <w:r w:rsidRPr="00645C41">
        <w:rPr>
          <w:b/>
          <w:i/>
        </w:rPr>
        <w:t>ranibizumab</w:t>
      </w:r>
      <w:proofErr w:type="spellEnd"/>
      <w:r w:rsidRPr="00645C41">
        <w:rPr>
          <w:b/>
          <w:i/>
        </w:rPr>
        <w:t xml:space="preserve"> and</w:t>
      </w:r>
      <w:r w:rsidR="00645C41">
        <w:rPr>
          <w:b/>
          <w:i/>
        </w:rPr>
        <w:t xml:space="preserve"> </w:t>
      </w:r>
      <w:r w:rsidRPr="00645C41">
        <w:rPr>
          <w:b/>
          <w:i/>
        </w:rPr>
        <w:t>the need for retreatment. Is this an important negative outcome?</w:t>
      </w:r>
    </w:p>
    <w:p w14:paraId="15D788F8" w14:textId="77777777" w:rsidR="00683C4A" w:rsidRPr="00683C4A" w:rsidRDefault="00683C4A" w:rsidP="00704C2D">
      <w:pPr>
        <w:pStyle w:val="Numberbullet0"/>
        <w:numPr>
          <w:ilvl w:val="0"/>
          <w:numId w:val="0"/>
        </w:numPr>
      </w:pPr>
      <w:r w:rsidRPr="00683C4A">
        <w:t xml:space="preserve">The ACM advised that the increased rate of recurrence of ROP with </w:t>
      </w:r>
      <w:proofErr w:type="spellStart"/>
      <w:r w:rsidRPr="00683C4A">
        <w:t>ranibizumab</w:t>
      </w:r>
      <w:proofErr w:type="spellEnd"/>
      <w:r w:rsidRPr="00683C4A">
        <w:t xml:space="preserve"> and the</w:t>
      </w:r>
      <w:r w:rsidR="00645C41">
        <w:t xml:space="preserve"> </w:t>
      </w:r>
      <w:r w:rsidRPr="00683C4A">
        <w:t xml:space="preserve">need for retreatment is an important negative outcome, and </w:t>
      </w:r>
      <w:proofErr w:type="gramStart"/>
      <w:r w:rsidRPr="00683C4A">
        <w:t>is also</w:t>
      </w:r>
      <w:proofErr w:type="gramEnd"/>
      <w:r w:rsidRPr="00683C4A">
        <w:t xml:space="preserve"> observable with</w:t>
      </w:r>
      <w:r w:rsidR="00645C41">
        <w:t xml:space="preserve"> </w:t>
      </w:r>
      <w:r w:rsidRPr="00683C4A">
        <w:t xml:space="preserve">bevacizumab. The ACM agreed that children who receive </w:t>
      </w:r>
      <w:proofErr w:type="spellStart"/>
      <w:r w:rsidRPr="00683C4A">
        <w:t>ranibizumab</w:t>
      </w:r>
      <w:proofErr w:type="spellEnd"/>
      <w:r w:rsidRPr="00683C4A">
        <w:t xml:space="preserve"> </w:t>
      </w:r>
      <w:proofErr w:type="gramStart"/>
      <w:r w:rsidRPr="00683C4A">
        <w:t>will</w:t>
      </w:r>
      <w:proofErr w:type="gramEnd"/>
      <w:r w:rsidRPr="00683C4A">
        <w:t xml:space="preserve"> require frequent</w:t>
      </w:r>
      <w:r w:rsidR="00645C41">
        <w:t xml:space="preserve"> </w:t>
      </w:r>
      <w:r w:rsidRPr="00683C4A">
        <w:t>close follow up for many months after initial treatment to ensure that the disease has not</w:t>
      </w:r>
      <w:r w:rsidR="00645C41">
        <w:t xml:space="preserve"> </w:t>
      </w:r>
      <w:r w:rsidRPr="00683C4A">
        <w:t>recurred, as anti-VEGF treatment will delay or halt normal retinal vascularisation.</w:t>
      </w:r>
    </w:p>
    <w:p w14:paraId="08AE5B87" w14:textId="77777777" w:rsidR="00683C4A" w:rsidRPr="00645C41" w:rsidRDefault="00683C4A" w:rsidP="00645C41">
      <w:pPr>
        <w:pStyle w:val="Numberbullet0"/>
        <w:rPr>
          <w:b/>
          <w:i/>
        </w:rPr>
      </w:pPr>
      <w:r w:rsidRPr="00645C41">
        <w:rPr>
          <w:b/>
          <w:i/>
        </w:rPr>
        <w:t xml:space="preserve">How relevant are the differences in </w:t>
      </w:r>
      <w:proofErr w:type="gramStart"/>
      <w:r w:rsidRPr="00645C41">
        <w:rPr>
          <w:b/>
          <w:i/>
        </w:rPr>
        <w:t>24 week</w:t>
      </w:r>
      <w:proofErr w:type="gramEnd"/>
      <w:r w:rsidRPr="00645C41">
        <w:rPr>
          <w:b/>
          <w:i/>
        </w:rPr>
        <w:t xml:space="preserve"> ocular outcomes reported in this study</w:t>
      </w:r>
      <w:r w:rsidR="00645C41">
        <w:rPr>
          <w:b/>
          <w:i/>
        </w:rPr>
        <w:t xml:space="preserve"> </w:t>
      </w:r>
      <w:r w:rsidRPr="00645C41">
        <w:rPr>
          <w:b/>
          <w:i/>
        </w:rPr>
        <w:t>to long term functional visual outcomes?</w:t>
      </w:r>
    </w:p>
    <w:p w14:paraId="23FA0C30" w14:textId="79D467D1" w:rsidR="00645C41" w:rsidRPr="00683C4A" w:rsidRDefault="00683C4A" w:rsidP="00704C2D">
      <w:pPr>
        <w:pStyle w:val="Numberbullet0"/>
        <w:numPr>
          <w:ilvl w:val="0"/>
          <w:numId w:val="0"/>
        </w:numPr>
      </w:pPr>
      <w:r w:rsidRPr="00683C4A">
        <w:t>The ACM was of the view that there was a low correlation between structural changes at 24</w:t>
      </w:r>
      <w:r w:rsidR="00645C41">
        <w:t xml:space="preserve"> </w:t>
      </w:r>
      <w:r w:rsidRPr="00683C4A">
        <w:t>weeks and long term visual ou</w:t>
      </w:r>
      <w:r w:rsidR="00645C41">
        <w:t>tcomes. The ACM noted that the m</w:t>
      </w:r>
      <w:r w:rsidRPr="00683C4A">
        <w:t>ulti</w:t>
      </w:r>
      <w:r w:rsidR="00645C41">
        <w:t>-centre t</w:t>
      </w:r>
      <w:r w:rsidRPr="00683C4A">
        <w:t>rial of</w:t>
      </w:r>
      <w:r w:rsidR="00645C41">
        <w:t xml:space="preserve"> </w:t>
      </w:r>
      <w:r w:rsidRPr="00683C4A">
        <w:t>Cryotherapy for Retinopathy of Prematurity Study (CRYO-ROP</w:t>
      </w:r>
      <w:r w:rsidR="00135F63">
        <w:t xml:space="preserve"> Study</w:t>
      </w:r>
      <w:r w:rsidRPr="00683C4A">
        <w:t xml:space="preserve">), which </w:t>
      </w:r>
      <w:proofErr w:type="gramStart"/>
      <w:r w:rsidRPr="00683C4A">
        <w:t>was published in</w:t>
      </w:r>
      <w:r w:rsidR="00645C41">
        <w:t xml:space="preserve"> </w:t>
      </w:r>
      <w:r w:rsidRPr="00683C4A">
        <w:t>1988</w:t>
      </w:r>
      <w:r w:rsidR="00C60A07">
        <w:t>;</w:t>
      </w:r>
      <w:r w:rsidR="00C60A07">
        <w:rPr>
          <w:rStyle w:val="FootnoteReference"/>
        </w:rPr>
        <w:footnoteReference w:id="23"/>
      </w:r>
      <w:r w:rsidRPr="00683C4A">
        <w:t xml:space="preserve"> and followed up patients for 15 years, indicated that even at 15 years</w:t>
      </w:r>
      <w:proofErr w:type="gramEnd"/>
      <w:r w:rsidRPr="00683C4A">
        <w:t xml:space="preserve">, </w:t>
      </w:r>
      <w:r w:rsidRPr="00683C4A">
        <w:lastRenderedPageBreak/>
        <w:t>there is the risk</w:t>
      </w:r>
      <w:r w:rsidR="00645C41">
        <w:t xml:space="preserve"> </w:t>
      </w:r>
      <w:r w:rsidRPr="00683C4A">
        <w:t>of retinal detachment in treated eyes. There are case reports of patients with recurrent ROP</w:t>
      </w:r>
      <w:r w:rsidR="00645C41">
        <w:t xml:space="preserve"> </w:t>
      </w:r>
      <w:r w:rsidRPr="00683C4A">
        <w:t>at 2 years after bevacizumab treatment.</w:t>
      </w:r>
    </w:p>
    <w:p w14:paraId="4AB257AC" w14:textId="0F15BAFE" w:rsidR="00683C4A" w:rsidRPr="00645C41" w:rsidRDefault="00683C4A" w:rsidP="00645C41">
      <w:pPr>
        <w:pStyle w:val="Numberbullet0"/>
        <w:rPr>
          <w:b/>
          <w:i/>
        </w:rPr>
      </w:pPr>
      <w:r w:rsidRPr="00645C41">
        <w:rPr>
          <w:b/>
          <w:i/>
        </w:rPr>
        <w:t>Are there benefits and risks not apparent from the efficacy and safety in the clinical</w:t>
      </w:r>
      <w:r w:rsidR="00645C41">
        <w:rPr>
          <w:b/>
          <w:i/>
        </w:rPr>
        <w:t xml:space="preserve"> </w:t>
      </w:r>
      <w:proofErr w:type="gramStart"/>
      <w:r w:rsidRPr="00645C41">
        <w:rPr>
          <w:b/>
          <w:i/>
        </w:rPr>
        <w:t>study which</w:t>
      </w:r>
      <w:proofErr w:type="gramEnd"/>
      <w:r w:rsidRPr="00645C41">
        <w:rPr>
          <w:b/>
          <w:i/>
        </w:rPr>
        <w:t xml:space="preserve"> should be considered when making a decision about this drug </w:t>
      </w:r>
      <w:r w:rsidR="00704C2D">
        <w:rPr>
          <w:b/>
          <w:i/>
        </w:rPr>
        <w:t xml:space="preserve">(for example, </w:t>
      </w:r>
      <w:r w:rsidRPr="00645C41">
        <w:rPr>
          <w:b/>
          <w:i/>
        </w:rPr>
        <w:t>different amounts of pain or discomfort associated with treatment, different needs</w:t>
      </w:r>
      <w:r w:rsidR="004F68C2">
        <w:rPr>
          <w:b/>
          <w:i/>
        </w:rPr>
        <w:t xml:space="preserve"> </w:t>
      </w:r>
      <w:r w:rsidRPr="00645C41">
        <w:rPr>
          <w:b/>
          <w:i/>
        </w:rPr>
        <w:t>for sedation)?</w:t>
      </w:r>
    </w:p>
    <w:p w14:paraId="36DA436B" w14:textId="77777777" w:rsidR="00BF494A" w:rsidRDefault="00683C4A" w:rsidP="00704C2D">
      <w:pPr>
        <w:pStyle w:val="Numberbullet0"/>
        <w:numPr>
          <w:ilvl w:val="0"/>
          <w:numId w:val="0"/>
        </w:numPr>
      </w:pPr>
      <w:r w:rsidRPr="00683C4A">
        <w:t xml:space="preserve">The ACM noted that the benefits of </w:t>
      </w:r>
      <w:proofErr w:type="spellStart"/>
      <w:r w:rsidRPr="00683C4A">
        <w:t>intravitreal</w:t>
      </w:r>
      <w:proofErr w:type="spellEnd"/>
      <w:r w:rsidRPr="00683C4A">
        <w:t xml:space="preserve"> injections are that they are much quicker,</w:t>
      </w:r>
      <w:r w:rsidR="00704C2D">
        <w:t xml:space="preserve"> </w:t>
      </w:r>
      <w:r w:rsidRPr="00683C4A">
        <w:t>less technically challenging and require less sedat</w:t>
      </w:r>
      <w:r w:rsidR="00704C2D">
        <w:t xml:space="preserve">ion (does not require a general </w:t>
      </w:r>
      <w:r w:rsidR="00704C2D" w:rsidRPr="00683C4A">
        <w:t>anaesthetic</w:t>
      </w:r>
      <w:r w:rsidRPr="00683C4A">
        <w:t>) than laser treatment. The ACM advised that the training for a competent laser surgeon for ROP is difficult and may take a full fellowship year (or more in many cases)</w:t>
      </w:r>
      <w:r w:rsidR="00BF494A">
        <w:t>.</w:t>
      </w:r>
    </w:p>
    <w:p w14:paraId="6E5922DB" w14:textId="77777777" w:rsidR="00704C2D" w:rsidRDefault="00704C2D" w:rsidP="00704C2D">
      <w:pPr>
        <w:pStyle w:val="Numberbullet0"/>
        <w:numPr>
          <w:ilvl w:val="0"/>
          <w:numId w:val="0"/>
        </w:numPr>
      </w:pPr>
      <w:r w:rsidRPr="00704C2D">
        <w:t xml:space="preserve">However, the ACM expressed concern that despite the risks of </w:t>
      </w:r>
      <w:proofErr w:type="spellStart"/>
      <w:r w:rsidRPr="00704C2D">
        <w:t>intravitreal</w:t>
      </w:r>
      <w:proofErr w:type="spellEnd"/>
      <w:r w:rsidRPr="00704C2D">
        <w:t xml:space="preserve"> injections, including infection and traumatic injury to the eye, the ease of administration may lead to less skilled clinicians using this treatment, and that these clinicians may not be aware of the need for close observation over several months to monitor for possible recurrence of disease.</w:t>
      </w:r>
    </w:p>
    <w:p w14:paraId="6C9B143B" w14:textId="77777777" w:rsidR="00683C4A" w:rsidRPr="00704C2D" w:rsidRDefault="00683C4A" w:rsidP="00704C2D">
      <w:pPr>
        <w:pStyle w:val="Numberbullet0"/>
        <w:rPr>
          <w:b/>
          <w:i/>
        </w:rPr>
      </w:pPr>
      <w:r w:rsidRPr="00704C2D">
        <w:rPr>
          <w:b/>
          <w:i/>
        </w:rPr>
        <w:t>Please comment on the adverse development outcomes noted in the prospective</w:t>
      </w:r>
      <w:r w:rsidR="00704C2D">
        <w:rPr>
          <w:b/>
          <w:i/>
        </w:rPr>
        <w:t xml:space="preserve"> </w:t>
      </w:r>
      <w:r w:rsidRPr="00704C2D">
        <w:rPr>
          <w:b/>
          <w:i/>
        </w:rPr>
        <w:t xml:space="preserve">observational studies. Do you consider the lack of </w:t>
      </w:r>
      <w:proofErr w:type="gramStart"/>
      <w:r w:rsidRPr="00704C2D">
        <w:rPr>
          <w:b/>
          <w:i/>
        </w:rPr>
        <w:t>long term</w:t>
      </w:r>
      <w:proofErr w:type="gramEnd"/>
      <w:r w:rsidRPr="00704C2D">
        <w:rPr>
          <w:b/>
          <w:i/>
        </w:rPr>
        <w:t xml:space="preserve"> safety data a significant</w:t>
      </w:r>
      <w:r w:rsidR="00704C2D">
        <w:rPr>
          <w:b/>
          <w:i/>
        </w:rPr>
        <w:t xml:space="preserve"> </w:t>
      </w:r>
      <w:r w:rsidRPr="00704C2D">
        <w:rPr>
          <w:b/>
          <w:i/>
        </w:rPr>
        <w:t>enough concern to prevent registration?</w:t>
      </w:r>
    </w:p>
    <w:p w14:paraId="14641233" w14:textId="77777777" w:rsidR="00683C4A" w:rsidRPr="00683C4A" w:rsidRDefault="00683C4A" w:rsidP="00704C2D">
      <w:pPr>
        <w:pStyle w:val="Numberbullet0"/>
        <w:numPr>
          <w:ilvl w:val="0"/>
          <w:numId w:val="0"/>
        </w:numPr>
      </w:pPr>
      <w:r w:rsidRPr="00683C4A">
        <w:t xml:space="preserve">The ACM considered the lack of long term safety data to be of </w:t>
      </w:r>
      <w:r w:rsidR="00A606B0" w:rsidRPr="00683C4A">
        <w:t>significant</w:t>
      </w:r>
      <w:r w:rsidRPr="00683C4A">
        <w:t xml:space="preserve"> concern,</w:t>
      </w:r>
      <w:r w:rsidR="00704C2D">
        <w:t xml:space="preserve"> </w:t>
      </w:r>
      <w:r w:rsidRPr="00683C4A">
        <w:t>particularly in regards to uncertainties regarding effects on mortality and</w:t>
      </w:r>
      <w:r w:rsidR="00704C2D">
        <w:t xml:space="preserve"> </w:t>
      </w:r>
      <w:r w:rsidRPr="00683C4A">
        <w:t>neurodevelopment, but also related to effects on other body systems (for example, renal</w:t>
      </w:r>
      <w:r w:rsidR="00704C2D">
        <w:t xml:space="preserve"> </w:t>
      </w:r>
      <w:r w:rsidRPr="00683C4A">
        <w:t>(including hypertension) and respiratory outcomes).</w:t>
      </w:r>
    </w:p>
    <w:p w14:paraId="5E1ADE41" w14:textId="626A90D8" w:rsidR="00704C2D" w:rsidRDefault="00683C4A" w:rsidP="00704C2D">
      <w:pPr>
        <w:pStyle w:val="Numberbullet0"/>
        <w:numPr>
          <w:ilvl w:val="0"/>
          <w:numId w:val="0"/>
        </w:numPr>
      </w:pPr>
      <w:r w:rsidRPr="00683C4A">
        <w:t>Given the safety concerns raised, particularly in relation to neurodevelopmental defects,</w:t>
      </w:r>
      <w:r w:rsidR="00704C2D">
        <w:t xml:space="preserve"> </w:t>
      </w:r>
      <w:r w:rsidRPr="00683C4A">
        <w:t xml:space="preserve">the ACM was of the view that it would be preferable to have at least the </w:t>
      </w:r>
      <w:proofErr w:type="gramStart"/>
      <w:r w:rsidRPr="00683C4A">
        <w:t>two year</w:t>
      </w:r>
      <w:proofErr w:type="gramEnd"/>
      <w:r w:rsidRPr="00683C4A">
        <w:t xml:space="preserve"> safety</w:t>
      </w:r>
      <w:r w:rsidR="00704C2D">
        <w:t xml:space="preserve"> </w:t>
      </w:r>
      <w:r w:rsidRPr="00683C4A">
        <w:t xml:space="preserve">outcomes of the </w:t>
      </w:r>
      <w:r w:rsidR="00D36548">
        <w:t xml:space="preserve">RAINBOW </w:t>
      </w:r>
      <w:r w:rsidR="000D5C29">
        <w:t>trial</w:t>
      </w:r>
      <w:r w:rsidR="000D5C29" w:rsidRPr="00683C4A">
        <w:t xml:space="preserve"> </w:t>
      </w:r>
      <w:r w:rsidRPr="00683C4A">
        <w:t xml:space="preserve">before </w:t>
      </w:r>
      <w:proofErr w:type="spellStart"/>
      <w:r w:rsidRPr="00683C4A">
        <w:t>L</w:t>
      </w:r>
      <w:r w:rsidR="00704C2D" w:rsidRPr="00683C4A">
        <w:t>ucentis</w:t>
      </w:r>
      <w:proofErr w:type="spellEnd"/>
      <w:r w:rsidRPr="00683C4A">
        <w:t xml:space="preserve"> were considered for registration, or</w:t>
      </w:r>
      <w:r w:rsidR="00704C2D">
        <w:t xml:space="preserve"> </w:t>
      </w:r>
      <w:r w:rsidRPr="00683C4A">
        <w:t>ideally the five year outcomes. At a minimum, the ACM was of the view that safety data</w:t>
      </w:r>
      <w:r w:rsidR="00704C2D">
        <w:t xml:space="preserve"> </w:t>
      </w:r>
      <w:r w:rsidRPr="00683C4A">
        <w:t>from a second pr</w:t>
      </w:r>
      <w:r w:rsidR="008E6545">
        <w:t>e-defined interim analysis</w:t>
      </w:r>
      <w:r w:rsidRPr="00683C4A">
        <w:t xml:space="preserve"> of the ongoing </w:t>
      </w:r>
      <w:r w:rsidR="007010DF">
        <w:t>RAINBOW E</w:t>
      </w:r>
      <w:r w:rsidRPr="00683C4A">
        <w:t>xtension</w:t>
      </w:r>
      <w:r w:rsidR="007010DF">
        <w:t xml:space="preserve"> trial</w:t>
      </w:r>
      <w:r w:rsidRPr="00683C4A">
        <w:t xml:space="preserve"> </w:t>
      </w:r>
      <w:r w:rsidR="007010DF">
        <w:t>(</w:t>
      </w:r>
      <w:r w:rsidRPr="00683C4A">
        <w:t xml:space="preserve">Study </w:t>
      </w:r>
      <w:r w:rsidR="007010DF">
        <w:t>CRFB002</w:t>
      </w:r>
      <w:r w:rsidRPr="00683C4A">
        <w:t>H2301E1</w:t>
      </w:r>
      <w:r w:rsidR="007010DF">
        <w:t xml:space="preserve">, </w:t>
      </w:r>
      <w:r w:rsidRPr="00683C4A">
        <w:t xml:space="preserve">due for submission in </w:t>
      </w:r>
      <w:r w:rsidR="00112C44">
        <w:t>second quarter of</w:t>
      </w:r>
      <w:r w:rsidRPr="00683C4A">
        <w:t xml:space="preserve"> 2020) should be provided before registration were considered.</w:t>
      </w:r>
    </w:p>
    <w:p w14:paraId="47CD5880" w14:textId="0E4B8E56" w:rsidR="00683C4A" w:rsidRPr="00704C2D" w:rsidRDefault="00DD4B49" w:rsidP="00704C2D">
      <w:pPr>
        <w:pStyle w:val="Numberbullet0"/>
        <w:rPr>
          <w:b/>
          <w:i/>
        </w:rPr>
      </w:pPr>
      <w:r>
        <w:rPr>
          <w:b/>
          <w:i/>
        </w:rPr>
        <w:t>The C</w:t>
      </w:r>
      <w:r w:rsidR="00683C4A" w:rsidRPr="00704C2D">
        <w:rPr>
          <w:b/>
          <w:i/>
        </w:rPr>
        <w:t xml:space="preserve">ommittee </w:t>
      </w:r>
      <w:proofErr w:type="gramStart"/>
      <w:r w:rsidR="00683C4A" w:rsidRPr="00704C2D">
        <w:rPr>
          <w:b/>
          <w:i/>
        </w:rPr>
        <w:t>is also requested</w:t>
      </w:r>
      <w:proofErr w:type="gramEnd"/>
      <w:r w:rsidR="00683C4A" w:rsidRPr="00704C2D">
        <w:rPr>
          <w:b/>
          <w:i/>
        </w:rPr>
        <w:t xml:space="preserve"> to provide advice on any other issues that it thinks</w:t>
      </w:r>
      <w:r w:rsidR="00704C2D">
        <w:rPr>
          <w:b/>
          <w:i/>
        </w:rPr>
        <w:t xml:space="preserve"> </w:t>
      </w:r>
      <w:r w:rsidR="00683C4A" w:rsidRPr="00704C2D">
        <w:rPr>
          <w:b/>
          <w:i/>
        </w:rPr>
        <w:t>may be relevant to a decision on whether or not to approve this application.</w:t>
      </w:r>
    </w:p>
    <w:p w14:paraId="2BC90E21" w14:textId="448D2265" w:rsidR="00683C4A" w:rsidRDefault="00683C4A" w:rsidP="00704C2D">
      <w:pPr>
        <w:pStyle w:val="Numberbullet0"/>
        <w:numPr>
          <w:ilvl w:val="0"/>
          <w:numId w:val="0"/>
        </w:numPr>
      </w:pPr>
      <w:r w:rsidRPr="00683C4A">
        <w:t>The ACM considered whether rejection of the current application would disadvantage</w:t>
      </w:r>
      <w:r w:rsidR="00704C2D">
        <w:t xml:space="preserve"> </w:t>
      </w:r>
      <w:r w:rsidRPr="00683C4A">
        <w:t xml:space="preserve">patients while </w:t>
      </w:r>
      <w:proofErr w:type="gramStart"/>
      <w:r w:rsidRPr="00683C4A">
        <w:t>long term</w:t>
      </w:r>
      <w:proofErr w:type="gramEnd"/>
      <w:r w:rsidRPr="00683C4A">
        <w:t xml:space="preserve"> safety data is collected for re-consideration. The ACM did not</w:t>
      </w:r>
      <w:r w:rsidR="00704C2D">
        <w:t xml:space="preserve"> </w:t>
      </w:r>
      <w:r w:rsidRPr="00683C4A">
        <w:t>believe this would be the case as other products are used/available for this indication and,</w:t>
      </w:r>
      <w:r w:rsidR="00704C2D">
        <w:t xml:space="preserve"> </w:t>
      </w:r>
      <w:r w:rsidRPr="00683C4A">
        <w:t xml:space="preserve">if not approved in the current application, </w:t>
      </w:r>
      <w:proofErr w:type="spellStart"/>
      <w:r w:rsidRPr="00683C4A">
        <w:t>L</w:t>
      </w:r>
      <w:r w:rsidR="00704C2D" w:rsidRPr="00683C4A">
        <w:t>ucentis</w:t>
      </w:r>
      <w:proofErr w:type="spellEnd"/>
      <w:r w:rsidRPr="00683C4A">
        <w:t xml:space="preserve"> will still be available through the</w:t>
      </w:r>
      <w:r w:rsidR="00704C2D">
        <w:t xml:space="preserve"> </w:t>
      </w:r>
      <w:r w:rsidRPr="00683C4A">
        <w:t>TGA’s Special Access Scheme (SAS).</w:t>
      </w:r>
      <w:r w:rsidR="00112C44">
        <w:rPr>
          <w:rStyle w:val="FootnoteReference"/>
        </w:rPr>
        <w:footnoteReference w:id="24"/>
      </w:r>
    </w:p>
    <w:p w14:paraId="1AD67770" w14:textId="09A999D9" w:rsidR="001909E9" w:rsidRDefault="001909E9" w:rsidP="00774CCD">
      <w:pPr>
        <w:pStyle w:val="Heading5"/>
      </w:pPr>
      <w:r>
        <w:t>General advice</w:t>
      </w:r>
    </w:p>
    <w:p w14:paraId="756D6104" w14:textId="55C25227" w:rsidR="001909E9" w:rsidRPr="00683C4A" w:rsidRDefault="001909E9" w:rsidP="00704C2D">
      <w:pPr>
        <w:pStyle w:val="Numberbullet0"/>
        <w:numPr>
          <w:ilvl w:val="0"/>
          <w:numId w:val="0"/>
        </w:numPr>
      </w:pPr>
      <w:r w:rsidRPr="001909E9">
        <w:t xml:space="preserve">The ACM noted that this product </w:t>
      </w:r>
      <w:proofErr w:type="gramStart"/>
      <w:r w:rsidRPr="001909E9">
        <w:t>has been approved</w:t>
      </w:r>
      <w:proofErr w:type="gramEnd"/>
      <w:r w:rsidRPr="001909E9">
        <w:t xml:space="preserve"> in the EU for the same indication. However, the ACM was of the view that the Australian clinical context is sufficiently different as to warrant a different decision on registration </w:t>
      </w:r>
      <w:proofErr w:type="gramStart"/>
      <w:r w:rsidRPr="001909E9">
        <w:t>until such time as</w:t>
      </w:r>
      <w:proofErr w:type="gramEnd"/>
      <w:r w:rsidRPr="001909E9">
        <w:t xml:space="preserve"> further safety data becomes available.</w:t>
      </w:r>
    </w:p>
    <w:p w14:paraId="73ECDA9B" w14:textId="77777777" w:rsidR="008E7846" w:rsidRPr="002E238E" w:rsidRDefault="008E7846" w:rsidP="008E7846">
      <w:pPr>
        <w:pStyle w:val="Heading3"/>
      </w:pPr>
      <w:bookmarkStart w:id="59" w:name="_Toc247691532"/>
      <w:bookmarkStart w:id="60" w:name="_Toc314842516"/>
      <w:bookmarkStart w:id="61" w:name="_Toc50054488"/>
      <w:bookmarkEnd w:id="32"/>
      <w:bookmarkEnd w:id="55"/>
      <w:bookmarkEnd w:id="56"/>
      <w:r>
        <w:lastRenderedPageBreak/>
        <w:t>Outcome</w:t>
      </w:r>
      <w:bookmarkEnd w:id="59"/>
      <w:bookmarkEnd w:id="60"/>
      <w:bookmarkEnd w:id="61"/>
    </w:p>
    <w:p w14:paraId="3C8DA31B" w14:textId="56E3C2A9" w:rsidR="000D5C29" w:rsidRDefault="002E5CB5" w:rsidP="00456765">
      <w:bookmarkStart w:id="62" w:name="_Toc247691533"/>
      <w:bookmarkStart w:id="63" w:name="_Toc314842517"/>
      <w:r>
        <w:t>T</w:t>
      </w:r>
      <w:r w:rsidR="00456765" w:rsidRPr="00E146E3">
        <w:t xml:space="preserve">he sponsor withdrew their submission on </w:t>
      </w:r>
      <w:r w:rsidR="00704C2D">
        <w:t>14 January 2020</w:t>
      </w:r>
      <w:r w:rsidR="00456765" w:rsidRPr="00E146E3">
        <w:t xml:space="preserve"> before a decision </w:t>
      </w:r>
      <w:proofErr w:type="gramStart"/>
      <w:r w:rsidR="00456765" w:rsidRPr="00E146E3">
        <w:t>had been made</w:t>
      </w:r>
      <w:proofErr w:type="gramEnd"/>
      <w:r w:rsidR="00456765" w:rsidRPr="00E146E3">
        <w:t xml:space="preserve"> by the TGA.</w:t>
      </w:r>
      <w:r>
        <w:rPr>
          <w:rStyle w:val="FootnoteReference"/>
        </w:rPr>
        <w:footnoteReference w:id="25"/>
      </w:r>
    </w:p>
    <w:bookmarkEnd w:id="62"/>
    <w:bookmarkEnd w:id="63"/>
    <w:p w14:paraId="441AE7EC" w14:textId="242F8876" w:rsidR="00291957" w:rsidRDefault="00291957" w:rsidP="00774CCD">
      <w:pPr>
        <w:autoSpaceDE w:val="0"/>
        <w:autoSpaceDN w:val="0"/>
        <w:adjustRightInd w:val="0"/>
        <w:spacing w:after="0"/>
        <w:rPr>
          <w:lang w:eastAsia="ja-JP"/>
        </w:rPr>
      </w:pPr>
    </w:p>
    <w:p w14:paraId="574033E1" w14:textId="77777777" w:rsidR="00C80137" w:rsidRPr="001D043B" w:rsidRDefault="00C80137" w:rsidP="003A7F6C">
      <w:pPr>
        <w:pStyle w:val="TableTitle"/>
        <w:sectPr w:rsidR="00C80137" w:rsidRPr="001D043B" w:rsidSect="00B452CE">
          <w:headerReference w:type="even" r:id="rId13"/>
          <w:headerReference w:type="default" r:id="rId14"/>
          <w:headerReference w:type="first" r:id="rId15"/>
          <w:footerReference w:type="first" r:id="rId1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CECC609" w14:textId="77777777" w:rsidTr="00A05FA4">
        <w:trPr>
          <w:trHeight w:hRule="exact" w:val="704"/>
        </w:trPr>
        <w:tc>
          <w:tcPr>
            <w:tcW w:w="9175" w:type="dxa"/>
          </w:tcPr>
          <w:p w14:paraId="55133533" w14:textId="77777777" w:rsidR="001C32CD" w:rsidRPr="00487162" w:rsidRDefault="001C32CD" w:rsidP="00A05FA4">
            <w:pPr>
              <w:pStyle w:val="TGASignoff"/>
            </w:pPr>
            <w:r w:rsidRPr="00487162">
              <w:lastRenderedPageBreak/>
              <w:t>Therapeutic Goods Administration</w:t>
            </w:r>
          </w:p>
        </w:tc>
      </w:tr>
      <w:tr w:rsidR="001C32CD" w:rsidRPr="004C239D" w14:paraId="77465345" w14:textId="77777777" w:rsidTr="00A05FA4">
        <w:trPr>
          <w:trHeight w:val="1221"/>
        </w:trPr>
        <w:tc>
          <w:tcPr>
            <w:tcW w:w="9175" w:type="dxa"/>
            <w:tcMar>
              <w:top w:w="28" w:type="dxa"/>
            </w:tcMar>
          </w:tcPr>
          <w:p w14:paraId="02761F50" w14:textId="77777777" w:rsidR="001C32CD" w:rsidRPr="00487162" w:rsidRDefault="001C32CD" w:rsidP="00A05FA4">
            <w:pPr>
              <w:pStyle w:val="Address"/>
            </w:pPr>
            <w:r w:rsidRPr="00487162">
              <w:t>PO Box 100 Woden ACT 2606 Australia</w:t>
            </w:r>
          </w:p>
          <w:p w14:paraId="089C03F4" w14:textId="3CD54455" w:rsidR="001C32CD" w:rsidRPr="00487162" w:rsidRDefault="001C32CD" w:rsidP="00A05FA4">
            <w:pPr>
              <w:pStyle w:val="Address"/>
            </w:pPr>
            <w:r w:rsidRPr="00487162">
              <w:t xml:space="preserve">Email: </w:t>
            </w:r>
            <w:hyperlink r:id="rId17" w:history="1">
              <w:r w:rsidRPr="004C239D">
                <w:rPr>
                  <w:rStyle w:val="Hyperlink"/>
                </w:rPr>
                <w:t>info@tga.gov.au</w:t>
              </w:r>
            </w:hyperlink>
            <w:r w:rsidRPr="00487162">
              <w:t xml:space="preserve">  Phone: 1800 020 653  Fax: 02 6232 8605</w:t>
            </w:r>
          </w:p>
          <w:p w14:paraId="64504A7C" w14:textId="5CAB3909" w:rsidR="001C32CD" w:rsidRPr="004C239D" w:rsidRDefault="004616F9" w:rsidP="00A05FA4">
            <w:pPr>
              <w:pStyle w:val="Address"/>
              <w:spacing w:line="260" w:lineRule="atLeast"/>
              <w:rPr>
                <w:b/>
                <w:color w:val="0000FF"/>
                <w:u w:val="single"/>
              </w:rPr>
            </w:pPr>
            <w:hyperlink r:id="rId18" w:history="1">
              <w:r w:rsidR="007C6B9B" w:rsidRPr="007C6B9B">
                <w:rPr>
                  <w:rStyle w:val="Hyperlink"/>
                  <w:b/>
                </w:rPr>
                <w:t>https://www.tga.gov.au</w:t>
              </w:r>
            </w:hyperlink>
          </w:p>
        </w:tc>
      </w:tr>
    </w:tbl>
    <w:p w14:paraId="5FF585FC" w14:textId="77777777" w:rsidR="00774E1D" w:rsidRPr="008A5E0B" w:rsidRDefault="00774E1D" w:rsidP="004C239D"/>
    <w:sectPr w:rsidR="00774E1D" w:rsidRPr="008A5E0B" w:rsidSect="001C32CD">
      <w:headerReference w:type="even" r:id="rId19"/>
      <w:headerReference w:type="default" r:id="rId20"/>
      <w:footerReference w:type="default" r:id="rId21"/>
      <w:headerReference w:type="first" r:id="rId22"/>
      <w:footerReference w:type="first" r:id="rId2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32E78" w14:textId="77777777" w:rsidR="005B2E7C" w:rsidRDefault="005B2E7C" w:rsidP="00C40A36">
      <w:pPr>
        <w:spacing w:after="0"/>
      </w:pPr>
      <w:r>
        <w:separator/>
      </w:r>
    </w:p>
  </w:endnote>
  <w:endnote w:type="continuationSeparator" w:id="0">
    <w:p w14:paraId="7121B6C3" w14:textId="77777777" w:rsidR="005B2E7C" w:rsidRDefault="005B2E7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calaLancetPro">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AdvTT08640291">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6946"/>
      <w:gridCol w:w="1559"/>
    </w:tblGrid>
    <w:tr w:rsidR="005B2E7C" w:rsidRPr="00487162" w14:paraId="5BACDC35" w14:textId="77777777" w:rsidTr="00416CEC">
      <w:trPr>
        <w:trHeight w:val="269"/>
      </w:trPr>
      <w:tc>
        <w:tcPr>
          <w:tcW w:w="6946" w:type="dxa"/>
          <w:tcMar>
            <w:top w:w="142" w:type="dxa"/>
            <w:bottom w:w="0" w:type="dxa"/>
          </w:tcMar>
        </w:tcPr>
        <w:p w14:paraId="4BF21F43" w14:textId="3C1459E6" w:rsidR="005B2E7C" w:rsidRPr="00487162" w:rsidRDefault="005B2E7C" w:rsidP="005B2E7C">
          <w:pPr>
            <w:pStyle w:val="Footer"/>
          </w:pPr>
          <w:proofErr w:type="spellStart"/>
          <w:r w:rsidRPr="00487162">
            <w:t>AusPA</w:t>
          </w:r>
          <w:r>
            <w:t>R</w:t>
          </w:r>
          <w:proofErr w:type="spellEnd"/>
          <w:r>
            <w:t xml:space="preserve"> </w:t>
          </w:r>
          <w:r w:rsidRPr="006C5AD7">
            <w:t xml:space="preserve">- LUCENTIS </w:t>
          </w:r>
          <w:r>
            <w:t>–</w:t>
          </w:r>
          <w:r w:rsidRPr="006C5AD7">
            <w:t xml:space="preserve"> </w:t>
          </w:r>
          <w:proofErr w:type="spellStart"/>
          <w:r w:rsidRPr="006C5AD7">
            <w:t>ranibizumab</w:t>
          </w:r>
          <w:proofErr w:type="spellEnd"/>
          <w:r>
            <w:t xml:space="preserve"> (</w:t>
          </w:r>
          <w:proofErr w:type="spellStart"/>
          <w:r>
            <w:t>rbe</w:t>
          </w:r>
          <w:proofErr w:type="spellEnd"/>
          <w:r>
            <w:t>)</w:t>
          </w:r>
          <w:r w:rsidRPr="006C5AD7">
            <w:t xml:space="preserve"> - Novartis Pharmaceuticals Australia Pty Limite</w:t>
          </w:r>
          <w:r>
            <w:t>d - PM-2018-04902-1-5</w:t>
          </w:r>
          <w:r>
            <w:br/>
            <w:t>FINAL 3 September 2020</w:t>
          </w:r>
        </w:p>
      </w:tc>
      <w:tc>
        <w:tcPr>
          <w:tcW w:w="1559" w:type="dxa"/>
          <w:tcMar>
            <w:top w:w="142" w:type="dxa"/>
            <w:bottom w:w="0" w:type="dxa"/>
          </w:tcMar>
        </w:tcPr>
        <w:p w14:paraId="22A62A2E" w14:textId="6C420678" w:rsidR="005B2E7C" w:rsidRPr="00487162" w:rsidRDefault="005B2E7C" w:rsidP="00DB750B">
          <w:pPr>
            <w:pStyle w:val="Footer"/>
            <w:jc w:val="right"/>
          </w:pPr>
          <w:r w:rsidRPr="00487162">
            <w:t xml:space="preserve">Page </w:t>
          </w:r>
          <w:r>
            <w:fldChar w:fldCharType="begin"/>
          </w:r>
          <w:r>
            <w:instrText xml:space="preserve"> PAGE  \* Arabic </w:instrText>
          </w:r>
          <w:r>
            <w:fldChar w:fldCharType="separate"/>
          </w:r>
          <w:r w:rsidR="004616F9">
            <w:rPr>
              <w:noProof/>
            </w:rPr>
            <w:t>21</w:t>
          </w:r>
          <w:r>
            <w:fldChar w:fldCharType="end"/>
          </w:r>
          <w:r w:rsidRPr="00487162">
            <w:t xml:space="preserve"> of </w:t>
          </w:r>
          <w:r w:rsidR="004616F9">
            <w:fldChar w:fldCharType="begin"/>
          </w:r>
          <w:r w:rsidR="004616F9">
            <w:instrText xml:space="preserve"> NUMPAGES  \* Arabic </w:instrText>
          </w:r>
          <w:r w:rsidR="004616F9">
            <w:fldChar w:fldCharType="separate"/>
          </w:r>
          <w:r w:rsidR="004616F9">
            <w:rPr>
              <w:noProof/>
            </w:rPr>
            <w:t>23</w:t>
          </w:r>
          <w:r w:rsidR="004616F9">
            <w:rPr>
              <w:noProof/>
            </w:rPr>
            <w:fldChar w:fldCharType="end"/>
          </w:r>
        </w:p>
      </w:tc>
    </w:tr>
  </w:tbl>
  <w:p w14:paraId="1188D19F" w14:textId="77777777" w:rsidR="005B2E7C" w:rsidRDefault="005B2E7C"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B2E7C" w:rsidRPr="00487162" w14:paraId="28F6A7B0" w14:textId="77777777" w:rsidTr="00E45619">
      <w:trPr>
        <w:trHeight w:val="269"/>
      </w:trPr>
      <w:tc>
        <w:tcPr>
          <w:tcW w:w="4519" w:type="dxa"/>
          <w:tcBorders>
            <w:top w:val="single" w:sz="4" w:space="0" w:color="auto"/>
          </w:tcBorders>
          <w:tcMar>
            <w:top w:w="142" w:type="dxa"/>
            <w:bottom w:w="0" w:type="dxa"/>
          </w:tcMar>
        </w:tcPr>
        <w:p w14:paraId="6B758421" w14:textId="77777777" w:rsidR="005B2E7C" w:rsidRPr="00487162" w:rsidRDefault="005B2E7C" w:rsidP="00FE1DEE">
          <w:pPr>
            <w:pStyle w:val="Footer"/>
          </w:pPr>
          <w:r w:rsidRPr="00487162">
            <w:t>Document title, Part #, Section # - Section title</w:t>
          </w:r>
        </w:p>
        <w:p w14:paraId="165AE272" w14:textId="77777777" w:rsidR="005B2E7C" w:rsidRPr="00487162" w:rsidRDefault="005B2E7C" w:rsidP="00FE1DEE">
          <w:pPr>
            <w:pStyle w:val="Footer"/>
          </w:pPr>
          <w:r w:rsidRPr="00487162">
            <w:t>V1.0 October 2010</w:t>
          </w:r>
        </w:p>
      </w:tc>
      <w:tc>
        <w:tcPr>
          <w:tcW w:w="4342" w:type="dxa"/>
          <w:tcBorders>
            <w:top w:val="single" w:sz="4" w:space="0" w:color="auto"/>
          </w:tcBorders>
          <w:tcMar>
            <w:top w:w="142" w:type="dxa"/>
            <w:bottom w:w="0" w:type="dxa"/>
          </w:tcMar>
        </w:tcPr>
        <w:p w14:paraId="37ADFE04" w14:textId="77777777" w:rsidR="005B2E7C" w:rsidRPr="00487162" w:rsidRDefault="005B2E7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4616F9">
            <w:fldChar w:fldCharType="begin"/>
          </w:r>
          <w:r w:rsidR="004616F9">
            <w:instrText xml:space="preserve"> NUMPAGES  </w:instrText>
          </w:r>
          <w:r w:rsidR="004616F9">
            <w:fldChar w:fldCharType="separate"/>
          </w:r>
          <w:r>
            <w:rPr>
              <w:noProof/>
            </w:rPr>
            <w:t>3</w:t>
          </w:r>
          <w:r w:rsidR="004616F9">
            <w:rPr>
              <w:noProof/>
            </w:rPr>
            <w:fldChar w:fldCharType="end"/>
          </w:r>
        </w:p>
      </w:tc>
    </w:tr>
  </w:tbl>
  <w:p w14:paraId="198BC250" w14:textId="77777777" w:rsidR="005B2E7C" w:rsidRDefault="005B2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C8C8" w14:textId="77777777" w:rsidR="005B2E7C" w:rsidRPr="001C32CD" w:rsidRDefault="005B2E7C"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B2E7C" w14:paraId="0CC07CCA" w14:textId="77777777" w:rsidTr="0010601F">
      <w:trPr>
        <w:trHeight w:val="108"/>
      </w:trPr>
      <w:tc>
        <w:tcPr>
          <w:tcW w:w="8875" w:type="dxa"/>
          <w:gridSpan w:val="2"/>
          <w:tcBorders>
            <w:bottom w:val="single" w:sz="4" w:space="0" w:color="auto"/>
          </w:tcBorders>
          <w:tcMar>
            <w:right w:w="284" w:type="dxa"/>
          </w:tcMar>
        </w:tcPr>
        <w:p w14:paraId="65928826" w14:textId="77777777" w:rsidR="005B2E7C" w:rsidRDefault="005B2E7C" w:rsidP="006E08B3">
          <w:pPr>
            <w:pStyle w:val="Heading3"/>
          </w:pPr>
          <w:r>
            <w:t>Copyright</w:t>
          </w:r>
        </w:p>
        <w:p w14:paraId="417E0F5E" w14:textId="77777777" w:rsidR="005B2E7C" w:rsidRDefault="005B2E7C" w:rsidP="006E08B3">
          <w:r>
            <w:rPr>
              <w:rFonts w:cs="Arial"/>
            </w:rPr>
            <w:t>©</w:t>
          </w:r>
          <w:r>
            <w:t xml:space="preserve"> Commonwealth of Australia [add year]</w:t>
          </w:r>
        </w:p>
        <w:p w14:paraId="1C2062C4" w14:textId="77777777" w:rsidR="005B2E7C" w:rsidRDefault="005B2E7C" w:rsidP="006E08B3"/>
        <w:p w14:paraId="2179B5F9" w14:textId="77777777" w:rsidR="005B2E7C" w:rsidRDefault="005B2E7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546D0D8" w14:textId="77777777" w:rsidR="005B2E7C" w:rsidRDefault="005B2E7C" w:rsidP="006E08B3"/>
        <w:p w14:paraId="18C6E1F0" w14:textId="77777777" w:rsidR="005B2E7C" w:rsidRDefault="005B2E7C" w:rsidP="006E08B3">
          <w:pPr>
            <w:pStyle w:val="Heading3"/>
          </w:pPr>
          <w:r>
            <w:t>Confidentiality</w:t>
          </w:r>
        </w:p>
        <w:p w14:paraId="20D66425" w14:textId="77777777" w:rsidR="005B2E7C" w:rsidRDefault="005B2E7C" w:rsidP="006E08B3">
          <w:r>
            <w:t xml:space="preserve">All submissions received </w:t>
          </w:r>
          <w:proofErr w:type="gramStart"/>
          <w:r>
            <w:t>will be placed</w:t>
          </w:r>
          <w:proofErr w:type="gramEnd"/>
          <w:r>
            <w:t xml:space="preserve"> on the TGA’s Internet site, unless marked confidential. Any confidential material contained within your submission </w:t>
          </w:r>
          <w:proofErr w:type="gramStart"/>
          <w:r>
            <w:t>should be provided</w:t>
          </w:r>
          <w:proofErr w:type="gramEnd"/>
          <w:r>
            <w:t xml:space="preserve"> under a separate cover and clearly marked “IN CONFIDENCE”. Reasons for a claim to confidentiality must be included in the space provided on the TGA submission coversheet.</w:t>
          </w:r>
        </w:p>
        <w:p w14:paraId="5BCC9C82" w14:textId="77777777" w:rsidR="005B2E7C" w:rsidRDefault="005B2E7C" w:rsidP="006E08B3"/>
        <w:p w14:paraId="539D027D" w14:textId="77777777" w:rsidR="005B2E7C" w:rsidRDefault="005B2E7C" w:rsidP="006E08B3">
          <w:r>
            <w:t xml:space="preserve">For submission made by individuals, all personal details, other than your name, </w:t>
          </w:r>
          <w:proofErr w:type="gramStart"/>
          <w:r>
            <w:t>will be removed</w:t>
          </w:r>
          <w:proofErr w:type="gramEnd"/>
          <w:r>
            <w:t xml:space="preserve"> from your submission before it is published on the TGA’s Internet site.</w:t>
          </w:r>
        </w:p>
        <w:p w14:paraId="49755864" w14:textId="77777777" w:rsidR="005B2E7C" w:rsidRDefault="005B2E7C" w:rsidP="006E08B3"/>
        <w:p w14:paraId="35CCCC25" w14:textId="77777777" w:rsidR="005B2E7C" w:rsidRDefault="005B2E7C" w:rsidP="006E08B3">
          <w:r>
            <w:t xml:space="preserve">In addition, a list of parties making submissions </w:t>
          </w:r>
          <w:proofErr w:type="gramStart"/>
          <w:r>
            <w:t>will be published</w:t>
          </w:r>
          <w:proofErr w:type="gramEnd"/>
          <w:r>
            <w:t xml:space="preserve">. If you do not wish to be identified with your </w:t>
          </w:r>
          <w:proofErr w:type="gramStart"/>
          <w:r>
            <w:t>submission</w:t>
          </w:r>
          <w:proofErr w:type="gramEnd"/>
          <w:r>
            <w:t xml:space="preserve"> you must specifically request this in the space provided </w:t>
          </w:r>
          <w:proofErr w:type="spellStart"/>
          <w:r>
            <w:t>ib</w:t>
          </w:r>
          <w:proofErr w:type="spellEnd"/>
          <w:r>
            <w:t xml:space="preserve"> the submission coversheet.</w:t>
          </w:r>
        </w:p>
      </w:tc>
    </w:tr>
    <w:tr w:rsidR="005B2E7C" w14:paraId="7CCF5856" w14:textId="77777777" w:rsidTr="0010601F">
      <w:trPr>
        <w:trHeight w:val="417"/>
      </w:trPr>
      <w:tc>
        <w:tcPr>
          <w:tcW w:w="4519" w:type="dxa"/>
          <w:tcBorders>
            <w:top w:val="single" w:sz="4" w:space="0" w:color="auto"/>
          </w:tcBorders>
          <w:tcMar>
            <w:top w:w="142" w:type="dxa"/>
            <w:bottom w:w="0" w:type="dxa"/>
          </w:tcMar>
        </w:tcPr>
        <w:p w14:paraId="4F800096" w14:textId="77777777" w:rsidR="005B2E7C" w:rsidRDefault="005B2E7C" w:rsidP="006E08B3">
          <w:r>
            <w:t>Document title, Part #, Section # - Section title</w:t>
          </w:r>
        </w:p>
        <w:p w14:paraId="7CA364F6" w14:textId="77777777" w:rsidR="005B2E7C" w:rsidRDefault="005B2E7C" w:rsidP="006E08B3">
          <w:r>
            <w:t>V1.0 October 2010</w:t>
          </w:r>
        </w:p>
      </w:tc>
      <w:tc>
        <w:tcPr>
          <w:tcW w:w="4356" w:type="dxa"/>
          <w:tcBorders>
            <w:top w:val="single" w:sz="4" w:space="0" w:color="auto"/>
          </w:tcBorders>
          <w:tcMar>
            <w:top w:w="142" w:type="dxa"/>
            <w:bottom w:w="0" w:type="dxa"/>
          </w:tcMar>
        </w:tcPr>
        <w:p w14:paraId="236535D8" w14:textId="77777777" w:rsidR="005B2E7C" w:rsidRDefault="005B2E7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4616F9">
            <w:fldChar w:fldCharType="begin"/>
          </w:r>
          <w:r w:rsidR="004616F9">
            <w:instrText xml:space="preserve"> NUMPAGES  \* Arabic </w:instrText>
          </w:r>
          <w:r w:rsidR="004616F9">
            <w:fldChar w:fldCharType="separate"/>
          </w:r>
          <w:r>
            <w:rPr>
              <w:noProof/>
            </w:rPr>
            <w:t>3</w:t>
          </w:r>
          <w:r w:rsidR="004616F9">
            <w:rPr>
              <w:noProof/>
            </w:rPr>
            <w:fldChar w:fldCharType="end"/>
          </w:r>
          <w:r>
            <w:t xml:space="preserve">  </w:t>
          </w:r>
        </w:p>
      </w:tc>
    </w:tr>
  </w:tbl>
  <w:p w14:paraId="397CD646" w14:textId="77777777" w:rsidR="005B2E7C" w:rsidRDefault="005B2E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97773" w14:textId="77777777" w:rsidR="005B2E7C" w:rsidRDefault="005B2E7C" w:rsidP="00C40A36">
      <w:pPr>
        <w:spacing w:after="0"/>
      </w:pPr>
      <w:r>
        <w:separator/>
      </w:r>
    </w:p>
  </w:footnote>
  <w:footnote w:type="continuationSeparator" w:id="0">
    <w:p w14:paraId="5593996A" w14:textId="77777777" w:rsidR="005B2E7C" w:rsidRDefault="005B2E7C" w:rsidP="00C40A36">
      <w:pPr>
        <w:spacing w:after="0"/>
      </w:pPr>
      <w:r>
        <w:continuationSeparator/>
      </w:r>
    </w:p>
  </w:footnote>
  <w:footnote w:id="1">
    <w:p w14:paraId="7566450A" w14:textId="5EB2422C" w:rsidR="00EA746F" w:rsidRDefault="00EA746F">
      <w:pPr>
        <w:pStyle w:val="FootnoteText"/>
      </w:pPr>
      <w:r>
        <w:rPr>
          <w:rStyle w:val="FootnoteReference"/>
        </w:rPr>
        <w:footnoteRef/>
      </w:r>
      <w:r>
        <w:t xml:space="preserve"> </w:t>
      </w:r>
      <w:r w:rsidRPr="00C61EC3">
        <w:t xml:space="preserve">The </w:t>
      </w:r>
      <w:r w:rsidRPr="00C61EC3">
        <w:rPr>
          <w:b/>
        </w:rPr>
        <w:t>Black Triangle Scheme</w:t>
      </w:r>
      <w:r w:rsidRPr="00C61EC3">
        <w:t xml:space="preserve"> provides a simple means for practitioners and patients to identify certain types of new prescription medicines, including those </w:t>
      </w:r>
      <w:proofErr w:type="gramStart"/>
      <w:r w:rsidRPr="00C61EC3">
        <w:t>being used</w:t>
      </w:r>
      <w:proofErr w:type="gramEnd"/>
      <w:r w:rsidRPr="00C61EC3">
        <w:t xml:space="preserve">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01746C59" w14:textId="22397BB0" w:rsidR="005B2E7C" w:rsidRDefault="005B2E7C">
      <w:pPr>
        <w:pStyle w:val="FootnoteText"/>
      </w:pPr>
      <w:r>
        <w:rPr>
          <w:rStyle w:val="FootnoteReference"/>
        </w:rPr>
        <w:footnoteRef/>
      </w:r>
      <w:r>
        <w:t xml:space="preserve"> </w:t>
      </w:r>
      <w:r w:rsidRPr="002620F2">
        <w:t>Zone I</w:t>
      </w:r>
      <w:r>
        <w:t>: Innermost zone, a circle with a radius extending from the cent</w:t>
      </w:r>
      <w:r w:rsidRPr="002620F2">
        <w:t>r</w:t>
      </w:r>
      <w:r>
        <w:t>e</w:t>
      </w:r>
      <w:r w:rsidRPr="002620F2">
        <w:t xml:space="preserve"> of the optic disc to t</w:t>
      </w:r>
      <w:r>
        <w:t>wice the distance from the cent</w:t>
      </w:r>
      <w:r w:rsidRPr="002620F2">
        <w:t>r</w:t>
      </w:r>
      <w:r>
        <w:t>e</w:t>
      </w:r>
      <w:r w:rsidRPr="002620F2">
        <w:t xml:space="preserve"> of the optic di</w:t>
      </w:r>
      <w:r>
        <w:t>sc to the centre of the macula.</w:t>
      </w:r>
    </w:p>
    <w:p w14:paraId="2381482F" w14:textId="783B60FF" w:rsidR="005B2E7C" w:rsidRDefault="005B2E7C">
      <w:pPr>
        <w:pStyle w:val="FootnoteText"/>
      </w:pPr>
      <w:r>
        <w:t xml:space="preserve">Zone II: </w:t>
      </w:r>
      <w:r w:rsidRPr="002620F2">
        <w:t xml:space="preserve">The retinal </w:t>
      </w:r>
      <w:r>
        <w:t xml:space="preserve">area, extending outwards from the </w:t>
      </w:r>
      <w:r w:rsidRPr="002620F2">
        <w:t xml:space="preserve">edge of zone </w:t>
      </w:r>
      <w:proofErr w:type="gramStart"/>
      <w:r w:rsidRPr="002620F2">
        <w:t>I</w:t>
      </w:r>
      <w:proofErr w:type="gramEnd"/>
      <w:r w:rsidRPr="002620F2">
        <w:t xml:space="preserve"> to the </w:t>
      </w:r>
      <w:proofErr w:type="spellStart"/>
      <w:r w:rsidRPr="002620F2">
        <w:t>nasalora</w:t>
      </w:r>
      <w:proofErr w:type="spellEnd"/>
      <w:r w:rsidRPr="002620F2">
        <w:t xml:space="preserve"> </w:t>
      </w:r>
      <w:proofErr w:type="spellStart"/>
      <w:r w:rsidRPr="002620F2">
        <w:t>serrata</w:t>
      </w:r>
      <w:proofErr w:type="spellEnd"/>
      <w:r w:rsidRPr="002620F2">
        <w:t xml:space="preserve"> (at the 3-o’clock position in the right eye and the 9-o’c</w:t>
      </w:r>
      <w:r>
        <w:t>lock position in the left eye).</w:t>
      </w:r>
    </w:p>
    <w:p w14:paraId="0582225B" w14:textId="70122EBB" w:rsidR="005B2E7C" w:rsidRDefault="005B2E7C">
      <w:pPr>
        <w:pStyle w:val="FootnoteText"/>
      </w:pPr>
      <w:r w:rsidRPr="002620F2">
        <w:t>Zone III</w:t>
      </w:r>
      <w:r>
        <w:t>: The residual portion of retinal area anterior to zone II.</w:t>
      </w:r>
    </w:p>
    <w:p w14:paraId="2DFB22FF" w14:textId="6F28F98A" w:rsidR="005B2E7C" w:rsidRPr="005B2E7C" w:rsidRDefault="005B2E7C">
      <w:pPr>
        <w:pStyle w:val="FootnoteText"/>
        <w:rPr>
          <w:lang w:val="en-US"/>
        </w:rPr>
      </w:pPr>
      <w:r w:rsidRPr="002620F2">
        <w:t>By convention, zones II and III are consi</w:t>
      </w:r>
      <w:r>
        <w:t xml:space="preserve">dered </w:t>
      </w:r>
      <w:proofErr w:type="gramStart"/>
      <w:r>
        <w:t>to be mutually</w:t>
      </w:r>
      <w:proofErr w:type="gramEnd"/>
      <w:r>
        <w:t xml:space="preserve"> exclusive.</w:t>
      </w:r>
    </w:p>
  </w:footnote>
  <w:footnote w:id="3">
    <w:p w14:paraId="4ED6405F" w14:textId="77777777" w:rsidR="005B2E7C" w:rsidRDefault="005B2E7C">
      <w:pPr>
        <w:pStyle w:val="FootnoteText"/>
      </w:pPr>
      <w:r>
        <w:rPr>
          <w:rStyle w:val="FootnoteReference"/>
        </w:rPr>
        <w:footnoteRef/>
      </w:r>
      <w:r>
        <w:t xml:space="preserve"> </w:t>
      </w:r>
      <w:r w:rsidRPr="00D12690">
        <w:t xml:space="preserve">The Committee for the Classification of Retinopathy of Prematurity. An international classification of retinopathy of prematurity. </w:t>
      </w:r>
      <w:r w:rsidRPr="00D12690">
        <w:rPr>
          <w:i/>
        </w:rPr>
        <w:t>Archives of Ophthalmology</w:t>
      </w:r>
      <w:r>
        <w:rPr>
          <w:i/>
        </w:rPr>
        <w:t>.</w:t>
      </w:r>
      <w:r w:rsidRPr="00D12690">
        <w:t xml:space="preserve"> </w:t>
      </w:r>
      <w:proofErr w:type="gramStart"/>
      <w:r w:rsidRPr="00D12690">
        <w:t>1984</w:t>
      </w:r>
      <w:proofErr w:type="gramEnd"/>
      <w:r>
        <w:t xml:space="preserve">, </w:t>
      </w:r>
      <w:r w:rsidRPr="00D12690">
        <w:t>102</w:t>
      </w:r>
      <w:r>
        <w:t>(8):1130‐4.</w:t>
      </w:r>
    </w:p>
  </w:footnote>
  <w:footnote w:id="4">
    <w:p w14:paraId="0C7060FE" w14:textId="77777777" w:rsidR="005B2E7C" w:rsidRPr="003536B4" w:rsidRDefault="005B2E7C">
      <w:pPr>
        <w:pStyle w:val="FootnoteText"/>
      </w:pPr>
      <w:r>
        <w:rPr>
          <w:rStyle w:val="FootnoteReference"/>
        </w:rPr>
        <w:footnoteRef/>
      </w:r>
      <w:r>
        <w:t xml:space="preserve"> International</w:t>
      </w:r>
      <w:r w:rsidRPr="00D12690">
        <w:t xml:space="preserve"> Committee for the Classification of Retinopathy of Prematurity.</w:t>
      </w:r>
      <w:r>
        <w:t xml:space="preserve"> </w:t>
      </w:r>
      <w:r w:rsidRPr="00D12690">
        <w:t>The International Classification of Retinopathy of Prematurity Revisited</w:t>
      </w:r>
      <w:r>
        <w:t xml:space="preserve">. </w:t>
      </w:r>
      <w:r w:rsidRPr="00D12690">
        <w:rPr>
          <w:i/>
        </w:rPr>
        <w:t>Archives of Ophthalmology</w:t>
      </w:r>
      <w:r>
        <w:rPr>
          <w:i/>
        </w:rPr>
        <w:t xml:space="preserve">. </w:t>
      </w:r>
      <w:proofErr w:type="gramStart"/>
      <w:r w:rsidRPr="00D12690">
        <w:t>2005</w:t>
      </w:r>
      <w:proofErr w:type="gramEnd"/>
      <w:r w:rsidRPr="00D12690">
        <w:t>, 123(7):991-9</w:t>
      </w:r>
      <w:r w:rsidRPr="00774CCD">
        <w:t>.</w:t>
      </w:r>
    </w:p>
  </w:footnote>
  <w:footnote w:id="5">
    <w:p w14:paraId="1057B827" w14:textId="4473CE17" w:rsidR="005B2E7C" w:rsidRDefault="005B2E7C" w:rsidP="00087CB4">
      <w:pPr>
        <w:pStyle w:val="FootnoteText"/>
      </w:pPr>
      <w:r>
        <w:rPr>
          <w:rStyle w:val="FootnoteReference"/>
        </w:rPr>
        <w:footnoteRef/>
      </w:r>
      <w:r>
        <w:t xml:space="preserve"> </w:t>
      </w:r>
      <w:proofErr w:type="spellStart"/>
      <w:r>
        <w:t>Tauro</w:t>
      </w:r>
      <w:proofErr w:type="spellEnd"/>
      <w:r>
        <w:t xml:space="preserve"> J. Women and Babies: Retinopathy of Prematurity. Sydney Local Health District Policy for Neonatal Medical and Nursing Staff, Royal Prince Alfred Hospital, 8 October 2018. </w:t>
      </w:r>
      <w:r w:rsidRPr="00E47247">
        <w:t>https://www.slhd.nsw.gov.au/RPA/neonatal%5Ccontent/pdf/guidelines/RPAH_GL2018_006_ROP_final.pdf</w:t>
      </w:r>
    </w:p>
  </w:footnote>
  <w:footnote w:id="6">
    <w:p w14:paraId="10407A93" w14:textId="1B3C233A" w:rsidR="005B2E7C" w:rsidRDefault="005B2E7C" w:rsidP="00087CB4">
      <w:pPr>
        <w:pStyle w:val="FootnoteText"/>
      </w:pPr>
      <w:r>
        <w:rPr>
          <w:rStyle w:val="FootnoteReference"/>
        </w:rPr>
        <w:footnoteRef/>
      </w:r>
      <w:r>
        <w:t xml:space="preserve"> McCann ME, Schouten AN. (2014). Beyond Survival</w:t>
      </w:r>
      <w:proofErr w:type="gramStart"/>
      <w:r>
        <w:t>;</w:t>
      </w:r>
      <w:proofErr w:type="gramEnd"/>
      <w:r>
        <w:t xml:space="preserve"> influences of blood pressure, cerebral perfusion and </w:t>
      </w:r>
      <w:proofErr w:type="spellStart"/>
      <w:r>
        <w:t>anesthesia</w:t>
      </w:r>
      <w:proofErr w:type="spellEnd"/>
      <w:r>
        <w:t xml:space="preserve"> on neurodevelopment. </w:t>
      </w:r>
      <w:proofErr w:type="spellStart"/>
      <w:r w:rsidRPr="005D471A">
        <w:rPr>
          <w:i/>
        </w:rPr>
        <w:t>Paediatr</w:t>
      </w:r>
      <w:proofErr w:type="spellEnd"/>
      <w:r w:rsidRPr="005D471A">
        <w:rPr>
          <w:i/>
        </w:rPr>
        <w:t xml:space="preserve"> </w:t>
      </w:r>
      <w:proofErr w:type="spellStart"/>
      <w:r w:rsidRPr="005D471A">
        <w:rPr>
          <w:i/>
        </w:rPr>
        <w:t>Anaest</w:t>
      </w:r>
      <w:r>
        <w:t>h</w:t>
      </w:r>
      <w:proofErr w:type="spellEnd"/>
      <w:r>
        <w:t>, 24(1):68-73.</w:t>
      </w:r>
    </w:p>
  </w:footnote>
  <w:footnote w:id="7">
    <w:p w14:paraId="14AB1B0B" w14:textId="6820FC10" w:rsidR="005B2E7C" w:rsidRDefault="005B2E7C" w:rsidP="00087CB4">
      <w:pPr>
        <w:pStyle w:val="FootnoteText"/>
      </w:pPr>
      <w:r>
        <w:rPr>
          <w:rStyle w:val="FootnoteReference"/>
        </w:rPr>
        <w:footnoteRef/>
      </w:r>
      <w:r>
        <w:t xml:space="preserve"> </w:t>
      </w:r>
      <w:proofErr w:type="spellStart"/>
      <w:r>
        <w:t>Geloneck</w:t>
      </w:r>
      <w:proofErr w:type="spellEnd"/>
      <w:r>
        <w:t xml:space="preserve"> MM, Chuang AZ, Clark WL et al. (2014). BEAT-ROP Cooperative Group. Refractive </w:t>
      </w:r>
      <w:proofErr w:type="spellStart"/>
      <w:r>
        <w:t>outomces</w:t>
      </w:r>
      <w:proofErr w:type="spellEnd"/>
      <w:r>
        <w:t xml:space="preserve"> following bevacizumab monotherapy compared with conventional laser treatment: a randomized clinical trial. </w:t>
      </w:r>
      <w:r>
        <w:rPr>
          <w:i/>
        </w:rPr>
        <w:t xml:space="preserve">JAMA </w:t>
      </w:r>
      <w:proofErr w:type="spellStart"/>
      <w:r>
        <w:rPr>
          <w:i/>
        </w:rPr>
        <w:t>Ophthalmol</w:t>
      </w:r>
      <w:proofErr w:type="spellEnd"/>
      <w:r>
        <w:rPr>
          <w:i/>
        </w:rPr>
        <w:t xml:space="preserve">, </w:t>
      </w:r>
      <w:r>
        <w:t>132 (11):1327-1333.</w:t>
      </w:r>
    </w:p>
  </w:footnote>
  <w:footnote w:id="8">
    <w:p w14:paraId="03392CF9" w14:textId="4F5C5B52" w:rsidR="005B2E7C" w:rsidRDefault="005B2E7C" w:rsidP="00087CB4">
      <w:pPr>
        <w:pStyle w:val="FootnoteText"/>
      </w:pPr>
      <w:r>
        <w:rPr>
          <w:rStyle w:val="FootnoteReference"/>
        </w:rPr>
        <w:footnoteRef/>
      </w:r>
      <w:r>
        <w:t xml:space="preserve"> </w:t>
      </w:r>
      <w:proofErr w:type="spellStart"/>
      <w:r>
        <w:t>McLoone</w:t>
      </w:r>
      <w:proofErr w:type="spellEnd"/>
      <w:r>
        <w:t xml:space="preserve"> E, O’Keefe M, </w:t>
      </w:r>
      <w:proofErr w:type="spellStart"/>
      <w:r>
        <w:t>McLooe</w:t>
      </w:r>
      <w:proofErr w:type="spellEnd"/>
      <w:r>
        <w:t xml:space="preserve"> S et al. (2007). Effect of diode laser retinal ablative therapy for threshold retinopathy of prematurity on the visual field: results of </w:t>
      </w:r>
      <w:proofErr w:type="spellStart"/>
      <w:r>
        <w:t>goldmann</w:t>
      </w:r>
      <w:proofErr w:type="spellEnd"/>
      <w:r>
        <w:t xml:space="preserve"> </w:t>
      </w:r>
      <w:proofErr w:type="spellStart"/>
      <w:r>
        <w:t>perimetry</w:t>
      </w:r>
      <w:proofErr w:type="spellEnd"/>
      <w:r>
        <w:t xml:space="preserve"> at a mean age of 11 years. </w:t>
      </w:r>
      <w:r w:rsidRPr="0012365C">
        <w:rPr>
          <w:i/>
        </w:rPr>
        <w:t xml:space="preserve">J </w:t>
      </w:r>
      <w:proofErr w:type="spellStart"/>
      <w:r w:rsidRPr="00C15CF8">
        <w:rPr>
          <w:i/>
        </w:rPr>
        <w:t>Pediatr</w:t>
      </w:r>
      <w:proofErr w:type="spellEnd"/>
      <w:r w:rsidRPr="00C15CF8">
        <w:rPr>
          <w:i/>
        </w:rPr>
        <w:t xml:space="preserve"> </w:t>
      </w:r>
      <w:proofErr w:type="spellStart"/>
      <w:r w:rsidRPr="00C15CF8">
        <w:rPr>
          <w:i/>
        </w:rPr>
        <w:t>Ophthalmol</w:t>
      </w:r>
      <w:proofErr w:type="spellEnd"/>
      <w:r w:rsidRPr="00C15CF8">
        <w:rPr>
          <w:i/>
        </w:rPr>
        <w:t xml:space="preserve"> </w:t>
      </w:r>
      <w:r>
        <w:rPr>
          <w:i/>
        </w:rPr>
        <w:t xml:space="preserve">&amp; </w:t>
      </w:r>
      <w:r w:rsidRPr="00C15CF8">
        <w:rPr>
          <w:i/>
        </w:rPr>
        <w:t>Strabismus</w:t>
      </w:r>
      <w:r>
        <w:t>, 44(3):170-173.</w:t>
      </w:r>
    </w:p>
  </w:footnote>
  <w:footnote w:id="9">
    <w:p w14:paraId="437EF3DF" w14:textId="41EF0162" w:rsidR="005B2E7C" w:rsidRDefault="005B2E7C" w:rsidP="00087CB4">
      <w:pPr>
        <w:pStyle w:val="FootnoteText"/>
      </w:pPr>
      <w:r>
        <w:rPr>
          <w:rStyle w:val="FootnoteReference"/>
        </w:rPr>
        <w:footnoteRef/>
      </w:r>
      <w:r>
        <w:t xml:space="preserve"> </w:t>
      </w:r>
      <w:proofErr w:type="spellStart"/>
      <w:r>
        <w:t>Mutlu</w:t>
      </w:r>
      <w:proofErr w:type="spellEnd"/>
      <w:r>
        <w:t xml:space="preserve"> FM, </w:t>
      </w:r>
      <w:proofErr w:type="spellStart"/>
      <w:r>
        <w:t>Sarici</w:t>
      </w:r>
      <w:proofErr w:type="spellEnd"/>
      <w:r>
        <w:t xml:space="preserve"> SU. (2013). Treatment of retinopathy of prematurity: a review of conventional and promising new therapeutic options. </w:t>
      </w:r>
      <w:proofErr w:type="spellStart"/>
      <w:r w:rsidRPr="0012365C">
        <w:rPr>
          <w:i/>
        </w:rPr>
        <w:t>Int</w:t>
      </w:r>
      <w:proofErr w:type="spellEnd"/>
      <w:r w:rsidRPr="0012365C">
        <w:rPr>
          <w:i/>
        </w:rPr>
        <w:t xml:space="preserve"> J </w:t>
      </w:r>
      <w:proofErr w:type="spellStart"/>
      <w:r w:rsidRPr="0012365C">
        <w:rPr>
          <w:i/>
        </w:rPr>
        <w:t>Ophthalmol</w:t>
      </w:r>
      <w:proofErr w:type="spellEnd"/>
      <w:r>
        <w:t>, 382(9902):1445-1457</w:t>
      </w:r>
    </w:p>
  </w:footnote>
  <w:footnote w:id="10">
    <w:p w14:paraId="785E7A51" w14:textId="0B18710B" w:rsidR="005B2E7C" w:rsidRDefault="005B2E7C" w:rsidP="00087CB4">
      <w:pPr>
        <w:pStyle w:val="FootnoteText"/>
      </w:pPr>
      <w:r>
        <w:rPr>
          <w:rStyle w:val="FootnoteReference"/>
        </w:rPr>
        <w:footnoteRef/>
      </w:r>
      <w:r>
        <w:t xml:space="preserve"> </w:t>
      </w:r>
      <w:proofErr w:type="spellStart"/>
      <w:r w:rsidRPr="002976B7">
        <w:t>Mintz-Hittner</w:t>
      </w:r>
      <w:proofErr w:type="spellEnd"/>
      <w:r w:rsidRPr="002976B7">
        <w:t xml:space="preserve"> HA,</w:t>
      </w:r>
      <w:r>
        <w:t xml:space="preserve"> Kennedy KA, Chuang AZ, </w:t>
      </w:r>
      <w:r w:rsidRPr="002976B7">
        <w:t>BEAT-ROP Cooperative Group.</w:t>
      </w:r>
      <w:r>
        <w:t xml:space="preserve"> (2011).</w:t>
      </w:r>
      <w:r w:rsidRPr="002976B7">
        <w:t xml:space="preserve"> Efficacy of </w:t>
      </w:r>
      <w:proofErr w:type="spellStart"/>
      <w:r w:rsidRPr="002976B7">
        <w:t>intravitreal</w:t>
      </w:r>
      <w:proofErr w:type="spellEnd"/>
      <w:r w:rsidRPr="002976B7">
        <w:t xml:space="preserve"> bevacizumab for stage 3+Retinopathy of Prematurity. </w:t>
      </w:r>
      <w:r w:rsidRPr="002976B7">
        <w:rPr>
          <w:i/>
        </w:rPr>
        <w:t xml:space="preserve">N </w:t>
      </w:r>
      <w:proofErr w:type="spellStart"/>
      <w:r w:rsidRPr="002976B7">
        <w:rPr>
          <w:i/>
        </w:rPr>
        <w:t>Engl</w:t>
      </w:r>
      <w:proofErr w:type="spellEnd"/>
      <w:r w:rsidRPr="002976B7">
        <w:rPr>
          <w:i/>
        </w:rPr>
        <w:t xml:space="preserve"> J Med</w:t>
      </w:r>
      <w:r>
        <w:t xml:space="preserve">, </w:t>
      </w:r>
      <w:r w:rsidRPr="002976B7">
        <w:t>364:603-15.</w:t>
      </w:r>
    </w:p>
  </w:footnote>
  <w:footnote w:id="11">
    <w:p w14:paraId="5B877122" w14:textId="7321CD83" w:rsidR="005B2E7C" w:rsidRDefault="005B2E7C" w:rsidP="00087CB4">
      <w:pPr>
        <w:pStyle w:val="FootnoteText"/>
      </w:pPr>
      <w:r>
        <w:rPr>
          <w:rStyle w:val="FootnoteReference"/>
        </w:rPr>
        <w:footnoteRef/>
      </w:r>
      <w:r>
        <w:t xml:space="preserve"> Sydney Local Health District: Royal Prince Alfred Guideline 2018. Women and babies: retinopathy of prematurity. </w:t>
      </w:r>
      <w:r w:rsidRPr="005B2E7C">
        <w:t>https://www.slhd.nsw.gov.au/RPA/neonatal%5Ccontent/pdf/guidelines/RPAH_GL2018_006_ROP_final.pdf</w:t>
      </w:r>
    </w:p>
  </w:footnote>
  <w:footnote w:id="12">
    <w:p w14:paraId="70644B27" w14:textId="12F91CD1" w:rsidR="005B2E7C" w:rsidRPr="00185833" w:rsidRDefault="005B2E7C">
      <w:pPr>
        <w:pStyle w:val="FootnoteText"/>
      </w:pPr>
      <w:r>
        <w:rPr>
          <w:rStyle w:val="FootnoteReference"/>
        </w:rPr>
        <w:footnoteRef/>
      </w:r>
      <w:r>
        <w:t xml:space="preserve"> </w:t>
      </w:r>
      <w:r w:rsidRPr="00764217">
        <w:rPr>
          <w:b/>
        </w:rPr>
        <w:t>'Orphan drugs</w:t>
      </w:r>
      <w:r>
        <w:t xml:space="preserve">' </w:t>
      </w:r>
      <w:proofErr w:type="gramStart"/>
      <w:r>
        <w:t>are often developed</w:t>
      </w:r>
      <w:proofErr w:type="gramEnd"/>
      <w:r>
        <w:t xml:space="preserve"> to treat small and very specific patient populations who suffer from rare diseases and conditions. In order to facilitate orphan drug access to the Australian marketplace and help offset orphan drug development costs, the TGA waives application and evaluation fees for </w:t>
      </w:r>
      <w:proofErr w:type="gramStart"/>
      <w:r>
        <w:t>prescription medicine registration applications</w:t>
      </w:r>
      <w:proofErr w:type="gramEnd"/>
      <w:r>
        <w:t xml:space="preserve"> if a related </w:t>
      </w:r>
      <w:r>
        <w:rPr>
          <w:b/>
        </w:rPr>
        <w:t>orphan designation</w:t>
      </w:r>
      <w:r>
        <w:t xml:space="preserve"> is in force. A medicine may be eligible for orphan drug designation if all orphan criteria set by the TGA </w:t>
      </w:r>
      <w:proofErr w:type="gramStart"/>
      <w:r>
        <w:t>are met</w:t>
      </w:r>
      <w:proofErr w:type="gramEnd"/>
      <w:r>
        <w:t xml:space="preserve">. The orphan designation application precedes the registration application, and the designation is specific to the sponsor, orphan indication for which designation </w:t>
      </w:r>
      <w:proofErr w:type="gramStart"/>
      <w:r>
        <w:t>was granted</w:t>
      </w:r>
      <w:proofErr w:type="gramEnd"/>
      <w:r>
        <w:t xml:space="preserve"> and dosage form of the medicine.</w:t>
      </w:r>
    </w:p>
  </w:footnote>
  <w:footnote w:id="13">
    <w:p w14:paraId="53CA13D2" w14:textId="77894753" w:rsidR="005B2E7C" w:rsidRPr="005B2E7C" w:rsidRDefault="005B2E7C" w:rsidP="007E34FB">
      <w:pPr>
        <w:pStyle w:val="FootnoteText"/>
        <w:rPr>
          <w:lang w:val="fr-CH"/>
        </w:rPr>
      </w:pPr>
      <w:r w:rsidRPr="00D657F4">
        <w:rPr>
          <w:rStyle w:val="FootnoteReference"/>
          <w:rFonts w:asciiTheme="minorHAnsi" w:hAnsiTheme="minorHAnsi"/>
          <w:szCs w:val="18"/>
        </w:rPr>
        <w:footnoteRef/>
      </w:r>
      <w:r w:rsidRPr="00D657F4">
        <w:rPr>
          <w:rFonts w:asciiTheme="minorHAnsi" w:hAnsiTheme="minorHAnsi"/>
          <w:szCs w:val="18"/>
        </w:rPr>
        <w:t xml:space="preserve"> </w:t>
      </w:r>
      <w:proofErr w:type="spellStart"/>
      <w:r w:rsidRPr="00D657F4">
        <w:rPr>
          <w:rFonts w:asciiTheme="minorHAnsi" w:hAnsiTheme="minorHAnsi"/>
          <w:szCs w:val="18"/>
        </w:rPr>
        <w:t>Virgintino</w:t>
      </w:r>
      <w:proofErr w:type="spellEnd"/>
      <w:r w:rsidRPr="00D657F4">
        <w:rPr>
          <w:rFonts w:asciiTheme="minorHAnsi" w:hAnsiTheme="minorHAnsi"/>
          <w:szCs w:val="18"/>
        </w:rPr>
        <w:t xml:space="preserve"> D, Robertson D, </w:t>
      </w:r>
      <w:proofErr w:type="spellStart"/>
      <w:r w:rsidRPr="00D657F4">
        <w:rPr>
          <w:rFonts w:asciiTheme="minorHAnsi" w:hAnsiTheme="minorHAnsi"/>
          <w:szCs w:val="18"/>
        </w:rPr>
        <w:t>Benagiano</w:t>
      </w:r>
      <w:proofErr w:type="spellEnd"/>
      <w:r w:rsidRPr="00D657F4">
        <w:rPr>
          <w:rFonts w:asciiTheme="minorHAnsi" w:hAnsiTheme="minorHAnsi"/>
          <w:szCs w:val="18"/>
        </w:rPr>
        <w:t xml:space="preserve"> V et al. </w:t>
      </w:r>
      <w:r>
        <w:rPr>
          <w:rFonts w:asciiTheme="minorHAnsi" w:hAnsiTheme="minorHAnsi"/>
          <w:szCs w:val="18"/>
        </w:rPr>
        <w:t xml:space="preserve">(2000). </w:t>
      </w:r>
      <w:proofErr w:type="spellStart"/>
      <w:r w:rsidRPr="00D657F4">
        <w:rPr>
          <w:rFonts w:asciiTheme="minorHAnsi" w:hAnsiTheme="minorHAnsi"/>
          <w:szCs w:val="18"/>
          <w:lang w:val="en"/>
        </w:rPr>
        <w:t>Immunogold</w:t>
      </w:r>
      <w:proofErr w:type="spellEnd"/>
      <w:r w:rsidRPr="00D657F4">
        <w:rPr>
          <w:rFonts w:asciiTheme="minorHAnsi" w:hAnsiTheme="minorHAnsi"/>
          <w:szCs w:val="18"/>
          <w:lang w:val="en"/>
        </w:rPr>
        <w:t xml:space="preserve"> </w:t>
      </w:r>
      <w:proofErr w:type="spellStart"/>
      <w:r w:rsidRPr="00D657F4">
        <w:rPr>
          <w:rFonts w:asciiTheme="minorHAnsi" w:hAnsiTheme="minorHAnsi"/>
          <w:szCs w:val="18"/>
          <w:lang w:val="en"/>
        </w:rPr>
        <w:t>cytochemistry</w:t>
      </w:r>
      <w:proofErr w:type="spellEnd"/>
      <w:r w:rsidRPr="00D657F4">
        <w:rPr>
          <w:rFonts w:asciiTheme="minorHAnsi" w:hAnsiTheme="minorHAnsi"/>
          <w:szCs w:val="18"/>
          <w:lang w:val="en"/>
        </w:rPr>
        <w:t xml:space="preserve"> of the blood-brain barrier glucose transporter GLUT1 and endogenous albumin in the developing human brain. </w:t>
      </w:r>
      <w:r w:rsidRPr="005B2E7C">
        <w:rPr>
          <w:rFonts w:asciiTheme="minorHAnsi" w:hAnsiTheme="minorHAnsi"/>
          <w:i/>
          <w:szCs w:val="18"/>
          <w:lang w:val="fr-CH"/>
        </w:rPr>
        <w:t xml:space="preserve">Brain </w:t>
      </w:r>
      <w:proofErr w:type="spellStart"/>
      <w:r w:rsidRPr="005B2E7C">
        <w:rPr>
          <w:rFonts w:asciiTheme="minorHAnsi" w:hAnsiTheme="minorHAnsi"/>
          <w:i/>
          <w:szCs w:val="18"/>
          <w:lang w:val="fr-CH"/>
        </w:rPr>
        <w:t>Res</w:t>
      </w:r>
      <w:proofErr w:type="spellEnd"/>
      <w:r w:rsidRPr="005B2E7C">
        <w:rPr>
          <w:rFonts w:asciiTheme="minorHAnsi" w:hAnsiTheme="minorHAnsi"/>
          <w:i/>
          <w:szCs w:val="18"/>
          <w:lang w:val="fr-CH"/>
        </w:rPr>
        <w:t xml:space="preserve"> Dev Brain </w:t>
      </w:r>
      <w:proofErr w:type="spellStart"/>
      <w:r w:rsidRPr="005B2E7C">
        <w:rPr>
          <w:rFonts w:asciiTheme="minorHAnsi" w:hAnsiTheme="minorHAnsi"/>
          <w:i/>
          <w:szCs w:val="18"/>
          <w:lang w:val="fr-CH"/>
        </w:rPr>
        <w:t>Res</w:t>
      </w:r>
      <w:proofErr w:type="spellEnd"/>
      <w:r w:rsidRPr="005B2E7C">
        <w:rPr>
          <w:rFonts w:asciiTheme="minorHAnsi" w:hAnsiTheme="minorHAnsi"/>
          <w:i/>
          <w:szCs w:val="18"/>
          <w:lang w:val="fr-CH"/>
        </w:rPr>
        <w:t>,</w:t>
      </w:r>
      <w:r w:rsidRPr="005B2E7C">
        <w:rPr>
          <w:rFonts w:asciiTheme="minorHAnsi" w:hAnsiTheme="minorHAnsi"/>
          <w:szCs w:val="18"/>
          <w:lang w:val="fr-CH"/>
        </w:rPr>
        <w:t xml:space="preserve"> </w:t>
      </w:r>
      <w:r w:rsidRPr="005B2E7C">
        <w:rPr>
          <w:rFonts w:asciiTheme="minorHAnsi" w:hAnsiTheme="minorHAnsi" w:cs="Arial"/>
          <w:szCs w:val="18"/>
          <w:lang w:val="fr-CH"/>
        </w:rPr>
        <w:t>123(1):95-101</w:t>
      </w:r>
      <w:r w:rsidRPr="005B2E7C">
        <w:rPr>
          <w:rFonts w:ascii="Arial" w:hAnsi="Arial" w:cs="Arial"/>
          <w:sz w:val="20"/>
          <w:lang w:val="fr-CH"/>
        </w:rPr>
        <w:t>.</w:t>
      </w:r>
    </w:p>
  </w:footnote>
  <w:footnote w:id="14">
    <w:p w14:paraId="338649FE" w14:textId="4F1E9D3D" w:rsidR="005B2E7C" w:rsidRPr="00E965F2" w:rsidRDefault="005B2E7C" w:rsidP="00E965F2">
      <w:pPr>
        <w:pStyle w:val="FootnoteText"/>
        <w:rPr>
          <w:lang w:val="en" w:eastAsia="en-AU"/>
        </w:rPr>
      </w:pPr>
      <w:r w:rsidRPr="003D6187">
        <w:rPr>
          <w:rStyle w:val="FootnoteReference"/>
          <w:rFonts w:asciiTheme="minorHAnsi" w:hAnsiTheme="minorHAnsi"/>
          <w:szCs w:val="18"/>
        </w:rPr>
        <w:footnoteRef/>
      </w:r>
      <w:r w:rsidRPr="005B2E7C">
        <w:rPr>
          <w:lang w:val="fr-CH"/>
        </w:rPr>
        <w:t xml:space="preserve"> </w:t>
      </w:r>
      <w:proofErr w:type="spellStart"/>
      <w:r w:rsidRPr="005B2E7C">
        <w:rPr>
          <w:lang w:val="fr-CH" w:eastAsia="en-AU"/>
        </w:rPr>
        <w:t>Laterra</w:t>
      </w:r>
      <w:proofErr w:type="spellEnd"/>
      <w:r w:rsidRPr="005B2E7C">
        <w:rPr>
          <w:lang w:val="fr-CH" w:eastAsia="en-AU"/>
        </w:rPr>
        <w:t xml:space="preserve"> J et al. (1999). Blood—Brain </w:t>
      </w:r>
      <w:proofErr w:type="spellStart"/>
      <w:r w:rsidRPr="005B2E7C">
        <w:rPr>
          <w:lang w:val="fr-CH" w:eastAsia="en-AU"/>
        </w:rPr>
        <w:t>Barrier</w:t>
      </w:r>
      <w:proofErr w:type="spellEnd"/>
      <w:r w:rsidRPr="005B2E7C">
        <w:rPr>
          <w:lang w:val="fr-CH" w:eastAsia="en-AU"/>
        </w:rPr>
        <w:t xml:space="preserve">. </w:t>
      </w:r>
      <w:r w:rsidRPr="003D6187">
        <w:rPr>
          <w:lang w:val="en" w:eastAsia="en-AU"/>
        </w:rPr>
        <w:t xml:space="preserve">In: Siegel GJ, </w:t>
      </w:r>
      <w:proofErr w:type="spellStart"/>
      <w:r w:rsidRPr="003D6187">
        <w:rPr>
          <w:lang w:val="en" w:eastAsia="en-AU"/>
        </w:rPr>
        <w:t>Agranoff</w:t>
      </w:r>
      <w:proofErr w:type="spellEnd"/>
      <w:r w:rsidRPr="003D6187">
        <w:rPr>
          <w:lang w:val="en" w:eastAsia="en-AU"/>
        </w:rPr>
        <w:t xml:space="preserve"> BW, Albers RW, et al., editors. Basic Neurochemistry: Molecular, Cellular and Medical Aspects. </w:t>
      </w:r>
      <w:proofErr w:type="gramStart"/>
      <w:r w:rsidRPr="003D6187">
        <w:rPr>
          <w:lang w:val="en" w:eastAsia="en-AU"/>
        </w:rPr>
        <w:t>6th</w:t>
      </w:r>
      <w:proofErr w:type="gramEnd"/>
      <w:r w:rsidRPr="003D6187">
        <w:rPr>
          <w:lang w:val="en" w:eastAsia="en-AU"/>
        </w:rPr>
        <w:t xml:space="preserve"> edition. Phila</w:t>
      </w:r>
      <w:r>
        <w:rPr>
          <w:lang w:val="en" w:eastAsia="en-AU"/>
        </w:rPr>
        <w:t>delphia: Lippincott-Raven;</w:t>
      </w:r>
      <w:r w:rsidRPr="003D6187">
        <w:rPr>
          <w:lang w:val="en" w:eastAsia="en-AU"/>
        </w:rPr>
        <w:t xml:space="preserve"> Available from: </w:t>
      </w:r>
      <w:hyperlink r:id="rId1" w:history="1">
        <w:r w:rsidRPr="003D6187">
          <w:rPr>
            <w:rStyle w:val="Hyperlink"/>
            <w:rFonts w:asciiTheme="minorHAnsi" w:eastAsia="Times New Roman" w:hAnsiTheme="minorHAnsi" w:cs="Courier New"/>
            <w:szCs w:val="18"/>
            <w:lang w:val="en" w:eastAsia="en-AU"/>
          </w:rPr>
          <w:t>https://www.ncbi.nlm.nih.gov/books/NBK28180/</w:t>
        </w:r>
      </w:hyperlink>
      <w:r>
        <w:rPr>
          <w:lang w:val="en" w:eastAsia="en-AU"/>
        </w:rPr>
        <w:t xml:space="preserve"> viewed online </w:t>
      </w:r>
      <w:proofErr w:type="gramStart"/>
      <w:r>
        <w:rPr>
          <w:lang w:val="en" w:eastAsia="en-AU"/>
        </w:rPr>
        <w:t>4</w:t>
      </w:r>
      <w:r w:rsidRPr="003D6187">
        <w:rPr>
          <w:vertAlign w:val="superscript"/>
          <w:lang w:val="en" w:eastAsia="en-AU"/>
        </w:rPr>
        <w:t>th</w:t>
      </w:r>
      <w:proofErr w:type="gramEnd"/>
      <w:r>
        <w:rPr>
          <w:lang w:val="en" w:eastAsia="en-AU"/>
        </w:rPr>
        <w:t xml:space="preserve"> Nov 2019.</w:t>
      </w:r>
    </w:p>
  </w:footnote>
  <w:footnote w:id="15">
    <w:p w14:paraId="0BE6F4E0" w14:textId="179B1520" w:rsidR="005B2E7C" w:rsidRPr="005B2E7C" w:rsidRDefault="005B2E7C">
      <w:pPr>
        <w:pStyle w:val="FootnoteText"/>
        <w:rPr>
          <w:lang w:val="en-US"/>
        </w:rPr>
      </w:pPr>
      <w:r>
        <w:rPr>
          <w:rStyle w:val="FootnoteReference"/>
        </w:rPr>
        <w:footnoteRef/>
      </w:r>
      <w:r>
        <w:t xml:space="preserve"> Study </w:t>
      </w:r>
      <w:r w:rsidRPr="00627AE4">
        <w:t>CRFB002H2301</w:t>
      </w:r>
      <w:r>
        <w:t xml:space="preserve">, </w:t>
      </w:r>
      <w:r w:rsidRPr="00627AE4">
        <w:t xml:space="preserve">RAINBOW Study: </w:t>
      </w:r>
      <w:proofErr w:type="spellStart"/>
      <w:r w:rsidRPr="00627AE4">
        <w:t>RAnibizumab</w:t>
      </w:r>
      <w:proofErr w:type="spellEnd"/>
      <w:r w:rsidRPr="00627AE4">
        <w:t xml:space="preserve"> Compared With Laser Therapy for the Treatment of </w:t>
      </w:r>
      <w:proofErr w:type="spellStart"/>
      <w:r w:rsidRPr="00627AE4">
        <w:t>INfants</w:t>
      </w:r>
      <w:proofErr w:type="spellEnd"/>
      <w:r w:rsidRPr="00627AE4">
        <w:t xml:space="preserve"> </w:t>
      </w:r>
      <w:proofErr w:type="spellStart"/>
      <w:r w:rsidRPr="00627AE4">
        <w:t>BOrn</w:t>
      </w:r>
      <w:proofErr w:type="spellEnd"/>
      <w:r w:rsidRPr="00627AE4">
        <w:t xml:space="preserve"> Prematurely With Retinopathy of Prematurity (RAINBOW)</w:t>
      </w:r>
      <w:r>
        <w:t xml:space="preserve">. </w:t>
      </w:r>
      <w:r w:rsidRPr="00627AE4">
        <w:t>ClinicalTrials.gov Identifier: NCT02375971</w:t>
      </w:r>
      <w:r>
        <w:t xml:space="preserve">; </w:t>
      </w:r>
      <w:proofErr w:type="spellStart"/>
      <w:r>
        <w:t>EudraCT</w:t>
      </w:r>
      <w:proofErr w:type="spellEnd"/>
      <w:r>
        <w:t xml:space="preserve"> Number: </w:t>
      </w:r>
      <w:r w:rsidRPr="00627AE4">
        <w:t>20</w:t>
      </w:r>
      <w:r>
        <w:t>14-003041-10.</w:t>
      </w:r>
    </w:p>
  </w:footnote>
  <w:footnote w:id="16">
    <w:p w14:paraId="3F251C0B" w14:textId="767F238C" w:rsidR="005B2E7C" w:rsidRPr="00627AE4" w:rsidRDefault="005B2E7C" w:rsidP="00627AE4">
      <w:pPr>
        <w:pStyle w:val="FootnoteText"/>
      </w:pPr>
      <w:r>
        <w:rPr>
          <w:rStyle w:val="FootnoteReference"/>
        </w:rPr>
        <w:footnoteRef/>
      </w:r>
      <w:r>
        <w:t xml:space="preserve"> Study </w:t>
      </w:r>
      <w:r w:rsidRPr="00C230E6">
        <w:t>CRFB002H2301E1</w:t>
      </w:r>
      <w:r>
        <w:t>, RAINBOW Extension Study: A</w:t>
      </w:r>
      <w:r w:rsidRPr="002512D8">
        <w:t xml:space="preserve">n Extension Study to Evaluate the Long Term Efficacy and Safety of </w:t>
      </w:r>
      <w:proofErr w:type="spellStart"/>
      <w:r w:rsidRPr="002512D8">
        <w:t>RAnibizumab</w:t>
      </w:r>
      <w:proofErr w:type="spellEnd"/>
      <w:r w:rsidRPr="002512D8">
        <w:t xml:space="preserve"> Compared With Laser Therapy for the Treatment of </w:t>
      </w:r>
      <w:proofErr w:type="spellStart"/>
      <w:r w:rsidRPr="002512D8">
        <w:t>INfants</w:t>
      </w:r>
      <w:proofErr w:type="spellEnd"/>
      <w:r w:rsidRPr="002512D8">
        <w:t xml:space="preserve"> </w:t>
      </w:r>
      <w:proofErr w:type="spellStart"/>
      <w:r w:rsidRPr="002512D8">
        <w:t>BOrn</w:t>
      </w:r>
      <w:proofErr w:type="spellEnd"/>
      <w:r w:rsidRPr="002512D8">
        <w:t xml:space="preserve"> Prematurely With Retinopathy of Prematurity</w:t>
      </w:r>
      <w:r>
        <w:t xml:space="preserve">. ClinicalTrials.gov Identifier: NCT02640664; </w:t>
      </w:r>
      <w:proofErr w:type="spellStart"/>
      <w:r>
        <w:t>EudraCT</w:t>
      </w:r>
      <w:proofErr w:type="spellEnd"/>
      <w:r>
        <w:t xml:space="preserve"> Number: </w:t>
      </w:r>
      <w:r w:rsidRPr="00627AE4">
        <w:t>2014-004048-36</w:t>
      </w:r>
      <w:r>
        <w:t>.</w:t>
      </w:r>
    </w:p>
  </w:footnote>
  <w:footnote w:id="17">
    <w:p w14:paraId="127ECA85" w14:textId="0394453B" w:rsidR="005B2E7C" w:rsidRPr="00E965F2" w:rsidRDefault="005B2E7C" w:rsidP="00E965F2">
      <w:pPr>
        <w:autoSpaceDE w:val="0"/>
        <w:autoSpaceDN w:val="0"/>
        <w:adjustRightInd w:val="0"/>
        <w:spacing w:before="0" w:after="0" w:line="240" w:lineRule="auto"/>
        <w:rPr>
          <w:rFonts w:ascii="TimesNewRoman" w:eastAsia="TimesNewRoman" w:hAnsiTheme="minorHAnsi" w:cs="TimesNewRoman"/>
          <w:sz w:val="24"/>
          <w:szCs w:val="24"/>
        </w:rPr>
      </w:pPr>
      <w:r>
        <w:rPr>
          <w:rStyle w:val="FootnoteReference"/>
        </w:rPr>
        <w:footnoteRef/>
      </w:r>
      <w:r w:rsidRPr="005B2E7C">
        <w:rPr>
          <w:lang w:val="fr-CH"/>
        </w:rPr>
        <w:t xml:space="preserve"> </w:t>
      </w:r>
      <w:r w:rsidRPr="005B2E7C">
        <w:rPr>
          <w:rStyle w:val="FootnoteTextChar"/>
          <w:lang w:val="fr-CH"/>
        </w:rPr>
        <w:t xml:space="preserve">Joshi A, Lu J, </w:t>
      </w:r>
      <w:proofErr w:type="spellStart"/>
      <w:r w:rsidRPr="005B2E7C">
        <w:rPr>
          <w:rStyle w:val="FootnoteTextChar"/>
          <w:lang w:val="fr-CH"/>
        </w:rPr>
        <w:t>Jumbe</w:t>
      </w:r>
      <w:proofErr w:type="spellEnd"/>
      <w:r w:rsidRPr="005B2E7C">
        <w:rPr>
          <w:rStyle w:val="FootnoteTextChar"/>
          <w:lang w:val="fr-CH"/>
        </w:rPr>
        <w:t xml:space="preserve"> N, et al. </w:t>
      </w:r>
      <w:r>
        <w:rPr>
          <w:rStyle w:val="FootnoteTextChar"/>
        </w:rPr>
        <w:t xml:space="preserve">(2005). </w:t>
      </w:r>
      <w:r w:rsidRPr="00E965F2">
        <w:rPr>
          <w:rStyle w:val="FootnoteTextChar"/>
        </w:rPr>
        <w:t xml:space="preserve">Population Pharmacokinetics of </w:t>
      </w:r>
      <w:proofErr w:type="spellStart"/>
      <w:r w:rsidRPr="00E965F2">
        <w:rPr>
          <w:rStyle w:val="FootnoteTextChar"/>
        </w:rPr>
        <w:t>ranibizumab</w:t>
      </w:r>
      <w:proofErr w:type="spellEnd"/>
      <w:r w:rsidRPr="00E965F2">
        <w:rPr>
          <w:rStyle w:val="FootnoteTextChar"/>
        </w:rPr>
        <w:t xml:space="preserve">: structural model identification, mean population pharmacokinetic parameter estimation, and covariate analysis. </w:t>
      </w:r>
      <w:proofErr w:type="spellStart"/>
      <w:r w:rsidRPr="00E965F2">
        <w:rPr>
          <w:rStyle w:val="FootnoteTextChar"/>
        </w:rPr>
        <w:t>Gen</w:t>
      </w:r>
      <w:r>
        <w:rPr>
          <w:rStyle w:val="FootnoteTextChar"/>
        </w:rPr>
        <w:t>entec</w:t>
      </w:r>
      <w:proofErr w:type="spellEnd"/>
      <w:r>
        <w:rPr>
          <w:rStyle w:val="FootnoteTextChar"/>
        </w:rPr>
        <w:t xml:space="preserve">, </w:t>
      </w:r>
      <w:proofErr w:type="spellStart"/>
      <w:r>
        <w:rPr>
          <w:rStyle w:val="FootnoteTextChar"/>
        </w:rPr>
        <w:t>Inc</w:t>
      </w:r>
      <w:proofErr w:type="spellEnd"/>
      <w:r>
        <w:rPr>
          <w:rStyle w:val="FootnoteTextChar"/>
        </w:rPr>
        <w:t xml:space="preserve"> Report 05-1181.</w:t>
      </w:r>
    </w:p>
  </w:footnote>
  <w:footnote w:id="18">
    <w:p w14:paraId="41D1576F" w14:textId="77777777" w:rsidR="005B2E7C" w:rsidRDefault="005B2E7C" w:rsidP="008E2167">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17142614" w14:textId="77777777" w:rsidR="005B2E7C" w:rsidRDefault="005B2E7C" w:rsidP="008E2167">
      <w:pPr>
        <w:pStyle w:val="FootnoteText"/>
      </w:pPr>
      <w:r w:rsidRPr="00F12492">
        <w:rPr>
          <w:i/>
        </w:rPr>
        <w:t>Routine pharmacovigilance</w:t>
      </w:r>
      <w:r>
        <w:t xml:space="preserve"> practices involve the following activities:</w:t>
      </w:r>
    </w:p>
    <w:p w14:paraId="7B057E31" w14:textId="77777777" w:rsidR="005B2E7C" w:rsidRDefault="005B2E7C" w:rsidP="008E2167">
      <w:pPr>
        <w:pStyle w:val="FootnoteText"/>
        <w:numPr>
          <w:ilvl w:val="0"/>
          <w:numId w:val="28"/>
        </w:numPr>
      </w:pPr>
      <w:r>
        <w:t>All suspected adverse reactions that are reported to the personnel of the company are collected and collated in an accessible manner;</w:t>
      </w:r>
    </w:p>
    <w:p w14:paraId="1CC70F18" w14:textId="77777777" w:rsidR="005B2E7C" w:rsidRDefault="005B2E7C" w:rsidP="008E2167">
      <w:pPr>
        <w:pStyle w:val="FootnoteText"/>
        <w:numPr>
          <w:ilvl w:val="0"/>
          <w:numId w:val="28"/>
        </w:numPr>
      </w:pPr>
      <w:r>
        <w:t>Reporting to regulatory authorities;</w:t>
      </w:r>
    </w:p>
    <w:p w14:paraId="1B9AD7C6" w14:textId="77777777" w:rsidR="005B2E7C" w:rsidRDefault="005B2E7C" w:rsidP="008E2167">
      <w:pPr>
        <w:pStyle w:val="FootnoteText"/>
        <w:numPr>
          <w:ilvl w:val="0"/>
          <w:numId w:val="28"/>
        </w:numPr>
      </w:pPr>
      <w:r>
        <w:t>Continuous monitoring of the safety profiles of approved products including signal detection and updating of labelling;</w:t>
      </w:r>
    </w:p>
    <w:p w14:paraId="1E54886B" w14:textId="77777777" w:rsidR="005B2E7C" w:rsidRDefault="005B2E7C" w:rsidP="008E2167">
      <w:pPr>
        <w:pStyle w:val="FootnoteText"/>
        <w:numPr>
          <w:ilvl w:val="0"/>
          <w:numId w:val="28"/>
        </w:numPr>
      </w:pPr>
      <w:r>
        <w:t>Submission of PSURs;</w:t>
      </w:r>
    </w:p>
    <w:p w14:paraId="2C024145" w14:textId="77777777" w:rsidR="005B2E7C" w:rsidRPr="00F12492" w:rsidRDefault="005B2E7C" w:rsidP="008E2167">
      <w:pPr>
        <w:pStyle w:val="FootnoteText"/>
        <w:numPr>
          <w:ilvl w:val="0"/>
          <w:numId w:val="28"/>
        </w:numPr>
        <w:rPr>
          <w:lang w:val="en-US"/>
        </w:rPr>
      </w:pPr>
      <w:r>
        <w:t>Meeting other local regulatory agency requirements.</w:t>
      </w:r>
    </w:p>
  </w:footnote>
  <w:footnote w:id="19">
    <w:p w14:paraId="14AA21FB" w14:textId="2F44631D" w:rsidR="005B2E7C" w:rsidRDefault="005B2E7C">
      <w:pPr>
        <w:pStyle w:val="FootnoteText"/>
      </w:pPr>
      <w:r>
        <w:rPr>
          <w:rStyle w:val="FootnoteReference"/>
        </w:rPr>
        <w:footnoteRef/>
      </w:r>
      <w:r>
        <w:t xml:space="preserve"> </w:t>
      </w:r>
      <w:r w:rsidRPr="00615D18">
        <w:t xml:space="preserve">Morin J, </w:t>
      </w:r>
      <w:proofErr w:type="spellStart"/>
      <w:r w:rsidRPr="00615D18">
        <w:t>Luu</w:t>
      </w:r>
      <w:proofErr w:type="spellEnd"/>
      <w:r w:rsidRPr="00615D18">
        <w:t xml:space="preserve"> TM, </w:t>
      </w:r>
      <w:proofErr w:type="spellStart"/>
      <w:r w:rsidRPr="00615D18">
        <w:t>Superstein</w:t>
      </w:r>
      <w:proofErr w:type="spellEnd"/>
      <w:r w:rsidRPr="00615D18">
        <w:t xml:space="preserve"> R, et al. </w:t>
      </w:r>
      <w:r>
        <w:t>(2016). N</w:t>
      </w:r>
      <w:r w:rsidRPr="00615D18">
        <w:t>eurodevelopmental outcomes following bevacizumab injections for retinopathy of prematurity. </w:t>
      </w:r>
      <w:proofErr w:type="spellStart"/>
      <w:r w:rsidRPr="00615D18">
        <w:rPr>
          <w:i/>
        </w:rPr>
        <w:t>Pediatrics</w:t>
      </w:r>
      <w:proofErr w:type="spellEnd"/>
      <w:r>
        <w:t xml:space="preserve">, </w:t>
      </w:r>
      <w:r w:rsidRPr="00615D18">
        <w:t>137(4):e20153218. doi:10.1542/peds.2015-3218</w:t>
      </w:r>
    </w:p>
  </w:footnote>
  <w:footnote w:id="20">
    <w:p w14:paraId="4DEA80BE" w14:textId="6DF69BD5" w:rsidR="005B2E7C" w:rsidRDefault="005B2E7C">
      <w:pPr>
        <w:pStyle w:val="FootnoteText"/>
      </w:pPr>
      <w:r>
        <w:rPr>
          <w:rStyle w:val="FootnoteReference"/>
        </w:rPr>
        <w:footnoteRef/>
      </w:r>
      <w:r>
        <w:t xml:space="preserve"> </w:t>
      </w:r>
      <w:r w:rsidRPr="00615D18">
        <w:t xml:space="preserve">Natarajan G, </w:t>
      </w:r>
      <w:proofErr w:type="spellStart"/>
      <w:r w:rsidRPr="00615D18">
        <w:t>Shankaran</w:t>
      </w:r>
      <w:proofErr w:type="spellEnd"/>
      <w:r w:rsidRPr="00615D18">
        <w:t xml:space="preserve"> S, Nolen TL, et al. </w:t>
      </w:r>
      <w:r>
        <w:t xml:space="preserve">(2019). </w:t>
      </w:r>
      <w:r w:rsidRPr="00615D18">
        <w:t>Neurodevelopmental outcomes of preterm infants with retinopathy of prematurity by treatment. </w:t>
      </w:r>
      <w:proofErr w:type="spellStart"/>
      <w:r w:rsidRPr="00615D18">
        <w:rPr>
          <w:i/>
        </w:rPr>
        <w:t>Pediatrics</w:t>
      </w:r>
      <w:proofErr w:type="spellEnd"/>
      <w:r>
        <w:rPr>
          <w:i/>
        </w:rPr>
        <w:t>,</w:t>
      </w:r>
      <w:r>
        <w:t xml:space="preserve"> </w:t>
      </w:r>
      <w:r w:rsidRPr="00615D18">
        <w:t>144(2):e20183537. doi:10.1542/peds.2018-3537</w:t>
      </w:r>
    </w:p>
  </w:footnote>
  <w:footnote w:id="21">
    <w:p w14:paraId="6D8ECA15" w14:textId="2C64FC6F" w:rsidR="005B2E7C" w:rsidRPr="00801AE3" w:rsidRDefault="005B2E7C" w:rsidP="007E34FB">
      <w:pPr>
        <w:pStyle w:val="FootnoteText"/>
      </w:pPr>
      <w:r>
        <w:rPr>
          <w:rStyle w:val="FootnoteReference"/>
        </w:rPr>
        <w:footnoteRef/>
      </w:r>
      <w:r>
        <w:t xml:space="preserve"> </w:t>
      </w:r>
      <w:proofErr w:type="spellStart"/>
      <w:r>
        <w:t>Bressler</w:t>
      </w:r>
      <w:proofErr w:type="spellEnd"/>
      <w:r>
        <w:t xml:space="preserve"> NM, Boyer DS, Williams DF et al. (2012). Cerebrovascular accidents in patients treated for choroidal neovascularization with </w:t>
      </w:r>
      <w:proofErr w:type="spellStart"/>
      <w:r>
        <w:t>ranibizumab</w:t>
      </w:r>
      <w:proofErr w:type="spellEnd"/>
      <w:r>
        <w:t xml:space="preserve"> in randomized controlled trials. </w:t>
      </w:r>
      <w:r>
        <w:rPr>
          <w:i/>
        </w:rPr>
        <w:t xml:space="preserve">Retina, </w:t>
      </w:r>
      <w:r>
        <w:t>32:1821-8</w:t>
      </w:r>
    </w:p>
  </w:footnote>
  <w:footnote w:id="22">
    <w:p w14:paraId="19EB758D" w14:textId="77777777" w:rsidR="005B2E7C" w:rsidRDefault="005B2E7C"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90967AE" w14:textId="77777777" w:rsidR="005B2E7C" w:rsidRPr="00456765" w:rsidRDefault="005B2E7C" w:rsidP="00456765">
      <w:pPr>
        <w:pStyle w:val="FootnoteText"/>
        <w:rPr>
          <w:lang w:val="en-US"/>
        </w:rPr>
      </w:pPr>
      <w:r>
        <w:t xml:space="preserve">The Committee </w:t>
      </w:r>
      <w:proofErr w:type="gramStart"/>
      <w:r>
        <w:t>is established</w:t>
      </w:r>
      <w:proofErr w:type="gramEnd"/>
      <w:r>
        <w:t xml:space="preserve"> under Regulation 35 of the Therapeutic Goods Regulations 1990. </w:t>
      </w:r>
      <w:proofErr w:type="gramStart"/>
      <w:r>
        <w:t>Members are appointed by the Minister</w:t>
      </w:r>
      <w:proofErr w:type="gramEnd"/>
      <w:r>
        <w:t xml:space="preserve">. The ACM was established in January 2017 replacing </w:t>
      </w:r>
      <w:r w:rsidRPr="009E0C19">
        <w:t>Advisory Committee on Prescription Medicines (ACPM</w:t>
      </w:r>
      <w:proofErr w:type="gramStart"/>
      <w:r w:rsidRPr="009E0C19">
        <w:t xml:space="preserve">) </w:t>
      </w:r>
      <w:r>
        <w:t>which</w:t>
      </w:r>
      <w:proofErr w:type="gramEnd"/>
      <w:r>
        <w:t xml:space="preserve">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23">
    <w:p w14:paraId="649FB209" w14:textId="6804B544" w:rsidR="005B2E7C" w:rsidRDefault="005B2E7C">
      <w:pPr>
        <w:pStyle w:val="FootnoteText"/>
      </w:pPr>
      <w:r>
        <w:rPr>
          <w:rStyle w:val="FootnoteReference"/>
        </w:rPr>
        <w:footnoteRef/>
      </w:r>
      <w:r>
        <w:t xml:space="preserve"> </w:t>
      </w:r>
      <w:r w:rsidRPr="00C60A07">
        <w:t xml:space="preserve">Cryotherapy for Retinopathy of Prematurity Cooperative Group, </w:t>
      </w:r>
      <w:proofErr w:type="spellStart"/>
      <w:r w:rsidRPr="00C60A07">
        <w:t>Multicenter</w:t>
      </w:r>
      <w:proofErr w:type="spellEnd"/>
      <w:r w:rsidRPr="00C60A07">
        <w:t xml:space="preserve"> trial of cryotherapy for retinopathy of pre</w:t>
      </w:r>
      <w:r>
        <w:t xml:space="preserve">maturity: preliminary results. </w:t>
      </w:r>
      <w:r w:rsidRPr="0036788F">
        <w:rPr>
          <w:i/>
        </w:rPr>
        <w:t xml:space="preserve">Arch </w:t>
      </w:r>
      <w:proofErr w:type="spellStart"/>
      <w:r w:rsidRPr="0036788F">
        <w:rPr>
          <w:i/>
        </w:rPr>
        <w:t>Ophthalmol</w:t>
      </w:r>
      <w:proofErr w:type="spellEnd"/>
      <w:r w:rsidRPr="00C60A07">
        <w:t xml:space="preserve"> 1988;</w:t>
      </w:r>
      <w:r>
        <w:t xml:space="preserve"> 106(4)471-</w:t>
      </w:r>
      <w:r w:rsidRPr="00C60A07">
        <w:t>479</w:t>
      </w:r>
      <w:r>
        <w:t>.</w:t>
      </w:r>
    </w:p>
  </w:footnote>
  <w:footnote w:id="24">
    <w:p w14:paraId="10FAA35F" w14:textId="163B48CA" w:rsidR="005B2E7C" w:rsidRDefault="005B2E7C" w:rsidP="00112C44">
      <w:pPr>
        <w:pStyle w:val="FootnoteText"/>
      </w:pPr>
      <w:r>
        <w:rPr>
          <w:rStyle w:val="FootnoteReference"/>
        </w:rPr>
        <w:footnoteRef/>
      </w:r>
      <w:r>
        <w:t xml:space="preserve"> The </w:t>
      </w:r>
      <w:r w:rsidRPr="00DD4B49">
        <w:rPr>
          <w:b/>
        </w:rPr>
        <w:t>Special Access Scheme</w:t>
      </w:r>
      <w:r>
        <w:t xml:space="preserve"> (SAS) allows certain health practitioners to access therapeutic goods (such as medicines, medical devices or biologicals) that are not included in the Australian Register of Therapeutic Goods (ARTG) for a single patient.</w:t>
      </w:r>
    </w:p>
  </w:footnote>
  <w:footnote w:id="25">
    <w:p w14:paraId="1C43FE6E" w14:textId="77777777" w:rsidR="005B2E7C" w:rsidRDefault="005B2E7C">
      <w:pPr>
        <w:pStyle w:val="FootnoteText"/>
      </w:pPr>
      <w:r>
        <w:rPr>
          <w:rStyle w:val="FootnoteReference"/>
        </w:rPr>
        <w:footnoteRef/>
      </w:r>
      <w:r>
        <w:t xml:space="preserve"> Sponsor clarification:</w:t>
      </w:r>
    </w:p>
    <w:p w14:paraId="5CB15247" w14:textId="741551D8" w:rsidR="005B2E7C" w:rsidRDefault="005B2E7C">
      <w:pPr>
        <w:pStyle w:val="FootnoteText"/>
      </w:pPr>
      <w:r w:rsidRPr="009B5A29">
        <w:t>The</w:t>
      </w:r>
      <w:r>
        <w:rPr>
          <w:rStyle w:val="CommentReference"/>
        </w:rPr>
        <w:t/>
      </w:r>
      <w:r w:rsidRPr="009B5A29">
        <w:t xml:space="preserve"> sponsor acknowledged the ACM’s view that the clinical efficacy </w:t>
      </w:r>
      <w:proofErr w:type="gramStart"/>
      <w:r w:rsidRPr="009B5A29">
        <w:t>was demonstrated</w:t>
      </w:r>
      <w:proofErr w:type="gramEnd"/>
      <w:r w:rsidRPr="009B5A29">
        <w:t xml:space="preserve"> but that the Australian clinical context warranted that safety data from the second pre-defined interi</w:t>
      </w:r>
      <w:r w:rsidR="00EA746F">
        <w:t>m analysis of the ongoing Study </w:t>
      </w:r>
      <w:r w:rsidRPr="009B5A29">
        <w:t>H2301 were to be provided before registration was considered. However, acknowledging that the TGA’s fixed milestone process did not allow for the review of the second pre-defined interim analysis</w:t>
      </w:r>
      <w:r>
        <w:t xml:space="preserve"> Study H2301E1</w:t>
      </w:r>
      <w:r w:rsidRPr="009B5A29">
        <w:t xml:space="preserve"> as part of the application evaluation</w:t>
      </w:r>
      <w:r>
        <w:t>, the sponsor withdrew the submission with</w:t>
      </w:r>
      <w:r w:rsidRPr="009B5A29">
        <w:t xml:space="preserve"> the intention to re-submit the </w:t>
      </w:r>
      <w:r>
        <w:t>a</w:t>
      </w:r>
      <w:r w:rsidRPr="009B5A29">
        <w:t xml:space="preserve">pplication </w:t>
      </w:r>
      <w:r>
        <w:t xml:space="preserve">once the </w:t>
      </w:r>
      <w:r w:rsidRPr="009B5A29">
        <w:t xml:space="preserve"> second interim analysis </w:t>
      </w:r>
      <w:r>
        <w:t>is made available</w:t>
      </w:r>
      <w:r w:rsidRPr="009B5A2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1AEE" w14:textId="77777777" w:rsidR="005B2E7C" w:rsidRDefault="005B2E7C"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7404" w14:textId="77777777" w:rsidR="005B2E7C" w:rsidRDefault="005B2E7C">
    <w:pPr>
      <w:rPr>
        <w:noProof/>
        <w:lang w:eastAsia="en-AU"/>
      </w:rPr>
    </w:pPr>
    <w:r w:rsidRPr="00347824">
      <w:rPr>
        <w:noProof/>
        <w:lang w:eastAsia="en-AU"/>
      </w:rPr>
      <w:drawing>
        <wp:anchor distT="0" distB="0" distL="114300" distR="114300" simplePos="0" relativeHeight="251659264" behindDoc="1" locked="0" layoutInCell="1" allowOverlap="1" wp14:anchorId="30FFCA9E" wp14:editId="600CE8B6">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53276DA" w14:textId="1CACEC17" w:rsidR="005B2E7C" w:rsidRDefault="005B2E7C"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9B1B" w14:textId="77777777" w:rsidR="005B2E7C" w:rsidRDefault="005B2E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4B928" w14:textId="77777777" w:rsidR="005B2E7C" w:rsidRDefault="005B2E7C">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BBB2" w14:textId="77777777" w:rsidR="005B2E7C" w:rsidRDefault="005B2E7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D26B" w14:textId="77777777" w:rsidR="005B2E7C" w:rsidRDefault="005B2E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286C" w14:textId="77777777" w:rsidR="005B2E7C" w:rsidRDefault="005B2E7C"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765B" w14:textId="77777777" w:rsidR="005B2E7C" w:rsidRDefault="005B2E7C" w:rsidP="006E08B3">
    <w:r>
      <w:t>Therapeutic Goods Administration</w:t>
    </w:r>
  </w:p>
  <w:p w14:paraId="07B56791" w14:textId="77777777" w:rsidR="005B2E7C" w:rsidRDefault="005B2E7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B0A66610"/>
    <w:lvl w:ilvl="0" w:tplc="FE580284">
      <w:start w:val="1"/>
      <w:numFmt w:val="bullet"/>
      <w:pStyle w:val="Bulletlis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F4BEE106"/>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E124843"/>
    <w:multiLevelType w:val="hybridMultilevel"/>
    <w:tmpl w:val="3E2A4D0A"/>
    <w:lvl w:ilvl="0" w:tplc="9FE6C45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F534181"/>
    <w:multiLevelType w:val="hybridMultilevel"/>
    <w:tmpl w:val="82AC69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75BEB"/>
    <w:multiLevelType w:val="hybridMultilevel"/>
    <w:tmpl w:val="23FA9CF0"/>
    <w:lvl w:ilvl="0" w:tplc="F77E3E8E">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820045"/>
    <w:multiLevelType w:val="hybridMultilevel"/>
    <w:tmpl w:val="A372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237F5"/>
    <w:multiLevelType w:val="hybridMultilevel"/>
    <w:tmpl w:val="E63E89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A633125"/>
    <w:multiLevelType w:val="multilevel"/>
    <w:tmpl w:val="4D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246DC0"/>
    <w:multiLevelType w:val="hybridMultilevel"/>
    <w:tmpl w:val="1F4C2A14"/>
    <w:lvl w:ilvl="0" w:tplc="47D08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D16AEC"/>
    <w:multiLevelType w:val="hybridMultilevel"/>
    <w:tmpl w:val="E298A5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0E689C"/>
    <w:multiLevelType w:val="multilevel"/>
    <w:tmpl w:val="0DE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17"/>
  </w:num>
  <w:num w:numId="29">
    <w:abstractNumId w:val="15"/>
  </w:num>
  <w:num w:numId="30">
    <w:abstractNumId w:val="11"/>
  </w:num>
  <w:num w:numId="31">
    <w:abstractNumId w:val="7"/>
  </w:num>
  <w:num w:numId="32">
    <w:abstractNumId w:val="10"/>
  </w:num>
  <w:num w:numId="33">
    <w:abstractNumId w:val="13"/>
  </w:num>
  <w:num w:numId="34">
    <w:abstractNumId w:val="8"/>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2"/>
  </w:num>
  <w:num w:numId="39">
    <w:abstractNumId w:val="1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activeWritingStyle w:appName="MSWord" w:lang="fr-CH"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F3"/>
    <w:rsid w:val="00002031"/>
    <w:rsid w:val="00004734"/>
    <w:rsid w:val="00006B22"/>
    <w:rsid w:val="0001276A"/>
    <w:rsid w:val="000246AE"/>
    <w:rsid w:val="00025C67"/>
    <w:rsid w:val="00044772"/>
    <w:rsid w:val="0004541C"/>
    <w:rsid w:val="0005559E"/>
    <w:rsid w:val="000604D6"/>
    <w:rsid w:val="000734D8"/>
    <w:rsid w:val="00077775"/>
    <w:rsid w:val="00087CB4"/>
    <w:rsid w:val="00090471"/>
    <w:rsid w:val="00096AA7"/>
    <w:rsid w:val="000A3AED"/>
    <w:rsid w:val="000B3532"/>
    <w:rsid w:val="000B3A75"/>
    <w:rsid w:val="000C00C2"/>
    <w:rsid w:val="000C690F"/>
    <w:rsid w:val="000D1295"/>
    <w:rsid w:val="000D391B"/>
    <w:rsid w:val="000D3D6D"/>
    <w:rsid w:val="000D4FC7"/>
    <w:rsid w:val="000D5C29"/>
    <w:rsid w:val="000E6196"/>
    <w:rsid w:val="000F207C"/>
    <w:rsid w:val="000F4869"/>
    <w:rsid w:val="000F5B42"/>
    <w:rsid w:val="000F6E6F"/>
    <w:rsid w:val="00105EA8"/>
    <w:rsid w:val="0010601F"/>
    <w:rsid w:val="0010788A"/>
    <w:rsid w:val="00107A31"/>
    <w:rsid w:val="00110EA5"/>
    <w:rsid w:val="00112C44"/>
    <w:rsid w:val="00112F56"/>
    <w:rsid w:val="00124ACD"/>
    <w:rsid w:val="00125318"/>
    <w:rsid w:val="00127C2D"/>
    <w:rsid w:val="001305A2"/>
    <w:rsid w:val="0013132C"/>
    <w:rsid w:val="00133238"/>
    <w:rsid w:val="00133A1B"/>
    <w:rsid w:val="00133A3B"/>
    <w:rsid w:val="00135F63"/>
    <w:rsid w:val="0014197B"/>
    <w:rsid w:val="001447CD"/>
    <w:rsid w:val="001516B1"/>
    <w:rsid w:val="00154EBB"/>
    <w:rsid w:val="00156316"/>
    <w:rsid w:val="00156C8F"/>
    <w:rsid w:val="00161181"/>
    <w:rsid w:val="00162D14"/>
    <w:rsid w:val="00163780"/>
    <w:rsid w:val="00165389"/>
    <w:rsid w:val="001667BC"/>
    <w:rsid w:val="0017693F"/>
    <w:rsid w:val="0018110E"/>
    <w:rsid w:val="00181684"/>
    <w:rsid w:val="001843C6"/>
    <w:rsid w:val="001850E0"/>
    <w:rsid w:val="00185833"/>
    <w:rsid w:val="001909E9"/>
    <w:rsid w:val="00192FE9"/>
    <w:rsid w:val="001A03AF"/>
    <w:rsid w:val="001A2158"/>
    <w:rsid w:val="001A4C9F"/>
    <w:rsid w:val="001A525F"/>
    <w:rsid w:val="001B09F9"/>
    <w:rsid w:val="001B5C90"/>
    <w:rsid w:val="001B6448"/>
    <w:rsid w:val="001C32CD"/>
    <w:rsid w:val="001C535D"/>
    <w:rsid w:val="001D2984"/>
    <w:rsid w:val="001D3C48"/>
    <w:rsid w:val="001D4DAE"/>
    <w:rsid w:val="001E07CF"/>
    <w:rsid w:val="001E59F1"/>
    <w:rsid w:val="001F2CEE"/>
    <w:rsid w:val="001F49EB"/>
    <w:rsid w:val="001F6CBA"/>
    <w:rsid w:val="00201D4E"/>
    <w:rsid w:val="002076C9"/>
    <w:rsid w:val="00220B8A"/>
    <w:rsid w:val="002257F3"/>
    <w:rsid w:val="00233456"/>
    <w:rsid w:val="002339A5"/>
    <w:rsid w:val="00246264"/>
    <w:rsid w:val="002512D8"/>
    <w:rsid w:val="00257848"/>
    <w:rsid w:val="002578E8"/>
    <w:rsid w:val="00260135"/>
    <w:rsid w:val="002620F2"/>
    <w:rsid w:val="0027084A"/>
    <w:rsid w:val="002730F7"/>
    <w:rsid w:val="00277A56"/>
    <w:rsid w:val="00280265"/>
    <w:rsid w:val="00286434"/>
    <w:rsid w:val="00286C59"/>
    <w:rsid w:val="00291957"/>
    <w:rsid w:val="0029257A"/>
    <w:rsid w:val="002942D1"/>
    <w:rsid w:val="0029501A"/>
    <w:rsid w:val="002976B7"/>
    <w:rsid w:val="002A3721"/>
    <w:rsid w:val="002B1638"/>
    <w:rsid w:val="002B3624"/>
    <w:rsid w:val="002D01AA"/>
    <w:rsid w:val="002D0952"/>
    <w:rsid w:val="002D3602"/>
    <w:rsid w:val="002E40B3"/>
    <w:rsid w:val="002E4C9A"/>
    <w:rsid w:val="002E5CB5"/>
    <w:rsid w:val="002F11F8"/>
    <w:rsid w:val="002F3F56"/>
    <w:rsid w:val="002F44B5"/>
    <w:rsid w:val="002F5122"/>
    <w:rsid w:val="00311AC0"/>
    <w:rsid w:val="003176FC"/>
    <w:rsid w:val="003230B6"/>
    <w:rsid w:val="0032583B"/>
    <w:rsid w:val="00327883"/>
    <w:rsid w:val="00335504"/>
    <w:rsid w:val="00335CD0"/>
    <w:rsid w:val="00335D7A"/>
    <w:rsid w:val="00340C18"/>
    <w:rsid w:val="003438D4"/>
    <w:rsid w:val="003442FD"/>
    <w:rsid w:val="00347824"/>
    <w:rsid w:val="00350567"/>
    <w:rsid w:val="003521E8"/>
    <w:rsid w:val="003536B4"/>
    <w:rsid w:val="00355347"/>
    <w:rsid w:val="003647B3"/>
    <w:rsid w:val="0036788F"/>
    <w:rsid w:val="00370CE3"/>
    <w:rsid w:val="003728F3"/>
    <w:rsid w:val="003735BC"/>
    <w:rsid w:val="00373E52"/>
    <w:rsid w:val="0037496E"/>
    <w:rsid w:val="00383221"/>
    <w:rsid w:val="00386150"/>
    <w:rsid w:val="003874CE"/>
    <w:rsid w:val="00390900"/>
    <w:rsid w:val="003A7F6C"/>
    <w:rsid w:val="003B4D60"/>
    <w:rsid w:val="003B7E39"/>
    <w:rsid w:val="003C31FD"/>
    <w:rsid w:val="003C58DC"/>
    <w:rsid w:val="003D1E62"/>
    <w:rsid w:val="003E0B99"/>
    <w:rsid w:val="003E1369"/>
    <w:rsid w:val="003E2486"/>
    <w:rsid w:val="003E3208"/>
    <w:rsid w:val="003F0B04"/>
    <w:rsid w:val="0040134E"/>
    <w:rsid w:val="004023F9"/>
    <w:rsid w:val="00416CEC"/>
    <w:rsid w:val="004227A1"/>
    <w:rsid w:val="004334C7"/>
    <w:rsid w:val="00440A2D"/>
    <w:rsid w:val="00441C3F"/>
    <w:rsid w:val="00444D1A"/>
    <w:rsid w:val="0045186A"/>
    <w:rsid w:val="0045630E"/>
    <w:rsid w:val="004564A7"/>
    <w:rsid w:val="00456765"/>
    <w:rsid w:val="00461337"/>
    <w:rsid w:val="004616F9"/>
    <w:rsid w:val="004617BF"/>
    <w:rsid w:val="00463658"/>
    <w:rsid w:val="004637A0"/>
    <w:rsid w:val="004722CC"/>
    <w:rsid w:val="00483B89"/>
    <w:rsid w:val="00486E9B"/>
    <w:rsid w:val="00490483"/>
    <w:rsid w:val="004936E4"/>
    <w:rsid w:val="00494E60"/>
    <w:rsid w:val="00497487"/>
    <w:rsid w:val="004A2771"/>
    <w:rsid w:val="004A4609"/>
    <w:rsid w:val="004A6189"/>
    <w:rsid w:val="004A7390"/>
    <w:rsid w:val="004B7B76"/>
    <w:rsid w:val="004C239D"/>
    <w:rsid w:val="004C2DCA"/>
    <w:rsid w:val="004C61D2"/>
    <w:rsid w:val="004D0014"/>
    <w:rsid w:val="004D1A6C"/>
    <w:rsid w:val="004D4048"/>
    <w:rsid w:val="004F0C4A"/>
    <w:rsid w:val="004F0F38"/>
    <w:rsid w:val="004F47D6"/>
    <w:rsid w:val="004F68C2"/>
    <w:rsid w:val="00500337"/>
    <w:rsid w:val="00501921"/>
    <w:rsid w:val="00530354"/>
    <w:rsid w:val="0053625B"/>
    <w:rsid w:val="005434C6"/>
    <w:rsid w:val="00543B39"/>
    <w:rsid w:val="00546154"/>
    <w:rsid w:val="00550096"/>
    <w:rsid w:val="00555280"/>
    <w:rsid w:val="00557FF9"/>
    <w:rsid w:val="00562327"/>
    <w:rsid w:val="00567A18"/>
    <w:rsid w:val="005711D5"/>
    <w:rsid w:val="00572182"/>
    <w:rsid w:val="0057390B"/>
    <w:rsid w:val="00576378"/>
    <w:rsid w:val="00577130"/>
    <w:rsid w:val="00577945"/>
    <w:rsid w:val="00577E38"/>
    <w:rsid w:val="00585322"/>
    <w:rsid w:val="005857C6"/>
    <w:rsid w:val="00591E06"/>
    <w:rsid w:val="00592F6E"/>
    <w:rsid w:val="00593AD1"/>
    <w:rsid w:val="005A08AE"/>
    <w:rsid w:val="005A5897"/>
    <w:rsid w:val="005A68B6"/>
    <w:rsid w:val="005B2E7C"/>
    <w:rsid w:val="005C5570"/>
    <w:rsid w:val="005C79A4"/>
    <w:rsid w:val="005D0417"/>
    <w:rsid w:val="005D5442"/>
    <w:rsid w:val="005F1752"/>
    <w:rsid w:val="005F3132"/>
    <w:rsid w:val="00603F32"/>
    <w:rsid w:val="0060447F"/>
    <w:rsid w:val="00605AD4"/>
    <w:rsid w:val="00610118"/>
    <w:rsid w:val="006130FA"/>
    <w:rsid w:val="006136D7"/>
    <w:rsid w:val="00615D18"/>
    <w:rsid w:val="00624C22"/>
    <w:rsid w:val="00625A6E"/>
    <w:rsid w:val="00627AE4"/>
    <w:rsid w:val="00632398"/>
    <w:rsid w:val="006341E7"/>
    <w:rsid w:val="00640FC3"/>
    <w:rsid w:val="00642020"/>
    <w:rsid w:val="006430EE"/>
    <w:rsid w:val="00645C41"/>
    <w:rsid w:val="0065337B"/>
    <w:rsid w:val="0065419D"/>
    <w:rsid w:val="006603BC"/>
    <w:rsid w:val="006604D8"/>
    <w:rsid w:val="00664A5B"/>
    <w:rsid w:val="0066735C"/>
    <w:rsid w:val="00667C42"/>
    <w:rsid w:val="006763D2"/>
    <w:rsid w:val="00680C08"/>
    <w:rsid w:val="00682B63"/>
    <w:rsid w:val="006832E6"/>
    <w:rsid w:val="00683C4A"/>
    <w:rsid w:val="006874F9"/>
    <w:rsid w:val="006916A0"/>
    <w:rsid w:val="006931B1"/>
    <w:rsid w:val="006A15C0"/>
    <w:rsid w:val="006A58A8"/>
    <w:rsid w:val="006B158B"/>
    <w:rsid w:val="006B6377"/>
    <w:rsid w:val="006C3E2A"/>
    <w:rsid w:val="006C5AD7"/>
    <w:rsid w:val="006C642F"/>
    <w:rsid w:val="006D03E5"/>
    <w:rsid w:val="006D5D3E"/>
    <w:rsid w:val="006E08B3"/>
    <w:rsid w:val="006F17AC"/>
    <w:rsid w:val="006F25B8"/>
    <w:rsid w:val="006F572E"/>
    <w:rsid w:val="007010DF"/>
    <w:rsid w:val="00703397"/>
    <w:rsid w:val="007046D6"/>
    <w:rsid w:val="00704C2D"/>
    <w:rsid w:val="00705DB0"/>
    <w:rsid w:val="0071267D"/>
    <w:rsid w:val="00722B57"/>
    <w:rsid w:val="00730F8A"/>
    <w:rsid w:val="00735A8C"/>
    <w:rsid w:val="0074253D"/>
    <w:rsid w:val="0074429B"/>
    <w:rsid w:val="00754151"/>
    <w:rsid w:val="007615BC"/>
    <w:rsid w:val="00762F05"/>
    <w:rsid w:val="007652FF"/>
    <w:rsid w:val="00770CAC"/>
    <w:rsid w:val="00770EF1"/>
    <w:rsid w:val="00773150"/>
    <w:rsid w:val="00773EF7"/>
    <w:rsid w:val="00774CCD"/>
    <w:rsid w:val="00774E1D"/>
    <w:rsid w:val="007765D8"/>
    <w:rsid w:val="0077675A"/>
    <w:rsid w:val="00780355"/>
    <w:rsid w:val="007819FD"/>
    <w:rsid w:val="00785717"/>
    <w:rsid w:val="00785721"/>
    <w:rsid w:val="007906DE"/>
    <w:rsid w:val="00793A59"/>
    <w:rsid w:val="00794076"/>
    <w:rsid w:val="0079562F"/>
    <w:rsid w:val="007A0025"/>
    <w:rsid w:val="007A46F5"/>
    <w:rsid w:val="007A6505"/>
    <w:rsid w:val="007B3DB3"/>
    <w:rsid w:val="007B6132"/>
    <w:rsid w:val="007B6E9F"/>
    <w:rsid w:val="007C1216"/>
    <w:rsid w:val="007C1AF7"/>
    <w:rsid w:val="007C6B9B"/>
    <w:rsid w:val="007D165B"/>
    <w:rsid w:val="007D3620"/>
    <w:rsid w:val="007E1E64"/>
    <w:rsid w:val="007E34FB"/>
    <w:rsid w:val="007F276D"/>
    <w:rsid w:val="007F7A94"/>
    <w:rsid w:val="00805D27"/>
    <w:rsid w:val="00806DCB"/>
    <w:rsid w:val="00821776"/>
    <w:rsid w:val="008321F5"/>
    <w:rsid w:val="00832369"/>
    <w:rsid w:val="00834660"/>
    <w:rsid w:val="00836BC2"/>
    <w:rsid w:val="0085156D"/>
    <w:rsid w:val="00852B28"/>
    <w:rsid w:val="008532AC"/>
    <w:rsid w:val="0085641B"/>
    <w:rsid w:val="00857136"/>
    <w:rsid w:val="00862E92"/>
    <w:rsid w:val="00875A6B"/>
    <w:rsid w:val="008800D9"/>
    <w:rsid w:val="00885B11"/>
    <w:rsid w:val="00886D15"/>
    <w:rsid w:val="00887DD8"/>
    <w:rsid w:val="008905CF"/>
    <w:rsid w:val="00891BA9"/>
    <w:rsid w:val="00896018"/>
    <w:rsid w:val="008960DD"/>
    <w:rsid w:val="0089635C"/>
    <w:rsid w:val="008A2B9D"/>
    <w:rsid w:val="008A3D9F"/>
    <w:rsid w:val="008A5E0B"/>
    <w:rsid w:val="008A6D59"/>
    <w:rsid w:val="008B4B03"/>
    <w:rsid w:val="008B596F"/>
    <w:rsid w:val="008C159F"/>
    <w:rsid w:val="008C1623"/>
    <w:rsid w:val="008C1850"/>
    <w:rsid w:val="008C3F0A"/>
    <w:rsid w:val="008C51A9"/>
    <w:rsid w:val="008E2167"/>
    <w:rsid w:val="008E484D"/>
    <w:rsid w:val="008E6545"/>
    <w:rsid w:val="008E7846"/>
    <w:rsid w:val="008F02E5"/>
    <w:rsid w:val="008F1CCC"/>
    <w:rsid w:val="008F2967"/>
    <w:rsid w:val="008F6943"/>
    <w:rsid w:val="00902A21"/>
    <w:rsid w:val="0091523F"/>
    <w:rsid w:val="00920330"/>
    <w:rsid w:val="009219D7"/>
    <w:rsid w:val="00922D53"/>
    <w:rsid w:val="00923B70"/>
    <w:rsid w:val="00924482"/>
    <w:rsid w:val="00930237"/>
    <w:rsid w:val="00932696"/>
    <w:rsid w:val="00937C17"/>
    <w:rsid w:val="00940A89"/>
    <w:rsid w:val="00941F77"/>
    <w:rsid w:val="00946EA5"/>
    <w:rsid w:val="00947729"/>
    <w:rsid w:val="0095666F"/>
    <w:rsid w:val="00960520"/>
    <w:rsid w:val="00963C08"/>
    <w:rsid w:val="009645AD"/>
    <w:rsid w:val="009752A5"/>
    <w:rsid w:val="009769C7"/>
    <w:rsid w:val="00984634"/>
    <w:rsid w:val="0098585A"/>
    <w:rsid w:val="009A4CED"/>
    <w:rsid w:val="009A690D"/>
    <w:rsid w:val="009B1D12"/>
    <w:rsid w:val="009B416B"/>
    <w:rsid w:val="009B5A29"/>
    <w:rsid w:val="009C4BD5"/>
    <w:rsid w:val="009C7F00"/>
    <w:rsid w:val="009D7B77"/>
    <w:rsid w:val="009E0BB0"/>
    <w:rsid w:val="009E3FBB"/>
    <w:rsid w:val="009F7251"/>
    <w:rsid w:val="009F7353"/>
    <w:rsid w:val="00A015F8"/>
    <w:rsid w:val="00A04F85"/>
    <w:rsid w:val="00A05FA4"/>
    <w:rsid w:val="00A102E4"/>
    <w:rsid w:val="00A1219C"/>
    <w:rsid w:val="00A12C42"/>
    <w:rsid w:val="00A14DF7"/>
    <w:rsid w:val="00A21CFA"/>
    <w:rsid w:val="00A22D57"/>
    <w:rsid w:val="00A3246D"/>
    <w:rsid w:val="00A36FA7"/>
    <w:rsid w:val="00A44DDB"/>
    <w:rsid w:val="00A475B7"/>
    <w:rsid w:val="00A47764"/>
    <w:rsid w:val="00A47AF7"/>
    <w:rsid w:val="00A47C3E"/>
    <w:rsid w:val="00A50226"/>
    <w:rsid w:val="00A606B0"/>
    <w:rsid w:val="00A60BAD"/>
    <w:rsid w:val="00A77F87"/>
    <w:rsid w:val="00A80B5B"/>
    <w:rsid w:val="00A84E36"/>
    <w:rsid w:val="00A964D1"/>
    <w:rsid w:val="00AA0ED0"/>
    <w:rsid w:val="00AC2B40"/>
    <w:rsid w:val="00AC2BB2"/>
    <w:rsid w:val="00AC2C3C"/>
    <w:rsid w:val="00AC512D"/>
    <w:rsid w:val="00AD0083"/>
    <w:rsid w:val="00AD3935"/>
    <w:rsid w:val="00AE65EB"/>
    <w:rsid w:val="00AE67A7"/>
    <w:rsid w:val="00AF1D94"/>
    <w:rsid w:val="00AF60C5"/>
    <w:rsid w:val="00AF6FEB"/>
    <w:rsid w:val="00B009C6"/>
    <w:rsid w:val="00B01548"/>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A3AAC"/>
    <w:rsid w:val="00BB5A6A"/>
    <w:rsid w:val="00BC07C5"/>
    <w:rsid w:val="00BC622A"/>
    <w:rsid w:val="00BE0A78"/>
    <w:rsid w:val="00BE79F0"/>
    <w:rsid w:val="00BF046D"/>
    <w:rsid w:val="00BF1190"/>
    <w:rsid w:val="00BF3774"/>
    <w:rsid w:val="00BF494A"/>
    <w:rsid w:val="00BF5D04"/>
    <w:rsid w:val="00C009AA"/>
    <w:rsid w:val="00C1164D"/>
    <w:rsid w:val="00C15CF8"/>
    <w:rsid w:val="00C16861"/>
    <w:rsid w:val="00C230E6"/>
    <w:rsid w:val="00C346AB"/>
    <w:rsid w:val="00C404A6"/>
    <w:rsid w:val="00C40A36"/>
    <w:rsid w:val="00C44419"/>
    <w:rsid w:val="00C45E7B"/>
    <w:rsid w:val="00C46C7E"/>
    <w:rsid w:val="00C471B1"/>
    <w:rsid w:val="00C52E24"/>
    <w:rsid w:val="00C60A07"/>
    <w:rsid w:val="00C6316B"/>
    <w:rsid w:val="00C634A9"/>
    <w:rsid w:val="00C63BF7"/>
    <w:rsid w:val="00C64586"/>
    <w:rsid w:val="00C70D53"/>
    <w:rsid w:val="00C73D0B"/>
    <w:rsid w:val="00C74F5C"/>
    <w:rsid w:val="00C7511C"/>
    <w:rsid w:val="00C772FF"/>
    <w:rsid w:val="00C80137"/>
    <w:rsid w:val="00C801AF"/>
    <w:rsid w:val="00C80256"/>
    <w:rsid w:val="00C822EA"/>
    <w:rsid w:val="00C9270E"/>
    <w:rsid w:val="00C94CD4"/>
    <w:rsid w:val="00C9747E"/>
    <w:rsid w:val="00CA6DF3"/>
    <w:rsid w:val="00CB6BC0"/>
    <w:rsid w:val="00CC1B7C"/>
    <w:rsid w:val="00CC727F"/>
    <w:rsid w:val="00CD1EB9"/>
    <w:rsid w:val="00CE13FD"/>
    <w:rsid w:val="00CF15C3"/>
    <w:rsid w:val="00CF189F"/>
    <w:rsid w:val="00CF2B6F"/>
    <w:rsid w:val="00CF2F3E"/>
    <w:rsid w:val="00CF58B6"/>
    <w:rsid w:val="00D0062D"/>
    <w:rsid w:val="00D017ED"/>
    <w:rsid w:val="00D040D3"/>
    <w:rsid w:val="00D04C65"/>
    <w:rsid w:val="00D12690"/>
    <w:rsid w:val="00D153D8"/>
    <w:rsid w:val="00D201D2"/>
    <w:rsid w:val="00D224FE"/>
    <w:rsid w:val="00D23139"/>
    <w:rsid w:val="00D36548"/>
    <w:rsid w:val="00D419E4"/>
    <w:rsid w:val="00D425BB"/>
    <w:rsid w:val="00D453FA"/>
    <w:rsid w:val="00D465C2"/>
    <w:rsid w:val="00D51183"/>
    <w:rsid w:val="00D5696A"/>
    <w:rsid w:val="00D6493E"/>
    <w:rsid w:val="00D7195D"/>
    <w:rsid w:val="00D7301E"/>
    <w:rsid w:val="00D83AE1"/>
    <w:rsid w:val="00D855D4"/>
    <w:rsid w:val="00D902C9"/>
    <w:rsid w:val="00D93466"/>
    <w:rsid w:val="00D952E0"/>
    <w:rsid w:val="00DA1124"/>
    <w:rsid w:val="00DA64CB"/>
    <w:rsid w:val="00DB06B8"/>
    <w:rsid w:val="00DB6124"/>
    <w:rsid w:val="00DB750B"/>
    <w:rsid w:val="00DB75B7"/>
    <w:rsid w:val="00DC0A2F"/>
    <w:rsid w:val="00DC1948"/>
    <w:rsid w:val="00DC6E02"/>
    <w:rsid w:val="00DD28CD"/>
    <w:rsid w:val="00DD4B49"/>
    <w:rsid w:val="00DE02AE"/>
    <w:rsid w:val="00DE39D1"/>
    <w:rsid w:val="00DE6B6C"/>
    <w:rsid w:val="00DF1D7F"/>
    <w:rsid w:val="00DF4BE4"/>
    <w:rsid w:val="00DF6D04"/>
    <w:rsid w:val="00E00078"/>
    <w:rsid w:val="00E02382"/>
    <w:rsid w:val="00E02FB4"/>
    <w:rsid w:val="00E044DF"/>
    <w:rsid w:val="00E13FC7"/>
    <w:rsid w:val="00E20571"/>
    <w:rsid w:val="00E235F7"/>
    <w:rsid w:val="00E23659"/>
    <w:rsid w:val="00E239D4"/>
    <w:rsid w:val="00E26130"/>
    <w:rsid w:val="00E40B22"/>
    <w:rsid w:val="00E44ED1"/>
    <w:rsid w:val="00E45619"/>
    <w:rsid w:val="00E4588F"/>
    <w:rsid w:val="00E46DA3"/>
    <w:rsid w:val="00E50ABB"/>
    <w:rsid w:val="00E51BB1"/>
    <w:rsid w:val="00E535FC"/>
    <w:rsid w:val="00E55CB0"/>
    <w:rsid w:val="00E56462"/>
    <w:rsid w:val="00E624A5"/>
    <w:rsid w:val="00E64BA4"/>
    <w:rsid w:val="00E7344E"/>
    <w:rsid w:val="00E82665"/>
    <w:rsid w:val="00E965F2"/>
    <w:rsid w:val="00E96731"/>
    <w:rsid w:val="00EA746F"/>
    <w:rsid w:val="00EB0798"/>
    <w:rsid w:val="00EB40AD"/>
    <w:rsid w:val="00EB586E"/>
    <w:rsid w:val="00EB5FC8"/>
    <w:rsid w:val="00EB6F1E"/>
    <w:rsid w:val="00EC463D"/>
    <w:rsid w:val="00EC7A85"/>
    <w:rsid w:val="00ED2922"/>
    <w:rsid w:val="00ED3CAD"/>
    <w:rsid w:val="00ED5A41"/>
    <w:rsid w:val="00EE1DE8"/>
    <w:rsid w:val="00EE27C2"/>
    <w:rsid w:val="00EF4BAD"/>
    <w:rsid w:val="00EF59DC"/>
    <w:rsid w:val="00F033EC"/>
    <w:rsid w:val="00F04F68"/>
    <w:rsid w:val="00F12670"/>
    <w:rsid w:val="00F12C37"/>
    <w:rsid w:val="00F14B27"/>
    <w:rsid w:val="00F3148D"/>
    <w:rsid w:val="00F325C5"/>
    <w:rsid w:val="00F32FE0"/>
    <w:rsid w:val="00F35298"/>
    <w:rsid w:val="00F47333"/>
    <w:rsid w:val="00F47E37"/>
    <w:rsid w:val="00F53C07"/>
    <w:rsid w:val="00F54B65"/>
    <w:rsid w:val="00F640B6"/>
    <w:rsid w:val="00F66DF2"/>
    <w:rsid w:val="00F80E40"/>
    <w:rsid w:val="00F848D9"/>
    <w:rsid w:val="00FA5069"/>
    <w:rsid w:val="00FA5B82"/>
    <w:rsid w:val="00FA639E"/>
    <w:rsid w:val="00FC1FCA"/>
    <w:rsid w:val="00FC25E4"/>
    <w:rsid w:val="00FC285E"/>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13E2B"/>
  <w15:docId w15:val="{4354293F-CB71-41F8-A9DB-FA2D7CAE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416CEC"/>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416CEC"/>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16CEC"/>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416CE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416CE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416CEC"/>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416CE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87CB4"/>
    <w:pPr>
      <w:adjustRightInd w:val="0"/>
      <w:snapToGrid w:val="0"/>
      <w:spacing w:before="180" w:after="180"/>
      <w:ind w:left="720"/>
      <w:contextualSpacing/>
    </w:pPr>
    <w:rPr>
      <w:rFonts w:eastAsia="MS Mincho"/>
      <w:szCs w:val="20"/>
      <w:lang w:eastAsia="ja-JP"/>
    </w:rPr>
  </w:style>
  <w:style w:type="paragraph" w:customStyle="1" w:styleId="Default">
    <w:name w:val="Default"/>
    <w:rsid w:val="007E34F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itation-title">
    <w:name w:val="citation-title"/>
    <w:basedOn w:val="DefaultParagraphFont"/>
    <w:rsid w:val="00D12690"/>
  </w:style>
  <w:style w:type="character" w:customStyle="1" w:styleId="citation2">
    <w:name w:val="citation2"/>
    <w:basedOn w:val="DefaultParagraphFont"/>
    <w:rsid w:val="00D12690"/>
  </w:style>
  <w:style w:type="character" w:customStyle="1" w:styleId="pubyear">
    <w:name w:val="pubyear"/>
    <w:basedOn w:val="DefaultParagraphFont"/>
    <w:rsid w:val="00D12690"/>
  </w:style>
  <w:style w:type="character" w:customStyle="1" w:styleId="volume">
    <w:name w:val="volume"/>
    <w:basedOn w:val="DefaultParagraphFont"/>
    <w:rsid w:val="00D12690"/>
  </w:style>
  <w:style w:type="character" w:customStyle="1" w:styleId="cit">
    <w:name w:val="cit"/>
    <w:basedOn w:val="DefaultParagraphFont"/>
    <w:rsid w:val="00D12690"/>
  </w:style>
  <w:style w:type="paragraph" w:customStyle="1" w:styleId="Bulletlist">
    <w:name w:val="Bullet list"/>
    <w:basedOn w:val="Normal"/>
    <w:link w:val="BulletlistChar"/>
    <w:qFormat/>
    <w:rsid w:val="001667BC"/>
    <w:pPr>
      <w:numPr>
        <w:numId w:val="37"/>
      </w:numPr>
      <w:spacing w:before="0" w:after="180" w:line="252" w:lineRule="auto"/>
      <w:ind w:left="426" w:hanging="284"/>
    </w:pPr>
    <w:rPr>
      <w:rFonts w:eastAsia="Times New Roman"/>
      <w:snapToGrid w:val="0"/>
      <w:kern w:val="2"/>
      <w:sz w:val="23"/>
    </w:rPr>
  </w:style>
  <w:style w:type="character" w:customStyle="1" w:styleId="TabletextChar">
    <w:name w:val="Table text Char"/>
    <w:basedOn w:val="DefaultParagraphFont"/>
    <w:link w:val="Tabletext"/>
    <w:rsid w:val="001667BC"/>
    <w:rPr>
      <w:rFonts w:ascii="Cambria" w:eastAsia="Cambria" w:hAnsi="Cambria" w:cs="Times New Roman"/>
      <w:sz w:val="19"/>
    </w:rPr>
  </w:style>
  <w:style w:type="character" w:customStyle="1" w:styleId="BulletlistChar">
    <w:name w:val="Bullet list Char"/>
    <w:basedOn w:val="DefaultParagraphFont"/>
    <w:link w:val="Bulletlist"/>
    <w:rsid w:val="001667BC"/>
    <w:rPr>
      <w:rFonts w:ascii="Cambria" w:eastAsia="Times New Roman" w:hAnsi="Cambria" w:cs="Times New Roman"/>
      <w:snapToGrid w:val="0"/>
      <w:kern w:val="2"/>
      <w:sz w:val="23"/>
    </w:rPr>
  </w:style>
  <w:style w:type="paragraph" w:customStyle="1" w:styleId="chapter-para">
    <w:name w:val="chapter-para"/>
    <w:basedOn w:val="Normal"/>
    <w:rsid w:val="008532AC"/>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591E06"/>
    <w:rPr>
      <w:b/>
      <w:bCs/>
      <w:i w:val="0"/>
      <w:iCs w:val="0"/>
    </w:rPr>
  </w:style>
  <w:style w:type="character" w:customStyle="1" w:styleId="st1">
    <w:name w:val="st1"/>
    <w:basedOn w:val="DefaultParagraphFont"/>
    <w:rsid w:val="0059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333">
      <w:bodyDiv w:val="1"/>
      <w:marLeft w:val="0"/>
      <w:marRight w:val="0"/>
      <w:marTop w:val="0"/>
      <w:marBottom w:val="0"/>
      <w:divBdr>
        <w:top w:val="none" w:sz="0" w:space="0" w:color="auto"/>
        <w:left w:val="none" w:sz="0" w:space="0" w:color="auto"/>
        <w:bottom w:val="none" w:sz="0" w:space="0" w:color="auto"/>
        <w:right w:val="none" w:sz="0" w:space="0" w:color="auto"/>
      </w:divBdr>
    </w:div>
    <w:div w:id="677736364">
      <w:bodyDiv w:val="1"/>
      <w:marLeft w:val="0"/>
      <w:marRight w:val="0"/>
      <w:marTop w:val="0"/>
      <w:marBottom w:val="0"/>
      <w:divBdr>
        <w:top w:val="none" w:sz="0" w:space="0" w:color="auto"/>
        <w:left w:val="none" w:sz="0" w:space="0" w:color="auto"/>
        <w:bottom w:val="none" w:sz="0" w:space="0" w:color="auto"/>
        <w:right w:val="none" w:sz="0" w:space="0" w:color="auto"/>
      </w:divBdr>
    </w:div>
    <w:div w:id="943266407">
      <w:bodyDiv w:val="1"/>
      <w:marLeft w:val="0"/>
      <w:marRight w:val="0"/>
      <w:marTop w:val="0"/>
      <w:marBottom w:val="0"/>
      <w:divBdr>
        <w:top w:val="none" w:sz="0" w:space="0" w:color="auto"/>
        <w:left w:val="none" w:sz="0" w:space="0" w:color="auto"/>
        <w:bottom w:val="none" w:sz="0" w:space="0" w:color="auto"/>
        <w:right w:val="none" w:sz="0" w:space="0" w:color="auto"/>
      </w:divBdr>
    </w:div>
    <w:div w:id="1205824697">
      <w:bodyDiv w:val="1"/>
      <w:marLeft w:val="0"/>
      <w:marRight w:val="0"/>
      <w:marTop w:val="0"/>
      <w:marBottom w:val="0"/>
      <w:divBdr>
        <w:top w:val="none" w:sz="0" w:space="0" w:color="auto"/>
        <w:left w:val="none" w:sz="0" w:space="0" w:color="auto"/>
        <w:bottom w:val="none" w:sz="0" w:space="0" w:color="auto"/>
        <w:right w:val="none" w:sz="0" w:space="0" w:color="auto"/>
      </w:divBdr>
      <w:divsChild>
        <w:div w:id="617032545">
          <w:marLeft w:val="0"/>
          <w:marRight w:val="0"/>
          <w:marTop w:val="0"/>
          <w:marBottom w:val="0"/>
          <w:divBdr>
            <w:top w:val="none" w:sz="0" w:space="0" w:color="auto"/>
            <w:left w:val="none" w:sz="0" w:space="0" w:color="auto"/>
            <w:bottom w:val="none" w:sz="0" w:space="0" w:color="auto"/>
            <w:right w:val="none" w:sz="0" w:space="0" w:color="auto"/>
          </w:divBdr>
          <w:divsChild>
            <w:div w:id="1764455583">
              <w:marLeft w:val="0"/>
              <w:marRight w:val="0"/>
              <w:marTop w:val="0"/>
              <w:marBottom w:val="0"/>
              <w:divBdr>
                <w:top w:val="none" w:sz="0" w:space="0" w:color="auto"/>
                <w:left w:val="none" w:sz="0" w:space="0" w:color="auto"/>
                <w:bottom w:val="none" w:sz="0" w:space="0" w:color="auto"/>
                <w:right w:val="none" w:sz="0" w:space="0" w:color="auto"/>
              </w:divBdr>
              <w:divsChild>
                <w:div w:id="1396970153">
                  <w:marLeft w:val="0"/>
                  <w:marRight w:val="0"/>
                  <w:marTop w:val="0"/>
                  <w:marBottom w:val="0"/>
                  <w:divBdr>
                    <w:top w:val="none" w:sz="0" w:space="0" w:color="auto"/>
                    <w:left w:val="none" w:sz="0" w:space="0" w:color="auto"/>
                    <w:bottom w:val="none" w:sz="0" w:space="0" w:color="auto"/>
                    <w:right w:val="none" w:sz="0" w:space="0" w:color="auto"/>
                  </w:divBdr>
                  <w:divsChild>
                    <w:div w:id="1743983766">
                      <w:marLeft w:val="0"/>
                      <w:marRight w:val="0"/>
                      <w:marTop w:val="0"/>
                      <w:marBottom w:val="0"/>
                      <w:divBdr>
                        <w:top w:val="none" w:sz="0" w:space="0" w:color="auto"/>
                        <w:left w:val="none" w:sz="0" w:space="0" w:color="auto"/>
                        <w:bottom w:val="none" w:sz="0" w:space="0" w:color="auto"/>
                        <w:right w:val="none" w:sz="0" w:space="0" w:color="auto"/>
                      </w:divBdr>
                      <w:divsChild>
                        <w:div w:id="826673772">
                          <w:marLeft w:val="0"/>
                          <w:marRight w:val="0"/>
                          <w:marTop w:val="0"/>
                          <w:marBottom w:val="0"/>
                          <w:divBdr>
                            <w:top w:val="none" w:sz="0" w:space="0" w:color="auto"/>
                            <w:left w:val="none" w:sz="0" w:space="0" w:color="auto"/>
                            <w:bottom w:val="none" w:sz="0" w:space="0" w:color="auto"/>
                            <w:right w:val="none" w:sz="0" w:space="0" w:color="auto"/>
                          </w:divBdr>
                          <w:divsChild>
                            <w:div w:id="812914824">
                              <w:marLeft w:val="0"/>
                              <w:marRight w:val="0"/>
                              <w:marTop w:val="0"/>
                              <w:marBottom w:val="0"/>
                              <w:divBdr>
                                <w:top w:val="none" w:sz="0" w:space="0" w:color="auto"/>
                                <w:left w:val="none" w:sz="0" w:space="0" w:color="auto"/>
                                <w:bottom w:val="none" w:sz="0" w:space="0" w:color="auto"/>
                                <w:right w:val="none" w:sz="0" w:space="0" w:color="auto"/>
                              </w:divBdr>
                              <w:divsChild>
                                <w:div w:id="1654212541">
                                  <w:marLeft w:val="0"/>
                                  <w:marRight w:val="0"/>
                                  <w:marTop w:val="0"/>
                                  <w:marBottom w:val="0"/>
                                  <w:divBdr>
                                    <w:top w:val="none" w:sz="0" w:space="0" w:color="auto"/>
                                    <w:left w:val="none" w:sz="0" w:space="0" w:color="auto"/>
                                    <w:bottom w:val="none" w:sz="0" w:space="0" w:color="auto"/>
                                    <w:right w:val="none" w:sz="0" w:space="0" w:color="auto"/>
                                  </w:divBdr>
                                  <w:divsChild>
                                    <w:div w:id="1954944071">
                                      <w:marLeft w:val="0"/>
                                      <w:marRight w:val="0"/>
                                      <w:marTop w:val="0"/>
                                      <w:marBottom w:val="0"/>
                                      <w:divBdr>
                                        <w:top w:val="none" w:sz="0" w:space="0" w:color="auto"/>
                                        <w:left w:val="none" w:sz="0" w:space="0" w:color="auto"/>
                                        <w:bottom w:val="none" w:sz="0" w:space="0" w:color="auto"/>
                                        <w:right w:val="none" w:sz="0" w:space="0" w:color="auto"/>
                                      </w:divBdr>
                                      <w:divsChild>
                                        <w:div w:id="15059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3.xml"/><Relationship Id="rId18"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tg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4.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books/NBK2818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UST\AppData\Local\Hewlett-Packard\HP%20TRIM\TEMP\HPTRIM.7267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3C0F-05DE-49EA-93A0-7758E621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130</TotalTime>
  <Pages>23</Pages>
  <Words>7088</Words>
  <Characters>40403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Ranibizumab</dc:title>
  <dc:subject>Prescription medicines</dc:subject>
  <dc:creator>Therapeutic Goods Administration</dc:creator>
  <cp:keywords>AusPARs</cp:keywords>
  <cp:lastPrinted>2019-08-14T04:30:00Z</cp:lastPrinted>
  <dcterms:created xsi:type="dcterms:W3CDTF">2020-08-28T00:16:00Z</dcterms:created>
  <dcterms:modified xsi:type="dcterms:W3CDTF">2020-09-09T23:43:00Z</dcterms:modified>
  <cp:category/>
</cp:coreProperties>
</file>