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A26" w:rsidRDefault="00487A26"/>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endix 1 - Guidelines for advertisements for medicines containing Schedule 3 substances [Version 1.0, May 2018]"/>
      </w:tblPr>
      <w:tblGrid>
        <w:gridCol w:w="8720"/>
      </w:tblGrid>
      <w:tr w:rsidR="002B29B2" w:rsidRPr="00215D48" w:rsidTr="00626F89">
        <w:trPr>
          <w:tblHeader/>
        </w:trPr>
        <w:tc>
          <w:tcPr>
            <w:tcW w:w="8720" w:type="dxa"/>
          </w:tcPr>
          <w:p w:rsidR="00F401EF" w:rsidRPr="00215D48" w:rsidRDefault="00531DCC" w:rsidP="00342CC8">
            <w:pPr>
              <w:pStyle w:val="Title"/>
            </w:pPr>
            <w:r>
              <w:t xml:space="preserve">Appendix 1 - </w:t>
            </w:r>
            <w:r w:rsidRPr="00FA1340">
              <w:rPr>
                <w:noProof/>
                <w:szCs w:val="21"/>
                <w:lang w:eastAsia="en-AU"/>
              </w:rPr>
              <mc:AlternateContent>
                <mc:Choice Requires="wps">
                  <w:drawing>
                    <wp:anchor distT="0" distB="0" distL="114300" distR="114300" simplePos="0" relativeHeight="251659264" behindDoc="0" locked="0" layoutInCell="1" allowOverlap="1" wp14:anchorId="511C10B8" wp14:editId="3CBA381D">
                      <wp:simplePos x="0" y="0"/>
                      <wp:positionH relativeFrom="column">
                        <wp:posOffset>518795</wp:posOffset>
                      </wp:positionH>
                      <wp:positionV relativeFrom="paragraph">
                        <wp:posOffset>5150485</wp:posOffset>
                      </wp:positionV>
                      <wp:extent cx="5177155" cy="2037715"/>
                      <wp:effectExtent l="0" t="0" r="23495" b="19685"/>
                      <wp:wrapNone/>
                      <wp:docPr id="307" name="Text Box 2" descr="This document is for Reference only.&#10;It is not for consultation or comments.&#10;Reference onl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155" cy="2037715"/>
                              </a:xfrm>
                              <a:prstGeom prst="rect">
                                <a:avLst/>
                              </a:prstGeom>
                              <a:solidFill>
                                <a:schemeClr val="accent1">
                                  <a:lumMod val="75000"/>
                                </a:schemeClr>
                              </a:solidFill>
                              <a:ln w="9525">
                                <a:solidFill>
                                  <a:srgbClr val="000000"/>
                                </a:solidFill>
                                <a:miter lim="800000"/>
                                <a:headEnd/>
                                <a:tailEnd/>
                              </a:ln>
                            </wps:spPr>
                            <wps:txbx>
                              <w:txbxContent>
                                <w:p w:rsidR="00531DCC" w:rsidRPr="00E73901" w:rsidRDefault="00531DCC" w:rsidP="00626F89">
                                  <w:pPr>
                                    <w:spacing w:before="240" w:after="240"/>
                                    <w:jc w:val="center"/>
                                    <w:rPr>
                                      <w:rFonts w:asciiTheme="majorHAnsi" w:hAnsiTheme="majorHAnsi" w:cstheme="majorHAnsi"/>
                                      <w:b/>
                                      <w:i/>
                                      <w:color w:val="FFFFFF" w:themeColor="background1"/>
                                      <w:sz w:val="40"/>
                                    </w:rPr>
                                  </w:pPr>
                                  <w:r w:rsidRPr="00E73901">
                                    <w:rPr>
                                      <w:rFonts w:asciiTheme="majorHAnsi" w:hAnsiTheme="majorHAnsi" w:cstheme="majorHAnsi"/>
                                      <w:b/>
                                      <w:i/>
                                      <w:color w:val="FFFFFF" w:themeColor="background1"/>
                                      <w:sz w:val="40"/>
                                    </w:rPr>
                                    <w:t>This document is for Reference only.</w:t>
                                  </w:r>
                                </w:p>
                                <w:p w:rsidR="00531DCC" w:rsidRPr="00E73901" w:rsidRDefault="00531DCC" w:rsidP="00626F89">
                                  <w:pPr>
                                    <w:spacing w:before="240" w:after="240"/>
                                    <w:jc w:val="center"/>
                                    <w:rPr>
                                      <w:rFonts w:asciiTheme="majorHAnsi" w:hAnsiTheme="majorHAnsi" w:cstheme="majorHAnsi"/>
                                      <w:b/>
                                      <w:i/>
                                      <w:color w:val="FFFFFF" w:themeColor="background1"/>
                                      <w:sz w:val="32"/>
                                    </w:rPr>
                                  </w:pPr>
                                  <w:r w:rsidRPr="00E73901">
                                    <w:rPr>
                                      <w:rFonts w:asciiTheme="majorHAnsi" w:hAnsiTheme="majorHAnsi" w:cstheme="majorHAnsi"/>
                                      <w:b/>
                                      <w:i/>
                                      <w:color w:val="FFFFFF" w:themeColor="background1"/>
                                      <w:sz w:val="32"/>
                                    </w:rPr>
                                    <w:t>It is not for consultation or comments.</w:t>
                                  </w:r>
                                </w:p>
                                <w:p w:rsidR="00531DCC" w:rsidRPr="00E73901" w:rsidRDefault="00531DCC" w:rsidP="00626F89">
                                  <w:pPr>
                                    <w:spacing w:before="240" w:after="240"/>
                                    <w:jc w:val="center"/>
                                    <w:rPr>
                                      <w:rFonts w:asciiTheme="majorHAnsi" w:hAnsiTheme="majorHAnsi" w:cstheme="majorHAnsi"/>
                                      <w:b/>
                                      <w:i/>
                                      <w:color w:val="FFFFFF" w:themeColor="background1"/>
                                      <w:sz w:val="40"/>
                                    </w:rPr>
                                  </w:pPr>
                                  <w:proofErr w:type="gramStart"/>
                                  <w:r w:rsidRPr="00E73901">
                                    <w:rPr>
                                      <w:rFonts w:asciiTheme="majorHAnsi" w:hAnsiTheme="majorHAnsi" w:cstheme="majorHAnsi"/>
                                      <w:b/>
                                      <w:i/>
                                      <w:color w:val="FFFFFF" w:themeColor="background1"/>
                                      <w:sz w:val="40"/>
                                    </w:rPr>
                                    <w:t>Reference only.</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his document is for Reference only.&#10;It is not for consultation or comments.&#10;Reference only.&#10;" style="position:absolute;margin-left:40.85pt;margin-top:405.55pt;width:407.65pt;height:1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" fillcolor="#00517d [2404]">
                      <v:textbox>
                        <w:txbxContent>
                          <w:p w:rsidR="00531DCC" w:rsidRPr="00E73901" w:rsidRDefault="00531DCC" w:rsidP="00626F89">
                            <w:pPr>
                              <w:spacing w:before="240" w:after="240"/>
                              <w:jc w:val="center"/>
                              <w:rPr>
                                <w:rFonts w:asciiTheme="majorHAnsi" w:hAnsiTheme="majorHAnsi" w:cstheme="majorHAnsi"/>
                                <w:b/>
                                <w:i/>
                                <w:color w:val="FFFFFF" w:themeColor="background1"/>
                                <w:sz w:val="40"/>
                              </w:rPr>
                            </w:pPr>
                            <w:r w:rsidRPr="00E73901">
                              <w:rPr>
                                <w:rFonts w:asciiTheme="majorHAnsi" w:hAnsiTheme="majorHAnsi" w:cstheme="majorHAnsi"/>
                                <w:b/>
                                <w:i/>
                                <w:color w:val="FFFFFF" w:themeColor="background1"/>
                                <w:sz w:val="40"/>
                              </w:rPr>
                              <w:t>This document is for Reference only.</w:t>
                            </w:r>
                          </w:p>
                          <w:p w:rsidR="00531DCC" w:rsidRPr="00E73901" w:rsidRDefault="00531DCC" w:rsidP="00626F89">
                            <w:pPr>
                              <w:spacing w:before="240" w:after="240"/>
                              <w:jc w:val="center"/>
                              <w:rPr>
                                <w:rFonts w:asciiTheme="majorHAnsi" w:hAnsiTheme="majorHAnsi" w:cstheme="majorHAnsi"/>
                                <w:b/>
                                <w:i/>
                                <w:color w:val="FFFFFF" w:themeColor="background1"/>
                                <w:sz w:val="32"/>
                              </w:rPr>
                            </w:pPr>
                            <w:r w:rsidRPr="00E73901">
                              <w:rPr>
                                <w:rFonts w:asciiTheme="majorHAnsi" w:hAnsiTheme="majorHAnsi" w:cstheme="majorHAnsi"/>
                                <w:b/>
                                <w:i/>
                                <w:color w:val="FFFFFF" w:themeColor="background1"/>
                                <w:sz w:val="32"/>
                              </w:rPr>
                              <w:t>It is not for consultation or comments.</w:t>
                            </w:r>
                          </w:p>
                          <w:p w:rsidR="00531DCC" w:rsidRPr="00E73901" w:rsidRDefault="00531DCC" w:rsidP="00626F89">
                            <w:pPr>
                              <w:spacing w:before="240" w:after="240"/>
                              <w:jc w:val="center"/>
                              <w:rPr>
                                <w:rFonts w:asciiTheme="majorHAnsi" w:hAnsiTheme="majorHAnsi" w:cstheme="majorHAnsi"/>
                                <w:b/>
                                <w:i/>
                                <w:color w:val="FFFFFF" w:themeColor="background1"/>
                                <w:sz w:val="40"/>
                              </w:rPr>
                            </w:pPr>
                            <w:proofErr w:type="gramStart"/>
                            <w:r w:rsidRPr="00E73901">
                              <w:rPr>
                                <w:rFonts w:asciiTheme="majorHAnsi" w:hAnsiTheme="majorHAnsi" w:cstheme="majorHAnsi"/>
                                <w:b/>
                                <w:i/>
                                <w:color w:val="FFFFFF" w:themeColor="background1"/>
                                <w:sz w:val="40"/>
                              </w:rPr>
                              <w:t>Reference only.</w:t>
                            </w:r>
                            <w:proofErr w:type="gramEnd"/>
                          </w:p>
                        </w:txbxContent>
                      </v:textbox>
                    </v:shape>
                  </w:pict>
                </mc:Fallback>
              </mc:AlternateContent>
            </w:r>
            <w:r w:rsidR="00342CC8">
              <w:t>Guidelines for advertisements for medicines c</w:t>
            </w:r>
            <w:r w:rsidR="00836EB2">
              <w:t>ontaining Schedule 3 substances</w:t>
            </w:r>
          </w:p>
        </w:tc>
      </w:tr>
      <w:tr w:rsidR="002B29B2" w:rsidRPr="00215D48" w:rsidTr="002B29B2">
        <w:tc>
          <w:tcPr>
            <w:tcW w:w="8720" w:type="dxa"/>
          </w:tcPr>
          <w:p w:rsidR="002B29B2" w:rsidRPr="00215D48" w:rsidRDefault="002B29B2" w:rsidP="00626F89">
            <w:pPr>
              <w:pStyle w:val="Date"/>
              <w:spacing w:before="960"/>
            </w:pPr>
            <w:r w:rsidRPr="00215D48">
              <w:t xml:space="preserve">Version 1.0, </w:t>
            </w:r>
            <w:r w:rsidR="008B22AF">
              <w:t>May</w:t>
            </w:r>
            <w:r w:rsidRPr="00215D48">
              <w:t xml:space="preserve"> </w:t>
            </w:r>
            <w:r w:rsidR="008B22AF">
              <w:t>2018</w:t>
            </w:r>
          </w:p>
        </w:tc>
      </w:tr>
    </w:tbl>
    <w:p w:rsidR="00B24FF5" w:rsidRPr="00215D48" w:rsidRDefault="00B24FF5" w:rsidP="00B24FF5">
      <w:pPr>
        <w:pStyle w:val="ListBullet"/>
        <w:numPr>
          <w:ilvl w:val="0"/>
          <w:numId w:val="0"/>
        </w:numPr>
        <w:sectPr w:rsidR="00B24FF5" w:rsidRPr="00215D48" w:rsidSect="00F401E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201</w:t>
      </w:r>
      <w:r w:rsidR="00F0622D">
        <w:rPr>
          <w:rFonts w:cs="Arial"/>
        </w:rPr>
        <w:t>8</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215D48">
          <w:rPr>
            <w:rStyle w:val="Hyperlink"/>
            <w:rFonts w:cs="Arial"/>
          </w:rPr>
          <w:t>tga.copyright@tga.gov.au</w:t>
        </w:r>
      </w:hyperlink>
      <w:r w:rsidRPr="00215D48">
        <w:rPr>
          <w:rFonts w:cs="Arial"/>
        </w:rPr>
        <w:t>&gt;.</w:t>
      </w:r>
      <w:r w:rsidR="00F274A2">
        <w:rPr>
          <w:rFonts w:cs="Arial"/>
        </w:rPr>
        <w:br w:type="page"/>
      </w:r>
    </w:p>
    <w:sdt>
      <w:sdtPr>
        <w:rPr>
          <w:rFonts w:ascii="Cambria" w:hAnsi="Cambria"/>
          <w:b w:val="0"/>
          <w:sz w:val="22"/>
        </w:rPr>
        <w:id w:val="21514769"/>
        <w:docPartObj>
          <w:docPartGallery w:val="Table of Contents"/>
          <w:docPartUnique/>
        </w:docPartObj>
      </w:sdtPr>
      <w:sdtEndPr/>
      <w:sdtContent>
        <w:p w:rsidR="00F401EF" w:rsidRPr="00215D48" w:rsidRDefault="00F401EF" w:rsidP="00035110">
          <w:pPr>
            <w:pStyle w:val="NonTOCheading2"/>
          </w:pPr>
          <w:r w:rsidRPr="00215D48">
            <w:t>Contents</w:t>
          </w:r>
        </w:p>
        <w:p w:rsidR="00E109E1" w:rsidRDefault="00E109E1">
          <w:pPr>
            <w:pStyle w:val="TOC2"/>
            <w:rPr>
              <w:rFonts w:asciiTheme="minorHAnsi" w:eastAsiaTheme="minorEastAsia" w:hAnsiTheme="minorHAnsi" w:cstheme="minorBidi"/>
              <w:b w:val="0"/>
              <w:noProof/>
              <w:sz w:val="22"/>
              <w:szCs w:val="22"/>
              <w:lang w:eastAsia="en-AU"/>
            </w:rPr>
          </w:pPr>
          <w:r>
            <w:rPr>
              <w:rFonts w:ascii="Arial" w:hAnsi="Arial"/>
              <w:b w:val="0"/>
              <w:sz w:val="32"/>
            </w:rPr>
            <w:fldChar w:fldCharType="begin"/>
          </w:r>
          <w:r>
            <w:rPr>
              <w:rFonts w:ascii="Arial" w:hAnsi="Arial"/>
              <w:b w:val="0"/>
              <w:sz w:val="32"/>
            </w:rPr>
            <w:instrText xml:space="preserve"> TOC \o "1-3" \h \z \u </w:instrText>
          </w:r>
          <w:r>
            <w:rPr>
              <w:rFonts w:ascii="Arial" w:hAnsi="Arial"/>
              <w:b w:val="0"/>
              <w:sz w:val="32"/>
            </w:rPr>
            <w:fldChar w:fldCharType="separate"/>
          </w:r>
          <w:hyperlink w:anchor="_Toc515620654" w:history="1">
            <w:r w:rsidRPr="00871D45">
              <w:rPr>
                <w:rStyle w:val="Hyperlink"/>
                <w:noProof/>
                <w:lang w:eastAsia="en-AU"/>
              </w:rPr>
              <w:t>Background</w:t>
            </w:r>
            <w:r>
              <w:rPr>
                <w:noProof/>
                <w:webHidden/>
              </w:rPr>
              <w:tab/>
            </w:r>
            <w:r>
              <w:rPr>
                <w:noProof/>
                <w:webHidden/>
              </w:rPr>
              <w:fldChar w:fldCharType="begin"/>
            </w:r>
            <w:r>
              <w:rPr>
                <w:noProof/>
                <w:webHidden/>
              </w:rPr>
              <w:instrText xml:space="preserve"> PAGEREF _Toc515620654 \h </w:instrText>
            </w:r>
            <w:r>
              <w:rPr>
                <w:noProof/>
                <w:webHidden/>
              </w:rPr>
            </w:r>
            <w:r>
              <w:rPr>
                <w:noProof/>
                <w:webHidden/>
              </w:rPr>
              <w:fldChar w:fldCharType="separate"/>
            </w:r>
            <w:r>
              <w:rPr>
                <w:noProof/>
                <w:webHidden/>
              </w:rPr>
              <w:t>4</w:t>
            </w:r>
            <w:r>
              <w:rPr>
                <w:noProof/>
                <w:webHidden/>
              </w:rPr>
              <w:fldChar w:fldCharType="end"/>
            </w:r>
          </w:hyperlink>
        </w:p>
        <w:p w:rsidR="00E109E1" w:rsidRDefault="00E109E1">
          <w:pPr>
            <w:pStyle w:val="TOC2"/>
            <w:rPr>
              <w:rFonts w:asciiTheme="minorHAnsi" w:eastAsiaTheme="minorEastAsia" w:hAnsiTheme="minorHAnsi" w:cstheme="minorBidi"/>
              <w:b w:val="0"/>
              <w:noProof/>
              <w:sz w:val="22"/>
              <w:szCs w:val="22"/>
              <w:lang w:eastAsia="en-AU"/>
            </w:rPr>
          </w:pPr>
          <w:hyperlink w:anchor="_Toc515620655" w:history="1">
            <w:r w:rsidRPr="00871D45">
              <w:rPr>
                <w:rStyle w:val="Hyperlink"/>
                <w:noProof/>
              </w:rPr>
              <w:t>Purpose</w:t>
            </w:r>
            <w:r>
              <w:rPr>
                <w:noProof/>
                <w:webHidden/>
              </w:rPr>
              <w:tab/>
            </w:r>
            <w:r>
              <w:rPr>
                <w:noProof/>
                <w:webHidden/>
              </w:rPr>
              <w:fldChar w:fldCharType="begin"/>
            </w:r>
            <w:r>
              <w:rPr>
                <w:noProof/>
                <w:webHidden/>
              </w:rPr>
              <w:instrText xml:space="preserve"> PAGEREF _Toc515620655 \h </w:instrText>
            </w:r>
            <w:r>
              <w:rPr>
                <w:noProof/>
                <w:webHidden/>
              </w:rPr>
            </w:r>
            <w:r>
              <w:rPr>
                <w:noProof/>
                <w:webHidden/>
              </w:rPr>
              <w:fldChar w:fldCharType="separate"/>
            </w:r>
            <w:r>
              <w:rPr>
                <w:noProof/>
                <w:webHidden/>
              </w:rPr>
              <w:t>4</w:t>
            </w:r>
            <w:r>
              <w:rPr>
                <w:noProof/>
                <w:webHidden/>
              </w:rPr>
              <w:fldChar w:fldCharType="end"/>
            </w:r>
          </w:hyperlink>
        </w:p>
        <w:p w:rsidR="00E109E1" w:rsidRDefault="00E109E1">
          <w:pPr>
            <w:pStyle w:val="TOC2"/>
            <w:rPr>
              <w:rFonts w:asciiTheme="minorHAnsi" w:eastAsiaTheme="minorEastAsia" w:hAnsiTheme="minorHAnsi" w:cstheme="minorBidi"/>
              <w:b w:val="0"/>
              <w:noProof/>
              <w:sz w:val="22"/>
              <w:szCs w:val="22"/>
              <w:lang w:eastAsia="en-AU"/>
            </w:rPr>
          </w:pPr>
          <w:hyperlink w:anchor="_Toc515620656" w:history="1">
            <w:r w:rsidRPr="00871D45">
              <w:rPr>
                <w:rStyle w:val="Hyperlink"/>
                <w:noProof/>
              </w:rPr>
              <w:t>Role of the Delegate</w:t>
            </w:r>
            <w:r>
              <w:rPr>
                <w:noProof/>
                <w:webHidden/>
              </w:rPr>
              <w:tab/>
            </w:r>
            <w:r>
              <w:rPr>
                <w:noProof/>
                <w:webHidden/>
              </w:rPr>
              <w:fldChar w:fldCharType="begin"/>
            </w:r>
            <w:r>
              <w:rPr>
                <w:noProof/>
                <w:webHidden/>
              </w:rPr>
              <w:instrText xml:space="preserve"> PAGEREF _Toc515620656 \h </w:instrText>
            </w:r>
            <w:r>
              <w:rPr>
                <w:noProof/>
                <w:webHidden/>
              </w:rPr>
            </w:r>
            <w:r>
              <w:rPr>
                <w:noProof/>
                <w:webHidden/>
              </w:rPr>
              <w:fldChar w:fldCharType="separate"/>
            </w:r>
            <w:r>
              <w:rPr>
                <w:noProof/>
                <w:webHidden/>
              </w:rPr>
              <w:t>4</w:t>
            </w:r>
            <w:r>
              <w:rPr>
                <w:noProof/>
                <w:webHidden/>
              </w:rPr>
              <w:fldChar w:fldCharType="end"/>
            </w:r>
          </w:hyperlink>
        </w:p>
        <w:p w:rsidR="00E109E1" w:rsidRDefault="00E109E1">
          <w:pPr>
            <w:pStyle w:val="TOC2"/>
            <w:rPr>
              <w:rFonts w:asciiTheme="minorHAnsi" w:eastAsiaTheme="minorEastAsia" w:hAnsiTheme="minorHAnsi" w:cstheme="minorBidi"/>
              <w:b w:val="0"/>
              <w:noProof/>
              <w:sz w:val="22"/>
              <w:szCs w:val="22"/>
              <w:lang w:eastAsia="en-AU"/>
            </w:rPr>
          </w:pPr>
          <w:hyperlink w:anchor="_Toc515620657" w:history="1">
            <w:r w:rsidRPr="00871D45">
              <w:rPr>
                <w:rStyle w:val="Hyperlink"/>
                <w:noProof/>
              </w:rPr>
              <w:t>Factors to be considered by the Delegate</w:t>
            </w:r>
            <w:r>
              <w:rPr>
                <w:noProof/>
                <w:webHidden/>
              </w:rPr>
              <w:tab/>
            </w:r>
            <w:r>
              <w:rPr>
                <w:noProof/>
                <w:webHidden/>
              </w:rPr>
              <w:fldChar w:fldCharType="begin"/>
            </w:r>
            <w:r>
              <w:rPr>
                <w:noProof/>
                <w:webHidden/>
              </w:rPr>
              <w:instrText xml:space="preserve"> PAGEREF _Toc515620657 \h </w:instrText>
            </w:r>
            <w:r>
              <w:rPr>
                <w:noProof/>
                <w:webHidden/>
              </w:rPr>
            </w:r>
            <w:r>
              <w:rPr>
                <w:noProof/>
                <w:webHidden/>
              </w:rPr>
              <w:fldChar w:fldCharType="separate"/>
            </w:r>
            <w:r>
              <w:rPr>
                <w:noProof/>
                <w:webHidden/>
              </w:rPr>
              <w:t>4</w:t>
            </w:r>
            <w:r>
              <w:rPr>
                <w:noProof/>
                <w:webHidden/>
              </w:rPr>
              <w:fldChar w:fldCharType="end"/>
            </w:r>
          </w:hyperlink>
        </w:p>
        <w:p w:rsidR="00E109E1" w:rsidRDefault="00E109E1">
          <w:pPr>
            <w:pStyle w:val="TOC2"/>
            <w:rPr>
              <w:rFonts w:asciiTheme="minorHAnsi" w:eastAsiaTheme="minorEastAsia" w:hAnsiTheme="minorHAnsi" w:cstheme="minorBidi"/>
              <w:b w:val="0"/>
              <w:noProof/>
              <w:sz w:val="22"/>
              <w:szCs w:val="22"/>
              <w:lang w:eastAsia="en-AU"/>
            </w:rPr>
          </w:pPr>
          <w:hyperlink w:anchor="_Toc515620658" w:history="1">
            <w:r w:rsidRPr="00871D45">
              <w:rPr>
                <w:rStyle w:val="Hyperlink"/>
                <w:noProof/>
              </w:rPr>
              <w:t>The process</w:t>
            </w:r>
            <w:r>
              <w:rPr>
                <w:noProof/>
                <w:webHidden/>
              </w:rPr>
              <w:tab/>
            </w:r>
            <w:r>
              <w:rPr>
                <w:noProof/>
                <w:webHidden/>
              </w:rPr>
              <w:fldChar w:fldCharType="begin"/>
            </w:r>
            <w:r>
              <w:rPr>
                <w:noProof/>
                <w:webHidden/>
              </w:rPr>
              <w:instrText xml:space="preserve"> PAGEREF _Toc515620658 \h </w:instrText>
            </w:r>
            <w:r>
              <w:rPr>
                <w:noProof/>
                <w:webHidden/>
              </w:rPr>
            </w:r>
            <w:r>
              <w:rPr>
                <w:noProof/>
                <w:webHidden/>
              </w:rPr>
              <w:fldChar w:fldCharType="separate"/>
            </w:r>
            <w:r>
              <w:rPr>
                <w:noProof/>
                <w:webHidden/>
              </w:rPr>
              <w:t>5</w:t>
            </w:r>
            <w:r>
              <w:rPr>
                <w:noProof/>
                <w:webHidden/>
              </w:rPr>
              <w:fldChar w:fldCharType="end"/>
            </w:r>
          </w:hyperlink>
        </w:p>
        <w:p w:rsidR="00E109E1" w:rsidRDefault="00E109E1">
          <w:pPr>
            <w:pStyle w:val="TOC2"/>
            <w:rPr>
              <w:rFonts w:asciiTheme="minorHAnsi" w:eastAsiaTheme="minorEastAsia" w:hAnsiTheme="minorHAnsi" w:cstheme="minorBidi"/>
              <w:b w:val="0"/>
              <w:noProof/>
              <w:sz w:val="22"/>
              <w:szCs w:val="22"/>
              <w:lang w:eastAsia="en-AU"/>
            </w:rPr>
          </w:pPr>
          <w:hyperlink w:anchor="_Toc515620659" w:history="1">
            <w:r w:rsidRPr="00871D45">
              <w:rPr>
                <w:rStyle w:val="Hyperlink"/>
                <w:noProof/>
              </w:rPr>
              <w:t>Mandatory requirements for product advertising</w:t>
            </w:r>
            <w:r>
              <w:rPr>
                <w:noProof/>
                <w:webHidden/>
              </w:rPr>
              <w:tab/>
            </w:r>
            <w:r>
              <w:rPr>
                <w:noProof/>
                <w:webHidden/>
              </w:rPr>
              <w:fldChar w:fldCharType="begin"/>
            </w:r>
            <w:r>
              <w:rPr>
                <w:noProof/>
                <w:webHidden/>
              </w:rPr>
              <w:instrText xml:space="preserve"> PAGEREF _Toc515620659 \h </w:instrText>
            </w:r>
            <w:r>
              <w:rPr>
                <w:noProof/>
                <w:webHidden/>
              </w:rPr>
            </w:r>
            <w:r>
              <w:rPr>
                <w:noProof/>
                <w:webHidden/>
              </w:rPr>
              <w:fldChar w:fldCharType="separate"/>
            </w:r>
            <w:r>
              <w:rPr>
                <w:noProof/>
                <w:webHidden/>
              </w:rPr>
              <w:t>5</w:t>
            </w:r>
            <w:r>
              <w:rPr>
                <w:noProof/>
                <w:webHidden/>
              </w:rPr>
              <w:fldChar w:fldCharType="end"/>
            </w:r>
          </w:hyperlink>
        </w:p>
        <w:p w:rsidR="00E109E1" w:rsidRDefault="00E109E1">
          <w:pPr>
            <w:pStyle w:val="TOC2"/>
            <w:rPr>
              <w:rFonts w:asciiTheme="minorHAnsi" w:eastAsiaTheme="minorEastAsia" w:hAnsiTheme="minorHAnsi" w:cstheme="minorBidi"/>
              <w:b w:val="0"/>
              <w:noProof/>
              <w:sz w:val="22"/>
              <w:szCs w:val="22"/>
              <w:lang w:eastAsia="en-AU"/>
            </w:rPr>
          </w:pPr>
          <w:hyperlink w:anchor="_Toc515620660" w:history="1">
            <w:r w:rsidRPr="00871D45">
              <w:rPr>
                <w:rStyle w:val="Hyperlink"/>
                <w:noProof/>
              </w:rPr>
              <w:t>Adverse events</w:t>
            </w:r>
            <w:bookmarkStart w:id="0" w:name="_GoBack"/>
            <w:bookmarkEnd w:id="0"/>
            <w:r>
              <w:rPr>
                <w:noProof/>
                <w:webHidden/>
              </w:rPr>
              <w:tab/>
            </w:r>
            <w:r>
              <w:rPr>
                <w:noProof/>
                <w:webHidden/>
              </w:rPr>
              <w:fldChar w:fldCharType="begin"/>
            </w:r>
            <w:r>
              <w:rPr>
                <w:noProof/>
                <w:webHidden/>
              </w:rPr>
              <w:instrText xml:space="preserve"> PAGEREF _Toc515620660 \h </w:instrText>
            </w:r>
            <w:r>
              <w:rPr>
                <w:noProof/>
                <w:webHidden/>
              </w:rPr>
            </w:r>
            <w:r>
              <w:rPr>
                <w:noProof/>
                <w:webHidden/>
              </w:rPr>
              <w:fldChar w:fldCharType="separate"/>
            </w:r>
            <w:r>
              <w:rPr>
                <w:noProof/>
                <w:webHidden/>
              </w:rPr>
              <w:t>6</w:t>
            </w:r>
            <w:r>
              <w:rPr>
                <w:noProof/>
                <w:webHidden/>
              </w:rPr>
              <w:fldChar w:fldCharType="end"/>
            </w:r>
          </w:hyperlink>
        </w:p>
        <w:p w:rsidR="00F401EF" w:rsidRPr="00215D48" w:rsidRDefault="00E109E1" w:rsidP="00F401EF">
          <w:r>
            <w:rPr>
              <w:rFonts w:ascii="Arial" w:hAnsi="Arial"/>
              <w:b/>
              <w:sz w:val="32"/>
            </w:rPr>
            <w:fldChar w:fldCharType="end"/>
          </w:r>
        </w:p>
      </w:sdtContent>
    </w:sdt>
    <w:p w:rsidR="00342CC8" w:rsidRPr="005F123F" w:rsidRDefault="00342CC8" w:rsidP="00626F89">
      <w:pPr>
        <w:pStyle w:val="Heading2"/>
        <w:pageBreakBefore/>
        <w:rPr>
          <w:lang w:eastAsia="en-AU"/>
        </w:rPr>
      </w:pPr>
      <w:bookmarkStart w:id="1" w:name="_Toc515620654"/>
      <w:r w:rsidRPr="005F123F">
        <w:rPr>
          <w:lang w:eastAsia="en-AU"/>
        </w:rPr>
        <w:lastRenderedPageBreak/>
        <w:t>Background</w:t>
      </w:r>
      <w:bookmarkEnd w:id="1"/>
    </w:p>
    <w:p w:rsidR="00342CC8" w:rsidRPr="00342CC8" w:rsidRDefault="00342CC8" w:rsidP="00342CC8">
      <w:pPr>
        <w:spacing w:after="100" w:afterAutospacing="1" w:line="271" w:lineRule="auto"/>
        <w:rPr>
          <w:rFonts w:asciiTheme="minorHAnsi" w:eastAsia="Times New Roman" w:hAnsiTheme="minorHAnsi"/>
          <w:color w:val="000000"/>
          <w:lang w:eastAsia="en-AU"/>
        </w:rPr>
      </w:pPr>
      <w:r w:rsidRPr="00342CC8">
        <w:rPr>
          <w:rFonts w:asciiTheme="minorHAnsi" w:eastAsia="Times New Roman" w:hAnsiTheme="minorHAnsi"/>
          <w:color w:val="000000"/>
          <w:lang w:eastAsia="en-AU"/>
        </w:rPr>
        <w:t xml:space="preserve">As documented in the recently revised </w:t>
      </w:r>
      <w:hyperlink r:id="rId16" w:history="1">
        <w:r w:rsidRPr="00964E5F">
          <w:rPr>
            <w:rStyle w:val="Hyperlink"/>
            <w:rFonts w:asciiTheme="minorHAnsi" w:eastAsia="Times New Roman" w:hAnsiTheme="minorHAnsi"/>
            <w:lang w:eastAsia="en-AU"/>
          </w:rPr>
          <w:t>Sch</w:t>
        </w:r>
        <w:r w:rsidR="005D0636" w:rsidRPr="00964E5F">
          <w:rPr>
            <w:rStyle w:val="Hyperlink"/>
            <w:rFonts w:asciiTheme="minorHAnsi" w:eastAsia="Times New Roman" w:hAnsiTheme="minorHAnsi"/>
            <w:lang w:eastAsia="en-AU"/>
          </w:rPr>
          <w:t>eduling Policy Framework</w:t>
        </w:r>
      </w:hyperlink>
      <w:r w:rsidR="005D0636">
        <w:rPr>
          <w:rFonts w:asciiTheme="minorHAnsi" w:eastAsia="Times New Roman" w:hAnsiTheme="minorHAnsi"/>
          <w:color w:val="000000"/>
          <w:lang w:eastAsia="en-AU"/>
        </w:rPr>
        <w:t xml:space="preserve"> (SPF) (</w:t>
      </w:r>
      <w:r w:rsidRPr="00964E5F">
        <w:rPr>
          <w:rFonts w:asciiTheme="minorHAnsi" w:eastAsia="Times New Roman" w:hAnsiTheme="minorHAnsi"/>
          <w:lang w:eastAsia="en-AU"/>
        </w:rPr>
        <w:t>www.tga.gov.au/scheduling-news</w:t>
      </w:r>
      <w:r w:rsidR="005D0636">
        <w:rPr>
          <w:rFonts w:asciiTheme="minorHAnsi" w:eastAsia="Times New Roman" w:hAnsiTheme="minorHAnsi"/>
          <w:color w:val="000000"/>
          <w:lang w:eastAsia="en-AU"/>
        </w:rPr>
        <w:t xml:space="preserve">) </w:t>
      </w:r>
      <w:r w:rsidRPr="00342CC8">
        <w:rPr>
          <w:rFonts w:asciiTheme="minorHAnsi" w:eastAsia="Times New Roman" w:hAnsiTheme="minorHAnsi"/>
          <w:color w:val="000000"/>
          <w:lang w:eastAsia="en-AU"/>
        </w:rPr>
        <w:t xml:space="preserve">medicines containing substances from Schedule 3 of the </w:t>
      </w:r>
      <w:r w:rsidRPr="00342CC8">
        <w:rPr>
          <w:rFonts w:asciiTheme="minorHAnsi" w:hAnsiTheme="minorHAnsi"/>
          <w:lang w:val="en"/>
        </w:rPr>
        <w:t>Standard for the Uniform Scheduling of Medicines and Poisons (SUSMP or</w:t>
      </w:r>
      <w:r w:rsidRPr="00342CC8">
        <w:rPr>
          <w:rFonts w:asciiTheme="minorHAnsi" w:eastAsia="Times New Roman" w:hAnsiTheme="minorHAnsi"/>
          <w:color w:val="000000"/>
          <w:lang w:eastAsia="en-AU"/>
        </w:rPr>
        <w:t xml:space="preserve"> Poisons Standard) will now be permitted to be advertised unless it is determined that advertising is not appropriate for a particular substance. Substances will be considered on a case-by-case basis and included in Appendix H following a decision by a Delegate of the Secretary</w:t>
      </w:r>
      <w:r w:rsidR="005D0636">
        <w:rPr>
          <w:rFonts w:asciiTheme="minorHAnsi" w:eastAsia="Times New Roman" w:hAnsiTheme="minorHAnsi"/>
          <w:color w:val="000000"/>
          <w:lang w:eastAsia="en-AU"/>
        </w:rPr>
        <w:t xml:space="preserve"> of the Department of Health</w:t>
      </w:r>
      <w:r w:rsidR="00626F89">
        <w:rPr>
          <w:rFonts w:asciiTheme="minorHAnsi" w:eastAsia="Times New Roman" w:hAnsiTheme="minorHAnsi"/>
          <w:color w:val="000000"/>
          <w:lang w:eastAsia="en-AU"/>
        </w:rPr>
        <w:t xml:space="preserve"> (the Delegate).</w:t>
      </w:r>
    </w:p>
    <w:p w:rsidR="00342CC8" w:rsidRPr="00342CC8" w:rsidRDefault="00342CC8" w:rsidP="00342CC8">
      <w:pPr>
        <w:spacing w:after="100" w:afterAutospacing="1" w:line="271" w:lineRule="auto"/>
        <w:rPr>
          <w:rFonts w:asciiTheme="minorHAnsi" w:eastAsia="Times New Roman" w:hAnsiTheme="minorHAnsi"/>
          <w:color w:val="000000"/>
          <w:lang w:eastAsia="en-AU"/>
        </w:rPr>
      </w:pPr>
      <w:r w:rsidRPr="00342CC8">
        <w:rPr>
          <w:rFonts w:asciiTheme="minorHAnsi" w:eastAsia="Times New Roman" w:hAnsiTheme="minorHAnsi"/>
          <w:color w:val="000000"/>
          <w:lang w:eastAsia="en-AU"/>
        </w:rPr>
        <w:t>A person must not include in any advertisements, except those in genuine professional or trade journals to healthcare professionals or the wholesale therapeutic goods trade, any reference to a substance included in Schedule 3 of the Poisons Standard, unless the substance is also listed in Appendix H of the Poisons Standard (see Paragraph 3.1 Part 3 Poisons Standard) and Part 2 of the Therapeutic Goods Regulations 1990 (the Regulations).</w:t>
      </w:r>
    </w:p>
    <w:p w:rsidR="00342CC8" w:rsidRDefault="00342CC8" w:rsidP="00342CC8">
      <w:pPr>
        <w:spacing w:after="100" w:afterAutospacing="1" w:line="271" w:lineRule="auto"/>
        <w:rPr>
          <w:rFonts w:asciiTheme="minorHAnsi" w:eastAsia="Times New Roman" w:hAnsiTheme="minorHAnsi"/>
          <w:color w:val="000000"/>
          <w:lang w:eastAsia="en-AU"/>
        </w:rPr>
      </w:pPr>
      <w:r w:rsidRPr="00342CC8">
        <w:rPr>
          <w:rFonts w:asciiTheme="minorHAnsi" w:eastAsia="Times New Roman" w:hAnsiTheme="minorHAnsi"/>
          <w:color w:val="000000"/>
          <w:lang w:eastAsia="en-AU"/>
        </w:rPr>
        <w:t xml:space="preserve">Advertisements for Schedule 3 substances are required to comply with other relevant provisions of the Therapeutic Goods Advertising Code (the Code), the </w:t>
      </w:r>
      <w:r w:rsidRPr="00342CC8">
        <w:rPr>
          <w:rFonts w:asciiTheme="minorHAnsi" w:eastAsia="Times New Roman" w:hAnsiTheme="minorHAnsi"/>
          <w:i/>
          <w:color w:val="000000"/>
          <w:lang w:eastAsia="en-AU"/>
        </w:rPr>
        <w:t>Therapeutic Goods Act 1989</w:t>
      </w:r>
      <w:r w:rsidRPr="00342CC8">
        <w:rPr>
          <w:rFonts w:asciiTheme="minorHAnsi" w:eastAsia="Times New Roman" w:hAnsiTheme="minorHAnsi"/>
          <w:color w:val="000000"/>
          <w:lang w:eastAsia="en-AU"/>
        </w:rPr>
        <w:t xml:space="preserve"> and the Regulations.</w:t>
      </w:r>
    </w:p>
    <w:p w:rsidR="00342CC8" w:rsidRPr="00A1069E" w:rsidRDefault="00342CC8" w:rsidP="00626F89">
      <w:pPr>
        <w:pStyle w:val="Heading2"/>
      </w:pPr>
      <w:bookmarkStart w:id="2" w:name="_Toc515620655"/>
      <w:r w:rsidRPr="00952241">
        <w:t>Purpo</w:t>
      </w:r>
      <w:r w:rsidRPr="00A1069E">
        <w:t>se</w:t>
      </w:r>
      <w:bookmarkEnd w:id="2"/>
    </w:p>
    <w:p w:rsidR="00342CC8" w:rsidRPr="00342CC8" w:rsidRDefault="00342CC8" w:rsidP="00342CC8">
      <w:pPr>
        <w:spacing w:after="100" w:afterAutospacing="1" w:line="271" w:lineRule="auto"/>
        <w:rPr>
          <w:rFonts w:asciiTheme="minorHAnsi" w:eastAsia="Times New Roman" w:hAnsiTheme="minorHAnsi"/>
          <w:color w:val="000000"/>
          <w:lang w:eastAsia="en-AU"/>
        </w:rPr>
      </w:pPr>
      <w:r w:rsidRPr="00342CC8">
        <w:rPr>
          <w:rFonts w:asciiTheme="minorHAnsi" w:eastAsia="Times New Roman" w:hAnsiTheme="minorHAnsi"/>
          <w:color w:val="000000"/>
          <w:lang w:eastAsia="en-AU"/>
        </w:rPr>
        <w:t>The purpose of this document is to:</w:t>
      </w:r>
    </w:p>
    <w:p w:rsidR="00342CC8" w:rsidRPr="00342CC8" w:rsidRDefault="00342CC8" w:rsidP="005D0636">
      <w:pPr>
        <w:pStyle w:val="Numberbullet0"/>
        <w:rPr>
          <w:lang w:eastAsia="en-AU"/>
        </w:rPr>
      </w:pPr>
      <w:r w:rsidRPr="00342CC8">
        <w:rPr>
          <w:lang w:eastAsia="en-AU"/>
        </w:rPr>
        <w:t>Provide guidance for the Delegate and stakeholders for determining if a Schedule 3 substance is not suitable for advertising;</w:t>
      </w:r>
    </w:p>
    <w:p w:rsidR="00342CC8" w:rsidRPr="00342CC8" w:rsidRDefault="00342CC8" w:rsidP="005D0636">
      <w:pPr>
        <w:pStyle w:val="Numberbullet0"/>
        <w:rPr>
          <w:lang w:eastAsia="en-AU"/>
        </w:rPr>
      </w:pPr>
      <w:r w:rsidRPr="00342CC8">
        <w:rPr>
          <w:lang w:eastAsia="en-AU"/>
        </w:rPr>
        <w:t>Provide additional guidance for parties advertising medicines containing Schedule 3 substances.</w:t>
      </w:r>
    </w:p>
    <w:p w:rsidR="00342CC8" w:rsidRPr="00A1069E" w:rsidRDefault="00342CC8" w:rsidP="00626F89">
      <w:pPr>
        <w:pStyle w:val="Heading2"/>
      </w:pPr>
      <w:bookmarkStart w:id="3" w:name="_Toc515620656"/>
      <w:r w:rsidRPr="00A1069E">
        <w:t>Role of the Delegate</w:t>
      </w:r>
      <w:bookmarkEnd w:id="3"/>
    </w:p>
    <w:p w:rsidR="00342CC8" w:rsidRPr="00342CC8" w:rsidRDefault="00342CC8" w:rsidP="00342CC8">
      <w:pPr>
        <w:spacing w:after="100" w:afterAutospacing="1" w:line="271" w:lineRule="auto"/>
        <w:rPr>
          <w:rFonts w:asciiTheme="minorHAnsi" w:eastAsia="Times New Roman" w:hAnsiTheme="minorHAnsi"/>
          <w:color w:val="000000"/>
          <w:lang w:eastAsia="en-AU"/>
        </w:rPr>
      </w:pPr>
      <w:r w:rsidRPr="00342CC8">
        <w:rPr>
          <w:rFonts w:asciiTheme="minorHAnsi" w:eastAsia="Times New Roman" w:hAnsiTheme="minorHAnsi"/>
          <w:color w:val="000000"/>
          <w:lang w:eastAsia="en-AU"/>
        </w:rPr>
        <w:t>Once a substance has been added to Schedule 3, in accordance with the SPF, the Delegate will consider if there is any compelling reason for the substance not to be advertised directly to consumers.</w:t>
      </w:r>
    </w:p>
    <w:p w:rsidR="00342CC8" w:rsidRPr="00342CC8" w:rsidRDefault="00342CC8" w:rsidP="00342CC8">
      <w:pPr>
        <w:spacing w:after="100" w:afterAutospacing="1" w:line="271" w:lineRule="auto"/>
        <w:rPr>
          <w:rFonts w:asciiTheme="minorHAnsi" w:eastAsia="Times New Roman" w:hAnsiTheme="minorHAnsi"/>
          <w:color w:val="000000"/>
          <w:lang w:eastAsia="en-AU"/>
        </w:rPr>
      </w:pPr>
      <w:r w:rsidRPr="00342CC8">
        <w:rPr>
          <w:rFonts w:asciiTheme="minorHAnsi" w:eastAsia="Times New Roman" w:hAnsiTheme="minorHAnsi"/>
          <w:color w:val="000000"/>
          <w:lang w:eastAsia="en-AU"/>
        </w:rPr>
        <w:t>If there is no overriding reason to prevent the substance from being advertised, it will be added to Appendix H of the Poisons Standard. Substances considered unacceptable for advertising will be listed on the Scheduling webpage.</w:t>
      </w:r>
    </w:p>
    <w:p w:rsidR="00342CC8" w:rsidRPr="00342CC8" w:rsidRDefault="00342CC8" w:rsidP="00342CC8">
      <w:pPr>
        <w:spacing w:after="100" w:afterAutospacing="1" w:line="271" w:lineRule="auto"/>
        <w:rPr>
          <w:rFonts w:asciiTheme="minorHAnsi" w:eastAsia="Times New Roman" w:hAnsiTheme="minorHAnsi"/>
          <w:color w:val="000000"/>
          <w:lang w:eastAsia="en-AU"/>
        </w:rPr>
      </w:pPr>
      <w:r w:rsidRPr="00342CC8">
        <w:rPr>
          <w:rFonts w:asciiTheme="minorHAnsi" w:eastAsia="Times New Roman" w:hAnsiTheme="minorHAnsi"/>
          <w:color w:val="000000"/>
          <w:lang w:eastAsia="en-AU"/>
        </w:rPr>
        <w:t>The Delegate may also consider an application to reconsider a substance that is in Schedule 3 but has not been included in Appendix H.</w:t>
      </w:r>
    </w:p>
    <w:p w:rsidR="00342CC8" w:rsidRPr="00342CC8" w:rsidRDefault="00342CC8" w:rsidP="00626F89">
      <w:pPr>
        <w:pStyle w:val="Heading2"/>
      </w:pPr>
      <w:bookmarkStart w:id="4" w:name="_Toc515620657"/>
      <w:r w:rsidRPr="00342CC8">
        <w:t>Factors to be considered by the Delegate</w:t>
      </w:r>
      <w:bookmarkEnd w:id="4"/>
    </w:p>
    <w:p w:rsidR="00342CC8" w:rsidRPr="00342CC8" w:rsidRDefault="00342CC8" w:rsidP="005D0636">
      <w:pPr>
        <w:spacing w:after="100" w:afterAutospacing="1" w:line="271" w:lineRule="auto"/>
      </w:pPr>
      <w:r w:rsidRPr="00342CC8">
        <w:t xml:space="preserve">When deciding if there is a reason for not permitting a substance to be advertised, the Delegate will consider the </w:t>
      </w:r>
      <w:r w:rsidRPr="00342CC8">
        <w:rPr>
          <w:lang w:val="en-US"/>
        </w:rPr>
        <w:t>potential impact on public health</w:t>
      </w:r>
      <w:r w:rsidR="005D0636">
        <w:rPr>
          <w:lang w:val="en-US"/>
        </w:rPr>
        <w:t xml:space="preserve"> as follows:</w:t>
      </w:r>
    </w:p>
    <w:p w:rsidR="00342CC8" w:rsidRPr="00342CC8" w:rsidRDefault="00342CC8" w:rsidP="005D0636">
      <w:pPr>
        <w:pStyle w:val="Numberbullet2"/>
        <w:spacing w:after="100" w:afterAutospacing="1" w:line="271" w:lineRule="auto"/>
      </w:pPr>
      <w:r w:rsidRPr="00342CC8">
        <w:rPr>
          <w:lang w:val="en-US"/>
        </w:rPr>
        <w:lastRenderedPageBreak/>
        <w:t>Is there potential for inappropriate use, abuse, diversion that may be exacerbated by advertising?</w:t>
      </w:r>
    </w:p>
    <w:p w:rsidR="00342CC8" w:rsidRPr="00342CC8" w:rsidRDefault="00342CC8" w:rsidP="005D0636">
      <w:pPr>
        <w:pStyle w:val="Numberbullet2"/>
        <w:spacing w:after="100" w:afterAutospacing="1" w:line="271" w:lineRule="auto"/>
      </w:pPr>
      <w:r w:rsidRPr="00342CC8">
        <w:rPr>
          <w:lang w:val="en-US"/>
        </w:rPr>
        <w:t>Are there potential interactions with the substance (drug-drug, drug-food) that require increased patient education to ensure safe use?</w:t>
      </w:r>
    </w:p>
    <w:p w:rsidR="00342CC8" w:rsidRPr="00342CC8" w:rsidRDefault="00342CC8" w:rsidP="005D0636">
      <w:pPr>
        <w:pStyle w:val="Numberbullet2"/>
        <w:spacing w:after="100" w:afterAutospacing="1" w:line="271" w:lineRule="auto"/>
      </w:pPr>
      <w:r w:rsidRPr="00342CC8">
        <w:rPr>
          <w:lang w:val="en-US"/>
        </w:rPr>
        <w:t>Are there additional risks associated with the dosage form that may impact on safe use?</w:t>
      </w:r>
    </w:p>
    <w:p w:rsidR="00342CC8" w:rsidRPr="00342CC8" w:rsidRDefault="00342CC8" w:rsidP="005D0636">
      <w:pPr>
        <w:pStyle w:val="Numberbullet2"/>
        <w:spacing w:after="100" w:afterAutospacing="1" w:line="271" w:lineRule="auto"/>
      </w:pPr>
      <w:r w:rsidRPr="00342CC8">
        <w:rPr>
          <w:lang w:val="en-US"/>
        </w:rPr>
        <w:t>Any other information that may be relevant, for example the substance has sedating properties, or there are safer alternatives available.</w:t>
      </w:r>
    </w:p>
    <w:p w:rsidR="00342CC8" w:rsidRPr="00342CC8" w:rsidRDefault="00342CC8" w:rsidP="005D0636">
      <w:pPr>
        <w:spacing w:after="100" w:afterAutospacing="1" w:line="271" w:lineRule="auto"/>
      </w:pPr>
      <w:r w:rsidRPr="00342CC8">
        <w:t>On balance, if the potential impact on public health is determined to be adverse were advertising to the public to be allowed, the Delegate may choose to not add a substance to Appendix H. The factors listed from a-d (above) are intended as a guide to assist in determining the potential public health impact, and may not be relevant in all cases. Conversely, additional factors might be relevant in specific cases.</w:t>
      </w:r>
    </w:p>
    <w:p w:rsidR="00342CC8" w:rsidRPr="00952241" w:rsidRDefault="00342CC8" w:rsidP="00626F89">
      <w:pPr>
        <w:pStyle w:val="Heading2"/>
      </w:pPr>
      <w:bookmarkStart w:id="5" w:name="_Toc515620658"/>
      <w:r w:rsidRPr="00952241">
        <w:t>The process</w:t>
      </w:r>
      <w:bookmarkEnd w:id="5"/>
    </w:p>
    <w:p w:rsidR="00342CC8" w:rsidRPr="00342CC8" w:rsidRDefault="00342CC8" w:rsidP="00A1069E">
      <w:pPr>
        <w:spacing w:after="0" w:line="271" w:lineRule="auto"/>
      </w:pPr>
      <w:r w:rsidRPr="00342CC8">
        <w:t xml:space="preserve">For substances being considered by the Delegate for inclusion in Schedule 3, their suitability for inclusion in Appendix H will be considered concurrently. There will be no specific application or criteria to be addressed. During the public consultation phase of the scheduling process stakeholders will be asked to provide comment on the potential inclusion </w:t>
      </w:r>
      <w:r w:rsidR="00626F89">
        <w:t>of the substance in Appendix H.</w:t>
      </w:r>
    </w:p>
    <w:p w:rsidR="00342CC8" w:rsidRPr="00342CC8" w:rsidRDefault="00342CC8" w:rsidP="00A1069E">
      <w:pPr>
        <w:spacing w:after="0" w:line="271" w:lineRule="auto"/>
      </w:pPr>
      <w:r w:rsidRPr="00342CC8">
        <w:t>The need to seek advice from the Advisory Committee for Medicines Scheduling regarding inclusion in Appendix H will be a</w:t>
      </w:r>
      <w:r w:rsidR="00626F89">
        <w:t>t the Delegate’s discretion.</w:t>
      </w:r>
    </w:p>
    <w:p w:rsidR="00342CC8" w:rsidRPr="00342CC8" w:rsidRDefault="00342CC8" w:rsidP="00A1069E">
      <w:pPr>
        <w:spacing w:after="0" w:line="271" w:lineRule="auto"/>
      </w:pPr>
      <w:r w:rsidRPr="00342CC8">
        <w:t>Where a substance has been determined to be unsuitable for advertising, interested parties may make a submission to the Delegate to reconsider the substance addressing the reasons given for not adding the substance to Appendix</w:t>
      </w:r>
      <w:r w:rsidR="00626F89">
        <w:t xml:space="preserve"> H.</w:t>
      </w:r>
    </w:p>
    <w:p w:rsidR="00342CC8" w:rsidRPr="00342CC8" w:rsidRDefault="00342CC8" w:rsidP="00626F89">
      <w:pPr>
        <w:pStyle w:val="Heading2"/>
      </w:pPr>
      <w:bookmarkStart w:id="6" w:name="_Toc515620659"/>
      <w:r w:rsidRPr="00342CC8">
        <w:t>Mandatory requirements for product advertising</w:t>
      </w:r>
      <w:bookmarkEnd w:id="6"/>
    </w:p>
    <w:p w:rsidR="00342CC8" w:rsidRPr="00342CC8" w:rsidRDefault="00342CC8" w:rsidP="005D0636">
      <w:pPr>
        <w:spacing w:after="0" w:line="271" w:lineRule="auto"/>
      </w:pPr>
      <w:r w:rsidRPr="00342CC8">
        <w:t>In accordance with the Code, advertisements for products containing Schedule 3 substances must include the following statement:</w:t>
      </w:r>
    </w:p>
    <w:p w:rsidR="00342CC8" w:rsidRPr="00342CC8" w:rsidRDefault="00342CC8" w:rsidP="005D0636">
      <w:pPr>
        <w:spacing w:after="0" w:line="271" w:lineRule="auto"/>
      </w:pPr>
      <w:r w:rsidRPr="00342CC8">
        <w:t xml:space="preserve"> “</w:t>
      </w:r>
      <w:r w:rsidRPr="00342CC8">
        <w:rPr>
          <w:b/>
          <w:i/>
        </w:rPr>
        <w:t>Ask your pharmacist, they must decide if this product is right for you</w:t>
      </w:r>
      <w:r w:rsidRPr="00342CC8">
        <w:t>”</w:t>
      </w:r>
      <w:r w:rsidRPr="00342CC8">
        <w:rPr>
          <w:vertAlign w:val="superscript"/>
        </w:rPr>
        <w:footnoteReference w:id="1"/>
      </w:r>
      <w:r w:rsidR="00626F89">
        <w:t>.</w:t>
      </w:r>
    </w:p>
    <w:p w:rsidR="00342CC8" w:rsidRPr="00342CC8" w:rsidRDefault="00342CC8" w:rsidP="005D0636">
      <w:pPr>
        <w:spacing w:after="0" w:line="271" w:lineRule="auto"/>
      </w:pPr>
      <w:r w:rsidRPr="00342CC8">
        <w:t>There may be other mandatory requirements for advertisements of Schedule 3 products specified in the Code, for example analgesics, that stakeholders must comply with.</w:t>
      </w:r>
    </w:p>
    <w:p w:rsidR="00342CC8" w:rsidRPr="00342CC8" w:rsidRDefault="00342CC8" w:rsidP="005D0636">
      <w:pPr>
        <w:spacing w:after="0" w:line="271" w:lineRule="auto"/>
      </w:pPr>
      <w:r w:rsidRPr="00342CC8">
        <w:t xml:space="preserve">Schedule 3 substances may also be captured by the restricted representations of the Code, and stakeholders must comply with these requirements when </w:t>
      </w:r>
      <w:r w:rsidR="00626F89">
        <w:t>preparing their advertisements.</w:t>
      </w:r>
    </w:p>
    <w:p w:rsidR="00342CC8" w:rsidRPr="00342CC8" w:rsidRDefault="00342CC8" w:rsidP="00626F89">
      <w:pPr>
        <w:pStyle w:val="Heading2"/>
      </w:pPr>
      <w:bookmarkStart w:id="7" w:name="_Toc515620660"/>
      <w:r w:rsidRPr="00342CC8">
        <w:lastRenderedPageBreak/>
        <w:t>Adverse events</w:t>
      </w:r>
      <w:bookmarkEnd w:id="7"/>
    </w:p>
    <w:p w:rsidR="00342CC8" w:rsidRPr="00342CC8" w:rsidRDefault="00342CC8" w:rsidP="005D0636">
      <w:pPr>
        <w:spacing w:after="100" w:afterAutospacing="1" w:line="271" w:lineRule="auto"/>
      </w:pPr>
      <w:r w:rsidRPr="00342CC8">
        <w:t>The inclusion of detailed adverse event information in advertisements for medicines containing Schedule 3 substances is not mandatory. However, for stakeholders who wish to include side effects in their advertisements, the following is recommended:</w:t>
      </w:r>
    </w:p>
    <w:p w:rsidR="00342CC8" w:rsidRPr="005D0636" w:rsidRDefault="00342CC8" w:rsidP="005D0636">
      <w:pPr>
        <w:pStyle w:val="Numberbullet0"/>
        <w:numPr>
          <w:ilvl w:val="0"/>
          <w:numId w:val="21"/>
        </w:numPr>
      </w:pPr>
      <w:r w:rsidRPr="005D0636">
        <w:t>Inclusion of adverse events in an advertisement should not obscure the key take out message(s). For advertisements for medicines containing Schedule 3 substances, the key take out message is the emphasis on the role of the pharmacist.</w:t>
      </w:r>
    </w:p>
    <w:p w:rsidR="00342CC8" w:rsidRPr="00342CC8" w:rsidRDefault="00342CC8" w:rsidP="005D0636">
      <w:pPr>
        <w:pStyle w:val="Numberbullet0"/>
      </w:pPr>
      <w:r w:rsidRPr="005D0636">
        <w:t>Any presentation of adverse events should be clear and easily understood. This means that the font should be easily read and understood, or audio delivery can be clearly heard and understood</w:t>
      </w:r>
      <w:r w:rsidR="00A1069E">
        <w:t>.</w:t>
      </w:r>
    </w:p>
    <w:p w:rsidR="002B25CB" w:rsidRPr="00215D48" w:rsidRDefault="002B25CB" w:rsidP="002B25CB">
      <w:pPr>
        <w:pStyle w:val="Tabledescription"/>
      </w:pPr>
    </w:p>
    <w:p w:rsidR="00F401EF" w:rsidRPr="00215D48" w:rsidRDefault="00F401EF" w:rsidP="00706634">
      <w:pPr>
        <w:spacing w:before="0" w:after="0" w:line="240" w:lineRule="auto"/>
        <w:rPr>
          <w:sz w:val="20"/>
        </w:rPr>
        <w:sectPr w:rsidR="00F401EF" w:rsidRPr="00215D48" w:rsidSect="0029069E">
          <w:headerReference w:type="default" r:id="rId17"/>
          <w:footerReference w:type="default" r:id="rId1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03 1605&#10;https://www.tga.gov.auReference/Publication #&#10;"/>
      </w:tblPr>
      <w:tblGrid>
        <w:gridCol w:w="9145"/>
      </w:tblGrid>
      <w:tr w:rsidR="00C50E5C" w:rsidRPr="00215D48" w:rsidTr="00626F89">
        <w:trPr>
          <w:trHeight w:hRule="exact" w:val="565"/>
          <w:jc w:val="center"/>
        </w:trPr>
        <w:tc>
          <w:tcPr>
            <w:tcW w:w="9145" w:type="dxa"/>
          </w:tcPr>
          <w:p w:rsidR="00C50E5C" w:rsidRPr="00215D48" w:rsidRDefault="00C50E5C" w:rsidP="00564BBE">
            <w:pPr>
              <w:pStyle w:val="TGASignoff"/>
            </w:pPr>
            <w:r w:rsidRPr="00215D48">
              <w:lastRenderedPageBreak/>
              <w:t>Therapeutic Goods Administration</w:t>
            </w:r>
          </w:p>
        </w:tc>
      </w:tr>
      <w:tr w:rsidR="00C50E5C" w:rsidRPr="00215D48" w:rsidTr="00626F89">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19" w:history="1">
              <w:r w:rsidR="00964E5F" w:rsidRPr="000E1C2C">
                <w:rPr>
                  <w:rStyle w:val="Hyperlink"/>
                </w:rPr>
                <w:t>info@tga.gov.au</w:t>
              </w:r>
            </w:hyperlink>
            <w:r w:rsidRPr="00215D48">
              <w:t xml:space="preserve">  Phone: 1800 020 653  Fax: </w:t>
            </w:r>
            <w:r w:rsidR="001A3190" w:rsidRPr="00BA0DFC">
              <w:t>02 6203 1605</w:t>
            </w:r>
          </w:p>
          <w:p w:rsidR="00C50E5C" w:rsidRPr="00215D48" w:rsidRDefault="00E109E1">
            <w:pPr>
              <w:pStyle w:val="Address"/>
              <w:jc w:val="center"/>
              <w:rPr>
                <w:rStyle w:val="Hyperlink"/>
                <w:b/>
                <w:color w:val="auto"/>
                <w:sz w:val="22"/>
                <w:u w:val="none"/>
              </w:rPr>
            </w:pPr>
            <w:hyperlink r:id="rId20" w:history="1">
              <w:r w:rsidR="00215D48" w:rsidRPr="00C4721A">
                <w:rPr>
                  <w:rStyle w:val="Hyperlink"/>
                  <w:b/>
                </w:rPr>
                <w:t>https://www.tga.gov.au</w:t>
              </w:r>
            </w:hyperlink>
          </w:p>
        </w:tc>
      </w:tr>
      <w:tr w:rsidR="00C50E5C" w:rsidRPr="00215D48" w:rsidTr="00626F89">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p>
        </w:tc>
      </w:tr>
    </w:tbl>
    <w:p w:rsidR="00706634" w:rsidRPr="00215D48" w:rsidRDefault="00706634" w:rsidP="004A3084">
      <w:pPr>
        <w:rPr>
          <w:sz w:val="20"/>
        </w:rPr>
      </w:pPr>
    </w:p>
    <w:sectPr w:rsidR="00706634" w:rsidRPr="00215D48" w:rsidSect="0029069E">
      <w:headerReference w:type="first" r:id="rId21"/>
      <w:footerReference w:type="first" r:id="rId2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46" w:rsidRDefault="00A51546" w:rsidP="00C40A36">
      <w:pPr>
        <w:spacing w:after="0"/>
      </w:pPr>
      <w:r>
        <w:separator/>
      </w:r>
    </w:p>
  </w:endnote>
  <w:endnote w:type="continuationSeparator" w:id="0">
    <w:p w:rsidR="00A51546" w:rsidRDefault="00A5154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F89" w:rsidRDefault="00626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quot;&quot;"/>
    </w:tblPr>
    <w:tblGrid>
      <w:gridCol w:w="4360"/>
      <w:gridCol w:w="4360"/>
    </w:tblGrid>
    <w:tr w:rsidR="00A77452" w:rsidRPr="00257138" w:rsidTr="002C11EE">
      <w:trPr>
        <w:trHeight w:val="423"/>
        <w:tblHeader/>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487A26">
                <w:rPr>
                  <w:noProof/>
                </w:rPr>
                <w:t>2</w:t>
              </w:r>
              <w:r w:rsidR="003361D1">
                <w:rPr>
                  <w:noProof/>
                </w:rPr>
                <w:fldChar w:fldCharType="end"/>
              </w:r>
              <w:r w:rsidRPr="00257138">
                <w:t xml:space="preserve"> of </w:t>
              </w:r>
              <w:r w:rsidR="00E109E1">
                <w:fldChar w:fldCharType="begin"/>
              </w:r>
              <w:r w:rsidR="00E109E1">
                <w:instrText xml:space="preserve"> NUMPAGES  </w:instrText>
              </w:r>
              <w:r w:rsidR="00E109E1">
                <w:fldChar w:fldCharType="separate"/>
              </w:r>
              <w:r w:rsidR="00487A26">
                <w:rPr>
                  <w:noProof/>
                </w:rPr>
                <w:t>9</w:t>
              </w:r>
              <w:r w:rsidR="00E109E1">
                <w:rPr>
                  <w:noProof/>
                </w:rPr>
                <w:fldChar w:fldCharType="end"/>
              </w:r>
            </w:p>
          </w:sdtContent>
        </w:sdt>
      </w:tc>
    </w:tr>
    <w:tr w:rsidR="00A77452" w:rsidRPr="00257138" w:rsidTr="002C11EE">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A77452" w:rsidP="00816164">
    <w:pPr>
      <w:pStyle w:val="Footer"/>
      <w:ind w:left="-1701"/>
    </w:pPr>
    <w:r w:rsidRPr="002B29B2">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Description w:val="Guidelines for advertisements for medicines containing Schedule 3 substances&#10;&#10;"/>
    </w:tblPr>
    <w:tblGrid>
      <w:gridCol w:w="7338"/>
      <w:gridCol w:w="1382"/>
    </w:tblGrid>
    <w:tr w:rsidR="00A77452" w:rsidRPr="004A3084" w:rsidTr="002C11EE">
      <w:trPr>
        <w:trHeight w:val="423"/>
        <w:tblHeader/>
      </w:trPr>
      <w:tc>
        <w:tcPr>
          <w:tcW w:w="7338" w:type="dxa"/>
          <w:tcBorders>
            <w:top w:val="single" w:sz="4" w:space="0" w:color="auto"/>
          </w:tcBorders>
        </w:tcPr>
        <w:p w:rsidR="00A77452" w:rsidRPr="004A3084" w:rsidRDefault="008B22AF" w:rsidP="008B22AF">
          <w:pPr>
            <w:pStyle w:val="Footer"/>
          </w:pPr>
          <w:r>
            <w:t>Guidelines for advertisements for medicines containing Schedule 3 substances</w:t>
          </w:r>
          <w:r w:rsidR="00A77452">
            <w:br/>
            <w:t>V</w:t>
          </w:r>
          <w:r w:rsidR="004F1240">
            <w:t xml:space="preserve">1.0 </w:t>
          </w:r>
          <w:r>
            <w:t>May 2018</w:t>
          </w:r>
        </w:p>
      </w:tc>
      <w:tc>
        <w:tcPr>
          <w:tcW w:w="1382"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E109E1">
                <w:rPr>
                  <w:noProof/>
                </w:rPr>
                <w:t>3</w:t>
              </w:r>
              <w:r w:rsidR="003361D1">
                <w:rPr>
                  <w:noProof/>
                </w:rPr>
                <w:fldChar w:fldCharType="end"/>
              </w:r>
              <w:r w:rsidRPr="004A3084">
                <w:t xml:space="preserve"> of </w:t>
              </w:r>
              <w:r w:rsidR="00E109E1">
                <w:fldChar w:fldCharType="begin"/>
              </w:r>
              <w:r w:rsidR="00E109E1">
                <w:instrText xml:space="preserve"> NUMPAGES  </w:instrText>
              </w:r>
              <w:r w:rsidR="00E109E1">
                <w:fldChar w:fldCharType="separate"/>
              </w:r>
              <w:r w:rsidR="00E109E1">
                <w:rPr>
                  <w:noProof/>
                </w:rPr>
                <w:t>7</w:t>
              </w:r>
              <w:r w:rsidR="00E109E1">
                <w:rPr>
                  <w:noProof/>
                </w:rPr>
                <w:fldChar w:fldCharType="end"/>
              </w:r>
            </w:p>
          </w:sdtContent>
        </w:sdt>
      </w:tc>
    </w:tr>
  </w:tbl>
  <w:p w:rsidR="00A77452" w:rsidRPr="00826007" w:rsidRDefault="00A77452" w:rsidP="004A3084">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Pr="008E3C43" w:rsidRDefault="00A77452"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46" w:rsidRDefault="00A51546" w:rsidP="00C40A36">
      <w:pPr>
        <w:spacing w:after="0"/>
      </w:pPr>
      <w:r>
        <w:separator/>
      </w:r>
    </w:p>
  </w:footnote>
  <w:footnote w:type="continuationSeparator" w:id="0">
    <w:p w:rsidR="00A51546" w:rsidRDefault="00A51546" w:rsidP="00C40A36">
      <w:pPr>
        <w:spacing w:after="0"/>
      </w:pPr>
      <w:r>
        <w:continuationSeparator/>
      </w:r>
    </w:p>
  </w:footnote>
  <w:footnote w:id="1">
    <w:p w:rsidR="00342CC8" w:rsidRPr="008C0295" w:rsidRDefault="00342CC8" w:rsidP="00342CC8">
      <w:pPr>
        <w:pStyle w:val="FootnoteText"/>
        <w:rPr>
          <w:lang w:val="en-US"/>
        </w:rPr>
      </w:pPr>
      <w:r>
        <w:rPr>
          <w:rStyle w:val="FootnoteReference"/>
        </w:rPr>
        <w:footnoteRef/>
      </w:r>
      <w:r>
        <w:t xml:space="preserve"> </w:t>
      </w:r>
      <w:r>
        <w:rPr>
          <w:lang w:val="en-US"/>
        </w:rPr>
        <w:t xml:space="preserve">This statement </w:t>
      </w:r>
      <w:r w:rsidR="008B22AF">
        <w:rPr>
          <w:lang w:val="en-US"/>
        </w:rPr>
        <w:t>was included in the recent</w:t>
      </w:r>
      <w:r>
        <w:rPr>
          <w:lang w:val="en-US"/>
        </w:rPr>
        <w:t xml:space="preserve"> consultation on the </w:t>
      </w:r>
      <w:r>
        <w:t xml:space="preserve">draft Therapeutic Goods Advertising Code 2018 </w:t>
      </w:r>
      <w:r w:rsidR="008B22AF">
        <w:t>which closed on 27 April 2018. The final approved wording may still change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F89" w:rsidRDefault="00626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E109E1"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quot;&quot;"/>
    </w:tblPr>
    <w:tblGrid>
      <w:gridCol w:w="11964"/>
    </w:tblGrid>
    <w:tr w:rsidR="00A77452" w:rsidRPr="002B29B2" w:rsidTr="002C11EE">
      <w:trPr>
        <w:trHeight w:hRule="exact" w:val="8845"/>
        <w:tblHeader/>
      </w:trPr>
      <w:tc>
        <w:tcPr>
          <w:tcW w:w="11964" w:type="dxa"/>
          <w:vAlign w:val="center"/>
        </w:tcPr>
        <w:p w:rsidR="00A77452" w:rsidRPr="002B29B2" w:rsidRDefault="00A77452" w:rsidP="00E73901">
          <w:pPr>
            <w:ind w:left="-57"/>
            <w:rPr>
              <w:noProof/>
            </w:rPr>
          </w:pPr>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16D9CE0A" wp14:editId="3CC20C68">
          <wp:simplePos x="0" y="0"/>
          <wp:positionH relativeFrom="column">
            <wp:posOffset>-186055</wp:posOffset>
          </wp:positionH>
          <wp:positionV relativeFrom="paragraph">
            <wp:posOffset>-58420</wp:posOffset>
          </wp:positionV>
          <wp:extent cx="3524250" cy="1209675"/>
          <wp:effectExtent l="0" t="0" r="0" b="9525"/>
          <wp:wrapTopAndBottom/>
          <wp:docPr id="4" name="Picture 1" descr="Australian Government, Department of Health, Therapeutic Goods Administrat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7B62C326" wp14:editId="16E5930D">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Default="00A77452" w:rsidP="00C3408D">
    <w:pPr>
      <w:pStyle w:val="Header"/>
    </w:pPr>
    <w:r w:rsidRPr="000F5176">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52" w:rsidRPr="00FE501F" w:rsidRDefault="00A77452" w:rsidP="007F2054">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3024753"/>
    <w:multiLevelType w:val="hybridMultilevel"/>
    <w:tmpl w:val="2ABA6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CEB6F0C"/>
    <w:multiLevelType w:val="hybridMultilevel"/>
    <w:tmpl w:val="43E63568"/>
    <w:lvl w:ilvl="0" w:tplc="43AED19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719C43A9"/>
    <w:multiLevelType w:val="hybridMultilevel"/>
    <w:tmpl w:val="35C05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7"/>
  </w:num>
  <w:num w:numId="19">
    <w:abstractNumId w:val="6"/>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C8"/>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B3A"/>
    <w:rsid w:val="002B1638"/>
    <w:rsid w:val="002B25CB"/>
    <w:rsid w:val="002B29B2"/>
    <w:rsid w:val="002C11EE"/>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42CC8"/>
    <w:rsid w:val="00350236"/>
    <w:rsid w:val="0035146C"/>
    <w:rsid w:val="003521E8"/>
    <w:rsid w:val="00357700"/>
    <w:rsid w:val="0036361E"/>
    <w:rsid w:val="003664BF"/>
    <w:rsid w:val="003728F3"/>
    <w:rsid w:val="00376793"/>
    <w:rsid w:val="003843F6"/>
    <w:rsid w:val="00390900"/>
    <w:rsid w:val="00393398"/>
    <w:rsid w:val="00394BF1"/>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5040C"/>
    <w:rsid w:val="004564A7"/>
    <w:rsid w:val="004617BF"/>
    <w:rsid w:val="00473864"/>
    <w:rsid w:val="00483D37"/>
    <w:rsid w:val="00487A26"/>
    <w:rsid w:val="004923FF"/>
    <w:rsid w:val="004927EC"/>
    <w:rsid w:val="00494CA4"/>
    <w:rsid w:val="00494E60"/>
    <w:rsid w:val="0049734C"/>
    <w:rsid w:val="004A3084"/>
    <w:rsid w:val="004B7B76"/>
    <w:rsid w:val="004C0070"/>
    <w:rsid w:val="004C100A"/>
    <w:rsid w:val="004C4096"/>
    <w:rsid w:val="004D51A6"/>
    <w:rsid w:val="004F0F38"/>
    <w:rsid w:val="004F1240"/>
    <w:rsid w:val="004F40D8"/>
    <w:rsid w:val="004F484B"/>
    <w:rsid w:val="00501921"/>
    <w:rsid w:val="00523FB1"/>
    <w:rsid w:val="00530354"/>
    <w:rsid w:val="00531DCC"/>
    <w:rsid w:val="00535D83"/>
    <w:rsid w:val="00541FD8"/>
    <w:rsid w:val="005423EF"/>
    <w:rsid w:val="005434C6"/>
    <w:rsid w:val="00543B39"/>
    <w:rsid w:val="00550096"/>
    <w:rsid w:val="00557FF9"/>
    <w:rsid w:val="00560037"/>
    <w:rsid w:val="00567A2E"/>
    <w:rsid w:val="00576378"/>
    <w:rsid w:val="00577E38"/>
    <w:rsid w:val="00584285"/>
    <w:rsid w:val="00585322"/>
    <w:rsid w:val="0059345B"/>
    <w:rsid w:val="00593AD1"/>
    <w:rsid w:val="005A1131"/>
    <w:rsid w:val="005C5570"/>
    <w:rsid w:val="005C5FD4"/>
    <w:rsid w:val="005C79A4"/>
    <w:rsid w:val="005D0636"/>
    <w:rsid w:val="005D1689"/>
    <w:rsid w:val="005D248B"/>
    <w:rsid w:val="005D5442"/>
    <w:rsid w:val="005D55A3"/>
    <w:rsid w:val="005F458A"/>
    <w:rsid w:val="005F5830"/>
    <w:rsid w:val="00610D73"/>
    <w:rsid w:val="00625015"/>
    <w:rsid w:val="00626F89"/>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3361"/>
    <w:rsid w:val="006E4E00"/>
    <w:rsid w:val="006F1604"/>
    <w:rsid w:val="006F46EA"/>
    <w:rsid w:val="006F572E"/>
    <w:rsid w:val="006F6284"/>
    <w:rsid w:val="006F652C"/>
    <w:rsid w:val="006F6C81"/>
    <w:rsid w:val="007046D6"/>
    <w:rsid w:val="00705DB0"/>
    <w:rsid w:val="00706634"/>
    <w:rsid w:val="00706AFE"/>
    <w:rsid w:val="00723BF8"/>
    <w:rsid w:val="00732FEE"/>
    <w:rsid w:val="0074253D"/>
    <w:rsid w:val="0074429B"/>
    <w:rsid w:val="007477F8"/>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36EB2"/>
    <w:rsid w:val="0085641B"/>
    <w:rsid w:val="00857136"/>
    <w:rsid w:val="00896018"/>
    <w:rsid w:val="008A2B9D"/>
    <w:rsid w:val="008A5E0B"/>
    <w:rsid w:val="008A6D59"/>
    <w:rsid w:val="008A7095"/>
    <w:rsid w:val="008B22AF"/>
    <w:rsid w:val="008B4B03"/>
    <w:rsid w:val="008B553E"/>
    <w:rsid w:val="008B596F"/>
    <w:rsid w:val="008C159F"/>
    <w:rsid w:val="008C1623"/>
    <w:rsid w:val="008C51A9"/>
    <w:rsid w:val="008C63C5"/>
    <w:rsid w:val="008C7541"/>
    <w:rsid w:val="008E3C43"/>
    <w:rsid w:val="008F1CCC"/>
    <w:rsid w:val="008F2967"/>
    <w:rsid w:val="008F6EF7"/>
    <w:rsid w:val="00920330"/>
    <w:rsid w:val="00920FF4"/>
    <w:rsid w:val="009219D7"/>
    <w:rsid w:val="00922D53"/>
    <w:rsid w:val="00923B70"/>
    <w:rsid w:val="0092600B"/>
    <w:rsid w:val="00930237"/>
    <w:rsid w:val="00932BBB"/>
    <w:rsid w:val="00952241"/>
    <w:rsid w:val="0096319D"/>
    <w:rsid w:val="00963C08"/>
    <w:rsid w:val="00964E5F"/>
    <w:rsid w:val="00964F68"/>
    <w:rsid w:val="009707B8"/>
    <w:rsid w:val="00974DBB"/>
    <w:rsid w:val="0099110E"/>
    <w:rsid w:val="009A4CED"/>
    <w:rsid w:val="009A5BC7"/>
    <w:rsid w:val="009B1D12"/>
    <w:rsid w:val="009B3475"/>
    <w:rsid w:val="009B416B"/>
    <w:rsid w:val="009B68A6"/>
    <w:rsid w:val="009C4BD5"/>
    <w:rsid w:val="009D059A"/>
    <w:rsid w:val="009D2E04"/>
    <w:rsid w:val="009D7B77"/>
    <w:rsid w:val="009E0BB0"/>
    <w:rsid w:val="009E3FBB"/>
    <w:rsid w:val="009F018D"/>
    <w:rsid w:val="009F0B33"/>
    <w:rsid w:val="00A1069E"/>
    <w:rsid w:val="00A1235B"/>
    <w:rsid w:val="00A14DF7"/>
    <w:rsid w:val="00A26E24"/>
    <w:rsid w:val="00A3246D"/>
    <w:rsid w:val="00A36FA7"/>
    <w:rsid w:val="00A4235C"/>
    <w:rsid w:val="00A475B7"/>
    <w:rsid w:val="00A47AF7"/>
    <w:rsid w:val="00A47C3E"/>
    <w:rsid w:val="00A50226"/>
    <w:rsid w:val="00A5154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A1124"/>
    <w:rsid w:val="00DA24C7"/>
    <w:rsid w:val="00DA381C"/>
    <w:rsid w:val="00DA4CD9"/>
    <w:rsid w:val="00DD75A3"/>
    <w:rsid w:val="00DD76DE"/>
    <w:rsid w:val="00DE02AE"/>
    <w:rsid w:val="00DE6A0C"/>
    <w:rsid w:val="00DE6C04"/>
    <w:rsid w:val="00DF1D7F"/>
    <w:rsid w:val="00DF45B9"/>
    <w:rsid w:val="00DF6BE8"/>
    <w:rsid w:val="00E02FB4"/>
    <w:rsid w:val="00E109E1"/>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73901"/>
    <w:rsid w:val="00EA16DE"/>
    <w:rsid w:val="00EA1F09"/>
    <w:rsid w:val="00EA406B"/>
    <w:rsid w:val="00EA7E1D"/>
    <w:rsid w:val="00EB0798"/>
    <w:rsid w:val="00EB40AD"/>
    <w:rsid w:val="00EB5622"/>
    <w:rsid w:val="00EB586E"/>
    <w:rsid w:val="00EB5FC8"/>
    <w:rsid w:val="00ED555A"/>
    <w:rsid w:val="00ED5A41"/>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640B6"/>
    <w:rsid w:val="00F71E1E"/>
    <w:rsid w:val="00F80E40"/>
    <w:rsid w:val="00F859D2"/>
    <w:rsid w:val="00F8709D"/>
    <w:rsid w:val="00F9022D"/>
    <w:rsid w:val="00FA43E5"/>
    <w:rsid w:val="00FA5B82"/>
    <w:rsid w:val="00FA639E"/>
    <w:rsid w:val="00FC03C8"/>
    <w:rsid w:val="00FC1750"/>
    <w:rsid w:val="00FC25E4"/>
    <w:rsid w:val="00FC4EF7"/>
    <w:rsid w:val="00FE1DEE"/>
    <w:rsid w:val="00FE206C"/>
    <w:rsid w:val="00FE501F"/>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E109E1"/>
    <w:pPr>
      <w:keepNext/>
      <w:keepLines/>
      <w:tabs>
        <w:tab w:val="right" w:leader="underscore" w:pos="8505"/>
      </w:tabs>
      <w:spacing w:after="200"/>
    </w:pPr>
    <w:rPr>
      <w:b/>
      <w:sz w:val="28"/>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5D06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E109E1"/>
    <w:pPr>
      <w:keepNext/>
      <w:keepLines/>
      <w:tabs>
        <w:tab w:val="right" w:leader="underscore" w:pos="8505"/>
      </w:tabs>
      <w:spacing w:after="200"/>
    </w:pPr>
    <w:rPr>
      <w:b/>
      <w:sz w:val="28"/>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5D0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scheduling-news" TargetMode="Externa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8F6D7-5254-4F61-8C37-8B7D0C27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Template>
  <TotalTime>10</TotalTime>
  <Pages>7</Pages>
  <Words>1085</Words>
  <Characters>6218</Characters>
  <Application>Microsoft Office Word</Application>
  <DocSecurity>0</DocSecurity>
  <Lines>248</Lines>
  <Paragraphs>235</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Guidelines for advertisements for medicines containing Schedule 3 substances</dc:title>
  <dc:subject>guidelines, schedule 3, substances</dc:subject>
  <dc:creator>Therapeutic Goods Administration </dc:creator>
  <cp:keywords>consultation</cp:keywords>
  <cp:lastModifiedBy>Therapeutic Goods Administration</cp:lastModifiedBy>
  <cp:revision>8</cp:revision>
  <cp:lastPrinted>2010-12-20T22:59:00Z</cp:lastPrinted>
  <dcterms:created xsi:type="dcterms:W3CDTF">2018-05-31T00:42:00Z</dcterms:created>
  <dcterms:modified xsi:type="dcterms:W3CDTF">2018-06-01T02:48:00Z</dcterms:modified>
  <cp:category>consultation </cp:category>
</cp:coreProperties>
</file>