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footer4.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1D39C20" w14:textId="77777777" w:rsidTr="002B29B2">
        <w:tc>
          <w:tcPr>
            <w:tcW w:w="8720" w:type="dxa"/>
          </w:tcPr>
          <w:p w14:paraId="2E05712D" w14:textId="657CF93E" w:rsidR="00F401EF" w:rsidRPr="00215D48" w:rsidRDefault="00DC7B4A" w:rsidP="00DC7B4A">
            <w:pPr>
              <w:pStyle w:val="Title"/>
            </w:pPr>
            <w:r>
              <w:t>Antidepressant utilisation and risk of suicide in young people</w:t>
            </w:r>
          </w:p>
        </w:tc>
      </w:tr>
      <w:tr w:rsidR="002B29B2" w:rsidRPr="00215D48" w14:paraId="3736DEF1" w14:textId="77777777" w:rsidTr="002B29B2">
        <w:trPr>
          <w:trHeight w:val="1916"/>
        </w:trPr>
        <w:tc>
          <w:tcPr>
            <w:tcW w:w="8720" w:type="dxa"/>
          </w:tcPr>
          <w:p w14:paraId="4E192F42" w14:textId="6E806930" w:rsidR="00F401EF" w:rsidRPr="00215D48" w:rsidRDefault="00DC7B4A" w:rsidP="00A9718B">
            <w:pPr>
              <w:pStyle w:val="Subtitle"/>
              <w:ind w:left="0"/>
            </w:pPr>
            <w:r>
              <w:t>Safety investigation</w:t>
            </w:r>
          </w:p>
        </w:tc>
      </w:tr>
      <w:tr w:rsidR="002B29B2" w:rsidRPr="00215D48" w14:paraId="3BCF566D" w14:textId="77777777" w:rsidTr="002B29B2">
        <w:tc>
          <w:tcPr>
            <w:tcW w:w="8720" w:type="dxa"/>
          </w:tcPr>
          <w:p w14:paraId="4F138B2E" w14:textId="5AC0E0AD" w:rsidR="002B29B2" w:rsidRPr="00215D48" w:rsidRDefault="0056062F" w:rsidP="00A316FA">
            <w:pPr>
              <w:pStyle w:val="Date"/>
            </w:pPr>
            <w:r>
              <w:t>Version 2</w:t>
            </w:r>
            <w:r w:rsidR="002B29B2" w:rsidRPr="00215D48">
              <w:t xml:space="preserve">.0, </w:t>
            </w:r>
            <w:r w:rsidR="00A316FA">
              <w:t>April</w:t>
            </w:r>
            <w:r>
              <w:t xml:space="preserve"> 2021</w:t>
            </w:r>
          </w:p>
        </w:tc>
      </w:tr>
    </w:tbl>
    <w:p w14:paraId="1C3370F6"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7C814D47" w14:textId="77777777" w:rsidR="005D1689" w:rsidRPr="00E1198B" w:rsidRDefault="005D1689" w:rsidP="00BA0DFC">
      <w:pPr>
        <w:pStyle w:val="LegalSubheading"/>
      </w:pPr>
      <w:r w:rsidRPr="00BA0DFC">
        <w:lastRenderedPageBreak/>
        <w:t>Copyright</w:t>
      </w:r>
    </w:p>
    <w:p w14:paraId="356FFCBB" w14:textId="23ABF67A" w:rsidR="00F274A2" w:rsidRPr="00DC7B4A" w:rsidRDefault="005D1689" w:rsidP="00DC7B4A">
      <w:pPr>
        <w:pStyle w:val="LegalCopy"/>
        <w:rPr>
          <w:rFonts w:cs="Arial"/>
        </w:rPr>
      </w:pPr>
      <w:r w:rsidRPr="00215D48">
        <w:rPr>
          <w:rFonts w:cs="Arial"/>
        </w:rPr>
        <w:t>© Commonwealth of Australia 20</w:t>
      </w:r>
      <w:r w:rsidR="0056062F">
        <w:rPr>
          <w:rFonts w:cs="Arial"/>
        </w:rPr>
        <w:t>21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243F61F6" w14:textId="77777777" w:rsidR="00F401EF" w:rsidRPr="00215D48" w:rsidRDefault="00F401EF" w:rsidP="00B17515">
          <w:pPr>
            <w:pStyle w:val="NonTOCheading2"/>
          </w:pPr>
          <w:r w:rsidRPr="00215D48">
            <w:t>Contents</w:t>
          </w:r>
        </w:p>
        <w:p w14:paraId="5FCEB52D" w14:textId="68C44802" w:rsidR="00806E1B"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70418932" w:history="1">
            <w:r w:rsidR="00806E1B" w:rsidRPr="00984351">
              <w:rPr>
                <w:rStyle w:val="Hyperlink"/>
                <w:noProof/>
              </w:rPr>
              <w:t>1. Executive summary</w:t>
            </w:r>
            <w:r w:rsidR="00806E1B">
              <w:rPr>
                <w:noProof/>
                <w:webHidden/>
              </w:rPr>
              <w:tab/>
            </w:r>
            <w:r w:rsidR="00806E1B">
              <w:rPr>
                <w:noProof/>
                <w:webHidden/>
              </w:rPr>
              <w:fldChar w:fldCharType="begin"/>
            </w:r>
            <w:r w:rsidR="00806E1B">
              <w:rPr>
                <w:noProof/>
                <w:webHidden/>
              </w:rPr>
              <w:instrText xml:space="preserve"> PAGEREF _Toc70418932 \h </w:instrText>
            </w:r>
            <w:r w:rsidR="00806E1B">
              <w:rPr>
                <w:noProof/>
                <w:webHidden/>
              </w:rPr>
            </w:r>
            <w:r w:rsidR="00806E1B">
              <w:rPr>
                <w:noProof/>
                <w:webHidden/>
              </w:rPr>
              <w:fldChar w:fldCharType="separate"/>
            </w:r>
            <w:r w:rsidR="00806E1B">
              <w:rPr>
                <w:noProof/>
                <w:webHidden/>
              </w:rPr>
              <w:t>5</w:t>
            </w:r>
            <w:r w:rsidR="00806E1B">
              <w:rPr>
                <w:noProof/>
                <w:webHidden/>
              </w:rPr>
              <w:fldChar w:fldCharType="end"/>
            </w:r>
          </w:hyperlink>
        </w:p>
        <w:p w14:paraId="18095C30" w14:textId="436EEFDB" w:rsidR="00806E1B" w:rsidRDefault="00512C76">
          <w:pPr>
            <w:pStyle w:val="TOC1"/>
            <w:rPr>
              <w:rFonts w:asciiTheme="minorHAnsi" w:eastAsiaTheme="minorEastAsia" w:hAnsiTheme="minorHAnsi" w:cstheme="minorBidi"/>
              <w:b w:val="0"/>
              <w:noProof/>
              <w:sz w:val="22"/>
              <w:szCs w:val="22"/>
              <w:lang w:eastAsia="en-AU"/>
            </w:rPr>
          </w:pPr>
          <w:hyperlink w:anchor="_Toc70418933" w:history="1">
            <w:r w:rsidR="00806E1B" w:rsidRPr="00984351">
              <w:rPr>
                <w:rStyle w:val="Hyperlink"/>
                <w:noProof/>
              </w:rPr>
              <w:t>2. Introduction and background</w:t>
            </w:r>
            <w:r w:rsidR="00806E1B">
              <w:rPr>
                <w:noProof/>
                <w:webHidden/>
              </w:rPr>
              <w:tab/>
            </w:r>
            <w:r w:rsidR="00806E1B">
              <w:rPr>
                <w:noProof/>
                <w:webHidden/>
              </w:rPr>
              <w:fldChar w:fldCharType="begin"/>
            </w:r>
            <w:r w:rsidR="00806E1B">
              <w:rPr>
                <w:noProof/>
                <w:webHidden/>
              </w:rPr>
              <w:instrText xml:space="preserve"> PAGEREF _Toc70418933 \h </w:instrText>
            </w:r>
            <w:r w:rsidR="00806E1B">
              <w:rPr>
                <w:noProof/>
                <w:webHidden/>
              </w:rPr>
            </w:r>
            <w:r w:rsidR="00806E1B">
              <w:rPr>
                <w:noProof/>
                <w:webHidden/>
              </w:rPr>
              <w:fldChar w:fldCharType="separate"/>
            </w:r>
            <w:r w:rsidR="00806E1B">
              <w:rPr>
                <w:noProof/>
                <w:webHidden/>
              </w:rPr>
              <w:t>6</w:t>
            </w:r>
            <w:r w:rsidR="00806E1B">
              <w:rPr>
                <w:noProof/>
                <w:webHidden/>
              </w:rPr>
              <w:fldChar w:fldCharType="end"/>
            </w:r>
          </w:hyperlink>
        </w:p>
        <w:p w14:paraId="3A2252F0" w14:textId="7BE2F7A6" w:rsidR="00806E1B" w:rsidRDefault="00512C76">
          <w:pPr>
            <w:pStyle w:val="TOC2"/>
            <w:rPr>
              <w:rFonts w:asciiTheme="minorHAnsi" w:eastAsiaTheme="minorEastAsia" w:hAnsiTheme="minorHAnsi" w:cstheme="minorBidi"/>
              <w:b w:val="0"/>
              <w:noProof/>
              <w:sz w:val="22"/>
              <w:szCs w:val="22"/>
              <w:lang w:eastAsia="en-AU"/>
            </w:rPr>
          </w:pPr>
          <w:hyperlink w:anchor="_Toc70418934" w:history="1">
            <w:r w:rsidR="00806E1B" w:rsidRPr="00984351">
              <w:rPr>
                <w:rStyle w:val="Hyperlink"/>
                <w:noProof/>
              </w:rPr>
              <w:t>2.1 Introduction</w:t>
            </w:r>
            <w:r w:rsidR="00806E1B">
              <w:rPr>
                <w:noProof/>
                <w:webHidden/>
              </w:rPr>
              <w:tab/>
            </w:r>
            <w:r w:rsidR="00806E1B">
              <w:rPr>
                <w:noProof/>
                <w:webHidden/>
              </w:rPr>
              <w:fldChar w:fldCharType="begin"/>
            </w:r>
            <w:r w:rsidR="00806E1B">
              <w:rPr>
                <w:noProof/>
                <w:webHidden/>
              </w:rPr>
              <w:instrText xml:space="preserve"> PAGEREF _Toc70418934 \h </w:instrText>
            </w:r>
            <w:r w:rsidR="00806E1B">
              <w:rPr>
                <w:noProof/>
                <w:webHidden/>
              </w:rPr>
            </w:r>
            <w:r w:rsidR="00806E1B">
              <w:rPr>
                <w:noProof/>
                <w:webHidden/>
              </w:rPr>
              <w:fldChar w:fldCharType="separate"/>
            </w:r>
            <w:r w:rsidR="00806E1B">
              <w:rPr>
                <w:noProof/>
                <w:webHidden/>
              </w:rPr>
              <w:t>6</w:t>
            </w:r>
            <w:r w:rsidR="00806E1B">
              <w:rPr>
                <w:noProof/>
                <w:webHidden/>
              </w:rPr>
              <w:fldChar w:fldCharType="end"/>
            </w:r>
          </w:hyperlink>
        </w:p>
        <w:p w14:paraId="51D48F30" w14:textId="4F00BC67" w:rsidR="00806E1B" w:rsidRDefault="00512C76">
          <w:pPr>
            <w:pStyle w:val="TOC2"/>
            <w:rPr>
              <w:rFonts w:asciiTheme="minorHAnsi" w:eastAsiaTheme="minorEastAsia" w:hAnsiTheme="minorHAnsi" w:cstheme="minorBidi"/>
              <w:b w:val="0"/>
              <w:noProof/>
              <w:sz w:val="22"/>
              <w:szCs w:val="22"/>
              <w:lang w:eastAsia="en-AU"/>
            </w:rPr>
          </w:pPr>
          <w:hyperlink w:anchor="_Toc70418935" w:history="1">
            <w:r w:rsidR="00806E1B" w:rsidRPr="00984351">
              <w:rPr>
                <w:rStyle w:val="Hyperlink"/>
                <w:noProof/>
              </w:rPr>
              <w:t>2.2 Products, registered indications and PBS status</w:t>
            </w:r>
            <w:r w:rsidR="00806E1B">
              <w:rPr>
                <w:noProof/>
                <w:webHidden/>
              </w:rPr>
              <w:tab/>
            </w:r>
            <w:r w:rsidR="00806E1B">
              <w:rPr>
                <w:noProof/>
                <w:webHidden/>
              </w:rPr>
              <w:fldChar w:fldCharType="begin"/>
            </w:r>
            <w:r w:rsidR="00806E1B">
              <w:rPr>
                <w:noProof/>
                <w:webHidden/>
              </w:rPr>
              <w:instrText xml:space="preserve"> PAGEREF _Toc70418935 \h </w:instrText>
            </w:r>
            <w:r w:rsidR="00806E1B">
              <w:rPr>
                <w:noProof/>
                <w:webHidden/>
              </w:rPr>
            </w:r>
            <w:r w:rsidR="00806E1B">
              <w:rPr>
                <w:noProof/>
                <w:webHidden/>
              </w:rPr>
              <w:fldChar w:fldCharType="separate"/>
            </w:r>
            <w:r w:rsidR="00806E1B">
              <w:rPr>
                <w:noProof/>
                <w:webHidden/>
              </w:rPr>
              <w:t>7</w:t>
            </w:r>
            <w:r w:rsidR="00806E1B">
              <w:rPr>
                <w:noProof/>
                <w:webHidden/>
              </w:rPr>
              <w:fldChar w:fldCharType="end"/>
            </w:r>
          </w:hyperlink>
        </w:p>
        <w:p w14:paraId="628601A6" w14:textId="1517BC22" w:rsidR="00806E1B" w:rsidRDefault="00512C76">
          <w:pPr>
            <w:pStyle w:val="TOC2"/>
            <w:rPr>
              <w:rFonts w:asciiTheme="minorHAnsi" w:eastAsiaTheme="minorEastAsia" w:hAnsiTheme="minorHAnsi" w:cstheme="minorBidi"/>
              <w:b w:val="0"/>
              <w:noProof/>
              <w:sz w:val="22"/>
              <w:szCs w:val="22"/>
              <w:lang w:eastAsia="en-AU"/>
            </w:rPr>
          </w:pPr>
          <w:hyperlink w:anchor="_Toc70418936" w:history="1">
            <w:r w:rsidR="00806E1B" w:rsidRPr="00984351">
              <w:rPr>
                <w:rStyle w:val="Hyperlink"/>
                <w:noProof/>
              </w:rPr>
              <w:t>2.3 Previous actions by the TGA</w:t>
            </w:r>
            <w:r w:rsidR="00806E1B">
              <w:rPr>
                <w:noProof/>
                <w:webHidden/>
              </w:rPr>
              <w:tab/>
            </w:r>
            <w:r w:rsidR="00806E1B">
              <w:rPr>
                <w:noProof/>
                <w:webHidden/>
              </w:rPr>
              <w:fldChar w:fldCharType="begin"/>
            </w:r>
            <w:r w:rsidR="00806E1B">
              <w:rPr>
                <w:noProof/>
                <w:webHidden/>
              </w:rPr>
              <w:instrText xml:space="preserve"> PAGEREF _Toc70418936 \h </w:instrText>
            </w:r>
            <w:r w:rsidR="00806E1B">
              <w:rPr>
                <w:noProof/>
                <w:webHidden/>
              </w:rPr>
            </w:r>
            <w:r w:rsidR="00806E1B">
              <w:rPr>
                <w:noProof/>
                <w:webHidden/>
              </w:rPr>
              <w:fldChar w:fldCharType="separate"/>
            </w:r>
            <w:r w:rsidR="00806E1B">
              <w:rPr>
                <w:noProof/>
                <w:webHidden/>
              </w:rPr>
              <w:t>8</w:t>
            </w:r>
            <w:r w:rsidR="00806E1B">
              <w:rPr>
                <w:noProof/>
                <w:webHidden/>
              </w:rPr>
              <w:fldChar w:fldCharType="end"/>
            </w:r>
          </w:hyperlink>
        </w:p>
        <w:p w14:paraId="49FA15A5" w14:textId="6CA9FE9A" w:rsidR="00806E1B" w:rsidRDefault="00512C76">
          <w:pPr>
            <w:pStyle w:val="TOC3"/>
            <w:rPr>
              <w:rFonts w:asciiTheme="minorHAnsi" w:eastAsiaTheme="minorEastAsia" w:hAnsiTheme="minorHAnsi" w:cstheme="minorBidi"/>
              <w:b w:val="0"/>
              <w:noProof/>
              <w:szCs w:val="22"/>
              <w:lang w:eastAsia="en-AU"/>
            </w:rPr>
          </w:pPr>
          <w:hyperlink w:anchor="_Toc70418937" w:history="1">
            <w:r w:rsidR="00806E1B" w:rsidRPr="00984351">
              <w:rPr>
                <w:rStyle w:val="Hyperlink"/>
                <w:noProof/>
              </w:rPr>
              <w:t>Adverse Drug Reactions Advisory Committee – Use of SSRI antidepressants in children and adolescents</w:t>
            </w:r>
            <w:r w:rsidR="00806E1B">
              <w:rPr>
                <w:noProof/>
                <w:webHidden/>
              </w:rPr>
              <w:tab/>
            </w:r>
            <w:r w:rsidR="00806E1B">
              <w:rPr>
                <w:noProof/>
                <w:webHidden/>
              </w:rPr>
              <w:fldChar w:fldCharType="begin"/>
            </w:r>
            <w:r w:rsidR="00806E1B">
              <w:rPr>
                <w:noProof/>
                <w:webHidden/>
              </w:rPr>
              <w:instrText xml:space="preserve"> PAGEREF _Toc70418937 \h </w:instrText>
            </w:r>
            <w:r w:rsidR="00806E1B">
              <w:rPr>
                <w:noProof/>
                <w:webHidden/>
              </w:rPr>
            </w:r>
            <w:r w:rsidR="00806E1B">
              <w:rPr>
                <w:noProof/>
                <w:webHidden/>
              </w:rPr>
              <w:fldChar w:fldCharType="separate"/>
            </w:r>
            <w:r w:rsidR="00806E1B">
              <w:rPr>
                <w:noProof/>
                <w:webHidden/>
              </w:rPr>
              <w:t>8</w:t>
            </w:r>
            <w:r w:rsidR="00806E1B">
              <w:rPr>
                <w:noProof/>
                <w:webHidden/>
              </w:rPr>
              <w:fldChar w:fldCharType="end"/>
            </w:r>
          </w:hyperlink>
        </w:p>
        <w:p w14:paraId="1A1D3AB4" w14:textId="7341336A" w:rsidR="00806E1B" w:rsidRDefault="00512C76">
          <w:pPr>
            <w:pStyle w:val="TOC3"/>
            <w:rPr>
              <w:rFonts w:asciiTheme="minorHAnsi" w:eastAsiaTheme="minorEastAsia" w:hAnsiTheme="minorHAnsi" w:cstheme="minorBidi"/>
              <w:b w:val="0"/>
              <w:noProof/>
              <w:szCs w:val="22"/>
              <w:lang w:eastAsia="en-AU"/>
            </w:rPr>
          </w:pPr>
          <w:hyperlink w:anchor="_Toc70418938" w:history="1">
            <w:r w:rsidR="00806E1B" w:rsidRPr="00984351">
              <w:rPr>
                <w:rStyle w:val="Hyperlink"/>
                <w:noProof/>
              </w:rPr>
              <w:t>Report of the Psychiatric Drug Safety Expert Advisory Panel</w:t>
            </w:r>
            <w:r w:rsidR="00806E1B">
              <w:rPr>
                <w:noProof/>
                <w:webHidden/>
              </w:rPr>
              <w:tab/>
            </w:r>
            <w:r w:rsidR="00806E1B">
              <w:rPr>
                <w:noProof/>
                <w:webHidden/>
              </w:rPr>
              <w:fldChar w:fldCharType="begin"/>
            </w:r>
            <w:r w:rsidR="00806E1B">
              <w:rPr>
                <w:noProof/>
                <w:webHidden/>
              </w:rPr>
              <w:instrText xml:space="preserve"> PAGEREF _Toc70418938 \h </w:instrText>
            </w:r>
            <w:r w:rsidR="00806E1B">
              <w:rPr>
                <w:noProof/>
                <w:webHidden/>
              </w:rPr>
            </w:r>
            <w:r w:rsidR="00806E1B">
              <w:rPr>
                <w:noProof/>
                <w:webHidden/>
              </w:rPr>
              <w:fldChar w:fldCharType="separate"/>
            </w:r>
            <w:r w:rsidR="00806E1B">
              <w:rPr>
                <w:noProof/>
                <w:webHidden/>
              </w:rPr>
              <w:t>9</w:t>
            </w:r>
            <w:r w:rsidR="00806E1B">
              <w:rPr>
                <w:noProof/>
                <w:webHidden/>
              </w:rPr>
              <w:fldChar w:fldCharType="end"/>
            </w:r>
          </w:hyperlink>
        </w:p>
        <w:p w14:paraId="6E61C41C" w14:textId="2349B123" w:rsidR="00806E1B" w:rsidRDefault="00512C76">
          <w:pPr>
            <w:pStyle w:val="TOC2"/>
            <w:rPr>
              <w:rFonts w:asciiTheme="minorHAnsi" w:eastAsiaTheme="minorEastAsia" w:hAnsiTheme="minorHAnsi" w:cstheme="minorBidi"/>
              <w:b w:val="0"/>
              <w:noProof/>
              <w:sz w:val="22"/>
              <w:szCs w:val="22"/>
              <w:lang w:eastAsia="en-AU"/>
            </w:rPr>
          </w:pPr>
          <w:hyperlink w:anchor="_Toc70418939" w:history="1">
            <w:r w:rsidR="00806E1B" w:rsidRPr="00984351">
              <w:rPr>
                <w:rStyle w:val="Hyperlink"/>
                <w:noProof/>
              </w:rPr>
              <w:t>2.4 Regulatory status in other countries</w:t>
            </w:r>
            <w:r w:rsidR="00806E1B">
              <w:rPr>
                <w:noProof/>
                <w:webHidden/>
              </w:rPr>
              <w:tab/>
            </w:r>
            <w:r w:rsidR="00806E1B">
              <w:rPr>
                <w:noProof/>
                <w:webHidden/>
              </w:rPr>
              <w:fldChar w:fldCharType="begin"/>
            </w:r>
            <w:r w:rsidR="00806E1B">
              <w:rPr>
                <w:noProof/>
                <w:webHidden/>
              </w:rPr>
              <w:instrText xml:space="preserve"> PAGEREF _Toc70418939 \h </w:instrText>
            </w:r>
            <w:r w:rsidR="00806E1B">
              <w:rPr>
                <w:noProof/>
                <w:webHidden/>
              </w:rPr>
            </w:r>
            <w:r w:rsidR="00806E1B">
              <w:rPr>
                <w:noProof/>
                <w:webHidden/>
              </w:rPr>
              <w:fldChar w:fldCharType="separate"/>
            </w:r>
            <w:r w:rsidR="00806E1B">
              <w:rPr>
                <w:noProof/>
                <w:webHidden/>
              </w:rPr>
              <w:t>10</w:t>
            </w:r>
            <w:r w:rsidR="00806E1B">
              <w:rPr>
                <w:noProof/>
                <w:webHidden/>
              </w:rPr>
              <w:fldChar w:fldCharType="end"/>
            </w:r>
          </w:hyperlink>
        </w:p>
        <w:p w14:paraId="37AD5345" w14:textId="57721852" w:rsidR="00806E1B" w:rsidRDefault="00512C76">
          <w:pPr>
            <w:pStyle w:val="TOC3"/>
            <w:rPr>
              <w:rFonts w:asciiTheme="minorHAnsi" w:eastAsiaTheme="minorEastAsia" w:hAnsiTheme="minorHAnsi" w:cstheme="minorBidi"/>
              <w:b w:val="0"/>
              <w:noProof/>
              <w:szCs w:val="22"/>
              <w:lang w:eastAsia="en-AU"/>
            </w:rPr>
          </w:pPr>
          <w:hyperlink w:anchor="_Toc70418940" w:history="1">
            <w:r w:rsidR="00806E1B" w:rsidRPr="00984351">
              <w:rPr>
                <w:rStyle w:val="Hyperlink"/>
                <w:noProof/>
              </w:rPr>
              <w:t>United Kingdom</w:t>
            </w:r>
            <w:r w:rsidR="00806E1B">
              <w:rPr>
                <w:noProof/>
                <w:webHidden/>
              </w:rPr>
              <w:tab/>
            </w:r>
            <w:r w:rsidR="00806E1B">
              <w:rPr>
                <w:noProof/>
                <w:webHidden/>
              </w:rPr>
              <w:fldChar w:fldCharType="begin"/>
            </w:r>
            <w:r w:rsidR="00806E1B">
              <w:rPr>
                <w:noProof/>
                <w:webHidden/>
              </w:rPr>
              <w:instrText xml:space="preserve"> PAGEREF _Toc70418940 \h </w:instrText>
            </w:r>
            <w:r w:rsidR="00806E1B">
              <w:rPr>
                <w:noProof/>
                <w:webHidden/>
              </w:rPr>
            </w:r>
            <w:r w:rsidR="00806E1B">
              <w:rPr>
                <w:noProof/>
                <w:webHidden/>
              </w:rPr>
              <w:fldChar w:fldCharType="separate"/>
            </w:r>
            <w:r w:rsidR="00806E1B">
              <w:rPr>
                <w:noProof/>
                <w:webHidden/>
              </w:rPr>
              <w:t>10</w:t>
            </w:r>
            <w:r w:rsidR="00806E1B">
              <w:rPr>
                <w:noProof/>
                <w:webHidden/>
              </w:rPr>
              <w:fldChar w:fldCharType="end"/>
            </w:r>
          </w:hyperlink>
        </w:p>
        <w:p w14:paraId="0F604387" w14:textId="61DBDF92" w:rsidR="00806E1B" w:rsidRDefault="00512C76">
          <w:pPr>
            <w:pStyle w:val="TOC3"/>
            <w:rPr>
              <w:rFonts w:asciiTheme="minorHAnsi" w:eastAsiaTheme="minorEastAsia" w:hAnsiTheme="minorHAnsi" w:cstheme="minorBidi"/>
              <w:b w:val="0"/>
              <w:noProof/>
              <w:szCs w:val="22"/>
              <w:lang w:eastAsia="en-AU"/>
            </w:rPr>
          </w:pPr>
          <w:hyperlink w:anchor="_Toc70418941" w:history="1">
            <w:r w:rsidR="00806E1B" w:rsidRPr="00984351">
              <w:rPr>
                <w:rStyle w:val="Hyperlink"/>
                <w:noProof/>
              </w:rPr>
              <w:t>United States</w:t>
            </w:r>
            <w:r w:rsidR="00806E1B">
              <w:rPr>
                <w:noProof/>
                <w:webHidden/>
              </w:rPr>
              <w:tab/>
            </w:r>
            <w:r w:rsidR="00806E1B">
              <w:rPr>
                <w:noProof/>
                <w:webHidden/>
              </w:rPr>
              <w:fldChar w:fldCharType="begin"/>
            </w:r>
            <w:r w:rsidR="00806E1B">
              <w:rPr>
                <w:noProof/>
                <w:webHidden/>
              </w:rPr>
              <w:instrText xml:space="preserve"> PAGEREF _Toc70418941 \h </w:instrText>
            </w:r>
            <w:r w:rsidR="00806E1B">
              <w:rPr>
                <w:noProof/>
                <w:webHidden/>
              </w:rPr>
            </w:r>
            <w:r w:rsidR="00806E1B">
              <w:rPr>
                <w:noProof/>
                <w:webHidden/>
              </w:rPr>
              <w:fldChar w:fldCharType="separate"/>
            </w:r>
            <w:r w:rsidR="00806E1B">
              <w:rPr>
                <w:noProof/>
                <w:webHidden/>
              </w:rPr>
              <w:t>10</w:t>
            </w:r>
            <w:r w:rsidR="00806E1B">
              <w:rPr>
                <w:noProof/>
                <w:webHidden/>
              </w:rPr>
              <w:fldChar w:fldCharType="end"/>
            </w:r>
          </w:hyperlink>
        </w:p>
        <w:p w14:paraId="7B0B5420" w14:textId="69190440" w:rsidR="00806E1B" w:rsidRDefault="00512C76">
          <w:pPr>
            <w:pStyle w:val="TOC3"/>
            <w:rPr>
              <w:rFonts w:asciiTheme="minorHAnsi" w:eastAsiaTheme="minorEastAsia" w:hAnsiTheme="minorHAnsi" w:cstheme="minorBidi"/>
              <w:b w:val="0"/>
              <w:noProof/>
              <w:szCs w:val="22"/>
              <w:lang w:eastAsia="en-AU"/>
            </w:rPr>
          </w:pPr>
          <w:hyperlink w:anchor="_Toc70418942" w:history="1">
            <w:r w:rsidR="00806E1B" w:rsidRPr="00984351">
              <w:rPr>
                <w:rStyle w:val="Hyperlink"/>
                <w:noProof/>
              </w:rPr>
              <w:t>Canada</w:t>
            </w:r>
            <w:r w:rsidR="00806E1B">
              <w:rPr>
                <w:noProof/>
                <w:webHidden/>
              </w:rPr>
              <w:tab/>
            </w:r>
            <w:r w:rsidR="00806E1B">
              <w:rPr>
                <w:noProof/>
                <w:webHidden/>
              </w:rPr>
              <w:fldChar w:fldCharType="begin"/>
            </w:r>
            <w:r w:rsidR="00806E1B">
              <w:rPr>
                <w:noProof/>
                <w:webHidden/>
              </w:rPr>
              <w:instrText xml:space="preserve"> PAGEREF _Toc70418942 \h </w:instrText>
            </w:r>
            <w:r w:rsidR="00806E1B">
              <w:rPr>
                <w:noProof/>
                <w:webHidden/>
              </w:rPr>
            </w:r>
            <w:r w:rsidR="00806E1B">
              <w:rPr>
                <w:noProof/>
                <w:webHidden/>
              </w:rPr>
              <w:fldChar w:fldCharType="separate"/>
            </w:r>
            <w:r w:rsidR="00806E1B">
              <w:rPr>
                <w:noProof/>
                <w:webHidden/>
              </w:rPr>
              <w:t>11</w:t>
            </w:r>
            <w:r w:rsidR="00806E1B">
              <w:rPr>
                <w:noProof/>
                <w:webHidden/>
              </w:rPr>
              <w:fldChar w:fldCharType="end"/>
            </w:r>
          </w:hyperlink>
        </w:p>
        <w:p w14:paraId="7CA757C4" w14:textId="002EDADD" w:rsidR="00806E1B" w:rsidRDefault="00512C76">
          <w:pPr>
            <w:pStyle w:val="TOC3"/>
            <w:rPr>
              <w:rFonts w:asciiTheme="minorHAnsi" w:eastAsiaTheme="minorEastAsia" w:hAnsiTheme="minorHAnsi" w:cstheme="minorBidi"/>
              <w:b w:val="0"/>
              <w:noProof/>
              <w:szCs w:val="22"/>
              <w:lang w:eastAsia="en-AU"/>
            </w:rPr>
          </w:pPr>
          <w:hyperlink w:anchor="_Toc70418943" w:history="1">
            <w:r w:rsidR="00806E1B" w:rsidRPr="00984351">
              <w:rPr>
                <w:rStyle w:val="Hyperlink"/>
                <w:noProof/>
              </w:rPr>
              <w:t>Europe</w:t>
            </w:r>
            <w:r w:rsidR="00806E1B">
              <w:rPr>
                <w:noProof/>
                <w:webHidden/>
              </w:rPr>
              <w:tab/>
            </w:r>
            <w:r w:rsidR="00806E1B">
              <w:rPr>
                <w:noProof/>
                <w:webHidden/>
              </w:rPr>
              <w:fldChar w:fldCharType="begin"/>
            </w:r>
            <w:r w:rsidR="00806E1B">
              <w:rPr>
                <w:noProof/>
                <w:webHidden/>
              </w:rPr>
              <w:instrText xml:space="preserve"> PAGEREF _Toc70418943 \h </w:instrText>
            </w:r>
            <w:r w:rsidR="00806E1B">
              <w:rPr>
                <w:noProof/>
                <w:webHidden/>
              </w:rPr>
            </w:r>
            <w:r w:rsidR="00806E1B">
              <w:rPr>
                <w:noProof/>
                <w:webHidden/>
              </w:rPr>
              <w:fldChar w:fldCharType="separate"/>
            </w:r>
            <w:r w:rsidR="00806E1B">
              <w:rPr>
                <w:noProof/>
                <w:webHidden/>
              </w:rPr>
              <w:t>11</w:t>
            </w:r>
            <w:r w:rsidR="00806E1B">
              <w:rPr>
                <w:noProof/>
                <w:webHidden/>
              </w:rPr>
              <w:fldChar w:fldCharType="end"/>
            </w:r>
          </w:hyperlink>
        </w:p>
        <w:p w14:paraId="3ADEFC0E" w14:textId="0EC6D2BC" w:rsidR="00806E1B" w:rsidRDefault="00512C76">
          <w:pPr>
            <w:pStyle w:val="TOC1"/>
            <w:rPr>
              <w:rFonts w:asciiTheme="minorHAnsi" w:eastAsiaTheme="minorEastAsia" w:hAnsiTheme="minorHAnsi" w:cstheme="minorBidi"/>
              <w:b w:val="0"/>
              <w:noProof/>
              <w:sz w:val="22"/>
              <w:szCs w:val="22"/>
              <w:lang w:eastAsia="en-AU"/>
            </w:rPr>
          </w:pPr>
          <w:hyperlink w:anchor="_Toc70418944" w:history="1">
            <w:r w:rsidR="00806E1B" w:rsidRPr="00984351">
              <w:rPr>
                <w:rStyle w:val="Hyperlink"/>
                <w:noProof/>
              </w:rPr>
              <w:t>3. TGA investigation</w:t>
            </w:r>
            <w:r w:rsidR="00806E1B">
              <w:rPr>
                <w:noProof/>
                <w:webHidden/>
              </w:rPr>
              <w:tab/>
            </w:r>
            <w:r w:rsidR="00806E1B">
              <w:rPr>
                <w:noProof/>
                <w:webHidden/>
              </w:rPr>
              <w:fldChar w:fldCharType="begin"/>
            </w:r>
            <w:r w:rsidR="00806E1B">
              <w:rPr>
                <w:noProof/>
                <w:webHidden/>
              </w:rPr>
              <w:instrText xml:space="preserve"> PAGEREF _Toc70418944 \h </w:instrText>
            </w:r>
            <w:r w:rsidR="00806E1B">
              <w:rPr>
                <w:noProof/>
                <w:webHidden/>
              </w:rPr>
            </w:r>
            <w:r w:rsidR="00806E1B">
              <w:rPr>
                <w:noProof/>
                <w:webHidden/>
              </w:rPr>
              <w:fldChar w:fldCharType="separate"/>
            </w:r>
            <w:r w:rsidR="00806E1B">
              <w:rPr>
                <w:noProof/>
                <w:webHidden/>
              </w:rPr>
              <w:t>12</w:t>
            </w:r>
            <w:r w:rsidR="00806E1B">
              <w:rPr>
                <w:noProof/>
                <w:webHidden/>
              </w:rPr>
              <w:fldChar w:fldCharType="end"/>
            </w:r>
          </w:hyperlink>
        </w:p>
        <w:p w14:paraId="177876B0" w14:textId="36EBB306" w:rsidR="00806E1B" w:rsidRDefault="00512C76">
          <w:pPr>
            <w:pStyle w:val="TOC2"/>
            <w:rPr>
              <w:rFonts w:asciiTheme="minorHAnsi" w:eastAsiaTheme="minorEastAsia" w:hAnsiTheme="minorHAnsi" w:cstheme="minorBidi"/>
              <w:b w:val="0"/>
              <w:noProof/>
              <w:sz w:val="22"/>
              <w:szCs w:val="22"/>
              <w:lang w:eastAsia="en-AU"/>
            </w:rPr>
          </w:pPr>
          <w:hyperlink w:anchor="_Toc70418945" w:history="1">
            <w:r w:rsidR="00806E1B" w:rsidRPr="00984351">
              <w:rPr>
                <w:rStyle w:val="Hyperlink"/>
                <w:noProof/>
              </w:rPr>
              <w:t>3.1 The current role of antidepressants in clinical practice for the treatment of children, adolescents and young people in Australia</w:t>
            </w:r>
            <w:r w:rsidR="00806E1B">
              <w:rPr>
                <w:noProof/>
                <w:webHidden/>
              </w:rPr>
              <w:tab/>
            </w:r>
            <w:r w:rsidR="00806E1B">
              <w:rPr>
                <w:noProof/>
                <w:webHidden/>
              </w:rPr>
              <w:fldChar w:fldCharType="begin"/>
            </w:r>
            <w:r w:rsidR="00806E1B">
              <w:rPr>
                <w:noProof/>
                <w:webHidden/>
              </w:rPr>
              <w:instrText xml:space="preserve"> PAGEREF _Toc70418945 \h </w:instrText>
            </w:r>
            <w:r w:rsidR="00806E1B">
              <w:rPr>
                <w:noProof/>
                <w:webHidden/>
              </w:rPr>
            </w:r>
            <w:r w:rsidR="00806E1B">
              <w:rPr>
                <w:noProof/>
                <w:webHidden/>
              </w:rPr>
              <w:fldChar w:fldCharType="separate"/>
            </w:r>
            <w:r w:rsidR="00806E1B">
              <w:rPr>
                <w:noProof/>
                <w:webHidden/>
              </w:rPr>
              <w:t>12</w:t>
            </w:r>
            <w:r w:rsidR="00806E1B">
              <w:rPr>
                <w:noProof/>
                <w:webHidden/>
              </w:rPr>
              <w:fldChar w:fldCharType="end"/>
            </w:r>
          </w:hyperlink>
        </w:p>
        <w:p w14:paraId="036DEA00" w14:textId="12EF9BAE" w:rsidR="00806E1B" w:rsidRDefault="00512C76">
          <w:pPr>
            <w:pStyle w:val="TOC3"/>
            <w:rPr>
              <w:rFonts w:asciiTheme="minorHAnsi" w:eastAsiaTheme="minorEastAsia" w:hAnsiTheme="minorHAnsi" w:cstheme="minorBidi"/>
              <w:b w:val="0"/>
              <w:noProof/>
              <w:szCs w:val="22"/>
              <w:lang w:eastAsia="en-AU"/>
            </w:rPr>
          </w:pPr>
          <w:hyperlink w:anchor="_Toc70418946" w:history="1">
            <w:r w:rsidR="00806E1B" w:rsidRPr="00984351">
              <w:rPr>
                <w:rStyle w:val="Hyperlink"/>
                <w:noProof/>
              </w:rPr>
              <w:t>3.1.1 Epidemiology of depression in young people in Australia</w:t>
            </w:r>
            <w:r w:rsidR="00806E1B">
              <w:rPr>
                <w:noProof/>
                <w:webHidden/>
              </w:rPr>
              <w:tab/>
            </w:r>
            <w:r w:rsidR="00806E1B">
              <w:rPr>
                <w:noProof/>
                <w:webHidden/>
              </w:rPr>
              <w:fldChar w:fldCharType="begin"/>
            </w:r>
            <w:r w:rsidR="00806E1B">
              <w:rPr>
                <w:noProof/>
                <w:webHidden/>
              </w:rPr>
              <w:instrText xml:space="preserve"> PAGEREF _Toc70418946 \h </w:instrText>
            </w:r>
            <w:r w:rsidR="00806E1B">
              <w:rPr>
                <w:noProof/>
                <w:webHidden/>
              </w:rPr>
            </w:r>
            <w:r w:rsidR="00806E1B">
              <w:rPr>
                <w:noProof/>
                <w:webHidden/>
              </w:rPr>
              <w:fldChar w:fldCharType="separate"/>
            </w:r>
            <w:r w:rsidR="00806E1B">
              <w:rPr>
                <w:noProof/>
                <w:webHidden/>
              </w:rPr>
              <w:t>12</w:t>
            </w:r>
            <w:r w:rsidR="00806E1B">
              <w:rPr>
                <w:noProof/>
                <w:webHidden/>
              </w:rPr>
              <w:fldChar w:fldCharType="end"/>
            </w:r>
          </w:hyperlink>
        </w:p>
        <w:p w14:paraId="2AB6ADFC" w14:textId="48B1FCC2" w:rsidR="00806E1B" w:rsidRDefault="00512C76">
          <w:pPr>
            <w:pStyle w:val="TOC3"/>
            <w:rPr>
              <w:rFonts w:asciiTheme="minorHAnsi" w:eastAsiaTheme="minorEastAsia" w:hAnsiTheme="minorHAnsi" w:cstheme="minorBidi"/>
              <w:b w:val="0"/>
              <w:noProof/>
              <w:szCs w:val="22"/>
              <w:lang w:eastAsia="en-AU"/>
            </w:rPr>
          </w:pPr>
          <w:hyperlink w:anchor="_Toc70418947" w:history="1">
            <w:r w:rsidR="00806E1B" w:rsidRPr="00984351">
              <w:rPr>
                <w:rStyle w:val="Hyperlink"/>
                <w:noProof/>
              </w:rPr>
              <w:t>3.1.2 Clinical practice guidelines</w:t>
            </w:r>
            <w:r w:rsidR="00806E1B">
              <w:rPr>
                <w:noProof/>
                <w:webHidden/>
              </w:rPr>
              <w:tab/>
            </w:r>
            <w:r w:rsidR="00806E1B">
              <w:rPr>
                <w:noProof/>
                <w:webHidden/>
              </w:rPr>
              <w:fldChar w:fldCharType="begin"/>
            </w:r>
            <w:r w:rsidR="00806E1B">
              <w:rPr>
                <w:noProof/>
                <w:webHidden/>
              </w:rPr>
              <w:instrText xml:space="preserve"> PAGEREF _Toc70418947 \h </w:instrText>
            </w:r>
            <w:r w:rsidR="00806E1B">
              <w:rPr>
                <w:noProof/>
                <w:webHidden/>
              </w:rPr>
            </w:r>
            <w:r w:rsidR="00806E1B">
              <w:rPr>
                <w:noProof/>
                <w:webHidden/>
              </w:rPr>
              <w:fldChar w:fldCharType="separate"/>
            </w:r>
            <w:r w:rsidR="00806E1B">
              <w:rPr>
                <w:noProof/>
                <w:webHidden/>
              </w:rPr>
              <w:t>13</w:t>
            </w:r>
            <w:r w:rsidR="00806E1B">
              <w:rPr>
                <w:noProof/>
                <w:webHidden/>
              </w:rPr>
              <w:fldChar w:fldCharType="end"/>
            </w:r>
          </w:hyperlink>
        </w:p>
        <w:p w14:paraId="3D3D67ED" w14:textId="33ADFEE2" w:rsidR="00806E1B" w:rsidRDefault="00512C76">
          <w:pPr>
            <w:pStyle w:val="TOC2"/>
            <w:rPr>
              <w:rFonts w:asciiTheme="minorHAnsi" w:eastAsiaTheme="minorEastAsia" w:hAnsiTheme="minorHAnsi" w:cstheme="minorBidi"/>
              <w:b w:val="0"/>
              <w:noProof/>
              <w:sz w:val="22"/>
              <w:szCs w:val="22"/>
              <w:lang w:eastAsia="en-AU"/>
            </w:rPr>
          </w:pPr>
          <w:hyperlink w:anchor="_Toc70418948" w:history="1">
            <w:r w:rsidR="00806E1B" w:rsidRPr="00984351">
              <w:rPr>
                <w:rStyle w:val="Hyperlink"/>
                <w:noProof/>
              </w:rPr>
              <w:t>3.2 The strength of current evidence for an association between antidepressants and youth suicide</w:t>
            </w:r>
            <w:r w:rsidR="00806E1B">
              <w:rPr>
                <w:noProof/>
                <w:webHidden/>
              </w:rPr>
              <w:tab/>
            </w:r>
            <w:r w:rsidR="00806E1B">
              <w:rPr>
                <w:noProof/>
                <w:webHidden/>
              </w:rPr>
              <w:fldChar w:fldCharType="begin"/>
            </w:r>
            <w:r w:rsidR="00806E1B">
              <w:rPr>
                <w:noProof/>
                <w:webHidden/>
              </w:rPr>
              <w:instrText xml:space="preserve"> PAGEREF _Toc70418948 \h </w:instrText>
            </w:r>
            <w:r w:rsidR="00806E1B">
              <w:rPr>
                <w:noProof/>
                <w:webHidden/>
              </w:rPr>
            </w:r>
            <w:r w:rsidR="00806E1B">
              <w:rPr>
                <w:noProof/>
                <w:webHidden/>
              </w:rPr>
              <w:fldChar w:fldCharType="separate"/>
            </w:r>
            <w:r w:rsidR="00806E1B">
              <w:rPr>
                <w:noProof/>
                <w:webHidden/>
              </w:rPr>
              <w:t>14</w:t>
            </w:r>
            <w:r w:rsidR="00806E1B">
              <w:rPr>
                <w:noProof/>
                <w:webHidden/>
              </w:rPr>
              <w:fldChar w:fldCharType="end"/>
            </w:r>
          </w:hyperlink>
        </w:p>
        <w:p w14:paraId="77C8BE98" w14:textId="3C806225" w:rsidR="00806E1B" w:rsidRDefault="00512C76">
          <w:pPr>
            <w:pStyle w:val="TOC3"/>
            <w:rPr>
              <w:rFonts w:asciiTheme="minorHAnsi" w:eastAsiaTheme="minorEastAsia" w:hAnsiTheme="minorHAnsi" w:cstheme="minorBidi"/>
              <w:b w:val="0"/>
              <w:noProof/>
              <w:szCs w:val="22"/>
              <w:lang w:eastAsia="en-AU"/>
            </w:rPr>
          </w:pPr>
          <w:hyperlink w:anchor="_Toc70418949" w:history="1">
            <w:r w:rsidR="00806E1B" w:rsidRPr="00984351">
              <w:rPr>
                <w:rStyle w:val="Hyperlink"/>
                <w:noProof/>
              </w:rPr>
              <w:t>3.2.1 Evidence from peer-reviewed literature</w:t>
            </w:r>
            <w:r w:rsidR="00806E1B">
              <w:rPr>
                <w:noProof/>
                <w:webHidden/>
              </w:rPr>
              <w:tab/>
            </w:r>
            <w:r w:rsidR="00806E1B">
              <w:rPr>
                <w:noProof/>
                <w:webHidden/>
              </w:rPr>
              <w:fldChar w:fldCharType="begin"/>
            </w:r>
            <w:r w:rsidR="00806E1B">
              <w:rPr>
                <w:noProof/>
                <w:webHidden/>
              </w:rPr>
              <w:instrText xml:space="preserve"> PAGEREF _Toc70418949 \h </w:instrText>
            </w:r>
            <w:r w:rsidR="00806E1B">
              <w:rPr>
                <w:noProof/>
                <w:webHidden/>
              </w:rPr>
            </w:r>
            <w:r w:rsidR="00806E1B">
              <w:rPr>
                <w:noProof/>
                <w:webHidden/>
              </w:rPr>
              <w:fldChar w:fldCharType="separate"/>
            </w:r>
            <w:r w:rsidR="00806E1B">
              <w:rPr>
                <w:noProof/>
                <w:webHidden/>
              </w:rPr>
              <w:t>14</w:t>
            </w:r>
            <w:r w:rsidR="00806E1B">
              <w:rPr>
                <w:noProof/>
                <w:webHidden/>
              </w:rPr>
              <w:fldChar w:fldCharType="end"/>
            </w:r>
          </w:hyperlink>
        </w:p>
        <w:p w14:paraId="6B44C2B4" w14:textId="0AE872EB" w:rsidR="00806E1B" w:rsidRDefault="00512C76">
          <w:pPr>
            <w:pStyle w:val="TOC3"/>
            <w:rPr>
              <w:rFonts w:asciiTheme="minorHAnsi" w:eastAsiaTheme="minorEastAsia" w:hAnsiTheme="minorHAnsi" w:cstheme="minorBidi"/>
              <w:b w:val="0"/>
              <w:noProof/>
              <w:szCs w:val="22"/>
              <w:lang w:eastAsia="en-AU"/>
            </w:rPr>
          </w:pPr>
          <w:hyperlink w:anchor="_Toc70418950" w:history="1">
            <w:r w:rsidR="00806E1B" w:rsidRPr="00984351">
              <w:rPr>
                <w:rStyle w:val="Hyperlink"/>
                <w:noProof/>
              </w:rPr>
              <w:t>3.2.2 Database of Adverse Event Notifications</w:t>
            </w:r>
            <w:r w:rsidR="00806E1B">
              <w:rPr>
                <w:noProof/>
                <w:webHidden/>
              </w:rPr>
              <w:tab/>
            </w:r>
            <w:r w:rsidR="00806E1B">
              <w:rPr>
                <w:noProof/>
                <w:webHidden/>
              </w:rPr>
              <w:fldChar w:fldCharType="begin"/>
            </w:r>
            <w:r w:rsidR="00806E1B">
              <w:rPr>
                <w:noProof/>
                <w:webHidden/>
              </w:rPr>
              <w:instrText xml:space="preserve"> PAGEREF _Toc70418950 \h </w:instrText>
            </w:r>
            <w:r w:rsidR="00806E1B">
              <w:rPr>
                <w:noProof/>
                <w:webHidden/>
              </w:rPr>
            </w:r>
            <w:r w:rsidR="00806E1B">
              <w:rPr>
                <w:noProof/>
                <w:webHidden/>
              </w:rPr>
              <w:fldChar w:fldCharType="separate"/>
            </w:r>
            <w:r w:rsidR="00806E1B">
              <w:rPr>
                <w:noProof/>
                <w:webHidden/>
              </w:rPr>
              <w:t>15</w:t>
            </w:r>
            <w:r w:rsidR="00806E1B">
              <w:rPr>
                <w:noProof/>
                <w:webHidden/>
              </w:rPr>
              <w:fldChar w:fldCharType="end"/>
            </w:r>
          </w:hyperlink>
        </w:p>
        <w:p w14:paraId="47EE6C66" w14:textId="2E1220AB" w:rsidR="00806E1B" w:rsidRDefault="00512C76">
          <w:pPr>
            <w:pStyle w:val="TOC3"/>
            <w:rPr>
              <w:rFonts w:asciiTheme="minorHAnsi" w:eastAsiaTheme="minorEastAsia" w:hAnsiTheme="minorHAnsi" w:cstheme="minorBidi"/>
              <w:b w:val="0"/>
              <w:noProof/>
              <w:szCs w:val="22"/>
              <w:lang w:eastAsia="en-AU"/>
            </w:rPr>
          </w:pPr>
          <w:hyperlink w:anchor="_Toc70418951" w:history="1">
            <w:r w:rsidR="00806E1B" w:rsidRPr="00984351">
              <w:rPr>
                <w:rStyle w:val="Hyperlink"/>
                <w:noProof/>
              </w:rPr>
              <w:t>3.2.3 Appraisal of Whitely et al publication</w:t>
            </w:r>
            <w:r w:rsidR="00806E1B">
              <w:rPr>
                <w:noProof/>
                <w:webHidden/>
              </w:rPr>
              <w:tab/>
            </w:r>
            <w:r w:rsidR="00806E1B">
              <w:rPr>
                <w:noProof/>
                <w:webHidden/>
              </w:rPr>
              <w:fldChar w:fldCharType="begin"/>
            </w:r>
            <w:r w:rsidR="00806E1B">
              <w:rPr>
                <w:noProof/>
                <w:webHidden/>
              </w:rPr>
              <w:instrText xml:space="preserve"> PAGEREF _Toc70418951 \h </w:instrText>
            </w:r>
            <w:r w:rsidR="00806E1B">
              <w:rPr>
                <w:noProof/>
                <w:webHidden/>
              </w:rPr>
            </w:r>
            <w:r w:rsidR="00806E1B">
              <w:rPr>
                <w:noProof/>
                <w:webHidden/>
              </w:rPr>
              <w:fldChar w:fldCharType="separate"/>
            </w:r>
            <w:r w:rsidR="00806E1B">
              <w:rPr>
                <w:noProof/>
                <w:webHidden/>
              </w:rPr>
              <w:t>21</w:t>
            </w:r>
            <w:r w:rsidR="00806E1B">
              <w:rPr>
                <w:noProof/>
                <w:webHidden/>
              </w:rPr>
              <w:fldChar w:fldCharType="end"/>
            </w:r>
          </w:hyperlink>
        </w:p>
        <w:p w14:paraId="20C16C62" w14:textId="6D9C86BF" w:rsidR="00806E1B" w:rsidRDefault="00512C76">
          <w:pPr>
            <w:pStyle w:val="TOC3"/>
            <w:rPr>
              <w:rFonts w:asciiTheme="minorHAnsi" w:eastAsiaTheme="minorEastAsia" w:hAnsiTheme="minorHAnsi" w:cstheme="minorBidi"/>
              <w:b w:val="0"/>
              <w:noProof/>
              <w:szCs w:val="22"/>
              <w:lang w:eastAsia="en-AU"/>
            </w:rPr>
          </w:pPr>
          <w:hyperlink w:anchor="_Toc70418952" w:history="1">
            <w:r w:rsidR="00806E1B" w:rsidRPr="00984351">
              <w:rPr>
                <w:rStyle w:val="Hyperlink"/>
                <w:noProof/>
              </w:rPr>
              <w:t>3.2.4 TGA analysis of PBS and ABS data</w:t>
            </w:r>
            <w:r w:rsidR="00806E1B">
              <w:rPr>
                <w:noProof/>
                <w:webHidden/>
              </w:rPr>
              <w:tab/>
            </w:r>
            <w:r w:rsidR="00806E1B">
              <w:rPr>
                <w:noProof/>
                <w:webHidden/>
              </w:rPr>
              <w:fldChar w:fldCharType="begin"/>
            </w:r>
            <w:r w:rsidR="00806E1B">
              <w:rPr>
                <w:noProof/>
                <w:webHidden/>
              </w:rPr>
              <w:instrText xml:space="preserve"> PAGEREF _Toc70418952 \h </w:instrText>
            </w:r>
            <w:r w:rsidR="00806E1B">
              <w:rPr>
                <w:noProof/>
                <w:webHidden/>
              </w:rPr>
            </w:r>
            <w:r w:rsidR="00806E1B">
              <w:rPr>
                <w:noProof/>
                <w:webHidden/>
              </w:rPr>
              <w:fldChar w:fldCharType="separate"/>
            </w:r>
            <w:r w:rsidR="00806E1B">
              <w:rPr>
                <w:noProof/>
                <w:webHidden/>
              </w:rPr>
              <w:t>22</w:t>
            </w:r>
            <w:r w:rsidR="00806E1B">
              <w:rPr>
                <w:noProof/>
                <w:webHidden/>
              </w:rPr>
              <w:fldChar w:fldCharType="end"/>
            </w:r>
          </w:hyperlink>
        </w:p>
        <w:p w14:paraId="3767B196" w14:textId="3F470438" w:rsidR="00806E1B" w:rsidRDefault="00512C76">
          <w:pPr>
            <w:pStyle w:val="TOC3"/>
            <w:rPr>
              <w:rFonts w:asciiTheme="minorHAnsi" w:eastAsiaTheme="minorEastAsia" w:hAnsiTheme="minorHAnsi" w:cstheme="minorBidi"/>
              <w:b w:val="0"/>
              <w:noProof/>
              <w:szCs w:val="22"/>
              <w:lang w:eastAsia="en-AU"/>
            </w:rPr>
          </w:pPr>
          <w:hyperlink w:anchor="_Toc70418953" w:history="1">
            <w:r w:rsidR="00806E1B" w:rsidRPr="00984351">
              <w:rPr>
                <w:rStyle w:val="Hyperlink"/>
                <w:noProof/>
              </w:rPr>
              <w:t>3.2.5 ACM advice on strength of the current evidence</w:t>
            </w:r>
            <w:r w:rsidR="00806E1B">
              <w:rPr>
                <w:noProof/>
                <w:webHidden/>
              </w:rPr>
              <w:tab/>
            </w:r>
            <w:r w:rsidR="00806E1B">
              <w:rPr>
                <w:noProof/>
                <w:webHidden/>
              </w:rPr>
              <w:fldChar w:fldCharType="begin"/>
            </w:r>
            <w:r w:rsidR="00806E1B">
              <w:rPr>
                <w:noProof/>
                <w:webHidden/>
              </w:rPr>
              <w:instrText xml:space="preserve"> PAGEREF _Toc70418953 \h </w:instrText>
            </w:r>
            <w:r w:rsidR="00806E1B">
              <w:rPr>
                <w:noProof/>
                <w:webHidden/>
              </w:rPr>
            </w:r>
            <w:r w:rsidR="00806E1B">
              <w:rPr>
                <w:noProof/>
                <w:webHidden/>
              </w:rPr>
              <w:fldChar w:fldCharType="separate"/>
            </w:r>
            <w:r w:rsidR="00806E1B">
              <w:rPr>
                <w:noProof/>
                <w:webHidden/>
              </w:rPr>
              <w:t>30</w:t>
            </w:r>
            <w:r w:rsidR="00806E1B">
              <w:rPr>
                <w:noProof/>
                <w:webHidden/>
              </w:rPr>
              <w:fldChar w:fldCharType="end"/>
            </w:r>
          </w:hyperlink>
        </w:p>
        <w:p w14:paraId="201493FF" w14:textId="46D5BF88" w:rsidR="00806E1B" w:rsidRDefault="00512C76">
          <w:pPr>
            <w:pStyle w:val="TOC2"/>
            <w:rPr>
              <w:rFonts w:asciiTheme="minorHAnsi" w:eastAsiaTheme="minorEastAsia" w:hAnsiTheme="minorHAnsi" w:cstheme="minorBidi"/>
              <w:b w:val="0"/>
              <w:noProof/>
              <w:sz w:val="22"/>
              <w:szCs w:val="22"/>
              <w:lang w:eastAsia="en-AU"/>
            </w:rPr>
          </w:pPr>
          <w:hyperlink w:anchor="_Toc70418954" w:history="1">
            <w:r w:rsidR="00806E1B" w:rsidRPr="00984351">
              <w:rPr>
                <w:rStyle w:val="Hyperlink"/>
                <w:noProof/>
              </w:rPr>
              <w:t>3.3 Are current risk minimisation measures adequate?</w:t>
            </w:r>
            <w:r w:rsidR="00806E1B">
              <w:rPr>
                <w:noProof/>
                <w:webHidden/>
              </w:rPr>
              <w:tab/>
            </w:r>
            <w:r w:rsidR="00806E1B">
              <w:rPr>
                <w:noProof/>
                <w:webHidden/>
              </w:rPr>
              <w:fldChar w:fldCharType="begin"/>
            </w:r>
            <w:r w:rsidR="00806E1B">
              <w:rPr>
                <w:noProof/>
                <w:webHidden/>
              </w:rPr>
              <w:instrText xml:space="preserve"> PAGEREF _Toc70418954 \h </w:instrText>
            </w:r>
            <w:r w:rsidR="00806E1B">
              <w:rPr>
                <w:noProof/>
                <w:webHidden/>
              </w:rPr>
            </w:r>
            <w:r w:rsidR="00806E1B">
              <w:rPr>
                <w:noProof/>
                <w:webHidden/>
              </w:rPr>
              <w:fldChar w:fldCharType="separate"/>
            </w:r>
            <w:r w:rsidR="00806E1B">
              <w:rPr>
                <w:noProof/>
                <w:webHidden/>
              </w:rPr>
              <w:t>30</w:t>
            </w:r>
            <w:r w:rsidR="00806E1B">
              <w:rPr>
                <w:noProof/>
                <w:webHidden/>
              </w:rPr>
              <w:fldChar w:fldCharType="end"/>
            </w:r>
          </w:hyperlink>
        </w:p>
        <w:p w14:paraId="507E6292" w14:textId="3C2BE598" w:rsidR="00806E1B" w:rsidRDefault="00512C76">
          <w:pPr>
            <w:pStyle w:val="TOC3"/>
            <w:rPr>
              <w:rFonts w:asciiTheme="minorHAnsi" w:eastAsiaTheme="minorEastAsia" w:hAnsiTheme="minorHAnsi" w:cstheme="minorBidi"/>
              <w:b w:val="0"/>
              <w:noProof/>
              <w:szCs w:val="22"/>
              <w:lang w:eastAsia="en-AU"/>
            </w:rPr>
          </w:pPr>
          <w:hyperlink w:anchor="_Toc70418955" w:history="1">
            <w:r w:rsidR="00806E1B" w:rsidRPr="00984351">
              <w:rPr>
                <w:rStyle w:val="Hyperlink"/>
                <w:noProof/>
              </w:rPr>
              <w:t>3.3.1 Efficacy of risk minimisation in Australia to date</w:t>
            </w:r>
            <w:r w:rsidR="00806E1B">
              <w:rPr>
                <w:noProof/>
                <w:webHidden/>
              </w:rPr>
              <w:tab/>
            </w:r>
            <w:r w:rsidR="00806E1B">
              <w:rPr>
                <w:noProof/>
                <w:webHidden/>
              </w:rPr>
              <w:fldChar w:fldCharType="begin"/>
            </w:r>
            <w:r w:rsidR="00806E1B">
              <w:rPr>
                <w:noProof/>
                <w:webHidden/>
              </w:rPr>
              <w:instrText xml:space="preserve"> PAGEREF _Toc70418955 \h </w:instrText>
            </w:r>
            <w:r w:rsidR="00806E1B">
              <w:rPr>
                <w:noProof/>
                <w:webHidden/>
              </w:rPr>
            </w:r>
            <w:r w:rsidR="00806E1B">
              <w:rPr>
                <w:noProof/>
                <w:webHidden/>
              </w:rPr>
              <w:fldChar w:fldCharType="separate"/>
            </w:r>
            <w:r w:rsidR="00806E1B">
              <w:rPr>
                <w:noProof/>
                <w:webHidden/>
              </w:rPr>
              <w:t>30</w:t>
            </w:r>
            <w:r w:rsidR="00806E1B">
              <w:rPr>
                <w:noProof/>
                <w:webHidden/>
              </w:rPr>
              <w:fldChar w:fldCharType="end"/>
            </w:r>
          </w:hyperlink>
        </w:p>
        <w:p w14:paraId="1B985914" w14:textId="0B3DF207" w:rsidR="00806E1B" w:rsidRDefault="00512C76">
          <w:pPr>
            <w:pStyle w:val="TOC3"/>
            <w:rPr>
              <w:rFonts w:asciiTheme="minorHAnsi" w:eastAsiaTheme="minorEastAsia" w:hAnsiTheme="minorHAnsi" w:cstheme="minorBidi"/>
              <w:b w:val="0"/>
              <w:noProof/>
              <w:szCs w:val="22"/>
              <w:lang w:eastAsia="en-AU"/>
            </w:rPr>
          </w:pPr>
          <w:hyperlink w:anchor="_Toc70418956" w:history="1">
            <w:r w:rsidR="00806E1B" w:rsidRPr="00984351">
              <w:rPr>
                <w:rStyle w:val="Hyperlink"/>
                <w:noProof/>
              </w:rPr>
              <w:t>3.3.2 ACM advice on adequacy of current risk minimisation measures</w:t>
            </w:r>
            <w:r w:rsidR="00806E1B">
              <w:rPr>
                <w:noProof/>
                <w:webHidden/>
              </w:rPr>
              <w:tab/>
            </w:r>
            <w:r w:rsidR="00806E1B">
              <w:rPr>
                <w:noProof/>
                <w:webHidden/>
              </w:rPr>
              <w:fldChar w:fldCharType="begin"/>
            </w:r>
            <w:r w:rsidR="00806E1B">
              <w:rPr>
                <w:noProof/>
                <w:webHidden/>
              </w:rPr>
              <w:instrText xml:space="preserve"> PAGEREF _Toc70418956 \h </w:instrText>
            </w:r>
            <w:r w:rsidR="00806E1B">
              <w:rPr>
                <w:noProof/>
                <w:webHidden/>
              </w:rPr>
            </w:r>
            <w:r w:rsidR="00806E1B">
              <w:rPr>
                <w:noProof/>
                <w:webHidden/>
              </w:rPr>
              <w:fldChar w:fldCharType="separate"/>
            </w:r>
            <w:r w:rsidR="00806E1B">
              <w:rPr>
                <w:noProof/>
                <w:webHidden/>
              </w:rPr>
              <w:t>31</w:t>
            </w:r>
            <w:r w:rsidR="00806E1B">
              <w:rPr>
                <w:noProof/>
                <w:webHidden/>
              </w:rPr>
              <w:fldChar w:fldCharType="end"/>
            </w:r>
          </w:hyperlink>
        </w:p>
        <w:p w14:paraId="3E9E062B" w14:textId="4914A128" w:rsidR="00806E1B" w:rsidRDefault="00512C76">
          <w:pPr>
            <w:pStyle w:val="TOC3"/>
            <w:rPr>
              <w:rFonts w:asciiTheme="minorHAnsi" w:eastAsiaTheme="minorEastAsia" w:hAnsiTheme="minorHAnsi" w:cstheme="minorBidi"/>
              <w:b w:val="0"/>
              <w:noProof/>
              <w:szCs w:val="22"/>
              <w:lang w:eastAsia="en-AU"/>
            </w:rPr>
          </w:pPr>
          <w:hyperlink w:anchor="_Toc70418957" w:history="1">
            <w:r w:rsidR="00806E1B" w:rsidRPr="00984351">
              <w:rPr>
                <w:rStyle w:val="Hyperlink"/>
                <w:noProof/>
              </w:rPr>
              <w:t>3.3.3 ACM advice on access to psychological therapies</w:t>
            </w:r>
            <w:r w:rsidR="00806E1B">
              <w:rPr>
                <w:noProof/>
                <w:webHidden/>
              </w:rPr>
              <w:tab/>
            </w:r>
            <w:r w:rsidR="00806E1B">
              <w:rPr>
                <w:noProof/>
                <w:webHidden/>
              </w:rPr>
              <w:fldChar w:fldCharType="begin"/>
            </w:r>
            <w:r w:rsidR="00806E1B">
              <w:rPr>
                <w:noProof/>
                <w:webHidden/>
              </w:rPr>
              <w:instrText xml:space="preserve"> PAGEREF _Toc70418957 \h </w:instrText>
            </w:r>
            <w:r w:rsidR="00806E1B">
              <w:rPr>
                <w:noProof/>
                <w:webHidden/>
              </w:rPr>
            </w:r>
            <w:r w:rsidR="00806E1B">
              <w:rPr>
                <w:noProof/>
                <w:webHidden/>
              </w:rPr>
              <w:fldChar w:fldCharType="separate"/>
            </w:r>
            <w:r w:rsidR="00806E1B">
              <w:rPr>
                <w:noProof/>
                <w:webHidden/>
              </w:rPr>
              <w:t>32</w:t>
            </w:r>
            <w:r w:rsidR="00806E1B">
              <w:rPr>
                <w:noProof/>
                <w:webHidden/>
              </w:rPr>
              <w:fldChar w:fldCharType="end"/>
            </w:r>
          </w:hyperlink>
        </w:p>
        <w:p w14:paraId="4F5F7869" w14:textId="238DCD99" w:rsidR="00806E1B" w:rsidRDefault="00512C76">
          <w:pPr>
            <w:pStyle w:val="TOC1"/>
            <w:rPr>
              <w:rFonts w:asciiTheme="minorHAnsi" w:eastAsiaTheme="minorEastAsia" w:hAnsiTheme="minorHAnsi" w:cstheme="minorBidi"/>
              <w:b w:val="0"/>
              <w:noProof/>
              <w:sz w:val="22"/>
              <w:szCs w:val="22"/>
              <w:lang w:eastAsia="en-AU"/>
            </w:rPr>
          </w:pPr>
          <w:hyperlink w:anchor="_Toc70418958" w:history="1">
            <w:r w:rsidR="00806E1B" w:rsidRPr="00984351">
              <w:rPr>
                <w:rStyle w:val="Hyperlink"/>
                <w:noProof/>
              </w:rPr>
              <w:t>4. Conclusions and recommendations</w:t>
            </w:r>
            <w:r w:rsidR="00806E1B">
              <w:rPr>
                <w:noProof/>
                <w:webHidden/>
              </w:rPr>
              <w:tab/>
            </w:r>
            <w:r w:rsidR="00806E1B">
              <w:rPr>
                <w:noProof/>
                <w:webHidden/>
              </w:rPr>
              <w:fldChar w:fldCharType="begin"/>
            </w:r>
            <w:r w:rsidR="00806E1B">
              <w:rPr>
                <w:noProof/>
                <w:webHidden/>
              </w:rPr>
              <w:instrText xml:space="preserve"> PAGEREF _Toc70418958 \h </w:instrText>
            </w:r>
            <w:r w:rsidR="00806E1B">
              <w:rPr>
                <w:noProof/>
                <w:webHidden/>
              </w:rPr>
            </w:r>
            <w:r w:rsidR="00806E1B">
              <w:rPr>
                <w:noProof/>
                <w:webHidden/>
              </w:rPr>
              <w:fldChar w:fldCharType="separate"/>
            </w:r>
            <w:r w:rsidR="00806E1B">
              <w:rPr>
                <w:noProof/>
                <w:webHidden/>
              </w:rPr>
              <w:t>32</w:t>
            </w:r>
            <w:r w:rsidR="00806E1B">
              <w:rPr>
                <w:noProof/>
                <w:webHidden/>
              </w:rPr>
              <w:fldChar w:fldCharType="end"/>
            </w:r>
          </w:hyperlink>
        </w:p>
        <w:p w14:paraId="1C9B375A" w14:textId="0A2A8DFE" w:rsidR="00806E1B" w:rsidRDefault="00512C76">
          <w:pPr>
            <w:pStyle w:val="TOC2"/>
            <w:rPr>
              <w:rFonts w:asciiTheme="minorHAnsi" w:eastAsiaTheme="minorEastAsia" w:hAnsiTheme="minorHAnsi" w:cstheme="minorBidi"/>
              <w:b w:val="0"/>
              <w:noProof/>
              <w:sz w:val="22"/>
              <w:szCs w:val="22"/>
              <w:lang w:eastAsia="en-AU"/>
            </w:rPr>
          </w:pPr>
          <w:hyperlink w:anchor="_Toc70418959" w:history="1">
            <w:r w:rsidR="00806E1B" w:rsidRPr="00984351">
              <w:rPr>
                <w:rStyle w:val="Hyperlink"/>
                <w:noProof/>
              </w:rPr>
              <w:t>4.1 Conclusions</w:t>
            </w:r>
            <w:r w:rsidR="00806E1B">
              <w:rPr>
                <w:noProof/>
                <w:webHidden/>
              </w:rPr>
              <w:tab/>
            </w:r>
            <w:r w:rsidR="00806E1B">
              <w:rPr>
                <w:noProof/>
                <w:webHidden/>
              </w:rPr>
              <w:fldChar w:fldCharType="begin"/>
            </w:r>
            <w:r w:rsidR="00806E1B">
              <w:rPr>
                <w:noProof/>
                <w:webHidden/>
              </w:rPr>
              <w:instrText xml:space="preserve"> PAGEREF _Toc70418959 \h </w:instrText>
            </w:r>
            <w:r w:rsidR="00806E1B">
              <w:rPr>
                <w:noProof/>
                <w:webHidden/>
              </w:rPr>
            </w:r>
            <w:r w:rsidR="00806E1B">
              <w:rPr>
                <w:noProof/>
                <w:webHidden/>
              </w:rPr>
              <w:fldChar w:fldCharType="separate"/>
            </w:r>
            <w:r w:rsidR="00806E1B">
              <w:rPr>
                <w:noProof/>
                <w:webHidden/>
              </w:rPr>
              <w:t>32</w:t>
            </w:r>
            <w:r w:rsidR="00806E1B">
              <w:rPr>
                <w:noProof/>
                <w:webHidden/>
              </w:rPr>
              <w:fldChar w:fldCharType="end"/>
            </w:r>
          </w:hyperlink>
        </w:p>
        <w:p w14:paraId="09A73E0E" w14:textId="300AAA22" w:rsidR="00806E1B" w:rsidRDefault="00512C76">
          <w:pPr>
            <w:pStyle w:val="TOC2"/>
            <w:rPr>
              <w:rFonts w:asciiTheme="minorHAnsi" w:eastAsiaTheme="minorEastAsia" w:hAnsiTheme="minorHAnsi" w:cstheme="minorBidi"/>
              <w:b w:val="0"/>
              <w:noProof/>
              <w:sz w:val="22"/>
              <w:szCs w:val="22"/>
              <w:lang w:eastAsia="en-AU"/>
            </w:rPr>
          </w:pPr>
          <w:hyperlink w:anchor="_Toc70418960" w:history="1">
            <w:r w:rsidR="00806E1B" w:rsidRPr="00984351">
              <w:rPr>
                <w:rStyle w:val="Hyperlink"/>
                <w:noProof/>
              </w:rPr>
              <w:t>4.2 Recommendations</w:t>
            </w:r>
            <w:r w:rsidR="00806E1B">
              <w:rPr>
                <w:noProof/>
                <w:webHidden/>
              </w:rPr>
              <w:tab/>
            </w:r>
            <w:r w:rsidR="00806E1B">
              <w:rPr>
                <w:noProof/>
                <w:webHidden/>
              </w:rPr>
              <w:fldChar w:fldCharType="begin"/>
            </w:r>
            <w:r w:rsidR="00806E1B">
              <w:rPr>
                <w:noProof/>
                <w:webHidden/>
              </w:rPr>
              <w:instrText xml:space="preserve"> PAGEREF _Toc70418960 \h </w:instrText>
            </w:r>
            <w:r w:rsidR="00806E1B">
              <w:rPr>
                <w:noProof/>
                <w:webHidden/>
              </w:rPr>
            </w:r>
            <w:r w:rsidR="00806E1B">
              <w:rPr>
                <w:noProof/>
                <w:webHidden/>
              </w:rPr>
              <w:fldChar w:fldCharType="separate"/>
            </w:r>
            <w:r w:rsidR="00806E1B">
              <w:rPr>
                <w:noProof/>
                <w:webHidden/>
              </w:rPr>
              <w:t>33</w:t>
            </w:r>
            <w:r w:rsidR="00806E1B">
              <w:rPr>
                <w:noProof/>
                <w:webHidden/>
              </w:rPr>
              <w:fldChar w:fldCharType="end"/>
            </w:r>
          </w:hyperlink>
        </w:p>
        <w:p w14:paraId="70046810" w14:textId="53D3765D" w:rsidR="00806E1B" w:rsidRDefault="00512C76">
          <w:pPr>
            <w:pStyle w:val="TOC1"/>
            <w:rPr>
              <w:rFonts w:asciiTheme="minorHAnsi" w:eastAsiaTheme="minorEastAsia" w:hAnsiTheme="minorHAnsi" w:cstheme="minorBidi"/>
              <w:b w:val="0"/>
              <w:noProof/>
              <w:sz w:val="22"/>
              <w:szCs w:val="22"/>
              <w:lang w:eastAsia="en-AU"/>
            </w:rPr>
          </w:pPr>
          <w:hyperlink w:anchor="_Toc70418961" w:history="1">
            <w:r w:rsidR="00806E1B" w:rsidRPr="00984351">
              <w:rPr>
                <w:rStyle w:val="Hyperlink"/>
                <w:noProof/>
              </w:rPr>
              <w:t>5. References</w:t>
            </w:r>
            <w:r w:rsidR="00806E1B">
              <w:rPr>
                <w:noProof/>
                <w:webHidden/>
              </w:rPr>
              <w:tab/>
            </w:r>
            <w:r w:rsidR="00806E1B">
              <w:rPr>
                <w:noProof/>
                <w:webHidden/>
              </w:rPr>
              <w:fldChar w:fldCharType="begin"/>
            </w:r>
            <w:r w:rsidR="00806E1B">
              <w:rPr>
                <w:noProof/>
                <w:webHidden/>
              </w:rPr>
              <w:instrText xml:space="preserve"> PAGEREF _Toc70418961 \h </w:instrText>
            </w:r>
            <w:r w:rsidR="00806E1B">
              <w:rPr>
                <w:noProof/>
                <w:webHidden/>
              </w:rPr>
            </w:r>
            <w:r w:rsidR="00806E1B">
              <w:rPr>
                <w:noProof/>
                <w:webHidden/>
              </w:rPr>
              <w:fldChar w:fldCharType="separate"/>
            </w:r>
            <w:r w:rsidR="00806E1B">
              <w:rPr>
                <w:noProof/>
                <w:webHidden/>
              </w:rPr>
              <w:t>34</w:t>
            </w:r>
            <w:r w:rsidR="00806E1B">
              <w:rPr>
                <w:noProof/>
                <w:webHidden/>
              </w:rPr>
              <w:fldChar w:fldCharType="end"/>
            </w:r>
          </w:hyperlink>
        </w:p>
        <w:p w14:paraId="74192ADD" w14:textId="5C0C9C78" w:rsidR="00806E1B" w:rsidRDefault="00512C76">
          <w:pPr>
            <w:pStyle w:val="TOC1"/>
            <w:rPr>
              <w:rFonts w:asciiTheme="minorHAnsi" w:eastAsiaTheme="minorEastAsia" w:hAnsiTheme="minorHAnsi" w:cstheme="minorBidi"/>
              <w:b w:val="0"/>
              <w:noProof/>
              <w:sz w:val="22"/>
              <w:szCs w:val="22"/>
              <w:lang w:eastAsia="en-AU"/>
            </w:rPr>
          </w:pPr>
          <w:hyperlink w:anchor="_Toc70418962" w:history="1">
            <w:r w:rsidR="00806E1B" w:rsidRPr="00984351">
              <w:rPr>
                <w:rStyle w:val="Hyperlink"/>
                <w:noProof/>
              </w:rPr>
              <w:t>6. Appendices</w:t>
            </w:r>
            <w:r w:rsidR="00806E1B">
              <w:rPr>
                <w:noProof/>
                <w:webHidden/>
              </w:rPr>
              <w:tab/>
            </w:r>
            <w:r w:rsidR="00806E1B">
              <w:rPr>
                <w:noProof/>
                <w:webHidden/>
              </w:rPr>
              <w:fldChar w:fldCharType="begin"/>
            </w:r>
            <w:r w:rsidR="00806E1B">
              <w:rPr>
                <w:noProof/>
                <w:webHidden/>
              </w:rPr>
              <w:instrText xml:space="preserve"> PAGEREF _Toc70418962 \h </w:instrText>
            </w:r>
            <w:r w:rsidR="00806E1B">
              <w:rPr>
                <w:noProof/>
                <w:webHidden/>
              </w:rPr>
            </w:r>
            <w:r w:rsidR="00806E1B">
              <w:rPr>
                <w:noProof/>
                <w:webHidden/>
              </w:rPr>
              <w:fldChar w:fldCharType="separate"/>
            </w:r>
            <w:r w:rsidR="00806E1B">
              <w:rPr>
                <w:noProof/>
                <w:webHidden/>
              </w:rPr>
              <w:t>38</w:t>
            </w:r>
            <w:r w:rsidR="00806E1B">
              <w:rPr>
                <w:noProof/>
                <w:webHidden/>
              </w:rPr>
              <w:fldChar w:fldCharType="end"/>
            </w:r>
          </w:hyperlink>
        </w:p>
        <w:p w14:paraId="048E66A3" w14:textId="02B67DC7" w:rsidR="00806E1B" w:rsidRDefault="00512C76">
          <w:pPr>
            <w:pStyle w:val="TOC2"/>
            <w:rPr>
              <w:rFonts w:asciiTheme="minorHAnsi" w:eastAsiaTheme="minorEastAsia" w:hAnsiTheme="minorHAnsi" w:cstheme="minorBidi"/>
              <w:b w:val="0"/>
              <w:noProof/>
              <w:sz w:val="22"/>
              <w:szCs w:val="22"/>
              <w:lang w:eastAsia="en-AU"/>
            </w:rPr>
          </w:pPr>
          <w:hyperlink w:anchor="_Toc70418963" w:history="1">
            <w:r w:rsidR="00806E1B" w:rsidRPr="00984351">
              <w:rPr>
                <w:rStyle w:val="Hyperlink"/>
                <w:noProof/>
              </w:rPr>
              <w:t>Appendix 1 – List of antidepressants registered for the treatment of depression in Australia (ATC code N06A) – registered indications and PBS availability</w:t>
            </w:r>
            <w:r w:rsidR="00806E1B">
              <w:rPr>
                <w:noProof/>
                <w:webHidden/>
              </w:rPr>
              <w:tab/>
            </w:r>
            <w:r w:rsidR="00806E1B">
              <w:rPr>
                <w:noProof/>
                <w:webHidden/>
              </w:rPr>
              <w:fldChar w:fldCharType="begin"/>
            </w:r>
            <w:r w:rsidR="00806E1B">
              <w:rPr>
                <w:noProof/>
                <w:webHidden/>
              </w:rPr>
              <w:instrText xml:space="preserve"> PAGEREF _Toc70418963 \h </w:instrText>
            </w:r>
            <w:r w:rsidR="00806E1B">
              <w:rPr>
                <w:noProof/>
                <w:webHidden/>
              </w:rPr>
            </w:r>
            <w:r w:rsidR="00806E1B">
              <w:rPr>
                <w:noProof/>
                <w:webHidden/>
              </w:rPr>
              <w:fldChar w:fldCharType="separate"/>
            </w:r>
            <w:r w:rsidR="00806E1B">
              <w:rPr>
                <w:noProof/>
                <w:webHidden/>
              </w:rPr>
              <w:t>38</w:t>
            </w:r>
            <w:r w:rsidR="00806E1B">
              <w:rPr>
                <w:noProof/>
                <w:webHidden/>
              </w:rPr>
              <w:fldChar w:fldCharType="end"/>
            </w:r>
          </w:hyperlink>
        </w:p>
        <w:p w14:paraId="6604228D" w14:textId="6773F759" w:rsidR="00806E1B" w:rsidRDefault="00512C76">
          <w:pPr>
            <w:pStyle w:val="TOC2"/>
            <w:rPr>
              <w:rFonts w:asciiTheme="minorHAnsi" w:eastAsiaTheme="minorEastAsia" w:hAnsiTheme="minorHAnsi" w:cstheme="minorBidi"/>
              <w:b w:val="0"/>
              <w:noProof/>
              <w:sz w:val="22"/>
              <w:szCs w:val="22"/>
              <w:lang w:eastAsia="en-AU"/>
            </w:rPr>
          </w:pPr>
          <w:hyperlink w:anchor="_Toc70418964" w:history="1">
            <w:r w:rsidR="00806E1B" w:rsidRPr="00984351">
              <w:rPr>
                <w:rStyle w:val="Hyperlink"/>
                <w:noProof/>
              </w:rPr>
              <w:t>Appendix 2 – TGA DAEN search strategy for youth suicide reported with the use of antidepressants – 19 November 2020</w:t>
            </w:r>
            <w:r w:rsidR="00806E1B">
              <w:rPr>
                <w:noProof/>
                <w:webHidden/>
              </w:rPr>
              <w:tab/>
            </w:r>
            <w:r w:rsidR="00806E1B">
              <w:rPr>
                <w:noProof/>
                <w:webHidden/>
              </w:rPr>
              <w:fldChar w:fldCharType="begin"/>
            </w:r>
            <w:r w:rsidR="00806E1B">
              <w:rPr>
                <w:noProof/>
                <w:webHidden/>
              </w:rPr>
              <w:instrText xml:space="preserve"> PAGEREF _Toc70418964 \h </w:instrText>
            </w:r>
            <w:r w:rsidR="00806E1B">
              <w:rPr>
                <w:noProof/>
                <w:webHidden/>
              </w:rPr>
            </w:r>
            <w:r w:rsidR="00806E1B">
              <w:rPr>
                <w:noProof/>
                <w:webHidden/>
              </w:rPr>
              <w:fldChar w:fldCharType="separate"/>
            </w:r>
            <w:r w:rsidR="00806E1B">
              <w:rPr>
                <w:noProof/>
                <w:webHidden/>
              </w:rPr>
              <w:t>43</w:t>
            </w:r>
            <w:r w:rsidR="00806E1B">
              <w:rPr>
                <w:noProof/>
                <w:webHidden/>
              </w:rPr>
              <w:fldChar w:fldCharType="end"/>
            </w:r>
          </w:hyperlink>
        </w:p>
        <w:p w14:paraId="47AE62EC" w14:textId="741137F9" w:rsidR="00806E1B" w:rsidRDefault="00512C76">
          <w:pPr>
            <w:pStyle w:val="TOC2"/>
            <w:rPr>
              <w:rFonts w:asciiTheme="minorHAnsi" w:eastAsiaTheme="minorEastAsia" w:hAnsiTheme="minorHAnsi" w:cstheme="minorBidi"/>
              <w:b w:val="0"/>
              <w:noProof/>
              <w:sz w:val="22"/>
              <w:szCs w:val="22"/>
              <w:lang w:eastAsia="en-AU"/>
            </w:rPr>
          </w:pPr>
          <w:hyperlink w:anchor="_Toc70418965" w:history="1">
            <w:r w:rsidR="00806E1B" w:rsidRPr="00984351">
              <w:rPr>
                <w:rStyle w:val="Hyperlink"/>
                <w:noProof/>
              </w:rPr>
              <w:t>Appendix 3 – Case line listing of completed suicides reported with use of antidepressants – 19 November 2020</w:t>
            </w:r>
            <w:r w:rsidR="00806E1B">
              <w:rPr>
                <w:noProof/>
                <w:webHidden/>
              </w:rPr>
              <w:tab/>
            </w:r>
            <w:r w:rsidR="00806E1B">
              <w:rPr>
                <w:noProof/>
                <w:webHidden/>
              </w:rPr>
              <w:fldChar w:fldCharType="begin"/>
            </w:r>
            <w:r w:rsidR="00806E1B">
              <w:rPr>
                <w:noProof/>
                <w:webHidden/>
              </w:rPr>
              <w:instrText xml:space="preserve"> PAGEREF _Toc70418965 \h </w:instrText>
            </w:r>
            <w:r w:rsidR="00806E1B">
              <w:rPr>
                <w:noProof/>
                <w:webHidden/>
              </w:rPr>
            </w:r>
            <w:r w:rsidR="00806E1B">
              <w:rPr>
                <w:noProof/>
                <w:webHidden/>
              </w:rPr>
              <w:fldChar w:fldCharType="separate"/>
            </w:r>
            <w:r w:rsidR="00806E1B">
              <w:rPr>
                <w:noProof/>
                <w:webHidden/>
              </w:rPr>
              <w:t>44</w:t>
            </w:r>
            <w:r w:rsidR="00806E1B">
              <w:rPr>
                <w:noProof/>
                <w:webHidden/>
              </w:rPr>
              <w:fldChar w:fldCharType="end"/>
            </w:r>
          </w:hyperlink>
        </w:p>
        <w:p w14:paraId="0815E090" w14:textId="4C392D4A" w:rsidR="00806E1B" w:rsidRDefault="00512C76">
          <w:pPr>
            <w:pStyle w:val="TOC2"/>
            <w:rPr>
              <w:rFonts w:asciiTheme="minorHAnsi" w:eastAsiaTheme="minorEastAsia" w:hAnsiTheme="minorHAnsi" w:cstheme="minorBidi"/>
              <w:b w:val="0"/>
              <w:noProof/>
              <w:sz w:val="22"/>
              <w:szCs w:val="22"/>
              <w:lang w:eastAsia="en-AU"/>
            </w:rPr>
          </w:pPr>
          <w:hyperlink w:anchor="_Toc70418966" w:history="1">
            <w:r w:rsidR="00806E1B" w:rsidRPr="00984351">
              <w:rPr>
                <w:rStyle w:val="Hyperlink"/>
                <w:noProof/>
              </w:rPr>
              <w:t>Appendix 4 – Number of antidepressant patients and distribution for drug classes, under age 25 years, Australia 2013-2019</w:t>
            </w:r>
            <w:r w:rsidR="00806E1B">
              <w:rPr>
                <w:noProof/>
                <w:webHidden/>
              </w:rPr>
              <w:tab/>
            </w:r>
            <w:r w:rsidR="00806E1B">
              <w:rPr>
                <w:noProof/>
                <w:webHidden/>
              </w:rPr>
              <w:fldChar w:fldCharType="begin"/>
            </w:r>
            <w:r w:rsidR="00806E1B">
              <w:rPr>
                <w:noProof/>
                <w:webHidden/>
              </w:rPr>
              <w:instrText xml:space="preserve"> PAGEREF _Toc70418966 \h </w:instrText>
            </w:r>
            <w:r w:rsidR="00806E1B">
              <w:rPr>
                <w:noProof/>
                <w:webHidden/>
              </w:rPr>
            </w:r>
            <w:r w:rsidR="00806E1B">
              <w:rPr>
                <w:noProof/>
                <w:webHidden/>
              </w:rPr>
              <w:fldChar w:fldCharType="separate"/>
            </w:r>
            <w:r w:rsidR="00806E1B">
              <w:rPr>
                <w:noProof/>
                <w:webHidden/>
              </w:rPr>
              <w:t>47</w:t>
            </w:r>
            <w:r w:rsidR="00806E1B">
              <w:rPr>
                <w:noProof/>
                <w:webHidden/>
              </w:rPr>
              <w:fldChar w:fldCharType="end"/>
            </w:r>
          </w:hyperlink>
        </w:p>
        <w:p w14:paraId="4A54AC35" w14:textId="72A78FC3" w:rsidR="00806E1B" w:rsidRDefault="00512C76">
          <w:pPr>
            <w:pStyle w:val="TOC2"/>
            <w:rPr>
              <w:rFonts w:asciiTheme="minorHAnsi" w:eastAsiaTheme="minorEastAsia" w:hAnsiTheme="minorHAnsi" w:cstheme="minorBidi"/>
              <w:b w:val="0"/>
              <w:noProof/>
              <w:sz w:val="22"/>
              <w:szCs w:val="22"/>
              <w:lang w:eastAsia="en-AU"/>
            </w:rPr>
          </w:pPr>
          <w:hyperlink w:anchor="_Toc70418967" w:history="1">
            <w:r w:rsidR="00806E1B" w:rsidRPr="00984351">
              <w:rPr>
                <w:rStyle w:val="Hyperlink"/>
                <w:noProof/>
              </w:rPr>
              <w:t>Appendix 5 – Age-specific number of antidepressant patients and distribution for drug classes, Australia 2013-2019</w:t>
            </w:r>
            <w:r w:rsidR="00806E1B">
              <w:rPr>
                <w:noProof/>
                <w:webHidden/>
              </w:rPr>
              <w:tab/>
            </w:r>
            <w:r w:rsidR="00806E1B">
              <w:rPr>
                <w:noProof/>
                <w:webHidden/>
              </w:rPr>
              <w:fldChar w:fldCharType="begin"/>
            </w:r>
            <w:r w:rsidR="00806E1B">
              <w:rPr>
                <w:noProof/>
                <w:webHidden/>
              </w:rPr>
              <w:instrText xml:space="preserve"> PAGEREF _Toc70418967 \h </w:instrText>
            </w:r>
            <w:r w:rsidR="00806E1B">
              <w:rPr>
                <w:noProof/>
                <w:webHidden/>
              </w:rPr>
            </w:r>
            <w:r w:rsidR="00806E1B">
              <w:rPr>
                <w:noProof/>
                <w:webHidden/>
              </w:rPr>
              <w:fldChar w:fldCharType="separate"/>
            </w:r>
            <w:r w:rsidR="00806E1B">
              <w:rPr>
                <w:noProof/>
                <w:webHidden/>
              </w:rPr>
              <w:t>48</w:t>
            </w:r>
            <w:r w:rsidR="00806E1B">
              <w:rPr>
                <w:noProof/>
                <w:webHidden/>
              </w:rPr>
              <w:fldChar w:fldCharType="end"/>
            </w:r>
          </w:hyperlink>
        </w:p>
        <w:p w14:paraId="2D5F5A6D" w14:textId="3EFC5634" w:rsidR="00806E1B" w:rsidRDefault="00512C76">
          <w:pPr>
            <w:pStyle w:val="TOC2"/>
            <w:rPr>
              <w:rFonts w:asciiTheme="minorHAnsi" w:eastAsiaTheme="minorEastAsia" w:hAnsiTheme="minorHAnsi" w:cstheme="minorBidi"/>
              <w:b w:val="0"/>
              <w:noProof/>
              <w:sz w:val="22"/>
              <w:szCs w:val="22"/>
              <w:lang w:eastAsia="en-AU"/>
            </w:rPr>
          </w:pPr>
          <w:hyperlink w:anchor="_Toc70418968" w:history="1">
            <w:r w:rsidR="00806E1B" w:rsidRPr="00984351">
              <w:rPr>
                <w:rStyle w:val="Hyperlink"/>
                <w:noProof/>
              </w:rPr>
              <w:t>Appendix 6 – Prescriber specialty, incident antidepressant use by paediatric patients, Australia</w:t>
            </w:r>
            <w:r w:rsidR="00806E1B">
              <w:rPr>
                <w:noProof/>
                <w:webHidden/>
              </w:rPr>
              <w:tab/>
            </w:r>
            <w:r w:rsidR="00806E1B">
              <w:rPr>
                <w:noProof/>
                <w:webHidden/>
              </w:rPr>
              <w:fldChar w:fldCharType="begin"/>
            </w:r>
            <w:r w:rsidR="00806E1B">
              <w:rPr>
                <w:noProof/>
                <w:webHidden/>
              </w:rPr>
              <w:instrText xml:space="preserve"> PAGEREF _Toc70418968 \h </w:instrText>
            </w:r>
            <w:r w:rsidR="00806E1B">
              <w:rPr>
                <w:noProof/>
                <w:webHidden/>
              </w:rPr>
            </w:r>
            <w:r w:rsidR="00806E1B">
              <w:rPr>
                <w:noProof/>
                <w:webHidden/>
              </w:rPr>
              <w:fldChar w:fldCharType="separate"/>
            </w:r>
            <w:r w:rsidR="00806E1B">
              <w:rPr>
                <w:noProof/>
                <w:webHidden/>
              </w:rPr>
              <w:t>50</w:t>
            </w:r>
            <w:r w:rsidR="00806E1B">
              <w:rPr>
                <w:noProof/>
                <w:webHidden/>
              </w:rPr>
              <w:fldChar w:fldCharType="end"/>
            </w:r>
          </w:hyperlink>
        </w:p>
        <w:p w14:paraId="3E1CD406" w14:textId="053D6B0A" w:rsidR="00806E1B" w:rsidRDefault="00512C76">
          <w:pPr>
            <w:pStyle w:val="TOC2"/>
            <w:rPr>
              <w:rFonts w:asciiTheme="minorHAnsi" w:eastAsiaTheme="minorEastAsia" w:hAnsiTheme="minorHAnsi" w:cstheme="minorBidi"/>
              <w:b w:val="0"/>
              <w:noProof/>
              <w:sz w:val="22"/>
              <w:szCs w:val="22"/>
              <w:lang w:eastAsia="en-AU"/>
            </w:rPr>
          </w:pPr>
          <w:hyperlink w:anchor="_Toc70418969" w:history="1">
            <w:r w:rsidR="00806E1B" w:rsidRPr="00984351">
              <w:rPr>
                <w:rStyle w:val="Hyperlink"/>
                <w:noProof/>
              </w:rPr>
              <w:t>Appendix 7 – Results from linear probability models of paediatrician/psychiatrist prescribers vs. others, first antidepressant use by children and adolescents, Australia 2015-2019</w:t>
            </w:r>
            <w:r w:rsidR="00806E1B">
              <w:rPr>
                <w:noProof/>
                <w:webHidden/>
              </w:rPr>
              <w:tab/>
            </w:r>
            <w:r w:rsidR="00806E1B">
              <w:rPr>
                <w:noProof/>
                <w:webHidden/>
              </w:rPr>
              <w:fldChar w:fldCharType="begin"/>
            </w:r>
            <w:r w:rsidR="00806E1B">
              <w:rPr>
                <w:noProof/>
                <w:webHidden/>
              </w:rPr>
              <w:instrText xml:space="preserve"> PAGEREF _Toc70418969 \h </w:instrText>
            </w:r>
            <w:r w:rsidR="00806E1B">
              <w:rPr>
                <w:noProof/>
                <w:webHidden/>
              </w:rPr>
            </w:r>
            <w:r w:rsidR="00806E1B">
              <w:rPr>
                <w:noProof/>
                <w:webHidden/>
              </w:rPr>
              <w:fldChar w:fldCharType="separate"/>
            </w:r>
            <w:r w:rsidR="00806E1B">
              <w:rPr>
                <w:noProof/>
                <w:webHidden/>
              </w:rPr>
              <w:t>51</w:t>
            </w:r>
            <w:r w:rsidR="00806E1B">
              <w:rPr>
                <w:noProof/>
                <w:webHidden/>
              </w:rPr>
              <w:fldChar w:fldCharType="end"/>
            </w:r>
          </w:hyperlink>
        </w:p>
        <w:p w14:paraId="3103A762" w14:textId="47DF6266" w:rsidR="00F401EF" w:rsidRPr="00215D48" w:rsidRDefault="00F859D2" w:rsidP="00F401EF">
          <w:r w:rsidRPr="00215D48">
            <w:fldChar w:fldCharType="end"/>
          </w:r>
        </w:p>
      </w:sdtContent>
    </w:sdt>
    <w:p w14:paraId="4312552F" w14:textId="4D96B417" w:rsidR="005614F5" w:rsidRDefault="00DC7B4A" w:rsidP="00DC7B4A">
      <w:pPr>
        <w:pStyle w:val="Heading2"/>
        <w:pageBreakBefore/>
        <w:spacing w:before="0"/>
      </w:pPr>
      <w:bookmarkStart w:id="0" w:name="_Toc57132508"/>
      <w:bookmarkStart w:id="1" w:name="_Toc70418932"/>
      <w:bookmarkStart w:id="2" w:name="_Toc323739589"/>
      <w:bookmarkStart w:id="3" w:name="_Toc356305216"/>
      <w:r>
        <w:lastRenderedPageBreak/>
        <w:t xml:space="preserve">1. </w:t>
      </w:r>
      <w:r w:rsidR="005614F5">
        <w:t>Executive summary</w:t>
      </w:r>
      <w:bookmarkEnd w:id="0"/>
      <w:bookmarkEnd w:id="1"/>
    </w:p>
    <w:p w14:paraId="1031AB25" w14:textId="41E83F24" w:rsidR="005614F5" w:rsidRDefault="0056062F" w:rsidP="00485B71">
      <w:r w:rsidRPr="0056062F">
        <w:t>This safety investigation was conducted by the Therapeutic Goods Administration (TGA) in response to a review article by Whitely, Raven, and Jureidini, in July 2020 that identified a decade long pattern of increasing antidepressant use and increasing rate of suicide in young Australians. Whitely, et al., postulated that increased antidepressant use may have contributed to the rising rate of youth suicide in Australia they identified.</w:t>
      </w:r>
      <w:r w:rsidR="008F274B" w:rsidRPr="003642F2">
        <w:rPr>
          <w:vertAlign w:val="superscript"/>
        </w:rPr>
        <w:t>1</w:t>
      </w:r>
    </w:p>
    <w:p w14:paraId="0A5617A2" w14:textId="6BAA1D45" w:rsidR="00485B71" w:rsidRDefault="00164DCF" w:rsidP="00164DCF">
      <w:r>
        <w:t>Th</w:t>
      </w:r>
      <w:r w:rsidR="00485B71">
        <w:t xml:space="preserve">e </w:t>
      </w:r>
      <w:r w:rsidR="002C3E3F">
        <w:t>aims of this safety investigation were to assess</w:t>
      </w:r>
      <w:r w:rsidR="00485B71">
        <w:t>:</w:t>
      </w:r>
    </w:p>
    <w:p w14:paraId="5F725010" w14:textId="77777777" w:rsidR="0056062F" w:rsidRDefault="0056062F" w:rsidP="0056062F">
      <w:pPr>
        <w:pStyle w:val="Numberbullet0"/>
      </w:pPr>
      <w:r>
        <w:t>The strength of the current evidence for a causal association between prescribing of antidepressants and rates of youth suicide;</w:t>
      </w:r>
    </w:p>
    <w:p w14:paraId="3F76715F" w14:textId="77777777" w:rsidR="0056062F" w:rsidRDefault="0056062F" w:rsidP="0056062F">
      <w:pPr>
        <w:pStyle w:val="Numberbullet0"/>
      </w:pPr>
      <w:r>
        <w:t>The international regulatory landscape with respect to use of antidepressants in children and adolescents and risk minimisation;</w:t>
      </w:r>
    </w:p>
    <w:p w14:paraId="3DE81125" w14:textId="77777777" w:rsidR="0056062F" w:rsidRDefault="0056062F" w:rsidP="0056062F">
      <w:pPr>
        <w:pStyle w:val="Numberbullet0"/>
      </w:pPr>
      <w:r>
        <w:t xml:space="preserve">The current role of antidepressants in clinical practice for the treatment of psychiatric and developmental disorders in young people in Australia; and </w:t>
      </w:r>
    </w:p>
    <w:p w14:paraId="549DDA3F" w14:textId="3954A08C" w:rsidR="00164DCF" w:rsidRDefault="0056062F" w:rsidP="0056062F">
      <w:pPr>
        <w:pStyle w:val="Numberbullet0"/>
      </w:pPr>
      <w:r>
        <w:t>Whether the current risk minimisation measures in place in Australia are adequate.</w:t>
      </w:r>
    </w:p>
    <w:p w14:paraId="43B5FD1D" w14:textId="77777777" w:rsidR="0056062F" w:rsidRDefault="0056062F" w:rsidP="0056062F">
      <w:pPr>
        <w:spacing w:after="120"/>
      </w:pPr>
      <w:r>
        <w:t>Clinical worsening of depression and suicidality in the early phases of antidepressant treatment in young people is a recognised potential risk identified in clinical trials.  However, young people with depression may experience worsening of their depressive symptoms and/or the emergence of suicidality whether or not they are taking antidepressant medications and this risk may persist until significant remission occurs.</w:t>
      </w:r>
    </w:p>
    <w:p w14:paraId="37BC1741" w14:textId="77777777" w:rsidR="0056062F" w:rsidRDefault="0056062F" w:rsidP="0056062F">
      <w:pPr>
        <w:spacing w:after="120"/>
      </w:pPr>
      <w:r>
        <w:t>Whitely, et al., compared changes in Pharmaceutical Benefits Scheme (PBS) antidepressant dispensing from 2003 to 2018 for young Australians (aged &lt;28 years) with youth suicide rates (for people aged &lt;25 years) from the Australian Bureau of Statistics (ABS). They found that Australian youth suicide rates have trended upwards in the previous two decades and there has been an increase in antidepressant dispensing in youths in the same period. Whitely et al state that “</w:t>
      </w:r>
      <w:r w:rsidRPr="0056062F">
        <w:rPr>
          <w:i/>
        </w:rPr>
        <w:t>there is clear evidence that more young Australians are taking antidepressants, and more young Australians are killing themselves and self-harming…</w:t>
      </w:r>
      <w:r>
        <w:t>”.</w:t>
      </w:r>
    </w:p>
    <w:p w14:paraId="45D4EAA9" w14:textId="77777777" w:rsidR="0056062F" w:rsidRDefault="0056062F" w:rsidP="0056062F">
      <w:pPr>
        <w:spacing w:after="120"/>
      </w:pPr>
      <w:r>
        <w:t>A number of limitations of the Whitely, et al. article, were identified by the TGA and the authors themselves. These include uncontrolled confounding and conclusions drawn from imperfect data. A TGA analysis of PBS dispensing data confirms a steady increase in the rate of antidepressant prescribing to young people in Australia, both male and female, between 2013 and 2019. Rates of suicide of young people in Australia have also increased but with a more complex trajectory, with male and female suicide rates showing differing trends.</w:t>
      </w:r>
    </w:p>
    <w:p w14:paraId="143B2B44" w14:textId="77777777" w:rsidR="0056062F" w:rsidRDefault="0056062F" w:rsidP="0056062F">
      <w:pPr>
        <w:spacing w:after="120"/>
      </w:pPr>
      <w:r>
        <w:t>As part of this investigation, the TGA sought advice from the Advisory Committee on Medicines (ACM).  The ACM advised that there is a valid and important role for selective serotonin reuptake inhibitors (SSRIs) and serotonin-noradrenaline reuptake inhibitors (SNRIs) in current clinical practice in treating moderate-to-severe depression in children and adolescents, supported by professional guidelines. The ACM noted that psychological therapies are recommended as the first line treatment for depressive disorders in children and adolescents.  The ACM also noted that access to publicly funded psychological therapies for young Australians is often  limited.  The ACM expressed concern around the increasing use of antidepressants in young people in the absence of other alternatives and recommended the development of further clinical guidance to support the safe prescribing of antidepressants to young people in whom antidepressant therapy is clinically appropriate.</w:t>
      </w:r>
    </w:p>
    <w:p w14:paraId="112FA036" w14:textId="3CF78953" w:rsidR="00983C1A" w:rsidRDefault="0056062F" w:rsidP="0056062F">
      <w:r>
        <w:t>While the increasing use of antidepressants in young people is a concern, the strength of the current evidence is insufficient to conclude that a causal relationship exists between prescribing of antidepressants and increasing rates of youth suicide. Analysis of linked PBS data and suicide data is required to further explore any potential causal relationship between antidepressants and increased rates of youth suicide in Australia.</w:t>
      </w:r>
    </w:p>
    <w:p w14:paraId="23E1F700" w14:textId="4B52F25E" w:rsidR="003D69BB" w:rsidRDefault="008F274B">
      <w:r>
        <w:lastRenderedPageBreak/>
        <w:t xml:space="preserve">Based on the </w:t>
      </w:r>
      <w:r w:rsidR="00852520">
        <w:t>findings</w:t>
      </w:r>
      <w:r>
        <w:t xml:space="preserve"> of this safety investigation, </w:t>
      </w:r>
      <w:r w:rsidR="001766D7">
        <w:t>the TGA will</w:t>
      </w:r>
      <w:r w:rsidR="00983C1A">
        <w:t>:</w:t>
      </w:r>
    </w:p>
    <w:p w14:paraId="2A3865C7" w14:textId="77777777" w:rsidR="0056062F" w:rsidRDefault="0056062F" w:rsidP="0056062F">
      <w:pPr>
        <w:pStyle w:val="Numberbullet0"/>
        <w:numPr>
          <w:ilvl w:val="0"/>
          <w:numId w:val="38"/>
        </w:numPr>
      </w:pPr>
      <w:r>
        <w:t xml:space="preserve">Liaise with the relevant professional colleges regarding the outcomes of our review and ACM advice, and, in particular, the need for additional clinical guidelines for general practitioners around the management of depression and prescribing of antidepressants to children, adolescents and young people. Letters have already been sent from the TGA to the Royal Australian College of General Practitioners, the Royal College of Physicians and the Royal Australian and New Zealand College of Psychiatrists, to advise them of the ACM advice and request that these bodies work collaboratively towards providing additional guidance for pharmacological management of depression in young people. </w:t>
      </w:r>
    </w:p>
    <w:p w14:paraId="77155994" w14:textId="13B9A253" w:rsidR="00AD77DB" w:rsidRDefault="0056062F" w:rsidP="0056062F">
      <w:pPr>
        <w:pStyle w:val="Numberbullet0"/>
        <w:numPr>
          <w:ilvl w:val="0"/>
          <w:numId w:val="38"/>
        </w:numPr>
      </w:pPr>
      <w:r>
        <w:t xml:space="preserve">Explore potential analysis of linked PBS, Medicare Benefits Schedule (MBS), hospital and death data to further investigate the clinical journeys of young people prescribed antidepressants in Australia and the relationship between antidepressants and rates of youth suicide. In addition there will be consideration of the utility of established datasets held by the Australian Bureau of Statistics and the Australian Institute of Health and Welfare. This work will commence in early 2021 subject to access to data. </w:t>
      </w:r>
    </w:p>
    <w:p w14:paraId="4D92D348" w14:textId="702F1607" w:rsidR="001525B4" w:rsidRDefault="00EA0347" w:rsidP="00CC3D50">
      <w:pPr>
        <w:pStyle w:val="Heading2"/>
        <w:spacing w:before="360"/>
      </w:pPr>
      <w:bookmarkStart w:id="4" w:name="_Toc57132509"/>
      <w:bookmarkStart w:id="5" w:name="_Toc57132510"/>
      <w:bookmarkStart w:id="6" w:name="_Toc70418933"/>
      <w:bookmarkEnd w:id="4"/>
      <w:r>
        <w:t xml:space="preserve">2. </w:t>
      </w:r>
      <w:r w:rsidR="00A826B3">
        <w:t>Introduction and b</w:t>
      </w:r>
      <w:r w:rsidR="00C4750B">
        <w:t>ackground</w:t>
      </w:r>
      <w:bookmarkEnd w:id="2"/>
      <w:bookmarkEnd w:id="3"/>
      <w:bookmarkEnd w:id="5"/>
      <w:bookmarkEnd w:id="6"/>
    </w:p>
    <w:p w14:paraId="53F8D64F" w14:textId="368E74A4" w:rsidR="009B1176" w:rsidRPr="009B1176" w:rsidRDefault="00EA0347" w:rsidP="00EA0347">
      <w:pPr>
        <w:pStyle w:val="Heading3"/>
        <w:spacing w:before="360"/>
      </w:pPr>
      <w:bookmarkStart w:id="7" w:name="_Toc57132511"/>
      <w:bookmarkStart w:id="8" w:name="_Toc70418934"/>
      <w:r>
        <w:t xml:space="preserve">2.1 </w:t>
      </w:r>
      <w:r w:rsidR="009B1176" w:rsidRPr="009B1176">
        <w:t>Introduction</w:t>
      </w:r>
      <w:bookmarkEnd w:id="7"/>
      <w:bookmarkEnd w:id="8"/>
    </w:p>
    <w:p w14:paraId="07F36C54" w14:textId="77777777" w:rsidR="00CC3D50" w:rsidRPr="00CC3D50" w:rsidRDefault="00CC3D50" w:rsidP="00CC3D50">
      <w:pPr>
        <w:rPr>
          <w:szCs w:val="22"/>
        </w:rPr>
      </w:pPr>
      <w:r w:rsidRPr="00CC3D50">
        <w:rPr>
          <w:szCs w:val="22"/>
        </w:rPr>
        <w:t>Concerns about an association between antidepressant use and increased risk of suicide first emerged in the 1990s.</w:t>
      </w:r>
      <w:r w:rsidRPr="006A6C48">
        <w:rPr>
          <w:szCs w:val="22"/>
          <w:vertAlign w:val="superscript"/>
        </w:rPr>
        <w:t>2</w:t>
      </w:r>
      <w:r w:rsidRPr="00CC3D50">
        <w:rPr>
          <w:szCs w:val="22"/>
        </w:rPr>
        <w:t xml:space="preserve"> Product Information (PI) and Consumer Medicine Information (CMI) documents for antidepressants in Australia contain warnings about the risk of worsening depression and emerging suicidality, and advise patients and caregivers to closely monitor for worsening symptoms and suicidal thoughts.  </w:t>
      </w:r>
    </w:p>
    <w:p w14:paraId="208F9043" w14:textId="77777777" w:rsidR="00CC3D50" w:rsidRPr="00CC3D50" w:rsidRDefault="00CC3D50" w:rsidP="00CC3D50">
      <w:pPr>
        <w:rPr>
          <w:szCs w:val="22"/>
        </w:rPr>
      </w:pPr>
      <w:r w:rsidRPr="00CC3D50">
        <w:rPr>
          <w:szCs w:val="22"/>
        </w:rPr>
        <w:t>In a review article published in July 2020, Whitely, Raven and Jureidini postulated that increased antidepressant use by young Australians may be contributing to the apparent rise in youth suicide.</w:t>
      </w:r>
      <w:r w:rsidRPr="00652CC8">
        <w:rPr>
          <w:szCs w:val="22"/>
          <w:vertAlign w:val="superscript"/>
        </w:rPr>
        <w:t>1</w:t>
      </w:r>
      <w:r w:rsidRPr="00CC3D50">
        <w:rPr>
          <w:szCs w:val="22"/>
        </w:rPr>
        <w:t xml:space="preserve"> Whitely, et al., highlighted that PBS antidepressant dispensing to people aged less than 28 years and suicide rates in people aged less than 25 years had both increased between 2009 and 2018. The authors acknowledged that correlation does not prove causation, and reflected on the multiplicity of risk factors associated with suicide.</w:t>
      </w:r>
    </w:p>
    <w:p w14:paraId="14C03E1C" w14:textId="3E9E1839" w:rsidR="000F4ED9" w:rsidRPr="007C7870" w:rsidRDefault="00CC3D50" w:rsidP="00CC3D50">
      <w:r w:rsidRPr="00CC3D50">
        <w:rPr>
          <w:szCs w:val="22"/>
        </w:rPr>
        <w:t>In response to this review article, the TGA has undertaken an investigation to consider:</w:t>
      </w:r>
    </w:p>
    <w:p w14:paraId="2F434B62" w14:textId="77777777" w:rsidR="00CC3D50" w:rsidRDefault="00CC3D50" w:rsidP="00CC3D50">
      <w:pPr>
        <w:pStyle w:val="ListBullet"/>
      </w:pPr>
      <w:r>
        <w:t>the strength of the current evidence for the association between antidepressants and youth suicide;</w:t>
      </w:r>
    </w:p>
    <w:p w14:paraId="43AFAC45" w14:textId="77777777" w:rsidR="00CC3D50" w:rsidRDefault="00CC3D50" w:rsidP="00CC3D50">
      <w:pPr>
        <w:pStyle w:val="ListBullet"/>
      </w:pPr>
      <w:r>
        <w:t>the international regulatory landscape with respect to antidepressants and youth suicide;</w:t>
      </w:r>
    </w:p>
    <w:p w14:paraId="45709959" w14:textId="77777777" w:rsidR="00CC3D50" w:rsidRDefault="00CC3D50" w:rsidP="00CC3D50">
      <w:pPr>
        <w:pStyle w:val="ListBullet"/>
      </w:pPr>
      <w:r>
        <w:t>the current role of antidepressants in clinical practice for the treatment of psychiatric and developmental disorders in children, adolescents and young adults in Australia; and</w:t>
      </w:r>
    </w:p>
    <w:p w14:paraId="5A3F91D7" w14:textId="0A677067" w:rsidR="00703B99" w:rsidRDefault="00CC3D50" w:rsidP="00CC3D50">
      <w:pPr>
        <w:pStyle w:val="ListBullet"/>
      </w:pPr>
      <w:r>
        <w:t>whether the current risk minimisation measures in place in Australia are adequate.</w:t>
      </w:r>
    </w:p>
    <w:p w14:paraId="5121AF8E" w14:textId="15A780E2" w:rsidR="008661E8" w:rsidRDefault="00CC3D50" w:rsidP="00B2273E">
      <w:r w:rsidRPr="00CC3D50">
        <w:t>The TGA investigation considered a number of sources of information including:</w:t>
      </w:r>
    </w:p>
    <w:p w14:paraId="398F764F" w14:textId="77777777" w:rsidR="00CC3D50" w:rsidRDefault="00CC3D50" w:rsidP="00CC3D50">
      <w:pPr>
        <w:pStyle w:val="ListBullet"/>
      </w:pPr>
      <w:r>
        <w:t>available clinical guidelines;</w:t>
      </w:r>
    </w:p>
    <w:p w14:paraId="4FBA7A62" w14:textId="77777777" w:rsidR="00CC3D50" w:rsidRDefault="00CC3D50" w:rsidP="00CC3D50">
      <w:pPr>
        <w:pStyle w:val="ListBullet"/>
      </w:pPr>
      <w:r>
        <w:t>adverse event data;</w:t>
      </w:r>
    </w:p>
    <w:p w14:paraId="3FF5D898" w14:textId="77777777" w:rsidR="00CC3D50" w:rsidRDefault="00CC3D50" w:rsidP="00CC3D50">
      <w:pPr>
        <w:pStyle w:val="ListBullet"/>
      </w:pPr>
      <w:r>
        <w:t>peer-reviewed literature;</w:t>
      </w:r>
    </w:p>
    <w:p w14:paraId="558314A3" w14:textId="77777777" w:rsidR="00CC3D50" w:rsidRDefault="00CC3D50" w:rsidP="00CC3D50">
      <w:pPr>
        <w:pStyle w:val="ListBullet"/>
      </w:pPr>
      <w:r>
        <w:t>dispensing and death data; and</w:t>
      </w:r>
    </w:p>
    <w:p w14:paraId="1F70D805" w14:textId="55E61D65" w:rsidR="00B2273E" w:rsidRDefault="00CC3D50" w:rsidP="00CC3D50">
      <w:pPr>
        <w:pStyle w:val="ListBullet"/>
      </w:pPr>
      <w:r>
        <w:t>advice from the ACM.</w:t>
      </w:r>
    </w:p>
    <w:p w14:paraId="2E1B808E" w14:textId="1F891834" w:rsidR="000F4ED9" w:rsidRDefault="00847827" w:rsidP="00847827">
      <w:pPr>
        <w:pStyle w:val="Heading3"/>
      </w:pPr>
      <w:bookmarkStart w:id="9" w:name="_Toc57132512"/>
      <w:bookmarkStart w:id="10" w:name="_Toc70418935"/>
      <w:r>
        <w:lastRenderedPageBreak/>
        <w:t xml:space="preserve">2.2 </w:t>
      </w:r>
      <w:r w:rsidR="000F4ED9">
        <w:t>Products</w:t>
      </w:r>
      <w:r w:rsidR="00447015">
        <w:t xml:space="preserve">, </w:t>
      </w:r>
      <w:r w:rsidR="000F4ED9">
        <w:t>registered indications</w:t>
      </w:r>
      <w:bookmarkEnd w:id="9"/>
      <w:r w:rsidR="00447015">
        <w:t xml:space="preserve"> and PBS status</w:t>
      </w:r>
      <w:bookmarkEnd w:id="10"/>
    </w:p>
    <w:p w14:paraId="2DB38706" w14:textId="77777777" w:rsidR="0095368F" w:rsidRDefault="0095368F" w:rsidP="0095368F">
      <w:r>
        <w:t>There are several different classes of medicine that fit within the umbrella term antidepressant. The active ingredients entered on the Australian Register of Therapeutic Goods (ARTG) in each class for the treatment of depression are listed in Table 1. Many of these medicines have additional indications for the treatment of other mental health conditions, such as various anxiety disorders, obsessive-compulsive disorder, and pre-menstrual dysphoric disorder.</w:t>
      </w:r>
    </w:p>
    <w:p w14:paraId="5B4FBE6E" w14:textId="77777777" w:rsidR="0095368F" w:rsidRDefault="0095368F" w:rsidP="0095368F">
      <w:r>
        <w:t>The majority of these antidepressants are registered for use only in adults, with the exception of sertraline and fluvoxamine products, which have an indication for treatment of obsessive-compulsive disorder (OCD) in children aged 6 or 8 years and over respectively. With the exception of these approved indications for the treatment of OCD, use of antidepressants in individuals under the age of 18 is considered “off-label” in Australia. Off-label prescribing is very common in paediatric populations because the clinical trials on which approved indications are based are usually conducted in adults.</w:t>
      </w:r>
    </w:p>
    <w:p w14:paraId="1D496638" w14:textId="77777777" w:rsidR="0095368F" w:rsidRDefault="0095368F" w:rsidP="0095368F">
      <w:r>
        <w:t>Most antidepressants available in Australia are subsidised under the Pharmaceutical Benefits Scheme (PBS), with the exception of vortioxetine and agomelatine. Amitriptyline, dosulepin, doxepin, imipramine and tranylcypromine are included on the General Schedule without any restriction on prescribing to receive PBS reimbursement. All other antidepressants are listed as a Restricted Benefit, meaning that they can only be prescribed for the listed indication(s) in order to receive PBS reimbursement. There is no restriction on age group for PBS prescriptions of antidepressants.</w:t>
      </w:r>
    </w:p>
    <w:p w14:paraId="2BCD23E9" w14:textId="23E3272C" w:rsidR="00447015" w:rsidRDefault="0095368F" w:rsidP="0095368F">
      <w:r>
        <w:t>Appendix 1 lists antidepressant medicines entered on the ARTG, their approved indications and their PBS status in Australia.</w:t>
      </w:r>
    </w:p>
    <w:p w14:paraId="2F764EB8" w14:textId="5B4F0EE4" w:rsidR="00F52F18" w:rsidRPr="00FD25ED" w:rsidRDefault="00F52F18" w:rsidP="00847827">
      <w:pPr>
        <w:pStyle w:val="Tabletitle"/>
      </w:pPr>
      <w:r w:rsidRPr="00A90400">
        <w:t xml:space="preserve">Table 1: </w:t>
      </w:r>
      <w:r w:rsidR="008F1E14">
        <w:t>A</w:t>
      </w:r>
      <w:r w:rsidRPr="00A90400">
        <w:t xml:space="preserve">ntidepressants </w:t>
      </w:r>
      <w:r w:rsidR="00722816">
        <w:t>approved</w:t>
      </w:r>
      <w:r w:rsidR="00722816" w:rsidRPr="00A90400">
        <w:t xml:space="preserve"> </w:t>
      </w:r>
      <w:r w:rsidRPr="00A90400">
        <w:t>in Australia (ATC code N06A</w:t>
      </w:r>
      <w:r w:rsidR="007A4ACE">
        <w:rPr>
          <w:rStyle w:val="FootnoteReference"/>
        </w:rPr>
        <w:footnoteReference w:id="1"/>
      </w:r>
      <w:r w:rsidRPr="00A90400">
        <w:t>)</w:t>
      </w:r>
    </w:p>
    <w:tbl>
      <w:tblPr>
        <w:tblStyle w:val="TableTGAblue"/>
        <w:tblW w:w="0" w:type="auto"/>
        <w:tblLook w:val="04A0" w:firstRow="1" w:lastRow="0" w:firstColumn="1" w:lastColumn="0" w:noHBand="0" w:noVBand="1"/>
      </w:tblPr>
      <w:tblGrid>
        <w:gridCol w:w="4503"/>
        <w:gridCol w:w="4503"/>
      </w:tblGrid>
      <w:tr w:rsidR="00F52F18" w14:paraId="57B9CE53" w14:textId="77777777" w:rsidTr="00F52F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14:paraId="20FB2B1B" w14:textId="576045DD" w:rsidR="00F52F18" w:rsidRDefault="00F52F18" w:rsidP="00847827">
            <w:pPr>
              <w:spacing w:before="80" w:after="80"/>
            </w:pPr>
            <w:r>
              <w:t xml:space="preserve">Medicine </w:t>
            </w:r>
            <w:r w:rsidR="00847827">
              <w:t>c</w:t>
            </w:r>
            <w:r>
              <w:t>lass</w:t>
            </w:r>
          </w:p>
        </w:tc>
        <w:tc>
          <w:tcPr>
            <w:tcW w:w="4503" w:type="dxa"/>
          </w:tcPr>
          <w:p w14:paraId="5EB16D45" w14:textId="58DBEF16" w:rsidR="00F52F18" w:rsidRDefault="00F52F18" w:rsidP="00847827">
            <w:pPr>
              <w:spacing w:before="80" w:after="80"/>
              <w:cnfStyle w:val="100000000000" w:firstRow="1" w:lastRow="0" w:firstColumn="0" w:lastColumn="0" w:oddVBand="0" w:evenVBand="0" w:oddHBand="0" w:evenHBand="0" w:firstRowFirstColumn="0" w:firstRowLastColumn="0" w:lastRowFirstColumn="0" w:lastRowLastColumn="0"/>
            </w:pPr>
            <w:r>
              <w:t>Active ingredients</w:t>
            </w:r>
          </w:p>
        </w:tc>
      </w:tr>
      <w:tr w:rsidR="00F52F18" w14:paraId="3F59E918" w14:textId="77777777" w:rsidTr="00F52F18">
        <w:tc>
          <w:tcPr>
            <w:cnfStyle w:val="001000000000" w:firstRow="0" w:lastRow="0" w:firstColumn="1" w:lastColumn="0" w:oddVBand="0" w:evenVBand="0" w:oddHBand="0" w:evenHBand="0" w:firstRowFirstColumn="0" w:firstRowLastColumn="0" w:lastRowFirstColumn="0" w:lastRowLastColumn="0"/>
            <w:tcW w:w="4503" w:type="dxa"/>
          </w:tcPr>
          <w:p w14:paraId="0E2D3354" w14:textId="59B1DD31" w:rsidR="00F52F18" w:rsidRDefault="0095368F" w:rsidP="00847827">
            <w:pPr>
              <w:spacing w:before="80" w:after="80"/>
            </w:pPr>
            <w:r w:rsidRPr="0095368F">
              <w:t>Selective serotonin reuptake inhibitors (SSRIs)</w:t>
            </w:r>
          </w:p>
        </w:tc>
        <w:tc>
          <w:tcPr>
            <w:tcW w:w="4503" w:type="dxa"/>
          </w:tcPr>
          <w:p w14:paraId="5DF4F5E4"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Citalopram</w:t>
            </w:r>
          </w:p>
          <w:p w14:paraId="198A11F5"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Escitalopram</w:t>
            </w:r>
          </w:p>
          <w:p w14:paraId="60DFAD95"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Fluoxetine</w:t>
            </w:r>
          </w:p>
          <w:p w14:paraId="00131535"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Fluvoxamine</w:t>
            </w:r>
          </w:p>
          <w:p w14:paraId="77215131"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Paroxetine</w:t>
            </w:r>
          </w:p>
          <w:p w14:paraId="7716C393" w14:textId="5434B4D2" w:rsidR="00F52F18" w:rsidRPr="00764438"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Sertraline</w:t>
            </w:r>
          </w:p>
        </w:tc>
      </w:tr>
      <w:tr w:rsidR="00F52F18" w14:paraId="429AF30E" w14:textId="77777777" w:rsidTr="00F52F18">
        <w:tc>
          <w:tcPr>
            <w:cnfStyle w:val="001000000000" w:firstRow="0" w:lastRow="0" w:firstColumn="1" w:lastColumn="0" w:oddVBand="0" w:evenVBand="0" w:oddHBand="0" w:evenHBand="0" w:firstRowFirstColumn="0" w:firstRowLastColumn="0" w:lastRowFirstColumn="0" w:lastRowLastColumn="0"/>
            <w:tcW w:w="4503" w:type="dxa"/>
          </w:tcPr>
          <w:p w14:paraId="77501FF2" w14:textId="49B574AF" w:rsidR="00F52F18" w:rsidRDefault="0095368F" w:rsidP="00847827">
            <w:pPr>
              <w:spacing w:before="80" w:after="80"/>
            </w:pPr>
            <w:r w:rsidRPr="0095368F">
              <w:t>Serotonin and noradrenaline reuptake inhibitors (SNRIs)</w:t>
            </w:r>
          </w:p>
        </w:tc>
        <w:tc>
          <w:tcPr>
            <w:tcW w:w="4503" w:type="dxa"/>
          </w:tcPr>
          <w:p w14:paraId="4B41D22E"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Desvenlafaxine</w:t>
            </w:r>
          </w:p>
          <w:p w14:paraId="372919C9"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Duloxetine</w:t>
            </w:r>
          </w:p>
          <w:p w14:paraId="57E68C23" w14:textId="3ECEFD26" w:rsidR="00EF0937" w:rsidRPr="00EF0937"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Venlafaxine</w:t>
            </w:r>
          </w:p>
        </w:tc>
      </w:tr>
      <w:tr w:rsidR="00F52F18" w14:paraId="2956AE52" w14:textId="77777777" w:rsidTr="00F52F18">
        <w:tc>
          <w:tcPr>
            <w:cnfStyle w:val="001000000000" w:firstRow="0" w:lastRow="0" w:firstColumn="1" w:lastColumn="0" w:oddVBand="0" w:evenVBand="0" w:oddHBand="0" w:evenHBand="0" w:firstRowFirstColumn="0" w:firstRowLastColumn="0" w:lastRowFirstColumn="0" w:lastRowLastColumn="0"/>
            <w:tcW w:w="4503" w:type="dxa"/>
          </w:tcPr>
          <w:p w14:paraId="4D6B3FD8" w14:textId="2787B630" w:rsidR="00F52F18" w:rsidRDefault="0095368F" w:rsidP="00847827">
            <w:pPr>
              <w:spacing w:before="80" w:after="80"/>
            </w:pPr>
            <w:r w:rsidRPr="0095368F">
              <w:t>Tricyclic antidepressants (TCAs)</w:t>
            </w:r>
          </w:p>
        </w:tc>
        <w:tc>
          <w:tcPr>
            <w:tcW w:w="4503" w:type="dxa"/>
          </w:tcPr>
          <w:p w14:paraId="5125CE6B"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Amitriptyline</w:t>
            </w:r>
          </w:p>
          <w:p w14:paraId="326CB2DE"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Clomipramine</w:t>
            </w:r>
          </w:p>
          <w:p w14:paraId="0F16B9E1"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Dosulepin</w:t>
            </w:r>
          </w:p>
          <w:p w14:paraId="75E5AE4C"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Doxepin</w:t>
            </w:r>
          </w:p>
          <w:p w14:paraId="075C9758"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Imipramine</w:t>
            </w:r>
          </w:p>
          <w:p w14:paraId="267D208E" w14:textId="0626B6A8" w:rsidR="00EF0937" w:rsidRPr="00EF0937"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Nortriptyline</w:t>
            </w:r>
          </w:p>
        </w:tc>
      </w:tr>
      <w:tr w:rsidR="00F52F18" w14:paraId="2BCF472D" w14:textId="77777777" w:rsidTr="00F52F18">
        <w:tc>
          <w:tcPr>
            <w:cnfStyle w:val="001000000000" w:firstRow="0" w:lastRow="0" w:firstColumn="1" w:lastColumn="0" w:oddVBand="0" w:evenVBand="0" w:oddHBand="0" w:evenHBand="0" w:firstRowFirstColumn="0" w:firstRowLastColumn="0" w:lastRowFirstColumn="0" w:lastRowLastColumn="0"/>
            <w:tcW w:w="4503" w:type="dxa"/>
          </w:tcPr>
          <w:p w14:paraId="7D6A453F" w14:textId="1F027E52" w:rsidR="00F52F18" w:rsidRDefault="0095368F" w:rsidP="00847827">
            <w:pPr>
              <w:spacing w:before="80" w:after="80"/>
            </w:pPr>
            <w:r w:rsidRPr="0095368F">
              <w:lastRenderedPageBreak/>
              <w:t>Monoamine oxidase inhibitors (MAOIs)</w:t>
            </w:r>
          </w:p>
        </w:tc>
        <w:tc>
          <w:tcPr>
            <w:tcW w:w="4503" w:type="dxa"/>
          </w:tcPr>
          <w:p w14:paraId="408A853B"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Phenelzine</w:t>
            </w:r>
          </w:p>
          <w:p w14:paraId="70EF6A56" w14:textId="1D260B31" w:rsidR="00962BD8" w:rsidRPr="00764438"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Tranylcypromine</w:t>
            </w:r>
          </w:p>
        </w:tc>
      </w:tr>
      <w:tr w:rsidR="00962BD8" w14:paraId="3842304B" w14:textId="77777777" w:rsidTr="00F52F18">
        <w:tc>
          <w:tcPr>
            <w:cnfStyle w:val="001000000000" w:firstRow="0" w:lastRow="0" w:firstColumn="1" w:lastColumn="0" w:oddVBand="0" w:evenVBand="0" w:oddHBand="0" w:evenHBand="0" w:firstRowFirstColumn="0" w:firstRowLastColumn="0" w:lastRowFirstColumn="0" w:lastRowLastColumn="0"/>
            <w:tcW w:w="4503" w:type="dxa"/>
          </w:tcPr>
          <w:p w14:paraId="5A1D4A92" w14:textId="023E3152" w:rsidR="00962BD8" w:rsidRDefault="00962BD8" w:rsidP="00847827">
            <w:pPr>
              <w:spacing w:before="80" w:after="80"/>
            </w:pPr>
            <w:r>
              <w:t>Other</w:t>
            </w:r>
          </w:p>
        </w:tc>
        <w:tc>
          <w:tcPr>
            <w:tcW w:w="4503" w:type="dxa"/>
          </w:tcPr>
          <w:p w14:paraId="3465593E"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Agomelatine</w:t>
            </w:r>
          </w:p>
          <w:p w14:paraId="2F1D6462"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Mianserin</w:t>
            </w:r>
          </w:p>
          <w:p w14:paraId="15A0DAAC"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Mirtazapine</w:t>
            </w:r>
          </w:p>
          <w:p w14:paraId="56F1AE82"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Moclobemide</w:t>
            </w:r>
          </w:p>
          <w:p w14:paraId="10C089A5" w14:textId="77777777" w:rsidR="0095368F"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Reboxetine</w:t>
            </w:r>
          </w:p>
          <w:p w14:paraId="30C2B262" w14:textId="456D3F4E" w:rsidR="00962BD8" w:rsidRPr="00EF0937" w:rsidRDefault="0095368F" w:rsidP="0095368F">
            <w:pPr>
              <w:pStyle w:val="ListBullet"/>
              <w:spacing w:before="80" w:after="80"/>
              <w:ind w:left="357" w:hanging="357"/>
              <w:cnfStyle w:val="000000000000" w:firstRow="0" w:lastRow="0" w:firstColumn="0" w:lastColumn="0" w:oddVBand="0" w:evenVBand="0" w:oddHBand="0" w:evenHBand="0" w:firstRowFirstColumn="0" w:firstRowLastColumn="0" w:lastRowFirstColumn="0" w:lastRowLastColumn="0"/>
            </w:pPr>
            <w:r>
              <w:t>Vortioxetine</w:t>
            </w:r>
          </w:p>
        </w:tc>
      </w:tr>
    </w:tbl>
    <w:p w14:paraId="4CFD8035" w14:textId="583A598F" w:rsidR="006E717A" w:rsidRDefault="00847827" w:rsidP="00847827">
      <w:pPr>
        <w:pStyle w:val="Heading3"/>
      </w:pPr>
      <w:bookmarkStart w:id="11" w:name="_Toc57044642"/>
      <w:bookmarkStart w:id="12" w:name="_Toc57132514"/>
      <w:bookmarkStart w:id="13" w:name="_Toc57132515"/>
      <w:bookmarkStart w:id="14" w:name="_Toc70418936"/>
      <w:bookmarkEnd w:id="11"/>
      <w:bookmarkEnd w:id="12"/>
      <w:r>
        <w:t xml:space="preserve">2.3 </w:t>
      </w:r>
      <w:r w:rsidR="006E717A">
        <w:t>Previous action</w:t>
      </w:r>
      <w:r w:rsidR="00AF71D0">
        <w:t>s</w:t>
      </w:r>
      <w:r w:rsidR="006E717A">
        <w:t xml:space="preserve"> by the TGA</w:t>
      </w:r>
      <w:bookmarkEnd w:id="13"/>
      <w:bookmarkEnd w:id="14"/>
    </w:p>
    <w:p w14:paraId="5E259E1D" w14:textId="34FCD596" w:rsidR="00447015" w:rsidRDefault="006A6C48" w:rsidP="006E717A">
      <w:pPr>
        <w:autoSpaceDE w:val="0"/>
        <w:autoSpaceDN w:val="0"/>
        <w:rPr>
          <w:szCs w:val="22"/>
        </w:rPr>
      </w:pPr>
      <w:r w:rsidRPr="006A6C48">
        <w:rPr>
          <w:szCs w:val="22"/>
        </w:rPr>
        <w:t>The TGA has previously investigated the issue of antidepressants and suicidality a number of times. A warning and precaution statement about the risks of clinical worsening and suicide was then added to all antidepressant PIs in 2004 and 2005 following consideration of the issue by the Australian Adverse Drug Reactions Advisory Committee (ADRAC – now part of the Advisory Committee on Medicines). This warning statement includes details of potential symptoms experienced and recommendations for monitoring behaviour. As a result, the TGA approved PI documents for all antidepressants registered in Australia include warnings about these risks and specifically mention children, adolescents and young adults. This information is also conveyed in the CMIs for these products.</w:t>
      </w:r>
    </w:p>
    <w:p w14:paraId="342C49AC" w14:textId="7FA8B683" w:rsidR="006E717A" w:rsidRPr="00E87DA4" w:rsidRDefault="006A6C48" w:rsidP="00847827">
      <w:pPr>
        <w:pStyle w:val="Heading4"/>
      </w:pPr>
      <w:bookmarkStart w:id="15" w:name="_Toc70418937"/>
      <w:r w:rsidRPr="006A6C48">
        <w:t>Adverse Drug Reactions Advisory Committee – Use of SSRI antidepressants in children and adolescents</w:t>
      </w:r>
      <w:bookmarkEnd w:id="15"/>
    </w:p>
    <w:p w14:paraId="125415CA" w14:textId="77777777" w:rsidR="006A6C48" w:rsidRDefault="006A6C48" w:rsidP="006A6C48">
      <w:r>
        <w:t>The ADRAC considered the safety and efficacy of SSRI antidepressants and venlafaxine in children and adolescents in 2004, including review of the 2003 evaluation by the UK Committee on Safety of Medicines (CSM)</w:t>
      </w:r>
      <w:r w:rsidRPr="006A6C48">
        <w:rPr>
          <w:vertAlign w:val="superscript"/>
        </w:rPr>
        <w:t>3</w:t>
      </w:r>
      <w:r>
        <w:t xml:space="preserve"> and briefing papers considered by the US FDA. ADRAC also sought advice from the Royal Australian and New Zealand College of Psychiatrists (RANZCP) and the Royal Australasian College of Physicians (RACP) Division of Paediatrics &amp; Child Health. Of note, the CSM advised against the use of venlafaxine or SSRIs (with the exception of fluoxetine) in children and adolescents aged &lt;18 years, following concerns about their possible association with an increased risk of suicide and suicidal behaviour.</w:t>
      </w:r>
      <w:r w:rsidRPr="006A6C48">
        <w:rPr>
          <w:vertAlign w:val="superscript"/>
        </w:rPr>
        <w:t>4</w:t>
      </w:r>
    </w:p>
    <w:p w14:paraId="3ED493CA" w14:textId="77777777" w:rsidR="006A6C48" w:rsidRDefault="006A6C48" w:rsidP="006A6C48">
      <w:r>
        <w:t>ADRAC noted that no antidepressants were approved in Australia for the treatment of major depressive disorder (MDD) in children and adolescents and found that assessment of the published and unpublished data available for SSRI use in children and adolescents indicated that there was some evidence of an increased risk of suicidality, including suicidal ideation, suicide attempts and self-harm events, associated with SSRIs.</w:t>
      </w:r>
    </w:p>
    <w:p w14:paraId="7C368911" w14:textId="77777777" w:rsidR="006A6C48" w:rsidRDefault="006A6C48" w:rsidP="006A6C48">
      <w:r>
        <w:t>ADRAC also identified evidence that fluoxetine was beneficial for the treatment of depression in adolescents with moderate to severe symptoms of MDD and that treatment with fluoxetine plus cognitive behaviour therapy was more beneficial and decreased suicidal ideation compared with placebo by the end of the treatment period.</w:t>
      </w:r>
    </w:p>
    <w:p w14:paraId="53354577" w14:textId="77777777" w:rsidR="006A6C48" w:rsidRDefault="006A6C48" w:rsidP="006A6C48">
      <w:r>
        <w:t>ADRAC noted that, in general, clinical trials of SSRIs in children and adolescents have excluded severely depressed patients and have not adequately monitored participants for self-harm or suicide-related events. Other non-SSRI antidepressants have been subjected to less scrutiny, and may be inefficacious and also associated with suicidality, as well as having other undesirable effects such as the toxicity in overdose of the tricyclics.</w:t>
      </w:r>
    </w:p>
    <w:p w14:paraId="1E94E8FD" w14:textId="3DB6BC79" w:rsidR="006E717A" w:rsidRDefault="006A6C48" w:rsidP="006A6C48">
      <w:r>
        <w:lastRenderedPageBreak/>
        <w:t>Overall, ADRAC considered that the data at the time were not conclusive regarding the efficacy and safety of SSRIs in MDD in children and adolescents and with this in mind, recommended:</w:t>
      </w:r>
    </w:p>
    <w:p w14:paraId="768F38B3" w14:textId="77777777" w:rsidR="006A6C48" w:rsidRDefault="006A6C48" w:rsidP="006A6C48">
      <w:pPr>
        <w:pStyle w:val="Numberbullet0"/>
        <w:numPr>
          <w:ilvl w:val="0"/>
          <w:numId w:val="39"/>
        </w:numPr>
      </w:pPr>
      <w:r>
        <w:t>Any SSRI use in children and adolescents with MDD should be undertaken only within the context of comprehensive management of the patient, as outlined in the NHMRC Clinical Practice Guidelines for Depression in Young People (1997). Such management should include careful monitoring for the emergence of suicidal ideation and behaviour.</w:t>
      </w:r>
    </w:p>
    <w:p w14:paraId="6F7F24C9" w14:textId="77777777" w:rsidR="006A6C48" w:rsidRDefault="006A6C48" w:rsidP="006A6C48">
      <w:pPr>
        <w:pStyle w:val="Numberbullet0"/>
        <w:numPr>
          <w:ilvl w:val="0"/>
          <w:numId w:val="39"/>
        </w:numPr>
      </w:pPr>
      <w:r>
        <w:t xml:space="preserve">The choice of an SSRI for children or adolescents with MDD should be made only after taking into account the recent evaluations of clinical trial data and the PI. Note that the current Australian PI for paroxetine and venlafaxine recommends </w:t>
      </w:r>
      <w:r w:rsidRPr="006A6C48">
        <w:rPr>
          <w:b/>
        </w:rPr>
        <w:t>against</w:t>
      </w:r>
      <w:r>
        <w:t xml:space="preserve"> their use in children and adolescents.</w:t>
      </w:r>
    </w:p>
    <w:p w14:paraId="4C5AE5D9" w14:textId="7BB3134D" w:rsidR="00E227EE" w:rsidRPr="00555584" w:rsidRDefault="006A6C48" w:rsidP="006A6C48">
      <w:pPr>
        <w:pStyle w:val="Numberbullet0"/>
        <w:numPr>
          <w:ilvl w:val="0"/>
          <w:numId w:val="39"/>
        </w:numPr>
      </w:pPr>
      <w:r>
        <w:t>Children and adolescents who are currently being treated for MDD with an SSRI should not have their medication ceased abruptly.</w:t>
      </w:r>
      <w:r w:rsidR="005E0B08" w:rsidRPr="00847827">
        <w:rPr>
          <w:vertAlign w:val="superscript"/>
        </w:rPr>
        <w:t>5</w:t>
      </w:r>
    </w:p>
    <w:p w14:paraId="65ECB749" w14:textId="46873722" w:rsidR="006E717A" w:rsidRPr="00E87DA4" w:rsidRDefault="006E717A" w:rsidP="00847827">
      <w:pPr>
        <w:pStyle w:val="Heading4"/>
        <w:spacing w:before="240"/>
      </w:pPr>
      <w:bookmarkStart w:id="16" w:name="_Toc70418938"/>
      <w:r w:rsidRPr="00E87DA4">
        <w:t>Report of the Psychiatric Drug Safety Expert Advisory Panel</w:t>
      </w:r>
      <w:bookmarkEnd w:id="16"/>
    </w:p>
    <w:p w14:paraId="7348567C" w14:textId="1C2794AA" w:rsidR="006A6C48" w:rsidRDefault="006A6C48" w:rsidP="006A6C48">
      <w:pPr>
        <w:spacing w:after="120"/>
      </w:pPr>
      <w:r>
        <w:t>In August 2008 the TGA established an independent panel of psychiatrists and epidemiologists, the Psychiatric Drug Safety Expert Advisory Panel (PDSEAP), to undertake a specific review of the safety of SSRIs and atypical antipsychotic medicines.</w:t>
      </w:r>
    </w:p>
    <w:p w14:paraId="392AB67A" w14:textId="77777777" w:rsidR="006A6C48" w:rsidRDefault="006A6C48" w:rsidP="006A6C48">
      <w:pPr>
        <w:spacing w:after="120"/>
      </w:pPr>
      <w:r>
        <w:t>The PDSEAP concluded that the risk-benefit balance for each of these medicines remained positive and that they are an effective part of treatment regimens for patients with certain psychiatric conditions.</w:t>
      </w:r>
      <w:r w:rsidRPr="006A6C48">
        <w:rPr>
          <w:vertAlign w:val="superscript"/>
        </w:rPr>
        <w:t>6</w:t>
      </w:r>
    </w:p>
    <w:p w14:paraId="36A741A9" w14:textId="77777777" w:rsidR="006A6C48" w:rsidRDefault="006A6C48" w:rsidP="006A6C48">
      <w:pPr>
        <w:spacing w:after="120"/>
      </w:pPr>
      <w:r>
        <w:t>The PDSEAP undertook a scientific review of a series of case reports submitted to the TGA by a psychiatrist with a special interest in forensic and medico-legal psychiatry. Most of the reports described complicated medication and adverse event histories, in which numerous psychotropic medications had been administered over considerable time periods.</w:t>
      </w:r>
    </w:p>
    <w:p w14:paraId="498EB3FB" w14:textId="77777777" w:rsidR="006A6C48" w:rsidRDefault="006A6C48" w:rsidP="006A6C48">
      <w:pPr>
        <w:spacing w:after="120"/>
      </w:pPr>
      <w:r>
        <w:t>The PDSEAP also undertook extensive literature reviews, with a view to examining the current state of knowledge for a number of topics, including SSRI antidepressants and suicidal mortality, and reconciling this with the appropriateness of information in existing Australian prescribing information documents, including the TGA-approved PI.</w:t>
      </w:r>
    </w:p>
    <w:p w14:paraId="029B77E2" w14:textId="09126DCD" w:rsidR="006A6C48" w:rsidRDefault="006A6C48" w:rsidP="006A6C48">
      <w:pPr>
        <w:spacing w:after="120"/>
      </w:pPr>
      <w:r>
        <w:t>The PDSEAP reviewed evidence on the association between SSRI antidepressants and suicide mortality deriving from meta-analyses of randomised controlled trials (RCTs), observational studies and ecological studies, commenting that each type of study has its strengths and weaknesses. For example, meta-analyses of RCTs are able to increase statistical power by aggregating the number of participants from smaller RCTs, but are limited by short study periods and uncertainty about the validity of using suicidal ideation as a surrogate for suicide risk. Observational studies tend to be larger than RCTs and are able to observe risks in the real world context, but are significantly limited by confounding by indication (higher risk patients being more likely to receive antidepressant treatment). In addition, completed suicide is a relatively rare event in the population, which means an often unfeasibly large number of participants would be required to have the statistical power to detect a difference between groups in an observational study. Ecological studies may be able to identify small effects aggregated over a large exposed population, but are also limited by confounding by indication, and have limited capacity to test alternative explanations for an observed change in suicide rates (e.g. the impact of economic circumstances, or other suicide risk factors).</w:t>
      </w:r>
    </w:p>
    <w:p w14:paraId="2152C875" w14:textId="0806299A" w:rsidR="006A6C48" w:rsidRDefault="006A6C48" w:rsidP="006A6C48">
      <w:r>
        <w:t>The PDSEAP found that children and adolescents were not well represented in the larger observational and ecological studies of the risk of suicide associated with antidepressants. Inconsistent results between studies were noted, with some studies finding that an increased risk of suicide among adolescents prescribed an SSRI was no longer significant after adjustment for confounding by indication. The PDSEAP also noted that evidence of efficacy is less convincing in adolescents than in adults because there have been many fewer placebo controlled RCTs of SSRIs in adolescents than in adults.</w:t>
      </w:r>
    </w:p>
    <w:p w14:paraId="5584DBC0" w14:textId="1F438C18" w:rsidR="006E717A" w:rsidRDefault="006A6C48" w:rsidP="006A6C48">
      <w:r>
        <w:lastRenderedPageBreak/>
        <w:t>The PDSEAP’s report was published in December 2009 and concluded that Australian PIs contained extensive precautions regarding the risk of suicidality which were consistent across the class, and with FDA warning statements. The PDSEAP found that due to the prominence of the existing warnings, an update to PIs to include a boxed warning was not necessary.</w:t>
      </w:r>
      <w:r w:rsidR="005E0B08">
        <w:rPr>
          <w:vertAlign w:val="superscript"/>
        </w:rPr>
        <w:t>7</w:t>
      </w:r>
    </w:p>
    <w:p w14:paraId="79D3A2DD" w14:textId="638D5692" w:rsidR="000F4ED9" w:rsidRPr="005C7BB8" w:rsidRDefault="00847827" w:rsidP="00847827">
      <w:pPr>
        <w:pStyle w:val="Heading3"/>
      </w:pPr>
      <w:bookmarkStart w:id="17" w:name="_Toc508706738"/>
      <w:bookmarkStart w:id="18" w:name="_Toc57132516"/>
      <w:bookmarkStart w:id="19" w:name="_Toc70418939"/>
      <w:r>
        <w:t xml:space="preserve">2.4 </w:t>
      </w:r>
      <w:r w:rsidR="000F4ED9">
        <w:t>Regulatory s</w:t>
      </w:r>
      <w:r w:rsidR="000F4ED9" w:rsidRPr="005C7BB8">
        <w:t>tatus in other countries</w:t>
      </w:r>
      <w:bookmarkEnd w:id="17"/>
      <w:bookmarkEnd w:id="18"/>
      <w:bookmarkEnd w:id="19"/>
    </w:p>
    <w:p w14:paraId="39B5DAAE" w14:textId="77777777" w:rsidR="00F048C4" w:rsidRDefault="00F048C4" w:rsidP="00F048C4">
      <w:r>
        <w:t>The status of SSRIs and SNRIs for comparable overseas regulators is similar to Australia. The PI equivalents in the UK, US, Canada and Europe for all antidepressants contain some version of a warning statement regarding the risk of clinical worsening and suicidality very similar to that in Australia. Some notable differences, particularly of indications, have been outlined below.</w:t>
      </w:r>
    </w:p>
    <w:p w14:paraId="4DCDF37A" w14:textId="10930594" w:rsidR="00654B83" w:rsidRPr="005C7BB8" w:rsidRDefault="00F048C4" w:rsidP="00F048C4">
      <w:pPr>
        <w:rPr>
          <w:b/>
          <w:bCs/>
        </w:rPr>
      </w:pPr>
      <w:r>
        <w:t>A significant difference between the Australian PIs for antidepressants and the UK and US equivalents is the lack of dosing information for the paediatric population. This is because this information has not been submitted to the TGA for consideration as part of a registration of indication for this population.</w:t>
      </w:r>
    </w:p>
    <w:p w14:paraId="67FC57F3" w14:textId="6CD9251E" w:rsidR="009B0FCA" w:rsidRDefault="009B0FCA" w:rsidP="0006711D">
      <w:pPr>
        <w:pStyle w:val="Heading4"/>
      </w:pPr>
      <w:bookmarkStart w:id="20" w:name="_Toc57132517"/>
      <w:bookmarkStart w:id="21" w:name="_Toc70418940"/>
      <w:r>
        <w:t>United Kingdom</w:t>
      </w:r>
      <w:bookmarkEnd w:id="20"/>
      <w:bookmarkEnd w:id="21"/>
    </w:p>
    <w:p w14:paraId="3B903BE7" w14:textId="77DA2F59" w:rsidR="009B0FCA" w:rsidRDefault="00F048C4" w:rsidP="00F048C4">
      <w:pPr>
        <w:pStyle w:val="ListBullet"/>
      </w:pPr>
      <w:r w:rsidRPr="00F048C4">
        <w:t>Fluoxetine is indicated for the treatment of “</w:t>
      </w:r>
      <w:r w:rsidRPr="00F048C4">
        <w:rPr>
          <w:i/>
        </w:rPr>
        <w:t>Moderate to severe major depressive episode, if depression is unresponsive to psychological therapy after 4-6 sessions</w:t>
      </w:r>
      <w:r w:rsidRPr="00F048C4">
        <w:t>” in children and adol</w:t>
      </w:r>
      <w:r>
        <w:t>escents aged 8 years and above.</w:t>
      </w:r>
      <w:r w:rsidR="005E0B08" w:rsidRPr="00F048C4">
        <w:rPr>
          <w:vertAlign w:val="superscript"/>
        </w:rPr>
        <w:t>8</w:t>
      </w:r>
    </w:p>
    <w:p w14:paraId="42CAAAB5" w14:textId="0AC5F95F" w:rsidR="0069175F" w:rsidRPr="0069175F" w:rsidRDefault="0069175F" w:rsidP="0006711D">
      <w:pPr>
        <w:pStyle w:val="Heading4"/>
      </w:pPr>
      <w:bookmarkStart w:id="22" w:name="_Toc57132518"/>
      <w:bookmarkStart w:id="23" w:name="_Toc70418941"/>
      <w:r w:rsidRPr="0069175F">
        <w:t>U</w:t>
      </w:r>
      <w:r>
        <w:t xml:space="preserve">nited </w:t>
      </w:r>
      <w:r w:rsidRPr="0069175F">
        <w:t>S</w:t>
      </w:r>
      <w:r>
        <w:t>tates</w:t>
      </w:r>
      <w:bookmarkEnd w:id="22"/>
      <w:bookmarkEnd w:id="23"/>
    </w:p>
    <w:p w14:paraId="365F2039" w14:textId="77777777" w:rsidR="00F048C4" w:rsidRDefault="00F048C4" w:rsidP="00F048C4">
      <w:pPr>
        <w:pStyle w:val="ListBullet"/>
      </w:pPr>
      <w:r>
        <w:t>Fluoxetine is approved for use for MDD in children 8 years and over.</w:t>
      </w:r>
      <w:r w:rsidRPr="00F048C4">
        <w:rPr>
          <w:vertAlign w:val="superscript"/>
        </w:rPr>
        <w:t>9</w:t>
      </w:r>
    </w:p>
    <w:p w14:paraId="7A63EA9E" w14:textId="77777777" w:rsidR="00F048C4" w:rsidRDefault="00F048C4" w:rsidP="00F048C4">
      <w:pPr>
        <w:pStyle w:val="ListBullet"/>
      </w:pPr>
      <w:r>
        <w:t>Fluoxetine, sertraline, fluvoxamine and clomipramine are approved for used for OCD in children 6, 7, 8 and 10 years and over respectively.</w:t>
      </w:r>
      <w:r w:rsidRPr="00F048C4">
        <w:rPr>
          <w:vertAlign w:val="superscript"/>
        </w:rPr>
        <w:t>9-12</w:t>
      </w:r>
    </w:p>
    <w:p w14:paraId="523F7574" w14:textId="0BF0EA39" w:rsidR="000F4ED9" w:rsidRDefault="00F048C4" w:rsidP="00F048C4">
      <w:pPr>
        <w:pStyle w:val="ListBullet"/>
      </w:pPr>
      <w:r>
        <w:t>All SSRI and SNRI products contain a boxed warning that outlines the risk of increased suicidality in children, adolescents and young adults (see Figure 1 below).</w:t>
      </w:r>
      <w:r w:rsidRPr="00F048C4">
        <w:rPr>
          <w:vertAlign w:val="superscript"/>
        </w:rPr>
        <w:t>13</w:t>
      </w:r>
      <w:r>
        <w:t xml:space="preserve"> This was introduced announced in 2004 in response to clinical trials data that highlighted a potential suicide risk with these products.</w:t>
      </w:r>
      <w:r w:rsidRPr="00F048C4">
        <w:rPr>
          <w:vertAlign w:val="superscript"/>
        </w:rPr>
        <w:t>14</w:t>
      </w:r>
    </w:p>
    <w:p w14:paraId="14732125" w14:textId="043AF204" w:rsidR="00A93E0C" w:rsidRDefault="00A93E0C" w:rsidP="00847827">
      <w:pPr>
        <w:pStyle w:val="Figuretitle"/>
      </w:pPr>
      <w:r w:rsidRPr="00A93E0C">
        <w:lastRenderedPageBreak/>
        <w:t xml:space="preserve">Figure </w:t>
      </w:r>
      <w:r w:rsidR="006F09C1">
        <w:t>1:</w:t>
      </w:r>
      <w:r w:rsidRPr="00A93E0C">
        <w:t xml:space="preserve"> </w:t>
      </w:r>
      <w:r w:rsidR="0062016C" w:rsidRPr="0062016C">
        <w:t>US Food &amp; Drug Administration boxed warning for antidepressant medications</w:t>
      </w:r>
    </w:p>
    <w:p w14:paraId="4EFB8B41" w14:textId="012FF266" w:rsidR="00DF2396" w:rsidRDefault="00DF2396" w:rsidP="00A93E0C">
      <w:pPr>
        <w:spacing w:after="0"/>
        <w:rPr>
          <w:b/>
          <w:sz w:val="20"/>
        </w:rPr>
      </w:pPr>
      <w:r>
        <w:rPr>
          <w:noProof/>
          <w:lang w:eastAsia="en-AU"/>
        </w:rPr>
        <w:drawing>
          <wp:inline distT="0" distB="0" distL="0" distR="0" wp14:anchorId="414C33B6" wp14:editId="729E59EC">
            <wp:extent cx="5368219" cy="4251960"/>
            <wp:effectExtent l="0" t="0" r="4445" b="0"/>
            <wp:docPr id="13" name="Picture 13" descr="picture of US FDA boxed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8219" cy="4251960"/>
                    </a:xfrm>
                    <a:prstGeom prst="rect">
                      <a:avLst/>
                    </a:prstGeom>
                  </pic:spPr>
                </pic:pic>
              </a:graphicData>
            </a:graphic>
          </wp:inline>
        </w:drawing>
      </w:r>
    </w:p>
    <w:p w14:paraId="2772E841" w14:textId="05D4B0E7" w:rsidR="00025B6D" w:rsidRPr="00025B6D" w:rsidRDefault="00025B6D" w:rsidP="00A93E0C">
      <w:pPr>
        <w:spacing w:after="0"/>
        <w:rPr>
          <w:sz w:val="18"/>
          <w:szCs w:val="18"/>
        </w:rPr>
      </w:pPr>
      <w:r w:rsidRPr="00025B6D">
        <w:rPr>
          <w:sz w:val="18"/>
          <w:szCs w:val="18"/>
        </w:rPr>
        <w:t>Source: FDA</w:t>
      </w:r>
      <w:r w:rsidR="00E227EE" w:rsidRPr="00E227EE">
        <w:rPr>
          <w:sz w:val="18"/>
          <w:szCs w:val="18"/>
          <w:vertAlign w:val="superscript"/>
        </w:rPr>
        <w:t>13</w:t>
      </w:r>
    </w:p>
    <w:p w14:paraId="78FB735A" w14:textId="77777777" w:rsidR="00DF4692" w:rsidRPr="0069175F" w:rsidRDefault="00DF4692" w:rsidP="0006711D">
      <w:pPr>
        <w:pStyle w:val="Heading4"/>
      </w:pPr>
      <w:bookmarkStart w:id="24" w:name="_Toc57132519"/>
      <w:bookmarkStart w:id="25" w:name="_Toc70418942"/>
      <w:r w:rsidRPr="0069175F">
        <w:t>Canada</w:t>
      </w:r>
      <w:bookmarkEnd w:id="24"/>
      <w:bookmarkEnd w:id="25"/>
    </w:p>
    <w:p w14:paraId="61854BEA" w14:textId="58069E44" w:rsidR="00DF4692" w:rsidRPr="00DE2F8A" w:rsidRDefault="00756839" w:rsidP="00756839">
      <w:pPr>
        <w:pStyle w:val="ListBullet"/>
      </w:pPr>
      <w:r w:rsidRPr="00756839">
        <w:t>The indications for all SSRI and SNRI products contain wording that states “</w:t>
      </w:r>
      <w:r w:rsidRPr="00756839">
        <w:rPr>
          <w:i/>
        </w:rPr>
        <w:t>Not indicated for use in patients below the age of 18 years</w:t>
      </w:r>
      <w:r w:rsidRPr="00756839">
        <w:t>”.</w:t>
      </w:r>
    </w:p>
    <w:p w14:paraId="490ED18B" w14:textId="254E0359" w:rsidR="009B0FCA" w:rsidRDefault="009B0FCA" w:rsidP="009B0FCA">
      <w:pPr>
        <w:pStyle w:val="Heading4"/>
      </w:pPr>
      <w:bookmarkStart w:id="26" w:name="_Toc57132520"/>
      <w:bookmarkStart w:id="27" w:name="_Toc70418943"/>
      <w:r>
        <w:t>Europe</w:t>
      </w:r>
      <w:bookmarkEnd w:id="26"/>
      <w:bookmarkEnd w:id="27"/>
    </w:p>
    <w:p w14:paraId="3CE342C0" w14:textId="67668B5F" w:rsidR="009B0FCA" w:rsidRPr="009B0FCA" w:rsidRDefault="00756839" w:rsidP="00756839">
      <w:pPr>
        <w:pStyle w:val="ListBullet"/>
      </w:pPr>
      <w:r w:rsidRPr="00756839">
        <w:t>The European Medicines Agency 2005 review of SSRIs and SNRIs in children and adolescents concluded that they should not be used in children and adolescents except in their approved indications.</w:t>
      </w:r>
    </w:p>
    <w:p w14:paraId="210EF314" w14:textId="11C1586E" w:rsidR="009B0FCA" w:rsidRDefault="00756839" w:rsidP="00756839">
      <w:pPr>
        <w:pStyle w:val="ListBullet2"/>
      </w:pPr>
      <w:r w:rsidRPr="00756839">
        <w:t>“Most of these products are approved for the treatment of depression and anxiety in adults in the European Union, but are not licensed Europe-wide for the treatment of these conditions in children or adolescents. Some of these products are however licensed for paediatric use for the treatment of obsessive-compulsive disorder and one of them for the treatment of attention deficit/hyperactivity disorder.”</w:t>
      </w:r>
      <w:r w:rsidR="005E0B08">
        <w:rPr>
          <w:vertAlign w:val="superscript"/>
        </w:rPr>
        <w:t>15</w:t>
      </w:r>
    </w:p>
    <w:p w14:paraId="2ADA3DC0" w14:textId="6DEFCA36" w:rsidR="009B0FCA" w:rsidRDefault="00756839" w:rsidP="000F4ED9">
      <w:r w:rsidRPr="00756839">
        <w:t>Fluoxetine is available in a 10mg strength in the above overseas jurisdictions, which aids appropriate dosing in the paediatric population.</w:t>
      </w:r>
    </w:p>
    <w:p w14:paraId="493F98D8" w14:textId="0B4141AB" w:rsidR="000F4ED9" w:rsidRDefault="00847827" w:rsidP="00847827">
      <w:pPr>
        <w:pStyle w:val="Heading2"/>
      </w:pPr>
      <w:bookmarkStart w:id="28" w:name="_Toc70418944"/>
      <w:r>
        <w:lastRenderedPageBreak/>
        <w:t xml:space="preserve">3. </w:t>
      </w:r>
      <w:bookmarkStart w:id="29" w:name="_Toc57132521"/>
      <w:r w:rsidR="000F4ED9">
        <w:t xml:space="preserve">TGA </w:t>
      </w:r>
      <w:bookmarkEnd w:id="29"/>
      <w:r>
        <w:t>i</w:t>
      </w:r>
      <w:r w:rsidR="0015431B">
        <w:t>nvestigation</w:t>
      </w:r>
      <w:bookmarkEnd w:id="28"/>
    </w:p>
    <w:p w14:paraId="6942A20D" w14:textId="59215A46" w:rsidR="00A826B3" w:rsidRDefault="00847827" w:rsidP="00B30FD4">
      <w:pPr>
        <w:pStyle w:val="Heading3"/>
      </w:pPr>
      <w:bookmarkStart w:id="30" w:name="_Toc57132522"/>
      <w:bookmarkStart w:id="31" w:name="_Toc70418945"/>
      <w:r>
        <w:t xml:space="preserve">3.1 </w:t>
      </w:r>
      <w:bookmarkEnd w:id="30"/>
      <w:r w:rsidR="001A132B" w:rsidRPr="001A132B">
        <w:t>The current role of antidepressants in clinical practice for the treatment of children, adolescents and young people in Australia</w:t>
      </w:r>
      <w:bookmarkEnd w:id="31"/>
    </w:p>
    <w:p w14:paraId="4D957C31" w14:textId="78588B24" w:rsidR="00A826B3" w:rsidRDefault="00847827" w:rsidP="00847827">
      <w:pPr>
        <w:pStyle w:val="Heading4"/>
      </w:pPr>
      <w:bookmarkStart w:id="32" w:name="_Toc57132523"/>
      <w:bookmarkStart w:id="33" w:name="_Toc70418946"/>
      <w:r>
        <w:t xml:space="preserve">3.1.1 </w:t>
      </w:r>
      <w:r w:rsidR="00A826B3">
        <w:t>Epidemiology of depression in young people in Australia</w:t>
      </w:r>
      <w:bookmarkEnd w:id="32"/>
      <w:bookmarkEnd w:id="33"/>
    </w:p>
    <w:p w14:paraId="26BBCB63" w14:textId="77777777" w:rsidR="001A132B" w:rsidRDefault="001A132B" w:rsidP="001A132B">
      <w:r>
        <w:t>The Australian Child and Adolescent Survey of Mental Health and Wellbeing, a national household survey, was conducted for the second time in 2013–14 (also referred to as the ‘Young Minds Matter’ survey). The survey found that mental health disorders were common in children and adolescents aged 4-17 years, with almost 14% of the population in this age group experiencing a mental health disorder in the preceding 12 months. Comorbidity of mental health conditions was also relatively common – almost one third of those with a disorder experienced two or more mental disorders at some time in the previous 12 months, equivalent to 4.2% of all 4-17 year olds. Attention Deficit Hyperactivity Disorder (ADHD) was the most common mental disorder (7.4% of all children and adolescents, or about 315,000 based on the estimated 2017 population), followed by anxiety disorders (6.9% or about 293,000), MDD (2.8% or about 119,000) and conduct disorder (2.1% or about 89,000)— see Figure 2. The survey also indicated prevalence did not differ significantly with age for boys, but that it was slightly higher in 12-17 year-old girls at 12.8% compared with 4-11 year-old girls at 10.6%.</w:t>
      </w:r>
      <w:r w:rsidRPr="001A132B">
        <w:rPr>
          <w:vertAlign w:val="superscript"/>
        </w:rPr>
        <w:t>16</w:t>
      </w:r>
    </w:p>
    <w:p w14:paraId="0D765A47" w14:textId="77777777" w:rsidR="001A132B" w:rsidRDefault="001A132B" w:rsidP="001A132B">
      <w:r>
        <w:t>The 2007 National Survey of Mental Health and Wellbeing found that the prevalence of mental health disorders in adults (aged 16-85 years) was 1 in 5 over the previous 12 months, which is higher than the prevalence in children that was demonstrated in the Australian Child and Adolescent Survey of Mental Health and Wellbeing. The NSMHW estimated that almost half (45%) of the Australian adult population would experience a mental disorder at some time in their life. Anxiety disorders (such as social phobia) were the most prevalent, afflicting 1 in 7 (14.4%) of the population, followed by Affective disorders (such as depression) (6.2%), and Substance use disorders (such as alcohol dependence) (5.1%).</w:t>
      </w:r>
    </w:p>
    <w:p w14:paraId="2401C665" w14:textId="107209F2" w:rsidR="006F10E7" w:rsidRPr="002C2AF5" w:rsidRDefault="001A132B" w:rsidP="001A132B">
      <w:r>
        <w:t>The Intergenerational Health and Mental Health Study is scheduled to be undertaken from 2020 by the Australian Bureau of Statistics (ABS). The Mental Health Study will measure the prevalence of mental illnesses for the first time since the 2007 National Survey of Mental Health and Wellbeing. It will provide updated statistics and insights into the impact of mental, behavioural, and other chronic conditions on Australians and the use of health services and barriers to accessing them, as well as other health topics.</w:t>
      </w:r>
      <w:r w:rsidRPr="001A132B">
        <w:rPr>
          <w:vertAlign w:val="superscript"/>
        </w:rPr>
        <w:t>17</w:t>
      </w:r>
    </w:p>
    <w:p w14:paraId="2FD8111C" w14:textId="4692A19D" w:rsidR="002C2AF5" w:rsidRPr="006F09C1" w:rsidRDefault="006F09C1" w:rsidP="00847827">
      <w:pPr>
        <w:pStyle w:val="Figuretitle"/>
      </w:pPr>
      <w:r w:rsidRPr="006F09C1">
        <w:lastRenderedPageBreak/>
        <w:t>Figure 2</w:t>
      </w:r>
      <w:r w:rsidR="002C2AF5" w:rsidRPr="006F09C1">
        <w:t>: Prevalence of mental disorders in the past 12 months (from 2013-14) among 4-17 year olds</w:t>
      </w:r>
    </w:p>
    <w:p w14:paraId="207A7394" w14:textId="2191FF9F" w:rsidR="002C2AF5" w:rsidRDefault="002C2AF5" w:rsidP="002C2AF5">
      <w:r>
        <w:rPr>
          <w:noProof/>
          <w:lang w:eastAsia="en-AU"/>
        </w:rPr>
        <w:drawing>
          <wp:inline distT="0" distB="0" distL="0" distR="0" wp14:anchorId="5002580B" wp14:editId="773D100B">
            <wp:extent cx="5285219" cy="2865120"/>
            <wp:effectExtent l="0" t="0" r="0" b="0"/>
            <wp:docPr id="11" name="Picture 11" descr="Bar chart: ADHD 7.4%, Anxiety disorders 6.9%, Major depressive disorders 2.8%, Conduct disorde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11713" cy="2879482"/>
                    </a:xfrm>
                    <a:prstGeom prst="rect">
                      <a:avLst/>
                    </a:prstGeom>
                  </pic:spPr>
                </pic:pic>
              </a:graphicData>
            </a:graphic>
          </wp:inline>
        </w:drawing>
      </w:r>
    </w:p>
    <w:p w14:paraId="726C6D1E" w14:textId="77777777" w:rsidR="0010591B" w:rsidRDefault="00A075E6" w:rsidP="002C2AF5">
      <w:pPr>
        <w:rPr>
          <w:sz w:val="18"/>
          <w:szCs w:val="18"/>
        </w:rPr>
      </w:pPr>
      <w:r w:rsidRPr="00E227EE">
        <w:rPr>
          <w:sz w:val="18"/>
          <w:szCs w:val="18"/>
        </w:rPr>
        <w:t>Source: Lawrence, et al., 2015</w:t>
      </w:r>
      <w:r w:rsidR="00D43DE2" w:rsidRPr="00E227EE">
        <w:rPr>
          <w:sz w:val="18"/>
          <w:szCs w:val="18"/>
          <w:vertAlign w:val="superscript"/>
        </w:rPr>
        <w:t>1</w:t>
      </w:r>
      <w:r w:rsidR="003714BB" w:rsidRPr="00E227EE">
        <w:rPr>
          <w:sz w:val="18"/>
          <w:szCs w:val="18"/>
          <w:vertAlign w:val="superscript"/>
        </w:rPr>
        <w:t>5</w:t>
      </w:r>
    </w:p>
    <w:p w14:paraId="4505F6CB" w14:textId="3C85C1E6" w:rsidR="00F84C3B" w:rsidRPr="008F4BF3" w:rsidRDefault="00B30FD4" w:rsidP="00B30FD4">
      <w:pPr>
        <w:pStyle w:val="Heading4"/>
      </w:pPr>
      <w:bookmarkStart w:id="34" w:name="_Toc57132524"/>
      <w:bookmarkStart w:id="35" w:name="_Toc70418947"/>
      <w:bookmarkStart w:id="36" w:name="_Toc356305221"/>
      <w:bookmarkStart w:id="37" w:name="_Toc534301700"/>
      <w:r>
        <w:t xml:space="preserve">3.1.2 </w:t>
      </w:r>
      <w:r w:rsidR="00F84C3B" w:rsidRPr="008F4BF3">
        <w:t>Clinical practice guidelines</w:t>
      </w:r>
      <w:bookmarkEnd w:id="34"/>
      <w:bookmarkEnd w:id="35"/>
    </w:p>
    <w:bookmarkEnd w:id="36"/>
    <w:bookmarkEnd w:id="37"/>
    <w:p w14:paraId="1016AF5A" w14:textId="77777777" w:rsidR="003912C6" w:rsidRPr="003912C6" w:rsidRDefault="003912C6" w:rsidP="003912C6">
      <w:pPr>
        <w:rPr>
          <w:szCs w:val="22"/>
        </w:rPr>
      </w:pPr>
      <w:r w:rsidRPr="003912C6">
        <w:rPr>
          <w:szCs w:val="22"/>
        </w:rPr>
        <w:t>In the absence of registered indications for the use of antidepressants in children and adolescents, clinical guidelines provide clinicians with guidance in determining the appropriate treatment of depression in these age groups, including recommendations about pharmacological therapy. The ‘Royal Australian and New Zealand College of Psychiatrists (RANZCP) clinical practice guidelines for mood disorders’</w:t>
      </w:r>
      <w:r w:rsidRPr="003912C6">
        <w:rPr>
          <w:szCs w:val="22"/>
          <w:vertAlign w:val="superscript"/>
        </w:rPr>
        <w:t>18</w:t>
      </w:r>
      <w:r w:rsidRPr="003912C6">
        <w:rPr>
          <w:szCs w:val="22"/>
        </w:rPr>
        <w:t xml:space="preserve"> recommend fluoxetine as second line treatment for moderate to severe major depressive disorder in children and adolescents. Psychological interventions are the recommended first line treatment. These guidelines state that of the SSRIs, fluoxetine has the most consistent evidence of efficacy over placebo, and is recommended as the first line antidepressant for young people in the UK National Institute for Health and Care Excellent (NICE) treatment guidelines</w:t>
      </w:r>
      <w:r w:rsidRPr="003912C6">
        <w:rPr>
          <w:szCs w:val="22"/>
          <w:vertAlign w:val="superscript"/>
        </w:rPr>
        <w:t>19</w:t>
      </w:r>
      <w:r w:rsidRPr="003912C6">
        <w:rPr>
          <w:szCs w:val="22"/>
        </w:rPr>
        <w:t>. The RANZCP guideline also recommends that clinicians advise young patients and their families of the small chance of suicidal thoughts emerging during the early phase of treatment with SSRIs and monitor all patients for the emergence or worsening of suicidal thoughts during the first 2–4 weeks of treatment.</w:t>
      </w:r>
      <w:r w:rsidRPr="003912C6">
        <w:rPr>
          <w:szCs w:val="22"/>
          <w:vertAlign w:val="superscript"/>
        </w:rPr>
        <w:t>18</w:t>
      </w:r>
    </w:p>
    <w:p w14:paraId="0B15F43B" w14:textId="7C048BCF" w:rsidR="00F84C3B" w:rsidRDefault="003912C6" w:rsidP="003912C6">
      <w:pPr>
        <w:rPr>
          <w:szCs w:val="22"/>
        </w:rPr>
      </w:pPr>
      <w:r w:rsidRPr="003912C6">
        <w:rPr>
          <w:szCs w:val="22"/>
        </w:rPr>
        <w:t>The NICE treatment guidelines, last updated in 2019, recommend that antidepressant medication should not be used for the initial treatment of children and young people with mild depression, and that antidepressant medication should only be offered to a child or young person with moderate to severe depression in combination with a concurrent psychological therapy. The NICE guidelines state that fluoxetine is the only antidepressant for which clinical trial evidence shows that benefits outweigh the risks. Sertraline or citalopram are included as potential second-line medications in certain circumstances including if a fair trial of fluoxetine and psychological therapy has not resulted in improvement. The NICE guidelines also include recommendations about the dosage and duration of pharmacological treatment, specifically that for fluoxetine, the starting dose should be 10mg daily (or less in children of lower body weight), which is half</w:t>
      </w:r>
      <w:r>
        <w:rPr>
          <w:szCs w:val="22"/>
        </w:rPr>
        <w:t xml:space="preserve"> the starting dose for adults.</w:t>
      </w:r>
      <w:r w:rsidR="005E0B08">
        <w:rPr>
          <w:szCs w:val="22"/>
          <w:vertAlign w:val="superscript"/>
        </w:rPr>
        <w:t>19</w:t>
      </w:r>
    </w:p>
    <w:p w14:paraId="27A04C23" w14:textId="49FD6F2E" w:rsidR="00A826B3" w:rsidRDefault="00B30FD4" w:rsidP="00B30FD4">
      <w:pPr>
        <w:pStyle w:val="Heading3"/>
      </w:pPr>
      <w:bookmarkStart w:id="38" w:name="_Toc57132525"/>
      <w:bookmarkStart w:id="39" w:name="_Toc70418948"/>
      <w:r>
        <w:lastRenderedPageBreak/>
        <w:t xml:space="preserve">3.2 </w:t>
      </w:r>
      <w:r w:rsidR="00A826B3">
        <w:t>The strength of current evidence for an association between antidepressants and youth suicide</w:t>
      </w:r>
      <w:bookmarkEnd w:id="38"/>
      <w:bookmarkEnd w:id="39"/>
    </w:p>
    <w:p w14:paraId="3436B8FD" w14:textId="2617DE93" w:rsidR="00D43DE2" w:rsidRPr="008F4BF3" w:rsidRDefault="00B30FD4" w:rsidP="00B30FD4">
      <w:pPr>
        <w:pStyle w:val="Heading4"/>
      </w:pPr>
      <w:bookmarkStart w:id="40" w:name="_Toc70418949"/>
      <w:r>
        <w:t xml:space="preserve">3.2.1 </w:t>
      </w:r>
      <w:r w:rsidR="00D43DE2" w:rsidRPr="00B83E74">
        <w:t>Evidence from peer-reviewed literature</w:t>
      </w:r>
      <w:bookmarkEnd w:id="40"/>
    </w:p>
    <w:p w14:paraId="617EB753" w14:textId="77777777" w:rsidR="00961E01" w:rsidRDefault="00961E01" w:rsidP="00961E01">
      <w:r>
        <w:t>While Whitely, et al., have included ecological data looking at population rates of prescribing and suicide in their paper, the question of particular concern to the TGA as a medicines regulator is one of causality between antidepressants and the risk of suicide in young people. The limitations of different types of evidence noted by the PDSEAP discussed in section 2.3 remain unchanged. We therefore undertook a limited literature search to identify if additional high level evidence published in recent years has advanced the subject further since the previous TGA investigation, focussing particularly on meta-analyses of RCTs and observational studies. Our review ultimately has not identified additional literature that can definitively answer the question of causality between the use of antidepressants and risk of suicide in young people. The available literature can however inform our exploration of this issue, in particular the complexities of risk.</w:t>
      </w:r>
    </w:p>
    <w:p w14:paraId="554BD7A6" w14:textId="77777777" w:rsidR="00961E01" w:rsidRDefault="00961E01" w:rsidP="00961E01">
      <w:r>
        <w:t>Suicide is a complex outcome with many interacting factors.</w:t>
      </w:r>
      <w:r w:rsidRPr="00961E01">
        <w:rPr>
          <w:vertAlign w:val="superscript"/>
        </w:rPr>
        <w:t>20-23</w:t>
      </w:r>
      <w:r>
        <w:t xml:space="preserve"> The features of suicidality in children and adolescents are different from those occurring in adults and while depression is a factor strongly associated with suicidality in this population, it is not present in all cases.</w:t>
      </w:r>
      <w:r w:rsidRPr="00961E01">
        <w:rPr>
          <w:vertAlign w:val="superscript"/>
        </w:rPr>
        <w:t>21</w:t>
      </w:r>
      <w:r>
        <w:t xml:space="preserve"> A systematic review by Carballo, et al., in 2019 found that the majority of publications reviewed indicated that young people with suicidal behaviour had significant psychiatric problems, mainly depressive disorders and substance use disorders. They further state that the evidence clearly highlights the complexity of suicidality and points towards an interaction of factors contributing to suicidal behaviour.</w:t>
      </w:r>
      <w:r w:rsidRPr="00961E01">
        <w:rPr>
          <w:vertAlign w:val="superscript"/>
        </w:rPr>
        <w:t>21</w:t>
      </w:r>
      <w:r>
        <w:t xml:space="preserve"> This statement is supported by an earlier systematic review by Beautrais in 2000</w:t>
      </w:r>
      <w:r w:rsidRPr="00961E01">
        <w:rPr>
          <w:vertAlign w:val="superscript"/>
        </w:rPr>
        <w:t>22</w:t>
      </w:r>
      <w:r>
        <w:t xml:space="preserve"> that found that risk factor domains which may contribute to suicidal behaviour include social and educational disadvantage; childhood and family adversity; psychopathology; individual and personal vulnerabilities; exposure to stressful life events and circumstances; and social, cultural and contextual factors. Beautrais surmises that suicidal behaviours in young people appear to be frequently a consequence of adverse life sequences in which multiple risk factors from these domains combine to increase risk of suicidal behaviour.</w:t>
      </w:r>
    </w:p>
    <w:p w14:paraId="599CD5BE" w14:textId="7DA87C40" w:rsidR="00961E01" w:rsidRDefault="00961E01" w:rsidP="00961E01">
      <w:r>
        <w:t>Activation syndrome is a side effect of antidepressants that is thought to carry a potentially increased risk of suicide, although the literature presents inconsistent findings from clinical studies.</w:t>
      </w:r>
      <w:r w:rsidRPr="00961E01">
        <w:rPr>
          <w:vertAlign w:val="superscript"/>
        </w:rPr>
        <w:t>24</w:t>
      </w:r>
      <w:r>
        <w:t xml:space="preserve"> Symptoms consist of irritability, mania, self-harm, akathisia, impulsivity, restlessness and/or insomnia and disinhibition.</w:t>
      </w:r>
      <w:r w:rsidRPr="00961E01">
        <w:rPr>
          <w:vertAlign w:val="superscript"/>
        </w:rPr>
        <w:t>24, 25</w:t>
      </w:r>
      <w:r>
        <w:t xml:space="preserve"> However, the incidence of activation syndrome has not been fully investigated and little has been reported on its predictors.</w:t>
      </w:r>
      <w:r w:rsidRPr="00961E01">
        <w:rPr>
          <w:vertAlign w:val="superscript"/>
        </w:rPr>
        <w:t>26</w:t>
      </w:r>
      <w:r>
        <w:t xml:space="preserve"> However, it does appear that higher plasma concentrations and rapid increases in plasma concentrations of SSRIs, may be a risk factor for emergence of activation-related adverse events. This may reflect high doses or rapid escalation of doses, but may also be related to other factors affecting drug concentration such as inter-individual variability in pharmacokinetics and polymorphisms in genes encoding cytochrome enzymes involved in drug metabolism.</w:t>
      </w:r>
      <w:r w:rsidRPr="00961E01">
        <w:rPr>
          <w:vertAlign w:val="superscript"/>
        </w:rPr>
        <w:t>24</w:t>
      </w:r>
    </w:p>
    <w:p w14:paraId="70C0BD13" w14:textId="77777777" w:rsidR="00961E01" w:rsidRDefault="00961E01" w:rsidP="00961E01">
      <w:r>
        <w:t>Zhou, et al.,</w:t>
      </w:r>
      <w:r w:rsidRPr="00961E01">
        <w:rPr>
          <w:vertAlign w:val="superscript"/>
        </w:rPr>
        <w:t>27</w:t>
      </w:r>
      <w:r>
        <w:t xml:space="preserve"> conducted a comprehensive systematic review and network meta-analysis of all available RCTs up to 1 January 2019 comparing active interventions (antidepressant treatment, psychotherapy, alone or in combination) with another active treatment or a control condition for the acute treatment of depressive disorders in children and adolescents. They based their final analysis on 71 RCTs, including 9510 children and adolescents with depressive disorders. They found that out of the active treatment conditions, only fluoxetine alone or in combination with cognitive behavioural therapy were significantly more efficacious than pill placebo. The authors also assessed suicidal behaviour within a network meta-analysis and found that venlafaxine was associated with a significantly increased risk of suicidal behaviour or ideation compared with pill placebo, and with 10 other active treatments (citalopram, escitalopram, fluoxetine, fluoxetine plus CBT, duloxetine, imipramine, family therapy, desvenlafaxine, CBT and pill placebo plus CBT). Other comparisons failed to achieve statistical significance. The reported odds ratio for fluoxetine compared with pill-placebo for suicidality was 1.11 (95% Credibility </w:t>
      </w:r>
      <w:r>
        <w:lastRenderedPageBreak/>
        <w:t xml:space="preserve">Interval 0.74 to 1.75). The authors commented that comprehensive assessment of the risk of suicidality for all interventions was not possible, and noted that few psychotherapy trials report data on adverse events and suicidality. They urged prescribers to closely monitor suicide risk when children and adolescents take any antidepressant drugs, particularly at treatment initiation. </w:t>
      </w:r>
    </w:p>
    <w:p w14:paraId="2D22870D" w14:textId="2B194937" w:rsidR="00961E01" w:rsidRDefault="00961E01" w:rsidP="00961E01">
      <w:r>
        <w:t>Ignaszewski and Waslick</w:t>
      </w:r>
      <w:r w:rsidRPr="00961E01">
        <w:rPr>
          <w:vertAlign w:val="superscript"/>
        </w:rPr>
        <w:t>28</w:t>
      </w:r>
      <w:r>
        <w:t xml:space="preserve"> performed a meta-analysis of seven randomised controlled trials published through to July 2016 that addressed antidepressant use in paediatric patients for the management of major depressive disorder. Within their cohort, the acute and extension trials exclusively utilized the Columbia Suicide Severity Rating Score (CSSR-S) to evaluate for treatment-emergent suicidality whereas the two relapse trials relied on safety outcomes evaluating adverse effects leading to medication discontinuation and self-report. Analysis revealed similar rates of treatment-emergent suicidality in patients on antidepressants as placebo in studies that used newer rating scales (ie. CSSR-C) however authors cautioned that there are relatively few studies using this CCSR-S methodology and higher sensitivity meta-analyses are not yet available.</w:t>
      </w:r>
      <w:r w:rsidRPr="00961E01">
        <w:rPr>
          <w:vertAlign w:val="superscript"/>
        </w:rPr>
        <w:t>28</w:t>
      </w:r>
    </w:p>
    <w:p w14:paraId="20A3CF06" w14:textId="5C19C53C" w:rsidR="00961E01" w:rsidRDefault="00961E01" w:rsidP="00961E01">
      <w:r>
        <w:t>A 2016 systematic review by Xu, et al.,</w:t>
      </w:r>
      <w:r w:rsidRPr="00961E01">
        <w:rPr>
          <w:vertAlign w:val="superscript"/>
        </w:rPr>
        <w:t>29</w:t>
      </w:r>
      <w:r>
        <w:t xml:space="preserve"> examined four studies that addressed the risk of suicide related outcomes (defined as definitive suicidal ideation or behaviour) in children with major depressive disorder taking SNRIs. Whilst some studies demonstrated an increased risk of suicide-related outcomes for those receiving venlafaxine compared with placebo there were few suicide-related events and overall there was no statistical difference found in suicide-related risk outcome for those receiving SNRIs compared with those receiving placebo.</w:t>
      </w:r>
      <w:r w:rsidRPr="00961E01">
        <w:rPr>
          <w:vertAlign w:val="superscript"/>
        </w:rPr>
        <w:t>29</w:t>
      </w:r>
    </w:p>
    <w:p w14:paraId="1EADA570" w14:textId="4749CFBA" w:rsidR="008607D1" w:rsidRDefault="00961E01" w:rsidP="00961E01">
      <w:pPr>
        <w:rPr>
          <w:rFonts w:asciiTheme="minorHAnsi" w:hAnsiTheme="minorHAnsi"/>
          <w:szCs w:val="22"/>
        </w:rPr>
      </w:pPr>
      <w:r>
        <w:t>Gibbons, et al.,</w:t>
      </w:r>
      <w:r w:rsidRPr="00961E01">
        <w:rPr>
          <w:vertAlign w:val="superscript"/>
        </w:rPr>
        <w:t>30</w:t>
      </w:r>
      <w:r>
        <w:t xml:space="preserve"> analysed two large US medical claims databases containing 221,028 patients between the ages of 5 and 17 with new episodes of depression, with and without antidepressant treatment during 2004-2009. They used marginal structural modelling to adjust for time-dependent modelling. They found that while a significantly increased risk of suicide attempts and self-injury were seen during antidepressant treatment episodes in the unadjusted and simple covariate-adjusted analyses, accounting for dynamic confounding in the treatment selection process resulted in non-significant odds ratios (MarketScan data: OR=1.21, 95% CI = 0.79, 1.88; LifeLink data: OR=1.05, 95% CI = 0.92, 1.19).</w:t>
      </w:r>
      <w:r w:rsidRPr="008B2E7B">
        <w:rPr>
          <w:vertAlign w:val="superscript"/>
        </w:rPr>
        <w:t>30</w:t>
      </w:r>
      <w:r>
        <w:t xml:space="preserve"> This suggests that the association seen in other observational studies is related to confounding by variables that change over time, and that accounting for these can reveal a more accurate measure of the strength of association between antidepressant treatment and suicidality.</w:t>
      </w:r>
    </w:p>
    <w:p w14:paraId="45B36EB4" w14:textId="633399F9" w:rsidR="00962202" w:rsidRDefault="00B30FD4" w:rsidP="00B30FD4">
      <w:pPr>
        <w:pStyle w:val="Heading4"/>
      </w:pPr>
      <w:bookmarkStart w:id="41" w:name="_Toc57132526"/>
      <w:bookmarkStart w:id="42" w:name="_Toc70418950"/>
      <w:r w:rsidRPr="00B30FD4">
        <w:t>3.2.2</w:t>
      </w:r>
      <w:r>
        <w:t xml:space="preserve"> </w:t>
      </w:r>
      <w:r w:rsidR="00962202">
        <w:t>Database of Adverse Event Notifications</w:t>
      </w:r>
      <w:bookmarkEnd w:id="41"/>
      <w:bookmarkEnd w:id="42"/>
    </w:p>
    <w:p w14:paraId="58860A89" w14:textId="77777777" w:rsidR="00961E01" w:rsidRDefault="00961E01" w:rsidP="00961E01">
      <w:r>
        <w:t>Adverse event reports are one of the ways in which the TGA monitors the safety of medicines, including antidepressants. While this information is important, due to underreporting and lack of control for confounding, these reports do not provide evidence upon which a causal association can be established or refuted.</w:t>
      </w:r>
    </w:p>
    <w:p w14:paraId="0C82B8CE" w14:textId="77777777" w:rsidR="00961E01" w:rsidRDefault="00961E01" w:rsidP="00961E01">
      <w:r>
        <w:t>A search of the Database of Adverse Event Notifications (DAEN) on 19 November 2020 identified 167 suicide-related adverse event</w:t>
      </w:r>
      <w:r w:rsidR="00445373">
        <w:rPr>
          <w:rStyle w:val="FootnoteReference"/>
        </w:rPr>
        <w:footnoteReference w:id="2"/>
      </w:r>
      <w:r w:rsidR="00962202">
        <w:t xml:space="preserve"> </w:t>
      </w:r>
      <w:r>
        <w:t xml:space="preserve">reports for persons aged under 25 years of age listing antidepressant medications as suspected medicines recorded in the TGA DAEN (see Appendix 2 for search strategy). These reports were received between 1993 and July 2020. Reports received by the TGA contain suspected associations that reflect the observations of an individual reporter, however causality has not usually been established. </w:t>
      </w:r>
    </w:p>
    <w:p w14:paraId="0FAAD9DE" w14:textId="0DF863F2" w:rsidR="00962202" w:rsidRDefault="00961E01" w:rsidP="00961E01">
      <w:r>
        <w:t>Table 2 shows the total number of reports for each antidepressant class and the number of reports where an antidepressant medicine was reported as the sole-suspected medicine.</w:t>
      </w:r>
    </w:p>
    <w:p w14:paraId="2874D166" w14:textId="5E6247F1" w:rsidR="00962202" w:rsidRPr="00050007" w:rsidRDefault="00962202" w:rsidP="00B30FD4">
      <w:pPr>
        <w:pStyle w:val="Tabletitle"/>
      </w:pPr>
      <w:r w:rsidRPr="00050007">
        <w:lastRenderedPageBreak/>
        <w:t xml:space="preserve">Table </w:t>
      </w:r>
      <w:r>
        <w:t>2</w:t>
      </w:r>
      <w:r w:rsidRPr="00050007">
        <w:t>: Number of total cases and sole suspected cases by a</w:t>
      </w:r>
      <w:r>
        <w:t>ntidepressant class</w:t>
      </w:r>
    </w:p>
    <w:tbl>
      <w:tblPr>
        <w:tblStyle w:val="TableTGAblue"/>
        <w:tblW w:w="9724" w:type="dxa"/>
        <w:tblLook w:val="04A0" w:firstRow="1" w:lastRow="0" w:firstColumn="1" w:lastColumn="0" w:noHBand="0" w:noVBand="1"/>
      </w:tblPr>
      <w:tblGrid>
        <w:gridCol w:w="3005"/>
        <w:gridCol w:w="3005"/>
        <w:gridCol w:w="3714"/>
      </w:tblGrid>
      <w:tr w:rsidR="00962202" w:rsidRPr="002D3E42" w14:paraId="540799DB" w14:textId="77777777" w:rsidTr="00B30F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491EEED" w14:textId="5C72ED2A" w:rsidR="00962202" w:rsidRPr="00B30FD4" w:rsidRDefault="00B30FD4" w:rsidP="00B6250A">
            <w:pPr>
              <w:jc w:val="center"/>
              <w:rPr>
                <w:color w:val="FFFFFF" w:themeColor="background1"/>
              </w:rPr>
            </w:pPr>
            <w:r>
              <w:rPr>
                <w:color w:val="FFFFFF" w:themeColor="background1"/>
              </w:rPr>
              <w:t>Antidepressant c</w:t>
            </w:r>
            <w:r w:rsidR="00962202" w:rsidRPr="00B30FD4">
              <w:rPr>
                <w:color w:val="FFFFFF" w:themeColor="background1"/>
              </w:rPr>
              <w:t>lass</w:t>
            </w:r>
          </w:p>
        </w:tc>
        <w:tc>
          <w:tcPr>
            <w:tcW w:w="3005" w:type="dxa"/>
          </w:tcPr>
          <w:p w14:paraId="0D87CEC5" w14:textId="3B48E0CF" w:rsidR="00962202" w:rsidRPr="00B30FD4" w:rsidRDefault="00962202" w:rsidP="00B6250A">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30FD4">
              <w:rPr>
                <w:color w:val="FFFFFF" w:themeColor="background1"/>
              </w:rPr>
              <w:t>No. of patient cases</w:t>
            </w:r>
            <w:r w:rsidR="00851EA1" w:rsidRPr="00B30FD4">
              <w:rPr>
                <w:color w:val="FFFFFF" w:themeColor="background1"/>
              </w:rPr>
              <w:t>*</w:t>
            </w:r>
          </w:p>
        </w:tc>
        <w:tc>
          <w:tcPr>
            <w:tcW w:w="3714" w:type="dxa"/>
          </w:tcPr>
          <w:p w14:paraId="2E1418C9" w14:textId="58E6C64B" w:rsidR="00962202" w:rsidRPr="00B30FD4" w:rsidRDefault="00962202" w:rsidP="00B6250A">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B30FD4">
              <w:rPr>
                <w:color w:val="FFFFFF" w:themeColor="background1"/>
              </w:rPr>
              <w:t>No. of cases where sole suspected</w:t>
            </w:r>
          </w:p>
        </w:tc>
      </w:tr>
      <w:tr w:rsidR="00962202" w14:paraId="0961F01B" w14:textId="77777777" w:rsidTr="00B30FD4">
        <w:tc>
          <w:tcPr>
            <w:cnfStyle w:val="001000000000" w:firstRow="0" w:lastRow="0" w:firstColumn="1" w:lastColumn="0" w:oddVBand="0" w:evenVBand="0" w:oddHBand="0" w:evenHBand="0" w:firstRowFirstColumn="0" w:firstRowLastColumn="0" w:lastRowFirstColumn="0" w:lastRowLastColumn="0"/>
            <w:tcW w:w="3005" w:type="dxa"/>
          </w:tcPr>
          <w:p w14:paraId="42A6414C" w14:textId="77777777" w:rsidR="00962202" w:rsidRDefault="00962202" w:rsidP="00B6250A">
            <w:pPr>
              <w:jc w:val="center"/>
            </w:pPr>
            <w:r w:rsidRPr="003501F6">
              <w:t>SSRIs</w:t>
            </w:r>
          </w:p>
        </w:tc>
        <w:tc>
          <w:tcPr>
            <w:tcW w:w="3005" w:type="dxa"/>
          </w:tcPr>
          <w:p w14:paraId="7F23D92C" w14:textId="77777777"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106</w:t>
            </w:r>
          </w:p>
        </w:tc>
        <w:tc>
          <w:tcPr>
            <w:tcW w:w="3714" w:type="dxa"/>
          </w:tcPr>
          <w:p w14:paraId="1D4F61A6" w14:textId="1549796E"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68</w:t>
            </w:r>
          </w:p>
        </w:tc>
      </w:tr>
      <w:tr w:rsidR="00962202" w14:paraId="33CFE238" w14:textId="77777777" w:rsidTr="00B30FD4">
        <w:tc>
          <w:tcPr>
            <w:cnfStyle w:val="001000000000" w:firstRow="0" w:lastRow="0" w:firstColumn="1" w:lastColumn="0" w:oddVBand="0" w:evenVBand="0" w:oddHBand="0" w:evenHBand="0" w:firstRowFirstColumn="0" w:firstRowLastColumn="0" w:lastRowFirstColumn="0" w:lastRowLastColumn="0"/>
            <w:tcW w:w="3005" w:type="dxa"/>
          </w:tcPr>
          <w:p w14:paraId="0D44E446" w14:textId="77777777" w:rsidR="00962202" w:rsidRDefault="00962202" w:rsidP="00B6250A">
            <w:pPr>
              <w:jc w:val="center"/>
            </w:pPr>
            <w:r w:rsidRPr="003501F6">
              <w:t>SNRIs</w:t>
            </w:r>
          </w:p>
        </w:tc>
        <w:tc>
          <w:tcPr>
            <w:tcW w:w="3005" w:type="dxa"/>
          </w:tcPr>
          <w:p w14:paraId="26F60834" w14:textId="77777777"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54</w:t>
            </w:r>
          </w:p>
        </w:tc>
        <w:tc>
          <w:tcPr>
            <w:tcW w:w="3714" w:type="dxa"/>
          </w:tcPr>
          <w:p w14:paraId="47A58443" w14:textId="6C59F74F"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37</w:t>
            </w:r>
          </w:p>
        </w:tc>
      </w:tr>
      <w:tr w:rsidR="00962202" w14:paraId="71EF09B2" w14:textId="77777777" w:rsidTr="00B30FD4">
        <w:tc>
          <w:tcPr>
            <w:cnfStyle w:val="001000000000" w:firstRow="0" w:lastRow="0" w:firstColumn="1" w:lastColumn="0" w:oddVBand="0" w:evenVBand="0" w:oddHBand="0" w:evenHBand="0" w:firstRowFirstColumn="0" w:firstRowLastColumn="0" w:lastRowFirstColumn="0" w:lastRowLastColumn="0"/>
            <w:tcW w:w="3005" w:type="dxa"/>
          </w:tcPr>
          <w:p w14:paraId="49265D0E" w14:textId="77777777" w:rsidR="00962202" w:rsidRDefault="00962202" w:rsidP="00B6250A">
            <w:pPr>
              <w:jc w:val="center"/>
            </w:pPr>
            <w:r w:rsidRPr="003501F6">
              <w:t>TCAs</w:t>
            </w:r>
          </w:p>
        </w:tc>
        <w:tc>
          <w:tcPr>
            <w:tcW w:w="3005" w:type="dxa"/>
          </w:tcPr>
          <w:p w14:paraId="5FCCAC57" w14:textId="77777777"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5</w:t>
            </w:r>
          </w:p>
        </w:tc>
        <w:tc>
          <w:tcPr>
            <w:tcW w:w="3714" w:type="dxa"/>
          </w:tcPr>
          <w:p w14:paraId="49FC5FAB" w14:textId="77777777"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3</w:t>
            </w:r>
          </w:p>
        </w:tc>
      </w:tr>
      <w:tr w:rsidR="00962202" w14:paraId="5CC9B235" w14:textId="77777777" w:rsidTr="00B30FD4">
        <w:tc>
          <w:tcPr>
            <w:cnfStyle w:val="001000000000" w:firstRow="0" w:lastRow="0" w:firstColumn="1" w:lastColumn="0" w:oddVBand="0" w:evenVBand="0" w:oddHBand="0" w:evenHBand="0" w:firstRowFirstColumn="0" w:firstRowLastColumn="0" w:lastRowFirstColumn="0" w:lastRowLastColumn="0"/>
            <w:tcW w:w="3005" w:type="dxa"/>
          </w:tcPr>
          <w:p w14:paraId="7A53E50D" w14:textId="77777777" w:rsidR="00962202" w:rsidRDefault="00962202" w:rsidP="00B6250A">
            <w:pPr>
              <w:jc w:val="center"/>
            </w:pPr>
            <w:r w:rsidRPr="003501F6">
              <w:t>MAOIs</w:t>
            </w:r>
          </w:p>
        </w:tc>
        <w:tc>
          <w:tcPr>
            <w:tcW w:w="3005" w:type="dxa"/>
          </w:tcPr>
          <w:p w14:paraId="7F87196E" w14:textId="77777777"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w:t>
            </w:r>
          </w:p>
        </w:tc>
        <w:tc>
          <w:tcPr>
            <w:tcW w:w="3714" w:type="dxa"/>
          </w:tcPr>
          <w:p w14:paraId="7CE79EF2" w14:textId="2CC7FF19"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w:t>
            </w:r>
          </w:p>
        </w:tc>
      </w:tr>
      <w:tr w:rsidR="00962202" w14:paraId="76516F3E" w14:textId="77777777" w:rsidTr="00B30FD4">
        <w:tc>
          <w:tcPr>
            <w:cnfStyle w:val="001000000000" w:firstRow="0" w:lastRow="0" w:firstColumn="1" w:lastColumn="0" w:oddVBand="0" w:evenVBand="0" w:oddHBand="0" w:evenHBand="0" w:firstRowFirstColumn="0" w:firstRowLastColumn="0" w:lastRowFirstColumn="0" w:lastRowLastColumn="0"/>
            <w:tcW w:w="3005" w:type="dxa"/>
          </w:tcPr>
          <w:p w14:paraId="40C684AE" w14:textId="41E2A6C9" w:rsidR="00962202" w:rsidRDefault="00962202" w:rsidP="00B6250A">
            <w:pPr>
              <w:jc w:val="center"/>
            </w:pPr>
            <w:r w:rsidRPr="003501F6">
              <w:t>Other</w:t>
            </w:r>
          </w:p>
        </w:tc>
        <w:tc>
          <w:tcPr>
            <w:tcW w:w="3005" w:type="dxa"/>
          </w:tcPr>
          <w:p w14:paraId="1ADCD07E" w14:textId="77777777"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15</w:t>
            </w:r>
          </w:p>
        </w:tc>
        <w:tc>
          <w:tcPr>
            <w:tcW w:w="3714" w:type="dxa"/>
          </w:tcPr>
          <w:p w14:paraId="24373DFA" w14:textId="2BF23DBF" w:rsidR="00962202" w:rsidRDefault="00962202" w:rsidP="00B6250A">
            <w:pPr>
              <w:jc w:val="center"/>
              <w:cnfStyle w:val="000000000000" w:firstRow="0" w:lastRow="0" w:firstColumn="0" w:lastColumn="0" w:oddVBand="0" w:evenVBand="0" w:oddHBand="0" w:evenHBand="0" w:firstRowFirstColumn="0" w:firstRowLastColumn="0" w:lastRowFirstColumn="0" w:lastRowLastColumn="0"/>
            </w:pPr>
            <w:r w:rsidRPr="003501F6">
              <w:t>10</w:t>
            </w:r>
          </w:p>
        </w:tc>
      </w:tr>
      <w:tr w:rsidR="00962202" w:rsidRPr="002D3E42" w14:paraId="375D1A46" w14:textId="77777777" w:rsidTr="00B30FD4">
        <w:tc>
          <w:tcPr>
            <w:cnfStyle w:val="001000000000" w:firstRow="0" w:lastRow="0" w:firstColumn="1" w:lastColumn="0" w:oddVBand="0" w:evenVBand="0" w:oddHBand="0" w:evenHBand="0" w:firstRowFirstColumn="0" w:firstRowLastColumn="0" w:lastRowFirstColumn="0" w:lastRowLastColumn="0"/>
            <w:tcW w:w="3005" w:type="dxa"/>
          </w:tcPr>
          <w:p w14:paraId="2D258C0B" w14:textId="77777777" w:rsidR="00962202" w:rsidRPr="002D3E42" w:rsidRDefault="00962202" w:rsidP="00B6250A">
            <w:pPr>
              <w:jc w:val="center"/>
              <w:rPr>
                <w:b/>
              </w:rPr>
            </w:pPr>
            <w:r w:rsidRPr="002D3E42">
              <w:rPr>
                <w:b/>
              </w:rPr>
              <w:t>TOTAL</w:t>
            </w:r>
          </w:p>
        </w:tc>
        <w:tc>
          <w:tcPr>
            <w:tcW w:w="3005" w:type="dxa"/>
          </w:tcPr>
          <w:p w14:paraId="147A58D7" w14:textId="73738186" w:rsidR="00962202" w:rsidRPr="002D3E42" w:rsidRDefault="00472A70" w:rsidP="00851EA1">
            <w:pPr>
              <w:jc w:val="center"/>
              <w:cnfStyle w:val="000000000000" w:firstRow="0" w:lastRow="0" w:firstColumn="0" w:lastColumn="0" w:oddVBand="0" w:evenVBand="0" w:oddHBand="0" w:evenHBand="0" w:firstRowFirstColumn="0" w:firstRowLastColumn="0" w:lastRowFirstColumn="0" w:lastRowLastColumn="0"/>
              <w:rPr>
                <w:b/>
              </w:rPr>
            </w:pPr>
            <w:r>
              <w:rPr>
                <w:b/>
              </w:rPr>
              <w:t>167</w:t>
            </w:r>
          </w:p>
        </w:tc>
        <w:tc>
          <w:tcPr>
            <w:tcW w:w="3714" w:type="dxa"/>
          </w:tcPr>
          <w:p w14:paraId="34AEF797" w14:textId="7F46202C" w:rsidR="00962202" w:rsidRPr="002D3E42" w:rsidRDefault="00962202" w:rsidP="00B6250A">
            <w:pPr>
              <w:jc w:val="center"/>
              <w:cnfStyle w:val="000000000000" w:firstRow="0" w:lastRow="0" w:firstColumn="0" w:lastColumn="0" w:oddVBand="0" w:evenVBand="0" w:oddHBand="0" w:evenHBand="0" w:firstRowFirstColumn="0" w:firstRowLastColumn="0" w:lastRowFirstColumn="0" w:lastRowLastColumn="0"/>
              <w:rPr>
                <w:b/>
              </w:rPr>
            </w:pPr>
            <w:r w:rsidRPr="002D3E42">
              <w:rPr>
                <w:b/>
              </w:rPr>
              <w:t>118</w:t>
            </w:r>
          </w:p>
        </w:tc>
      </w:tr>
    </w:tbl>
    <w:p w14:paraId="405A0DCD" w14:textId="1B849655" w:rsidR="00962202" w:rsidRPr="00851EA1" w:rsidRDefault="00D122CE" w:rsidP="00D122CE">
      <w:pPr>
        <w:spacing w:before="0"/>
        <w:rPr>
          <w:sz w:val="20"/>
        </w:rPr>
      </w:pPr>
      <w:r w:rsidRPr="00851EA1">
        <w:rPr>
          <w:sz w:val="20"/>
        </w:rPr>
        <w:t>*</w:t>
      </w:r>
      <w:r w:rsidR="00BC11A8" w:rsidRPr="00851EA1">
        <w:rPr>
          <w:sz w:val="20"/>
        </w:rPr>
        <w:t xml:space="preserve"> </w:t>
      </w:r>
      <w:r w:rsidR="00246320" w:rsidRPr="00246320">
        <w:rPr>
          <w:sz w:val="20"/>
        </w:rPr>
        <w:t>Of the 167 reports of suicide-related adverse events, 11 patients were reported to be taking more than one antidepressant medicine concurrently.</w:t>
      </w:r>
    </w:p>
    <w:p w14:paraId="764BAD46" w14:textId="77777777" w:rsidR="00246320" w:rsidRDefault="00246320" w:rsidP="00246320">
      <w:r>
        <w:t>Of the 167 reports recorded in the DAEN, 78 were for children and adolescents (under 18 years of age). Twenty-four reports, received between 2005 and 2018, listed completed suicide as the adverse event (see Appendix 2 for full case line listing). Figure 3 provides a breakdown of reports completed suicides by age group. SSRI medicines were listed as the suspected medicine in 13 of the 24 reports of completed suicide, SNRI medicines were listed as the suspected medicine in seven reports, with TCAs and agomelatine listed as the suspected medicine in three reports and one report respectively.</w:t>
      </w:r>
    </w:p>
    <w:p w14:paraId="4078F53A" w14:textId="50434BEB" w:rsidR="00851EA1" w:rsidRDefault="00246320" w:rsidP="00246320">
      <w:r>
        <w:t>The time from medication initiation to the outcome of completed suicide (time to onset) was not provided in 13 of the 24 reports (see Figure 4). Of the remaining 11 reports, one was a patient who was not taking an SSRI prior to the event and obtained an SSRI for the sole purpose of an intentional, multi-drug overdose. This report has not been included in Figure 4. Of the other 10 reports with a recorded time to onset, there was insufficient information to suggest the presence of activation syndrome. See section 3.2.2 for more detail on activation syndrome.</w:t>
      </w:r>
    </w:p>
    <w:p w14:paraId="40E37AC7" w14:textId="7DF8FCCC" w:rsidR="00962202" w:rsidRPr="003617BA" w:rsidRDefault="00962202" w:rsidP="00B30FD4">
      <w:pPr>
        <w:pStyle w:val="Figuretitle"/>
      </w:pPr>
      <w:r w:rsidRPr="003617BA">
        <w:t xml:space="preserve">Figure 3: Number of </w:t>
      </w:r>
      <w:r w:rsidR="000933F3" w:rsidRPr="003617BA">
        <w:t xml:space="preserve">DAEN reports of </w:t>
      </w:r>
      <w:r w:rsidRPr="003617BA">
        <w:t>completed suicides by age group</w:t>
      </w:r>
      <w:r w:rsidR="000C731F" w:rsidRPr="003617BA">
        <w:t xml:space="preserve"> and gender</w:t>
      </w:r>
      <w:r w:rsidRPr="003617BA">
        <w:t xml:space="preserve"> in persons under 25 years</w:t>
      </w:r>
    </w:p>
    <w:p w14:paraId="3C9A9A06" w14:textId="54072B33" w:rsidR="000027A2" w:rsidRDefault="00851EA1" w:rsidP="00962202">
      <w:pPr>
        <w:spacing w:before="0" w:after="0"/>
        <w:rPr>
          <w:rFonts w:cs="Calibri"/>
          <w:b/>
          <w:sz w:val="20"/>
        </w:rPr>
      </w:pPr>
      <w:r>
        <w:rPr>
          <w:noProof/>
          <w:lang w:eastAsia="en-AU"/>
        </w:rPr>
        <w:drawing>
          <wp:anchor distT="0" distB="0" distL="114300" distR="114300" simplePos="0" relativeHeight="251663360" behindDoc="0" locked="0" layoutInCell="1" allowOverlap="1" wp14:anchorId="2CC53AEA" wp14:editId="6A0FCDC6">
            <wp:simplePos x="0" y="0"/>
            <wp:positionH relativeFrom="page">
              <wp:posOffset>3441712</wp:posOffset>
            </wp:positionH>
            <wp:positionV relativeFrom="paragraph">
              <wp:posOffset>4661</wp:posOffset>
            </wp:positionV>
            <wp:extent cx="3780706" cy="3072981"/>
            <wp:effectExtent l="0" t="0" r="0" b="0"/>
            <wp:wrapNone/>
            <wp:docPr id="2" name="Chart 2" descr="Pie chart: Female 10, 42%; Male 14,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0027A2">
        <w:rPr>
          <w:noProof/>
          <w:lang w:eastAsia="en-AU"/>
        </w:rPr>
        <w:drawing>
          <wp:anchor distT="0" distB="0" distL="114300" distR="114300" simplePos="0" relativeHeight="251664384" behindDoc="0" locked="0" layoutInCell="1" allowOverlap="1" wp14:anchorId="18B81884" wp14:editId="5B12E488">
            <wp:simplePos x="0" y="0"/>
            <wp:positionH relativeFrom="margin">
              <wp:posOffset>-676275</wp:posOffset>
            </wp:positionH>
            <wp:positionV relativeFrom="paragraph">
              <wp:posOffset>7620</wp:posOffset>
            </wp:positionV>
            <wp:extent cx="3857625" cy="2981325"/>
            <wp:effectExtent l="0" t="0" r="0" b="0"/>
            <wp:wrapNone/>
            <wp:docPr id="6" name="Chart 6" descr="Pie chart: Adolescents (10-17 years) 8, 33%; Early adulthood (18-24 years) 16,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7111850C" w14:textId="1A145409" w:rsidR="000027A2" w:rsidRDefault="000027A2" w:rsidP="00962202">
      <w:pPr>
        <w:spacing w:before="0" w:after="0"/>
        <w:rPr>
          <w:rFonts w:cs="Calibri"/>
          <w:b/>
          <w:sz w:val="20"/>
        </w:rPr>
      </w:pPr>
    </w:p>
    <w:p w14:paraId="3E233A08" w14:textId="7A3410EB" w:rsidR="000027A2" w:rsidRDefault="000027A2" w:rsidP="00962202">
      <w:pPr>
        <w:spacing w:before="0" w:after="0"/>
        <w:rPr>
          <w:rFonts w:cs="Calibri"/>
          <w:b/>
          <w:sz w:val="20"/>
        </w:rPr>
      </w:pPr>
    </w:p>
    <w:p w14:paraId="2C103470" w14:textId="5BC0E9FE" w:rsidR="000027A2" w:rsidRDefault="000027A2" w:rsidP="00962202">
      <w:pPr>
        <w:spacing w:before="0" w:after="0"/>
        <w:rPr>
          <w:rFonts w:cs="Calibri"/>
          <w:b/>
          <w:sz w:val="20"/>
        </w:rPr>
      </w:pPr>
    </w:p>
    <w:p w14:paraId="19CD302D" w14:textId="169677EE" w:rsidR="00E77198" w:rsidRDefault="00E77198" w:rsidP="00962202">
      <w:pPr>
        <w:spacing w:before="0" w:after="0"/>
        <w:rPr>
          <w:rFonts w:cs="Calibri"/>
          <w:b/>
          <w:sz w:val="20"/>
        </w:rPr>
      </w:pPr>
    </w:p>
    <w:p w14:paraId="493D7431" w14:textId="2B689245" w:rsidR="00E77198" w:rsidRDefault="00E77198" w:rsidP="00962202">
      <w:pPr>
        <w:spacing w:before="0" w:after="0"/>
        <w:rPr>
          <w:rFonts w:cs="Calibri"/>
          <w:b/>
          <w:sz w:val="20"/>
        </w:rPr>
      </w:pPr>
    </w:p>
    <w:p w14:paraId="27314050" w14:textId="5CCCFC40" w:rsidR="00E77198" w:rsidRDefault="00E77198" w:rsidP="00962202">
      <w:pPr>
        <w:spacing w:before="0" w:after="0"/>
        <w:rPr>
          <w:rFonts w:cs="Calibri"/>
          <w:b/>
          <w:sz w:val="20"/>
        </w:rPr>
      </w:pPr>
    </w:p>
    <w:p w14:paraId="3EF61C09" w14:textId="3DBC6ED3" w:rsidR="00E77198" w:rsidRDefault="00E77198" w:rsidP="00962202">
      <w:pPr>
        <w:spacing w:before="0" w:after="0"/>
        <w:rPr>
          <w:rFonts w:cs="Calibri"/>
          <w:b/>
          <w:sz w:val="20"/>
        </w:rPr>
      </w:pPr>
    </w:p>
    <w:p w14:paraId="5F022ED7" w14:textId="08FD18B6" w:rsidR="00E77198" w:rsidRDefault="00E77198" w:rsidP="00962202">
      <w:pPr>
        <w:spacing w:before="0" w:after="0"/>
        <w:rPr>
          <w:rFonts w:cs="Calibri"/>
          <w:b/>
          <w:sz w:val="20"/>
        </w:rPr>
      </w:pPr>
    </w:p>
    <w:p w14:paraId="70A9BEB4" w14:textId="105667B3" w:rsidR="00E77198" w:rsidRDefault="00E77198" w:rsidP="00962202">
      <w:pPr>
        <w:spacing w:before="0" w:after="0"/>
        <w:rPr>
          <w:rFonts w:cs="Calibri"/>
          <w:b/>
          <w:sz w:val="20"/>
        </w:rPr>
      </w:pPr>
    </w:p>
    <w:p w14:paraId="035202CD" w14:textId="77777777" w:rsidR="00E77198" w:rsidRDefault="00E77198" w:rsidP="00962202">
      <w:pPr>
        <w:spacing w:before="0" w:after="0"/>
        <w:rPr>
          <w:rFonts w:cs="Calibri"/>
          <w:b/>
          <w:sz w:val="20"/>
        </w:rPr>
      </w:pPr>
    </w:p>
    <w:p w14:paraId="40E63451" w14:textId="77777777" w:rsidR="000027A2" w:rsidRDefault="000027A2" w:rsidP="00962202"/>
    <w:p w14:paraId="524694AE" w14:textId="77777777" w:rsidR="000027A2" w:rsidRDefault="000027A2" w:rsidP="00962202"/>
    <w:p w14:paraId="178A487E" w14:textId="77777777" w:rsidR="000027A2" w:rsidRDefault="000027A2" w:rsidP="00962202"/>
    <w:p w14:paraId="3E2EF207" w14:textId="77777777" w:rsidR="000027A2" w:rsidRDefault="000027A2" w:rsidP="00962202"/>
    <w:p w14:paraId="2E60EDF5" w14:textId="77777777" w:rsidR="000027A2" w:rsidRDefault="000027A2" w:rsidP="00962202"/>
    <w:p w14:paraId="3D299F39" w14:textId="780948B4" w:rsidR="00962202" w:rsidRPr="003617BA" w:rsidRDefault="00962202" w:rsidP="00B30FD4">
      <w:pPr>
        <w:pStyle w:val="Figuretitle"/>
      </w:pPr>
      <w:r w:rsidRPr="003617BA">
        <w:lastRenderedPageBreak/>
        <w:t>Figure 4: Time from medication to completed suicide in persons under 25 years</w:t>
      </w:r>
    </w:p>
    <w:p w14:paraId="6ECA7D3F" w14:textId="0380A771" w:rsidR="00B30FD4" w:rsidRDefault="00B30FD4" w:rsidP="00B30FD4">
      <w:pPr>
        <w:jc w:val="center"/>
      </w:pPr>
      <w:r w:rsidRPr="003617BA">
        <w:rPr>
          <w:b/>
          <w:noProof/>
          <w:lang w:eastAsia="en-AU"/>
        </w:rPr>
        <w:drawing>
          <wp:inline distT="0" distB="0" distL="0" distR="0" wp14:anchorId="79A43984" wp14:editId="2C3F883F">
            <wp:extent cx="4364355" cy="3407410"/>
            <wp:effectExtent l="0" t="0" r="17145" b="2540"/>
            <wp:docPr id="9" name="Chart 9" descr="Column chart: less than or equal to 1 month - 4 cases; less than or equal to 2 months - 3 cases; less than or equal to 12 months - 3 cases; Not reported - 13 cas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79BC8C" w14:textId="77777777" w:rsidR="00A24C86" w:rsidRDefault="00A24C86" w:rsidP="00A24C86">
      <w:r>
        <w:t>Figure 5 shows the aggregate number of reports to the DAEN of suicide-related adverse events for people aged under 25 years according to the active ingredient in the antidepressant listed as a suspected medicine.</w:t>
      </w:r>
    </w:p>
    <w:p w14:paraId="071B21F8" w14:textId="1C4317C9" w:rsidR="003538C3" w:rsidRDefault="00A24C86" w:rsidP="00A24C86">
      <w:pPr>
        <w:rPr>
          <w:rFonts w:cs="Calibri"/>
          <w:szCs w:val="22"/>
        </w:rPr>
      </w:pPr>
      <w:r>
        <w:t>Figures 6 through 8 provide a summary of suicide-related adverse events stratified by suspected antidepressant medicine and age group.</w:t>
      </w:r>
    </w:p>
    <w:p w14:paraId="3C78F53A" w14:textId="77777777" w:rsidR="00962202" w:rsidRDefault="00962202" w:rsidP="00962202">
      <w:pPr>
        <w:spacing w:after="0"/>
        <w:rPr>
          <w:rFonts w:cs="Calibri"/>
          <w:b/>
          <w:sz w:val="20"/>
        </w:rPr>
      </w:pPr>
    </w:p>
    <w:p w14:paraId="764E0A51" w14:textId="77777777" w:rsidR="004526E0" w:rsidRDefault="004526E0" w:rsidP="00962202">
      <w:pPr>
        <w:spacing w:after="0"/>
        <w:rPr>
          <w:rFonts w:cs="Calibri"/>
          <w:b/>
          <w:sz w:val="20"/>
        </w:rPr>
        <w:sectPr w:rsidR="004526E0" w:rsidSect="004526E0">
          <w:headerReference w:type="default" r:id="rId18"/>
          <w:footerReference w:type="default" r:id="rId19"/>
          <w:footnotePr>
            <w:numFmt w:val="chicago"/>
          </w:footnotePr>
          <w:pgSz w:w="11906" w:h="16838" w:code="9"/>
          <w:pgMar w:top="1134" w:right="1418" w:bottom="1361" w:left="1418" w:header="573" w:footer="567" w:gutter="0"/>
          <w:cols w:space="708"/>
          <w:docGrid w:linePitch="360"/>
        </w:sectPr>
      </w:pPr>
    </w:p>
    <w:p w14:paraId="21F59858" w14:textId="2F3D069C" w:rsidR="00962202" w:rsidRPr="00C43107" w:rsidRDefault="000F4562" w:rsidP="00962202">
      <w:pPr>
        <w:spacing w:after="0"/>
        <w:rPr>
          <w:b/>
        </w:rPr>
      </w:pPr>
      <w:r w:rsidRPr="003617BA">
        <w:rPr>
          <w:b/>
          <w:noProof/>
          <w:lang w:eastAsia="en-AU"/>
        </w:rPr>
        <w:lastRenderedPageBreak/>
        <w:drawing>
          <wp:anchor distT="0" distB="0" distL="114300" distR="114300" simplePos="0" relativeHeight="251662336" behindDoc="0" locked="0" layoutInCell="1" allowOverlap="1" wp14:anchorId="6218A3C5" wp14:editId="51017069">
            <wp:simplePos x="0" y="0"/>
            <wp:positionH relativeFrom="page">
              <wp:align>center</wp:align>
            </wp:positionH>
            <wp:positionV relativeFrom="paragraph">
              <wp:posOffset>242570</wp:posOffset>
            </wp:positionV>
            <wp:extent cx="10222301" cy="5262113"/>
            <wp:effectExtent l="0" t="0" r="7620" b="15240"/>
            <wp:wrapTopAndBottom/>
            <wp:docPr id="10" name="Chart 10" descr="Column chart:&#10;Agomelatine - 2 Suicidal ideation/behaviour, 1 Completed suicide;&#10;Amitriptyline - 1 Suicide attempt, 2 Completed suicide;&#10;Citalopram - 3 Suicidal ideation/behaviour, 5 Suicide attempt;&#10;Desvenlafaxine - 14 Suicidal ideation/behaviour, 2 Suicide attempt, 1 Completed suicide;&#10;Dosulepin - 1 Suicidal ideation/behaviour, 1 Completed suicide;&#10;Duloxetine - 7 Suicidal ideation/behaviour, 1 Completed suicide;&#10;Escitalopram - 8 Suicidal ideation/behaviour, 2 Suicide attempt, 1 Completed suicide;&#10;Fluoxetine - 16 Suicidal ideation/behaviour, 15 Suicide attempt, 2 Completed suicide;&#10;Fluvoxamine - 1 Suicidal ideation/behaviour, 2 Suicide attempt, 3 Completed suicide;&#10;Mirtazapine - 7 Suicidal ideation/behaviour, 2 Suicide attempt;&#10;Moclobemide - 1 Suicide attempt;&#10;Paroxetine - 8 Suicidal ideation/behaviour, 5 Suicide attempt, 1 Completed suicide;&#10;Reboxetine - 1 Suicidal ideation/behaviour;&#10;Sertraline - 19 Suicidal ideation/behaviour, 15 Suicide attempt, 6 Completed suicide;&#10;Venlafaxine - 14 Suicidal ideation/behaviour, 12 Suicide attempt, 5 Completed suicide;&#10;Vortioxetine - 1 Suicidal ideation/behaviou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962202" w:rsidRPr="003617BA">
        <w:rPr>
          <w:b/>
        </w:rPr>
        <w:t xml:space="preserve">Figure 5: Suicide-related adverse </w:t>
      </w:r>
      <w:r w:rsidR="00372F5E" w:rsidRPr="003617BA">
        <w:rPr>
          <w:b/>
        </w:rPr>
        <w:t xml:space="preserve">events </w:t>
      </w:r>
      <w:r w:rsidR="00962202" w:rsidRPr="003617BA">
        <w:rPr>
          <w:b/>
        </w:rPr>
        <w:t>reported in persons under 25 years of age by</w:t>
      </w:r>
      <w:r w:rsidR="00C43107" w:rsidRPr="003617BA">
        <w:rPr>
          <w:b/>
        </w:rPr>
        <w:t xml:space="preserve"> suspected antidepressant medicine</w:t>
      </w:r>
    </w:p>
    <w:p w14:paraId="785426B3" w14:textId="11C8A737" w:rsidR="00F87A57" w:rsidRPr="003617BA" w:rsidRDefault="00F87A57" w:rsidP="000F6A5C">
      <w:pPr>
        <w:keepNext/>
        <w:spacing w:after="0"/>
        <w:rPr>
          <w:b/>
        </w:rPr>
      </w:pPr>
      <w:bookmarkStart w:id="43" w:name="_Toc57132530"/>
      <w:r w:rsidRPr="003617BA">
        <w:rPr>
          <w:b/>
        </w:rPr>
        <w:lastRenderedPageBreak/>
        <w:t xml:space="preserve">Figure </w:t>
      </w:r>
      <w:r w:rsidR="003538C3">
        <w:rPr>
          <w:b/>
        </w:rPr>
        <w:t>6</w:t>
      </w:r>
      <w:r w:rsidRPr="003617BA">
        <w:rPr>
          <w:b/>
        </w:rPr>
        <w:t xml:space="preserve">: Suicide-related adverse </w:t>
      </w:r>
      <w:r w:rsidR="00372F5E" w:rsidRPr="003617BA">
        <w:rPr>
          <w:b/>
        </w:rPr>
        <w:t xml:space="preserve">events </w:t>
      </w:r>
      <w:r w:rsidRPr="003617BA">
        <w:rPr>
          <w:b/>
        </w:rPr>
        <w:t xml:space="preserve">reported in young adults aged 18 to 24 years by </w:t>
      </w:r>
      <w:r w:rsidR="00EF2A86" w:rsidRPr="003617BA">
        <w:rPr>
          <w:b/>
        </w:rPr>
        <w:t>suspected antidepressant medicine</w:t>
      </w:r>
      <w:bookmarkEnd w:id="43"/>
    </w:p>
    <w:p w14:paraId="45BE8C3C" w14:textId="59AA4088" w:rsidR="006B486C" w:rsidRDefault="006B486C" w:rsidP="00F87A57">
      <w:pPr>
        <w:ind w:left="360"/>
      </w:pPr>
      <w:r>
        <w:rPr>
          <w:noProof/>
          <w:lang w:eastAsia="en-AU"/>
        </w:rPr>
        <w:drawing>
          <wp:inline distT="0" distB="0" distL="0" distR="0" wp14:anchorId="2959BFD2" wp14:editId="37C41C21">
            <wp:extent cx="8086725" cy="3590925"/>
            <wp:effectExtent l="0" t="0" r="9525" b="9525"/>
            <wp:docPr id="18" name="Chart 18" descr="Column chart:&#10;Agomelatine - 2 Suicidal ideation, 1 Completed suicide;&#10;Amitriptyline - 1 Suicide attempt, 1 Completed suicide;&#10;Citalopram - 2 Suicidal ideation, 3 Suicide attempt;&#10;Desvenlafaxine - 12 Suicidal ideation, 1 Suicide attempt, 1 Completed suicide;&#10;Dosulepin - 1 Suicidal ideation, 1 Completed suicide;&#10;Duloxetine - 5 Suicidal ideation, 1 Completed suicide;&#10;Escitalopram - 4 Suicidal ideation, 1 Suicide attempt;&#10;Fluoxetine - 4 Suicidal ideation, 2 Suicide attempt, 1 Completed suicide;&#10;Fluvoxamine - 2 Completed suicide;&#10;Mirtazapine - 6 Suicidal ideation, 1 Suicide attempt;&#10;Paroxetine - 3 Suicidal ideation, 3 Suicide attempt, 1 Completed suicide;&#10;Sertraline - 8 Suicidal ideation, 2 Suicide attempt, 4 Completed suicide;&#10;Venlafaxine - 13 Suicidal ideation, 8 Suicide attempt, 3 Completed suicide;&#10;Vortioxetine - 1 Suicidal ide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B1C615" w14:textId="77777777" w:rsidR="003538C3" w:rsidRPr="003617BA" w:rsidRDefault="003538C3" w:rsidP="0025762C">
      <w:pPr>
        <w:keepNext/>
        <w:spacing w:after="0"/>
        <w:rPr>
          <w:b/>
        </w:rPr>
      </w:pPr>
      <w:r w:rsidRPr="003617BA">
        <w:rPr>
          <w:b/>
        </w:rPr>
        <w:lastRenderedPageBreak/>
        <w:t>Figure 7: Suicide-related adverse events reported in adolescents aged 13 to 17 years by suspected antidepressant medicine</w:t>
      </w:r>
    </w:p>
    <w:p w14:paraId="6A08D20B" w14:textId="77777777" w:rsidR="003538C3" w:rsidRDefault="003538C3" w:rsidP="003538C3">
      <w:pPr>
        <w:ind w:left="360"/>
      </w:pPr>
      <w:r>
        <w:rPr>
          <w:noProof/>
          <w:lang w:eastAsia="en-AU"/>
        </w:rPr>
        <w:drawing>
          <wp:inline distT="0" distB="0" distL="0" distR="0" wp14:anchorId="0A05341D" wp14:editId="252F67F7">
            <wp:extent cx="7943850" cy="3562350"/>
            <wp:effectExtent l="0" t="0" r="0" b="0"/>
            <wp:docPr id="8" name="Chart 8" descr="Column chart:&#10;Agomelatine - 1 Suicidal ideation/behaviour;&#10;Amitriptyline - 1 Completed suicide;&#10;Citalopram - 1 Suicidal ideation/behaviour, 2 Suicide attempt;&#10;Desvenlafaxine - 2 Suicidal ideation/behaviour, 1 Suicide attempt;&#10;Duloxetine - 1 Suicidal ideation/behaviour;&#10;Escitalopram - 3 Suicidal ideation/behaviour, 1 Suicide attempt, 1 Completed suicide;&#10;Fluoxetine - 9 Suicidal ideation/behaviour, 13 Suicide attempt, 1 Completed suicide;&#10;Fluvoxamine - 1 Suicidal ideation/behaviour, 2 Suicide attempt, 1 Completed suicide;&#10;Mirtazapine - 1 Suicidal ideation/behaviour, 1 Suicide attempt;&#10;Moclobemide - 1 Suicide attempt;&#10;Paroxetine - 4 Suicidal ideation/behaviour, 2 Suicide attempt;&#10;Reboxetine - 1 Suicidal ideation/behaviour;&#10;Sertraline - 8 Suicidal ideation/behaviour, 13 Suicide attempt, 2 Completed suicide;&#10;Venlafaxine - 1 Suicidal ideation/behaviour, 4 Suicide attempt, 2 Completed suicid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6050A6" w14:textId="77777777" w:rsidR="003538C3" w:rsidRPr="00FE59FB" w:rsidRDefault="003538C3" w:rsidP="00F87A57">
      <w:pPr>
        <w:ind w:left="360"/>
      </w:pPr>
    </w:p>
    <w:p w14:paraId="1BEF5242" w14:textId="77777777" w:rsidR="00372F5E" w:rsidRDefault="00372F5E" w:rsidP="008F4BF3">
      <w:pPr>
        <w:pStyle w:val="Heading4"/>
        <w:ind w:left="360"/>
        <w:sectPr w:rsidR="00372F5E" w:rsidSect="00EF2A86">
          <w:footerReference w:type="default" r:id="rId23"/>
          <w:pgSz w:w="16838" w:h="11906" w:orient="landscape" w:code="9"/>
          <w:pgMar w:top="1418" w:right="1134" w:bottom="1418" w:left="1361" w:header="573" w:footer="567" w:gutter="0"/>
          <w:cols w:space="708"/>
          <w:docGrid w:linePitch="360"/>
        </w:sectPr>
      </w:pPr>
    </w:p>
    <w:p w14:paraId="7AE82602" w14:textId="39F2D19B" w:rsidR="003538C3" w:rsidRPr="003617BA" w:rsidRDefault="003538C3" w:rsidP="007B1FA5">
      <w:pPr>
        <w:pStyle w:val="Figuretitle"/>
      </w:pPr>
      <w:bookmarkStart w:id="44" w:name="_Toc57132531"/>
      <w:r w:rsidRPr="003617BA">
        <w:lastRenderedPageBreak/>
        <w:t xml:space="preserve">Figure </w:t>
      </w:r>
      <w:r>
        <w:t>8</w:t>
      </w:r>
      <w:r w:rsidRPr="003617BA">
        <w:t>: Suicide-related adverse events reported in children 12 years of age and under by suspected antidepressant medicine</w:t>
      </w:r>
    </w:p>
    <w:p w14:paraId="6C7D50A0" w14:textId="40640A45" w:rsidR="003538C3" w:rsidRDefault="003538C3" w:rsidP="003538C3">
      <w:pPr>
        <w:ind w:left="360"/>
      </w:pPr>
      <w:r>
        <w:rPr>
          <w:noProof/>
          <w:lang w:eastAsia="en-AU"/>
        </w:rPr>
        <w:drawing>
          <wp:inline distT="0" distB="0" distL="0" distR="0" wp14:anchorId="67B657F2" wp14:editId="47CFDA2F">
            <wp:extent cx="4572000" cy="2743200"/>
            <wp:effectExtent l="0" t="0" r="0" b="0"/>
            <wp:docPr id="14" name="Chart 14" descr="Column chart:&#10;Duloxetine - 1 Suicidal ideation/behaviour;&#10;Escitalopram - 1 Suicidal ideation/behaviour;&#10;Fluoxetine - 3 Suicidal ideation/behaviour;&#10;Paroxetine - 1 Suicidal ideation/behaviour;&#10;Sertraline - 3 Suicidal ideation/behaviou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E24A09" w14:textId="305496EF" w:rsidR="00F84C3B" w:rsidRDefault="00303F0B" w:rsidP="00303F0B">
      <w:pPr>
        <w:pStyle w:val="Heading4"/>
      </w:pPr>
      <w:bookmarkStart w:id="45" w:name="_Toc57132532"/>
      <w:bookmarkStart w:id="46" w:name="_Toc70418951"/>
      <w:bookmarkEnd w:id="44"/>
      <w:r w:rsidRPr="00303F0B">
        <w:t>3.2.3</w:t>
      </w:r>
      <w:r>
        <w:t xml:space="preserve"> </w:t>
      </w:r>
      <w:r w:rsidR="00F84C3B">
        <w:t>Appraisal of Whitely et al publication</w:t>
      </w:r>
      <w:bookmarkEnd w:id="45"/>
      <w:bookmarkEnd w:id="46"/>
    </w:p>
    <w:p w14:paraId="63DFECF4" w14:textId="77777777" w:rsidR="009F6C66" w:rsidRDefault="009F6C66" w:rsidP="009F6C66">
      <w:r>
        <w:t>Whitely, et al., compared changes in PBS antidepressant dispensing to young Australians (aged &lt;28 years) with youth suicide rates (aged &lt;25 years) from the ABS.</w:t>
      </w:r>
      <w:r w:rsidRPr="009F6C66">
        <w:rPr>
          <w:vertAlign w:val="superscript"/>
        </w:rPr>
        <w:t>1</w:t>
      </w:r>
      <w:r>
        <w:t xml:space="preserve"> They found that Australian youth suicide rates have trended upwards in the decade from 2009 to 2018 and there has been an increase in antidepressant dispensing in youths in the same period. The proportion of young Australians using antidepressants rose from 2.9% to 4.8% over 2008-09 to 2017-18 (a 66% increase). The suicide rate for Australians aged 9-24 years increased from 3.87 to 5.78 deaths per 100,000 (49.2% increase) between 2009 and 2018. Whitely et al state that “</w:t>
      </w:r>
      <w:r w:rsidRPr="009F6C66">
        <w:rPr>
          <w:i/>
        </w:rPr>
        <w:t>there is clear evidence that more young Australians are taking antidepressants, and more young Australians are killing themselves and self-harming…</w:t>
      </w:r>
      <w:r>
        <w:t>”.</w:t>
      </w:r>
    </w:p>
    <w:p w14:paraId="777A870B" w14:textId="20923432" w:rsidR="00F84C3B" w:rsidRDefault="009F6C66" w:rsidP="009F6C66">
      <w:r>
        <w:t>The authors acknowledged a number of limitations of their analysis including that:</w:t>
      </w:r>
    </w:p>
    <w:p w14:paraId="19516A35" w14:textId="77777777" w:rsidR="00F84C3B" w:rsidRDefault="00F84C3B" w:rsidP="00303F0B">
      <w:pPr>
        <w:pStyle w:val="ListBullet"/>
      </w:pPr>
      <w:r>
        <w:t>Many factors impact suicide rates and it is impossible to isolate the effects of specific factors.</w:t>
      </w:r>
    </w:p>
    <w:p w14:paraId="63642873" w14:textId="77777777" w:rsidR="00F84C3B" w:rsidRDefault="00F84C3B" w:rsidP="00303F0B">
      <w:pPr>
        <w:pStyle w:val="ListBullet"/>
      </w:pPr>
      <w:r w:rsidRPr="00B17515">
        <w:t>Data collection practices have changed over time, which can make interpretation of time trends difficult, especially before and after 2012 due to changes in the data to</w:t>
      </w:r>
      <w:r>
        <w:t xml:space="preserve"> record low cost prescriptions.</w:t>
      </w:r>
    </w:p>
    <w:p w14:paraId="1470C2A2" w14:textId="4724474A" w:rsidR="00F84C3B" w:rsidRDefault="00F84C3B" w:rsidP="00303F0B">
      <w:pPr>
        <w:pStyle w:val="ListBullet"/>
      </w:pPr>
      <w:r w:rsidRPr="00B17515">
        <w:t>The analysis is complicated by the use of different age group and calendar year definitions in the dispensing and suicide outcomes ( “</w:t>
      </w:r>
      <w:r w:rsidRPr="00B17515">
        <w:rPr>
          <w:i/>
        </w:rPr>
        <w:t>antidepressant dispensing data cover the age-range 0–27 years; however, suicide data cover ages 0–24 years. Also, antidepressant data are for financial years (July to June), but suicide data are for calendar years)</w:t>
      </w:r>
      <w:r w:rsidRPr="00B17515">
        <w:t>”.</w:t>
      </w:r>
      <w:r w:rsidR="00F51A2D">
        <w:rPr>
          <w:vertAlign w:val="superscript"/>
        </w:rPr>
        <w:t>1</w:t>
      </w:r>
    </w:p>
    <w:p w14:paraId="411BCF5C" w14:textId="77777777" w:rsidR="009F6C66" w:rsidRDefault="009F6C66" w:rsidP="009F6C66">
      <w:pPr>
        <w:pStyle w:val="ListBullet"/>
      </w:pPr>
      <w:r>
        <w:t>C</w:t>
      </w:r>
      <w:r w:rsidRPr="00B17515">
        <w:t xml:space="preserve">orrelation in observational studies is not sufficient to establish a causal association because of inherent uncontrolled confounding factors that influence youth </w:t>
      </w:r>
      <w:r>
        <w:t>suicide rates.</w:t>
      </w:r>
    </w:p>
    <w:p w14:paraId="44E7882F" w14:textId="77777777" w:rsidR="00F84C3B" w:rsidRDefault="00F84C3B" w:rsidP="00F84C3B">
      <w:r>
        <w:t>Additional limitations identified by the TGA’s appraisal include that:</w:t>
      </w:r>
    </w:p>
    <w:p w14:paraId="3CCF26FA" w14:textId="3688269A" w:rsidR="00F84C3B" w:rsidRDefault="00F84C3B" w:rsidP="00303F0B">
      <w:pPr>
        <w:pStyle w:val="ListBullet"/>
      </w:pPr>
      <w:r w:rsidRPr="00C6539C">
        <w:t xml:space="preserve">The PBS data and </w:t>
      </w:r>
      <w:r>
        <w:t xml:space="preserve">ABS </w:t>
      </w:r>
      <w:r w:rsidRPr="00C6539C">
        <w:t xml:space="preserve">suicide data analysed in this study are not linked so it is not possible to tell whether the young people recorded as having completed suicide had actually been prescribed </w:t>
      </w:r>
      <w:r w:rsidR="00596D2A">
        <w:t xml:space="preserve">an </w:t>
      </w:r>
      <w:r w:rsidRPr="00C6539C">
        <w:t>antidepressant</w:t>
      </w:r>
      <w:r>
        <w:t>.</w:t>
      </w:r>
    </w:p>
    <w:p w14:paraId="72170F85" w14:textId="317C285C" w:rsidR="00F84C3B" w:rsidRDefault="00F84C3B" w:rsidP="00303F0B">
      <w:pPr>
        <w:pStyle w:val="ListBullet"/>
      </w:pPr>
      <w:r w:rsidRPr="00B17515">
        <w:t xml:space="preserve">It is not possible to identify the reason </w:t>
      </w:r>
      <w:r>
        <w:t>the antidepressants were</w:t>
      </w:r>
      <w:r w:rsidRPr="00B17515">
        <w:t xml:space="preserve"> pres</w:t>
      </w:r>
      <w:r>
        <w:t>cribed</w:t>
      </w:r>
      <w:r w:rsidR="00DD11D9">
        <w:t>, as PBS data does not include a diagnosis field and there are several conditions for which antidepressants are prescribed in children</w:t>
      </w:r>
      <w:r>
        <w:t>.</w:t>
      </w:r>
    </w:p>
    <w:p w14:paraId="59434501" w14:textId="77777777" w:rsidR="00F84C3B" w:rsidRDefault="00F84C3B" w:rsidP="00303F0B">
      <w:pPr>
        <w:pStyle w:val="ListBullet"/>
      </w:pPr>
      <w:r>
        <w:lastRenderedPageBreak/>
        <w:t>The analysis was not stratified by sex, despite well-established sex differences in suicide risk.</w:t>
      </w:r>
    </w:p>
    <w:p w14:paraId="48A11B9B" w14:textId="6AFD98EF" w:rsidR="00DD11D9" w:rsidRPr="00B17515" w:rsidRDefault="00DD11D9" w:rsidP="00F84C3B">
      <w:r>
        <w:t>Overall, while the rate of antidepressant prescribing to children and adolescents is of concern, the analysis presented by Whitely, et al., does not represent causal evidence that antidepressant use in these age groups increases the risk of suicidal behaviours.</w:t>
      </w:r>
    </w:p>
    <w:p w14:paraId="4ED9C43B" w14:textId="3D903D92" w:rsidR="000F4ED9" w:rsidRDefault="00303F0B" w:rsidP="00303F0B">
      <w:pPr>
        <w:pStyle w:val="Heading4"/>
      </w:pPr>
      <w:bookmarkStart w:id="47" w:name="_Toc57132533"/>
      <w:bookmarkStart w:id="48" w:name="_Toc70418952"/>
      <w:r w:rsidRPr="00303F0B">
        <w:t>3.2.4</w:t>
      </w:r>
      <w:r>
        <w:t xml:space="preserve"> </w:t>
      </w:r>
      <w:r w:rsidR="00BA7594">
        <w:t>TGA a</w:t>
      </w:r>
      <w:r w:rsidR="000F4ED9">
        <w:t xml:space="preserve">nalysis of PBS </w:t>
      </w:r>
      <w:r w:rsidR="00BA7594">
        <w:t xml:space="preserve">and ABS </w:t>
      </w:r>
      <w:r w:rsidR="000F4ED9">
        <w:t>data</w:t>
      </w:r>
      <w:bookmarkEnd w:id="47"/>
      <w:bookmarkEnd w:id="48"/>
    </w:p>
    <w:p w14:paraId="0EA69258" w14:textId="1016C10F" w:rsidR="00D65838" w:rsidRDefault="00B95B3D" w:rsidP="00052F99">
      <w:r>
        <w:t>In light of the limitations of the Whitely</w:t>
      </w:r>
      <w:r w:rsidR="00684E96">
        <w:t>, et al.,</w:t>
      </w:r>
      <w:r>
        <w:t xml:space="preserve"> paper discussed in the previous section, t</w:t>
      </w:r>
      <w:r w:rsidR="00052F99" w:rsidRPr="00052F99">
        <w:t xml:space="preserve">he TGA </w:t>
      </w:r>
      <w:r w:rsidR="00D65838">
        <w:t>conducted</w:t>
      </w:r>
      <w:r w:rsidR="00052F99" w:rsidRPr="00052F99">
        <w:t xml:space="preserve"> </w:t>
      </w:r>
      <w:r w:rsidR="00CF4400">
        <w:t>an</w:t>
      </w:r>
      <w:r w:rsidR="00CF4400" w:rsidRPr="00052F99">
        <w:t xml:space="preserve"> analy</w:t>
      </w:r>
      <w:r w:rsidR="00CF4400">
        <w:t>s</w:t>
      </w:r>
      <w:r w:rsidR="00CF4400" w:rsidRPr="00052F99">
        <w:t>is</w:t>
      </w:r>
      <w:r w:rsidR="00052F99" w:rsidRPr="00052F99">
        <w:t xml:space="preserve"> </w:t>
      </w:r>
      <w:r w:rsidR="0067160F">
        <w:t xml:space="preserve">of antidepressant prescribing on the PBS and suicide rates in young age groups </w:t>
      </w:r>
      <w:r w:rsidR="00052F99" w:rsidRPr="00052F99">
        <w:t>to</w:t>
      </w:r>
      <w:r w:rsidR="0067160F">
        <w:t xml:space="preserve"> explore</w:t>
      </w:r>
      <w:r w:rsidR="00314349">
        <w:t xml:space="preserve"> rates of antidepressant prescribing and youth suicide in more detail.</w:t>
      </w:r>
    </w:p>
    <w:p w14:paraId="328442EB" w14:textId="77777777" w:rsidR="00C65910" w:rsidRPr="008F4BF3" w:rsidRDefault="00C65910" w:rsidP="00303F0B">
      <w:pPr>
        <w:pStyle w:val="Heading5"/>
      </w:pPr>
      <w:r w:rsidRPr="008F4BF3">
        <w:t>Data sources and methods</w:t>
      </w:r>
    </w:p>
    <w:p w14:paraId="0DE85019" w14:textId="490A2215" w:rsidR="009F6C66" w:rsidRDefault="009F6C66" w:rsidP="009F6C66">
      <w:r>
        <w:t>The rate of suicide analysis used two sources of data published by the ABS: 1) annual number of male and female suicides between 2009 and 2019 at ages 0-14, 15-19 and 20-24 years</w:t>
      </w:r>
      <w:r w:rsidRPr="009F6C66">
        <w:rPr>
          <w:vertAlign w:val="superscript"/>
        </w:rPr>
        <w:t>31, 32</w:t>
      </w:r>
      <w:r>
        <w:t xml:space="preserve"> and 2) annual mid-year populations for these ten years in one-year age intervals</w:t>
      </w:r>
      <w:r w:rsidRPr="009F6C66">
        <w:rPr>
          <w:vertAlign w:val="superscript"/>
        </w:rPr>
        <w:t>33</w:t>
      </w:r>
      <w:r>
        <w:t>. We combined the population estimates for the relevant ages to match the suicide data and calculate age-specific rates of suicide (per 100 000). We further combined all ages to calculate rates of suicide under age 25, and combined male and female data to analyse suicide rates for the two sexes combined.</w:t>
      </w:r>
    </w:p>
    <w:p w14:paraId="24559358" w14:textId="1A527CA2" w:rsidR="009F6C66" w:rsidRDefault="009F6C66" w:rsidP="009F6C66">
      <w:r>
        <w:t>As preliminary analysis indicated changes in the risk of suicide that varied over time, we divided the eleven years into three time intervals (2009-2012, 2013-2015 and 2016-2019) and calculated proportionate change between the time intervals as well as proportionate change over the entire period to summarise the suicide trends.</w:t>
      </w:r>
    </w:p>
    <w:p w14:paraId="02025CA8" w14:textId="55EC28F0" w:rsidR="009F6C66" w:rsidRDefault="009F6C66" w:rsidP="009F6C66">
      <w:r>
        <w:t>The number of suicides was small, and the mortality data were subject to considerable fluctuations. This is particularly the case in the age-specific analysis. The grouping of calendar years mitigated some of the annual fluctuations, allowing better evaluation of overall trends.</w:t>
      </w:r>
    </w:p>
    <w:p w14:paraId="2FA949A9" w14:textId="77777777" w:rsidR="009F6C66" w:rsidRDefault="009F6C66" w:rsidP="009F6C66">
      <w:r>
        <w:t>Although the quality of Australia’s cause-of-death coding is good, delays in the coroner’s investigation and finalising the cause of death may result in the underestimation of suicide deaths, adding additional uncertainty to the trends.</w:t>
      </w:r>
      <w:r w:rsidRPr="009F6C66">
        <w:rPr>
          <w:vertAlign w:val="superscript"/>
        </w:rPr>
        <w:t>34</w:t>
      </w:r>
    </w:p>
    <w:p w14:paraId="0C7BADD2" w14:textId="77777777" w:rsidR="009F6C66" w:rsidRDefault="009F6C66" w:rsidP="009F6C66">
      <w:r>
        <w:t>Antidepressant dispensing data were extracted from the PBS, Australia’s national program for government-subsidised prescription medicines. From April 2012 onwards, the PBS captures all dispensing for medicines listed on its schedules, including the transactions below the threshold for government subsidy. However, the PBS does not cover prescriptions in the private market or public hospital inpatients. In addition, medication dispensing does not fully capture the use of health services, in particular specialist services, as the patient may consult a healthcare provider without being prescribed medications.</w:t>
      </w:r>
    </w:p>
    <w:p w14:paraId="7FC7F819" w14:textId="77777777" w:rsidR="009F6C66" w:rsidRDefault="009F6C66" w:rsidP="009F6C66">
      <w:r>
        <w:t>For each dispensing, the PBS provides information on the demographic and residential characteristics of the patient, and the prescriber’s specialty type as well as medication names and classifications. Our analysis used patient, prescriber and medication characteristics at the time of first dispensing.</w:t>
      </w:r>
    </w:p>
    <w:p w14:paraId="3585DABB" w14:textId="5D15364C" w:rsidR="009F6C66" w:rsidRDefault="009F6C66" w:rsidP="009F6C66">
      <w:r>
        <w:t>Medications with the Anatomical Therapeutic Chemical (ATC) Classification code ‘N06A’ were included in the analysis. Antidepressants were further divided into four classes: monoamine reuptake inhibitors (4th-level ATC code N06AA), SSRI (N06AB), non-selective monoamine oxidase inhibitors and monoamine oxidase A inhibitors (N06AF and N06AG), and other antidepressants (N06AX).</w:t>
      </w:r>
    </w:p>
    <w:p w14:paraId="6B251751" w14:textId="77777777" w:rsidR="009F6C66" w:rsidRDefault="009F6C66" w:rsidP="009F6C66">
      <w:pPr>
        <w:keepLines/>
      </w:pPr>
      <w:r>
        <w:lastRenderedPageBreak/>
        <w:t>For each year between 2013 and 2019, prevalent antidepressant users were defined as patients who were dispensed an antidepressant medication in that year. Patients were restricted to those aged under 25, further divided into three age groups of 0-14, 15-19 and 20-24 years to match the ABS suicide data. Rates of antidepressant dispensing were calculated as the number of patients divided by the ABS mid-year population. Dispensing rates were expressed as per 100 (rather than %) to avoid confusion with proportionate change (expressed as %) in the mortality analysis.</w:t>
      </w:r>
    </w:p>
    <w:p w14:paraId="08FC6109" w14:textId="35D49EA4" w:rsidR="009F6C66" w:rsidRDefault="009F6C66" w:rsidP="009F6C66">
      <w:r>
        <w:t>Prescriber type was analysed for the population of incident antidepressant users aged 5-17 years between 2015 and 2019. Incident use was defined as the first antidepressant dispensing over the five years and no antidepressant dispensing between 2012 and 2014 in the PBS. A minimum three-year look-back period has been used previously to study antidepressant use in paediatric patients.</w:t>
      </w:r>
      <w:r w:rsidRPr="009F6C66">
        <w:rPr>
          <w:vertAlign w:val="superscript"/>
        </w:rPr>
        <w:t>35, 36</w:t>
      </w:r>
      <w:r>
        <w:t xml:space="preserve"> The incident user analysis was restricted to those aged 5-17 years, the patient population targeted by clinical guidelines recommending that initiation of antidepressants for treating major depression should follow assessment and diagnosis by clinicians with the specific experience and expertise of treating paediatric mental health conditions.</w:t>
      </w:r>
      <w:r w:rsidRPr="009F6C66">
        <w:rPr>
          <w:vertAlign w:val="superscript"/>
        </w:rPr>
        <w:t>19, 37</w:t>
      </w:r>
    </w:p>
    <w:p w14:paraId="55234B3E" w14:textId="77777777" w:rsidR="009F6C66" w:rsidRDefault="009F6C66" w:rsidP="009F6C66">
      <w:r>
        <w:t>Incident male and female patients were categorised into three age groups: 5-11, 12-14 and 15-17 years. Prescribers were grouped into four types: paediatrician, psychiatrist, general practitioner, and other. When modelling the data, a binary variable of paediatrician/psychiatrist vs. all others was used.</w:t>
      </w:r>
    </w:p>
    <w:p w14:paraId="460A7379" w14:textId="77777777" w:rsidR="009F6C66" w:rsidRDefault="009F6C66" w:rsidP="009F6C66">
      <w:r>
        <w:t>The patient’s postcode associated with the incident dispensing was used to determine the geographic remoteness and area-level socioeconomic status of the patient’s residence. Using the correspondence between postcodes and remoteness areas generated by the ABS, five classes of remoteness areas were defined according to relative access to services: major cities, inner regional, out regional, remote and very remote.</w:t>
      </w:r>
      <w:r w:rsidRPr="009F6C66">
        <w:rPr>
          <w:vertAlign w:val="superscript"/>
        </w:rPr>
        <w:t>38</w:t>
      </w:r>
      <w:r>
        <w:t xml:space="preserve"> The IRSAD socioeconomic status index was developed by the ABS, based on Census data about income, education, occupation, employment and housing.</w:t>
      </w:r>
      <w:r w:rsidRPr="009F6C66">
        <w:rPr>
          <w:vertAlign w:val="superscript"/>
        </w:rPr>
        <w:t>39</w:t>
      </w:r>
      <w:r>
        <w:t xml:space="preserve"> Deciles of the IRSAD score were used in the analysis. Area-level characteristics were coded as missing if no postcode was listed or if the listed postcode was for the purpose of postal deliveries (e.g., post office boxes) with no defined geographic location.</w:t>
      </w:r>
    </w:p>
    <w:p w14:paraId="19FCBCA8" w14:textId="77777777" w:rsidR="009F6C66" w:rsidRDefault="009F6C66" w:rsidP="009F6C66">
      <w:r>
        <w:t>The linear probability model was used to model the probability of specialist prescribing (that is, paediatrician/psychiatrist) vs. all others in relation to geographic remoteness and the demographic and social variables. The coefficients under the linear probability model can be directly interpreted as probabilities. The probability model was used instead of the logit model for ease of interpretation. However, a separate logistic regression analysis (not shown) found largely similar results.</w:t>
      </w:r>
    </w:p>
    <w:p w14:paraId="0FDE2864" w14:textId="77777777" w:rsidR="009F6C66" w:rsidRDefault="009F6C66" w:rsidP="009F6C66">
      <w:r>
        <w:t>Two models were estimated. Model 1 includes geographic remoteness, calendar year, age and sex. Model 2 adds the IRSAD deciles to the analysis. A comparison of coefficient estimates under the two models would show the extent to which variations in specialist prescribing across remoteness areas were explained by socioeconomic conditions. As more remote areas tend to have fewer social and economic resources, it was expected that remoteness area variations in specialist prescribing were at least partially of socioeconomic origin.</w:t>
      </w:r>
    </w:p>
    <w:p w14:paraId="62CC3432" w14:textId="58C03003" w:rsidR="00C65910" w:rsidRDefault="009F6C66" w:rsidP="009F6C66">
      <w:r>
        <w:t>The ABS data were available in the public domain. The PBS data were extracted from the Enterprise Data Warehouse of the Department of Health on 8 July and 21 September 2020, using Teradata SQL. The statistical models were estimated in the R software (version 4.0.0).</w:t>
      </w:r>
    </w:p>
    <w:p w14:paraId="1B49D587" w14:textId="77777777" w:rsidR="0010591B" w:rsidRDefault="00052F99" w:rsidP="00BB0FE9">
      <w:pPr>
        <w:pStyle w:val="Heading5"/>
      </w:pPr>
      <w:r w:rsidRPr="008F4BF3">
        <w:t>Trends in suicide mortality</w:t>
      </w:r>
    </w:p>
    <w:p w14:paraId="14AED06C" w14:textId="0241398F" w:rsidR="00052F99" w:rsidRPr="00052F99" w:rsidRDefault="00052F99" w:rsidP="00052F99">
      <w:r w:rsidRPr="00052F99">
        <w:t>Suicide rates increased between 2009 and 2019, but the increase was smaller in the later than earlier years. For the two sexes combined, suicide mortality increased from 4.43 per 100 000 in 2009-2012 to 5.24 in 2013-2015 and 5.75 in 2016-2019, with a proportionate increase of 18% a</w:t>
      </w:r>
      <w:r w:rsidR="00622385">
        <w:t>nd 10% respectively (Table 3</w:t>
      </w:r>
      <w:r w:rsidRPr="00052F99">
        <w:t>).</w:t>
      </w:r>
    </w:p>
    <w:p w14:paraId="3E61DAFE" w14:textId="4FA87AED" w:rsidR="00052F99" w:rsidRPr="009323D7" w:rsidRDefault="00052F99" w:rsidP="00052F99">
      <w:pPr>
        <w:rPr>
          <w:b/>
        </w:rPr>
      </w:pPr>
      <w:r w:rsidRPr="009323D7">
        <w:rPr>
          <w:b/>
        </w:rPr>
        <w:lastRenderedPageBreak/>
        <w:t xml:space="preserve">Table </w:t>
      </w:r>
      <w:r w:rsidR="00622385">
        <w:rPr>
          <w:b/>
        </w:rPr>
        <w:t>3</w:t>
      </w:r>
      <w:r w:rsidRPr="009323D7">
        <w:rPr>
          <w:b/>
        </w:rPr>
        <w:t>: Suicide rates under age 25 years, Australia 2009-2019</w:t>
      </w:r>
    </w:p>
    <w:tbl>
      <w:tblPr>
        <w:tblW w:w="8346" w:type="dxa"/>
        <w:tblLook w:val="04A0" w:firstRow="1" w:lastRow="0" w:firstColumn="1" w:lastColumn="0" w:noHBand="0" w:noVBand="1"/>
      </w:tblPr>
      <w:tblGrid>
        <w:gridCol w:w="1480"/>
        <w:gridCol w:w="1020"/>
        <w:gridCol w:w="1020"/>
        <w:gridCol w:w="1020"/>
        <w:gridCol w:w="266"/>
        <w:gridCol w:w="1180"/>
        <w:gridCol w:w="1180"/>
        <w:gridCol w:w="1180"/>
      </w:tblGrid>
      <w:tr w:rsidR="00AB4B3B" w:rsidRPr="00A37CBC" w14:paraId="3D1E4FB4" w14:textId="77777777" w:rsidTr="003A7232">
        <w:trPr>
          <w:trHeight w:val="300"/>
          <w:tblHeader/>
        </w:trPr>
        <w:tc>
          <w:tcPr>
            <w:tcW w:w="1480" w:type="dxa"/>
            <w:vMerge w:val="restart"/>
            <w:tcBorders>
              <w:top w:val="single" w:sz="4" w:space="0" w:color="auto"/>
              <w:left w:val="nil"/>
              <w:bottom w:val="single" w:sz="4" w:space="0" w:color="000000"/>
              <w:right w:val="nil"/>
            </w:tcBorders>
            <w:shd w:val="clear" w:color="auto" w:fill="auto"/>
            <w:vAlign w:val="bottom"/>
            <w:hideMark/>
          </w:tcPr>
          <w:p w14:paraId="6FF89FBE" w14:textId="77777777" w:rsidR="00AB4B3B" w:rsidRPr="00A37CBC" w:rsidRDefault="00AB4B3B"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Age intervals (years)</w:t>
            </w:r>
          </w:p>
        </w:tc>
        <w:tc>
          <w:tcPr>
            <w:tcW w:w="3060" w:type="dxa"/>
            <w:gridSpan w:val="3"/>
            <w:tcBorders>
              <w:top w:val="single" w:sz="4" w:space="0" w:color="auto"/>
              <w:left w:val="nil"/>
              <w:bottom w:val="single" w:sz="4" w:space="0" w:color="auto"/>
              <w:right w:val="nil"/>
            </w:tcBorders>
            <w:shd w:val="clear" w:color="auto" w:fill="auto"/>
            <w:noWrap/>
            <w:vAlign w:val="bottom"/>
            <w:hideMark/>
          </w:tcPr>
          <w:p w14:paraId="30152BAB" w14:textId="77777777" w:rsidR="00AB4B3B" w:rsidRPr="00A37CBC" w:rsidRDefault="00AB4B3B" w:rsidP="00A37CBC">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Rates (per 100 000)</w:t>
            </w:r>
          </w:p>
        </w:tc>
        <w:tc>
          <w:tcPr>
            <w:tcW w:w="266" w:type="dxa"/>
            <w:vMerge w:val="restart"/>
            <w:tcBorders>
              <w:top w:val="single" w:sz="4" w:space="0" w:color="auto"/>
              <w:left w:val="nil"/>
              <w:right w:val="nil"/>
            </w:tcBorders>
            <w:shd w:val="clear" w:color="auto" w:fill="auto"/>
            <w:noWrap/>
            <w:vAlign w:val="bottom"/>
            <w:hideMark/>
          </w:tcPr>
          <w:p w14:paraId="37390B79" w14:textId="60257379" w:rsidR="00AB4B3B" w:rsidRPr="00A37CBC" w:rsidRDefault="00AB4B3B" w:rsidP="00AB4B3B">
            <w:pPr>
              <w:spacing w:before="0" w:after="0" w:line="240" w:lineRule="auto"/>
              <w:jc w:val="center"/>
              <w:rPr>
                <w:rFonts w:ascii="Calibri" w:eastAsia="Times New Roman" w:hAnsi="Calibri" w:cs="Calibri"/>
                <w:color w:val="000000"/>
                <w:szCs w:val="22"/>
                <w:lang w:eastAsia="en-AU"/>
              </w:rPr>
            </w:pPr>
          </w:p>
        </w:tc>
        <w:tc>
          <w:tcPr>
            <w:tcW w:w="3540" w:type="dxa"/>
            <w:gridSpan w:val="3"/>
            <w:tcBorders>
              <w:top w:val="single" w:sz="4" w:space="0" w:color="auto"/>
              <w:left w:val="nil"/>
              <w:bottom w:val="single" w:sz="4" w:space="0" w:color="auto"/>
              <w:right w:val="nil"/>
            </w:tcBorders>
            <w:shd w:val="clear" w:color="auto" w:fill="auto"/>
            <w:vAlign w:val="bottom"/>
            <w:hideMark/>
          </w:tcPr>
          <w:p w14:paraId="2279FE52" w14:textId="77777777" w:rsidR="00AB4B3B" w:rsidRPr="00A37CBC" w:rsidRDefault="00AB4B3B" w:rsidP="00A37CBC">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Proportionate change (%)</w:t>
            </w:r>
          </w:p>
        </w:tc>
      </w:tr>
      <w:tr w:rsidR="00AB4B3B" w:rsidRPr="00A37CBC" w14:paraId="3FE8FB2B" w14:textId="77777777" w:rsidTr="003A7232">
        <w:trPr>
          <w:trHeight w:val="300"/>
          <w:tblHeader/>
        </w:trPr>
        <w:tc>
          <w:tcPr>
            <w:tcW w:w="1480" w:type="dxa"/>
            <w:vMerge/>
            <w:tcBorders>
              <w:top w:val="single" w:sz="4" w:space="0" w:color="auto"/>
              <w:left w:val="nil"/>
              <w:bottom w:val="single" w:sz="4" w:space="0" w:color="000000"/>
              <w:right w:val="nil"/>
            </w:tcBorders>
            <w:vAlign w:val="center"/>
            <w:hideMark/>
          </w:tcPr>
          <w:p w14:paraId="4EE483E8" w14:textId="77777777" w:rsidR="00AB4B3B" w:rsidRPr="00A37CBC" w:rsidRDefault="00AB4B3B" w:rsidP="00A37CBC">
            <w:pPr>
              <w:spacing w:before="0" w:after="0" w:line="240" w:lineRule="auto"/>
              <w:rPr>
                <w:rFonts w:ascii="Calibri" w:eastAsia="Times New Roman" w:hAnsi="Calibri" w:cs="Calibri"/>
                <w:color w:val="000000"/>
                <w:szCs w:val="22"/>
                <w:lang w:eastAsia="en-AU"/>
              </w:rPr>
            </w:pPr>
          </w:p>
        </w:tc>
        <w:tc>
          <w:tcPr>
            <w:tcW w:w="1020" w:type="dxa"/>
            <w:tcBorders>
              <w:top w:val="nil"/>
              <w:left w:val="nil"/>
              <w:bottom w:val="nil"/>
              <w:right w:val="nil"/>
            </w:tcBorders>
            <w:shd w:val="clear" w:color="auto" w:fill="auto"/>
            <w:noWrap/>
            <w:vAlign w:val="bottom"/>
            <w:hideMark/>
          </w:tcPr>
          <w:p w14:paraId="2FA53B1E" w14:textId="77777777"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2009-12</w:t>
            </w:r>
          </w:p>
        </w:tc>
        <w:tc>
          <w:tcPr>
            <w:tcW w:w="1020" w:type="dxa"/>
            <w:tcBorders>
              <w:top w:val="nil"/>
              <w:left w:val="nil"/>
              <w:bottom w:val="nil"/>
              <w:right w:val="nil"/>
            </w:tcBorders>
            <w:shd w:val="clear" w:color="auto" w:fill="auto"/>
            <w:noWrap/>
            <w:vAlign w:val="bottom"/>
            <w:hideMark/>
          </w:tcPr>
          <w:p w14:paraId="70D9AD96" w14:textId="77777777"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2013-15</w:t>
            </w:r>
          </w:p>
        </w:tc>
        <w:tc>
          <w:tcPr>
            <w:tcW w:w="1020" w:type="dxa"/>
            <w:tcBorders>
              <w:top w:val="nil"/>
              <w:left w:val="nil"/>
              <w:bottom w:val="nil"/>
              <w:right w:val="nil"/>
            </w:tcBorders>
            <w:shd w:val="clear" w:color="auto" w:fill="auto"/>
            <w:noWrap/>
            <w:vAlign w:val="bottom"/>
            <w:hideMark/>
          </w:tcPr>
          <w:p w14:paraId="69E53C77" w14:textId="20784220"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2016-1</w:t>
            </w:r>
            <w:r>
              <w:rPr>
                <w:rFonts w:ascii="Calibri" w:eastAsia="Times New Roman" w:hAnsi="Calibri" w:cs="Calibri"/>
                <w:color w:val="000000"/>
                <w:szCs w:val="22"/>
                <w:lang w:eastAsia="en-AU"/>
              </w:rPr>
              <w:t>9</w:t>
            </w:r>
          </w:p>
        </w:tc>
        <w:tc>
          <w:tcPr>
            <w:tcW w:w="266" w:type="dxa"/>
            <w:vMerge/>
            <w:tcBorders>
              <w:left w:val="nil"/>
              <w:right w:val="nil"/>
            </w:tcBorders>
            <w:shd w:val="clear" w:color="auto" w:fill="auto"/>
            <w:noWrap/>
            <w:vAlign w:val="bottom"/>
            <w:hideMark/>
          </w:tcPr>
          <w:p w14:paraId="1A4D8D81" w14:textId="1336E626" w:rsidR="00AB4B3B" w:rsidRPr="00A37CBC" w:rsidRDefault="00AB4B3B" w:rsidP="00A37CBC">
            <w:pPr>
              <w:spacing w:before="0" w:after="0" w:line="240" w:lineRule="auto"/>
              <w:rPr>
                <w:rFonts w:ascii="Calibri" w:eastAsia="Times New Roman" w:hAnsi="Calibri" w:cs="Calibri"/>
                <w:color w:val="000000"/>
                <w:szCs w:val="22"/>
                <w:lang w:eastAsia="en-AU"/>
              </w:rPr>
            </w:pPr>
          </w:p>
        </w:tc>
        <w:tc>
          <w:tcPr>
            <w:tcW w:w="1180" w:type="dxa"/>
            <w:vMerge w:val="restart"/>
            <w:tcBorders>
              <w:top w:val="nil"/>
              <w:left w:val="nil"/>
              <w:bottom w:val="single" w:sz="4" w:space="0" w:color="000000"/>
              <w:right w:val="nil"/>
            </w:tcBorders>
            <w:shd w:val="clear" w:color="auto" w:fill="auto"/>
            <w:noWrap/>
            <w:vAlign w:val="bottom"/>
            <w:hideMark/>
          </w:tcPr>
          <w:p w14:paraId="2C3A5366" w14:textId="77777777"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 vs. (1)</w:t>
            </w:r>
          </w:p>
        </w:tc>
        <w:tc>
          <w:tcPr>
            <w:tcW w:w="1180" w:type="dxa"/>
            <w:vMerge w:val="restart"/>
            <w:tcBorders>
              <w:top w:val="nil"/>
              <w:left w:val="nil"/>
              <w:bottom w:val="single" w:sz="4" w:space="0" w:color="000000"/>
              <w:right w:val="nil"/>
            </w:tcBorders>
            <w:shd w:val="clear" w:color="auto" w:fill="auto"/>
            <w:noWrap/>
            <w:vAlign w:val="bottom"/>
            <w:hideMark/>
          </w:tcPr>
          <w:p w14:paraId="549E391C" w14:textId="77777777"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 vs. (2)</w:t>
            </w:r>
          </w:p>
        </w:tc>
        <w:tc>
          <w:tcPr>
            <w:tcW w:w="1180" w:type="dxa"/>
            <w:vMerge w:val="restart"/>
            <w:tcBorders>
              <w:top w:val="nil"/>
              <w:left w:val="nil"/>
              <w:bottom w:val="single" w:sz="4" w:space="0" w:color="000000"/>
              <w:right w:val="nil"/>
            </w:tcBorders>
            <w:shd w:val="clear" w:color="auto" w:fill="auto"/>
            <w:noWrap/>
            <w:vAlign w:val="bottom"/>
            <w:hideMark/>
          </w:tcPr>
          <w:p w14:paraId="5501C4D5" w14:textId="77777777"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 vs. (1)</w:t>
            </w:r>
          </w:p>
        </w:tc>
      </w:tr>
      <w:tr w:rsidR="00AB4B3B" w:rsidRPr="00A37CBC" w14:paraId="7934E0BF" w14:textId="77777777" w:rsidTr="00AB4B3B">
        <w:trPr>
          <w:trHeight w:val="300"/>
        </w:trPr>
        <w:tc>
          <w:tcPr>
            <w:tcW w:w="1480" w:type="dxa"/>
            <w:vMerge/>
            <w:tcBorders>
              <w:top w:val="single" w:sz="4" w:space="0" w:color="auto"/>
              <w:left w:val="nil"/>
              <w:bottom w:val="single" w:sz="4" w:space="0" w:color="000000"/>
              <w:right w:val="nil"/>
            </w:tcBorders>
            <w:vAlign w:val="center"/>
            <w:hideMark/>
          </w:tcPr>
          <w:p w14:paraId="67F867A7" w14:textId="77777777" w:rsidR="00AB4B3B" w:rsidRPr="00A37CBC" w:rsidRDefault="00AB4B3B" w:rsidP="00A37CBC">
            <w:pPr>
              <w:spacing w:before="0" w:after="0" w:line="240" w:lineRule="auto"/>
              <w:rPr>
                <w:rFonts w:ascii="Calibri" w:eastAsia="Times New Roman" w:hAnsi="Calibri" w:cs="Calibri"/>
                <w:color w:val="000000"/>
                <w:szCs w:val="22"/>
                <w:lang w:eastAsia="en-AU"/>
              </w:rPr>
            </w:pPr>
          </w:p>
        </w:tc>
        <w:tc>
          <w:tcPr>
            <w:tcW w:w="1020" w:type="dxa"/>
            <w:tcBorders>
              <w:top w:val="nil"/>
              <w:left w:val="nil"/>
              <w:bottom w:val="single" w:sz="4" w:space="0" w:color="auto"/>
              <w:right w:val="nil"/>
            </w:tcBorders>
            <w:shd w:val="clear" w:color="auto" w:fill="auto"/>
            <w:noWrap/>
            <w:vAlign w:val="bottom"/>
            <w:hideMark/>
          </w:tcPr>
          <w:p w14:paraId="3FAD5300" w14:textId="77777777"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w:t>
            </w:r>
          </w:p>
        </w:tc>
        <w:tc>
          <w:tcPr>
            <w:tcW w:w="1020" w:type="dxa"/>
            <w:tcBorders>
              <w:top w:val="nil"/>
              <w:left w:val="nil"/>
              <w:bottom w:val="single" w:sz="4" w:space="0" w:color="auto"/>
              <w:right w:val="nil"/>
            </w:tcBorders>
            <w:shd w:val="clear" w:color="auto" w:fill="auto"/>
            <w:noWrap/>
            <w:vAlign w:val="bottom"/>
            <w:hideMark/>
          </w:tcPr>
          <w:p w14:paraId="7755FEF6" w14:textId="77777777"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w:t>
            </w:r>
          </w:p>
        </w:tc>
        <w:tc>
          <w:tcPr>
            <w:tcW w:w="1020" w:type="dxa"/>
            <w:tcBorders>
              <w:top w:val="nil"/>
              <w:left w:val="nil"/>
              <w:bottom w:val="single" w:sz="4" w:space="0" w:color="auto"/>
              <w:right w:val="nil"/>
            </w:tcBorders>
            <w:shd w:val="clear" w:color="auto" w:fill="auto"/>
            <w:noWrap/>
            <w:vAlign w:val="bottom"/>
            <w:hideMark/>
          </w:tcPr>
          <w:p w14:paraId="39232D03" w14:textId="77777777" w:rsidR="00AB4B3B" w:rsidRPr="00A37CBC" w:rsidRDefault="00AB4B3B"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w:t>
            </w:r>
          </w:p>
        </w:tc>
        <w:tc>
          <w:tcPr>
            <w:tcW w:w="266" w:type="dxa"/>
            <w:vMerge/>
            <w:tcBorders>
              <w:left w:val="nil"/>
              <w:bottom w:val="single" w:sz="4" w:space="0" w:color="auto"/>
              <w:right w:val="nil"/>
            </w:tcBorders>
            <w:shd w:val="clear" w:color="auto" w:fill="auto"/>
            <w:noWrap/>
            <w:vAlign w:val="bottom"/>
            <w:hideMark/>
          </w:tcPr>
          <w:p w14:paraId="1582997E" w14:textId="34B5547B" w:rsidR="00AB4B3B" w:rsidRPr="00A37CBC" w:rsidRDefault="00AB4B3B" w:rsidP="00A37CBC">
            <w:pPr>
              <w:spacing w:before="0" w:after="0" w:line="240" w:lineRule="auto"/>
              <w:rPr>
                <w:rFonts w:ascii="Calibri" w:eastAsia="Times New Roman" w:hAnsi="Calibri" w:cs="Calibri"/>
                <w:color w:val="000000"/>
                <w:szCs w:val="22"/>
                <w:lang w:eastAsia="en-AU"/>
              </w:rPr>
            </w:pPr>
          </w:p>
        </w:tc>
        <w:tc>
          <w:tcPr>
            <w:tcW w:w="1180" w:type="dxa"/>
            <w:vMerge/>
            <w:tcBorders>
              <w:top w:val="nil"/>
              <w:left w:val="nil"/>
              <w:bottom w:val="single" w:sz="4" w:space="0" w:color="000000"/>
              <w:right w:val="nil"/>
            </w:tcBorders>
            <w:vAlign w:val="center"/>
            <w:hideMark/>
          </w:tcPr>
          <w:p w14:paraId="4E47429A" w14:textId="77777777" w:rsidR="00AB4B3B" w:rsidRPr="00A37CBC" w:rsidRDefault="00AB4B3B" w:rsidP="00A37CBC">
            <w:pPr>
              <w:spacing w:before="0" w:after="0" w:line="240" w:lineRule="auto"/>
              <w:rPr>
                <w:rFonts w:ascii="Calibri" w:eastAsia="Times New Roman" w:hAnsi="Calibri" w:cs="Calibri"/>
                <w:color w:val="000000"/>
                <w:szCs w:val="22"/>
                <w:lang w:eastAsia="en-AU"/>
              </w:rPr>
            </w:pPr>
          </w:p>
        </w:tc>
        <w:tc>
          <w:tcPr>
            <w:tcW w:w="1180" w:type="dxa"/>
            <w:vMerge/>
            <w:tcBorders>
              <w:top w:val="nil"/>
              <w:left w:val="nil"/>
              <w:bottom w:val="single" w:sz="4" w:space="0" w:color="000000"/>
              <w:right w:val="nil"/>
            </w:tcBorders>
            <w:vAlign w:val="center"/>
            <w:hideMark/>
          </w:tcPr>
          <w:p w14:paraId="1ED2E0E5" w14:textId="77777777" w:rsidR="00AB4B3B" w:rsidRPr="00A37CBC" w:rsidRDefault="00AB4B3B" w:rsidP="00A37CBC">
            <w:pPr>
              <w:spacing w:before="0" w:after="0" w:line="240" w:lineRule="auto"/>
              <w:rPr>
                <w:rFonts w:ascii="Calibri" w:eastAsia="Times New Roman" w:hAnsi="Calibri" w:cs="Calibri"/>
                <w:color w:val="000000"/>
                <w:szCs w:val="22"/>
                <w:lang w:eastAsia="en-AU"/>
              </w:rPr>
            </w:pPr>
          </w:p>
        </w:tc>
        <w:tc>
          <w:tcPr>
            <w:tcW w:w="1180" w:type="dxa"/>
            <w:vMerge/>
            <w:tcBorders>
              <w:top w:val="nil"/>
              <w:left w:val="nil"/>
              <w:bottom w:val="single" w:sz="4" w:space="0" w:color="000000"/>
              <w:right w:val="nil"/>
            </w:tcBorders>
            <w:vAlign w:val="center"/>
            <w:hideMark/>
          </w:tcPr>
          <w:p w14:paraId="1B0A6798" w14:textId="77777777" w:rsidR="00AB4B3B" w:rsidRPr="00A37CBC" w:rsidRDefault="00AB4B3B" w:rsidP="00A37CBC">
            <w:pPr>
              <w:spacing w:before="0" w:after="0" w:line="240" w:lineRule="auto"/>
              <w:rPr>
                <w:rFonts w:ascii="Calibri" w:eastAsia="Times New Roman" w:hAnsi="Calibri" w:cs="Calibri"/>
                <w:color w:val="000000"/>
                <w:szCs w:val="22"/>
                <w:lang w:eastAsia="en-AU"/>
              </w:rPr>
            </w:pPr>
          </w:p>
        </w:tc>
      </w:tr>
      <w:tr w:rsidR="00AB4B3B" w:rsidRPr="00A37CBC" w14:paraId="1202447D" w14:textId="77777777" w:rsidTr="004F1B1F">
        <w:trPr>
          <w:trHeight w:val="300"/>
        </w:trPr>
        <w:tc>
          <w:tcPr>
            <w:tcW w:w="8346" w:type="dxa"/>
            <w:gridSpan w:val="8"/>
            <w:tcBorders>
              <w:top w:val="nil"/>
              <w:left w:val="nil"/>
              <w:bottom w:val="nil"/>
              <w:right w:val="nil"/>
            </w:tcBorders>
            <w:shd w:val="clear" w:color="auto" w:fill="auto"/>
            <w:noWrap/>
            <w:vAlign w:val="bottom"/>
            <w:hideMark/>
          </w:tcPr>
          <w:p w14:paraId="3A135074" w14:textId="39059FBC" w:rsidR="00AB4B3B" w:rsidRPr="00A37CBC" w:rsidRDefault="00AB4B3B" w:rsidP="00A37CBC">
            <w:pPr>
              <w:spacing w:before="0" w:after="0" w:line="240" w:lineRule="auto"/>
              <w:rPr>
                <w:rFonts w:ascii="Times New Roman" w:eastAsia="Times New Roman" w:hAnsi="Times New Roman"/>
                <w:sz w:val="20"/>
                <w:lang w:eastAsia="en-AU"/>
              </w:rPr>
            </w:pPr>
            <w:r w:rsidRPr="00A37CBC">
              <w:rPr>
                <w:rFonts w:ascii="Calibri" w:eastAsia="Times New Roman" w:hAnsi="Calibri" w:cs="Calibri"/>
                <w:b/>
                <w:bCs/>
                <w:color w:val="000000"/>
                <w:szCs w:val="22"/>
                <w:lang w:eastAsia="en-AU"/>
              </w:rPr>
              <w:t>Two sexes</w:t>
            </w:r>
          </w:p>
        </w:tc>
      </w:tr>
      <w:tr w:rsidR="00A37CBC" w:rsidRPr="00A37CBC" w14:paraId="729C56D8" w14:textId="77777777" w:rsidTr="00AB4B3B">
        <w:trPr>
          <w:trHeight w:val="300"/>
        </w:trPr>
        <w:tc>
          <w:tcPr>
            <w:tcW w:w="1480" w:type="dxa"/>
            <w:tcBorders>
              <w:top w:val="nil"/>
              <w:left w:val="nil"/>
              <w:bottom w:val="nil"/>
              <w:right w:val="nil"/>
            </w:tcBorders>
            <w:shd w:val="clear" w:color="auto" w:fill="auto"/>
            <w:noWrap/>
            <w:vAlign w:val="bottom"/>
            <w:hideMark/>
          </w:tcPr>
          <w:p w14:paraId="7C0A3AC9"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w:t>
            </w:r>
          </w:p>
        </w:tc>
        <w:tc>
          <w:tcPr>
            <w:tcW w:w="1020" w:type="dxa"/>
            <w:tcBorders>
              <w:top w:val="nil"/>
              <w:left w:val="nil"/>
              <w:bottom w:val="nil"/>
              <w:right w:val="nil"/>
            </w:tcBorders>
            <w:shd w:val="clear" w:color="auto" w:fill="auto"/>
            <w:noWrap/>
            <w:vAlign w:val="bottom"/>
            <w:hideMark/>
          </w:tcPr>
          <w:p w14:paraId="2F7E26E2"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0.28</w:t>
            </w:r>
          </w:p>
        </w:tc>
        <w:tc>
          <w:tcPr>
            <w:tcW w:w="1020" w:type="dxa"/>
            <w:tcBorders>
              <w:top w:val="nil"/>
              <w:left w:val="nil"/>
              <w:bottom w:val="nil"/>
              <w:right w:val="nil"/>
            </w:tcBorders>
            <w:shd w:val="clear" w:color="auto" w:fill="auto"/>
            <w:noWrap/>
            <w:vAlign w:val="bottom"/>
            <w:hideMark/>
          </w:tcPr>
          <w:p w14:paraId="15A67B4E"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0.43</w:t>
            </w:r>
          </w:p>
        </w:tc>
        <w:tc>
          <w:tcPr>
            <w:tcW w:w="1020" w:type="dxa"/>
            <w:tcBorders>
              <w:top w:val="nil"/>
              <w:left w:val="nil"/>
              <w:bottom w:val="nil"/>
              <w:right w:val="nil"/>
            </w:tcBorders>
            <w:shd w:val="clear" w:color="auto" w:fill="auto"/>
            <w:noWrap/>
            <w:vAlign w:val="bottom"/>
            <w:hideMark/>
          </w:tcPr>
          <w:p w14:paraId="2ED5129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0.45</w:t>
            </w:r>
          </w:p>
        </w:tc>
        <w:tc>
          <w:tcPr>
            <w:tcW w:w="266" w:type="dxa"/>
            <w:tcBorders>
              <w:top w:val="nil"/>
              <w:left w:val="nil"/>
              <w:bottom w:val="nil"/>
              <w:right w:val="nil"/>
            </w:tcBorders>
            <w:shd w:val="clear" w:color="auto" w:fill="auto"/>
            <w:noWrap/>
            <w:vAlign w:val="bottom"/>
            <w:hideMark/>
          </w:tcPr>
          <w:p w14:paraId="3F36E79F"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3860A484"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50.6</w:t>
            </w:r>
          </w:p>
        </w:tc>
        <w:tc>
          <w:tcPr>
            <w:tcW w:w="1180" w:type="dxa"/>
            <w:tcBorders>
              <w:top w:val="nil"/>
              <w:left w:val="nil"/>
              <w:bottom w:val="nil"/>
              <w:right w:val="nil"/>
            </w:tcBorders>
            <w:shd w:val="clear" w:color="auto" w:fill="auto"/>
            <w:noWrap/>
            <w:vAlign w:val="bottom"/>
            <w:hideMark/>
          </w:tcPr>
          <w:p w14:paraId="6E94290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4.0</w:t>
            </w:r>
          </w:p>
        </w:tc>
        <w:tc>
          <w:tcPr>
            <w:tcW w:w="1180" w:type="dxa"/>
            <w:tcBorders>
              <w:top w:val="nil"/>
              <w:left w:val="nil"/>
              <w:bottom w:val="nil"/>
              <w:right w:val="nil"/>
            </w:tcBorders>
            <w:shd w:val="clear" w:color="auto" w:fill="auto"/>
            <w:noWrap/>
            <w:vAlign w:val="bottom"/>
            <w:hideMark/>
          </w:tcPr>
          <w:p w14:paraId="44F7D46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56.7</w:t>
            </w:r>
          </w:p>
        </w:tc>
      </w:tr>
      <w:tr w:rsidR="00A37CBC" w:rsidRPr="00A37CBC" w14:paraId="66BF94C1" w14:textId="77777777" w:rsidTr="00AB4B3B">
        <w:trPr>
          <w:trHeight w:val="300"/>
        </w:trPr>
        <w:tc>
          <w:tcPr>
            <w:tcW w:w="1480" w:type="dxa"/>
            <w:tcBorders>
              <w:top w:val="nil"/>
              <w:left w:val="nil"/>
              <w:bottom w:val="nil"/>
              <w:right w:val="nil"/>
            </w:tcBorders>
            <w:shd w:val="clear" w:color="auto" w:fill="auto"/>
            <w:noWrap/>
            <w:vAlign w:val="bottom"/>
            <w:hideMark/>
          </w:tcPr>
          <w:p w14:paraId="72BC9E18"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15-19</w:t>
            </w:r>
          </w:p>
        </w:tc>
        <w:tc>
          <w:tcPr>
            <w:tcW w:w="1020" w:type="dxa"/>
            <w:tcBorders>
              <w:top w:val="nil"/>
              <w:left w:val="nil"/>
              <w:bottom w:val="nil"/>
              <w:right w:val="nil"/>
            </w:tcBorders>
            <w:shd w:val="clear" w:color="auto" w:fill="auto"/>
            <w:noWrap/>
            <w:vAlign w:val="bottom"/>
            <w:hideMark/>
          </w:tcPr>
          <w:p w14:paraId="4909E1D9"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8.05</w:t>
            </w:r>
          </w:p>
        </w:tc>
        <w:tc>
          <w:tcPr>
            <w:tcW w:w="1020" w:type="dxa"/>
            <w:tcBorders>
              <w:top w:val="nil"/>
              <w:left w:val="nil"/>
              <w:bottom w:val="nil"/>
              <w:right w:val="nil"/>
            </w:tcBorders>
            <w:shd w:val="clear" w:color="auto" w:fill="auto"/>
            <w:noWrap/>
            <w:vAlign w:val="bottom"/>
            <w:hideMark/>
          </w:tcPr>
          <w:p w14:paraId="1B2A27AA"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9.94</w:t>
            </w:r>
          </w:p>
        </w:tc>
        <w:tc>
          <w:tcPr>
            <w:tcW w:w="1020" w:type="dxa"/>
            <w:tcBorders>
              <w:top w:val="nil"/>
              <w:left w:val="nil"/>
              <w:bottom w:val="nil"/>
              <w:right w:val="nil"/>
            </w:tcBorders>
            <w:shd w:val="clear" w:color="auto" w:fill="auto"/>
            <w:noWrap/>
            <w:vAlign w:val="bottom"/>
            <w:hideMark/>
          </w:tcPr>
          <w:p w14:paraId="3B40527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11.11</w:t>
            </w:r>
          </w:p>
        </w:tc>
        <w:tc>
          <w:tcPr>
            <w:tcW w:w="266" w:type="dxa"/>
            <w:tcBorders>
              <w:top w:val="nil"/>
              <w:left w:val="nil"/>
              <w:bottom w:val="nil"/>
              <w:right w:val="nil"/>
            </w:tcBorders>
            <w:shd w:val="clear" w:color="auto" w:fill="auto"/>
            <w:noWrap/>
            <w:vAlign w:val="bottom"/>
            <w:hideMark/>
          </w:tcPr>
          <w:p w14:paraId="2DA8716E"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3214466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23.4</w:t>
            </w:r>
          </w:p>
        </w:tc>
        <w:tc>
          <w:tcPr>
            <w:tcW w:w="1180" w:type="dxa"/>
            <w:tcBorders>
              <w:top w:val="nil"/>
              <w:left w:val="nil"/>
              <w:bottom w:val="nil"/>
              <w:right w:val="nil"/>
            </w:tcBorders>
            <w:shd w:val="clear" w:color="auto" w:fill="auto"/>
            <w:noWrap/>
            <w:vAlign w:val="bottom"/>
            <w:hideMark/>
          </w:tcPr>
          <w:p w14:paraId="4EDDB529"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11.8</w:t>
            </w:r>
          </w:p>
        </w:tc>
        <w:tc>
          <w:tcPr>
            <w:tcW w:w="1180" w:type="dxa"/>
            <w:tcBorders>
              <w:top w:val="nil"/>
              <w:left w:val="nil"/>
              <w:bottom w:val="nil"/>
              <w:right w:val="nil"/>
            </w:tcBorders>
            <w:shd w:val="clear" w:color="auto" w:fill="auto"/>
            <w:noWrap/>
            <w:vAlign w:val="bottom"/>
            <w:hideMark/>
          </w:tcPr>
          <w:p w14:paraId="2A7BB445"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38.0</w:t>
            </w:r>
          </w:p>
        </w:tc>
      </w:tr>
      <w:tr w:rsidR="00A37CBC" w:rsidRPr="00A37CBC" w14:paraId="0E543116" w14:textId="77777777" w:rsidTr="00AB4B3B">
        <w:trPr>
          <w:trHeight w:val="300"/>
        </w:trPr>
        <w:tc>
          <w:tcPr>
            <w:tcW w:w="1480" w:type="dxa"/>
            <w:tcBorders>
              <w:top w:val="nil"/>
              <w:left w:val="nil"/>
              <w:bottom w:val="nil"/>
              <w:right w:val="nil"/>
            </w:tcBorders>
            <w:shd w:val="clear" w:color="auto" w:fill="auto"/>
            <w:noWrap/>
            <w:vAlign w:val="bottom"/>
            <w:hideMark/>
          </w:tcPr>
          <w:p w14:paraId="5EBA9A36"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20-24</w:t>
            </w:r>
          </w:p>
        </w:tc>
        <w:tc>
          <w:tcPr>
            <w:tcW w:w="1020" w:type="dxa"/>
            <w:tcBorders>
              <w:top w:val="nil"/>
              <w:left w:val="nil"/>
              <w:bottom w:val="nil"/>
              <w:right w:val="nil"/>
            </w:tcBorders>
            <w:shd w:val="clear" w:color="auto" w:fill="auto"/>
            <w:noWrap/>
            <w:vAlign w:val="bottom"/>
            <w:hideMark/>
          </w:tcPr>
          <w:p w14:paraId="37BAEB40"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12.04</w:t>
            </w:r>
          </w:p>
        </w:tc>
        <w:tc>
          <w:tcPr>
            <w:tcW w:w="1020" w:type="dxa"/>
            <w:tcBorders>
              <w:top w:val="nil"/>
              <w:left w:val="nil"/>
              <w:bottom w:val="nil"/>
              <w:right w:val="nil"/>
            </w:tcBorders>
            <w:shd w:val="clear" w:color="auto" w:fill="auto"/>
            <w:noWrap/>
            <w:vAlign w:val="bottom"/>
            <w:hideMark/>
          </w:tcPr>
          <w:p w14:paraId="18DFC3BB"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13.95</w:t>
            </w:r>
          </w:p>
        </w:tc>
        <w:tc>
          <w:tcPr>
            <w:tcW w:w="1020" w:type="dxa"/>
            <w:tcBorders>
              <w:top w:val="nil"/>
              <w:left w:val="nil"/>
              <w:bottom w:val="nil"/>
              <w:right w:val="nil"/>
            </w:tcBorders>
            <w:shd w:val="clear" w:color="auto" w:fill="auto"/>
            <w:noWrap/>
            <w:vAlign w:val="bottom"/>
            <w:hideMark/>
          </w:tcPr>
          <w:p w14:paraId="5B64895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15.44</w:t>
            </w:r>
          </w:p>
        </w:tc>
        <w:tc>
          <w:tcPr>
            <w:tcW w:w="266" w:type="dxa"/>
            <w:tcBorders>
              <w:top w:val="nil"/>
              <w:left w:val="nil"/>
              <w:bottom w:val="nil"/>
              <w:right w:val="nil"/>
            </w:tcBorders>
            <w:shd w:val="clear" w:color="auto" w:fill="auto"/>
            <w:noWrap/>
            <w:vAlign w:val="bottom"/>
            <w:hideMark/>
          </w:tcPr>
          <w:p w14:paraId="3AF6A9F9"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23E39298"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15.8</w:t>
            </w:r>
          </w:p>
        </w:tc>
        <w:tc>
          <w:tcPr>
            <w:tcW w:w="1180" w:type="dxa"/>
            <w:tcBorders>
              <w:top w:val="nil"/>
              <w:left w:val="nil"/>
              <w:bottom w:val="nil"/>
              <w:right w:val="nil"/>
            </w:tcBorders>
            <w:shd w:val="clear" w:color="auto" w:fill="auto"/>
            <w:noWrap/>
            <w:vAlign w:val="bottom"/>
            <w:hideMark/>
          </w:tcPr>
          <w:p w14:paraId="6C7BA29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10.7</w:t>
            </w:r>
          </w:p>
        </w:tc>
        <w:tc>
          <w:tcPr>
            <w:tcW w:w="1180" w:type="dxa"/>
            <w:tcBorders>
              <w:top w:val="nil"/>
              <w:left w:val="nil"/>
              <w:bottom w:val="nil"/>
              <w:right w:val="nil"/>
            </w:tcBorders>
            <w:shd w:val="clear" w:color="auto" w:fill="auto"/>
            <w:noWrap/>
            <w:vAlign w:val="bottom"/>
            <w:hideMark/>
          </w:tcPr>
          <w:p w14:paraId="5E195EBC"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28.2</w:t>
            </w:r>
          </w:p>
        </w:tc>
      </w:tr>
      <w:tr w:rsidR="00A37CBC" w:rsidRPr="00A37CBC" w14:paraId="1F1ECB09" w14:textId="77777777" w:rsidTr="00AB4B3B">
        <w:trPr>
          <w:trHeight w:val="300"/>
        </w:trPr>
        <w:tc>
          <w:tcPr>
            <w:tcW w:w="1480" w:type="dxa"/>
            <w:tcBorders>
              <w:top w:val="nil"/>
              <w:left w:val="nil"/>
              <w:bottom w:val="nil"/>
              <w:right w:val="nil"/>
            </w:tcBorders>
            <w:shd w:val="clear" w:color="auto" w:fill="auto"/>
            <w:noWrap/>
            <w:vAlign w:val="bottom"/>
            <w:hideMark/>
          </w:tcPr>
          <w:p w14:paraId="4EEBC3DA"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All ages</w:t>
            </w:r>
          </w:p>
        </w:tc>
        <w:tc>
          <w:tcPr>
            <w:tcW w:w="1020" w:type="dxa"/>
            <w:tcBorders>
              <w:top w:val="nil"/>
              <w:left w:val="nil"/>
              <w:bottom w:val="nil"/>
              <w:right w:val="nil"/>
            </w:tcBorders>
            <w:shd w:val="clear" w:color="auto" w:fill="auto"/>
            <w:noWrap/>
            <w:vAlign w:val="bottom"/>
            <w:hideMark/>
          </w:tcPr>
          <w:p w14:paraId="45C55823"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4.43</w:t>
            </w:r>
          </w:p>
        </w:tc>
        <w:tc>
          <w:tcPr>
            <w:tcW w:w="1020" w:type="dxa"/>
            <w:tcBorders>
              <w:top w:val="nil"/>
              <w:left w:val="nil"/>
              <w:bottom w:val="nil"/>
              <w:right w:val="nil"/>
            </w:tcBorders>
            <w:shd w:val="clear" w:color="auto" w:fill="auto"/>
            <w:noWrap/>
            <w:vAlign w:val="bottom"/>
            <w:hideMark/>
          </w:tcPr>
          <w:p w14:paraId="3ED31DAB"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5.24</w:t>
            </w:r>
          </w:p>
        </w:tc>
        <w:tc>
          <w:tcPr>
            <w:tcW w:w="1020" w:type="dxa"/>
            <w:tcBorders>
              <w:top w:val="nil"/>
              <w:left w:val="nil"/>
              <w:bottom w:val="nil"/>
              <w:right w:val="nil"/>
            </w:tcBorders>
            <w:shd w:val="clear" w:color="auto" w:fill="auto"/>
            <w:noWrap/>
            <w:vAlign w:val="bottom"/>
            <w:hideMark/>
          </w:tcPr>
          <w:p w14:paraId="4425F2A0"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5.75</w:t>
            </w:r>
          </w:p>
        </w:tc>
        <w:tc>
          <w:tcPr>
            <w:tcW w:w="266" w:type="dxa"/>
            <w:tcBorders>
              <w:top w:val="nil"/>
              <w:left w:val="nil"/>
              <w:bottom w:val="nil"/>
              <w:right w:val="nil"/>
            </w:tcBorders>
            <w:shd w:val="clear" w:color="auto" w:fill="auto"/>
            <w:noWrap/>
            <w:vAlign w:val="bottom"/>
            <w:hideMark/>
          </w:tcPr>
          <w:p w14:paraId="7ED9C53B"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037051D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18.3</w:t>
            </w:r>
          </w:p>
        </w:tc>
        <w:tc>
          <w:tcPr>
            <w:tcW w:w="1180" w:type="dxa"/>
            <w:tcBorders>
              <w:top w:val="nil"/>
              <w:left w:val="nil"/>
              <w:bottom w:val="nil"/>
              <w:right w:val="nil"/>
            </w:tcBorders>
            <w:shd w:val="clear" w:color="auto" w:fill="auto"/>
            <w:noWrap/>
            <w:vAlign w:val="bottom"/>
            <w:hideMark/>
          </w:tcPr>
          <w:p w14:paraId="07012E48"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9.7</w:t>
            </w:r>
          </w:p>
        </w:tc>
        <w:tc>
          <w:tcPr>
            <w:tcW w:w="1180" w:type="dxa"/>
            <w:tcBorders>
              <w:top w:val="nil"/>
              <w:left w:val="nil"/>
              <w:bottom w:val="nil"/>
              <w:right w:val="nil"/>
            </w:tcBorders>
            <w:shd w:val="clear" w:color="auto" w:fill="auto"/>
            <w:noWrap/>
            <w:vAlign w:val="bottom"/>
            <w:hideMark/>
          </w:tcPr>
          <w:p w14:paraId="53592CF6"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29.7</w:t>
            </w:r>
          </w:p>
        </w:tc>
      </w:tr>
      <w:tr w:rsidR="00AB4B3B" w:rsidRPr="00A37CBC" w14:paraId="08A70CE5" w14:textId="77777777" w:rsidTr="00F028FD">
        <w:trPr>
          <w:trHeight w:val="300"/>
        </w:trPr>
        <w:tc>
          <w:tcPr>
            <w:tcW w:w="8346" w:type="dxa"/>
            <w:gridSpan w:val="8"/>
            <w:tcBorders>
              <w:top w:val="nil"/>
              <w:left w:val="nil"/>
              <w:bottom w:val="nil"/>
              <w:right w:val="nil"/>
            </w:tcBorders>
            <w:shd w:val="clear" w:color="auto" w:fill="auto"/>
            <w:noWrap/>
            <w:vAlign w:val="bottom"/>
            <w:hideMark/>
          </w:tcPr>
          <w:p w14:paraId="2BC6E760" w14:textId="77777777" w:rsidR="00AB4B3B" w:rsidRPr="00A37CBC" w:rsidRDefault="00AB4B3B" w:rsidP="00A37CBC">
            <w:pPr>
              <w:spacing w:before="0" w:after="0" w:line="240" w:lineRule="auto"/>
              <w:rPr>
                <w:rFonts w:ascii="Times New Roman" w:eastAsia="Times New Roman" w:hAnsi="Times New Roman"/>
                <w:sz w:val="20"/>
                <w:lang w:eastAsia="en-AU"/>
              </w:rPr>
            </w:pPr>
          </w:p>
        </w:tc>
      </w:tr>
      <w:tr w:rsidR="00AB4B3B" w:rsidRPr="00A37CBC" w14:paraId="3F0E6ED6" w14:textId="77777777" w:rsidTr="00BE3BD7">
        <w:trPr>
          <w:trHeight w:val="300"/>
        </w:trPr>
        <w:tc>
          <w:tcPr>
            <w:tcW w:w="8346" w:type="dxa"/>
            <w:gridSpan w:val="8"/>
            <w:tcBorders>
              <w:top w:val="nil"/>
              <w:left w:val="nil"/>
              <w:bottom w:val="nil"/>
              <w:right w:val="nil"/>
            </w:tcBorders>
            <w:shd w:val="clear" w:color="auto" w:fill="auto"/>
            <w:noWrap/>
            <w:vAlign w:val="bottom"/>
            <w:hideMark/>
          </w:tcPr>
          <w:p w14:paraId="4E62CAE4" w14:textId="551B700C" w:rsidR="00AB4B3B" w:rsidRPr="00A37CBC" w:rsidRDefault="00AB4B3B" w:rsidP="00A37CBC">
            <w:pPr>
              <w:spacing w:before="0" w:after="0" w:line="240" w:lineRule="auto"/>
              <w:rPr>
                <w:rFonts w:ascii="Times New Roman" w:eastAsia="Times New Roman" w:hAnsi="Times New Roman"/>
                <w:sz w:val="20"/>
                <w:lang w:eastAsia="en-AU"/>
              </w:rPr>
            </w:pPr>
            <w:r w:rsidRPr="00A37CBC">
              <w:rPr>
                <w:rFonts w:ascii="Calibri" w:eastAsia="Times New Roman" w:hAnsi="Calibri" w:cs="Calibri"/>
                <w:b/>
                <w:bCs/>
                <w:color w:val="000000"/>
                <w:szCs w:val="22"/>
                <w:lang w:eastAsia="en-AU"/>
              </w:rPr>
              <w:t>Male</w:t>
            </w:r>
          </w:p>
        </w:tc>
      </w:tr>
      <w:tr w:rsidR="00A37CBC" w:rsidRPr="00A37CBC" w14:paraId="49975E32" w14:textId="77777777" w:rsidTr="00AB4B3B">
        <w:trPr>
          <w:trHeight w:val="300"/>
        </w:trPr>
        <w:tc>
          <w:tcPr>
            <w:tcW w:w="1480" w:type="dxa"/>
            <w:tcBorders>
              <w:top w:val="nil"/>
              <w:left w:val="nil"/>
              <w:bottom w:val="nil"/>
              <w:right w:val="nil"/>
            </w:tcBorders>
            <w:shd w:val="clear" w:color="auto" w:fill="auto"/>
            <w:noWrap/>
            <w:vAlign w:val="bottom"/>
            <w:hideMark/>
          </w:tcPr>
          <w:p w14:paraId="27BED1B3"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w:t>
            </w:r>
          </w:p>
        </w:tc>
        <w:tc>
          <w:tcPr>
            <w:tcW w:w="1020" w:type="dxa"/>
            <w:tcBorders>
              <w:top w:val="nil"/>
              <w:left w:val="nil"/>
              <w:bottom w:val="nil"/>
              <w:right w:val="nil"/>
            </w:tcBorders>
            <w:shd w:val="clear" w:color="auto" w:fill="auto"/>
            <w:noWrap/>
            <w:vAlign w:val="bottom"/>
            <w:hideMark/>
          </w:tcPr>
          <w:p w14:paraId="5E7F7E3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0.24</w:t>
            </w:r>
          </w:p>
        </w:tc>
        <w:tc>
          <w:tcPr>
            <w:tcW w:w="1020" w:type="dxa"/>
            <w:tcBorders>
              <w:top w:val="nil"/>
              <w:left w:val="nil"/>
              <w:bottom w:val="nil"/>
              <w:right w:val="nil"/>
            </w:tcBorders>
            <w:shd w:val="clear" w:color="auto" w:fill="auto"/>
            <w:noWrap/>
            <w:vAlign w:val="bottom"/>
            <w:hideMark/>
          </w:tcPr>
          <w:p w14:paraId="5C19FB0A"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0.41</w:t>
            </w:r>
          </w:p>
        </w:tc>
        <w:tc>
          <w:tcPr>
            <w:tcW w:w="1020" w:type="dxa"/>
            <w:tcBorders>
              <w:top w:val="nil"/>
              <w:left w:val="nil"/>
              <w:bottom w:val="nil"/>
              <w:right w:val="nil"/>
            </w:tcBorders>
            <w:shd w:val="clear" w:color="auto" w:fill="auto"/>
            <w:noWrap/>
            <w:vAlign w:val="bottom"/>
            <w:hideMark/>
          </w:tcPr>
          <w:p w14:paraId="6BC0A085"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0.51</w:t>
            </w:r>
          </w:p>
        </w:tc>
        <w:tc>
          <w:tcPr>
            <w:tcW w:w="266" w:type="dxa"/>
            <w:tcBorders>
              <w:top w:val="nil"/>
              <w:left w:val="nil"/>
              <w:bottom w:val="nil"/>
              <w:right w:val="nil"/>
            </w:tcBorders>
            <w:shd w:val="clear" w:color="auto" w:fill="auto"/>
            <w:noWrap/>
            <w:vAlign w:val="bottom"/>
            <w:hideMark/>
          </w:tcPr>
          <w:p w14:paraId="57DB121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0A52CFDC"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69.1</w:t>
            </w:r>
          </w:p>
        </w:tc>
        <w:tc>
          <w:tcPr>
            <w:tcW w:w="1180" w:type="dxa"/>
            <w:tcBorders>
              <w:top w:val="nil"/>
              <w:left w:val="nil"/>
              <w:bottom w:val="nil"/>
              <w:right w:val="nil"/>
            </w:tcBorders>
            <w:shd w:val="clear" w:color="auto" w:fill="auto"/>
            <w:noWrap/>
            <w:vAlign w:val="bottom"/>
            <w:hideMark/>
          </w:tcPr>
          <w:p w14:paraId="25FCDEE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24.9</w:t>
            </w:r>
          </w:p>
        </w:tc>
        <w:tc>
          <w:tcPr>
            <w:tcW w:w="1180" w:type="dxa"/>
            <w:tcBorders>
              <w:top w:val="nil"/>
              <w:left w:val="nil"/>
              <w:bottom w:val="nil"/>
              <w:right w:val="nil"/>
            </w:tcBorders>
            <w:shd w:val="clear" w:color="auto" w:fill="auto"/>
            <w:noWrap/>
            <w:vAlign w:val="bottom"/>
            <w:hideMark/>
          </w:tcPr>
          <w:p w14:paraId="7100DFD2"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111.2</w:t>
            </w:r>
          </w:p>
        </w:tc>
      </w:tr>
      <w:tr w:rsidR="00A37CBC" w:rsidRPr="00A37CBC" w14:paraId="449D2350" w14:textId="77777777" w:rsidTr="00AB4B3B">
        <w:trPr>
          <w:trHeight w:val="300"/>
        </w:trPr>
        <w:tc>
          <w:tcPr>
            <w:tcW w:w="1480" w:type="dxa"/>
            <w:tcBorders>
              <w:top w:val="nil"/>
              <w:left w:val="nil"/>
              <w:bottom w:val="nil"/>
              <w:right w:val="nil"/>
            </w:tcBorders>
            <w:shd w:val="clear" w:color="auto" w:fill="auto"/>
            <w:noWrap/>
            <w:vAlign w:val="bottom"/>
            <w:hideMark/>
          </w:tcPr>
          <w:p w14:paraId="4F057503"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15-19</w:t>
            </w:r>
          </w:p>
        </w:tc>
        <w:tc>
          <w:tcPr>
            <w:tcW w:w="1020" w:type="dxa"/>
            <w:tcBorders>
              <w:top w:val="nil"/>
              <w:left w:val="nil"/>
              <w:bottom w:val="nil"/>
              <w:right w:val="nil"/>
            </w:tcBorders>
            <w:shd w:val="clear" w:color="auto" w:fill="auto"/>
            <w:noWrap/>
            <w:vAlign w:val="bottom"/>
            <w:hideMark/>
          </w:tcPr>
          <w:p w14:paraId="1F66CD8E"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10.71</w:t>
            </w:r>
          </w:p>
        </w:tc>
        <w:tc>
          <w:tcPr>
            <w:tcW w:w="1020" w:type="dxa"/>
            <w:tcBorders>
              <w:top w:val="nil"/>
              <w:left w:val="nil"/>
              <w:bottom w:val="nil"/>
              <w:right w:val="nil"/>
            </w:tcBorders>
            <w:shd w:val="clear" w:color="auto" w:fill="auto"/>
            <w:noWrap/>
            <w:vAlign w:val="bottom"/>
            <w:hideMark/>
          </w:tcPr>
          <w:p w14:paraId="45E895C8"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13.32</w:t>
            </w:r>
          </w:p>
        </w:tc>
        <w:tc>
          <w:tcPr>
            <w:tcW w:w="1020" w:type="dxa"/>
            <w:tcBorders>
              <w:top w:val="nil"/>
              <w:left w:val="nil"/>
              <w:bottom w:val="nil"/>
              <w:right w:val="nil"/>
            </w:tcBorders>
            <w:shd w:val="clear" w:color="auto" w:fill="auto"/>
            <w:noWrap/>
            <w:vAlign w:val="bottom"/>
            <w:hideMark/>
          </w:tcPr>
          <w:p w14:paraId="06C6E14B"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15.53</w:t>
            </w:r>
          </w:p>
        </w:tc>
        <w:tc>
          <w:tcPr>
            <w:tcW w:w="266" w:type="dxa"/>
            <w:tcBorders>
              <w:top w:val="nil"/>
              <w:left w:val="nil"/>
              <w:bottom w:val="nil"/>
              <w:right w:val="nil"/>
            </w:tcBorders>
            <w:shd w:val="clear" w:color="auto" w:fill="auto"/>
            <w:noWrap/>
            <w:vAlign w:val="bottom"/>
            <w:hideMark/>
          </w:tcPr>
          <w:p w14:paraId="16BDA03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03B8FB29"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24.4</w:t>
            </w:r>
          </w:p>
        </w:tc>
        <w:tc>
          <w:tcPr>
            <w:tcW w:w="1180" w:type="dxa"/>
            <w:tcBorders>
              <w:top w:val="nil"/>
              <w:left w:val="nil"/>
              <w:bottom w:val="nil"/>
              <w:right w:val="nil"/>
            </w:tcBorders>
            <w:shd w:val="clear" w:color="auto" w:fill="auto"/>
            <w:noWrap/>
            <w:vAlign w:val="bottom"/>
            <w:hideMark/>
          </w:tcPr>
          <w:p w14:paraId="6A8813CE"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16.6</w:t>
            </w:r>
          </w:p>
        </w:tc>
        <w:tc>
          <w:tcPr>
            <w:tcW w:w="1180" w:type="dxa"/>
            <w:tcBorders>
              <w:top w:val="nil"/>
              <w:left w:val="nil"/>
              <w:bottom w:val="nil"/>
              <w:right w:val="nil"/>
            </w:tcBorders>
            <w:shd w:val="clear" w:color="auto" w:fill="auto"/>
            <w:noWrap/>
            <w:vAlign w:val="bottom"/>
            <w:hideMark/>
          </w:tcPr>
          <w:p w14:paraId="016CC3B8"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45.0</w:t>
            </w:r>
          </w:p>
        </w:tc>
      </w:tr>
      <w:tr w:rsidR="00A37CBC" w:rsidRPr="00A37CBC" w14:paraId="0B5294FC" w14:textId="77777777" w:rsidTr="00AB4B3B">
        <w:trPr>
          <w:trHeight w:val="300"/>
        </w:trPr>
        <w:tc>
          <w:tcPr>
            <w:tcW w:w="1480" w:type="dxa"/>
            <w:tcBorders>
              <w:top w:val="nil"/>
              <w:left w:val="nil"/>
              <w:bottom w:val="nil"/>
              <w:right w:val="nil"/>
            </w:tcBorders>
            <w:shd w:val="clear" w:color="auto" w:fill="auto"/>
            <w:noWrap/>
            <w:vAlign w:val="bottom"/>
            <w:hideMark/>
          </w:tcPr>
          <w:p w14:paraId="5B609A1D"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20-24</w:t>
            </w:r>
          </w:p>
        </w:tc>
        <w:tc>
          <w:tcPr>
            <w:tcW w:w="1020" w:type="dxa"/>
            <w:tcBorders>
              <w:top w:val="nil"/>
              <w:left w:val="nil"/>
              <w:bottom w:val="nil"/>
              <w:right w:val="nil"/>
            </w:tcBorders>
            <w:shd w:val="clear" w:color="auto" w:fill="auto"/>
            <w:noWrap/>
            <w:vAlign w:val="bottom"/>
            <w:hideMark/>
          </w:tcPr>
          <w:p w14:paraId="24053EFA"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17.43</w:t>
            </w:r>
          </w:p>
        </w:tc>
        <w:tc>
          <w:tcPr>
            <w:tcW w:w="1020" w:type="dxa"/>
            <w:tcBorders>
              <w:top w:val="nil"/>
              <w:left w:val="nil"/>
              <w:bottom w:val="nil"/>
              <w:right w:val="nil"/>
            </w:tcBorders>
            <w:shd w:val="clear" w:color="auto" w:fill="auto"/>
            <w:noWrap/>
            <w:vAlign w:val="bottom"/>
            <w:hideMark/>
          </w:tcPr>
          <w:p w14:paraId="784DBAA2"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20.75</w:t>
            </w:r>
          </w:p>
        </w:tc>
        <w:tc>
          <w:tcPr>
            <w:tcW w:w="1020" w:type="dxa"/>
            <w:tcBorders>
              <w:top w:val="nil"/>
              <w:left w:val="nil"/>
              <w:bottom w:val="nil"/>
              <w:right w:val="nil"/>
            </w:tcBorders>
            <w:shd w:val="clear" w:color="auto" w:fill="auto"/>
            <w:noWrap/>
            <w:vAlign w:val="bottom"/>
            <w:hideMark/>
          </w:tcPr>
          <w:p w14:paraId="58FDD36F"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23.23</w:t>
            </w:r>
          </w:p>
        </w:tc>
        <w:tc>
          <w:tcPr>
            <w:tcW w:w="266" w:type="dxa"/>
            <w:tcBorders>
              <w:top w:val="nil"/>
              <w:left w:val="nil"/>
              <w:bottom w:val="nil"/>
              <w:right w:val="nil"/>
            </w:tcBorders>
            <w:shd w:val="clear" w:color="auto" w:fill="auto"/>
            <w:noWrap/>
            <w:vAlign w:val="bottom"/>
            <w:hideMark/>
          </w:tcPr>
          <w:p w14:paraId="1CA52976"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07344912"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19.0</w:t>
            </w:r>
          </w:p>
        </w:tc>
        <w:tc>
          <w:tcPr>
            <w:tcW w:w="1180" w:type="dxa"/>
            <w:tcBorders>
              <w:top w:val="nil"/>
              <w:left w:val="nil"/>
              <w:bottom w:val="nil"/>
              <w:right w:val="nil"/>
            </w:tcBorders>
            <w:shd w:val="clear" w:color="auto" w:fill="auto"/>
            <w:noWrap/>
            <w:vAlign w:val="bottom"/>
            <w:hideMark/>
          </w:tcPr>
          <w:p w14:paraId="7BE3E9AA"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11.9</w:t>
            </w:r>
          </w:p>
        </w:tc>
        <w:tc>
          <w:tcPr>
            <w:tcW w:w="1180" w:type="dxa"/>
            <w:tcBorders>
              <w:top w:val="nil"/>
              <w:left w:val="nil"/>
              <w:bottom w:val="nil"/>
              <w:right w:val="nil"/>
            </w:tcBorders>
            <w:shd w:val="clear" w:color="auto" w:fill="auto"/>
            <w:noWrap/>
            <w:vAlign w:val="bottom"/>
            <w:hideMark/>
          </w:tcPr>
          <w:p w14:paraId="71880C73"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33.3</w:t>
            </w:r>
          </w:p>
        </w:tc>
      </w:tr>
      <w:tr w:rsidR="00A37CBC" w:rsidRPr="00A37CBC" w14:paraId="1AE9E533" w14:textId="77777777" w:rsidTr="00AB4B3B">
        <w:trPr>
          <w:trHeight w:val="300"/>
        </w:trPr>
        <w:tc>
          <w:tcPr>
            <w:tcW w:w="1480" w:type="dxa"/>
            <w:tcBorders>
              <w:top w:val="nil"/>
              <w:left w:val="nil"/>
              <w:bottom w:val="nil"/>
              <w:right w:val="nil"/>
            </w:tcBorders>
            <w:shd w:val="clear" w:color="auto" w:fill="auto"/>
            <w:noWrap/>
            <w:vAlign w:val="bottom"/>
            <w:hideMark/>
          </w:tcPr>
          <w:p w14:paraId="7A2A4F1A"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All ages</w:t>
            </w:r>
          </w:p>
        </w:tc>
        <w:tc>
          <w:tcPr>
            <w:tcW w:w="1020" w:type="dxa"/>
            <w:tcBorders>
              <w:top w:val="nil"/>
              <w:left w:val="nil"/>
              <w:bottom w:val="nil"/>
              <w:right w:val="nil"/>
            </w:tcBorders>
            <w:shd w:val="clear" w:color="auto" w:fill="auto"/>
            <w:noWrap/>
            <w:vAlign w:val="bottom"/>
            <w:hideMark/>
          </w:tcPr>
          <w:p w14:paraId="44298431"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6.12</w:t>
            </w:r>
          </w:p>
        </w:tc>
        <w:tc>
          <w:tcPr>
            <w:tcW w:w="1020" w:type="dxa"/>
            <w:tcBorders>
              <w:top w:val="nil"/>
              <w:left w:val="nil"/>
              <w:bottom w:val="nil"/>
              <w:right w:val="nil"/>
            </w:tcBorders>
            <w:shd w:val="clear" w:color="auto" w:fill="auto"/>
            <w:noWrap/>
            <w:vAlign w:val="bottom"/>
            <w:hideMark/>
          </w:tcPr>
          <w:p w14:paraId="07C12D70"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7.36</w:t>
            </w:r>
          </w:p>
        </w:tc>
        <w:tc>
          <w:tcPr>
            <w:tcW w:w="1020" w:type="dxa"/>
            <w:tcBorders>
              <w:top w:val="nil"/>
              <w:left w:val="nil"/>
              <w:bottom w:val="nil"/>
              <w:right w:val="nil"/>
            </w:tcBorders>
            <w:shd w:val="clear" w:color="auto" w:fill="auto"/>
            <w:noWrap/>
            <w:vAlign w:val="bottom"/>
            <w:hideMark/>
          </w:tcPr>
          <w:p w14:paraId="18F8C8CE"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8.32</w:t>
            </w:r>
          </w:p>
        </w:tc>
        <w:tc>
          <w:tcPr>
            <w:tcW w:w="266" w:type="dxa"/>
            <w:tcBorders>
              <w:top w:val="nil"/>
              <w:left w:val="nil"/>
              <w:bottom w:val="nil"/>
              <w:right w:val="nil"/>
            </w:tcBorders>
            <w:shd w:val="clear" w:color="auto" w:fill="auto"/>
            <w:noWrap/>
            <w:vAlign w:val="bottom"/>
            <w:hideMark/>
          </w:tcPr>
          <w:p w14:paraId="1B3C3345"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6F87ACE3"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20.2</w:t>
            </w:r>
          </w:p>
        </w:tc>
        <w:tc>
          <w:tcPr>
            <w:tcW w:w="1180" w:type="dxa"/>
            <w:tcBorders>
              <w:top w:val="nil"/>
              <w:left w:val="nil"/>
              <w:bottom w:val="nil"/>
              <w:right w:val="nil"/>
            </w:tcBorders>
            <w:shd w:val="clear" w:color="auto" w:fill="auto"/>
            <w:noWrap/>
            <w:vAlign w:val="bottom"/>
            <w:hideMark/>
          </w:tcPr>
          <w:p w14:paraId="430083F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13.0</w:t>
            </w:r>
          </w:p>
        </w:tc>
        <w:tc>
          <w:tcPr>
            <w:tcW w:w="1180" w:type="dxa"/>
            <w:tcBorders>
              <w:top w:val="nil"/>
              <w:left w:val="nil"/>
              <w:bottom w:val="nil"/>
              <w:right w:val="nil"/>
            </w:tcBorders>
            <w:shd w:val="clear" w:color="auto" w:fill="auto"/>
            <w:noWrap/>
            <w:vAlign w:val="bottom"/>
            <w:hideMark/>
          </w:tcPr>
          <w:p w14:paraId="05D36C2E"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35.8</w:t>
            </w:r>
          </w:p>
        </w:tc>
      </w:tr>
      <w:tr w:rsidR="00AB4B3B" w:rsidRPr="00A37CBC" w14:paraId="663DC008" w14:textId="77777777" w:rsidTr="00032005">
        <w:trPr>
          <w:trHeight w:val="300"/>
        </w:trPr>
        <w:tc>
          <w:tcPr>
            <w:tcW w:w="8346" w:type="dxa"/>
            <w:gridSpan w:val="8"/>
            <w:tcBorders>
              <w:top w:val="nil"/>
              <w:left w:val="nil"/>
              <w:bottom w:val="nil"/>
              <w:right w:val="nil"/>
            </w:tcBorders>
            <w:shd w:val="clear" w:color="auto" w:fill="auto"/>
            <w:noWrap/>
            <w:vAlign w:val="bottom"/>
            <w:hideMark/>
          </w:tcPr>
          <w:p w14:paraId="55317AB8" w14:textId="77777777" w:rsidR="00AB4B3B" w:rsidRPr="00A37CBC" w:rsidRDefault="00AB4B3B" w:rsidP="00A37CBC">
            <w:pPr>
              <w:spacing w:before="0" w:after="0" w:line="240" w:lineRule="auto"/>
              <w:rPr>
                <w:rFonts w:ascii="Times New Roman" w:eastAsia="Times New Roman" w:hAnsi="Times New Roman"/>
                <w:sz w:val="20"/>
                <w:lang w:eastAsia="en-AU"/>
              </w:rPr>
            </w:pPr>
          </w:p>
        </w:tc>
      </w:tr>
      <w:tr w:rsidR="00AB4B3B" w:rsidRPr="00A37CBC" w14:paraId="62FF0284" w14:textId="77777777" w:rsidTr="000C0860">
        <w:trPr>
          <w:trHeight w:val="300"/>
        </w:trPr>
        <w:tc>
          <w:tcPr>
            <w:tcW w:w="8346" w:type="dxa"/>
            <w:gridSpan w:val="8"/>
            <w:tcBorders>
              <w:top w:val="nil"/>
              <w:left w:val="nil"/>
              <w:bottom w:val="nil"/>
              <w:right w:val="nil"/>
            </w:tcBorders>
            <w:shd w:val="clear" w:color="auto" w:fill="auto"/>
            <w:noWrap/>
            <w:vAlign w:val="bottom"/>
            <w:hideMark/>
          </w:tcPr>
          <w:p w14:paraId="062560CB" w14:textId="0479149C" w:rsidR="00AB4B3B" w:rsidRPr="00A37CBC" w:rsidRDefault="00AB4B3B" w:rsidP="00A37CBC">
            <w:pPr>
              <w:spacing w:before="0" w:after="0" w:line="240" w:lineRule="auto"/>
              <w:rPr>
                <w:rFonts w:ascii="Times New Roman" w:eastAsia="Times New Roman" w:hAnsi="Times New Roman"/>
                <w:sz w:val="20"/>
                <w:lang w:eastAsia="en-AU"/>
              </w:rPr>
            </w:pPr>
            <w:r w:rsidRPr="00A37CBC">
              <w:rPr>
                <w:rFonts w:ascii="Calibri" w:eastAsia="Times New Roman" w:hAnsi="Calibri" w:cs="Calibri"/>
                <w:b/>
                <w:bCs/>
                <w:color w:val="000000"/>
                <w:szCs w:val="22"/>
                <w:lang w:eastAsia="en-AU"/>
              </w:rPr>
              <w:t>Female</w:t>
            </w:r>
          </w:p>
        </w:tc>
      </w:tr>
      <w:tr w:rsidR="00A37CBC" w:rsidRPr="00A37CBC" w14:paraId="2439B095" w14:textId="77777777" w:rsidTr="00AB4B3B">
        <w:trPr>
          <w:trHeight w:val="300"/>
        </w:trPr>
        <w:tc>
          <w:tcPr>
            <w:tcW w:w="1480" w:type="dxa"/>
            <w:tcBorders>
              <w:top w:val="nil"/>
              <w:left w:val="nil"/>
              <w:bottom w:val="nil"/>
              <w:right w:val="nil"/>
            </w:tcBorders>
            <w:shd w:val="clear" w:color="auto" w:fill="auto"/>
            <w:noWrap/>
            <w:vAlign w:val="bottom"/>
            <w:hideMark/>
          </w:tcPr>
          <w:p w14:paraId="6C1079B0"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w:t>
            </w:r>
          </w:p>
        </w:tc>
        <w:tc>
          <w:tcPr>
            <w:tcW w:w="1020" w:type="dxa"/>
            <w:tcBorders>
              <w:top w:val="nil"/>
              <w:left w:val="nil"/>
              <w:bottom w:val="nil"/>
              <w:right w:val="nil"/>
            </w:tcBorders>
            <w:shd w:val="clear" w:color="auto" w:fill="auto"/>
            <w:noWrap/>
            <w:vAlign w:val="bottom"/>
            <w:hideMark/>
          </w:tcPr>
          <w:p w14:paraId="4F1938D1"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0.33</w:t>
            </w:r>
          </w:p>
        </w:tc>
        <w:tc>
          <w:tcPr>
            <w:tcW w:w="1020" w:type="dxa"/>
            <w:tcBorders>
              <w:top w:val="nil"/>
              <w:left w:val="nil"/>
              <w:bottom w:val="nil"/>
              <w:right w:val="nil"/>
            </w:tcBorders>
            <w:shd w:val="clear" w:color="auto" w:fill="auto"/>
            <w:noWrap/>
            <w:vAlign w:val="bottom"/>
            <w:hideMark/>
          </w:tcPr>
          <w:p w14:paraId="15A588B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0.45</w:t>
            </w:r>
          </w:p>
        </w:tc>
        <w:tc>
          <w:tcPr>
            <w:tcW w:w="1020" w:type="dxa"/>
            <w:tcBorders>
              <w:top w:val="nil"/>
              <w:left w:val="nil"/>
              <w:bottom w:val="nil"/>
              <w:right w:val="nil"/>
            </w:tcBorders>
            <w:shd w:val="clear" w:color="auto" w:fill="auto"/>
            <w:noWrap/>
            <w:vAlign w:val="bottom"/>
            <w:hideMark/>
          </w:tcPr>
          <w:p w14:paraId="0A7A7F58"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0.37</w:t>
            </w:r>
          </w:p>
        </w:tc>
        <w:tc>
          <w:tcPr>
            <w:tcW w:w="266" w:type="dxa"/>
            <w:tcBorders>
              <w:top w:val="nil"/>
              <w:left w:val="nil"/>
              <w:bottom w:val="nil"/>
              <w:right w:val="nil"/>
            </w:tcBorders>
            <w:shd w:val="clear" w:color="auto" w:fill="auto"/>
            <w:noWrap/>
            <w:vAlign w:val="bottom"/>
            <w:hideMark/>
          </w:tcPr>
          <w:p w14:paraId="1874028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35929BD0"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36.3</w:t>
            </w:r>
          </w:p>
        </w:tc>
        <w:tc>
          <w:tcPr>
            <w:tcW w:w="1180" w:type="dxa"/>
            <w:tcBorders>
              <w:top w:val="nil"/>
              <w:left w:val="nil"/>
              <w:bottom w:val="nil"/>
              <w:right w:val="nil"/>
            </w:tcBorders>
            <w:shd w:val="clear" w:color="auto" w:fill="auto"/>
            <w:noWrap/>
            <w:vAlign w:val="bottom"/>
            <w:hideMark/>
          </w:tcPr>
          <w:p w14:paraId="54704411"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-16.2</w:t>
            </w:r>
          </w:p>
        </w:tc>
        <w:tc>
          <w:tcPr>
            <w:tcW w:w="1180" w:type="dxa"/>
            <w:tcBorders>
              <w:top w:val="nil"/>
              <w:left w:val="nil"/>
              <w:bottom w:val="nil"/>
              <w:right w:val="nil"/>
            </w:tcBorders>
            <w:shd w:val="clear" w:color="auto" w:fill="auto"/>
            <w:noWrap/>
            <w:vAlign w:val="bottom"/>
            <w:hideMark/>
          </w:tcPr>
          <w:p w14:paraId="71F02148"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14.2</w:t>
            </w:r>
          </w:p>
        </w:tc>
      </w:tr>
      <w:tr w:rsidR="00A37CBC" w:rsidRPr="00A37CBC" w14:paraId="420161DF" w14:textId="77777777" w:rsidTr="00AB4B3B">
        <w:trPr>
          <w:trHeight w:val="300"/>
        </w:trPr>
        <w:tc>
          <w:tcPr>
            <w:tcW w:w="1480" w:type="dxa"/>
            <w:tcBorders>
              <w:top w:val="nil"/>
              <w:left w:val="nil"/>
              <w:bottom w:val="nil"/>
              <w:right w:val="nil"/>
            </w:tcBorders>
            <w:shd w:val="clear" w:color="auto" w:fill="auto"/>
            <w:noWrap/>
            <w:vAlign w:val="bottom"/>
            <w:hideMark/>
          </w:tcPr>
          <w:p w14:paraId="54380D7C"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15-19</w:t>
            </w:r>
          </w:p>
        </w:tc>
        <w:tc>
          <w:tcPr>
            <w:tcW w:w="1020" w:type="dxa"/>
            <w:tcBorders>
              <w:top w:val="nil"/>
              <w:left w:val="nil"/>
              <w:bottom w:val="nil"/>
              <w:right w:val="nil"/>
            </w:tcBorders>
            <w:shd w:val="clear" w:color="auto" w:fill="auto"/>
            <w:noWrap/>
            <w:vAlign w:val="bottom"/>
            <w:hideMark/>
          </w:tcPr>
          <w:p w14:paraId="056A2139"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5.25</w:t>
            </w:r>
          </w:p>
        </w:tc>
        <w:tc>
          <w:tcPr>
            <w:tcW w:w="1020" w:type="dxa"/>
            <w:tcBorders>
              <w:top w:val="nil"/>
              <w:left w:val="nil"/>
              <w:bottom w:val="nil"/>
              <w:right w:val="nil"/>
            </w:tcBorders>
            <w:shd w:val="clear" w:color="auto" w:fill="auto"/>
            <w:noWrap/>
            <w:vAlign w:val="bottom"/>
            <w:hideMark/>
          </w:tcPr>
          <w:p w14:paraId="53892CA5"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6.38</w:t>
            </w:r>
          </w:p>
        </w:tc>
        <w:tc>
          <w:tcPr>
            <w:tcW w:w="1020" w:type="dxa"/>
            <w:tcBorders>
              <w:top w:val="nil"/>
              <w:left w:val="nil"/>
              <w:bottom w:val="nil"/>
              <w:right w:val="nil"/>
            </w:tcBorders>
            <w:shd w:val="clear" w:color="auto" w:fill="auto"/>
            <w:noWrap/>
            <w:vAlign w:val="bottom"/>
            <w:hideMark/>
          </w:tcPr>
          <w:p w14:paraId="5082A4D6"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6.46</w:t>
            </w:r>
          </w:p>
        </w:tc>
        <w:tc>
          <w:tcPr>
            <w:tcW w:w="266" w:type="dxa"/>
            <w:tcBorders>
              <w:top w:val="nil"/>
              <w:left w:val="nil"/>
              <w:bottom w:val="nil"/>
              <w:right w:val="nil"/>
            </w:tcBorders>
            <w:shd w:val="clear" w:color="auto" w:fill="auto"/>
            <w:noWrap/>
            <w:vAlign w:val="bottom"/>
            <w:hideMark/>
          </w:tcPr>
          <w:p w14:paraId="3EFA78F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2A00542F"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21.6</w:t>
            </w:r>
          </w:p>
        </w:tc>
        <w:tc>
          <w:tcPr>
            <w:tcW w:w="1180" w:type="dxa"/>
            <w:tcBorders>
              <w:top w:val="nil"/>
              <w:left w:val="nil"/>
              <w:bottom w:val="nil"/>
              <w:right w:val="nil"/>
            </w:tcBorders>
            <w:shd w:val="clear" w:color="auto" w:fill="auto"/>
            <w:noWrap/>
            <w:vAlign w:val="bottom"/>
            <w:hideMark/>
          </w:tcPr>
          <w:p w14:paraId="69AA537B"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1.2</w:t>
            </w:r>
          </w:p>
        </w:tc>
        <w:tc>
          <w:tcPr>
            <w:tcW w:w="1180" w:type="dxa"/>
            <w:tcBorders>
              <w:top w:val="nil"/>
              <w:left w:val="nil"/>
              <w:bottom w:val="nil"/>
              <w:right w:val="nil"/>
            </w:tcBorders>
            <w:shd w:val="clear" w:color="auto" w:fill="auto"/>
            <w:noWrap/>
            <w:vAlign w:val="bottom"/>
            <w:hideMark/>
          </w:tcPr>
          <w:p w14:paraId="46518FAB"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23.0</w:t>
            </w:r>
          </w:p>
        </w:tc>
      </w:tr>
      <w:tr w:rsidR="00A37CBC" w:rsidRPr="00A37CBC" w14:paraId="3A1B02D7" w14:textId="77777777" w:rsidTr="00AB4B3B">
        <w:trPr>
          <w:trHeight w:val="300"/>
        </w:trPr>
        <w:tc>
          <w:tcPr>
            <w:tcW w:w="1480" w:type="dxa"/>
            <w:tcBorders>
              <w:top w:val="nil"/>
              <w:left w:val="nil"/>
              <w:bottom w:val="nil"/>
              <w:right w:val="nil"/>
            </w:tcBorders>
            <w:shd w:val="clear" w:color="auto" w:fill="auto"/>
            <w:noWrap/>
            <w:vAlign w:val="bottom"/>
            <w:hideMark/>
          </w:tcPr>
          <w:p w14:paraId="4A147E2E"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20-24</w:t>
            </w:r>
          </w:p>
        </w:tc>
        <w:tc>
          <w:tcPr>
            <w:tcW w:w="1020" w:type="dxa"/>
            <w:tcBorders>
              <w:top w:val="nil"/>
              <w:left w:val="nil"/>
              <w:bottom w:val="nil"/>
              <w:right w:val="nil"/>
            </w:tcBorders>
            <w:shd w:val="clear" w:color="auto" w:fill="auto"/>
            <w:noWrap/>
            <w:vAlign w:val="bottom"/>
            <w:hideMark/>
          </w:tcPr>
          <w:p w14:paraId="0F398035"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6.38</w:t>
            </w:r>
          </w:p>
        </w:tc>
        <w:tc>
          <w:tcPr>
            <w:tcW w:w="1020" w:type="dxa"/>
            <w:tcBorders>
              <w:top w:val="nil"/>
              <w:left w:val="nil"/>
              <w:bottom w:val="nil"/>
              <w:right w:val="nil"/>
            </w:tcBorders>
            <w:shd w:val="clear" w:color="auto" w:fill="auto"/>
            <w:noWrap/>
            <w:vAlign w:val="bottom"/>
            <w:hideMark/>
          </w:tcPr>
          <w:p w14:paraId="2BF82E66"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6.85</w:t>
            </w:r>
          </w:p>
        </w:tc>
        <w:tc>
          <w:tcPr>
            <w:tcW w:w="1020" w:type="dxa"/>
            <w:tcBorders>
              <w:top w:val="nil"/>
              <w:left w:val="nil"/>
              <w:bottom w:val="nil"/>
              <w:right w:val="nil"/>
            </w:tcBorders>
            <w:shd w:val="clear" w:color="auto" w:fill="auto"/>
            <w:noWrap/>
            <w:vAlign w:val="bottom"/>
            <w:hideMark/>
          </w:tcPr>
          <w:p w14:paraId="6B18BAEC"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7.27</w:t>
            </w:r>
          </w:p>
        </w:tc>
        <w:tc>
          <w:tcPr>
            <w:tcW w:w="266" w:type="dxa"/>
            <w:tcBorders>
              <w:top w:val="nil"/>
              <w:left w:val="nil"/>
              <w:bottom w:val="nil"/>
              <w:right w:val="nil"/>
            </w:tcBorders>
            <w:shd w:val="clear" w:color="auto" w:fill="auto"/>
            <w:noWrap/>
            <w:vAlign w:val="bottom"/>
            <w:hideMark/>
          </w:tcPr>
          <w:p w14:paraId="2EC7CE98"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p>
        </w:tc>
        <w:tc>
          <w:tcPr>
            <w:tcW w:w="1180" w:type="dxa"/>
            <w:tcBorders>
              <w:top w:val="nil"/>
              <w:left w:val="nil"/>
              <w:bottom w:val="nil"/>
              <w:right w:val="nil"/>
            </w:tcBorders>
            <w:shd w:val="clear" w:color="auto" w:fill="auto"/>
            <w:noWrap/>
            <w:vAlign w:val="bottom"/>
            <w:hideMark/>
          </w:tcPr>
          <w:p w14:paraId="424D758F"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7.3</w:t>
            </w:r>
          </w:p>
        </w:tc>
        <w:tc>
          <w:tcPr>
            <w:tcW w:w="1180" w:type="dxa"/>
            <w:tcBorders>
              <w:top w:val="nil"/>
              <w:left w:val="nil"/>
              <w:bottom w:val="nil"/>
              <w:right w:val="nil"/>
            </w:tcBorders>
            <w:shd w:val="clear" w:color="auto" w:fill="auto"/>
            <w:noWrap/>
            <w:vAlign w:val="bottom"/>
            <w:hideMark/>
          </w:tcPr>
          <w:p w14:paraId="30A3CEB5"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6.2</w:t>
            </w:r>
          </w:p>
        </w:tc>
        <w:tc>
          <w:tcPr>
            <w:tcW w:w="1180" w:type="dxa"/>
            <w:tcBorders>
              <w:top w:val="nil"/>
              <w:left w:val="nil"/>
              <w:bottom w:val="nil"/>
              <w:right w:val="nil"/>
            </w:tcBorders>
            <w:shd w:val="clear" w:color="auto" w:fill="auto"/>
            <w:noWrap/>
            <w:vAlign w:val="bottom"/>
            <w:hideMark/>
          </w:tcPr>
          <w:p w14:paraId="173DD4D7"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13.9</w:t>
            </w:r>
          </w:p>
        </w:tc>
      </w:tr>
      <w:tr w:rsidR="00A37CBC" w:rsidRPr="00A37CBC" w14:paraId="3357EE8F" w14:textId="77777777" w:rsidTr="00AB4B3B">
        <w:trPr>
          <w:trHeight w:val="300"/>
        </w:trPr>
        <w:tc>
          <w:tcPr>
            <w:tcW w:w="1480" w:type="dxa"/>
            <w:tcBorders>
              <w:top w:val="nil"/>
              <w:left w:val="nil"/>
              <w:bottom w:val="single" w:sz="4" w:space="0" w:color="auto"/>
              <w:right w:val="nil"/>
            </w:tcBorders>
            <w:shd w:val="clear" w:color="auto" w:fill="auto"/>
            <w:noWrap/>
            <w:vAlign w:val="bottom"/>
            <w:hideMark/>
          </w:tcPr>
          <w:p w14:paraId="3948B791"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All ages</w:t>
            </w:r>
          </w:p>
        </w:tc>
        <w:tc>
          <w:tcPr>
            <w:tcW w:w="1020" w:type="dxa"/>
            <w:tcBorders>
              <w:top w:val="nil"/>
              <w:left w:val="nil"/>
              <w:bottom w:val="single" w:sz="4" w:space="0" w:color="auto"/>
              <w:right w:val="nil"/>
            </w:tcBorders>
            <w:shd w:val="clear" w:color="auto" w:fill="auto"/>
            <w:noWrap/>
            <w:vAlign w:val="bottom"/>
            <w:hideMark/>
          </w:tcPr>
          <w:p w14:paraId="35B6F7C3"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2.65</w:t>
            </w:r>
          </w:p>
        </w:tc>
        <w:tc>
          <w:tcPr>
            <w:tcW w:w="1020" w:type="dxa"/>
            <w:tcBorders>
              <w:top w:val="nil"/>
              <w:left w:val="nil"/>
              <w:bottom w:val="single" w:sz="4" w:space="0" w:color="auto"/>
              <w:right w:val="nil"/>
            </w:tcBorders>
            <w:shd w:val="clear" w:color="auto" w:fill="auto"/>
            <w:noWrap/>
            <w:vAlign w:val="bottom"/>
            <w:hideMark/>
          </w:tcPr>
          <w:p w14:paraId="474BD59F"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3.01</w:t>
            </w:r>
          </w:p>
        </w:tc>
        <w:tc>
          <w:tcPr>
            <w:tcW w:w="1020" w:type="dxa"/>
            <w:tcBorders>
              <w:top w:val="nil"/>
              <w:left w:val="nil"/>
              <w:bottom w:val="single" w:sz="4" w:space="0" w:color="auto"/>
              <w:right w:val="nil"/>
            </w:tcBorders>
            <w:shd w:val="clear" w:color="auto" w:fill="auto"/>
            <w:noWrap/>
            <w:vAlign w:val="bottom"/>
            <w:hideMark/>
          </w:tcPr>
          <w:p w14:paraId="434F102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3.04</w:t>
            </w:r>
          </w:p>
        </w:tc>
        <w:tc>
          <w:tcPr>
            <w:tcW w:w="266" w:type="dxa"/>
            <w:tcBorders>
              <w:top w:val="nil"/>
              <w:left w:val="nil"/>
              <w:bottom w:val="single" w:sz="4" w:space="0" w:color="auto"/>
              <w:right w:val="nil"/>
            </w:tcBorders>
            <w:shd w:val="clear" w:color="auto" w:fill="auto"/>
            <w:noWrap/>
            <w:vAlign w:val="bottom"/>
            <w:hideMark/>
          </w:tcPr>
          <w:p w14:paraId="4B2C58E7" w14:textId="77777777" w:rsidR="00A37CBC" w:rsidRPr="00A37CBC" w:rsidRDefault="00A37CBC" w:rsidP="00A37CBC">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 </w:t>
            </w:r>
          </w:p>
        </w:tc>
        <w:tc>
          <w:tcPr>
            <w:tcW w:w="1180" w:type="dxa"/>
            <w:tcBorders>
              <w:top w:val="nil"/>
              <w:left w:val="nil"/>
              <w:bottom w:val="single" w:sz="4" w:space="0" w:color="auto"/>
              <w:right w:val="nil"/>
            </w:tcBorders>
            <w:shd w:val="clear" w:color="auto" w:fill="auto"/>
            <w:noWrap/>
            <w:vAlign w:val="bottom"/>
            <w:hideMark/>
          </w:tcPr>
          <w:p w14:paraId="7F5B657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13.6</w:t>
            </w:r>
          </w:p>
        </w:tc>
        <w:tc>
          <w:tcPr>
            <w:tcW w:w="1180" w:type="dxa"/>
            <w:tcBorders>
              <w:top w:val="nil"/>
              <w:left w:val="nil"/>
              <w:bottom w:val="single" w:sz="4" w:space="0" w:color="auto"/>
              <w:right w:val="nil"/>
            </w:tcBorders>
            <w:shd w:val="clear" w:color="auto" w:fill="auto"/>
            <w:noWrap/>
            <w:vAlign w:val="bottom"/>
            <w:hideMark/>
          </w:tcPr>
          <w:p w14:paraId="705168DD"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w:t>
            </w:r>
          </w:p>
        </w:tc>
        <w:tc>
          <w:tcPr>
            <w:tcW w:w="1180" w:type="dxa"/>
            <w:tcBorders>
              <w:top w:val="nil"/>
              <w:left w:val="nil"/>
              <w:bottom w:val="single" w:sz="4" w:space="0" w:color="auto"/>
              <w:right w:val="nil"/>
            </w:tcBorders>
            <w:shd w:val="clear" w:color="auto" w:fill="auto"/>
            <w:noWrap/>
            <w:vAlign w:val="bottom"/>
            <w:hideMark/>
          </w:tcPr>
          <w:p w14:paraId="7E30DB3F" w14:textId="77777777" w:rsidR="00A37CBC" w:rsidRPr="00A37CBC" w:rsidRDefault="00A37CBC" w:rsidP="00A37CBC">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14.7</w:t>
            </w:r>
          </w:p>
        </w:tc>
      </w:tr>
    </w:tbl>
    <w:p w14:paraId="7AFACFFC" w14:textId="7C6D9F75" w:rsidR="00052F99" w:rsidRPr="001D674A" w:rsidRDefault="00052F99" w:rsidP="00052F99">
      <w:pPr>
        <w:rPr>
          <w:sz w:val="18"/>
          <w:szCs w:val="18"/>
        </w:rPr>
      </w:pPr>
      <w:r w:rsidRPr="001D674A">
        <w:rPr>
          <w:sz w:val="18"/>
          <w:szCs w:val="18"/>
        </w:rPr>
        <w:t>Source: ABS</w:t>
      </w:r>
    </w:p>
    <w:p w14:paraId="2F93FDC6" w14:textId="5C996C8D" w:rsidR="00052F99" w:rsidRPr="00052F99" w:rsidRDefault="00052F99" w:rsidP="00052F99">
      <w:r w:rsidRPr="00052F99">
        <w:t>There were substantial sex differences in the trends. The mor</w:t>
      </w:r>
      <w:r w:rsidR="00B85832">
        <w:t>t</w:t>
      </w:r>
      <w:r w:rsidRPr="00052F99">
        <w:t>ality increases were stronger for males, with an overall increase of 36% for males and 15% for females across the eleven years. The generally upward trend persisted over the eleven years for males only. Male suicide rates increased from 6.12 per 100 000 in 2009-2012 to 7.36 in 2013-2015 and 8.32 in 2016-2019, with a proportionate increase of 20% and 13%, respectively. In contrast, female suicide increased from 2.65 per 100 000 in 2009-2012 to 3.01 per 100 000 in 2013-2015, but did not change perceptibly afterwards and stayed at 3.04 per 100 000 in 2016-2019; the proportionate change was 14% and 1% in the respective sub-periods.</w:t>
      </w:r>
    </w:p>
    <w:p w14:paraId="5B7B707E" w14:textId="09EAB552" w:rsidR="00052F99" w:rsidRPr="00052F99" w:rsidRDefault="00052F99" w:rsidP="00052F99">
      <w:r w:rsidRPr="00052F99">
        <w:t>Age-specific suicide rates show similar sex-specific variations over time. From 2009-2012 to 2013-2015, male mortality increased by 69%, 24% and 19% at ages 0-14, 15-19 and 20-24 years, respectively. From 2013-2015 to 2016-2019, the corresponding increases were reduced to 25%, 17%, 12% respectively.</w:t>
      </w:r>
      <w:r w:rsidR="005E4E55">
        <w:t xml:space="preserve"> </w:t>
      </w:r>
      <w:r w:rsidRPr="00052F99">
        <w:t>In comparison, female suicide rates increased by 36%, 22% and 7% at the respective ages in the earlier years, but in the later years decreased by 16% at ages 0-14, and increased by 1% and 6% at ages 15-19 and 20-24, respectively.</w:t>
      </w:r>
    </w:p>
    <w:p w14:paraId="372281C6" w14:textId="03AB556D" w:rsidR="0010591B" w:rsidRDefault="001C782A" w:rsidP="00052F99">
      <w:r w:rsidRPr="001C782A">
        <w:t>Suicide rates in Table 3 were grouped across calendar years to reduce fluctuations. However, the annual rates (Figures 9 and 10) were consistent with a broad trend of mortality increases that continued at a smaller pace for males and halted for females from around 2013 onwards, except for an uptick in 2019.</w:t>
      </w:r>
    </w:p>
    <w:p w14:paraId="20CB7E8C" w14:textId="379FDDC7" w:rsidR="00052F99" w:rsidRDefault="00A50E7E" w:rsidP="00E443A1">
      <w:pPr>
        <w:keepNext/>
        <w:rPr>
          <w:b/>
        </w:rPr>
      </w:pPr>
      <w:r w:rsidRPr="00A50E7E">
        <w:rPr>
          <w:b/>
        </w:rPr>
        <w:lastRenderedPageBreak/>
        <w:t>Figure 9: Rates of suicide under age 25 years, Australia 2009-2019</w:t>
      </w:r>
    </w:p>
    <w:p w14:paraId="7CCE187B" w14:textId="1D7B4E44" w:rsidR="00E443A1" w:rsidRPr="00052F99" w:rsidRDefault="00512C76" w:rsidP="00052F99">
      <w:r>
        <w:rPr>
          <w:noProof/>
          <w:lang w:eastAsia="en-AU"/>
        </w:rPr>
        <w:drawing>
          <wp:inline distT="0" distB="0" distL="0" distR="0" wp14:anchorId="1E7640C6" wp14:editId="367B150F">
            <wp:extent cx="5759450" cy="3537585"/>
            <wp:effectExtent l="0" t="0" r="0" b="5715"/>
            <wp:docPr id="16" name="Picture 16" descr="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9.png"/>
                    <pic:cNvPicPr/>
                  </pic:nvPicPr>
                  <pic:blipFill>
                    <a:blip r:embed="rId25">
                      <a:extLst>
                        <a:ext uri="{28A0092B-C50C-407E-A947-70E740481C1C}">
                          <a14:useLocalDpi xmlns:a14="http://schemas.microsoft.com/office/drawing/2010/main" val="0"/>
                        </a:ext>
                      </a:extLst>
                    </a:blip>
                    <a:stretch>
                      <a:fillRect/>
                    </a:stretch>
                  </pic:blipFill>
                  <pic:spPr>
                    <a:xfrm>
                      <a:off x="0" y="0"/>
                      <a:ext cx="5759450" cy="3537585"/>
                    </a:xfrm>
                    <a:prstGeom prst="rect">
                      <a:avLst/>
                    </a:prstGeom>
                  </pic:spPr>
                </pic:pic>
              </a:graphicData>
            </a:graphic>
          </wp:inline>
        </w:drawing>
      </w:r>
    </w:p>
    <w:p w14:paraId="39C28844" w14:textId="77777777" w:rsidR="00052F99" w:rsidRPr="001D674A" w:rsidRDefault="00052F99" w:rsidP="00052F99">
      <w:pPr>
        <w:rPr>
          <w:sz w:val="18"/>
          <w:szCs w:val="18"/>
        </w:rPr>
      </w:pPr>
      <w:r w:rsidRPr="001D674A">
        <w:rPr>
          <w:sz w:val="18"/>
          <w:szCs w:val="18"/>
        </w:rPr>
        <w:t>Source: ABS</w:t>
      </w:r>
    </w:p>
    <w:p w14:paraId="2DC68AEF" w14:textId="283B4A77" w:rsidR="00052F99" w:rsidRDefault="00A50E7E" w:rsidP="00E443A1">
      <w:pPr>
        <w:pStyle w:val="Figuretitle"/>
      </w:pPr>
      <w:r w:rsidRPr="00A50E7E">
        <w:lastRenderedPageBreak/>
        <w:t>Figure 10: Age-specific rates of suicide, Australia 2009-2019</w:t>
      </w:r>
    </w:p>
    <w:p w14:paraId="1550AF14" w14:textId="3F268481" w:rsidR="00F33037" w:rsidRDefault="00512C76" w:rsidP="00052F99">
      <w:bookmarkStart w:id="49" w:name="_GoBack"/>
      <w:r>
        <w:rPr>
          <w:noProof/>
          <w:lang w:eastAsia="en-AU"/>
        </w:rPr>
        <w:drawing>
          <wp:inline distT="0" distB="0" distL="0" distR="0" wp14:anchorId="43B60D46" wp14:editId="2E576276">
            <wp:extent cx="5759450" cy="5759450"/>
            <wp:effectExtent l="0" t="0" r="0" b="0"/>
            <wp:docPr id="17" name="Picture 17" descr="3 line charts - 1-14 years, 15-19 years, 20-24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e10.png"/>
                    <pic:cNvPicPr/>
                  </pic:nvPicPr>
                  <pic:blipFill>
                    <a:blip r:embed="rId26">
                      <a:extLst>
                        <a:ext uri="{28A0092B-C50C-407E-A947-70E740481C1C}">
                          <a14:useLocalDpi xmlns:a14="http://schemas.microsoft.com/office/drawing/2010/main" val="0"/>
                        </a:ext>
                      </a:extLst>
                    </a:blip>
                    <a:stretch>
                      <a:fillRect/>
                    </a:stretch>
                  </pic:blipFill>
                  <pic:spPr>
                    <a:xfrm>
                      <a:off x="0" y="0"/>
                      <a:ext cx="5759450" cy="5759450"/>
                    </a:xfrm>
                    <a:prstGeom prst="rect">
                      <a:avLst/>
                    </a:prstGeom>
                  </pic:spPr>
                </pic:pic>
              </a:graphicData>
            </a:graphic>
          </wp:inline>
        </w:drawing>
      </w:r>
      <w:bookmarkEnd w:id="49"/>
    </w:p>
    <w:p w14:paraId="32B3F717" w14:textId="74DFF59C" w:rsidR="00FC0999" w:rsidRPr="00FC0999" w:rsidRDefault="00FC0999" w:rsidP="00052F99">
      <w:pPr>
        <w:rPr>
          <w:sz w:val="18"/>
          <w:szCs w:val="18"/>
        </w:rPr>
      </w:pPr>
      <w:r w:rsidRPr="00FC0999">
        <w:rPr>
          <w:sz w:val="18"/>
          <w:szCs w:val="18"/>
        </w:rPr>
        <w:t>Source: ABS</w:t>
      </w:r>
    </w:p>
    <w:p w14:paraId="34CCBFA0" w14:textId="50BE546D" w:rsidR="00052F99" w:rsidRPr="008F4BF3" w:rsidRDefault="009323D7" w:rsidP="00E443A1">
      <w:pPr>
        <w:pStyle w:val="Heading5"/>
      </w:pPr>
      <w:r w:rsidRPr="008F4BF3">
        <w:t>P</w:t>
      </w:r>
      <w:r w:rsidR="00052F99" w:rsidRPr="008F4BF3">
        <w:t>revalent users</w:t>
      </w:r>
      <w:r w:rsidR="00C65910">
        <w:t xml:space="preserve"> of antidepressants</w:t>
      </w:r>
    </w:p>
    <w:p w14:paraId="47E91CB1" w14:textId="62AEF52A" w:rsidR="0010591B" w:rsidRDefault="001C782A" w:rsidP="00052F99">
      <w:r w:rsidRPr="001C782A">
        <w:t>Rates of antidepressant dispensing in the PBS increased steadily from 3.3 per 100 in 2013 to 4.5 per 100 in 2019, with an average annual increase of 0.17 percentage points (Figure 11). Dispensing was higher for females than males, but increased over time for both sexes: from 2.4 to 3.3 per 100 for males and from 4.2 to 5.7 per 100 for females. The increase was smooth over time, with an annual change of 0.14 and 0.21 percentage points for males and females respectively. Age-specific dispensing rates also increased similarly for males and females (Figure</w:t>
      </w:r>
      <w:r>
        <w:t> </w:t>
      </w:r>
      <w:r w:rsidRPr="001C782A">
        <w:t>12).</w:t>
      </w:r>
    </w:p>
    <w:p w14:paraId="0EB4C761" w14:textId="41D94998" w:rsidR="00052F99" w:rsidRPr="00052F99" w:rsidRDefault="00052F99" w:rsidP="00052F99">
      <w:r w:rsidRPr="00052F99">
        <w:t xml:space="preserve">SSRIs took up the majority of </w:t>
      </w:r>
      <w:r w:rsidR="009D7C53">
        <w:t>antidepressant</w:t>
      </w:r>
      <w:r w:rsidRPr="00052F99">
        <w:t xml:space="preserve"> use, increasing from about two-thirds in 2013 to three-fourths of all </w:t>
      </w:r>
      <w:r w:rsidR="009D7C53">
        <w:t>antidepressant</w:t>
      </w:r>
      <w:r w:rsidR="00E41406">
        <w:t xml:space="preserve"> dispensing in 2019</w:t>
      </w:r>
      <w:r w:rsidR="00AE161F">
        <w:t xml:space="preserve"> (see Appendix 4)</w:t>
      </w:r>
      <w:r w:rsidRPr="00052F99">
        <w:t xml:space="preserve">. The share of the SSRIs was largest in the youngest ages, decreasing from 88% at ages 0-14 to 68% of all </w:t>
      </w:r>
      <w:r w:rsidR="009D7C53">
        <w:t>antidepressant</w:t>
      </w:r>
      <w:r w:rsidR="00E41406">
        <w:t>s at ages 20-24 in 2019</w:t>
      </w:r>
      <w:r w:rsidR="00AE161F">
        <w:t xml:space="preserve"> (see Appendix 5)</w:t>
      </w:r>
      <w:r w:rsidRPr="00052F99">
        <w:t xml:space="preserve">. There were no notable sex differences in the distribution of </w:t>
      </w:r>
      <w:r w:rsidR="009D7C53">
        <w:t>antidepressant</w:t>
      </w:r>
      <w:r w:rsidR="00AE161F">
        <w:t xml:space="preserve"> medication classes</w:t>
      </w:r>
      <w:r w:rsidR="00E41406">
        <w:t>.</w:t>
      </w:r>
    </w:p>
    <w:p w14:paraId="7ACD6947" w14:textId="20F14BBE" w:rsidR="00052F99" w:rsidRPr="009323D7" w:rsidRDefault="00052F99" w:rsidP="00E443A1">
      <w:pPr>
        <w:pStyle w:val="Figuretitle"/>
      </w:pPr>
      <w:r w:rsidRPr="009323D7">
        <w:lastRenderedPageBreak/>
        <w:t xml:space="preserve">Figure </w:t>
      </w:r>
      <w:r w:rsidR="001C782A">
        <w:t>11</w:t>
      </w:r>
      <w:r w:rsidRPr="009323D7">
        <w:t xml:space="preserve">: Rates of </w:t>
      </w:r>
      <w:r w:rsidR="009D7C53">
        <w:t>a</w:t>
      </w:r>
      <w:r w:rsidRPr="009323D7">
        <w:t>ntidepressant dispensing, under age 25 years, Australia 2013-2019</w:t>
      </w:r>
    </w:p>
    <w:p w14:paraId="354CCCAB" w14:textId="77777777" w:rsidR="00052F99" w:rsidRPr="00052F99" w:rsidRDefault="00052F99" w:rsidP="00052F99">
      <w:r w:rsidRPr="00052F99">
        <w:rPr>
          <w:noProof/>
          <w:lang w:eastAsia="en-AU"/>
        </w:rPr>
        <w:drawing>
          <wp:inline distT="0" distB="0" distL="0" distR="0" wp14:anchorId="7422236B" wp14:editId="11FBE0A8">
            <wp:extent cx="5731510" cy="3521075"/>
            <wp:effectExtent l="0" t="0" r="2540" b="3175"/>
            <wp:docPr id="7" name="Picture 7" descr="Lin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tepbs_024.png"/>
                    <pic:cNvPicPr/>
                  </pic:nvPicPr>
                  <pic:blipFill>
                    <a:blip r:embed="rId27">
                      <a:extLst>
                        <a:ext uri="{28A0092B-C50C-407E-A947-70E740481C1C}">
                          <a14:useLocalDpi xmlns:a14="http://schemas.microsoft.com/office/drawing/2010/main" val="0"/>
                        </a:ext>
                      </a:extLst>
                    </a:blip>
                    <a:stretch>
                      <a:fillRect/>
                    </a:stretch>
                  </pic:blipFill>
                  <pic:spPr>
                    <a:xfrm>
                      <a:off x="0" y="0"/>
                      <a:ext cx="5731510" cy="3521075"/>
                    </a:xfrm>
                    <a:prstGeom prst="rect">
                      <a:avLst/>
                    </a:prstGeom>
                  </pic:spPr>
                </pic:pic>
              </a:graphicData>
            </a:graphic>
          </wp:inline>
        </w:drawing>
      </w:r>
    </w:p>
    <w:p w14:paraId="5E5489F8" w14:textId="77777777" w:rsidR="00052F99" w:rsidRPr="001D674A" w:rsidRDefault="00052F99" w:rsidP="00052F99">
      <w:pPr>
        <w:rPr>
          <w:sz w:val="18"/>
          <w:szCs w:val="18"/>
        </w:rPr>
      </w:pPr>
      <w:r w:rsidRPr="001D674A">
        <w:rPr>
          <w:sz w:val="18"/>
          <w:szCs w:val="18"/>
        </w:rPr>
        <w:t>Source: ABS; PBS</w:t>
      </w:r>
    </w:p>
    <w:p w14:paraId="1D7CBA85" w14:textId="63D6BD37" w:rsidR="00052F99" w:rsidRPr="00A37CBC" w:rsidRDefault="00052F99" w:rsidP="00E443A1">
      <w:pPr>
        <w:pStyle w:val="Figuretitle"/>
      </w:pPr>
      <w:r w:rsidRPr="00A37CBC">
        <w:lastRenderedPageBreak/>
        <w:t xml:space="preserve">Figure </w:t>
      </w:r>
      <w:r w:rsidR="001C782A">
        <w:t>12</w:t>
      </w:r>
      <w:r w:rsidRPr="00A37CBC">
        <w:t>: Age-specific rates of antidepressant dispensing, Australia 2013-2019</w:t>
      </w:r>
    </w:p>
    <w:p w14:paraId="550C3909" w14:textId="77777777" w:rsidR="00052F99" w:rsidRPr="00052F99" w:rsidRDefault="00052F99" w:rsidP="00052F99">
      <w:pPr>
        <w:rPr>
          <w:b/>
        </w:rPr>
      </w:pPr>
      <w:r w:rsidRPr="00052F99">
        <w:rPr>
          <w:noProof/>
          <w:lang w:eastAsia="en-AU"/>
        </w:rPr>
        <w:drawing>
          <wp:inline distT="0" distB="0" distL="0" distR="0" wp14:anchorId="41BEFFDC" wp14:editId="1CDCFE5D">
            <wp:extent cx="5731510" cy="5731510"/>
            <wp:effectExtent l="0" t="0" r="2540" b="2540"/>
            <wp:docPr id="15" name="Picture 15" descr="3 line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tepbs_age.png"/>
                    <pic:cNvPicPr/>
                  </pic:nvPicPr>
                  <pic:blipFill>
                    <a:blip r:embed="rId28">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50F4FB5D" w14:textId="77777777" w:rsidR="00052F99" w:rsidRPr="001D674A" w:rsidRDefault="00052F99" w:rsidP="00052F99">
      <w:pPr>
        <w:rPr>
          <w:sz w:val="18"/>
          <w:szCs w:val="18"/>
        </w:rPr>
      </w:pPr>
      <w:r w:rsidRPr="001D674A">
        <w:rPr>
          <w:sz w:val="18"/>
          <w:szCs w:val="18"/>
        </w:rPr>
        <w:t>Source: ABS; PBS</w:t>
      </w:r>
    </w:p>
    <w:p w14:paraId="2ACC8210" w14:textId="07487E7C" w:rsidR="00052F99" w:rsidRPr="008F4BF3" w:rsidRDefault="00A37CBC" w:rsidP="00E443A1">
      <w:pPr>
        <w:pStyle w:val="Heading5"/>
      </w:pPr>
      <w:r w:rsidRPr="008F4BF3">
        <w:t>I</w:t>
      </w:r>
      <w:r w:rsidR="00052F99" w:rsidRPr="008F4BF3">
        <w:t>ncident users and type of prescribers</w:t>
      </w:r>
    </w:p>
    <w:p w14:paraId="251E07AB" w14:textId="77777777" w:rsidR="003924A9" w:rsidRDefault="003924A9" w:rsidP="003924A9">
      <w:r>
        <w:t>Over the five years between 2015 and 2019, a total of 211,534 children and adolescents aged 5-17 years received their first-ever prescriptions of PBS-subsidised antidepressants, increasing from 37,711 to 47,531 incident uses annually (see Appendix 6). One third of the first antidepressant dispensings were prescribed by a paediatrician or psychiatrist (15% and 18%, respectively). The proportion of paediatrician/psychiatrist prescribers increased from 30% in 2015 to 33% in 2019, but decreased from 70% in those aged 5-11 years to 40% in those aged 12-14 and 17% in those aged 15-17. Paediatrician/psychiatrist prescribing was higher for boys than girls (43% vs. 25%), for patients residing in major cities than in very remote areas (35% vs. 19%), and for patients in areas that are more socioeconomically advantageous (43% in the top decile vs. 28% in the bottom decile of the Index for Relative Socioeconomic Advantage and Disadvantage or IRSAD, a area-level measure of socioeconomic status).</w:t>
      </w:r>
    </w:p>
    <w:p w14:paraId="0C190364" w14:textId="327DD404" w:rsidR="003924A9" w:rsidRDefault="003924A9" w:rsidP="003924A9">
      <w:pPr>
        <w:keepLines/>
      </w:pPr>
      <w:r>
        <w:lastRenderedPageBreak/>
        <w:t>Two linear probability models of prescribing by paediatricians/psychiatrists vs. others were estimated (see Appendix 7). Under Model 1, specialist prescribing was inversely associated with geographic remoteness and age, but increased over time and was higher for boys. Compared with those living in major cities, the percentage of paediatrician/psychiatrist prescribing was lower by 7 percentage points in inner regional areas,10 points in outer regional areas, 8 points in remote areas and 14 points in very remote areas, all else being equal. All estimates were statistically significant.</w:t>
      </w:r>
    </w:p>
    <w:p w14:paraId="36A3C5C1" w14:textId="7A4DA6C2" w:rsidR="003924A9" w:rsidRDefault="003924A9" w:rsidP="003924A9">
      <w:r>
        <w:t>Under Model 2, statistical adjustment for the IRSAD deciles had no notable impact on age, sex or time differences in specialist prescribing. However, socioeconomic conditions explained part of the association between remoteness and specialist prescribing. After adjusting for deciles of the socio-economic index, variations across remoteness areas in the proportion of specialist prescribing were reduced but remained statistically significant. Relative to patients in major cities, the IRSAD-adjusted percentage of paediatrician/psychiatrist prescribing was lower by 3 percentage points in inner regional areas, 6 points in outer regional areas, 5 points in remote areas and 10 points in very remote areas, all else being equal. The proportionate reduction in percentage differences was larger for the comparison of major cities with the two regional areas and smallest for the comparison with the very remote areas. These results suggest that in addition to material and social resources, physical distance itself could be a significant barrier to accessing specialist care for paediatric mental health conditions; this is particularly the case in Australia’s very remote areas.</w:t>
      </w:r>
    </w:p>
    <w:p w14:paraId="648F323D" w14:textId="43E66052" w:rsidR="00052F99" w:rsidRDefault="003924A9" w:rsidP="003924A9">
      <w:r>
        <w:t>In 2019, for girls aged 5-11 years living in areas that were in the top decile of the IRSAD index, the proportion of having the first antidepressant prescription written by a paediatrician/psychiatrist was 75% in major cities, 72% in inner regional areas, 69% in outer regional areas, 70% in outer regional areas and 65% in very remote areas. These proportions specific to each of the five remoteness areas would increase by 10 percentage points for boys, and decrease by 27 percentage points for patients aged 12-14 years and by 49 points for patients aged 15-17 years and by 13 points if the IRSAD index was in the bottom decile. The annual increase in specialist initiation of antidepressant treatment was 0.4 percentage points.</w:t>
      </w:r>
    </w:p>
    <w:p w14:paraId="51D9017D" w14:textId="6354F347" w:rsidR="00C65910" w:rsidRPr="00463F02" w:rsidRDefault="00463F02" w:rsidP="00E443A1">
      <w:pPr>
        <w:pStyle w:val="Heading5"/>
      </w:pPr>
      <w:r>
        <w:t>Summary</w:t>
      </w:r>
    </w:p>
    <w:p w14:paraId="245DD489" w14:textId="22A26B3B" w:rsidR="00C65910" w:rsidRDefault="00C65910" w:rsidP="00C65910">
      <w:r>
        <w:t>Antidepressant</w:t>
      </w:r>
      <w:r w:rsidRPr="00052F99">
        <w:t xml:space="preserve"> use in young Australians has increased steadily over time, and the increase and patterning of</w:t>
      </w:r>
      <w:r>
        <w:t xml:space="preserve"> antidepressant</w:t>
      </w:r>
      <w:r w:rsidRPr="00052F99">
        <w:t xml:space="preserve"> classes were similar between the sexes. </w:t>
      </w:r>
      <w:r w:rsidR="004A4E77">
        <w:t>There are higher rates of antidepressant prescribing to girls/women aged 15-24, but high</w:t>
      </w:r>
      <w:r w:rsidR="00783106">
        <w:t>er rates of prescribing to boys</w:t>
      </w:r>
      <w:r w:rsidR="004A4E77">
        <w:t xml:space="preserve"> aged 0-14. It is possible that </w:t>
      </w:r>
      <w:r w:rsidR="00783106">
        <w:t xml:space="preserve">the gender differences in </w:t>
      </w:r>
      <w:r w:rsidR="004A4E77">
        <w:t xml:space="preserve">antidepressant prescribing in this younger </w:t>
      </w:r>
      <w:r w:rsidR="00783106">
        <w:t>age group are</w:t>
      </w:r>
      <w:r w:rsidR="004A4E77">
        <w:t xml:space="preserve"> related to treatment of neurodevelopmental disorders such as attention</w:t>
      </w:r>
      <w:r w:rsidR="00783106">
        <w:t>-deficit/hyperactivity disorder,</w:t>
      </w:r>
      <w:r w:rsidR="004A4E77">
        <w:t xml:space="preserve"> which are more prevalent in boys</w:t>
      </w:r>
      <w:r w:rsidR="00783106">
        <w:t>.</w:t>
      </w:r>
      <w:r w:rsidR="00783106">
        <w:rPr>
          <w:vertAlign w:val="superscript"/>
        </w:rPr>
        <w:t>16</w:t>
      </w:r>
      <w:r w:rsidR="004A4E77">
        <w:t xml:space="preserve"> </w:t>
      </w:r>
      <w:r w:rsidRPr="00052F99">
        <w:t xml:space="preserve">In contrast, suicide mortality increased for males but not </w:t>
      </w:r>
      <w:r w:rsidR="00684E96">
        <w:t xml:space="preserve">as </w:t>
      </w:r>
      <w:r w:rsidRPr="00052F99">
        <w:t xml:space="preserve">noticeably for females in recent years. Overall, the </w:t>
      </w:r>
      <w:r w:rsidR="00852520">
        <w:t xml:space="preserve">differences in </w:t>
      </w:r>
      <w:r w:rsidRPr="00052F99">
        <w:t>mortality and</w:t>
      </w:r>
      <w:r>
        <w:t xml:space="preserve"> PBS</w:t>
      </w:r>
      <w:r w:rsidRPr="00052F99">
        <w:t xml:space="preserve"> dispensing statistics </w:t>
      </w:r>
      <w:r w:rsidR="00852520">
        <w:t xml:space="preserve">between males and females, and between different age groups, demonstrate that the trends are not completely aligned, and therefore </w:t>
      </w:r>
      <w:r w:rsidRPr="00052F99">
        <w:t xml:space="preserve">do not support a consistent association between rising </w:t>
      </w:r>
      <w:r>
        <w:t>antidepressant</w:t>
      </w:r>
      <w:r w:rsidRPr="00052F99">
        <w:t xml:space="preserve"> use and rising suicide risk. The majority of </w:t>
      </w:r>
      <w:r>
        <w:t>antidepressant</w:t>
      </w:r>
      <w:r w:rsidRPr="00052F99">
        <w:t xml:space="preserve"> treatment in children and adolescents was initiated by </w:t>
      </w:r>
      <w:r>
        <w:t>GPs</w:t>
      </w:r>
      <w:r w:rsidRPr="00052F99">
        <w:t xml:space="preserve">. The </w:t>
      </w:r>
      <w:r>
        <w:t>prescriber type (GP</w:t>
      </w:r>
      <w:r w:rsidRPr="00052F99">
        <w:t xml:space="preserve"> vs. </w:t>
      </w:r>
      <w:r>
        <w:t>non-GP specialist) for the first PBS script identified</w:t>
      </w:r>
      <w:r w:rsidRPr="00052F99">
        <w:t xml:space="preserve"> varied across population subgroups and geographic areas. </w:t>
      </w:r>
      <w:r w:rsidR="00783106">
        <w:t xml:space="preserve">There are also gender differences in the prescriber type for the first antidepressant script with boys more likely to be first prescribed antidepressants by a specialist. </w:t>
      </w:r>
      <w:r>
        <w:t>High</w:t>
      </w:r>
      <w:r w:rsidR="00790AA7">
        <w:t>er rates of initiation by GPs are</w:t>
      </w:r>
      <w:r>
        <w:t xml:space="preserve"> consistent with the </w:t>
      </w:r>
      <w:r w:rsidRPr="00052F99">
        <w:t xml:space="preserve">key role </w:t>
      </w:r>
      <w:r>
        <w:t xml:space="preserve">that they play </w:t>
      </w:r>
      <w:r w:rsidRPr="00052F99">
        <w:t>in the assessment and management of paediatric mental health problems, in particular</w:t>
      </w:r>
      <w:r>
        <w:t>,</w:t>
      </w:r>
      <w:r w:rsidRPr="00052F99">
        <w:t xml:space="preserve"> in areas with </w:t>
      </w:r>
      <w:r>
        <w:t xml:space="preserve">access to </w:t>
      </w:r>
      <w:r w:rsidRPr="00052F99">
        <w:t>fewer social and economic resources.</w:t>
      </w:r>
    </w:p>
    <w:p w14:paraId="620A4655" w14:textId="04FB48CC" w:rsidR="00F1391C" w:rsidRDefault="00E443A1" w:rsidP="00E443A1">
      <w:pPr>
        <w:pStyle w:val="Heading4"/>
      </w:pPr>
      <w:bookmarkStart w:id="50" w:name="_Toc57132534"/>
      <w:bookmarkStart w:id="51" w:name="_Toc70418953"/>
      <w:r w:rsidRPr="00E443A1">
        <w:lastRenderedPageBreak/>
        <w:t>3.2.5</w:t>
      </w:r>
      <w:r>
        <w:t xml:space="preserve"> </w:t>
      </w:r>
      <w:r w:rsidR="00F20353">
        <w:t>ACM</w:t>
      </w:r>
      <w:r w:rsidR="00F1391C">
        <w:t xml:space="preserve"> advice</w:t>
      </w:r>
      <w:r w:rsidR="00F20353">
        <w:t xml:space="preserve"> on strength of the current evidence</w:t>
      </w:r>
      <w:bookmarkEnd w:id="50"/>
      <w:bookmarkEnd w:id="51"/>
    </w:p>
    <w:p w14:paraId="7D0EEAB1" w14:textId="77777777" w:rsidR="00997016" w:rsidRDefault="00997016" w:rsidP="00997016">
      <w:pPr>
        <w:keepLines/>
      </w:pPr>
      <w:r>
        <w:t>The TGA sought advice from the ACM on 7 August 2020 on the current role of SSRIs and SNRIs in clinical practice in Australia for treating psychiatric disorders and developmental disorders in children, adolescents and young adults, the strength of the current evidence for an association between use of antidepressants and rates of youth suicide in Australia, and whether additional risk minimisation measures are warranted and would be effective to address any potential risk of suicide amongst children, adolescents and young adults prescribed SSRIs or SNRIs.</w:t>
      </w:r>
    </w:p>
    <w:p w14:paraId="404E759F" w14:textId="77777777" w:rsidR="00997016" w:rsidRDefault="00997016" w:rsidP="00997016">
      <w:r>
        <w:t>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 Membership comprises of professionals with specific scientific, medical or clinical expertise, as well as appropriate consumer health issues relating to medicines.</w:t>
      </w:r>
      <w:r w:rsidRPr="008B2E7B">
        <w:rPr>
          <w:vertAlign w:val="superscript"/>
        </w:rPr>
        <w:t>40</w:t>
      </w:r>
      <w:r>
        <w:t xml:space="preserve"> In addition to a psychiatrist who is a permanent member of the ACM, two additional experts nominated by the ACM Chair were invited to respond to the TGA’s questions. The two invited experts were a Paediatrician/Associate Professor in Paediatrics and a Child and Adolescent Psychiatrist/Public Health Physician.</w:t>
      </w:r>
    </w:p>
    <w:p w14:paraId="1D032F34" w14:textId="77777777" w:rsidR="00997016" w:rsidRDefault="00997016" w:rsidP="00997016">
      <w:r>
        <w:t>The ACM acknowledged that clinical worsening of depression and suicidal thoughts is a recognised and well-known risk observed in clinical trials of antidepressant medicines and can occur in a small number of patients during the early phases of treatment.</w:t>
      </w:r>
    </w:p>
    <w:p w14:paraId="7C6E8369" w14:textId="1E369A96" w:rsidR="00F1391C" w:rsidRPr="00E07F95" w:rsidRDefault="00997016" w:rsidP="00997016">
      <w:r>
        <w:t>The ACM discussed the information presented in the paper by Whitely, et al.,</w:t>
      </w:r>
      <w:r w:rsidRPr="00997016">
        <w:rPr>
          <w:vertAlign w:val="superscript"/>
        </w:rPr>
        <w:t>1</w:t>
      </w:r>
      <w:r>
        <w:t xml:space="preserve"> and highlighted that:</w:t>
      </w:r>
    </w:p>
    <w:p w14:paraId="017824D6" w14:textId="77777777" w:rsidR="00997016" w:rsidRDefault="00997016" w:rsidP="00997016">
      <w:pPr>
        <w:pStyle w:val="ListBullet"/>
      </w:pPr>
      <w:r>
        <w:t>Confounding by the condition being treated (known as confounding by indication) remains an unresolved issue when interpreting data of this type.</w:t>
      </w:r>
    </w:p>
    <w:p w14:paraId="7929D47F" w14:textId="77777777" w:rsidR="00997016" w:rsidRDefault="00997016" w:rsidP="00997016">
      <w:pPr>
        <w:pStyle w:val="ListBullet"/>
      </w:pPr>
      <w:r>
        <w:t>Correlation does not prove causation.</w:t>
      </w:r>
    </w:p>
    <w:p w14:paraId="3C3FA54D" w14:textId="2F060167" w:rsidR="00F1391C" w:rsidRPr="00E07F95" w:rsidRDefault="00997016" w:rsidP="00997016">
      <w:pPr>
        <w:pStyle w:val="ListBullet"/>
      </w:pPr>
      <w:r>
        <w:t>Suicide is a complex outcome with many factors affecting the mental health of children and adolescents, including family dynamics, school and social dynamics, drug and alcohol use, social media and gaming use.</w:t>
      </w:r>
    </w:p>
    <w:p w14:paraId="61A57424" w14:textId="77777777" w:rsidR="00997016" w:rsidRDefault="00997016" w:rsidP="00997016">
      <w:r>
        <w:t>The ACM did not support the authors’ interpretation of a possible causal relationship between the dispensing of antidepressants on the PBS and rates of youth suicide in Australia.</w:t>
      </w:r>
    </w:p>
    <w:p w14:paraId="082A40E6" w14:textId="2365823D" w:rsidR="00216A76" w:rsidRPr="00E07F95" w:rsidRDefault="00997016" w:rsidP="00997016">
      <w:r>
        <w:t>The ACM advised that there is a valid and important role for SSRIs and SNRIs in current clinical practice in treating moderate-to-severe depression in children and adolescents, supported by professional guidelines.</w:t>
      </w:r>
    </w:p>
    <w:p w14:paraId="67AEAC39" w14:textId="0FBB2F80" w:rsidR="00F1391C" w:rsidRDefault="00E443A1" w:rsidP="00E443A1">
      <w:pPr>
        <w:pStyle w:val="Heading3"/>
      </w:pPr>
      <w:bookmarkStart w:id="52" w:name="_Toc57132535"/>
      <w:bookmarkStart w:id="53" w:name="_Toc70418954"/>
      <w:r>
        <w:t>3.</w:t>
      </w:r>
      <w:r w:rsidR="009E6B64">
        <w:t>3</w:t>
      </w:r>
      <w:r>
        <w:t xml:space="preserve"> </w:t>
      </w:r>
      <w:r w:rsidR="00F1391C">
        <w:t>Are current risk minimisation measure</w:t>
      </w:r>
      <w:r w:rsidR="003A059D">
        <w:t>s</w:t>
      </w:r>
      <w:r w:rsidR="00F1391C">
        <w:t xml:space="preserve"> </w:t>
      </w:r>
      <w:r w:rsidR="003A059D">
        <w:t>adequate</w:t>
      </w:r>
      <w:r w:rsidR="00F1391C">
        <w:t>?</w:t>
      </w:r>
      <w:bookmarkEnd w:id="52"/>
      <w:bookmarkEnd w:id="53"/>
    </w:p>
    <w:p w14:paraId="41038FFC" w14:textId="53B789D2" w:rsidR="00F1391C" w:rsidRPr="008F4BF3" w:rsidRDefault="00E443A1" w:rsidP="00E443A1">
      <w:pPr>
        <w:pStyle w:val="Heading4"/>
      </w:pPr>
      <w:bookmarkStart w:id="54" w:name="_Toc508706736"/>
      <w:bookmarkStart w:id="55" w:name="_Toc57132536"/>
      <w:bookmarkStart w:id="56" w:name="_Toc70418955"/>
      <w:r>
        <w:t xml:space="preserve">3.3.1 </w:t>
      </w:r>
      <w:r w:rsidR="00B635CD">
        <w:t>Efficacy of r</w:t>
      </w:r>
      <w:r w:rsidR="00F1391C" w:rsidRPr="008F4BF3">
        <w:t xml:space="preserve">isk </w:t>
      </w:r>
      <w:r w:rsidR="00463F02">
        <w:t>minimisation</w:t>
      </w:r>
      <w:r w:rsidR="00F1391C" w:rsidRPr="008F4BF3">
        <w:t xml:space="preserve"> in Australia to date</w:t>
      </w:r>
      <w:bookmarkEnd w:id="54"/>
      <w:bookmarkEnd w:id="55"/>
      <w:bookmarkEnd w:id="56"/>
    </w:p>
    <w:p w14:paraId="634EAB55" w14:textId="77777777" w:rsidR="009E6B64" w:rsidRPr="009E6B64" w:rsidRDefault="009E6B64" w:rsidP="009E6B64">
      <w:pPr>
        <w:pStyle w:val="Default"/>
        <w:rPr>
          <w:rFonts w:ascii="Cambria" w:hAnsi="Cambria" w:cs="Times New Roman"/>
          <w:color w:val="auto"/>
          <w:sz w:val="22"/>
          <w:szCs w:val="20"/>
          <w:lang w:eastAsia="en-US"/>
        </w:rPr>
      </w:pPr>
      <w:r w:rsidRPr="009E6B64">
        <w:rPr>
          <w:rFonts w:ascii="Cambria" w:hAnsi="Cambria" w:cs="Times New Roman"/>
          <w:color w:val="auto"/>
          <w:sz w:val="22"/>
          <w:szCs w:val="20"/>
          <w:lang w:eastAsia="en-US"/>
        </w:rPr>
        <w:t xml:space="preserve">The TGA has published a number of communications since 2004 with the aim of educating prescribers and the general public about the increased risk of suicidality observed in clinical trials, the need to ensure treatment of mood disorders in children is consistent with clinical guidelines, and to underscore the importance of monitoring patients when they commence treatment with an antidepressant for worsening of the condition and emerging suicidality. </w:t>
      </w:r>
    </w:p>
    <w:p w14:paraId="5C0FD6AF" w14:textId="77777777" w:rsidR="009E6B64" w:rsidRPr="009E6B64" w:rsidRDefault="009E6B64" w:rsidP="009E6B64">
      <w:pPr>
        <w:pStyle w:val="Default"/>
        <w:rPr>
          <w:rFonts w:ascii="Cambria" w:hAnsi="Cambria" w:cs="Times New Roman"/>
          <w:color w:val="auto"/>
          <w:sz w:val="22"/>
          <w:szCs w:val="20"/>
          <w:lang w:eastAsia="en-US"/>
        </w:rPr>
      </w:pPr>
      <w:r w:rsidRPr="009E6B64">
        <w:rPr>
          <w:rFonts w:ascii="Cambria" w:hAnsi="Cambria" w:cs="Times New Roman"/>
          <w:color w:val="auto"/>
          <w:sz w:val="22"/>
          <w:szCs w:val="20"/>
          <w:lang w:eastAsia="en-US"/>
        </w:rPr>
        <w:t>Other organisations such as NPS MedicineWise, with which the TGA works closely to amplify and align risk communications, have published editorials in the Australian Prescriber publication to further promulgate messaging about appropriate treatment of depression in children and adolescents, and the need to monitor closely for clinical worsening or emergent suicidality.</w:t>
      </w:r>
    </w:p>
    <w:p w14:paraId="66ABEC9C" w14:textId="77777777" w:rsidR="009E6B64" w:rsidRPr="009E6B64" w:rsidRDefault="009E6B64" w:rsidP="009E6B64">
      <w:r w:rsidRPr="009E6B64">
        <w:lastRenderedPageBreak/>
        <w:t>As outlined above in section 2.3, the RANZCP clinical practice guidelines for mood disorders offer medical practitioners practical advice on risk mitigation in relation to prescribing for children and adolescents with psychiatric disorders.</w:t>
      </w:r>
      <w:r w:rsidRPr="009E6B64">
        <w:rPr>
          <w:vertAlign w:val="superscript"/>
        </w:rPr>
        <w:t>18</w:t>
      </w:r>
      <w:r w:rsidRPr="009E6B64">
        <w:t xml:space="preserve"> These guidelines outline that while some therapies may be effective for the treatment of mood disorders they are yet to receive approval for such use in Australia and as such are used ‘off-label’. The RANZCP recommends that practitioners carefully document any clinical decision to use therapeutic agents outside of their registered indications, and specifically outline that this issue should be explained to patients. In addition to this warning, the RANZCP advises clinicians that, “</w:t>
      </w:r>
      <w:r w:rsidRPr="009E6B64">
        <w:rPr>
          <w:i/>
        </w:rPr>
        <w:t>children and adolescents prescribed antidepressants must be closely monitored for emergent suicidality, hostility, agitation, mania, and unusual changes in behaviour</w:t>
      </w:r>
      <w:r w:rsidRPr="009E6B64">
        <w:t>”.</w:t>
      </w:r>
      <w:r w:rsidRPr="009E6B64">
        <w:rPr>
          <w:vertAlign w:val="superscript"/>
        </w:rPr>
        <w:t>18</w:t>
      </w:r>
    </w:p>
    <w:p w14:paraId="6CA1123B" w14:textId="77777777" w:rsidR="009E6B64" w:rsidRPr="009E6B64" w:rsidRDefault="009E6B64" w:rsidP="009E6B64">
      <w:r w:rsidRPr="009E6B64">
        <w:t>Formal evaluation of the impact of antidepressant PI updates about clinical worsening and suicidality has not been undertaken. Issues with the way PBS data was collected prior to 2012 made it difficult to obtain accurate information about the extent of antidepressant prescribing.</w:t>
      </w:r>
    </w:p>
    <w:p w14:paraId="013D2B69" w14:textId="7A456168" w:rsidR="00A570E1" w:rsidRPr="008A5DB8" w:rsidRDefault="009E6B64" w:rsidP="009E6B64">
      <w:pPr>
        <w:rPr>
          <w:rFonts w:asciiTheme="minorHAnsi" w:hAnsiTheme="minorHAnsi"/>
          <w:color w:val="231F20"/>
          <w:szCs w:val="22"/>
        </w:rPr>
      </w:pPr>
      <w:r w:rsidRPr="009E6B64">
        <w:t>Evaluation of regulatory changes made in other countries has resulted in inconsistent findings. There is disagreement in the published literature about the impact of the FDA black box warning on patients. Some researchers have attributed a rise in suicide rates in the US following the black box warning to decreased use of antidepressants secondary to widespread media concern generated by the FDA’s actions.</w:t>
      </w:r>
      <w:r w:rsidRPr="009E6B64">
        <w:rPr>
          <w:vertAlign w:val="superscript"/>
        </w:rPr>
        <w:t>41</w:t>
      </w:r>
      <w:r w:rsidRPr="009E6B64">
        <w:t xml:space="preserve"> This hypothesis has been criticised for relying on ecological data, from which causal inference cannot be made.</w:t>
      </w:r>
      <w:r w:rsidRPr="009E6B64">
        <w:rPr>
          <w:vertAlign w:val="superscript"/>
        </w:rPr>
        <w:t>42</w:t>
      </w:r>
    </w:p>
    <w:p w14:paraId="53C49D2D" w14:textId="1E13ECAF" w:rsidR="00F1391C" w:rsidRPr="00F4503D" w:rsidRDefault="005614F5" w:rsidP="00E443A1">
      <w:pPr>
        <w:pStyle w:val="Heading4"/>
      </w:pPr>
      <w:bookmarkStart w:id="57" w:name="_Toc57132537"/>
      <w:bookmarkStart w:id="58" w:name="_Toc70418956"/>
      <w:r>
        <w:t>3</w:t>
      </w:r>
      <w:r w:rsidR="00E443A1">
        <w:t xml:space="preserve">.3.2 </w:t>
      </w:r>
      <w:r w:rsidR="00F1391C" w:rsidRPr="00F4503D">
        <w:t>A</w:t>
      </w:r>
      <w:r w:rsidR="00F20353">
        <w:t>CM advice on adequacy of current risk minimisation measures</w:t>
      </w:r>
      <w:bookmarkEnd w:id="57"/>
      <w:bookmarkEnd w:id="58"/>
    </w:p>
    <w:p w14:paraId="58F3B33E" w14:textId="497FFE85" w:rsidR="00F4503D" w:rsidRDefault="006F28EE" w:rsidP="00F4503D">
      <w:r>
        <w:t xml:space="preserve">In addition to considering the </w:t>
      </w:r>
      <w:r w:rsidRPr="006F28EE">
        <w:t>strength of current evidence for an association between antidepressants and youth suicide</w:t>
      </w:r>
      <w:r>
        <w:t>,</w:t>
      </w:r>
      <w:r w:rsidRPr="006F28EE">
        <w:t xml:space="preserve"> </w:t>
      </w:r>
      <w:r>
        <w:t>t</w:t>
      </w:r>
      <w:r w:rsidR="00F4503D">
        <w:t xml:space="preserve">he ACM </w:t>
      </w:r>
      <w:r>
        <w:t xml:space="preserve">considered the adequacy of existing risk minimisation measures. The ACM </w:t>
      </w:r>
      <w:r w:rsidR="00F4503D">
        <w:t>highlighted that the</w:t>
      </w:r>
      <w:r w:rsidR="00F4503D" w:rsidRPr="00E07F95">
        <w:t xml:space="preserve"> TGA approved PI documents for antidepressa</w:t>
      </w:r>
      <w:r w:rsidR="00F4503D">
        <w:t>nts include warnings about the</w:t>
      </w:r>
      <w:r w:rsidR="00F4503D" w:rsidRPr="00E07F95">
        <w:t xml:space="preserve"> risks </w:t>
      </w:r>
      <w:r w:rsidR="00F4503D">
        <w:t>of c</w:t>
      </w:r>
      <w:r w:rsidR="00F4503D" w:rsidRPr="00E07F95">
        <w:t>linical worsening of depression and suicidal thoughts and specifically mention children,</w:t>
      </w:r>
      <w:r w:rsidR="00F4503D">
        <w:t xml:space="preserve"> adolescents and young adults and that t</w:t>
      </w:r>
      <w:r w:rsidR="00F4503D" w:rsidRPr="00E07F95">
        <w:t>his information is also conveyed in the CMI for these products.</w:t>
      </w:r>
    </w:p>
    <w:p w14:paraId="60796B7D" w14:textId="35DC70C3" w:rsidR="00F4503D" w:rsidRPr="00E07F95" w:rsidRDefault="00F4503D" w:rsidP="00F4503D">
      <w:r w:rsidRPr="00E07F95">
        <w:t xml:space="preserve">The </w:t>
      </w:r>
      <w:r>
        <w:t>ACM</w:t>
      </w:r>
      <w:r w:rsidRPr="00E07F95">
        <w:t xml:space="preserve"> advised that current warnings and precautions </w:t>
      </w:r>
      <w:r w:rsidR="003A53A4">
        <w:t>in PI documents were adequate and noted that the p</w:t>
      </w:r>
      <w:r w:rsidRPr="00E07F95">
        <w:t>ossible emergence of suicidal thoughts during the initial few months of antidepressant treatment or at times of dose adjustment i</w:t>
      </w:r>
      <w:r>
        <w:t>s addressed in PI documents. Th</w:t>
      </w:r>
      <w:r w:rsidR="003A53A4">
        <w:t>ey adv</w:t>
      </w:r>
      <w:r>
        <w:t>is</w:t>
      </w:r>
      <w:r w:rsidR="003A53A4">
        <w:t>ed that this</w:t>
      </w:r>
      <w:r w:rsidRPr="00E07F95">
        <w:t xml:space="preserve"> risk is minimised by starting with a low dose and increasing slowly</w:t>
      </w:r>
      <w:r w:rsidR="00DD5562">
        <w:t>, coupled with close monitoring particularly following initiation or during dose titration</w:t>
      </w:r>
      <w:r w:rsidRPr="00E07F95">
        <w:t>.</w:t>
      </w:r>
    </w:p>
    <w:p w14:paraId="06A32722" w14:textId="77777777" w:rsidR="0010591B" w:rsidRDefault="00F4503D" w:rsidP="00F4503D">
      <w:r>
        <w:t>The ACM acknowledged that a</w:t>
      </w:r>
      <w:r w:rsidRPr="00E07F95">
        <w:t>ntidepressants can be prescribed off-label to children and adolescents for psychiatric indications in Australia.</w:t>
      </w:r>
    </w:p>
    <w:p w14:paraId="1C6A0A46" w14:textId="7AA77E3F" w:rsidR="005B6B56" w:rsidRDefault="005B6B56" w:rsidP="00F4503D">
      <w:r>
        <w:rPr>
          <w:rFonts w:asciiTheme="minorHAnsi" w:hAnsiTheme="minorHAnsi" w:cs="ArialMT"/>
          <w:color w:val="231F20"/>
          <w:szCs w:val="22"/>
        </w:rPr>
        <w:t>Advice from the ACM indicated that clinicians, particularly paediatricians and child psychiatrists, are well aware of issues around treatment-emergent clinical worsening or suicidality, and take warnings about monitoring patients seriously. In the general practice setting, anecdotal feedback has been that prescription of antidepressants to children and adolescents is seen as a stop-gap measure, particularly for moderate-to-severe depression, while waiting for access to psychological therapy.</w:t>
      </w:r>
    </w:p>
    <w:p w14:paraId="739D70BF" w14:textId="0C365BBD" w:rsidR="00F1391C" w:rsidRDefault="00F4503D" w:rsidP="00F4503D">
      <w:r w:rsidRPr="00E07F95">
        <w:t xml:space="preserve">The </w:t>
      </w:r>
      <w:r>
        <w:t>ACM</w:t>
      </w:r>
      <w:r w:rsidRPr="00E07F95">
        <w:t xml:space="preserve"> supported prescriber and consumer education on what to expect when they start trea</w:t>
      </w:r>
      <w:r>
        <w:t xml:space="preserve">tment with an antidepressant. </w:t>
      </w:r>
      <w:r w:rsidRPr="00E07F95">
        <w:t xml:space="preserve">The </w:t>
      </w:r>
      <w:r>
        <w:t>ACM</w:t>
      </w:r>
      <w:r w:rsidRPr="00E07F95">
        <w:t xml:space="preserve"> also highlighted the need for additional clinical guidance for </w:t>
      </w:r>
      <w:r w:rsidR="003A53A4">
        <w:t>GPs</w:t>
      </w:r>
      <w:r w:rsidRPr="00E07F95">
        <w:t xml:space="preserve"> around the management of depression and prescribing of antidepressants to young people</w:t>
      </w:r>
      <w:r w:rsidR="000926F6">
        <w:t>, in particular, the need for supplementary information about appropriate dosing in younger age groups.</w:t>
      </w:r>
    </w:p>
    <w:p w14:paraId="5FFDC395" w14:textId="238D3E36" w:rsidR="003A53A4" w:rsidRPr="00F4503D" w:rsidRDefault="003A53A4" w:rsidP="00F4503D">
      <w:r>
        <w:t>The ACM did not support additional restriction on the availability of antidepressants as it would further disadvantage young people, especially in regional, rural and remote areas.</w:t>
      </w:r>
      <w:r w:rsidR="005E4E55">
        <w:t xml:space="preserve"> </w:t>
      </w:r>
      <w:r>
        <w:t>However, they did express concern around the increasing use of antidepressants in young people.</w:t>
      </w:r>
    </w:p>
    <w:p w14:paraId="5E44CEFC" w14:textId="0762374A" w:rsidR="00F1391C" w:rsidRPr="00F1391C" w:rsidRDefault="005614F5" w:rsidP="00E443A1">
      <w:pPr>
        <w:pStyle w:val="Heading4"/>
      </w:pPr>
      <w:bookmarkStart w:id="59" w:name="_Toc57132538"/>
      <w:bookmarkStart w:id="60" w:name="_Toc70418957"/>
      <w:r>
        <w:lastRenderedPageBreak/>
        <w:t>3</w:t>
      </w:r>
      <w:r w:rsidR="00E443A1">
        <w:t xml:space="preserve">.3.3 </w:t>
      </w:r>
      <w:r w:rsidR="00F20353">
        <w:t>ACM advice on a</w:t>
      </w:r>
      <w:r w:rsidR="00F1391C" w:rsidRPr="00F4503D">
        <w:t>ccess to psychological therapies</w:t>
      </w:r>
      <w:bookmarkEnd w:id="59"/>
      <w:bookmarkEnd w:id="60"/>
    </w:p>
    <w:p w14:paraId="08807A0A" w14:textId="762C74AE" w:rsidR="00F4503D" w:rsidRPr="00E07F95" w:rsidRDefault="003A53A4" w:rsidP="00F4503D">
      <w:r>
        <w:t xml:space="preserve">As noted in section 2.3.2, </w:t>
      </w:r>
      <w:r w:rsidR="00F4503D" w:rsidRPr="00E07F95">
        <w:t xml:space="preserve">current clinical guidelines place a strong emphasis on psychosocial therapies as the preferred mode of treatment for depressive disorders in children and adolescents, with the use of SSRIs reserved for moderate-to-severe depression when other treatments have failed. </w:t>
      </w:r>
      <w:r w:rsidR="003A059D">
        <w:t>However, t</w:t>
      </w:r>
      <w:r>
        <w:t>he ACM noted</w:t>
      </w:r>
      <w:r w:rsidR="00F4503D" w:rsidRPr="00E07F95">
        <w:t xml:space="preserve"> </w:t>
      </w:r>
      <w:r>
        <w:t>that</w:t>
      </w:r>
      <w:r w:rsidR="003A059D">
        <w:t>,</w:t>
      </w:r>
      <w:r>
        <w:t xml:space="preserve"> </w:t>
      </w:r>
      <w:r w:rsidR="00F4503D" w:rsidRPr="00E07F95">
        <w:t xml:space="preserve">in practice, access to publicly funded psychological therapies is often extremely limited, </w:t>
      </w:r>
      <w:r w:rsidR="00F4503D">
        <w:t xml:space="preserve">GPs </w:t>
      </w:r>
      <w:r w:rsidR="00F4503D" w:rsidRPr="00E07F95">
        <w:t>face great difficulty in having their patients seen by a child and adolescent psychiatrist in a timely manner, referral pathways are complex and there are significant equity issues in accessing private psychiatric services.</w:t>
      </w:r>
    </w:p>
    <w:p w14:paraId="58AD96F0" w14:textId="77777777" w:rsidR="003A53A4" w:rsidRDefault="00F4503D" w:rsidP="00F4503D">
      <w:r w:rsidRPr="00E07F95">
        <w:t xml:space="preserve">The </w:t>
      </w:r>
      <w:r>
        <w:t>ACM</w:t>
      </w:r>
      <w:r w:rsidRPr="00E07F95">
        <w:t xml:space="preserve"> suggested that improving access to information and care, in particular improved access to psychological therapies, will assist young people and represents an opportunity to mi</w:t>
      </w:r>
      <w:r w:rsidR="003A53A4">
        <w:t>nimise risk in this population.</w:t>
      </w:r>
    </w:p>
    <w:p w14:paraId="0D17248E" w14:textId="5AE27DC5" w:rsidR="000F4ED9" w:rsidRDefault="00E443A1" w:rsidP="0092246A">
      <w:pPr>
        <w:pStyle w:val="Heading2"/>
        <w:spacing w:before="360"/>
      </w:pPr>
      <w:bookmarkStart w:id="61" w:name="_Toc70418958"/>
      <w:r>
        <w:t xml:space="preserve">4. </w:t>
      </w:r>
      <w:bookmarkStart w:id="62" w:name="_Toc57132539"/>
      <w:r w:rsidR="00D0785D">
        <w:t>Conclusions and recommendations</w:t>
      </w:r>
      <w:bookmarkEnd w:id="62"/>
      <w:bookmarkEnd w:id="61"/>
    </w:p>
    <w:p w14:paraId="2BD150FF" w14:textId="5CF28ADB" w:rsidR="00BC3A77" w:rsidRDefault="00E443A1" w:rsidP="0092246A">
      <w:pPr>
        <w:pStyle w:val="Heading3"/>
        <w:spacing w:before="360"/>
      </w:pPr>
      <w:bookmarkStart w:id="63" w:name="_Toc57132540"/>
      <w:bookmarkStart w:id="64" w:name="_Toc70418959"/>
      <w:r>
        <w:t xml:space="preserve">4.1 </w:t>
      </w:r>
      <w:r w:rsidR="00BC3A77">
        <w:t>Conclusions</w:t>
      </w:r>
      <w:bookmarkEnd w:id="63"/>
      <w:bookmarkEnd w:id="64"/>
    </w:p>
    <w:p w14:paraId="77230A31" w14:textId="77777777" w:rsidR="0092246A" w:rsidRDefault="0092246A" w:rsidP="0092246A">
      <w:pPr>
        <w:spacing w:after="120"/>
      </w:pPr>
      <w:r>
        <w:t>Whilst the increasing use of antidepressants in young people is a concern, the strength of the current evidence available is insufficient to conclude that a causal relationship exists between prescribing of antidepressants and rates of youth suicide.</w:t>
      </w:r>
    </w:p>
    <w:p w14:paraId="164B01B9" w14:textId="77777777" w:rsidR="0092246A" w:rsidRDefault="0092246A" w:rsidP="0092246A">
      <w:pPr>
        <w:spacing w:after="120"/>
      </w:pPr>
      <w:r>
        <w:t>PBS dispensing data shows a steady increase in the rate of antidepressant prescribing to young people in Australia, both male and female, between 2013 and 2019. Rates of suicide of young people in Australia have also increased but with more a more complex trajectory. Male and female suicide rates show differing trends. The TGA found that male suicide rates increased over the ten-year period by 33%, but with a smaller increase of 10% from 2013-2015 to 2016-2018, compared with an increase of 20% from 2009-2012 to 2013-2015. In comparison, female suicide rates increased by nine per cent over the 10 years, but the trend reversed in the latter half of the 10 year period, with a decrease of four per cent from 2013-2015 to 2016-2018, compared with an increase of 14% in the earlier years. These complexities are important to consider when studying the relationship between antidepressants and suicide deaths. Aggregated trends are useful to generate hypotheses, but are not a sufficient base for making causal statements. Analysis of linked PBS data and suicide data is required to further explore any potential causal relationship between antidepressants and increased rates of youth suicide in the Australian context.</w:t>
      </w:r>
    </w:p>
    <w:p w14:paraId="568DDCDD" w14:textId="77777777" w:rsidR="0092246A" w:rsidRDefault="0092246A" w:rsidP="0092246A">
      <w:pPr>
        <w:spacing w:after="120"/>
      </w:pPr>
      <w:r>
        <w:t xml:space="preserve">Review of peer-reviewed literature published in the last five years did not add substantially to the body of evidence in support of either the efficacy or safety of antidepressants in children and adolescents. </w:t>
      </w:r>
    </w:p>
    <w:p w14:paraId="1B5EEF24" w14:textId="77777777" w:rsidR="0092246A" w:rsidRDefault="0092246A" w:rsidP="0092246A">
      <w:pPr>
        <w:spacing w:after="120"/>
      </w:pPr>
      <w:r>
        <w:t>Clinical worsening of depression and suicidality is a recognised potential risk with the use of antidepressant medicines, based on clinical trial data that showed an increased risk of suicidality in children, adolescents, and young adults (ages 18-24) with MDD and other psychiatric disorders. However, no suicides occurred in these trials and it is unknown whether the suicidality risk in children and adolescents extends to use beyond several months. Patients with depression may experience worsening of their depressive symptoms and/or the emergence of suicidality, whether or not they are taking antidepressant medications, and this risk may persist until significant remission occurs.</w:t>
      </w:r>
    </w:p>
    <w:p w14:paraId="2408FE4A" w14:textId="77777777" w:rsidR="0092246A" w:rsidRDefault="0092246A" w:rsidP="0092246A">
      <w:r>
        <w:t>The regulatory status of SSRIs and SNRIs in overseas jurisdictions is similar to Australia except that certain SSRIs are approved for use in children in the United Kingdom and the United States and all SSRI and SNRI products approved in the United States contain a boxed warning that outlines the risk of increased suicidality in children, adolescents and young adults. The TGA approved PIs for antidepressants include warnings about this risk and specifically mention children, adolescents and young adults. This information is also conveyed in the CMI for these products.</w:t>
      </w:r>
    </w:p>
    <w:p w14:paraId="4FE3F849" w14:textId="081017EE" w:rsidR="0010591B" w:rsidRDefault="0092246A" w:rsidP="0092246A">
      <w:r>
        <w:lastRenderedPageBreak/>
        <w:t>The ACM advised that there is a valid and important role for SSRIs and SNRIs in current clinical practice in treating moderate-to-severe depression in children and adolescents, supported by professional guidelines. Guidelines produced by the RANZCP recommend psychological therapies as the first line treatment for MDD of all levels of severity in young people with fluoxetine as second line treatment for moderate to severe MDD in children and adolescents.16 However, in practice, access to publicly funded psychological therapies is often extremely limited. The Committee advised that current warnings and precautions in Australian PI documents were adequate and that the possible emergence of suicidal thoughts during the initial few months of antidepressant treatment or at times of dose adjustment is addressed in PI documents.</w:t>
      </w:r>
    </w:p>
    <w:p w14:paraId="5243D29B" w14:textId="61983E30" w:rsidR="00BC3A77" w:rsidRDefault="00E443A1" w:rsidP="00E443A1">
      <w:pPr>
        <w:pStyle w:val="Heading3"/>
      </w:pPr>
      <w:bookmarkStart w:id="65" w:name="_Toc57132541"/>
      <w:bookmarkStart w:id="66" w:name="_Toc57132542"/>
      <w:bookmarkStart w:id="67" w:name="_Toc57132543"/>
      <w:bookmarkStart w:id="68" w:name="_Toc70418960"/>
      <w:bookmarkEnd w:id="65"/>
      <w:bookmarkEnd w:id="66"/>
      <w:r>
        <w:t xml:space="preserve">4.2 </w:t>
      </w:r>
      <w:r w:rsidR="00BC3A77">
        <w:t>Recommendations</w:t>
      </w:r>
      <w:bookmarkEnd w:id="67"/>
      <w:bookmarkEnd w:id="68"/>
    </w:p>
    <w:p w14:paraId="791CE417" w14:textId="433493D3" w:rsidR="00852520" w:rsidRDefault="00852520" w:rsidP="00052FCD">
      <w:r>
        <w:t>Based on the findings of this safety investigation, the TGA will:</w:t>
      </w:r>
    </w:p>
    <w:p w14:paraId="71414DAC" w14:textId="73B99DC6" w:rsidR="00852520" w:rsidRDefault="00852520" w:rsidP="00E443A1">
      <w:pPr>
        <w:pStyle w:val="Numberbullet0"/>
        <w:numPr>
          <w:ilvl w:val="0"/>
          <w:numId w:val="40"/>
        </w:numPr>
      </w:pPr>
      <w:r>
        <w:t>Liaise with the relevant professional colleges regarding the outcomes of our review and ACM advice, and, in particular, the need for additional clinical guidelines for general practitioners around the management of depression and prescribing of antidepressants to children, adolescents and young people.</w:t>
      </w:r>
      <w:r w:rsidR="00C12EEC">
        <w:t xml:space="preserve"> Letters have already been sent from the TGA to the Royal Australian College of General Practitioners, the Royal College of Physicians and the Royal Australian and New Zealand College of Psychiatrists, to advise them of the ACM advice and request that these bodies work collaboratively towards providing additional guidance for pharmacological management of depression in young people.</w:t>
      </w:r>
    </w:p>
    <w:p w14:paraId="0E9C500C" w14:textId="4CDF392E" w:rsidR="00E227EE" w:rsidRDefault="00ED7D6D" w:rsidP="00E443A1">
      <w:pPr>
        <w:pStyle w:val="Numberbullet0"/>
        <w:sectPr w:rsidR="00E227EE" w:rsidSect="00372F5E">
          <w:footerReference w:type="default" r:id="rId29"/>
          <w:pgSz w:w="11906" w:h="16838" w:code="9"/>
          <w:pgMar w:top="1134" w:right="1418" w:bottom="1361" w:left="1418" w:header="573" w:footer="567" w:gutter="0"/>
          <w:cols w:space="708"/>
          <w:docGrid w:linePitch="360"/>
        </w:sectPr>
      </w:pPr>
      <w:r>
        <w:t>Explore potential analysis of linked PBS, Medicare Benefits Schedule (MBS), hospital and death data to further investigate the clinical journeys of young people prescribed antidepressants in Australia and the relationship between antidepressants and rates of youth suicide. In addition there will be consideration of the utility of established datasets held by the Australian Bureau of Statistics and the Australian Institute of Health and Welfare. This work will commence in early 2021 subject to access to data.</w:t>
      </w:r>
      <w:r w:rsidR="005E4E55">
        <w:t xml:space="preserve"> </w:t>
      </w:r>
    </w:p>
    <w:p w14:paraId="74FA03BD" w14:textId="383B27A1" w:rsidR="000F4ED9" w:rsidRDefault="00E443A1" w:rsidP="00E443A1">
      <w:pPr>
        <w:pStyle w:val="Heading2"/>
      </w:pPr>
      <w:bookmarkStart w:id="69" w:name="_Toc57132544"/>
      <w:bookmarkStart w:id="70" w:name="_Toc70418961"/>
      <w:r>
        <w:lastRenderedPageBreak/>
        <w:t xml:space="preserve">5. </w:t>
      </w:r>
      <w:r w:rsidR="000F4ED9">
        <w:t>References</w:t>
      </w:r>
      <w:bookmarkEnd w:id="69"/>
      <w:bookmarkEnd w:id="70"/>
    </w:p>
    <w:p w14:paraId="4A905AA1" w14:textId="77777777" w:rsidR="0010591B" w:rsidRDefault="009B410E" w:rsidP="00E443A1">
      <w:pPr>
        <w:pStyle w:val="Numberbullet0"/>
        <w:numPr>
          <w:ilvl w:val="0"/>
          <w:numId w:val="41"/>
        </w:numPr>
      </w:pPr>
      <w:bookmarkStart w:id="71" w:name="_Ref46218763"/>
      <w:r w:rsidRPr="00A82561">
        <w:t>Whitely M, Raven M &amp; Jureidini J</w:t>
      </w:r>
      <w:r>
        <w:t>. Antidepressant prescribing and suicide/self-harm by y</w:t>
      </w:r>
      <w:r w:rsidRPr="00A82561">
        <w:t xml:space="preserve">oung </w:t>
      </w:r>
      <w:r>
        <w:t>Australians: regulatory warnings, contradictory advice, and long-term trends. Front</w:t>
      </w:r>
      <w:r w:rsidRPr="00A82561">
        <w:t xml:space="preserve"> Psychiatry</w:t>
      </w:r>
      <w:r>
        <w:t xml:space="preserve"> [Internet]</w:t>
      </w:r>
      <w:r w:rsidRPr="00A82561">
        <w:t>. 2020</w:t>
      </w:r>
      <w:r>
        <w:t xml:space="preserve"> June [cited 2020 Nov 25]</w:t>
      </w:r>
      <w:r w:rsidRPr="00A82561">
        <w:t>;11:478</w:t>
      </w:r>
      <w:bookmarkEnd w:id="71"/>
      <w:r w:rsidRPr="00A82561">
        <w:t>.</w:t>
      </w:r>
      <w:r>
        <w:t xml:space="preserve"> Available from: </w:t>
      </w:r>
      <w:hyperlink r:id="rId30" w:history="1">
        <w:r w:rsidRPr="00E443A1">
          <w:rPr>
            <w:rStyle w:val="Hyperlink"/>
            <w:szCs w:val="22"/>
          </w:rPr>
          <w:t>https://doi.org/10.3389/fpsyt.2020.00478</w:t>
        </w:r>
      </w:hyperlink>
    </w:p>
    <w:p w14:paraId="37954DE3" w14:textId="77777777" w:rsidR="0010591B" w:rsidRDefault="009B410E" w:rsidP="00E443A1">
      <w:pPr>
        <w:pStyle w:val="Numberbullet0"/>
      </w:pPr>
      <w:r w:rsidRPr="00A82561">
        <w:t xml:space="preserve">Fornaro M, Anastasia A, Valchera A, </w:t>
      </w:r>
      <w:r w:rsidRPr="009C1D3E">
        <w:t>Carano A, Orsolini L, Vellante F, et al. The FDA "Black Box" warning on antidepressant suicide risk in young adults: more harm than b</w:t>
      </w:r>
      <w:r w:rsidRPr="00A82561">
        <w:t>enefits?. Front Psychiatry</w:t>
      </w:r>
      <w:r w:rsidRPr="009C1D3E">
        <w:t xml:space="preserve"> [Internet]</w:t>
      </w:r>
      <w:r w:rsidRPr="00A82561">
        <w:t>. 2019</w:t>
      </w:r>
      <w:r w:rsidRPr="009C1D3E">
        <w:t xml:space="preserve"> May [cited 2020 Nov]</w:t>
      </w:r>
      <w:r w:rsidRPr="00A82561">
        <w:t xml:space="preserve">;10:294. </w:t>
      </w:r>
      <w:r w:rsidRPr="009C1D3E">
        <w:t xml:space="preserve">Available from: </w:t>
      </w:r>
      <w:hyperlink r:id="rId31" w:history="1">
        <w:r w:rsidRPr="009C1D3E">
          <w:rPr>
            <w:rStyle w:val="Hyperlink"/>
            <w:szCs w:val="22"/>
          </w:rPr>
          <w:t>https://doi.org/10.3389/fpsyt.2019.00294</w:t>
        </w:r>
      </w:hyperlink>
    </w:p>
    <w:p w14:paraId="4167BA09" w14:textId="25250696" w:rsidR="0010591B" w:rsidRDefault="00063AB2" w:rsidP="00063AB2">
      <w:pPr>
        <w:pStyle w:val="Numberbullet0"/>
      </w:pPr>
      <w:bookmarkStart w:id="72" w:name="_Ref45804406"/>
      <w:r w:rsidRPr="00063AB2">
        <w:t xml:space="preserve">Medicines and Healthcare products Regulatory Agency [Internet]. United Kingdom: MHRA; 2005. Report of the CSM Expert Working Group on the safety of selective serotonin reuptake inhibitor antidepressants; 2005 [cited 2020 Dec 3]. Available from: </w:t>
      </w:r>
      <w:hyperlink r:id="rId32" w:history="1">
        <w:r w:rsidRPr="003E308C">
          <w:rPr>
            <w:rStyle w:val="Hyperlink"/>
          </w:rPr>
          <w:t>https://www.semanticscholar.org/paper/Report-of-the-CSM-Expert-Working-Group-on-the-of-Ivd.-Ashby/9f66a4029a30bd86bfc1d942ab72960bf12a124e</w:t>
        </w:r>
      </w:hyperlink>
    </w:p>
    <w:p w14:paraId="3CCB74A9" w14:textId="77777777" w:rsidR="0010591B" w:rsidRDefault="008A5DB8" w:rsidP="00E443A1">
      <w:pPr>
        <w:pStyle w:val="Numberbullet0"/>
      </w:pPr>
      <w:r>
        <w:t xml:space="preserve">Murray ML, Thompson M, Santosh PJ, Wong IC. </w:t>
      </w:r>
      <w:r w:rsidRPr="008A5DB8">
        <w:t>Effects of the Committee on Safety of Medicines Advice on Antidepressant Prescribing to Children and Adolescents in the UK</w:t>
      </w:r>
      <w:r>
        <w:t xml:space="preserve">. Drug Safety [Internet]. 2005 [cited 2020 Dec 1]; 28:1151-1157. Available from: </w:t>
      </w:r>
      <w:hyperlink r:id="rId33" w:history="1">
        <w:r w:rsidRPr="003E6B4C">
          <w:rPr>
            <w:rStyle w:val="Hyperlink"/>
            <w:szCs w:val="22"/>
          </w:rPr>
          <w:t>https://doi.org/10.2165/00002018-200528120-00009</w:t>
        </w:r>
      </w:hyperlink>
    </w:p>
    <w:p w14:paraId="4DB2834D" w14:textId="4358B2AD" w:rsidR="009B410E" w:rsidRPr="00A82561" w:rsidRDefault="009B410E" w:rsidP="00E443A1">
      <w:pPr>
        <w:pStyle w:val="Numberbullet0"/>
      </w:pPr>
      <w:r>
        <w:t xml:space="preserve">Therapeutic Goods </w:t>
      </w:r>
      <w:r w:rsidR="00CE18A1">
        <w:t>A</w:t>
      </w:r>
      <w:r>
        <w:t>dministration [Internet].</w:t>
      </w:r>
      <w:r w:rsidRPr="00A82561">
        <w:t xml:space="preserve"> </w:t>
      </w:r>
      <w:r>
        <w:t xml:space="preserve">Canberra ACT: TGA; 2004. </w:t>
      </w:r>
      <w:r w:rsidRPr="00A82561">
        <w:t>Use of SSRI antidepressa</w:t>
      </w:r>
      <w:r>
        <w:t xml:space="preserve">nts in children and adolescents, October 2004, </w:t>
      </w:r>
      <w:r w:rsidRPr="00A82561">
        <w:t>Adverse Dru</w:t>
      </w:r>
      <w:r>
        <w:t>gs Reactions Advisory Commi</w:t>
      </w:r>
      <w:r w:rsidR="005967EF">
        <w:t>ttee; 2004</w:t>
      </w:r>
      <w:r>
        <w:t xml:space="preserve"> Oct 15 [cited 2020 Nov 25]. Available from:</w:t>
      </w:r>
      <w:r w:rsidRPr="00A82561">
        <w:t xml:space="preserve"> </w:t>
      </w:r>
      <w:hyperlink r:id="rId34" w:history="1">
        <w:r w:rsidRPr="00A82561">
          <w:rPr>
            <w:color w:val="0000FF"/>
            <w:u w:val="single"/>
          </w:rPr>
          <w:t>https://www.tga.gov.au/use-ssri-antidepressants-children-and-adolescents-october-2004</w:t>
        </w:r>
      </w:hyperlink>
    </w:p>
    <w:p w14:paraId="54640DEB" w14:textId="5AFE980F" w:rsidR="009B410E" w:rsidRPr="00A82561" w:rsidRDefault="00063AB2" w:rsidP="00063AB2">
      <w:pPr>
        <w:pStyle w:val="Numberbullet0"/>
      </w:pPr>
      <w:r w:rsidRPr="00063AB2">
        <w:t>Therapeutic Goods Administration [Internet]. Canberra ACT: TGA; 2009. Release of the Report of the Psychiatric Drug Safety Expert Advisory Panel; 2009 Dec 24 [cited 2020 Nov</w:t>
      </w:r>
      <w:r>
        <w:t> </w:t>
      </w:r>
      <w:r w:rsidRPr="00063AB2">
        <w:t xml:space="preserve">25]. Available from: </w:t>
      </w:r>
      <w:hyperlink r:id="rId35" w:history="1">
        <w:r w:rsidRPr="003E308C">
          <w:rPr>
            <w:rStyle w:val="Hyperlink"/>
          </w:rPr>
          <w:t>https://www.tga.gov.au/alert/release-report-psychiatric-drug-safety-expert-advisory-panel</w:t>
        </w:r>
      </w:hyperlink>
    </w:p>
    <w:p w14:paraId="1D76CE42" w14:textId="3C8FCD2D" w:rsidR="009B410E" w:rsidRPr="00A82561" w:rsidRDefault="009B410E" w:rsidP="00E443A1">
      <w:pPr>
        <w:pStyle w:val="Numberbullet0"/>
      </w:pPr>
      <w:r>
        <w:t xml:space="preserve">Therapeutic Goods </w:t>
      </w:r>
      <w:r w:rsidR="00CE18A1">
        <w:t>A</w:t>
      </w:r>
      <w:r>
        <w:t>dministration [Internet].</w:t>
      </w:r>
      <w:r w:rsidRPr="00A82561">
        <w:t xml:space="preserve"> </w:t>
      </w:r>
      <w:r>
        <w:t xml:space="preserve">Canberra ACT: TGA; 2009. </w:t>
      </w:r>
      <w:r w:rsidRPr="00A82561">
        <w:t>Report of the Psychiatric Dr</w:t>
      </w:r>
      <w:r>
        <w:t xml:space="preserve">ug Safety Expert Advisory Panel; 2009 [cited 2020 Nov 25]. Available from: </w:t>
      </w:r>
      <w:hyperlink r:id="rId36" w:history="1">
        <w:r w:rsidRPr="00A82561">
          <w:rPr>
            <w:color w:val="0000FF"/>
            <w:u w:val="single"/>
          </w:rPr>
          <w:t>https://www.tga.gov.au/sites/default/files/alerts-medicine-ssri-pdseap-091224.pdf</w:t>
        </w:r>
      </w:hyperlink>
    </w:p>
    <w:p w14:paraId="1BA5E345" w14:textId="6C8DA4F1" w:rsidR="0010591B" w:rsidRDefault="00CD5F32" w:rsidP="00CD5F32">
      <w:pPr>
        <w:pStyle w:val="Numberbullet0"/>
      </w:pPr>
      <w:r w:rsidRPr="00CD5F32">
        <w:t xml:space="preserve">Medicines and Healthcare products Regulatory Agency [Internet]. United Kingdom: MHRA; 2019. Prozac (fluoxetine) UK Summary of Product Characteristics. 2019 June 26 [cited 2020 Nov 25]. Available from: </w:t>
      </w:r>
      <w:hyperlink r:id="rId37" w:history="1">
        <w:r w:rsidRPr="003E308C">
          <w:rPr>
            <w:rStyle w:val="Hyperlink"/>
          </w:rPr>
          <w:t>https://mhraproducts4853.blob.core.windows.net/docs/c26d5f52a461b728c2b854adb89f9616943ec504</w:t>
        </w:r>
      </w:hyperlink>
    </w:p>
    <w:p w14:paraId="6A0EB4F1" w14:textId="77777777" w:rsidR="0010591B" w:rsidRDefault="009B410E" w:rsidP="00E443A1">
      <w:pPr>
        <w:pStyle w:val="Numberbullet0"/>
      </w:pPr>
      <w:r w:rsidRPr="009B410E">
        <w:t>Food and Drug Administration [Internet]</w:t>
      </w:r>
      <w:r w:rsidRPr="00A82561">
        <w:t>.</w:t>
      </w:r>
      <w:r w:rsidRPr="009B410E">
        <w:t xml:space="preserve"> United States: FDA; 2020. </w:t>
      </w:r>
      <w:r w:rsidRPr="00A82561">
        <w:t>Pr</w:t>
      </w:r>
      <w:r w:rsidRPr="009B410E">
        <w:t>ozac (fluoxetine), US FDA label. 2020 April [cited 2020 Nov 25]. Available from:</w:t>
      </w:r>
      <w:r w:rsidRPr="00A82561">
        <w:t xml:space="preserve"> </w:t>
      </w:r>
      <w:hyperlink r:id="rId38" w:history="1">
        <w:r w:rsidRPr="009B410E">
          <w:rPr>
            <w:color w:val="0000FF"/>
            <w:u w:val="single"/>
          </w:rPr>
          <w:t>https://www.accessdata.fda.gov/drugsatfda_docs/label/2020/018936s109lbl.pdf</w:t>
        </w:r>
      </w:hyperlink>
      <w:r w:rsidRPr="00A82561">
        <w:t>.</w:t>
      </w:r>
    </w:p>
    <w:p w14:paraId="2DFBD19F" w14:textId="77777777" w:rsidR="0010591B" w:rsidRDefault="009B410E" w:rsidP="00E443A1">
      <w:pPr>
        <w:pStyle w:val="Numberbullet0"/>
      </w:pPr>
      <w:r w:rsidRPr="009B410E">
        <w:t>Food and Drug Administration [Internet]</w:t>
      </w:r>
      <w:r w:rsidRPr="00A82561">
        <w:t>.</w:t>
      </w:r>
      <w:r w:rsidRPr="009B410E">
        <w:t xml:space="preserve"> United States: FDA; 2017. </w:t>
      </w:r>
      <w:r w:rsidRPr="00A82561">
        <w:t>Zo</w:t>
      </w:r>
      <w:r w:rsidRPr="009B410E">
        <w:t>loft (sertraline), US FDA label. 2017</w:t>
      </w:r>
      <w:r w:rsidRPr="00A82561">
        <w:t xml:space="preserve"> December</w:t>
      </w:r>
      <w:r>
        <w:t xml:space="preserve"> </w:t>
      </w:r>
      <w:r w:rsidRPr="009B410E">
        <w:t>[cited 2020 Nov 25]. Available from:</w:t>
      </w:r>
      <w:r w:rsidRPr="00A82561">
        <w:t xml:space="preserve"> </w:t>
      </w:r>
      <w:hyperlink r:id="rId39" w:history="1">
        <w:r w:rsidRPr="009B410E">
          <w:rPr>
            <w:color w:val="0000FF"/>
            <w:u w:val="single"/>
          </w:rPr>
          <w:t>https://www.accessdata.fda.gov/drugsatfda_docs/label/2020/018936s109lbl.pdf</w:t>
        </w:r>
      </w:hyperlink>
      <w:r w:rsidRPr="00A82561">
        <w:t>.</w:t>
      </w:r>
    </w:p>
    <w:p w14:paraId="597CB665" w14:textId="77777777" w:rsidR="0010591B" w:rsidRDefault="009B410E" w:rsidP="00E443A1">
      <w:pPr>
        <w:pStyle w:val="Numberbullet0"/>
      </w:pPr>
      <w:r w:rsidRPr="009B410E">
        <w:t>Food and Drug Administration [Internet]</w:t>
      </w:r>
      <w:r w:rsidRPr="00A82561">
        <w:t>.</w:t>
      </w:r>
      <w:r w:rsidRPr="009B410E">
        <w:t xml:space="preserve"> United States: FDA; 2019. </w:t>
      </w:r>
      <w:r w:rsidRPr="00A82561">
        <w:t>Luv</w:t>
      </w:r>
      <w:r w:rsidRPr="009B410E">
        <w:t xml:space="preserve">ox (fluvoxamine), US FDA label. 2019 December [cited 2020 Nov 25]. Available from: </w:t>
      </w:r>
      <w:hyperlink r:id="rId40" w:history="1">
        <w:r w:rsidRPr="009B410E">
          <w:rPr>
            <w:color w:val="0000FF"/>
            <w:u w:val="single"/>
          </w:rPr>
          <w:t>https://www.accessdata.fda.gov/drugsatfda_docs/label/2019/021519s012lbl.pdf</w:t>
        </w:r>
      </w:hyperlink>
      <w:r w:rsidRPr="00A82561">
        <w:t>.</w:t>
      </w:r>
    </w:p>
    <w:p w14:paraId="3E2D005A" w14:textId="77777777" w:rsidR="0010591B" w:rsidRDefault="004403AF" w:rsidP="00E443A1">
      <w:pPr>
        <w:pStyle w:val="Numberbullet0"/>
      </w:pPr>
      <w:r w:rsidRPr="004403AF">
        <w:lastRenderedPageBreak/>
        <w:t>Food and Drug Administration [Internet]</w:t>
      </w:r>
      <w:r w:rsidRPr="00A82561">
        <w:t>.</w:t>
      </w:r>
      <w:r w:rsidRPr="004403AF">
        <w:t xml:space="preserve"> United States: FDA; 2019. </w:t>
      </w:r>
      <w:r w:rsidR="009B410E" w:rsidRPr="00A82561">
        <w:t>Anafrani</w:t>
      </w:r>
      <w:r w:rsidRPr="004403AF">
        <w:t xml:space="preserve">l (clomipramine), US FDA label. </w:t>
      </w:r>
      <w:r w:rsidR="009B410E" w:rsidRPr="00A82561">
        <w:t>2019</w:t>
      </w:r>
      <w:r w:rsidRPr="004403AF">
        <w:t xml:space="preserve"> March [cited 2020 Nov 25]. Available from:</w:t>
      </w:r>
      <w:r w:rsidR="009B410E" w:rsidRPr="00A82561">
        <w:t xml:space="preserve"> </w:t>
      </w:r>
      <w:hyperlink r:id="rId41" w:history="1">
        <w:r w:rsidR="009B410E" w:rsidRPr="004403AF">
          <w:rPr>
            <w:color w:val="0000FF"/>
            <w:u w:val="single"/>
          </w:rPr>
          <w:t>https://www.accessdata.fda.gov/drugsatfda_docs/label/2019/019906s043lbl.pdf</w:t>
        </w:r>
      </w:hyperlink>
      <w:r w:rsidR="009B410E" w:rsidRPr="00A82561">
        <w:t>.</w:t>
      </w:r>
    </w:p>
    <w:p w14:paraId="20738011" w14:textId="206E2FD0" w:rsidR="009B410E" w:rsidRDefault="004403AF" w:rsidP="00E443A1">
      <w:pPr>
        <w:pStyle w:val="Numberbullet0"/>
      </w:pPr>
      <w:r w:rsidRPr="004403AF">
        <w:t>Food and Drug Administration [Internet]</w:t>
      </w:r>
      <w:r w:rsidRPr="00A82561">
        <w:t>.</w:t>
      </w:r>
      <w:r w:rsidRPr="004403AF">
        <w:t xml:space="preserve"> United States: FDA. </w:t>
      </w:r>
      <w:r w:rsidR="009B410E" w:rsidRPr="00A82561">
        <w:t>US FD</w:t>
      </w:r>
      <w:r w:rsidRPr="004403AF">
        <w:t>A R</w:t>
      </w:r>
      <w:r w:rsidR="00E227EE">
        <w:t>evisions to Product Labeling. Un</w:t>
      </w:r>
      <w:r w:rsidRPr="004403AF">
        <w:t>dated [accessed and cited 2020 Nov 25]. Available from:</w:t>
      </w:r>
      <w:r w:rsidR="009B410E" w:rsidRPr="00A82561">
        <w:t xml:space="preserve"> </w:t>
      </w:r>
      <w:hyperlink r:id="rId42" w:history="1">
        <w:r w:rsidR="009B410E" w:rsidRPr="004403AF">
          <w:rPr>
            <w:color w:val="0000FF"/>
            <w:u w:val="single"/>
          </w:rPr>
          <w:t>https://www.fda.gov/media/77404/download</w:t>
        </w:r>
      </w:hyperlink>
      <w:r w:rsidR="00E227EE">
        <w:t>.</w:t>
      </w:r>
    </w:p>
    <w:p w14:paraId="63CEF9D7" w14:textId="0500D601" w:rsidR="0010591B" w:rsidRDefault="00B361AF" w:rsidP="00B361AF">
      <w:pPr>
        <w:pStyle w:val="Numberbullet0"/>
      </w:pPr>
      <w:r w:rsidRPr="00B361AF">
        <w:t xml:space="preserve">Food and Drug Administration [Internet]. United States: FDA; 2018. Suicidality in children and adolescents being treated with antidepressant medications. Undated [content current 2018 May 2, cited 2020 Nov 25]. Available from: </w:t>
      </w:r>
      <w:hyperlink r:id="rId43" w:history="1">
        <w:r w:rsidRPr="003E308C">
          <w:rPr>
            <w:rStyle w:val="Hyperlink"/>
          </w:rPr>
          <w:t>https://www.fda.gov/drugs/postmarket-drug-safety-information-patients-and-providers/suicidality-children-and-adolescents-being-treated-antidepressant-medications</w:t>
        </w:r>
      </w:hyperlink>
      <w:r>
        <w:t>.</w:t>
      </w:r>
    </w:p>
    <w:p w14:paraId="20A89E58" w14:textId="4FAB6118" w:rsidR="0010591B" w:rsidRDefault="00B361AF" w:rsidP="00B361AF">
      <w:pPr>
        <w:pStyle w:val="Numberbullet0"/>
      </w:pPr>
      <w:r w:rsidRPr="00B361AF">
        <w:t xml:space="preserve">European Medicines Agency [Internet]. The Netherlands: EMA; 2005. European Medicines Agency finalises review of antidepressants in children and adolescents. 2005 April 25 [cited 2020 Nov 25]. Available from: </w:t>
      </w:r>
      <w:hyperlink r:id="rId44" w:history="1">
        <w:r w:rsidRPr="003E308C">
          <w:rPr>
            <w:rStyle w:val="Hyperlink"/>
          </w:rPr>
          <w:t>https://www.ema.europa.eu/en/news/european-medicines-agency-finalises-review-antidepressants-childrenand-adolescents</w:t>
        </w:r>
      </w:hyperlink>
      <w:r>
        <w:t>.</w:t>
      </w:r>
    </w:p>
    <w:p w14:paraId="4BBA38ED" w14:textId="44D5455F" w:rsidR="00B361AF" w:rsidRDefault="00B361AF" w:rsidP="00B361AF">
      <w:pPr>
        <w:pStyle w:val="Numberbullet0"/>
      </w:pPr>
      <w:r>
        <w:t xml:space="preserve">Lawrence D, Johnson S, Hafekost J, Boterhoven De Haan K, Sawyer M, Ainley J, et al. The mental health of children and adolescents. Report on the second Australian child and adolescent survey of mental health and wellbeing. Canberra (AU): Department of Health; 2015. Available from: </w:t>
      </w:r>
      <w:hyperlink r:id="rId45" w:history="1">
        <w:r w:rsidRPr="003E308C">
          <w:rPr>
            <w:rStyle w:val="Hyperlink"/>
          </w:rPr>
          <w:t>https://www1.health.gov.au/internet/main/publishing.nsf/Content/9DA8CA21306FE6EDCA257E2700016945/$File/child2.pdf</w:t>
        </w:r>
      </w:hyperlink>
      <w:r>
        <w:t>.</w:t>
      </w:r>
    </w:p>
    <w:p w14:paraId="4226BF01" w14:textId="53283E14" w:rsidR="00B361AF" w:rsidRDefault="00B361AF" w:rsidP="00B361AF">
      <w:pPr>
        <w:pStyle w:val="Numberbullet0"/>
      </w:pPr>
      <w:r>
        <w:t xml:space="preserve">Australian Bureau of Statistics [Internet]. Australia: ABS; 2008. National Survey of Mental Health and Wellbeing: Summary of Results. 2008 Oct 23 [cited 2020 Nov 25]. Available from: </w:t>
      </w:r>
      <w:hyperlink r:id="rId46" w:history="1">
        <w:r w:rsidRPr="003E308C">
          <w:rPr>
            <w:rStyle w:val="Hyperlink"/>
          </w:rPr>
          <w:t>https://www.abs.gov.au/statistics/health/mental-health/national-survey-mental-health-and-wellbeing-summary-results/latest-release</w:t>
        </w:r>
      </w:hyperlink>
      <w:r>
        <w:t>.</w:t>
      </w:r>
    </w:p>
    <w:p w14:paraId="221736EE" w14:textId="637A5A36" w:rsidR="0010591B" w:rsidRDefault="00B361AF" w:rsidP="00B361AF">
      <w:pPr>
        <w:pStyle w:val="Numberbullet0"/>
      </w:pPr>
      <w:r>
        <w:t>Royal Australian and New Zealand College of Psychiatrists [Internet]. Australia: RANZCP, RACGP &amp; RACP; 2005. Clinical guidance on the use of antidepressant medications in children and adolescents. 2005 Mar [cited 2020 Nov 25]. Available from: https://www.ranzcp.org/files/resources/college_statements/practice_guidelines/clinical_guidance_on_the_use_of_antidepressant_med.aspx</w:t>
      </w:r>
    </w:p>
    <w:p w14:paraId="082EDB44" w14:textId="77777777" w:rsidR="0010591B" w:rsidRDefault="009B410E" w:rsidP="00E443A1">
      <w:pPr>
        <w:pStyle w:val="Numberbullet0"/>
      </w:pPr>
      <w:r w:rsidRPr="00E94A52">
        <w:t>National Institute for H</w:t>
      </w:r>
      <w:r w:rsidR="00472D6E" w:rsidRPr="00E94A52">
        <w:t>ealth and Care Excellence [Internet]</w:t>
      </w:r>
      <w:r w:rsidRPr="00E94A52">
        <w:t xml:space="preserve">. </w:t>
      </w:r>
      <w:r w:rsidR="00E94A52" w:rsidRPr="00E94A52">
        <w:t>Leicester UK: NICE; 2019.</w:t>
      </w:r>
      <w:r w:rsidRPr="00E94A52">
        <w:t xml:space="preserve"> Depression in Children and Young People: Identification and Management</w:t>
      </w:r>
      <w:r w:rsidR="00E94A52" w:rsidRPr="00E94A52">
        <w:t>.</w:t>
      </w:r>
      <w:r w:rsidR="00472D6E" w:rsidRPr="00E94A52">
        <w:t xml:space="preserve"> </w:t>
      </w:r>
      <w:r w:rsidR="00E94A52" w:rsidRPr="00E94A52">
        <w:t xml:space="preserve">2019 Jun 25 [cited 2020 Nov 25]. Available from: </w:t>
      </w:r>
      <w:bookmarkEnd w:id="72"/>
      <w:r w:rsidR="00E94A52" w:rsidRPr="00E94A52">
        <w:fldChar w:fldCharType="begin"/>
      </w:r>
      <w:r w:rsidR="00E94A52" w:rsidRPr="00E94A52">
        <w:instrText xml:space="preserve"> HYPERLINK "https://www.nice.org.uk/guidance/ng134" </w:instrText>
      </w:r>
      <w:r w:rsidR="00E94A52" w:rsidRPr="00E94A52">
        <w:fldChar w:fldCharType="separate"/>
      </w:r>
      <w:r w:rsidR="00E94A52" w:rsidRPr="00E94A52">
        <w:rPr>
          <w:rStyle w:val="Hyperlink"/>
          <w:szCs w:val="22"/>
        </w:rPr>
        <w:t>https://www.nice.org.uk/guidance/ng134</w:t>
      </w:r>
      <w:r w:rsidR="00E94A52" w:rsidRPr="00E94A52">
        <w:fldChar w:fldCharType="end"/>
      </w:r>
    </w:p>
    <w:p w14:paraId="526ABE98" w14:textId="6691F347" w:rsidR="009B410E" w:rsidRPr="00A82561" w:rsidRDefault="009B410E" w:rsidP="00E443A1">
      <w:pPr>
        <w:pStyle w:val="Numberbullet0"/>
      </w:pPr>
      <w:bookmarkStart w:id="73" w:name="_Ref45803507"/>
      <w:r w:rsidRPr="00A82561">
        <w:t xml:space="preserve">Turecki G, Brent DA, Gunnell D, O'Connor RC, Oquendo MA, Pirkis J, </w:t>
      </w:r>
      <w:r>
        <w:t>et al</w:t>
      </w:r>
      <w:r w:rsidRPr="00A82561">
        <w:t>. Suicide and suicide risk. Nat Rev Dis Primers</w:t>
      </w:r>
      <w:r>
        <w:t xml:space="preserve"> [Internet]. 2019 Oct [cited 2020 Nov 25]</w:t>
      </w:r>
      <w:r w:rsidRPr="00A82561">
        <w:t>;</w:t>
      </w:r>
      <w:r>
        <w:t xml:space="preserve"> 5(1):74. Available from: </w:t>
      </w:r>
      <w:hyperlink r:id="rId47" w:history="1">
        <w:r w:rsidRPr="009015A7">
          <w:rPr>
            <w:rStyle w:val="Hyperlink"/>
            <w:szCs w:val="22"/>
          </w:rPr>
          <w:t>https://doi.org/10.1038/s41572-019-0121-0</w:t>
        </w:r>
      </w:hyperlink>
    </w:p>
    <w:p w14:paraId="641EBF08" w14:textId="77777777" w:rsidR="009B410E" w:rsidRPr="00A82561" w:rsidRDefault="009B410E" w:rsidP="00E443A1">
      <w:pPr>
        <w:pStyle w:val="Numberbullet0"/>
      </w:pPr>
      <w:r w:rsidRPr="00A82561">
        <w:t xml:space="preserve">Carballo JJ, Llorente C, Kehrmann L, </w:t>
      </w:r>
      <w:r w:rsidRPr="00153599">
        <w:t>Flamarique</w:t>
      </w:r>
      <w:r>
        <w:t xml:space="preserve"> I</w:t>
      </w:r>
      <w:r w:rsidRPr="00153599">
        <w:t>, Zuddas</w:t>
      </w:r>
      <w:r>
        <w:t xml:space="preserve"> A</w:t>
      </w:r>
      <w:r w:rsidRPr="00153599">
        <w:t>, Purper-Ouakil</w:t>
      </w:r>
      <w:r w:rsidRPr="00A82561">
        <w:t xml:space="preserve">et </w:t>
      </w:r>
      <w:r>
        <w:t xml:space="preserve">D, et </w:t>
      </w:r>
      <w:r w:rsidRPr="00A82561">
        <w:t>al. Psychosocial risk factors for suicidality in children and adolescents. Eur Child Adolesc Psychiatry</w:t>
      </w:r>
      <w:r>
        <w:t xml:space="preserve"> [Internet]. 2019 Jan [cited 2020 Nov 25]</w:t>
      </w:r>
      <w:r w:rsidRPr="00A82561">
        <w:t>;</w:t>
      </w:r>
      <w:r>
        <w:t xml:space="preserve"> </w:t>
      </w:r>
      <w:r w:rsidRPr="00A82561">
        <w:t xml:space="preserve">29(6):759-776. </w:t>
      </w:r>
      <w:r>
        <w:t xml:space="preserve">Available from: </w:t>
      </w:r>
      <w:hyperlink r:id="rId48" w:history="1">
        <w:r w:rsidRPr="009015A7">
          <w:rPr>
            <w:rStyle w:val="Hyperlink"/>
            <w:szCs w:val="22"/>
          </w:rPr>
          <w:t>https://doi.org/10.1007/s00787-018-01270-9</w:t>
        </w:r>
      </w:hyperlink>
    </w:p>
    <w:p w14:paraId="3FA7750D" w14:textId="77777777" w:rsidR="0010591B" w:rsidRDefault="009B410E" w:rsidP="00E443A1">
      <w:pPr>
        <w:pStyle w:val="Numberbullet0"/>
      </w:pPr>
      <w:r>
        <w:t>Beautrais AL. Risk factors for suicide and attempted suicide among young p</w:t>
      </w:r>
      <w:r w:rsidRPr="00A82561">
        <w:t xml:space="preserve">eople. </w:t>
      </w:r>
      <w:r w:rsidRPr="00AC3C30">
        <w:t>Aust N Z J Psychiatry</w:t>
      </w:r>
      <w:r>
        <w:t xml:space="preserve"> [Internet]</w:t>
      </w:r>
      <w:r w:rsidRPr="00A82561">
        <w:t>. 2000</w:t>
      </w:r>
      <w:r>
        <w:t xml:space="preserve"> [cited 2020 Nov 25]</w:t>
      </w:r>
      <w:r w:rsidRPr="00A82561">
        <w:t>;</w:t>
      </w:r>
      <w:r>
        <w:t xml:space="preserve"> 34(3):420-436. Available from: </w:t>
      </w:r>
      <w:hyperlink r:id="rId49" w:history="1">
        <w:r w:rsidRPr="009015A7">
          <w:rPr>
            <w:rStyle w:val="Hyperlink"/>
            <w:szCs w:val="22"/>
          </w:rPr>
          <w:t>https://doi.org/10.1080%2Fj.1440-1614.2000.00691.x</w:t>
        </w:r>
      </w:hyperlink>
    </w:p>
    <w:p w14:paraId="069E1665" w14:textId="77777777" w:rsidR="0010591B" w:rsidRDefault="009B410E" w:rsidP="00E443A1">
      <w:pPr>
        <w:pStyle w:val="Numberbullet0"/>
      </w:pPr>
      <w:r w:rsidRPr="00A82561">
        <w:t>Hawton K, Saunders KE, O'Connor RC. Self-harm and suicide in adolescents. Lancet</w:t>
      </w:r>
      <w:r>
        <w:t xml:space="preserve"> </w:t>
      </w:r>
      <w:r w:rsidRPr="004C19BB">
        <w:t xml:space="preserve">[Internet]. 2012 Jun 23 [cited 2020 Nov 25]; 379(9834):2373-82. Available from: </w:t>
      </w:r>
      <w:hyperlink r:id="rId50" w:history="1">
        <w:r w:rsidRPr="004C19BB">
          <w:rPr>
            <w:rStyle w:val="Hyperlink"/>
            <w:szCs w:val="22"/>
          </w:rPr>
          <w:t>https://doi.org/10.1016/s0140-6736(12)60322-5</w:t>
        </w:r>
      </w:hyperlink>
    </w:p>
    <w:p w14:paraId="6ACC8AB6" w14:textId="77777777" w:rsidR="0010591B" w:rsidRDefault="005E0B08" w:rsidP="00E443A1">
      <w:pPr>
        <w:pStyle w:val="Numberbullet0"/>
      </w:pPr>
      <w:r w:rsidRPr="004C19BB">
        <w:lastRenderedPageBreak/>
        <w:t>Luft</w:t>
      </w:r>
      <w:r w:rsidR="004C19BB" w:rsidRPr="004C19BB">
        <w:t xml:space="preserve"> MJ, Lamy M, DelBello MP, McNamara RK, Strawn JR. Antidepressant-induced activation in children and adolescents: risk, recognition and management. Curr Probl Pediatr Adolesc Health Care [Internet]. 2018 Jan [cited 2020 Dec 3]; 48(2):50-62. Available from: </w:t>
      </w:r>
      <w:hyperlink r:id="rId51" w:history="1">
        <w:r w:rsidR="007D2C61" w:rsidRPr="005261C9">
          <w:rPr>
            <w:rStyle w:val="Hyperlink"/>
            <w:szCs w:val="22"/>
          </w:rPr>
          <w:t>https://doi.org/10.1016/j.cppeds.2017.12.001</w:t>
        </w:r>
      </w:hyperlink>
    </w:p>
    <w:p w14:paraId="420B77C7" w14:textId="79CDE4B9" w:rsidR="009B410E" w:rsidRPr="00A82561" w:rsidRDefault="009B410E" w:rsidP="00E443A1">
      <w:pPr>
        <w:pStyle w:val="Numberbullet0"/>
      </w:pPr>
      <w:r w:rsidRPr="00A82561">
        <w:t xml:space="preserve">Reid AM, McNamara JP, Murphy TK, Guzick AG, Storch EA, Goodman WK, </w:t>
      </w:r>
      <w:r>
        <w:t>et al</w:t>
      </w:r>
      <w:r w:rsidRPr="00A82561">
        <w:t>. Side-effects of SSRIs disrupt multimodal treatment for pediatric OCD in a randomized-controlled trial. J Psychiatr Res</w:t>
      </w:r>
      <w:r>
        <w:t xml:space="preserve"> [Internet]</w:t>
      </w:r>
      <w:r w:rsidRPr="00A82561">
        <w:t>. 2015 Dec</w:t>
      </w:r>
      <w:r>
        <w:t xml:space="preserve"> [cited 2020 Nov 25]</w:t>
      </w:r>
      <w:r w:rsidRPr="00A82561">
        <w:t>;</w:t>
      </w:r>
      <w:r>
        <w:t xml:space="preserve"> </w:t>
      </w:r>
      <w:r w:rsidRPr="00A82561">
        <w:t xml:space="preserve">71:140-7. </w:t>
      </w:r>
      <w:r>
        <w:t xml:space="preserve">Available from: </w:t>
      </w:r>
      <w:hyperlink r:id="rId52" w:history="1">
        <w:r w:rsidRPr="009015A7">
          <w:rPr>
            <w:rStyle w:val="Hyperlink"/>
            <w:szCs w:val="22"/>
          </w:rPr>
          <w:t>https://doi.org/10.1016/j.jpsychires.2015.10.006</w:t>
        </w:r>
      </w:hyperlink>
    </w:p>
    <w:p w14:paraId="41491532" w14:textId="77777777" w:rsidR="0010591B" w:rsidRDefault="009B410E" w:rsidP="00E443A1">
      <w:pPr>
        <w:pStyle w:val="Numberbullet0"/>
      </w:pPr>
      <w:r w:rsidRPr="00A82561">
        <w:t>Harada T, Sakamoto K, Ishigooka J. Incidence and predictors of activation syndrome induced by antidepressants. Depress Anxiety</w:t>
      </w:r>
      <w:r>
        <w:t xml:space="preserve"> [Internet]</w:t>
      </w:r>
      <w:r w:rsidRPr="00A82561">
        <w:t>. 2008</w:t>
      </w:r>
      <w:r>
        <w:t xml:space="preserve"> [cited 2020 Nov 25]</w:t>
      </w:r>
      <w:r w:rsidRPr="00A82561">
        <w:t>;</w:t>
      </w:r>
      <w:r>
        <w:t xml:space="preserve"> 25(12):1014-9</w:t>
      </w:r>
      <w:r w:rsidRPr="00A82561">
        <w:t>.</w:t>
      </w:r>
      <w:r>
        <w:t xml:space="preserve"> Available from: </w:t>
      </w:r>
      <w:hyperlink r:id="rId53" w:history="1">
        <w:r w:rsidRPr="009015A7">
          <w:rPr>
            <w:rStyle w:val="Hyperlink"/>
            <w:szCs w:val="22"/>
          </w:rPr>
          <w:t>https://doi.org/10.1002/da.20438</w:t>
        </w:r>
      </w:hyperlink>
    </w:p>
    <w:p w14:paraId="6823AF28" w14:textId="77777777" w:rsidR="005E0B08" w:rsidRPr="00A82561" w:rsidRDefault="005E0B08" w:rsidP="00E443A1">
      <w:pPr>
        <w:pStyle w:val="Numberbullet0"/>
      </w:pPr>
      <w:bookmarkStart w:id="74" w:name="_Ref45886890"/>
      <w:r w:rsidRPr="00A82561">
        <w:t xml:space="preserve">Zhou X, Cipriani A, Zhang Y, </w:t>
      </w:r>
      <w:r>
        <w:t>Cuijpers P</w:t>
      </w:r>
      <w:r w:rsidRPr="0050452F">
        <w:t xml:space="preserve">, </w:t>
      </w:r>
      <w:r>
        <w:t>Hetrick SE</w:t>
      </w:r>
      <w:r w:rsidRPr="0050452F">
        <w:t xml:space="preserve">, </w:t>
      </w:r>
      <w:r>
        <w:t>Weisz JR</w:t>
      </w:r>
      <w:r w:rsidRPr="0050452F">
        <w:t>,</w:t>
      </w:r>
      <w:r>
        <w:t xml:space="preserve"> </w:t>
      </w:r>
      <w:r w:rsidRPr="00A82561">
        <w:t>et al</w:t>
      </w:r>
      <w:r>
        <w:t>.</w:t>
      </w:r>
      <w:r w:rsidRPr="00A82561">
        <w:t xml:space="preserve"> Comparative efficacy and acceptability of antidepressants, psychological interventions, and their combination for depressive disorder in children and adolescents: protocol for a network meta-analysis</w:t>
      </w:r>
      <w:r>
        <w:t>.</w:t>
      </w:r>
      <w:r w:rsidRPr="00A82561">
        <w:t xml:space="preserve"> BMJ Open </w:t>
      </w:r>
      <w:r>
        <w:t xml:space="preserve">[Internet]. 2017 Aug [cited 2020 Nov 25]; </w:t>
      </w:r>
      <w:r w:rsidRPr="00A82561">
        <w:t xml:space="preserve">7:e016608. </w:t>
      </w:r>
      <w:r>
        <w:t xml:space="preserve">Available from: </w:t>
      </w:r>
      <w:hyperlink r:id="rId54" w:history="1">
        <w:r w:rsidRPr="009015A7">
          <w:rPr>
            <w:rStyle w:val="Hyperlink"/>
            <w:szCs w:val="22"/>
          </w:rPr>
          <w:t>http://dx.doi.org/10.1136/bmjopen-2017-016608</w:t>
        </w:r>
      </w:hyperlink>
    </w:p>
    <w:p w14:paraId="5ACD713B" w14:textId="77777777" w:rsidR="0010591B" w:rsidRDefault="009B410E" w:rsidP="00E443A1">
      <w:pPr>
        <w:pStyle w:val="Numberbullet0"/>
        <w:rPr>
          <w:rFonts w:cs="Segoe UI"/>
          <w:color w:val="212121"/>
          <w:lang w:val="en"/>
        </w:rPr>
      </w:pPr>
      <w:r w:rsidRPr="00A82561">
        <w:rPr>
          <w:rFonts w:cs="Segoe UI"/>
          <w:color w:val="212121"/>
          <w:lang w:val="en"/>
        </w:rPr>
        <w:t>Ignasz</w:t>
      </w:r>
      <w:r>
        <w:rPr>
          <w:rFonts w:cs="Segoe UI"/>
          <w:color w:val="212121"/>
          <w:lang w:val="en"/>
        </w:rPr>
        <w:t>ewski M &amp; Waslick B. Update on randomized placebo-controlled trials in the past decade for treatment of major depressive d</w:t>
      </w:r>
      <w:r w:rsidRPr="00A82561">
        <w:rPr>
          <w:rFonts w:cs="Segoe UI"/>
          <w:color w:val="212121"/>
          <w:lang w:val="en"/>
        </w:rPr>
        <w:t xml:space="preserve">isorder in </w:t>
      </w:r>
      <w:r>
        <w:rPr>
          <w:rFonts w:cs="Segoe UI"/>
          <w:color w:val="212121"/>
          <w:lang w:val="en"/>
        </w:rPr>
        <w:t>child and adolescent patients: a</w:t>
      </w:r>
      <w:r w:rsidRPr="00A82561">
        <w:rPr>
          <w:rFonts w:cs="Segoe UI"/>
          <w:color w:val="212121"/>
          <w:lang w:val="en"/>
        </w:rPr>
        <w:t xml:space="preserve"> systematic review. </w:t>
      </w:r>
      <w:r w:rsidRPr="0000723C">
        <w:rPr>
          <w:rFonts w:cs="Segoe UI"/>
          <w:color w:val="212121"/>
          <w:lang w:val="en"/>
        </w:rPr>
        <w:t>J Child Adolesc Psychopharmacol</w:t>
      </w:r>
      <w:r>
        <w:rPr>
          <w:rFonts w:cs="Segoe UI"/>
          <w:color w:val="212121"/>
          <w:lang w:val="en"/>
        </w:rPr>
        <w:t xml:space="preserve"> [Internet]</w:t>
      </w:r>
      <w:r w:rsidRPr="00A82561">
        <w:rPr>
          <w:rFonts w:cs="Segoe UI"/>
          <w:color w:val="212121"/>
          <w:lang w:val="en"/>
        </w:rPr>
        <w:t>. 2018</w:t>
      </w:r>
      <w:r>
        <w:rPr>
          <w:rFonts w:cs="Segoe UI"/>
          <w:color w:val="212121"/>
          <w:lang w:val="en"/>
        </w:rPr>
        <w:t xml:space="preserve"> [cited 2020 Nov </w:t>
      </w:r>
      <w:r w:rsidRPr="007D2C61">
        <w:rPr>
          <w:rFonts w:cs="Segoe UI"/>
          <w:color w:val="212121"/>
          <w:lang w:val="en"/>
        </w:rPr>
        <w:t>25]; 28(10):668-675.</w:t>
      </w:r>
      <w:bookmarkEnd w:id="74"/>
      <w:r w:rsidRPr="007D2C61">
        <w:rPr>
          <w:rFonts w:cs="Segoe UI"/>
          <w:color w:val="212121"/>
          <w:lang w:val="en"/>
        </w:rPr>
        <w:t xml:space="preserve"> Available from: </w:t>
      </w:r>
      <w:hyperlink r:id="rId55" w:history="1">
        <w:r w:rsidRPr="007D2C61">
          <w:rPr>
            <w:rStyle w:val="Hyperlink"/>
            <w:rFonts w:cs="Segoe UI"/>
            <w:szCs w:val="22"/>
            <w:lang w:val="en"/>
          </w:rPr>
          <w:t>https://doi.org/10.1089/cap.2017.0174</w:t>
        </w:r>
      </w:hyperlink>
    </w:p>
    <w:p w14:paraId="705B3C36" w14:textId="77777777" w:rsidR="0010591B" w:rsidRDefault="009B410E" w:rsidP="00E443A1">
      <w:pPr>
        <w:pStyle w:val="Numberbullet0"/>
        <w:rPr>
          <w:rFonts w:cs="Cambria"/>
        </w:rPr>
      </w:pPr>
      <w:bookmarkStart w:id="75" w:name="_Ref45886929"/>
      <w:r w:rsidRPr="007D2C61">
        <w:rPr>
          <w:rFonts w:cs="Cambria"/>
        </w:rPr>
        <w:t>Xu Y et al. Randomized controlled trials of serotonin-norepinephrine reuptake inhibitor in treating major depressive disorder in children and adolescents: a meta-analysis of efficacy and acceptability. Braz J Med Biol Res. 2016 [cited 2020 Nov 25]; 49(6).</w:t>
      </w:r>
      <w:bookmarkEnd w:id="75"/>
      <w:r w:rsidRPr="007D2C61">
        <w:rPr>
          <w:rFonts w:cs="Cambria"/>
        </w:rPr>
        <w:t xml:space="preserve"> Available from: </w:t>
      </w:r>
      <w:hyperlink r:id="rId56" w:history="1">
        <w:r w:rsidRPr="007D2C61">
          <w:rPr>
            <w:rStyle w:val="Hyperlink"/>
            <w:rFonts w:cs="Cambria"/>
            <w:szCs w:val="22"/>
          </w:rPr>
          <w:t>https://doi.org/10.1590/1414-431x20164806</w:t>
        </w:r>
      </w:hyperlink>
    </w:p>
    <w:p w14:paraId="699567F6" w14:textId="77777777" w:rsidR="0010591B" w:rsidRDefault="005E0B08" w:rsidP="00E443A1">
      <w:pPr>
        <w:pStyle w:val="Numberbullet0"/>
      </w:pPr>
      <w:r w:rsidRPr="007D2C61">
        <w:t>Gibbons</w:t>
      </w:r>
      <w:r w:rsidR="004C19BB" w:rsidRPr="007D2C61">
        <w:t xml:space="preserve"> RD, Perraillon MC, Hur K, Conti RM, Valuck RJ, Brent DA. Antidepressant treatment and suicide attempts and self-inflicted injury in children and adolescents. Pharmacoepidemiol Drug Saf. [Internet]. 2015 Feb [cited 2020 Dec 3]; </w:t>
      </w:r>
      <w:r w:rsidR="007D2C61" w:rsidRPr="007D2C61">
        <w:t xml:space="preserve">24(2):208-214. https://dx.doi.org/10.1002%2Fpds.3713 Available from: </w:t>
      </w:r>
      <w:hyperlink r:id="rId57" w:history="1">
        <w:r w:rsidR="007D2C61" w:rsidRPr="007D2C61">
          <w:rPr>
            <w:rStyle w:val="Hyperlink"/>
            <w:szCs w:val="22"/>
          </w:rPr>
          <w:t>https://www.ncbi.nlm.nih.gov/pmc/articles/PMC4312179/</w:t>
        </w:r>
      </w:hyperlink>
    </w:p>
    <w:p w14:paraId="53C4ED68" w14:textId="5283EAE7" w:rsidR="00B361AF" w:rsidRDefault="00B361AF" w:rsidP="00B361AF">
      <w:pPr>
        <w:pStyle w:val="Numberbullet0"/>
      </w:pPr>
      <w:r>
        <w:t xml:space="preserve">Australian Bureau of Statistics [Internet]. Canberra, ACT: ABS; 2019. Causes of Death, Australia, Statistics on the number of deaths, by sex, selected age groups, and cause of death classified to the International Classification of Diseases (ICD), Reference period 2018. 2019 Sep 25 [accessed 2020 Jul 7]. Table 11.1 Intentional self-harm, Number of deaths, 5 year age groups by sex, 2009-2018. Available from: </w:t>
      </w:r>
      <w:hyperlink r:id="rId58" w:history="1">
        <w:r w:rsidRPr="003E308C">
          <w:rPr>
            <w:rStyle w:val="Hyperlink"/>
          </w:rPr>
          <w:t>https://www.abs.gov.au/AUSSTATS/abs@.nsf/DetailsPage/3303.02018?OpenDocument</w:t>
        </w:r>
      </w:hyperlink>
    </w:p>
    <w:p w14:paraId="44D48AB8" w14:textId="4BBC4930" w:rsidR="00B361AF" w:rsidRDefault="00B361AF" w:rsidP="00B361AF">
      <w:pPr>
        <w:pStyle w:val="Numberbullet0"/>
      </w:pPr>
      <w:r>
        <w:t xml:space="preserve">Australian Bureau of Statistics [Internet]. Canberra, ACT: ABS; 2020. Causes of Death, Australia, Statistics on the number of deaths, by sex, selected age groups, and cause of death classified to the International Classification of Diseases (ICD), Reference period 2019. 2020 Oct 23 [accessed 2020 Oct 23]. Table 11.1 Intentional self-harm, Number of deaths, 5 year age groups by sex, 2010-2019. Available from: </w:t>
      </w:r>
      <w:hyperlink r:id="rId59" w:anchor="data-download" w:history="1">
        <w:r w:rsidRPr="003E308C">
          <w:rPr>
            <w:rStyle w:val="Hyperlink"/>
          </w:rPr>
          <w:t>https://www.abs.gov.au/statistics/health/causes-death/causes-death-australia/latest-release#data-download</w:t>
        </w:r>
      </w:hyperlink>
    </w:p>
    <w:p w14:paraId="28DA89D0" w14:textId="05B59A4C" w:rsidR="00B361AF" w:rsidRDefault="00B361AF" w:rsidP="00B361AF">
      <w:pPr>
        <w:pStyle w:val="Numberbullet0"/>
      </w:pPr>
      <w:r>
        <w:t xml:space="preserve">Australian Bureau of Statistics [Internet]. National, state and territory population, Statistics about the population and components of change (births, deaths, migration) for Australia and its states and territories, Reference period March 2020. Canberra, ACT: ABS; 2020. 2020 Sep 24 [accessed 2020 Jul 7]. Australian Demographic Statistics: Table 59. Estimated Resident Population By Single Year Of Age, Australia. Available from: </w:t>
      </w:r>
      <w:hyperlink r:id="rId60" w:history="1">
        <w:r w:rsidRPr="003E308C">
          <w:rPr>
            <w:rStyle w:val="Hyperlink"/>
          </w:rPr>
          <w:t>https://www.abs.gov.au/AUSSTATS/abs@.nsf/DetailsPage/3101.0Dec%202019?OpenDocument</w:t>
        </w:r>
      </w:hyperlink>
    </w:p>
    <w:p w14:paraId="785E3CE7" w14:textId="235E9262" w:rsidR="0010591B" w:rsidRDefault="00B361AF" w:rsidP="00B361AF">
      <w:pPr>
        <w:pStyle w:val="Numberbullet0"/>
      </w:pPr>
      <w:r>
        <w:lastRenderedPageBreak/>
        <w:t xml:space="preserve">Harrison J, Pointer S, Elnour A. A review of suicide statistics in Australia. Injury research and statistics series. Adelaide (AU): Australian Institute of Health and Wellbeing, 2009. Available from: </w:t>
      </w:r>
      <w:hyperlink r:id="rId61" w:history="1">
        <w:r w:rsidRPr="003E308C">
          <w:rPr>
            <w:rStyle w:val="Hyperlink"/>
          </w:rPr>
          <w:t>https://www.aihw.gov.au/reports/injury/a-review-of-suicide-statistics-in-australia/contents/table-of-contents</w:t>
        </w:r>
      </w:hyperlink>
    </w:p>
    <w:p w14:paraId="64885F87" w14:textId="77777777" w:rsidR="0010591B" w:rsidRDefault="009B410E" w:rsidP="00E443A1">
      <w:pPr>
        <w:pStyle w:val="Numberbullet0"/>
      </w:pPr>
      <w:r w:rsidRPr="00F12F64">
        <w:t xml:space="preserve">Mars B, Heron J, Kessler D, Davies NM, Martin RM, Thomaset KH, et al. Influences on </w:t>
      </w:r>
      <w:r w:rsidRPr="00732A2F">
        <w:t xml:space="preserve">antidepressant prescribing trends in the UK: 1995-2011. Soc Psychiatry Psychiatr Epidemiol [Internet]. 2017 [cited 2020 Nov 25]; 52(2):193-200. Available from: </w:t>
      </w:r>
      <w:hyperlink r:id="rId62" w:history="1">
        <w:r w:rsidRPr="00732A2F">
          <w:rPr>
            <w:rStyle w:val="Hyperlink"/>
            <w:szCs w:val="22"/>
          </w:rPr>
          <w:t>https://dx.doi.org/10.1007%2Fs00127-016-1306-4</w:t>
        </w:r>
      </w:hyperlink>
    </w:p>
    <w:p w14:paraId="600F8BDD" w14:textId="77777777" w:rsidR="0010591B" w:rsidRDefault="009B410E" w:rsidP="00E443A1">
      <w:pPr>
        <w:pStyle w:val="Numberbullet0"/>
      </w:pPr>
      <w:r w:rsidRPr="00732A2F">
        <w:t xml:space="preserve">Hartz I, Skurtveit S, Hjellvik V, Furu K, Nesvåg R, Handal M. Antidepressant drug use among adolescents during 2004–2013: a population-based register linkage study. Acta Psychiatr Scand [Internet]. 2016 [cited 2020 Nov 25]; 134(5):420-29. Available from: </w:t>
      </w:r>
      <w:hyperlink r:id="rId63" w:history="1">
        <w:r w:rsidRPr="00732A2F">
          <w:rPr>
            <w:rStyle w:val="Hyperlink"/>
            <w:szCs w:val="22"/>
          </w:rPr>
          <w:t>https://dx.doi.org/10.1111%2Facps.12633</w:t>
        </w:r>
      </w:hyperlink>
    </w:p>
    <w:p w14:paraId="6A36A379" w14:textId="77777777" w:rsidR="0010591B" w:rsidRDefault="009B410E" w:rsidP="00E443A1">
      <w:pPr>
        <w:pStyle w:val="Numberbullet0"/>
      </w:pPr>
      <w:r w:rsidRPr="00732A2F">
        <w:t xml:space="preserve">Malhi GS, Bassett D, Boyce P, </w:t>
      </w:r>
      <w:r w:rsidR="00732A2F" w:rsidRPr="00732A2F">
        <w:t>Bryant</w:t>
      </w:r>
      <w:r w:rsidR="00732A2F">
        <w:t xml:space="preserve"> R</w:t>
      </w:r>
      <w:r w:rsidR="00732A2F" w:rsidRPr="00732A2F">
        <w:t xml:space="preserve">, </w:t>
      </w:r>
      <w:r w:rsidR="00732A2F">
        <w:t>F</w:t>
      </w:r>
      <w:r w:rsidR="00732A2F" w:rsidRPr="00732A2F">
        <w:t>itzgerald</w:t>
      </w:r>
      <w:r w:rsidR="00732A2F">
        <w:t xml:space="preserve"> PB</w:t>
      </w:r>
      <w:r w:rsidR="00732A2F" w:rsidRPr="00732A2F">
        <w:t>, Fritz</w:t>
      </w:r>
      <w:r w:rsidR="00732A2F">
        <w:t xml:space="preserve"> K,</w:t>
      </w:r>
      <w:r w:rsidR="00732A2F" w:rsidRPr="00732A2F">
        <w:t xml:space="preserve"> </w:t>
      </w:r>
      <w:r w:rsidRPr="00732A2F">
        <w:t xml:space="preserve">et al. Royal </w:t>
      </w:r>
      <w:r w:rsidR="00554A81" w:rsidRPr="00732A2F">
        <w:t xml:space="preserve">Australian and New Zealand College of Psychiatrists [Internet]. Australia: RANZCP; 2005. </w:t>
      </w:r>
      <w:r w:rsidR="00FA207A" w:rsidRPr="00732A2F">
        <w:t>Australian and New Zealand College of Psychiatrists clinical practice guidelines for mood disorders</w:t>
      </w:r>
      <w:r w:rsidR="00554A81" w:rsidRPr="00732A2F">
        <w:t xml:space="preserve">. </w:t>
      </w:r>
      <w:r w:rsidR="00FA207A" w:rsidRPr="00732A2F">
        <w:t xml:space="preserve">2015 </w:t>
      </w:r>
      <w:r w:rsidR="00554A81" w:rsidRPr="00732A2F">
        <w:t>[cited 2020 Nov 25]</w:t>
      </w:r>
      <w:r w:rsidR="00FA207A" w:rsidRPr="00732A2F">
        <w:t>; 49(12)</w:t>
      </w:r>
      <w:r w:rsidRPr="00732A2F">
        <w:t>:1087-206.</w:t>
      </w:r>
      <w:r w:rsidR="00FA207A" w:rsidRPr="00732A2F">
        <w:t xml:space="preserve"> Available from: </w:t>
      </w:r>
      <w:hyperlink r:id="rId64" w:history="1">
        <w:r w:rsidR="00FA207A" w:rsidRPr="00732A2F">
          <w:rPr>
            <w:rStyle w:val="Hyperlink"/>
            <w:szCs w:val="22"/>
          </w:rPr>
          <w:t>https://www.ranzcp.org/files/resources/college_statements/clinician/cpg/mood-disorders-cpg.aspx</w:t>
        </w:r>
      </w:hyperlink>
    </w:p>
    <w:p w14:paraId="16D13561" w14:textId="52E0A79E" w:rsidR="00B67562" w:rsidRDefault="00B67562" w:rsidP="00B67562">
      <w:pPr>
        <w:pStyle w:val="Numberbullet0"/>
      </w:pPr>
      <w:r>
        <w:t xml:space="preserve">Australian Bureau of Statistics [Internet]. 1270.0.55.005 - Australian Statistical Geography Standard (ASGS): Volume 5 - Remoteness Structure, July 2016, Correspondence, 2017 Postcode to 2016 Remoteness Area. Canberra, ACT: ABS; 2018. 2018 [2020 Jul 20]. Available from: </w:t>
      </w:r>
      <w:hyperlink r:id="rId65" w:history="1">
        <w:r w:rsidRPr="003E308C">
          <w:rPr>
            <w:rStyle w:val="Hyperlink"/>
          </w:rPr>
          <w:t>https://www.abs.gov.au/AUSSTATS/abs@.nsf/DetailsPage/1270.0.55.005July%202016?OpenDocument</w:t>
        </w:r>
      </w:hyperlink>
    </w:p>
    <w:p w14:paraId="50A6D191" w14:textId="756A3205" w:rsidR="0010591B" w:rsidRDefault="00B67562" w:rsidP="00B67562">
      <w:pPr>
        <w:pStyle w:val="Numberbullet0"/>
      </w:pPr>
      <w:r>
        <w:t xml:space="preserve">Australian Bureau of Statistics [Internet]. 2033.0.55.001 - Census of Population and Housing: Socio-Economic Indexes for Areas (SEIFA), Australia, 2016, Postal Area, Indexes. Canberra, ACT: ABS; 2018. 2018 [accessed 2020 Aug 12]. Available from: </w:t>
      </w:r>
      <w:hyperlink r:id="rId66" w:history="1">
        <w:r w:rsidRPr="003E308C">
          <w:rPr>
            <w:rStyle w:val="Hyperlink"/>
          </w:rPr>
          <w:t>https://www.abs.gov.au/AUSSTATS/abs@.nsf/DetailsPage/2033.0.55.0012016?OpenDocument</w:t>
        </w:r>
      </w:hyperlink>
    </w:p>
    <w:bookmarkEnd w:id="73"/>
    <w:p w14:paraId="362F97F4" w14:textId="77777777" w:rsidR="0010591B" w:rsidRDefault="001C69DC" w:rsidP="00E443A1">
      <w:pPr>
        <w:pStyle w:val="Numberbullet0"/>
      </w:pPr>
      <w:r>
        <w:t>Therapeutic Goods Administration [Internet]. Canberra ACT: TGA; 2020</w:t>
      </w:r>
      <w:r w:rsidRPr="001C69DC">
        <w:t xml:space="preserve">. </w:t>
      </w:r>
      <w:r>
        <w:t>Advisory Committee on Medicines (ACM); 2020</w:t>
      </w:r>
      <w:r w:rsidRPr="001C69DC">
        <w:t xml:space="preserve"> </w:t>
      </w:r>
      <w:r>
        <w:t>Dec 1</w:t>
      </w:r>
      <w:r w:rsidRPr="001C69DC">
        <w:t xml:space="preserve"> [cited 2020 </w:t>
      </w:r>
      <w:r>
        <w:t>Dec 3</w:t>
      </w:r>
      <w:r w:rsidRPr="001C69DC">
        <w:t>]. Available from</w:t>
      </w:r>
      <w:r>
        <w:t xml:space="preserve">: </w:t>
      </w:r>
      <w:hyperlink r:id="rId67" w:history="1">
        <w:r w:rsidRPr="005261C9">
          <w:rPr>
            <w:rStyle w:val="Hyperlink"/>
          </w:rPr>
          <w:t>https://www.tga.gov.au/committee/advisory-committee-medicines-acm</w:t>
        </w:r>
      </w:hyperlink>
    </w:p>
    <w:p w14:paraId="28EF2E20" w14:textId="77777777" w:rsidR="0010591B" w:rsidRDefault="00E307DB" w:rsidP="00E443A1">
      <w:pPr>
        <w:pStyle w:val="Numberbullet0"/>
      </w:pPr>
      <w:r>
        <w:t>Lu CY, Penfold</w:t>
      </w:r>
      <w:r w:rsidR="00C67316">
        <w:t xml:space="preserve"> RB, Wallace J, Lupton C, Libby AM, Soumerai SB. Increases in suicide deaths among adolescents and young adults f</w:t>
      </w:r>
      <w:r w:rsidR="00C67316" w:rsidRPr="00C67316">
        <w:t>ollowing U</w:t>
      </w:r>
      <w:r w:rsidR="00C67316">
        <w:t>S Food and Drug Administration antidepressant boxed warnings and declines in depression c</w:t>
      </w:r>
      <w:r w:rsidR="00C67316" w:rsidRPr="00C67316">
        <w:t>are</w:t>
      </w:r>
      <w:r w:rsidR="00C67316">
        <w:t xml:space="preserve">. Psychiatric Reasearch and Clinical Practice [Internet]. 2020 Oct 7 [cited 2020 Dec 1]. Available from: </w:t>
      </w:r>
      <w:hyperlink r:id="rId68" w:history="1">
        <w:r w:rsidR="00C67316" w:rsidRPr="003E6B4C">
          <w:rPr>
            <w:rStyle w:val="Hyperlink"/>
          </w:rPr>
          <w:t>https://doi.org/10.1176/appi.prcp.20200012</w:t>
        </w:r>
      </w:hyperlink>
    </w:p>
    <w:p w14:paraId="15C48413" w14:textId="77777777" w:rsidR="0010591B" w:rsidRDefault="009B410E" w:rsidP="00E443A1">
      <w:pPr>
        <w:pStyle w:val="Numberbullet0"/>
      </w:pPr>
      <w:r w:rsidRPr="005312A2">
        <w:t>Stone, M B. In Search of a Pony: sources, methods, outcomes, and motivated reasoning. Med Care [Internet]. 2018 May [cited 2020 Nov 25]; 5(5):375-381. Available from:</w:t>
      </w:r>
      <w:r>
        <w:t xml:space="preserve"> </w:t>
      </w:r>
      <w:hyperlink r:id="rId69" w:history="1">
        <w:r w:rsidRPr="009015A7">
          <w:rPr>
            <w:rStyle w:val="Hyperlink"/>
            <w:szCs w:val="22"/>
          </w:rPr>
          <w:t>https://doi.org/10.1097/mlr.0000000000000895</w:t>
        </w:r>
      </w:hyperlink>
    </w:p>
    <w:p w14:paraId="60EC3C7C" w14:textId="7AC940B6" w:rsidR="00342C83" w:rsidRPr="00C55BA9" w:rsidRDefault="00342C83" w:rsidP="00C55BA9">
      <w:pPr>
        <w:adjustRightInd w:val="0"/>
        <w:snapToGrid w:val="0"/>
        <w:spacing w:after="120"/>
        <w:ind w:left="360"/>
        <w:rPr>
          <w:rFonts w:asciiTheme="minorHAnsi" w:hAnsiTheme="minorHAnsi"/>
          <w:szCs w:val="22"/>
        </w:rPr>
        <w:sectPr w:rsidR="00342C83" w:rsidRPr="00C55BA9" w:rsidSect="00372F5E">
          <w:pgSz w:w="11906" w:h="16838" w:code="9"/>
          <w:pgMar w:top="1134" w:right="1418" w:bottom="1361" w:left="1418" w:header="573" w:footer="567" w:gutter="0"/>
          <w:cols w:space="708"/>
          <w:docGrid w:linePitch="360"/>
        </w:sectPr>
      </w:pPr>
    </w:p>
    <w:p w14:paraId="674B1B0F" w14:textId="6E5C5905" w:rsidR="000F4ED9" w:rsidRPr="000F4ED9" w:rsidRDefault="00E443A1" w:rsidP="00AE3AB9">
      <w:pPr>
        <w:pStyle w:val="Heading2"/>
        <w:spacing w:before="0"/>
      </w:pPr>
      <w:bookmarkStart w:id="76" w:name="_Toc57132545"/>
      <w:bookmarkStart w:id="77" w:name="_Toc70418962"/>
      <w:r>
        <w:lastRenderedPageBreak/>
        <w:t xml:space="preserve">6. </w:t>
      </w:r>
      <w:r w:rsidR="00960560">
        <w:t>Appendices</w:t>
      </w:r>
      <w:bookmarkEnd w:id="76"/>
      <w:bookmarkEnd w:id="77"/>
    </w:p>
    <w:p w14:paraId="778C79F1" w14:textId="2B5C6657" w:rsidR="00A90400" w:rsidRPr="00B2273E" w:rsidRDefault="00A90400" w:rsidP="00DC0E3E">
      <w:pPr>
        <w:pStyle w:val="Heading3"/>
        <w:spacing w:before="240"/>
      </w:pPr>
      <w:bookmarkStart w:id="78" w:name="_Toc57132546"/>
      <w:bookmarkStart w:id="79" w:name="_Toc70418963"/>
      <w:r w:rsidRPr="00B2273E">
        <w:t xml:space="preserve">Appendix </w:t>
      </w:r>
      <w:r w:rsidR="00342C83" w:rsidRPr="00B2273E">
        <w:t>1</w:t>
      </w:r>
      <w:r w:rsidR="00384417" w:rsidRPr="00B2273E">
        <w:t xml:space="preserve"> – List of antidepressants registered for the treatment of depression in Australia (ATC code N06A) – registered indications and PBS availability</w:t>
      </w:r>
      <w:bookmarkEnd w:id="78"/>
      <w:bookmarkEnd w:id="79"/>
    </w:p>
    <w:tbl>
      <w:tblPr>
        <w:tblStyle w:val="TableGrid"/>
        <w:tblW w:w="13886" w:type="dxa"/>
        <w:tblLook w:val="04A0" w:firstRow="1" w:lastRow="0" w:firstColumn="1" w:lastColumn="0" w:noHBand="0" w:noVBand="1"/>
      </w:tblPr>
      <w:tblGrid>
        <w:gridCol w:w="2209"/>
        <w:gridCol w:w="2232"/>
        <w:gridCol w:w="4705"/>
        <w:gridCol w:w="4740"/>
      </w:tblGrid>
      <w:tr w:rsidR="008C33B5" w:rsidRPr="008C32D1" w14:paraId="4227B7FD" w14:textId="0650278E" w:rsidTr="00DC0E3E">
        <w:trPr>
          <w:cantSplit/>
          <w:trHeight w:val="310"/>
        </w:trPr>
        <w:tc>
          <w:tcPr>
            <w:tcW w:w="13886" w:type="dxa"/>
            <w:gridSpan w:val="4"/>
            <w:shd w:val="clear" w:color="auto" w:fill="006DA7"/>
          </w:tcPr>
          <w:p w14:paraId="4C0A1CD8" w14:textId="7840957F" w:rsidR="008C33B5" w:rsidRDefault="008C33B5" w:rsidP="00DC0E3E">
            <w:pPr>
              <w:spacing w:before="100" w:after="100"/>
              <w:rPr>
                <w:rFonts w:asciiTheme="minorHAnsi" w:hAnsiTheme="minorHAnsi"/>
                <w:b/>
                <w:szCs w:val="22"/>
              </w:rPr>
            </w:pPr>
            <w:r w:rsidRPr="00DC0E3E">
              <w:rPr>
                <w:rFonts w:asciiTheme="minorHAnsi" w:hAnsiTheme="minorHAnsi"/>
                <w:b/>
                <w:color w:val="FFFFFF" w:themeColor="background1"/>
                <w:szCs w:val="22"/>
              </w:rPr>
              <w:t>Selective serotonin reuptake inhibitors (SSRIs)</w:t>
            </w:r>
          </w:p>
        </w:tc>
      </w:tr>
      <w:tr w:rsidR="0043661B" w:rsidRPr="00E62611" w14:paraId="6D7F604C" w14:textId="3B017564" w:rsidTr="00DC0E3E">
        <w:trPr>
          <w:cantSplit/>
          <w:trHeight w:val="88"/>
        </w:trPr>
        <w:tc>
          <w:tcPr>
            <w:tcW w:w="2209" w:type="dxa"/>
            <w:shd w:val="clear" w:color="auto" w:fill="auto"/>
          </w:tcPr>
          <w:p w14:paraId="08CA42CD" w14:textId="77777777" w:rsidR="0043661B" w:rsidRPr="00DC0E3E" w:rsidRDefault="0043661B" w:rsidP="00DC0E3E">
            <w:pPr>
              <w:spacing w:before="100" w:after="100"/>
              <w:rPr>
                <w:rFonts w:asciiTheme="minorHAnsi" w:hAnsiTheme="minorHAnsi"/>
                <w:b/>
                <w:szCs w:val="22"/>
              </w:rPr>
            </w:pPr>
            <w:r w:rsidRPr="00DC0E3E">
              <w:rPr>
                <w:rFonts w:asciiTheme="minorHAnsi" w:hAnsiTheme="minorHAnsi"/>
                <w:b/>
                <w:szCs w:val="22"/>
              </w:rPr>
              <w:t>Generic name (innovator trade name)</w:t>
            </w:r>
          </w:p>
        </w:tc>
        <w:tc>
          <w:tcPr>
            <w:tcW w:w="2232" w:type="dxa"/>
            <w:shd w:val="clear" w:color="auto" w:fill="auto"/>
          </w:tcPr>
          <w:p w14:paraId="52715670" w14:textId="77777777" w:rsidR="0043661B" w:rsidRPr="00DC0E3E" w:rsidRDefault="0043661B" w:rsidP="00DC0E3E">
            <w:pPr>
              <w:spacing w:before="100" w:after="100"/>
              <w:rPr>
                <w:rFonts w:asciiTheme="minorHAnsi" w:hAnsiTheme="minorHAnsi"/>
                <w:b/>
                <w:szCs w:val="22"/>
              </w:rPr>
            </w:pPr>
            <w:r w:rsidRPr="00DC0E3E">
              <w:rPr>
                <w:rFonts w:asciiTheme="minorHAnsi" w:hAnsiTheme="minorHAnsi"/>
                <w:b/>
                <w:szCs w:val="22"/>
              </w:rPr>
              <w:t>Innovator Sponsor</w:t>
            </w:r>
          </w:p>
        </w:tc>
        <w:tc>
          <w:tcPr>
            <w:tcW w:w="4705" w:type="dxa"/>
            <w:shd w:val="clear" w:color="auto" w:fill="auto"/>
          </w:tcPr>
          <w:p w14:paraId="610DE7B8" w14:textId="603AE829" w:rsidR="0043661B" w:rsidRPr="00DC0E3E" w:rsidRDefault="0043661B" w:rsidP="00DC0E3E">
            <w:pPr>
              <w:spacing w:before="100" w:after="100"/>
              <w:rPr>
                <w:rFonts w:asciiTheme="minorHAnsi" w:hAnsiTheme="minorHAnsi"/>
                <w:b/>
                <w:szCs w:val="22"/>
              </w:rPr>
            </w:pPr>
            <w:r w:rsidRPr="00DC0E3E">
              <w:rPr>
                <w:rFonts w:asciiTheme="minorHAnsi" w:hAnsiTheme="minorHAnsi"/>
                <w:b/>
                <w:szCs w:val="22"/>
              </w:rPr>
              <w:t>Registered indication(s)</w:t>
            </w:r>
          </w:p>
        </w:tc>
        <w:tc>
          <w:tcPr>
            <w:tcW w:w="4740" w:type="dxa"/>
            <w:shd w:val="clear" w:color="auto" w:fill="auto"/>
          </w:tcPr>
          <w:p w14:paraId="42015EE3" w14:textId="3EB15C2C" w:rsidR="0043661B" w:rsidRPr="00DC0E3E" w:rsidRDefault="0043661B" w:rsidP="00DC0E3E">
            <w:pPr>
              <w:spacing w:before="100" w:after="100"/>
              <w:rPr>
                <w:rFonts w:asciiTheme="minorHAnsi" w:hAnsiTheme="minorHAnsi"/>
                <w:b/>
                <w:szCs w:val="22"/>
              </w:rPr>
            </w:pPr>
            <w:r w:rsidRPr="00DC0E3E">
              <w:rPr>
                <w:rFonts w:asciiTheme="minorHAnsi" w:hAnsiTheme="minorHAnsi"/>
                <w:b/>
                <w:szCs w:val="22"/>
              </w:rPr>
              <w:t>PBS availability</w:t>
            </w:r>
          </w:p>
        </w:tc>
      </w:tr>
      <w:tr w:rsidR="0043661B" w:rsidRPr="00E62611" w14:paraId="5F7976E4" w14:textId="49A1F0F9" w:rsidTr="00EF0937">
        <w:trPr>
          <w:cantSplit/>
          <w:trHeight w:val="88"/>
        </w:trPr>
        <w:tc>
          <w:tcPr>
            <w:tcW w:w="2209" w:type="dxa"/>
          </w:tcPr>
          <w:p w14:paraId="4A9E3760"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Citalopram (Cipramil)</w:t>
            </w:r>
          </w:p>
        </w:tc>
        <w:tc>
          <w:tcPr>
            <w:tcW w:w="2232" w:type="dxa"/>
          </w:tcPr>
          <w:p w14:paraId="32BF29C7"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Lundbeck Australia Pty Ltd</w:t>
            </w:r>
          </w:p>
        </w:tc>
        <w:tc>
          <w:tcPr>
            <w:tcW w:w="4705" w:type="dxa"/>
          </w:tcPr>
          <w:p w14:paraId="6AB29134" w14:textId="77777777" w:rsidR="0043661B" w:rsidRPr="009643C8" w:rsidRDefault="0043661B" w:rsidP="00DC0E3E">
            <w:pPr>
              <w:pStyle w:val="ListBullet"/>
              <w:spacing w:before="100" w:after="100"/>
            </w:pPr>
            <w:r>
              <w:t>M</w:t>
            </w:r>
            <w:r w:rsidRPr="009643C8">
              <w:t>ajor depression</w:t>
            </w:r>
          </w:p>
        </w:tc>
        <w:tc>
          <w:tcPr>
            <w:tcW w:w="4740" w:type="dxa"/>
          </w:tcPr>
          <w:p w14:paraId="7EEC048F" w14:textId="66F2C0B2" w:rsidR="0043661B" w:rsidRDefault="006C2CEA" w:rsidP="00DC0E3E">
            <w:pPr>
              <w:pStyle w:val="ListBullet"/>
              <w:spacing w:before="100" w:after="100"/>
            </w:pPr>
            <w:r>
              <w:t>Restricted B</w:t>
            </w:r>
            <w:r w:rsidR="0043661B">
              <w:t>enefit*</w:t>
            </w:r>
          </w:p>
          <w:p w14:paraId="64A6575F" w14:textId="7BD1CFBD" w:rsidR="0043661B" w:rsidRDefault="0043661B" w:rsidP="00DC0E3E">
            <w:pPr>
              <w:pStyle w:val="ListBullet2"/>
              <w:spacing w:before="100" w:after="100"/>
            </w:pPr>
            <w:r w:rsidRPr="00D7560E">
              <w:t>Major depressive disorders</w:t>
            </w:r>
          </w:p>
        </w:tc>
      </w:tr>
      <w:tr w:rsidR="0043661B" w:rsidRPr="00E62611" w14:paraId="602387C6" w14:textId="5C72CC53" w:rsidTr="00EF0937">
        <w:trPr>
          <w:cantSplit/>
          <w:trHeight w:val="87"/>
        </w:trPr>
        <w:tc>
          <w:tcPr>
            <w:tcW w:w="2209" w:type="dxa"/>
          </w:tcPr>
          <w:p w14:paraId="51D30476"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Escitalopram (Lexapro)</w:t>
            </w:r>
          </w:p>
        </w:tc>
        <w:tc>
          <w:tcPr>
            <w:tcW w:w="2232" w:type="dxa"/>
          </w:tcPr>
          <w:p w14:paraId="275EF178"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Lundbeck Australia Pty Ltd</w:t>
            </w:r>
          </w:p>
        </w:tc>
        <w:tc>
          <w:tcPr>
            <w:tcW w:w="4705" w:type="dxa"/>
          </w:tcPr>
          <w:p w14:paraId="006250D4" w14:textId="77777777" w:rsidR="0043661B" w:rsidRPr="009643C8" w:rsidRDefault="0043661B" w:rsidP="00DC0E3E">
            <w:pPr>
              <w:pStyle w:val="ListBullet"/>
              <w:spacing w:before="100" w:after="100"/>
            </w:pPr>
            <w:r w:rsidRPr="009643C8">
              <w:t>Major depression</w:t>
            </w:r>
          </w:p>
          <w:p w14:paraId="56C38C63" w14:textId="77777777" w:rsidR="0043661B" w:rsidRPr="009643C8" w:rsidRDefault="0043661B" w:rsidP="00DC0E3E">
            <w:pPr>
              <w:pStyle w:val="ListBullet"/>
              <w:spacing w:before="100" w:after="100"/>
            </w:pPr>
            <w:r w:rsidRPr="009643C8">
              <w:t>Social anxiety disorder (social phobia)</w:t>
            </w:r>
          </w:p>
          <w:p w14:paraId="26ED94B9" w14:textId="77777777" w:rsidR="0043661B" w:rsidRPr="009643C8" w:rsidRDefault="0043661B" w:rsidP="00DC0E3E">
            <w:pPr>
              <w:pStyle w:val="ListBullet"/>
              <w:spacing w:before="100" w:after="100"/>
            </w:pPr>
            <w:r w:rsidRPr="009643C8">
              <w:t>Generalised anxiety disorder</w:t>
            </w:r>
          </w:p>
          <w:p w14:paraId="036F4E82" w14:textId="77777777" w:rsidR="0043661B" w:rsidRPr="009643C8" w:rsidRDefault="0043661B" w:rsidP="00DC0E3E">
            <w:pPr>
              <w:pStyle w:val="ListBullet"/>
              <w:spacing w:before="100" w:after="100"/>
              <w:rPr>
                <w:b/>
              </w:rPr>
            </w:pPr>
            <w:r w:rsidRPr="009643C8">
              <w:t>Obsessive compulsive disorder</w:t>
            </w:r>
          </w:p>
        </w:tc>
        <w:tc>
          <w:tcPr>
            <w:tcW w:w="4740" w:type="dxa"/>
          </w:tcPr>
          <w:p w14:paraId="26C3F15C" w14:textId="3B9F8834" w:rsidR="0043661B" w:rsidRDefault="006C2CEA" w:rsidP="00DC0E3E">
            <w:pPr>
              <w:pStyle w:val="ListBullet"/>
              <w:spacing w:before="100" w:after="100"/>
            </w:pPr>
            <w:r>
              <w:t>Restricted B</w:t>
            </w:r>
            <w:r w:rsidR="0043661B">
              <w:t>enefit</w:t>
            </w:r>
          </w:p>
          <w:p w14:paraId="21F9462E" w14:textId="77777777" w:rsidR="0043661B" w:rsidRPr="009643C8" w:rsidRDefault="0043661B" w:rsidP="00DC0E3E">
            <w:pPr>
              <w:pStyle w:val="ListBullet2"/>
              <w:spacing w:before="100" w:after="100"/>
            </w:pPr>
            <w:r w:rsidRPr="009643C8">
              <w:t>Major dep</w:t>
            </w:r>
            <w:r>
              <w:t>ressive disorders</w:t>
            </w:r>
          </w:p>
          <w:p w14:paraId="73060955" w14:textId="77777777" w:rsidR="0043661B" w:rsidRDefault="0043661B" w:rsidP="00DC0E3E">
            <w:pPr>
              <w:pStyle w:val="ListBullet2"/>
              <w:spacing w:before="100" w:after="100"/>
            </w:pPr>
            <w:r>
              <w:t>Moderate to severe g</w:t>
            </w:r>
            <w:r w:rsidRPr="00D7560E">
              <w:t>eneralised anxiety disorder</w:t>
            </w:r>
          </w:p>
          <w:p w14:paraId="3B156CCF" w14:textId="49A0EBAD" w:rsidR="0043661B" w:rsidRPr="009643C8" w:rsidRDefault="0043661B" w:rsidP="00DC0E3E">
            <w:pPr>
              <w:pStyle w:val="ListBullet2"/>
              <w:spacing w:before="100" w:after="100"/>
            </w:pPr>
            <w:r>
              <w:t>Moderate to severe social anxiety disorder (social phobia, SAD)</w:t>
            </w:r>
          </w:p>
        </w:tc>
      </w:tr>
      <w:tr w:rsidR="0043661B" w:rsidRPr="00E62611" w14:paraId="02F40429" w14:textId="3FFC272D" w:rsidTr="00EF0937">
        <w:trPr>
          <w:cantSplit/>
          <w:trHeight w:val="87"/>
        </w:trPr>
        <w:tc>
          <w:tcPr>
            <w:tcW w:w="2209" w:type="dxa"/>
          </w:tcPr>
          <w:p w14:paraId="4E1C99C2"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Fluoxetine (Prozac)</w:t>
            </w:r>
          </w:p>
        </w:tc>
        <w:tc>
          <w:tcPr>
            <w:tcW w:w="2232" w:type="dxa"/>
          </w:tcPr>
          <w:p w14:paraId="3A4397B8"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Eli Lilly Australia Pty Ltd</w:t>
            </w:r>
          </w:p>
        </w:tc>
        <w:tc>
          <w:tcPr>
            <w:tcW w:w="4705" w:type="dxa"/>
          </w:tcPr>
          <w:p w14:paraId="4E204B6E" w14:textId="77777777" w:rsidR="0043661B" w:rsidRPr="009643C8" w:rsidRDefault="0043661B" w:rsidP="00DC0E3E">
            <w:pPr>
              <w:pStyle w:val="ListBullet"/>
              <w:spacing w:before="100" w:after="100"/>
            </w:pPr>
            <w:r w:rsidRPr="009643C8">
              <w:t>Major depression</w:t>
            </w:r>
          </w:p>
          <w:p w14:paraId="47FA8FC8" w14:textId="77777777" w:rsidR="0043661B" w:rsidRDefault="0043661B" w:rsidP="00DC0E3E">
            <w:pPr>
              <w:pStyle w:val="ListBullet"/>
              <w:spacing w:before="100" w:after="100"/>
            </w:pPr>
            <w:r>
              <w:t>Obsessive compulsive disorder</w:t>
            </w:r>
          </w:p>
          <w:p w14:paraId="726AB6CE" w14:textId="77777777" w:rsidR="0043661B" w:rsidRPr="009643C8" w:rsidRDefault="0043661B" w:rsidP="00DC0E3E">
            <w:pPr>
              <w:pStyle w:val="ListBullet"/>
              <w:spacing w:before="100" w:after="100"/>
            </w:pPr>
            <w:r>
              <w:t>Pre-menstrual dysphoric disorder</w:t>
            </w:r>
          </w:p>
        </w:tc>
        <w:tc>
          <w:tcPr>
            <w:tcW w:w="4740" w:type="dxa"/>
          </w:tcPr>
          <w:p w14:paraId="08309499" w14:textId="3C985010" w:rsidR="0043661B" w:rsidRDefault="006C2CEA" w:rsidP="00DC0E3E">
            <w:pPr>
              <w:pStyle w:val="ListBullet"/>
              <w:spacing w:before="100" w:after="100"/>
            </w:pPr>
            <w:r>
              <w:t>Restricted B</w:t>
            </w:r>
            <w:r w:rsidR="0043661B">
              <w:t>enefit</w:t>
            </w:r>
          </w:p>
          <w:p w14:paraId="7D3C8D5B" w14:textId="77777777" w:rsidR="0043661B" w:rsidRDefault="0043661B" w:rsidP="00DC0E3E">
            <w:pPr>
              <w:pStyle w:val="ListBullet2"/>
              <w:spacing w:before="100" w:after="100"/>
            </w:pPr>
            <w:r w:rsidRPr="00D7560E">
              <w:t>Major depressive disorders</w:t>
            </w:r>
          </w:p>
          <w:p w14:paraId="4777CB5B" w14:textId="1707C4F6" w:rsidR="0043661B" w:rsidRPr="009643C8" w:rsidRDefault="0043661B" w:rsidP="00DC0E3E">
            <w:pPr>
              <w:pStyle w:val="ListBullet2"/>
              <w:spacing w:before="100" w:after="100"/>
            </w:pPr>
            <w:r>
              <w:t>Obsessive-compulsive disorder</w:t>
            </w:r>
          </w:p>
        </w:tc>
      </w:tr>
      <w:tr w:rsidR="0043661B" w:rsidRPr="00E62611" w14:paraId="48B51480" w14:textId="59C12C03" w:rsidTr="00EF0937">
        <w:trPr>
          <w:cantSplit/>
          <w:trHeight w:val="87"/>
        </w:trPr>
        <w:tc>
          <w:tcPr>
            <w:tcW w:w="2209" w:type="dxa"/>
          </w:tcPr>
          <w:p w14:paraId="66504E2B"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Fluvoxamine (Luvox)</w:t>
            </w:r>
          </w:p>
        </w:tc>
        <w:tc>
          <w:tcPr>
            <w:tcW w:w="2232" w:type="dxa"/>
          </w:tcPr>
          <w:p w14:paraId="31D3A715"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Mylan Health Pty Ltd</w:t>
            </w:r>
          </w:p>
        </w:tc>
        <w:tc>
          <w:tcPr>
            <w:tcW w:w="4705" w:type="dxa"/>
          </w:tcPr>
          <w:p w14:paraId="1FBDAAD8" w14:textId="77777777" w:rsidR="0043661B" w:rsidRPr="00383DB2" w:rsidRDefault="0043661B" w:rsidP="00DC0E3E">
            <w:pPr>
              <w:spacing w:before="100" w:after="100"/>
              <w:rPr>
                <w:rFonts w:asciiTheme="minorHAnsi" w:hAnsiTheme="minorHAnsi"/>
                <w:szCs w:val="22"/>
              </w:rPr>
            </w:pPr>
            <w:r w:rsidRPr="00383DB2">
              <w:rPr>
                <w:rFonts w:asciiTheme="minorHAnsi" w:hAnsiTheme="minorHAnsi"/>
                <w:szCs w:val="22"/>
              </w:rPr>
              <w:t>Children and Adolescents</w:t>
            </w:r>
            <w:r>
              <w:rPr>
                <w:rFonts w:asciiTheme="minorHAnsi" w:hAnsiTheme="minorHAnsi"/>
                <w:szCs w:val="22"/>
              </w:rPr>
              <w:t xml:space="preserve"> (8</w:t>
            </w:r>
            <w:r w:rsidRPr="00383DB2">
              <w:rPr>
                <w:rFonts w:asciiTheme="minorHAnsi" w:hAnsiTheme="minorHAnsi"/>
                <w:szCs w:val="22"/>
              </w:rPr>
              <w:t xml:space="preserve"> years and over)</w:t>
            </w:r>
          </w:p>
          <w:p w14:paraId="693D0468" w14:textId="77777777" w:rsidR="0010591B" w:rsidRDefault="0043661B" w:rsidP="00DC0E3E">
            <w:pPr>
              <w:pStyle w:val="ListBullet"/>
              <w:spacing w:before="100" w:after="100"/>
            </w:pPr>
            <w:r w:rsidRPr="00383DB2">
              <w:t>Obsessive compulsive disorder</w:t>
            </w:r>
          </w:p>
          <w:p w14:paraId="77820E8B" w14:textId="2F0B8D6B" w:rsidR="0043661B" w:rsidRPr="00383DB2" w:rsidRDefault="0043661B" w:rsidP="00DC0E3E">
            <w:pPr>
              <w:spacing w:before="100" w:after="100"/>
              <w:rPr>
                <w:rFonts w:asciiTheme="minorHAnsi" w:hAnsiTheme="minorHAnsi"/>
                <w:szCs w:val="22"/>
              </w:rPr>
            </w:pPr>
            <w:r w:rsidRPr="00383DB2">
              <w:rPr>
                <w:rFonts w:asciiTheme="minorHAnsi" w:hAnsiTheme="minorHAnsi"/>
                <w:szCs w:val="22"/>
              </w:rPr>
              <w:t>Adults</w:t>
            </w:r>
          </w:p>
          <w:p w14:paraId="5374E0F5" w14:textId="77777777" w:rsidR="0043661B" w:rsidRDefault="0043661B" w:rsidP="00DC0E3E">
            <w:pPr>
              <w:pStyle w:val="ListBullet"/>
              <w:spacing w:before="100" w:after="100"/>
            </w:pPr>
            <w:r w:rsidRPr="00383DB2">
              <w:t>Major depression</w:t>
            </w:r>
          </w:p>
          <w:p w14:paraId="45E6F796" w14:textId="24B614FD" w:rsidR="0043661B" w:rsidRPr="00CC2FA4" w:rsidRDefault="00E443A1" w:rsidP="00DC0E3E">
            <w:pPr>
              <w:pStyle w:val="ListBullet"/>
              <w:spacing w:before="100" w:after="100"/>
            </w:pPr>
            <w:r>
              <w:t>Obsessive compulsive disorder</w:t>
            </w:r>
          </w:p>
        </w:tc>
        <w:tc>
          <w:tcPr>
            <w:tcW w:w="4740" w:type="dxa"/>
          </w:tcPr>
          <w:p w14:paraId="410263D0" w14:textId="69E749CD" w:rsidR="0043661B" w:rsidRDefault="006C2CEA" w:rsidP="00DC0E3E">
            <w:pPr>
              <w:pStyle w:val="ListBullet"/>
              <w:spacing w:before="100" w:after="100"/>
            </w:pPr>
            <w:r>
              <w:t>Restricted B</w:t>
            </w:r>
            <w:r w:rsidR="0043661B">
              <w:t>enefit</w:t>
            </w:r>
          </w:p>
          <w:p w14:paraId="39BF537D" w14:textId="77777777" w:rsidR="0043661B" w:rsidRDefault="0043661B" w:rsidP="00DC0E3E">
            <w:pPr>
              <w:pStyle w:val="ListBullet2"/>
              <w:spacing w:before="100" w:after="100"/>
            </w:pPr>
            <w:r w:rsidRPr="00D7560E">
              <w:t>Major depressive disorders</w:t>
            </w:r>
          </w:p>
          <w:p w14:paraId="62C253A4" w14:textId="7BF2BCFF" w:rsidR="0043661B" w:rsidRPr="0043661B" w:rsidRDefault="0043661B" w:rsidP="00DC0E3E">
            <w:pPr>
              <w:pStyle w:val="ListBullet2"/>
              <w:spacing w:before="100" w:after="100"/>
            </w:pPr>
            <w:r>
              <w:t>Obsessive-compulsive disorder</w:t>
            </w:r>
          </w:p>
        </w:tc>
      </w:tr>
      <w:tr w:rsidR="0043661B" w:rsidRPr="00E62611" w14:paraId="6F4665FB" w14:textId="540FB1A3" w:rsidTr="00EF0937">
        <w:trPr>
          <w:cantSplit/>
          <w:trHeight w:val="87"/>
        </w:trPr>
        <w:tc>
          <w:tcPr>
            <w:tcW w:w="2209" w:type="dxa"/>
          </w:tcPr>
          <w:p w14:paraId="65E058A0"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lastRenderedPageBreak/>
              <w:t>Paroxetine (Aropax)</w:t>
            </w:r>
          </w:p>
        </w:tc>
        <w:tc>
          <w:tcPr>
            <w:tcW w:w="2232" w:type="dxa"/>
          </w:tcPr>
          <w:p w14:paraId="6AB4E211"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Aspen Pharmacare Australia Pty Ltd</w:t>
            </w:r>
          </w:p>
        </w:tc>
        <w:tc>
          <w:tcPr>
            <w:tcW w:w="4705" w:type="dxa"/>
          </w:tcPr>
          <w:p w14:paraId="38518E41" w14:textId="77777777" w:rsidR="0043661B" w:rsidRPr="00CC2FA4" w:rsidRDefault="0043661B" w:rsidP="00DC0E3E">
            <w:pPr>
              <w:pStyle w:val="ListBullet"/>
              <w:spacing w:before="100" w:after="100"/>
            </w:pPr>
            <w:r w:rsidRPr="00CC2FA4">
              <w:t>Major depression and prevention of relapse of depressive symptoms</w:t>
            </w:r>
          </w:p>
          <w:p w14:paraId="2BCB128E" w14:textId="77777777" w:rsidR="0043661B" w:rsidRPr="00CC2FA4" w:rsidRDefault="0043661B" w:rsidP="00DC0E3E">
            <w:pPr>
              <w:pStyle w:val="ListBullet"/>
              <w:spacing w:before="100" w:after="100"/>
            </w:pPr>
            <w:r w:rsidRPr="00CC2FA4">
              <w:t>Obsessive compulsive disorder and prevention of its relapse</w:t>
            </w:r>
          </w:p>
          <w:p w14:paraId="28939B3E" w14:textId="77777777" w:rsidR="0043661B" w:rsidRPr="00CC2FA4" w:rsidRDefault="0043661B" w:rsidP="00DC0E3E">
            <w:pPr>
              <w:pStyle w:val="ListBullet"/>
              <w:spacing w:before="100" w:after="100"/>
            </w:pPr>
            <w:r w:rsidRPr="00CC2FA4">
              <w:t>Panic disorder and prevention of its relapse</w:t>
            </w:r>
          </w:p>
          <w:p w14:paraId="41B76234" w14:textId="77777777" w:rsidR="0043661B" w:rsidRPr="00CC2FA4" w:rsidRDefault="0043661B" w:rsidP="00DC0E3E">
            <w:pPr>
              <w:pStyle w:val="ListBullet"/>
              <w:spacing w:before="100" w:after="100"/>
            </w:pPr>
            <w:r w:rsidRPr="00CC2FA4">
              <w:t>Social anxiety disorder</w:t>
            </w:r>
          </w:p>
          <w:p w14:paraId="333F4613" w14:textId="77777777" w:rsidR="0043661B" w:rsidRPr="00CC2FA4" w:rsidRDefault="0043661B" w:rsidP="00DC0E3E">
            <w:pPr>
              <w:pStyle w:val="ListBullet"/>
              <w:spacing w:before="100" w:after="100"/>
            </w:pPr>
            <w:r w:rsidRPr="00CC2FA4">
              <w:t>Generalised anxiety disorder</w:t>
            </w:r>
          </w:p>
          <w:p w14:paraId="1D7010EF" w14:textId="77777777" w:rsidR="0043661B" w:rsidRPr="00383DB2" w:rsidRDefault="0043661B" w:rsidP="00DC0E3E">
            <w:pPr>
              <w:pStyle w:val="ListBullet"/>
              <w:spacing w:before="100" w:after="100"/>
              <w:rPr>
                <w:b/>
              </w:rPr>
            </w:pPr>
            <w:r w:rsidRPr="00CC2FA4">
              <w:t>Post-traumatic stress disorder</w:t>
            </w:r>
          </w:p>
        </w:tc>
        <w:tc>
          <w:tcPr>
            <w:tcW w:w="4740" w:type="dxa"/>
          </w:tcPr>
          <w:p w14:paraId="128C4D57" w14:textId="64A70FEE" w:rsidR="0043661B" w:rsidRDefault="006C2CEA" w:rsidP="00DC0E3E">
            <w:pPr>
              <w:pStyle w:val="ListBullet"/>
              <w:spacing w:before="100" w:after="100"/>
            </w:pPr>
            <w:r>
              <w:t>Restricted B</w:t>
            </w:r>
            <w:r w:rsidR="0043661B">
              <w:t>enefit</w:t>
            </w:r>
          </w:p>
          <w:p w14:paraId="193848DB" w14:textId="77777777" w:rsidR="0043661B" w:rsidRDefault="0043661B" w:rsidP="00DC0E3E">
            <w:pPr>
              <w:pStyle w:val="ListBullet2"/>
              <w:spacing w:before="100" w:after="100"/>
            </w:pPr>
            <w:r w:rsidRPr="00D7560E">
              <w:t>Major depressive disorders</w:t>
            </w:r>
          </w:p>
          <w:p w14:paraId="38467709" w14:textId="77777777" w:rsidR="0043661B" w:rsidRPr="0043661B" w:rsidRDefault="0043661B" w:rsidP="00DC0E3E">
            <w:pPr>
              <w:pStyle w:val="ListBullet2"/>
              <w:spacing w:before="100" w:after="100"/>
              <w:rPr>
                <w:b/>
              </w:rPr>
            </w:pPr>
            <w:r>
              <w:t>Obsessive-compulsive disorder</w:t>
            </w:r>
          </w:p>
          <w:p w14:paraId="791EAC1A" w14:textId="2CA9F9E2" w:rsidR="0043661B" w:rsidRPr="0043661B" w:rsidRDefault="0043661B" w:rsidP="00DC0E3E">
            <w:pPr>
              <w:pStyle w:val="ListBullet2"/>
              <w:spacing w:before="100" w:after="100"/>
              <w:rPr>
                <w:b/>
              </w:rPr>
            </w:pPr>
            <w:r>
              <w:t>Panic disorder</w:t>
            </w:r>
          </w:p>
        </w:tc>
      </w:tr>
      <w:tr w:rsidR="0043661B" w:rsidRPr="00E62611" w14:paraId="0C0F32E3" w14:textId="28BD653F" w:rsidTr="00EF0937">
        <w:trPr>
          <w:cantSplit/>
          <w:trHeight w:val="87"/>
        </w:trPr>
        <w:tc>
          <w:tcPr>
            <w:tcW w:w="2209" w:type="dxa"/>
          </w:tcPr>
          <w:p w14:paraId="7AC3411F"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Sertraline (Zoloft)</w:t>
            </w:r>
          </w:p>
        </w:tc>
        <w:tc>
          <w:tcPr>
            <w:tcW w:w="2232" w:type="dxa"/>
          </w:tcPr>
          <w:p w14:paraId="2FA634AE"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Upjohn Australia Pty Ltd</w:t>
            </w:r>
          </w:p>
        </w:tc>
        <w:tc>
          <w:tcPr>
            <w:tcW w:w="4705" w:type="dxa"/>
          </w:tcPr>
          <w:p w14:paraId="163FB8C7" w14:textId="77777777" w:rsidR="0043661B" w:rsidRPr="00383DB2" w:rsidRDefault="0043661B" w:rsidP="00DC0E3E">
            <w:pPr>
              <w:spacing w:before="100" w:after="100"/>
              <w:rPr>
                <w:rFonts w:asciiTheme="minorHAnsi" w:hAnsiTheme="minorHAnsi"/>
                <w:szCs w:val="22"/>
              </w:rPr>
            </w:pPr>
            <w:r w:rsidRPr="00383DB2">
              <w:rPr>
                <w:rFonts w:asciiTheme="minorHAnsi" w:hAnsiTheme="minorHAnsi"/>
                <w:szCs w:val="22"/>
              </w:rPr>
              <w:t>Children and Adolescents (6 years and over)</w:t>
            </w:r>
          </w:p>
          <w:p w14:paraId="578408C6" w14:textId="77777777" w:rsidR="0010591B" w:rsidRDefault="0043661B" w:rsidP="00DC0E3E">
            <w:pPr>
              <w:pStyle w:val="ListBullet"/>
              <w:spacing w:before="100" w:after="100"/>
            </w:pPr>
            <w:r w:rsidRPr="00383DB2">
              <w:t>Obsessive compulsive disorder</w:t>
            </w:r>
          </w:p>
          <w:p w14:paraId="13DB4482" w14:textId="64DEEF02" w:rsidR="0043661B" w:rsidRPr="00383DB2" w:rsidRDefault="0043661B" w:rsidP="00DC0E3E">
            <w:pPr>
              <w:spacing w:before="100" w:after="100"/>
              <w:rPr>
                <w:rFonts w:asciiTheme="minorHAnsi" w:hAnsiTheme="minorHAnsi"/>
                <w:szCs w:val="22"/>
              </w:rPr>
            </w:pPr>
            <w:r w:rsidRPr="00383DB2">
              <w:rPr>
                <w:rFonts w:asciiTheme="minorHAnsi" w:hAnsiTheme="minorHAnsi"/>
                <w:szCs w:val="22"/>
              </w:rPr>
              <w:t>Adults</w:t>
            </w:r>
          </w:p>
          <w:p w14:paraId="5DDFF728" w14:textId="77777777" w:rsidR="0043661B" w:rsidRPr="00383DB2" w:rsidRDefault="0043661B" w:rsidP="00DC0E3E">
            <w:pPr>
              <w:pStyle w:val="ListBullet"/>
              <w:spacing w:before="100" w:after="100"/>
            </w:pPr>
            <w:r w:rsidRPr="00383DB2">
              <w:t>Major depression</w:t>
            </w:r>
          </w:p>
          <w:p w14:paraId="7419A1C1" w14:textId="77777777" w:rsidR="0043661B" w:rsidRPr="00383DB2" w:rsidRDefault="0043661B" w:rsidP="00DC0E3E">
            <w:pPr>
              <w:pStyle w:val="ListBullet"/>
              <w:spacing w:before="100" w:after="100"/>
            </w:pPr>
            <w:r w:rsidRPr="00383DB2">
              <w:t>Obsessive compulsive disorder</w:t>
            </w:r>
          </w:p>
          <w:p w14:paraId="165F5C5B" w14:textId="77777777" w:rsidR="0043661B" w:rsidRPr="00383DB2" w:rsidRDefault="0043661B" w:rsidP="00DC0E3E">
            <w:pPr>
              <w:pStyle w:val="ListBullet"/>
              <w:spacing w:before="100" w:after="100"/>
            </w:pPr>
            <w:r w:rsidRPr="00383DB2">
              <w:t>Panic disorder</w:t>
            </w:r>
          </w:p>
          <w:p w14:paraId="6366D09E" w14:textId="77777777" w:rsidR="0043661B" w:rsidRPr="00383DB2" w:rsidRDefault="0043661B" w:rsidP="00DC0E3E">
            <w:pPr>
              <w:pStyle w:val="ListBullet"/>
              <w:spacing w:before="100" w:after="100"/>
            </w:pPr>
            <w:r w:rsidRPr="00383DB2">
              <w:t>Social phobia and prevention of its relapse</w:t>
            </w:r>
          </w:p>
          <w:p w14:paraId="7A5E3B20" w14:textId="77777777" w:rsidR="0043661B" w:rsidRPr="000711F6" w:rsidRDefault="0043661B" w:rsidP="00DC0E3E">
            <w:pPr>
              <w:pStyle w:val="ListBullet"/>
              <w:spacing w:before="100" w:after="100"/>
              <w:rPr>
                <w:b/>
              </w:rPr>
            </w:pPr>
            <w:r w:rsidRPr="000711F6">
              <w:t>Pre-menstrual dysphoric disorder</w:t>
            </w:r>
          </w:p>
        </w:tc>
        <w:tc>
          <w:tcPr>
            <w:tcW w:w="4740" w:type="dxa"/>
          </w:tcPr>
          <w:p w14:paraId="42659369" w14:textId="79E84E98" w:rsidR="0043661B" w:rsidRDefault="006C2CEA" w:rsidP="00DC0E3E">
            <w:pPr>
              <w:pStyle w:val="ListBullet"/>
              <w:spacing w:before="100" w:after="100"/>
            </w:pPr>
            <w:r>
              <w:t>Restricted B</w:t>
            </w:r>
            <w:r w:rsidR="0043661B" w:rsidRPr="0043661B">
              <w:t>enefit</w:t>
            </w:r>
          </w:p>
          <w:p w14:paraId="04E1E8D9" w14:textId="5326B3E1" w:rsidR="0043661B" w:rsidRPr="0043661B" w:rsidRDefault="0043661B" w:rsidP="00DC0E3E">
            <w:pPr>
              <w:pStyle w:val="ListBullet2"/>
              <w:spacing w:before="100" w:after="100"/>
            </w:pPr>
            <w:r w:rsidRPr="00D7560E">
              <w:t>Major depressive disorders</w:t>
            </w:r>
          </w:p>
        </w:tc>
      </w:tr>
      <w:tr w:rsidR="008C33B5" w:rsidRPr="008C32D1" w14:paraId="6B3F48C9" w14:textId="69AE80D4" w:rsidTr="008C33B5">
        <w:trPr>
          <w:cantSplit/>
          <w:trHeight w:val="310"/>
        </w:trPr>
        <w:tc>
          <w:tcPr>
            <w:tcW w:w="13886" w:type="dxa"/>
            <w:gridSpan w:val="4"/>
            <w:shd w:val="clear" w:color="auto" w:fill="006DA7"/>
          </w:tcPr>
          <w:p w14:paraId="66914777" w14:textId="7E004CCC" w:rsidR="008C33B5" w:rsidRPr="008C33B5" w:rsidRDefault="008C33B5" w:rsidP="00DC0E3E">
            <w:pPr>
              <w:spacing w:before="100" w:after="100"/>
              <w:rPr>
                <w:rFonts w:asciiTheme="minorHAnsi" w:hAnsiTheme="minorHAnsi"/>
                <w:b/>
                <w:color w:val="FFFFFF" w:themeColor="background1"/>
                <w:szCs w:val="22"/>
              </w:rPr>
            </w:pPr>
            <w:r w:rsidRPr="008C33B5">
              <w:rPr>
                <w:rFonts w:asciiTheme="minorHAnsi" w:hAnsiTheme="minorHAnsi"/>
                <w:b/>
                <w:color w:val="FFFFFF" w:themeColor="background1"/>
                <w:szCs w:val="22"/>
              </w:rPr>
              <w:t>Serotonin and noradrenaline reuptake inhibitors (SSRIs)</w:t>
            </w:r>
          </w:p>
        </w:tc>
      </w:tr>
      <w:tr w:rsidR="0043661B" w:rsidRPr="00E62611" w14:paraId="7958033E" w14:textId="6E6F8322" w:rsidTr="00EF0937">
        <w:trPr>
          <w:cantSplit/>
          <w:trHeight w:val="154"/>
        </w:trPr>
        <w:tc>
          <w:tcPr>
            <w:tcW w:w="2209" w:type="dxa"/>
          </w:tcPr>
          <w:p w14:paraId="75D83623" w14:textId="77777777" w:rsidR="0043661B" w:rsidRPr="007E7E58" w:rsidRDefault="0043661B" w:rsidP="00DC0E3E">
            <w:pPr>
              <w:spacing w:before="100" w:after="100"/>
              <w:rPr>
                <w:rFonts w:asciiTheme="minorHAnsi" w:hAnsiTheme="minorHAnsi"/>
                <w:b/>
                <w:szCs w:val="22"/>
              </w:rPr>
            </w:pPr>
            <w:r>
              <w:rPr>
                <w:rFonts w:asciiTheme="minorHAnsi" w:hAnsiTheme="minorHAnsi"/>
                <w:b/>
                <w:szCs w:val="22"/>
              </w:rPr>
              <w:t>Generic name (trade name)</w:t>
            </w:r>
          </w:p>
        </w:tc>
        <w:tc>
          <w:tcPr>
            <w:tcW w:w="2232" w:type="dxa"/>
          </w:tcPr>
          <w:p w14:paraId="02A1C4F2" w14:textId="77777777" w:rsidR="0043661B" w:rsidRPr="007E7E58" w:rsidRDefault="0043661B" w:rsidP="00DC0E3E">
            <w:pPr>
              <w:spacing w:before="100" w:after="100"/>
              <w:rPr>
                <w:rFonts w:asciiTheme="minorHAnsi" w:hAnsiTheme="minorHAnsi"/>
                <w:b/>
                <w:szCs w:val="22"/>
              </w:rPr>
            </w:pPr>
            <w:r>
              <w:rPr>
                <w:rFonts w:asciiTheme="minorHAnsi" w:hAnsiTheme="minorHAnsi"/>
                <w:b/>
                <w:szCs w:val="22"/>
              </w:rPr>
              <w:t xml:space="preserve">Innovator </w:t>
            </w:r>
            <w:r w:rsidRPr="007E7E58">
              <w:rPr>
                <w:rFonts w:asciiTheme="minorHAnsi" w:hAnsiTheme="minorHAnsi"/>
                <w:b/>
                <w:szCs w:val="22"/>
              </w:rPr>
              <w:t>Sponsor</w:t>
            </w:r>
          </w:p>
        </w:tc>
        <w:tc>
          <w:tcPr>
            <w:tcW w:w="4705" w:type="dxa"/>
          </w:tcPr>
          <w:p w14:paraId="130D1E81" w14:textId="77777777" w:rsidR="0043661B" w:rsidRPr="007E7E58" w:rsidRDefault="0043661B" w:rsidP="00DC0E3E">
            <w:pPr>
              <w:spacing w:before="100" w:after="100"/>
              <w:rPr>
                <w:rFonts w:asciiTheme="minorHAnsi" w:hAnsiTheme="minorHAnsi"/>
                <w:b/>
                <w:szCs w:val="22"/>
              </w:rPr>
            </w:pPr>
            <w:r w:rsidRPr="007E7E58">
              <w:rPr>
                <w:rFonts w:asciiTheme="minorHAnsi" w:hAnsiTheme="minorHAnsi"/>
                <w:b/>
                <w:szCs w:val="22"/>
              </w:rPr>
              <w:t>Indication</w:t>
            </w:r>
            <w:r>
              <w:rPr>
                <w:rFonts w:asciiTheme="minorHAnsi" w:hAnsiTheme="minorHAnsi"/>
                <w:b/>
                <w:szCs w:val="22"/>
              </w:rPr>
              <w:t>(s)</w:t>
            </w:r>
          </w:p>
        </w:tc>
        <w:tc>
          <w:tcPr>
            <w:tcW w:w="4740" w:type="dxa"/>
          </w:tcPr>
          <w:p w14:paraId="4706A690" w14:textId="77777777" w:rsidR="0043661B" w:rsidRPr="007E7E58" w:rsidRDefault="0043661B" w:rsidP="00DC0E3E">
            <w:pPr>
              <w:spacing w:before="100" w:after="100"/>
              <w:rPr>
                <w:rFonts w:asciiTheme="minorHAnsi" w:hAnsiTheme="minorHAnsi"/>
                <w:b/>
                <w:szCs w:val="22"/>
              </w:rPr>
            </w:pPr>
          </w:p>
        </w:tc>
      </w:tr>
      <w:tr w:rsidR="0043661B" w:rsidRPr="00E62611" w14:paraId="3742B0BA" w14:textId="6530BBDA" w:rsidTr="00EF0937">
        <w:trPr>
          <w:cantSplit/>
          <w:trHeight w:val="154"/>
        </w:trPr>
        <w:tc>
          <w:tcPr>
            <w:tcW w:w="2209" w:type="dxa"/>
          </w:tcPr>
          <w:p w14:paraId="40816433"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Desvenlafaxine (Pristiq)</w:t>
            </w:r>
          </w:p>
        </w:tc>
        <w:tc>
          <w:tcPr>
            <w:tcW w:w="2232" w:type="dxa"/>
          </w:tcPr>
          <w:p w14:paraId="3EEDC9FA"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Pfizer Australia Pty Ltd</w:t>
            </w:r>
          </w:p>
        </w:tc>
        <w:tc>
          <w:tcPr>
            <w:tcW w:w="4705" w:type="dxa"/>
          </w:tcPr>
          <w:p w14:paraId="436A404E" w14:textId="77777777" w:rsidR="0043661B" w:rsidRPr="009643C8" w:rsidRDefault="0043661B" w:rsidP="00DC0E3E">
            <w:pPr>
              <w:pStyle w:val="ListBullet"/>
              <w:spacing w:before="100" w:after="100"/>
            </w:pPr>
            <w:r w:rsidRPr="009643C8">
              <w:t>Major depressive disorder, including the prevention of relapse</w:t>
            </w:r>
          </w:p>
          <w:p w14:paraId="5E31CAEC" w14:textId="77777777" w:rsidR="0043661B" w:rsidRPr="009643C8" w:rsidRDefault="0043661B" w:rsidP="00DC0E3E">
            <w:pPr>
              <w:pStyle w:val="ListBullet"/>
              <w:spacing w:before="100" w:after="100"/>
              <w:rPr>
                <w:b/>
              </w:rPr>
            </w:pPr>
            <w:r w:rsidRPr="009643C8">
              <w:t>“Not indicated for paediatric use”</w:t>
            </w:r>
          </w:p>
        </w:tc>
        <w:tc>
          <w:tcPr>
            <w:tcW w:w="4740" w:type="dxa"/>
          </w:tcPr>
          <w:p w14:paraId="0FC58892" w14:textId="694370A6" w:rsidR="0043661B" w:rsidRDefault="006C2CEA" w:rsidP="00DC0E3E">
            <w:pPr>
              <w:pStyle w:val="ListBullet"/>
              <w:spacing w:before="100" w:after="100"/>
            </w:pPr>
            <w:r>
              <w:t>Restricted B</w:t>
            </w:r>
            <w:r w:rsidR="0043661B">
              <w:t>enefit</w:t>
            </w:r>
          </w:p>
          <w:p w14:paraId="19A3765C" w14:textId="4B0DB80A" w:rsidR="0043661B" w:rsidRPr="009643C8" w:rsidRDefault="0043661B" w:rsidP="00DC0E3E">
            <w:pPr>
              <w:pStyle w:val="ListBullet2"/>
              <w:spacing w:before="100" w:after="100"/>
            </w:pPr>
            <w:r w:rsidRPr="00D7560E">
              <w:t>Major depressive disorders</w:t>
            </w:r>
          </w:p>
        </w:tc>
      </w:tr>
      <w:tr w:rsidR="0043661B" w:rsidRPr="00E62611" w14:paraId="19CCD139" w14:textId="2F006AEF" w:rsidTr="00EF0937">
        <w:trPr>
          <w:cantSplit/>
          <w:trHeight w:val="152"/>
        </w:trPr>
        <w:tc>
          <w:tcPr>
            <w:tcW w:w="2209" w:type="dxa"/>
          </w:tcPr>
          <w:p w14:paraId="1482A61E"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lastRenderedPageBreak/>
              <w:t>Duloxetine (Cymbalta)</w:t>
            </w:r>
          </w:p>
        </w:tc>
        <w:tc>
          <w:tcPr>
            <w:tcW w:w="2232" w:type="dxa"/>
          </w:tcPr>
          <w:p w14:paraId="732B7881"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Eli Lilly Australia Pty Ltd</w:t>
            </w:r>
          </w:p>
        </w:tc>
        <w:tc>
          <w:tcPr>
            <w:tcW w:w="4705" w:type="dxa"/>
          </w:tcPr>
          <w:p w14:paraId="65BAE220" w14:textId="77777777" w:rsidR="0043661B" w:rsidRPr="009643C8" w:rsidRDefault="0043661B" w:rsidP="00DC0E3E">
            <w:pPr>
              <w:pStyle w:val="ListBullet"/>
              <w:spacing w:before="100" w:after="100"/>
            </w:pPr>
            <w:r w:rsidRPr="009643C8">
              <w:t>Major depressive disorder</w:t>
            </w:r>
          </w:p>
          <w:p w14:paraId="4D81C9CE" w14:textId="77777777" w:rsidR="0043661B" w:rsidRPr="009643C8" w:rsidRDefault="0043661B" w:rsidP="00DC0E3E">
            <w:pPr>
              <w:pStyle w:val="ListBullet"/>
              <w:spacing w:before="100" w:after="100"/>
            </w:pPr>
            <w:r w:rsidRPr="009643C8">
              <w:t>Diabetic peripheral neuropathic pain</w:t>
            </w:r>
          </w:p>
          <w:p w14:paraId="0727B80F" w14:textId="77777777" w:rsidR="0043661B" w:rsidRPr="009643C8" w:rsidRDefault="0043661B" w:rsidP="00DC0E3E">
            <w:pPr>
              <w:pStyle w:val="ListBullet"/>
              <w:spacing w:before="100" w:after="100"/>
              <w:rPr>
                <w:b/>
              </w:rPr>
            </w:pPr>
            <w:r w:rsidRPr="009643C8">
              <w:t>Generalised anxiety disorder</w:t>
            </w:r>
          </w:p>
        </w:tc>
        <w:tc>
          <w:tcPr>
            <w:tcW w:w="4740" w:type="dxa"/>
          </w:tcPr>
          <w:p w14:paraId="3B9938B6" w14:textId="0C74F8E4" w:rsidR="0043661B" w:rsidRDefault="006C2CEA" w:rsidP="00DC0E3E">
            <w:pPr>
              <w:pStyle w:val="ListBullet"/>
              <w:spacing w:before="100" w:after="100"/>
            </w:pPr>
            <w:r>
              <w:t>Restricted B</w:t>
            </w:r>
            <w:r w:rsidR="0043661B">
              <w:t>enefit</w:t>
            </w:r>
          </w:p>
          <w:p w14:paraId="3E131F8D" w14:textId="00217689" w:rsidR="0043661B" w:rsidRPr="009643C8" w:rsidRDefault="0043661B" w:rsidP="00DC0E3E">
            <w:pPr>
              <w:pStyle w:val="ListBullet2"/>
              <w:spacing w:before="100" w:after="100"/>
            </w:pPr>
            <w:r w:rsidRPr="00D7560E">
              <w:t>Major depressive disorders</w:t>
            </w:r>
          </w:p>
        </w:tc>
      </w:tr>
      <w:tr w:rsidR="0043661B" w:rsidRPr="00E62611" w14:paraId="6BD01E65" w14:textId="7EAE3E0F" w:rsidTr="00EF0937">
        <w:trPr>
          <w:cantSplit/>
          <w:trHeight w:val="152"/>
        </w:trPr>
        <w:tc>
          <w:tcPr>
            <w:tcW w:w="2209" w:type="dxa"/>
          </w:tcPr>
          <w:p w14:paraId="61832CE8"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Venlafaxine (Efexor)</w:t>
            </w:r>
          </w:p>
        </w:tc>
        <w:tc>
          <w:tcPr>
            <w:tcW w:w="2232" w:type="dxa"/>
          </w:tcPr>
          <w:p w14:paraId="005E98C7" w14:textId="77777777" w:rsidR="0043661B" w:rsidRPr="00E62611" w:rsidRDefault="0043661B" w:rsidP="00DC0E3E">
            <w:pPr>
              <w:spacing w:before="100" w:after="100"/>
              <w:rPr>
                <w:rFonts w:asciiTheme="minorHAnsi" w:hAnsiTheme="minorHAnsi"/>
                <w:szCs w:val="22"/>
              </w:rPr>
            </w:pPr>
            <w:r>
              <w:rPr>
                <w:rFonts w:asciiTheme="minorHAnsi" w:hAnsiTheme="minorHAnsi"/>
                <w:szCs w:val="22"/>
              </w:rPr>
              <w:t>Upjohn Australia Pty Ltd</w:t>
            </w:r>
          </w:p>
        </w:tc>
        <w:tc>
          <w:tcPr>
            <w:tcW w:w="4705" w:type="dxa"/>
          </w:tcPr>
          <w:p w14:paraId="4817AB43" w14:textId="77777777" w:rsidR="0043661B" w:rsidRDefault="0043661B" w:rsidP="00DC0E3E">
            <w:pPr>
              <w:pStyle w:val="ListBullet"/>
              <w:spacing w:before="100" w:after="100"/>
            </w:pPr>
            <w:r w:rsidRPr="007E7E58">
              <w:t>Major depression, including prevention of relapse and recurrence</w:t>
            </w:r>
          </w:p>
          <w:p w14:paraId="4F12002F" w14:textId="77777777" w:rsidR="0043661B" w:rsidRDefault="0043661B" w:rsidP="00DC0E3E">
            <w:pPr>
              <w:pStyle w:val="ListBullet"/>
              <w:spacing w:before="100" w:after="100"/>
            </w:pPr>
            <w:r>
              <w:t>Generalised anxiety disorder</w:t>
            </w:r>
          </w:p>
          <w:p w14:paraId="009DE0F2" w14:textId="77777777" w:rsidR="0043661B" w:rsidRDefault="0043661B" w:rsidP="00DC0E3E">
            <w:pPr>
              <w:pStyle w:val="ListBullet"/>
              <w:spacing w:before="100" w:after="100"/>
            </w:pPr>
            <w:r w:rsidRPr="007E7E58">
              <w:t>Social anxiety disorder</w:t>
            </w:r>
          </w:p>
          <w:p w14:paraId="43CB5D89" w14:textId="77777777" w:rsidR="0043661B" w:rsidRPr="007E7E58" w:rsidRDefault="0043661B" w:rsidP="00DC0E3E">
            <w:pPr>
              <w:pStyle w:val="ListBullet"/>
              <w:spacing w:before="100" w:after="100"/>
            </w:pPr>
            <w:r w:rsidRPr="007E7E58">
              <w:t>Panic disorder, including prevention of relapse</w:t>
            </w:r>
          </w:p>
        </w:tc>
        <w:tc>
          <w:tcPr>
            <w:tcW w:w="4740" w:type="dxa"/>
          </w:tcPr>
          <w:p w14:paraId="7A6E2370" w14:textId="6A5C2284" w:rsidR="0043661B" w:rsidRDefault="006C2CEA" w:rsidP="00DC0E3E">
            <w:pPr>
              <w:pStyle w:val="ListBullet"/>
              <w:spacing w:before="100" w:after="100"/>
            </w:pPr>
            <w:r>
              <w:t>Restricted B</w:t>
            </w:r>
            <w:r w:rsidR="0043661B">
              <w:t>enefit</w:t>
            </w:r>
          </w:p>
          <w:p w14:paraId="7D8FBD7B" w14:textId="6E527D6A" w:rsidR="0043661B" w:rsidRPr="007E7E58" w:rsidRDefault="0043661B" w:rsidP="00DC0E3E">
            <w:pPr>
              <w:pStyle w:val="ListBullet2"/>
              <w:spacing w:before="100" w:after="100"/>
            </w:pPr>
            <w:r w:rsidRPr="00D7560E">
              <w:t>Major depressive disorders</w:t>
            </w:r>
          </w:p>
        </w:tc>
      </w:tr>
      <w:tr w:rsidR="0043661B" w:rsidRPr="00E62611" w14:paraId="0C8CF36F" w14:textId="77777777" w:rsidTr="008C33B5">
        <w:trPr>
          <w:cantSplit/>
          <w:trHeight w:val="152"/>
        </w:trPr>
        <w:tc>
          <w:tcPr>
            <w:tcW w:w="13886" w:type="dxa"/>
            <w:gridSpan w:val="4"/>
            <w:shd w:val="clear" w:color="auto" w:fill="006DA7"/>
          </w:tcPr>
          <w:p w14:paraId="0BEC8A93" w14:textId="38FABD53" w:rsidR="0043661B" w:rsidRPr="008C33B5" w:rsidRDefault="0043661B" w:rsidP="00DC0E3E">
            <w:pPr>
              <w:spacing w:before="100" w:after="100"/>
              <w:rPr>
                <w:rFonts w:asciiTheme="minorHAnsi" w:hAnsiTheme="minorHAnsi"/>
                <w:color w:val="FFFFFF" w:themeColor="background1"/>
                <w:szCs w:val="22"/>
              </w:rPr>
            </w:pPr>
            <w:r w:rsidRPr="008C33B5">
              <w:rPr>
                <w:rFonts w:asciiTheme="minorHAnsi" w:hAnsiTheme="minorHAnsi"/>
                <w:b/>
                <w:color w:val="FFFFFF" w:themeColor="background1"/>
                <w:szCs w:val="22"/>
              </w:rPr>
              <w:t>Tricyclic antidepressants (TCAs)</w:t>
            </w:r>
          </w:p>
        </w:tc>
      </w:tr>
      <w:tr w:rsidR="0043661B" w:rsidRPr="00E62611" w14:paraId="16456B00" w14:textId="77777777" w:rsidTr="00EF0937">
        <w:trPr>
          <w:cantSplit/>
          <w:trHeight w:val="152"/>
        </w:trPr>
        <w:tc>
          <w:tcPr>
            <w:tcW w:w="2209" w:type="dxa"/>
          </w:tcPr>
          <w:p w14:paraId="1D240827" w14:textId="77777777" w:rsidR="0043661B" w:rsidRDefault="0043661B" w:rsidP="00DC0E3E">
            <w:pPr>
              <w:spacing w:before="100" w:after="100"/>
              <w:rPr>
                <w:rFonts w:asciiTheme="minorHAnsi" w:hAnsiTheme="minorHAnsi"/>
                <w:szCs w:val="22"/>
              </w:rPr>
            </w:pPr>
            <w:r>
              <w:rPr>
                <w:rFonts w:asciiTheme="minorHAnsi" w:hAnsiTheme="minorHAnsi"/>
                <w:szCs w:val="22"/>
              </w:rPr>
              <w:t>Amitriptyline</w:t>
            </w:r>
          </w:p>
          <w:p w14:paraId="18A4BD7D" w14:textId="1ECEE4AC" w:rsidR="0043661B" w:rsidRDefault="0043661B" w:rsidP="00DC0E3E">
            <w:pPr>
              <w:spacing w:before="100" w:after="100"/>
              <w:rPr>
                <w:rFonts w:asciiTheme="minorHAnsi" w:hAnsiTheme="minorHAnsi"/>
                <w:szCs w:val="22"/>
              </w:rPr>
            </w:pPr>
            <w:r>
              <w:rPr>
                <w:rFonts w:asciiTheme="minorHAnsi" w:hAnsiTheme="minorHAnsi"/>
                <w:szCs w:val="22"/>
              </w:rPr>
              <w:t>(Endep)</w:t>
            </w:r>
          </w:p>
        </w:tc>
        <w:tc>
          <w:tcPr>
            <w:tcW w:w="2232" w:type="dxa"/>
          </w:tcPr>
          <w:p w14:paraId="03062707" w14:textId="2BE137B9" w:rsidR="0043661B" w:rsidRDefault="00811AC5" w:rsidP="00DC0E3E">
            <w:pPr>
              <w:spacing w:before="100" w:after="100"/>
              <w:rPr>
                <w:rFonts w:asciiTheme="minorHAnsi" w:hAnsiTheme="minorHAnsi"/>
                <w:szCs w:val="22"/>
              </w:rPr>
            </w:pPr>
            <w:r>
              <w:rPr>
                <w:rFonts w:asciiTheme="minorHAnsi" w:hAnsiTheme="minorHAnsi"/>
                <w:szCs w:val="22"/>
              </w:rPr>
              <w:t>Alphapharm Pty</w:t>
            </w:r>
            <w:r w:rsidR="0043661B">
              <w:rPr>
                <w:rFonts w:asciiTheme="minorHAnsi" w:hAnsiTheme="minorHAnsi"/>
                <w:szCs w:val="22"/>
              </w:rPr>
              <w:t xml:space="preserve"> Ltd</w:t>
            </w:r>
          </w:p>
        </w:tc>
        <w:tc>
          <w:tcPr>
            <w:tcW w:w="4705" w:type="dxa"/>
          </w:tcPr>
          <w:p w14:paraId="5060CEF2" w14:textId="77777777" w:rsidR="0043661B" w:rsidRDefault="00811AC5" w:rsidP="00DC0E3E">
            <w:pPr>
              <w:pStyle w:val="ListBullet"/>
              <w:spacing w:before="100" w:after="100"/>
            </w:pPr>
            <w:r>
              <w:t>Major depression</w:t>
            </w:r>
          </w:p>
          <w:p w14:paraId="1E13D704" w14:textId="131BD884" w:rsidR="00811AC5" w:rsidRPr="007E7E58" w:rsidRDefault="00811AC5" w:rsidP="00DC0E3E">
            <w:pPr>
              <w:pStyle w:val="ListBullet"/>
              <w:spacing w:before="100" w:after="100"/>
            </w:pPr>
            <w:r w:rsidRPr="00811AC5">
              <w:t>Nocturnal enuresis where organic pathology has been excluded</w:t>
            </w:r>
          </w:p>
        </w:tc>
        <w:tc>
          <w:tcPr>
            <w:tcW w:w="4740" w:type="dxa"/>
          </w:tcPr>
          <w:p w14:paraId="7A2C7304" w14:textId="34EDAB29" w:rsidR="0043661B" w:rsidRDefault="00811AC5" w:rsidP="00DC0E3E">
            <w:pPr>
              <w:pStyle w:val="ListBullet"/>
              <w:spacing w:before="100" w:after="100"/>
            </w:pPr>
            <w:r>
              <w:t>General Schedule</w:t>
            </w:r>
          </w:p>
        </w:tc>
      </w:tr>
      <w:tr w:rsidR="0043661B" w:rsidRPr="00E62611" w14:paraId="6DDF2788" w14:textId="77777777" w:rsidTr="00EF0937">
        <w:trPr>
          <w:cantSplit/>
          <w:trHeight w:val="152"/>
        </w:trPr>
        <w:tc>
          <w:tcPr>
            <w:tcW w:w="2209" w:type="dxa"/>
          </w:tcPr>
          <w:p w14:paraId="362E6EAC" w14:textId="77777777" w:rsidR="0043661B" w:rsidRDefault="0043661B" w:rsidP="00DC0E3E">
            <w:pPr>
              <w:spacing w:before="100" w:after="100"/>
              <w:rPr>
                <w:rFonts w:asciiTheme="minorHAnsi" w:hAnsiTheme="minorHAnsi"/>
                <w:szCs w:val="22"/>
              </w:rPr>
            </w:pPr>
            <w:r>
              <w:rPr>
                <w:rFonts w:asciiTheme="minorHAnsi" w:hAnsiTheme="minorHAnsi"/>
                <w:szCs w:val="22"/>
              </w:rPr>
              <w:t>Clomipramine</w:t>
            </w:r>
          </w:p>
          <w:p w14:paraId="04BF6567" w14:textId="6EEF55F3" w:rsidR="0043661B" w:rsidRDefault="0043661B" w:rsidP="00DC0E3E">
            <w:pPr>
              <w:spacing w:before="100" w:after="100"/>
              <w:rPr>
                <w:rFonts w:asciiTheme="minorHAnsi" w:hAnsiTheme="minorHAnsi"/>
                <w:szCs w:val="22"/>
              </w:rPr>
            </w:pPr>
            <w:r>
              <w:rPr>
                <w:rFonts w:asciiTheme="minorHAnsi" w:hAnsiTheme="minorHAnsi"/>
                <w:szCs w:val="22"/>
              </w:rPr>
              <w:t>(Anafranil)</w:t>
            </w:r>
          </w:p>
        </w:tc>
        <w:tc>
          <w:tcPr>
            <w:tcW w:w="2232" w:type="dxa"/>
          </w:tcPr>
          <w:p w14:paraId="3DA1E5CD" w14:textId="1C3AB26D" w:rsidR="0043661B" w:rsidRDefault="0043661B" w:rsidP="00DC0E3E">
            <w:pPr>
              <w:spacing w:before="100" w:after="100"/>
              <w:rPr>
                <w:rFonts w:asciiTheme="minorHAnsi" w:hAnsiTheme="minorHAnsi"/>
                <w:szCs w:val="22"/>
              </w:rPr>
            </w:pPr>
            <w:r>
              <w:rPr>
                <w:rFonts w:asciiTheme="minorHAnsi" w:hAnsiTheme="minorHAnsi"/>
                <w:szCs w:val="22"/>
              </w:rPr>
              <w:t>Novartis Pharmaceuticals Australia Pty Ltd</w:t>
            </w:r>
          </w:p>
        </w:tc>
        <w:tc>
          <w:tcPr>
            <w:tcW w:w="4705" w:type="dxa"/>
          </w:tcPr>
          <w:p w14:paraId="595F315A" w14:textId="77777777" w:rsidR="0043661B" w:rsidRDefault="00811AC5" w:rsidP="00DC0E3E">
            <w:pPr>
              <w:pStyle w:val="ListBullet"/>
              <w:spacing w:before="100" w:after="100"/>
            </w:pPr>
            <w:r>
              <w:t>Major depression</w:t>
            </w:r>
          </w:p>
          <w:p w14:paraId="780FA85A" w14:textId="77777777" w:rsidR="00811AC5" w:rsidRDefault="00811AC5" w:rsidP="00DC0E3E">
            <w:pPr>
              <w:pStyle w:val="ListBullet"/>
              <w:spacing w:before="100" w:after="100"/>
            </w:pPr>
            <w:r>
              <w:t>Obsessive-compulsive disorders and phobias in adults</w:t>
            </w:r>
          </w:p>
          <w:p w14:paraId="06F9CAF5" w14:textId="61092081" w:rsidR="00811AC5" w:rsidRPr="007E7E58" w:rsidRDefault="00811AC5" w:rsidP="00DC0E3E">
            <w:pPr>
              <w:pStyle w:val="ListBullet"/>
              <w:spacing w:before="100" w:after="100"/>
            </w:pPr>
            <w:r>
              <w:t>Cataplexy associated with narcolepsy</w:t>
            </w:r>
          </w:p>
        </w:tc>
        <w:tc>
          <w:tcPr>
            <w:tcW w:w="4740" w:type="dxa"/>
          </w:tcPr>
          <w:p w14:paraId="09F6F863" w14:textId="2C9C71D4" w:rsidR="006C2CEA" w:rsidRDefault="006C2CEA" w:rsidP="00DC0E3E">
            <w:pPr>
              <w:pStyle w:val="ListBullet"/>
              <w:spacing w:before="100" w:after="100"/>
            </w:pPr>
            <w:r>
              <w:t>Restricted Benefit</w:t>
            </w:r>
          </w:p>
          <w:p w14:paraId="279DEAA0" w14:textId="77777777" w:rsidR="0043661B" w:rsidRDefault="006C2CEA" w:rsidP="00DC0E3E">
            <w:pPr>
              <w:pStyle w:val="ListBullet2"/>
              <w:spacing w:before="100" w:after="100"/>
            </w:pPr>
            <w:r>
              <w:t>Cataplexy associated with narcolepsy</w:t>
            </w:r>
          </w:p>
          <w:p w14:paraId="790241FA" w14:textId="77777777" w:rsidR="006C2CEA" w:rsidRDefault="006C2CEA" w:rsidP="00DC0E3E">
            <w:pPr>
              <w:pStyle w:val="ListBullet2"/>
              <w:spacing w:before="100" w:after="100"/>
            </w:pPr>
            <w:r>
              <w:t>Obsessive-compulsive disorder</w:t>
            </w:r>
          </w:p>
          <w:p w14:paraId="37EBD88B" w14:textId="5F758128" w:rsidR="006C2CEA" w:rsidRDefault="006C2CEA" w:rsidP="00DC0E3E">
            <w:pPr>
              <w:pStyle w:val="ListBullet2"/>
              <w:spacing w:before="100" w:after="100"/>
            </w:pPr>
            <w:r>
              <w:t>Phobic disorders in adults</w:t>
            </w:r>
          </w:p>
        </w:tc>
      </w:tr>
      <w:tr w:rsidR="0043661B" w:rsidRPr="00E62611" w14:paraId="28C107CC" w14:textId="77777777" w:rsidTr="00EF0937">
        <w:trPr>
          <w:cantSplit/>
          <w:trHeight w:val="152"/>
        </w:trPr>
        <w:tc>
          <w:tcPr>
            <w:tcW w:w="2209" w:type="dxa"/>
          </w:tcPr>
          <w:p w14:paraId="3A878054" w14:textId="432F6BA7" w:rsidR="0043661B" w:rsidRDefault="0043661B" w:rsidP="00DC0E3E">
            <w:pPr>
              <w:spacing w:before="100" w:after="100"/>
              <w:rPr>
                <w:rFonts w:asciiTheme="minorHAnsi" w:hAnsiTheme="minorHAnsi"/>
                <w:szCs w:val="22"/>
              </w:rPr>
            </w:pPr>
            <w:r>
              <w:rPr>
                <w:rFonts w:asciiTheme="minorHAnsi" w:hAnsiTheme="minorHAnsi"/>
                <w:szCs w:val="22"/>
              </w:rPr>
              <w:t>Dosulepin</w:t>
            </w:r>
            <w:r w:rsidR="00811AC5">
              <w:rPr>
                <w:rFonts w:asciiTheme="minorHAnsi" w:hAnsiTheme="minorHAnsi"/>
                <w:szCs w:val="22"/>
              </w:rPr>
              <w:t>/Dothiepin</w:t>
            </w:r>
          </w:p>
          <w:p w14:paraId="39A00EAD" w14:textId="74AC39EA" w:rsidR="0043661B" w:rsidRDefault="0043661B" w:rsidP="00DC0E3E">
            <w:pPr>
              <w:spacing w:before="100" w:after="100"/>
              <w:rPr>
                <w:rFonts w:asciiTheme="minorHAnsi" w:hAnsiTheme="minorHAnsi"/>
                <w:szCs w:val="22"/>
              </w:rPr>
            </w:pPr>
            <w:r>
              <w:rPr>
                <w:rFonts w:asciiTheme="minorHAnsi" w:hAnsiTheme="minorHAnsi"/>
                <w:szCs w:val="22"/>
              </w:rPr>
              <w:t>(Dothep)</w:t>
            </w:r>
          </w:p>
        </w:tc>
        <w:tc>
          <w:tcPr>
            <w:tcW w:w="2232" w:type="dxa"/>
          </w:tcPr>
          <w:p w14:paraId="4C5FDB7D" w14:textId="7BB46FAC" w:rsidR="0043661B" w:rsidRDefault="00811AC5" w:rsidP="00DC0E3E">
            <w:pPr>
              <w:spacing w:before="100" w:after="100"/>
              <w:rPr>
                <w:rFonts w:asciiTheme="minorHAnsi" w:hAnsiTheme="minorHAnsi"/>
                <w:szCs w:val="22"/>
              </w:rPr>
            </w:pPr>
            <w:r>
              <w:rPr>
                <w:rFonts w:asciiTheme="minorHAnsi" w:hAnsiTheme="minorHAnsi"/>
                <w:szCs w:val="22"/>
              </w:rPr>
              <w:t>Alphapharm Pty Ltd</w:t>
            </w:r>
          </w:p>
        </w:tc>
        <w:tc>
          <w:tcPr>
            <w:tcW w:w="4705" w:type="dxa"/>
          </w:tcPr>
          <w:p w14:paraId="14741FAE" w14:textId="51402625" w:rsidR="0043661B" w:rsidRPr="007E7E58" w:rsidRDefault="00811AC5" w:rsidP="00DC0E3E">
            <w:pPr>
              <w:pStyle w:val="ListBullet"/>
              <w:spacing w:before="100" w:after="100"/>
            </w:pPr>
            <w:r>
              <w:t>Major depression</w:t>
            </w:r>
          </w:p>
        </w:tc>
        <w:tc>
          <w:tcPr>
            <w:tcW w:w="4740" w:type="dxa"/>
          </w:tcPr>
          <w:p w14:paraId="45F024D0" w14:textId="51BB7E8C" w:rsidR="0043661B" w:rsidRDefault="00811AC5" w:rsidP="00DC0E3E">
            <w:pPr>
              <w:pStyle w:val="ListBullet"/>
              <w:spacing w:before="100" w:after="100"/>
            </w:pPr>
            <w:r>
              <w:t>General Schedule</w:t>
            </w:r>
          </w:p>
        </w:tc>
      </w:tr>
      <w:tr w:rsidR="0043661B" w:rsidRPr="00E62611" w14:paraId="1A961A7D" w14:textId="77777777" w:rsidTr="00EF0937">
        <w:trPr>
          <w:cantSplit/>
          <w:trHeight w:val="152"/>
        </w:trPr>
        <w:tc>
          <w:tcPr>
            <w:tcW w:w="2209" w:type="dxa"/>
          </w:tcPr>
          <w:p w14:paraId="2AB7A35E" w14:textId="77777777" w:rsidR="0043661B" w:rsidRDefault="0043661B" w:rsidP="00DC0E3E">
            <w:pPr>
              <w:spacing w:before="100" w:after="100"/>
              <w:rPr>
                <w:rFonts w:asciiTheme="minorHAnsi" w:hAnsiTheme="minorHAnsi"/>
                <w:szCs w:val="22"/>
              </w:rPr>
            </w:pPr>
            <w:r>
              <w:rPr>
                <w:rFonts w:asciiTheme="minorHAnsi" w:hAnsiTheme="minorHAnsi"/>
                <w:szCs w:val="22"/>
              </w:rPr>
              <w:t>Doxepin</w:t>
            </w:r>
          </w:p>
          <w:p w14:paraId="016CD113" w14:textId="6652281E" w:rsidR="00811AC5" w:rsidRDefault="00811AC5" w:rsidP="00DC0E3E">
            <w:pPr>
              <w:spacing w:before="100" w:after="100"/>
              <w:rPr>
                <w:rFonts w:asciiTheme="minorHAnsi" w:hAnsiTheme="minorHAnsi"/>
                <w:szCs w:val="22"/>
              </w:rPr>
            </w:pPr>
            <w:r>
              <w:rPr>
                <w:rFonts w:asciiTheme="minorHAnsi" w:hAnsiTheme="minorHAnsi"/>
                <w:szCs w:val="22"/>
              </w:rPr>
              <w:t>(Sinequan)</w:t>
            </w:r>
          </w:p>
        </w:tc>
        <w:tc>
          <w:tcPr>
            <w:tcW w:w="2232" w:type="dxa"/>
          </w:tcPr>
          <w:p w14:paraId="469D83A5" w14:textId="6A3E0BC5" w:rsidR="0043661B" w:rsidRDefault="00811AC5" w:rsidP="00DC0E3E">
            <w:pPr>
              <w:spacing w:before="100" w:after="100"/>
              <w:rPr>
                <w:rFonts w:asciiTheme="minorHAnsi" w:hAnsiTheme="minorHAnsi"/>
                <w:szCs w:val="22"/>
              </w:rPr>
            </w:pPr>
            <w:r>
              <w:rPr>
                <w:rFonts w:asciiTheme="minorHAnsi" w:hAnsiTheme="minorHAnsi"/>
                <w:szCs w:val="22"/>
              </w:rPr>
              <w:t>Pfizer Australia Pty Ltd</w:t>
            </w:r>
          </w:p>
        </w:tc>
        <w:tc>
          <w:tcPr>
            <w:tcW w:w="4705" w:type="dxa"/>
          </w:tcPr>
          <w:p w14:paraId="23D01E32" w14:textId="0850C27F" w:rsidR="0043661B" w:rsidRPr="007E7E58" w:rsidRDefault="00811AC5" w:rsidP="00DC0E3E">
            <w:pPr>
              <w:pStyle w:val="ListBullet"/>
              <w:spacing w:before="100" w:after="100"/>
            </w:pPr>
            <w:r>
              <w:t>Major depression</w:t>
            </w:r>
          </w:p>
        </w:tc>
        <w:tc>
          <w:tcPr>
            <w:tcW w:w="4740" w:type="dxa"/>
          </w:tcPr>
          <w:p w14:paraId="02232D86" w14:textId="33F612B9" w:rsidR="0043661B" w:rsidRDefault="00811AC5" w:rsidP="00DC0E3E">
            <w:pPr>
              <w:pStyle w:val="ListBullet"/>
              <w:spacing w:before="100" w:after="100"/>
            </w:pPr>
            <w:r>
              <w:t>General Schedule</w:t>
            </w:r>
          </w:p>
        </w:tc>
      </w:tr>
      <w:tr w:rsidR="0043661B" w:rsidRPr="00E62611" w14:paraId="223DB8B6" w14:textId="77777777" w:rsidTr="00EF0937">
        <w:trPr>
          <w:cantSplit/>
          <w:trHeight w:val="152"/>
        </w:trPr>
        <w:tc>
          <w:tcPr>
            <w:tcW w:w="2209" w:type="dxa"/>
          </w:tcPr>
          <w:p w14:paraId="17534C2F" w14:textId="77777777" w:rsidR="0043661B" w:rsidRDefault="0043661B" w:rsidP="00DC0E3E">
            <w:pPr>
              <w:spacing w:before="100" w:after="100"/>
              <w:rPr>
                <w:rFonts w:asciiTheme="minorHAnsi" w:hAnsiTheme="minorHAnsi"/>
                <w:szCs w:val="22"/>
              </w:rPr>
            </w:pPr>
            <w:r>
              <w:rPr>
                <w:rFonts w:asciiTheme="minorHAnsi" w:hAnsiTheme="minorHAnsi"/>
                <w:szCs w:val="22"/>
              </w:rPr>
              <w:lastRenderedPageBreak/>
              <w:t>Imipramine</w:t>
            </w:r>
          </w:p>
          <w:p w14:paraId="53E022BF" w14:textId="7EE7CF67" w:rsidR="00811AC5" w:rsidRDefault="00811AC5" w:rsidP="00DC0E3E">
            <w:pPr>
              <w:spacing w:before="100" w:after="100"/>
              <w:rPr>
                <w:rFonts w:asciiTheme="minorHAnsi" w:hAnsiTheme="minorHAnsi"/>
                <w:szCs w:val="22"/>
              </w:rPr>
            </w:pPr>
            <w:r>
              <w:rPr>
                <w:rFonts w:asciiTheme="minorHAnsi" w:hAnsiTheme="minorHAnsi"/>
                <w:szCs w:val="22"/>
              </w:rPr>
              <w:t>(Tofranil)</w:t>
            </w:r>
          </w:p>
        </w:tc>
        <w:tc>
          <w:tcPr>
            <w:tcW w:w="2232" w:type="dxa"/>
          </w:tcPr>
          <w:p w14:paraId="58A1D805" w14:textId="5FEFD238" w:rsidR="0043661B" w:rsidRDefault="00811AC5" w:rsidP="00DC0E3E">
            <w:pPr>
              <w:spacing w:before="100" w:after="100"/>
              <w:rPr>
                <w:rFonts w:asciiTheme="minorHAnsi" w:hAnsiTheme="minorHAnsi"/>
                <w:szCs w:val="22"/>
              </w:rPr>
            </w:pPr>
            <w:r w:rsidRPr="00811AC5">
              <w:rPr>
                <w:rFonts w:asciiTheme="minorHAnsi" w:hAnsiTheme="minorHAnsi"/>
                <w:szCs w:val="22"/>
              </w:rPr>
              <w:t>Amdipharm Mercury Australia Pty Ltd</w:t>
            </w:r>
          </w:p>
        </w:tc>
        <w:tc>
          <w:tcPr>
            <w:tcW w:w="4705" w:type="dxa"/>
          </w:tcPr>
          <w:p w14:paraId="14D564BE" w14:textId="77777777" w:rsidR="0043661B" w:rsidRDefault="00811AC5" w:rsidP="00DC0E3E">
            <w:pPr>
              <w:pStyle w:val="ListBullet"/>
              <w:spacing w:before="100" w:after="100"/>
            </w:pPr>
            <w:r>
              <w:t>Major depression</w:t>
            </w:r>
          </w:p>
          <w:p w14:paraId="5453226F" w14:textId="77777777" w:rsidR="00811AC5" w:rsidRPr="00811AC5" w:rsidRDefault="00811AC5" w:rsidP="00DC0E3E">
            <w:pPr>
              <w:pStyle w:val="ListBullet"/>
              <w:spacing w:before="100" w:after="100"/>
            </w:pPr>
            <w:r>
              <w:t>Nocturnal enuresis</w:t>
            </w:r>
            <w:r w:rsidRPr="00811AC5">
              <w:t xml:space="preserve"> (from the age of 5 years onwards and provided the possibility of</w:t>
            </w:r>
          </w:p>
          <w:p w14:paraId="53E92177" w14:textId="145CE0A8" w:rsidR="00811AC5" w:rsidRPr="007E7E58" w:rsidRDefault="00811AC5" w:rsidP="00DC0E3E">
            <w:pPr>
              <w:pStyle w:val="ListBullet"/>
              <w:spacing w:before="100" w:after="100"/>
            </w:pPr>
            <w:r w:rsidRPr="00811AC5">
              <w:t>organic causes has first been excluded)</w:t>
            </w:r>
          </w:p>
        </w:tc>
        <w:tc>
          <w:tcPr>
            <w:tcW w:w="4740" w:type="dxa"/>
          </w:tcPr>
          <w:p w14:paraId="31B5B06B" w14:textId="0F0371C5" w:rsidR="0043661B" w:rsidRDefault="00811AC5" w:rsidP="00DC0E3E">
            <w:pPr>
              <w:pStyle w:val="ListBullet"/>
              <w:spacing w:before="100" w:after="100"/>
            </w:pPr>
            <w:r>
              <w:t>General Schedule</w:t>
            </w:r>
          </w:p>
        </w:tc>
      </w:tr>
      <w:tr w:rsidR="0043661B" w:rsidRPr="00E62611" w14:paraId="5B164DDB" w14:textId="77777777" w:rsidTr="00EF0937">
        <w:trPr>
          <w:cantSplit/>
          <w:trHeight w:val="152"/>
        </w:trPr>
        <w:tc>
          <w:tcPr>
            <w:tcW w:w="2209" w:type="dxa"/>
          </w:tcPr>
          <w:p w14:paraId="506205EC" w14:textId="77777777" w:rsidR="00811AC5" w:rsidRDefault="00811AC5" w:rsidP="00DC0E3E">
            <w:pPr>
              <w:spacing w:before="100" w:after="100"/>
              <w:rPr>
                <w:rFonts w:asciiTheme="minorHAnsi" w:hAnsiTheme="minorHAnsi"/>
                <w:szCs w:val="22"/>
              </w:rPr>
            </w:pPr>
            <w:r>
              <w:rPr>
                <w:rFonts w:asciiTheme="minorHAnsi" w:hAnsiTheme="minorHAnsi"/>
                <w:szCs w:val="22"/>
              </w:rPr>
              <w:t>Nortriptyline</w:t>
            </w:r>
          </w:p>
          <w:p w14:paraId="42B2AFD5" w14:textId="5B8A13E3" w:rsidR="0043661B" w:rsidRDefault="00811AC5" w:rsidP="00DC0E3E">
            <w:pPr>
              <w:spacing w:before="100" w:after="100"/>
              <w:rPr>
                <w:rFonts w:asciiTheme="minorHAnsi" w:hAnsiTheme="minorHAnsi"/>
                <w:szCs w:val="22"/>
              </w:rPr>
            </w:pPr>
            <w:r>
              <w:rPr>
                <w:rFonts w:asciiTheme="minorHAnsi" w:hAnsiTheme="minorHAnsi"/>
                <w:szCs w:val="22"/>
              </w:rPr>
              <w:t>(Allegron)</w:t>
            </w:r>
          </w:p>
        </w:tc>
        <w:tc>
          <w:tcPr>
            <w:tcW w:w="2232" w:type="dxa"/>
          </w:tcPr>
          <w:p w14:paraId="5C10676D" w14:textId="433557CF" w:rsidR="0043661B" w:rsidRDefault="00811AC5" w:rsidP="00DC0E3E">
            <w:pPr>
              <w:spacing w:before="100" w:after="100"/>
              <w:rPr>
                <w:rFonts w:asciiTheme="minorHAnsi" w:hAnsiTheme="minorHAnsi"/>
                <w:szCs w:val="22"/>
              </w:rPr>
            </w:pPr>
            <w:r>
              <w:rPr>
                <w:rFonts w:asciiTheme="minorHAnsi" w:hAnsiTheme="minorHAnsi"/>
                <w:szCs w:val="22"/>
              </w:rPr>
              <w:t>Arrow Pharma Pty Ltd</w:t>
            </w:r>
          </w:p>
        </w:tc>
        <w:tc>
          <w:tcPr>
            <w:tcW w:w="4705" w:type="dxa"/>
          </w:tcPr>
          <w:p w14:paraId="7C5CB3C2" w14:textId="0CF65856" w:rsidR="0043661B" w:rsidRPr="007E7E58" w:rsidRDefault="00811AC5" w:rsidP="00DC0E3E">
            <w:pPr>
              <w:pStyle w:val="ListBullet"/>
              <w:spacing w:before="100" w:after="100"/>
            </w:pPr>
            <w:r>
              <w:t>Major depression</w:t>
            </w:r>
          </w:p>
        </w:tc>
        <w:tc>
          <w:tcPr>
            <w:tcW w:w="4740" w:type="dxa"/>
          </w:tcPr>
          <w:p w14:paraId="0B6920A7" w14:textId="6503D3C0" w:rsidR="0043661B" w:rsidRDefault="00811AC5" w:rsidP="00DC0E3E">
            <w:pPr>
              <w:pStyle w:val="ListBullet"/>
              <w:spacing w:before="100" w:after="100"/>
            </w:pPr>
            <w:r>
              <w:t>General Schedule</w:t>
            </w:r>
          </w:p>
        </w:tc>
      </w:tr>
      <w:tr w:rsidR="0043661B" w:rsidRPr="00E62611" w14:paraId="47A2D812" w14:textId="77777777" w:rsidTr="008C33B5">
        <w:trPr>
          <w:cantSplit/>
          <w:trHeight w:val="152"/>
        </w:trPr>
        <w:tc>
          <w:tcPr>
            <w:tcW w:w="13886" w:type="dxa"/>
            <w:gridSpan w:val="4"/>
            <w:shd w:val="clear" w:color="auto" w:fill="006DA7"/>
          </w:tcPr>
          <w:p w14:paraId="12043CF2" w14:textId="4A29C2BA" w:rsidR="0043661B" w:rsidRPr="0043661B" w:rsidRDefault="0043661B" w:rsidP="00DC0E3E">
            <w:pPr>
              <w:spacing w:before="100" w:after="100"/>
              <w:rPr>
                <w:rFonts w:asciiTheme="minorHAnsi" w:hAnsiTheme="minorHAnsi"/>
                <w:szCs w:val="22"/>
              </w:rPr>
            </w:pPr>
            <w:r w:rsidRPr="008C33B5">
              <w:rPr>
                <w:rFonts w:asciiTheme="minorHAnsi" w:hAnsiTheme="minorHAnsi"/>
                <w:b/>
                <w:color w:val="FFFFFF" w:themeColor="background1"/>
                <w:szCs w:val="22"/>
              </w:rPr>
              <w:t>Monoamine oxidase inhibitors (MAOIs)</w:t>
            </w:r>
          </w:p>
        </w:tc>
      </w:tr>
      <w:tr w:rsidR="0043661B" w:rsidRPr="00E62611" w14:paraId="5ABCA4B2" w14:textId="77777777" w:rsidTr="00EF0937">
        <w:trPr>
          <w:cantSplit/>
          <w:trHeight w:val="152"/>
        </w:trPr>
        <w:tc>
          <w:tcPr>
            <w:tcW w:w="2209" w:type="dxa"/>
          </w:tcPr>
          <w:p w14:paraId="47D83428" w14:textId="77777777" w:rsidR="0043661B" w:rsidRDefault="0043661B" w:rsidP="00DC0E3E">
            <w:pPr>
              <w:spacing w:before="100" w:after="100"/>
              <w:rPr>
                <w:rFonts w:asciiTheme="minorHAnsi" w:hAnsiTheme="minorHAnsi"/>
                <w:szCs w:val="22"/>
              </w:rPr>
            </w:pPr>
            <w:r>
              <w:rPr>
                <w:rFonts w:asciiTheme="minorHAnsi" w:hAnsiTheme="minorHAnsi"/>
                <w:szCs w:val="22"/>
              </w:rPr>
              <w:t>Phenelzine</w:t>
            </w:r>
          </w:p>
          <w:p w14:paraId="0550E6C9" w14:textId="604F8247" w:rsidR="0043661B" w:rsidRDefault="00811AC5" w:rsidP="00DC0E3E">
            <w:pPr>
              <w:spacing w:before="100" w:after="100"/>
              <w:rPr>
                <w:rFonts w:asciiTheme="minorHAnsi" w:hAnsiTheme="minorHAnsi"/>
                <w:szCs w:val="22"/>
              </w:rPr>
            </w:pPr>
            <w:r>
              <w:rPr>
                <w:rFonts w:asciiTheme="minorHAnsi" w:hAnsiTheme="minorHAnsi"/>
                <w:szCs w:val="22"/>
              </w:rPr>
              <w:t>(Nardi</w:t>
            </w:r>
            <w:r w:rsidR="0043661B">
              <w:rPr>
                <w:rFonts w:asciiTheme="minorHAnsi" w:hAnsiTheme="minorHAnsi"/>
                <w:szCs w:val="22"/>
              </w:rPr>
              <w:t>l)</w:t>
            </w:r>
          </w:p>
        </w:tc>
        <w:tc>
          <w:tcPr>
            <w:tcW w:w="2232" w:type="dxa"/>
          </w:tcPr>
          <w:p w14:paraId="0BB26BD0" w14:textId="06A7B802" w:rsidR="0043661B" w:rsidRDefault="00811AC5" w:rsidP="00DC0E3E">
            <w:pPr>
              <w:spacing w:before="100" w:after="100"/>
              <w:rPr>
                <w:rFonts w:asciiTheme="minorHAnsi" w:hAnsiTheme="minorHAnsi"/>
                <w:szCs w:val="22"/>
              </w:rPr>
            </w:pPr>
            <w:r w:rsidRPr="00811AC5">
              <w:rPr>
                <w:rFonts w:asciiTheme="minorHAnsi" w:hAnsiTheme="minorHAnsi"/>
                <w:szCs w:val="22"/>
              </w:rPr>
              <w:t>Link Medical Products Pty Ltd T/A Link Pharmaceuticals</w:t>
            </w:r>
          </w:p>
        </w:tc>
        <w:tc>
          <w:tcPr>
            <w:tcW w:w="4705" w:type="dxa"/>
          </w:tcPr>
          <w:p w14:paraId="56DEC647" w14:textId="35539EC4" w:rsidR="0043661B" w:rsidRPr="007E7E58" w:rsidRDefault="00811AC5" w:rsidP="00DC0E3E">
            <w:pPr>
              <w:pStyle w:val="ListBullet"/>
              <w:spacing w:before="100" w:after="100"/>
            </w:pPr>
            <w:r>
              <w:t>Major depression</w:t>
            </w:r>
          </w:p>
        </w:tc>
        <w:tc>
          <w:tcPr>
            <w:tcW w:w="4740" w:type="dxa"/>
          </w:tcPr>
          <w:p w14:paraId="5145195D" w14:textId="77777777" w:rsidR="0043661B" w:rsidRDefault="006C2CEA" w:rsidP="00DC0E3E">
            <w:pPr>
              <w:pStyle w:val="ListBullet"/>
              <w:spacing w:before="100" w:after="100"/>
            </w:pPr>
            <w:r>
              <w:t>Restricted Benefit</w:t>
            </w:r>
          </w:p>
          <w:p w14:paraId="7CCF65A5" w14:textId="3BE086CC" w:rsidR="006C2CEA" w:rsidRDefault="006C2CEA" w:rsidP="00DC0E3E">
            <w:pPr>
              <w:pStyle w:val="ListBullet2"/>
              <w:spacing w:before="100" w:after="100"/>
            </w:pPr>
            <w:r>
              <w:t>Depression</w:t>
            </w:r>
          </w:p>
          <w:p w14:paraId="5E82ABC6" w14:textId="08388EEA" w:rsidR="006C2CEA" w:rsidRPr="006C2CEA" w:rsidRDefault="006C2CEA" w:rsidP="00DC0E3E">
            <w:pPr>
              <w:pStyle w:val="ListBullet3"/>
              <w:spacing w:before="100" w:after="100"/>
            </w:pPr>
            <w:r w:rsidRPr="006C2CEA">
              <w:t>The treatment must be for when all other anti-depressant therapy has failed; OR</w:t>
            </w:r>
          </w:p>
          <w:p w14:paraId="3B698914" w14:textId="0850EBF6" w:rsidR="006C2CEA" w:rsidRPr="006C2CEA" w:rsidRDefault="006C2CEA" w:rsidP="00DC0E3E">
            <w:pPr>
              <w:pStyle w:val="ListBullet3"/>
              <w:spacing w:before="100" w:after="100"/>
            </w:pPr>
            <w:r w:rsidRPr="006C2CEA">
              <w:t>The treatment must be for when all other anti-depressant therapy is inappropriate.</w:t>
            </w:r>
          </w:p>
        </w:tc>
      </w:tr>
      <w:tr w:rsidR="0043661B" w:rsidRPr="00E62611" w14:paraId="72625321" w14:textId="77777777" w:rsidTr="00EF0937">
        <w:trPr>
          <w:cantSplit/>
          <w:trHeight w:val="152"/>
        </w:trPr>
        <w:tc>
          <w:tcPr>
            <w:tcW w:w="2209" w:type="dxa"/>
          </w:tcPr>
          <w:p w14:paraId="4EEC5169" w14:textId="77777777" w:rsidR="0043661B" w:rsidRDefault="0043661B" w:rsidP="00DC0E3E">
            <w:pPr>
              <w:spacing w:before="100" w:after="100"/>
              <w:rPr>
                <w:rFonts w:asciiTheme="minorHAnsi" w:hAnsiTheme="minorHAnsi"/>
                <w:szCs w:val="22"/>
              </w:rPr>
            </w:pPr>
            <w:r>
              <w:rPr>
                <w:rFonts w:asciiTheme="minorHAnsi" w:hAnsiTheme="minorHAnsi"/>
                <w:szCs w:val="22"/>
              </w:rPr>
              <w:t>Tranylcypromine</w:t>
            </w:r>
          </w:p>
          <w:p w14:paraId="152C68BE" w14:textId="43959EBF" w:rsidR="0043661B" w:rsidRDefault="0043661B" w:rsidP="00DC0E3E">
            <w:pPr>
              <w:spacing w:before="100" w:after="100"/>
              <w:rPr>
                <w:rFonts w:asciiTheme="minorHAnsi" w:hAnsiTheme="minorHAnsi"/>
                <w:szCs w:val="22"/>
              </w:rPr>
            </w:pPr>
            <w:r>
              <w:rPr>
                <w:rFonts w:asciiTheme="minorHAnsi" w:hAnsiTheme="minorHAnsi"/>
                <w:szCs w:val="22"/>
              </w:rPr>
              <w:t>(</w:t>
            </w:r>
            <w:r w:rsidR="00811AC5">
              <w:rPr>
                <w:rFonts w:asciiTheme="minorHAnsi" w:hAnsiTheme="minorHAnsi"/>
                <w:szCs w:val="22"/>
              </w:rPr>
              <w:t>Parnate)</w:t>
            </w:r>
          </w:p>
        </w:tc>
        <w:tc>
          <w:tcPr>
            <w:tcW w:w="2232" w:type="dxa"/>
          </w:tcPr>
          <w:p w14:paraId="63BAFACB" w14:textId="4A45B8B4" w:rsidR="0043661B" w:rsidRDefault="00811AC5" w:rsidP="00DC0E3E">
            <w:pPr>
              <w:spacing w:before="100" w:after="100"/>
              <w:rPr>
                <w:rFonts w:asciiTheme="minorHAnsi" w:hAnsiTheme="minorHAnsi"/>
                <w:szCs w:val="22"/>
              </w:rPr>
            </w:pPr>
            <w:r w:rsidRPr="00811AC5">
              <w:rPr>
                <w:rFonts w:asciiTheme="minorHAnsi" w:hAnsiTheme="minorHAnsi"/>
                <w:szCs w:val="22"/>
              </w:rPr>
              <w:t>Amdipharm Mercury Australia Pty Ltd</w:t>
            </w:r>
          </w:p>
        </w:tc>
        <w:tc>
          <w:tcPr>
            <w:tcW w:w="4705" w:type="dxa"/>
          </w:tcPr>
          <w:p w14:paraId="17341950" w14:textId="0B8C5DE3" w:rsidR="0043661B" w:rsidRPr="00811AC5" w:rsidRDefault="00811AC5" w:rsidP="00DC0E3E">
            <w:pPr>
              <w:pStyle w:val="ListBullet"/>
              <w:spacing w:before="100" w:after="100"/>
            </w:pPr>
            <w:r>
              <w:t>T</w:t>
            </w:r>
            <w:r w:rsidRPr="00811AC5">
              <w:t>he treatment of symptoms of depressive illness especially where</w:t>
            </w:r>
            <w:r>
              <w:t xml:space="preserve"> </w:t>
            </w:r>
            <w:r w:rsidRPr="00811AC5">
              <w:t>treatment with other types of antidepressants has failed</w:t>
            </w:r>
            <w:r>
              <w:t>.</w:t>
            </w:r>
          </w:p>
        </w:tc>
        <w:tc>
          <w:tcPr>
            <w:tcW w:w="4740" w:type="dxa"/>
          </w:tcPr>
          <w:p w14:paraId="44BBC431" w14:textId="29BE9614" w:rsidR="0043661B" w:rsidRDefault="00811AC5" w:rsidP="00DC0E3E">
            <w:pPr>
              <w:pStyle w:val="ListBullet"/>
              <w:spacing w:before="100" w:after="100"/>
            </w:pPr>
            <w:r>
              <w:t>General Schedule</w:t>
            </w:r>
          </w:p>
        </w:tc>
      </w:tr>
      <w:tr w:rsidR="0043661B" w:rsidRPr="00E62611" w14:paraId="209D3D83" w14:textId="77777777" w:rsidTr="00531F91">
        <w:trPr>
          <w:cantSplit/>
          <w:trHeight w:val="152"/>
        </w:trPr>
        <w:tc>
          <w:tcPr>
            <w:tcW w:w="13886" w:type="dxa"/>
            <w:gridSpan w:val="4"/>
            <w:shd w:val="clear" w:color="auto" w:fill="006DA7"/>
          </w:tcPr>
          <w:p w14:paraId="62F9B4E2" w14:textId="2A9D3CFB" w:rsidR="0043661B" w:rsidRPr="00531F91" w:rsidRDefault="0043661B" w:rsidP="00531F91">
            <w:pPr>
              <w:rPr>
                <w:b/>
              </w:rPr>
            </w:pPr>
            <w:r w:rsidRPr="00531F91">
              <w:rPr>
                <w:b/>
                <w:color w:val="FFFFFF" w:themeColor="background1"/>
              </w:rPr>
              <w:t>Other</w:t>
            </w:r>
          </w:p>
        </w:tc>
      </w:tr>
      <w:tr w:rsidR="00EF0937" w:rsidRPr="00E62611" w14:paraId="288E4932" w14:textId="77777777" w:rsidTr="00EF0937">
        <w:trPr>
          <w:cantSplit/>
          <w:trHeight w:val="152"/>
        </w:trPr>
        <w:tc>
          <w:tcPr>
            <w:tcW w:w="2209" w:type="dxa"/>
            <w:tcBorders>
              <w:bottom w:val="single" w:sz="4" w:space="0" w:color="auto"/>
            </w:tcBorders>
          </w:tcPr>
          <w:p w14:paraId="248064A9" w14:textId="77777777" w:rsidR="00EF0937" w:rsidRDefault="00EF0937" w:rsidP="00DC0E3E">
            <w:pPr>
              <w:spacing w:before="100" w:after="100"/>
              <w:rPr>
                <w:rFonts w:asciiTheme="minorHAnsi" w:hAnsiTheme="minorHAnsi"/>
                <w:szCs w:val="22"/>
              </w:rPr>
            </w:pPr>
            <w:r>
              <w:rPr>
                <w:rFonts w:asciiTheme="minorHAnsi" w:hAnsiTheme="minorHAnsi"/>
                <w:szCs w:val="22"/>
              </w:rPr>
              <w:t>Agomelatine</w:t>
            </w:r>
          </w:p>
          <w:p w14:paraId="6CA2717F" w14:textId="77777777" w:rsidR="00EF0937" w:rsidRDefault="00EF0937" w:rsidP="00DC0E3E">
            <w:pPr>
              <w:spacing w:before="100" w:after="100"/>
              <w:rPr>
                <w:rFonts w:asciiTheme="minorHAnsi" w:hAnsiTheme="minorHAnsi"/>
                <w:szCs w:val="22"/>
              </w:rPr>
            </w:pPr>
            <w:r>
              <w:rPr>
                <w:rFonts w:asciiTheme="minorHAnsi" w:hAnsiTheme="minorHAnsi"/>
                <w:szCs w:val="22"/>
              </w:rPr>
              <w:t>(Valdoxan)</w:t>
            </w:r>
          </w:p>
        </w:tc>
        <w:tc>
          <w:tcPr>
            <w:tcW w:w="2232" w:type="dxa"/>
            <w:tcBorders>
              <w:bottom w:val="single" w:sz="4" w:space="0" w:color="auto"/>
            </w:tcBorders>
          </w:tcPr>
          <w:p w14:paraId="2EE907A1" w14:textId="77777777" w:rsidR="00EF0937" w:rsidRDefault="00EF0937" w:rsidP="00DC0E3E">
            <w:pPr>
              <w:spacing w:before="100" w:after="100"/>
              <w:rPr>
                <w:rFonts w:asciiTheme="minorHAnsi" w:hAnsiTheme="minorHAnsi"/>
                <w:szCs w:val="22"/>
              </w:rPr>
            </w:pPr>
            <w:r w:rsidRPr="00384417">
              <w:rPr>
                <w:rFonts w:asciiTheme="minorHAnsi" w:hAnsiTheme="minorHAnsi"/>
                <w:szCs w:val="22"/>
              </w:rPr>
              <w:t>Servier Laboratories Australia Pty Ltd</w:t>
            </w:r>
          </w:p>
        </w:tc>
        <w:tc>
          <w:tcPr>
            <w:tcW w:w="4705" w:type="dxa"/>
            <w:tcBorders>
              <w:bottom w:val="single" w:sz="4" w:space="0" w:color="auto"/>
            </w:tcBorders>
          </w:tcPr>
          <w:p w14:paraId="3CD673F2" w14:textId="77777777" w:rsidR="00EF0937" w:rsidRPr="007E7E58" w:rsidRDefault="00EF0937" w:rsidP="00DC0E3E">
            <w:pPr>
              <w:pStyle w:val="ListBullet"/>
              <w:spacing w:before="100" w:after="100"/>
            </w:pPr>
            <w:r>
              <w:t>Major depression in adults including prevention of relapse</w:t>
            </w:r>
          </w:p>
        </w:tc>
        <w:tc>
          <w:tcPr>
            <w:tcW w:w="4740" w:type="dxa"/>
            <w:tcBorders>
              <w:bottom w:val="single" w:sz="4" w:space="0" w:color="auto"/>
            </w:tcBorders>
          </w:tcPr>
          <w:p w14:paraId="0A2AD732" w14:textId="77777777" w:rsidR="00EF0937" w:rsidRDefault="00EF0937" w:rsidP="00DC0E3E">
            <w:pPr>
              <w:pStyle w:val="ListBullet"/>
              <w:spacing w:before="100" w:after="100"/>
            </w:pPr>
            <w:r>
              <w:t>Not applicable</w:t>
            </w:r>
          </w:p>
        </w:tc>
      </w:tr>
      <w:tr w:rsidR="00EF0937" w:rsidRPr="00E62611" w14:paraId="6EC9F172" w14:textId="77777777" w:rsidTr="00A61F03">
        <w:trPr>
          <w:cantSplit/>
          <w:trHeight w:val="152"/>
        </w:trPr>
        <w:tc>
          <w:tcPr>
            <w:tcW w:w="2209" w:type="dxa"/>
          </w:tcPr>
          <w:p w14:paraId="599191C0" w14:textId="77777777" w:rsidR="00EF0937" w:rsidRDefault="00EF0937" w:rsidP="00DC0E3E">
            <w:pPr>
              <w:spacing w:before="100" w:after="100"/>
              <w:rPr>
                <w:rFonts w:asciiTheme="minorHAnsi" w:hAnsiTheme="minorHAnsi"/>
                <w:szCs w:val="22"/>
              </w:rPr>
            </w:pPr>
            <w:r>
              <w:rPr>
                <w:rFonts w:asciiTheme="minorHAnsi" w:hAnsiTheme="minorHAnsi"/>
                <w:szCs w:val="22"/>
              </w:rPr>
              <w:t>Mianserin</w:t>
            </w:r>
          </w:p>
          <w:p w14:paraId="4091634B" w14:textId="77777777" w:rsidR="00EF0937" w:rsidRDefault="00EF0937" w:rsidP="00DC0E3E">
            <w:pPr>
              <w:spacing w:before="100" w:after="100"/>
              <w:rPr>
                <w:rFonts w:asciiTheme="minorHAnsi" w:hAnsiTheme="minorHAnsi"/>
                <w:szCs w:val="22"/>
              </w:rPr>
            </w:pPr>
            <w:r>
              <w:rPr>
                <w:rFonts w:asciiTheme="minorHAnsi" w:hAnsiTheme="minorHAnsi"/>
                <w:szCs w:val="22"/>
              </w:rPr>
              <w:t>(Lumin)</w:t>
            </w:r>
          </w:p>
        </w:tc>
        <w:tc>
          <w:tcPr>
            <w:tcW w:w="2232" w:type="dxa"/>
          </w:tcPr>
          <w:p w14:paraId="249B0758" w14:textId="77777777" w:rsidR="00EF0937" w:rsidRDefault="00EF0937" w:rsidP="00DC0E3E">
            <w:pPr>
              <w:spacing w:before="100" w:after="100"/>
              <w:rPr>
                <w:rFonts w:asciiTheme="minorHAnsi" w:hAnsiTheme="minorHAnsi"/>
                <w:szCs w:val="22"/>
              </w:rPr>
            </w:pPr>
            <w:r w:rsidRPr="006C2CEA">
              <w:rPr>
                <w:rFonts w:asciiTheme="minorHAnsi" w:hAnsiTheme="minorHAnsi"/>
                <w:szCs w:val="22"/>
              </w:rPr>
              <w:t>Alphapharm Pty Ltd</w:t>
            </w:r>
          </w:p>
        </w:tc>
        <w:tc>
          <w:tcPr>
            <w:tcW w:w="4705" w:type="dxa"/>
          </w:tcPr>
          <w:p w14:paraId="6A757F4D" w14:textId="77777777" w:rsidR="00EF0937" w:rsidRPr="007E7E58" w:rsidRDefault="00EF0937" w:rsidP="00DC0E3E">
            <w:pPr>
              <w:pStyle w:val="ListBullet"/>
              <w:spacing w:before="100" w:after="100"/>
            </w:pPr>
            <w:r>
              <w:t>Major depression</w:t>
            </w:r>
          </w:p>
        </w:tc>
        <w:tc>
          <w:tcPr>
            <w:tcW w:w="4740" w:type="dxa"/>
          </w:tcPr>
          <w:p w14:paraId="38A19FFD" w14:textId="77777777" w:rsidR="00EF0937" w:rsidRDefault="00EF0937" w:rsidP="00DC0E3E">
            <w:pPr>
              <w:pStyle w:val="ListBullet"/>
              <w:spacing w:before="100" w:after="100"/>
            </w:pPr>
            <w:r>
              <w:t>Restricted Benefit</w:t>
            </w:r>
          </w:p>
          <w:p w14:paraId="2B837FC8" w14:textId="77777777" w:rsidR="00EF0937" w:rsidRDefault="00EF0937" w:rsidP="00DC0E3E">
            <w:pPr>
              <w:pStyle w:val="ListBullet2"/>
              <w:spacing w:before="100" w:after="100"/>
            </w:pPr>
            <w:r>
              <w:t>Severe depression</w:t>
            </w:r>
          </w:p>
        </w:tc>
      </w:tr>
      <w:tr w:rsidR="00EF0937" w:rsidRPr="00E62611" w14:paraId="047507FB" w14:textId="77777777" w:rsidTr="00A61F03">
        <w:trPr>
          <w:cantSplit/>
          <w:trHeight w:val="152"/>
        </w:trPr>
        <w:tc>
          <w:tcPr>
            <w:tcW w:w="2209" w:type="dxa"/>
          </w:tcPr>
          <w:p w14:paraId="5440A1CB" w14:textId="77777777" w:rsidR="00EF0937" w:rsidRDefault="00EF0937" w:rsidP="00DC0E3E">
            <w:pPr>
              <w:spacing w:before="100" w:after="100"/>
              <w:rPr>
                <w:rFonts w:asciiTheme="minorHAnsi" w:hAnsiTheme="minorHAnsi"/>
                <w:szCs w:val="22"/>
              </w:rPr>
            </w:pPr>
            <w:r>
              <w:rPr>
                <w:rFonts w:asciiTheme="minorHAnsi" w:hAnsiTheme="minorHAnsi"/>
                <w:szCs w:val="22"/>
              </w:rPr>
              <w:lastRenderedPageBreak/>
              <w:t>Mirtazapine</w:t>
            </w:r>
          </w:p>
          <w:p w14:paraId="4E8BBA7E" w14:textId="77777777" w:rsidR="00EF0937" w:rsidRDefault="00EF0937" w:rsidP="00DC0E3E">
            <w:pPr>
              <w:spacing w:before="100" w:after="100"/>
              <w:rPr>
                <w:rFonts w:asciiTheme="minorHAnsi" w:hAnsiTheme="minorHAnsi"/>
                <w:szCs w:val="22"/>
              </w:rPr>
            </w:pPr>
            <w:r>
              <w:rPr>
                <w:rFonts w:asciiTheme="minorHAnsi" w:hAnsiTheme="minorHAnsi"/>
                <w:szCs w:val="22"/>
              </w:rPr>
              <w:t>(Avanza)</w:t>
            </w:r>
          </w:p>
        </w:tc>
        <w:tc>
          <w:tcPr>
            <w:tcW w:w="2232" w:type="dxa"/>
          </w:tcPr>
          <w:p w14:paraId="617E5421" w14:textId="77777777" w:rsidR="00EF0937" w:rsidRDefault="00EF0937" w:rsidP="00DC0E3E">
            <w:pPr>
              <w:spacing w:before="100" w:after="100"/>
              <w:rPr>
                <w:rFonts w:asciiTheme="minorHAnsi" w:hAnsiTheme="minorHAnsi"/>
                <w:szCs w:val="22"/>
              </w:rPr>
            </w:pPr>
            <w:r w:rsidRPr="006C2CEA">
              <w:rPr>
                <w:rFonts w:asciiTheme="minorHAnsi" w:hAnsiTheme="minorHAnsi"/>
                <w:szCs w:val="22"/>
              </w:rPr>
              <w:t>Merck Sharp &amp; Dohme (Australia) Pty Ltd</w:t>
            </w:r>
          </w:p>
        </w:tc>
        <w:tc>
          <w:tcPr>
            <w:tcW w:w="4705" w:type="dxa"/>
          </w:tcPr>
          <w:p w14:paraId="466E6675" w14:textId="77777777" w:rsidR="00EF0937" w:rsidRPr="007E7E58" w:rsidRDefault="00EF0937" w:rsidP="00DC0E3E">
            <w:pPr>
              <w:pStyle w:val="ListBullet"/>
              <w:spacing w:before="100" w:after="100"/>
            </w:pPr>
            <w:r>
              <w:t>Major depression including relapse prevention</w:t>
            </w:r>
          </w:p>
        </w:tc>
        <w:tc>
          <w:tcPr>
            <w:tcW w:w="4740" w:type="dxa"/>
          </w:tcPr>
          <w:p w14:paraId="145D62A2" w14:textId="77777777" w:rsidR="00EF0937" w:rsidRDefault="00EF0937" w:rsidP="00DC0E3E">
            <w:pPr>
              <w:pStyle w:val="ListBullet"/>
              <w:spacing w:before="100" w:after="100"/>
            </w:pPr>
            <w:r>
              <w:t>Restricted Benefit</w:t>
            </w:r>
          </w:p>
          <w:p w14:paraId="5D9DA94E" w14:textId="77777777" w:rsidR="00EF0937" w:rsidRDefault="00EF0937" w:rsidP="00DC0E3E">
            <w:pPr>
              <w:pStyle w:val="ListBullet2"/>
              <w:spacing w:before="100" w:after="100"/>
            </w:pPr>
            <w:r>
              <w:t>Major depressive disorders</w:t>
            </w:r>
          </w:p>
        </w:tc>
      </w:tr>
      <w:tr w:rsidR="0043661B" w:rsidRPr="00E62611" w14:paraId="04463DD9" w14:textId="77777777" w:rsidTr="00EF0937">
        <w:trPr>
          <w:cantSplit/>
          <w:trHeight w:val="152"/>
        </w:trPr>
        <w:tc>
          <w:tcPr>
            <w:tcW w:w="2209" w:type="dxa"/>
          </w:tcPr>
          <w:p w14:paraId="75441248" w14:textId="77777777" w:rsidR="0043661B" w:rsidRDefault="0043661B" w:rsidP="00DC0E3E">
            <w:pPr>
              <w:spacing w:before="100" w:after="100"/>
              <w:rPr>
                <w:rFonts w:asciiTheme="minorHAnsi" w:hAnsiTheme="minorHAnsi"/>
                <w:szCs w:val="22"/>
              </w:rPr>
            </w:pPr>
            <w:r>
              <w:rPr>
                <w:rFonts w:asciiTheme="minorHAnsi" w:hAnsiTheme="minorHAnsi"/>
                <w:szCs w:val="22"/>
              </w:rPr>
              <w:t>Moclobemide</w:t>
            </w:r>
          </w:p>
          <w:p w14:paraId="186DAF4A" w14:textId="2B5F9CD2" w:rsidR="006C2CEA" w:rsidRDefault="006C2CEA" w:rsidP="00DC0E3E">
            <w:pPr>
              <w:spacing w:before="100" w:after="100"/>
              <w:rPr>
                <w:rFonts w:asciiTheme="minorHAnsi" w:hAnsiTheme="minorHAnsi"/>
                <w:szCs w:val="22"/>
              </w:rPr>
            </w:pPr>
            <w:r>
              <w:rPr>
                <w:rFonts w:asciiTheme="minorHAnsi" w:hAnsiTheme="minorHAnsi"/>
                <w:szCs w:val="22"/>
              </w:rPr>
              <w:t>(Aurorix)</w:t>
            </w:r>
          </w:p>
        </w:tc>
        <w:tc>
          <w:tcPr>
            <w:tcW w:w="2232" w:type="dxa"/>
          </w:tcPr>
          <w:p w14:paraId="42EA6EE4" w14:textId="0BE93D5B" w:rsidR="0043661B" w:rsidRDefault="006C2CEA" w:rsidP="00DC0E3E">
            <w:pPr>
              <w:spacing w:before="100" w:after="100"/>
              <w:rPr>
                <w:rFonts w:asciiTheme="minorHAnsi" w:hAnsiTheme="minorHAnsi"/>
                <w:szCs w:val="22"/>
              </w:rPr>
            </w:pPr>
            <w:r w:rsidRPr="006C2CEA">
              <w:rPr>
                <w:rFonts w:asciiTheme="minorHAnsi" w:hAnsiTheme="minorHAnsi"/>
                <w:szCs w:val="22"/>
              </w:rPr>
              <w:t>Mylan Health Pty Ltd</w:t>
            </w:r>
          </w:p>
        </w:tc>
        <w:tc>
          <w:tcPr>
            <w:tcW w:w="4705" w:type="dxa"/>
          </w:tcPr>
          <w:p w14:paraId="36AD05D5" w14:textId="47A6C773" w:rsidR="0043661B" w:rsidRPr="007E7E58" w:rsidRDefault="006C2CEA" w:rsidP="00DC0E3E">
            <w:pPr>
              <w:pStyle w:val="ListBullet"/>
              <w:spacing w:before="100" w:after="100"/>
            </w:pPr>
            <w:r>
              <w:t>Major depression</w:t>
            </w:r>
          </w:p>
        </w:tc>
        <w:tc>
          <w:tcPr>
            <w:tcW w:w="4740" w:type="dxa"/>
          </w:tcPr>
          <w:p w14:paraId="0B8B2FCC" w14:textId="77777777" w:rsidR="006C2CEA" w:rsidRDefault="006C2CEA" w:rsidP="00DC0E3E">
            <w:pPr>
              <w:pStyle w:val="ListBullet"/>
              <w:spacing w:before="100" w:after="100"/>
            </w:pPr>
            <w:r>
              <w:t>Restricted Benefit</w:t>
            </w:r>
          </w:p>
          <w:p w14:paraId="26C59086" w14:textId="75B56B8A" w:rsidR="0043661B" w:rsidRDefault="006C2CEA" w:rsidP="00DC0E3E">
            <w:pPr>
              <w:pStyle w:val="ListBullet2"/>
              <w:spacing w:before="100" w:after="100"/>
            </w:pPr>
            <w:r>
              <w:t>Major depressive disorders</w:t>
            </w:r>
          </w:p>
        </w:tc>
      </w:tr>
      <w:tr w:rsidR="00EF0937" w:rsidRPr="00E62611" w14:paraId="6F410444" w14:textId="77777777" w:rsidTr="00A61F03">
        <w:trPr>
          <w:cantSplit/>
          <w:trHeight w:val="152"/>
        </w:trPr>
        <w:tc>
          <w:tcPr>
            <w:tcW w:w="2209" w:type="dxa"/>
          </w:tcPr>
          <w:p w14:paraId="660FA5B7" w14:textId="77777777" w:rsidR="00EF0937" w:rsidRDefault="00EF0937" w:rsidP="00DC0E3E">
            <w:pPr>
              <w:spacing w:before="100" w:after="100"/>
              <w:rPr>
                <w:rFonts w:asciiTheme="minorHAnsi" w:hAnsiTheme="minorHAnsi"/>
                <w:szCs w:val="22"/>
              </w:rPr>
            </w:pPr>
            <w:r>
              <w:rPr>
                <w:rFonts w:asciiTheme="minorHAnsi" w:hAnsiTheme="minorHAnsi"/>
                <w:szCs w:val="22"/>
              </w:rPr>
              <w:t>Reboxetine</w:t>
            </w:r>
          </w:p>
          <w:p w14:paraId="01553CDE" w14:textId="77777777" w:rsidR="00EF0937" w:rsidRDefault="00EF0937" w:rsidP="00DC0E3E">
            <w:pPr>
              <w:spacing w:before="100" w:after="100"/>
              <w:rPr>
                <w:rFonts w:asciiTheme="minorHAnsi" w:hAnsiTheme="minorHAnsi"/>
                <w:szCs w:val="22"/>
              </w:rPr>
            </w:pPr>
            <w:r>
              <w:rPr>
                <w:rFonts w:asciiTheme="minorHAnsi" w:hAnsiTheme="minorHAnsi"/>
                <w:szCs w:val="22"/>
              </w:rPr>
              <w:t>(Edronax)</w:t>
            </w:r>
          </w:p>
        </w:tc>
        <w:tc>
          <w:tcPr>
            <w:tcW w:w="2232" w:type="dxa"/>
          </w:tcPr>
          <w:p w14:paraId="3E0CCCE4" w14:textId="77777777" w:rsidR="00EF0937" w:rsidRDefault="00EF0937" w:rsidP="00DC0E3E">
            <w:pPr>
              <w:spacing w:before="100" w:after="100"/>
              <w:rPr>
                <w:rFonts w:asciiTheme="minorHAnsi" w:hAnsiTheme="minorHAnsi"/>
                <w:szCs w:val="22"/>
              </w:rPr>
            </w:pPr>
            <w:r w:rsidRPr="00811AC5">
              <w:rPr>
                <w:rFonts w:asciiTheme="minorHAnsi" w:hAnsiTheme="minorHAnsi"/>
                <w:szCs w:val="22"/>
              </w:rPr>
              <w:t>Pfizer Australia Pty Ltd</w:t>
            </w:r>
          </w:p>
        </w:tc>
        <w:tc>
          <w:tcPr>
            <w:tcW w:w="4705" w:type="dxa"/>
          </w:tcPr>
          <w:p w14:paraId="0C1D222C" w14:textId="77777777" w:rsidR="00EF0937" w:rsidRPr="007E7E58" w:rsidRDefault="00EF0937" w:rsidP="00DC0E3E">
            <w:pPr>
              <w:pStyle w:val="ListBullet"/>
              <w:spacing w:before="100" w:after="100"/>
            </w:pPr>
            <w:r>
              <w:t>Major depression</w:t>
            </w:r>
          </w:p>
        </w:tc>
        <w:tc>
          <w:tcPr>
            <w:tcW w:w="4740" w:type="dxa"/>
          </w:tcPr>
          <w:p w14:paraId="54B49AAB" w14:textId="77777777" w:rsidR="00EF0937" w:rsidRDefault="00EF0937" w:rsidP="00DC0E3E">
            <w:pPr>
              <w:pStyle w:val="ListBullet"/>
              <w:spacing w:before="100" w:after="100"/>
            </w:pPr>
            <w:r>
              <w:t>Restricted Benefit</w:t>
            </w:r>
          </w:p>
          <w:p w14:paraId="2F9E842A" w14:textId="77777777" w:rsidR="00EF0937" w:rsidRDefault="00EF0937" w:rsidP="00DC0E3E">
            <w:pPr>
              <w:pStyle w:val="ListBullet2"/>
              <w:spacing w:before="100" w:after="100"/>
            </w:pPr>
            <w:r>
              <w:t>Major depressive disorders</w:t>
            </w:r>
          </w:p>
        </w:tc>
      </w:tr>
      <w:tr w:rsidR="00EF0937" w:rsidRPr="00E62611" w14:paraId="3B0720C0" w14:textId="77777777" w:rsidTr="00A61F03">
        <w:trPr>
          <w:cantSplit/>
          <w:trHeight w:val="152"/>
        </w:trPr>
        <w:tc>
          <w:tcPr>
            <w:tcW w:w="2209" w:type="dxa"/>
          </w:tcPr>
          <w:p w14:paraId="2C4D89B5" w14:textId="77777777" w:rsidR="00EF0937" w:rsidRDefault="00EF0937" w:rsidP="00DC0E3E">
            <w:pPr>
              <w:spacing w:before="100" w:after="100"/>
              <w:rPr>
                <w:rFonts w:asciiTheme="minorHAnsi" w:hAnsiTheme="minorHAnsi"/>
                <w:szCs w:val="22"/>
              </w:rPr>
            </w:pPr>
            <w:r>
              <w:rPr>
                <w:rFonts w:asciiTheme="minorHAnsi" w:hAnsiTheme="minorHAnsi"/>
                <w:szCs w:val="22"/>
              </w:rPr>
              <w:t>Vortioxetine</w:t>
            </w:r>
          </w:p>
          <w:p w14:paraId="35A8B8E6" w14:textId="77777777" w:rsidR="00EF0937" w:rsidRDefault="00EF0937" w:rsidP="00DC0E3E">
            <w:pPr>
              <w:spacing w:before="100" w:after="100"/>
              <w:rPr>
                <w:rFonts w:asciiTheme="minorHAnsi" w:hAnsiTheme="minorHAnsi"/>
                <w:szCs w:val="22"/>
              </w:rPr>
            </w:pPr>
            <w:r>
              <w:rPr>
                <w:rFonts w:asciiTheme="minorHAnsi" w:hAnsiTheme="minorHAnsi"/>
                <w:szCs w:val="22"/>
              </w:rPr>
              <w:t>(Brintellix)</w:t>
            </w:r>
          </w:p>
        </w:tc>
        <w:tc>
          <w:tcPr>
            <w:tcW w:w="2232" w:type="dxa"/>
          </w:tcPr>
          <w:p w14:paraId="24CA28B9" w14:textId="77777777" w:rsidR="00EF0937" w:rsidRDefault="00EF0937" w:rsidP="00DC0E3E">
            <w:pPr>
              <w:spacing w:before="100" w:after="100"/>
              <w:rPr>
                <w:rFonts w:asciiTheme="minorHAnsi" w:hAnsiTheme="minorHAnsi"/>
                <w:szCs w:val="22"/>
              </w:rPr>
            </w:pPr>
            <w:r w:rsidRPr="006C2CEA">
              <w:rPr>
                <w:rFonts w:asciiTheme="minorHAnsi" w:hAnsiTheme="minorHAnsi"/>
                <w:szCs w:val="22"/>
              </w:rPr>
              <w:t>Lundbeck Australia Pty Ltd</w:t>
            </w:r>
          </w:p>
        </w:tc>
        <w:tc>
          <w:tcPr>
            <w:tcW w:w="4705" w:type="dxa"/>
          </w:tcPr>
          <w:p w14:paraId="7A88FA86" w14:textId="77777777" w:rsidR="00EF0937" w:rsidRPr="007E7E58" w:rsidRDefault="00EF0937" w:rsidP="00DC0E3E">
            <w:pPr>
              <w:pStyle w:val="ListBullet"/>
              <w:spacing w:before="100" w:after="100"/>
            </w:pPr>
            <w:r>
              <w:t>M</w:t>
            </w:r>
            <w:r w:rsidRPr="006C2CEA">
              <w:t>ajor depressive disorder in adults including prevention of relapse</w:t>
            </w:r>
            <w:r>
              <w:t>.</w:t>
            </w:r>
          </w:p>
        </w:tc>
        <w:tc>
          <w:tcPr>
            <w:tcW w:w="4740" w:type="dxa"/>
          </w:tcPr>
          <w:p w14:paraId="73FFE528" w14:textId="77777777" w:rsidR="00EF0937" w:rsidRDefault="00EF0937" w:rsidP="00DC0E3E">
            <w:pPr>
              <w:pStyle w:val="ListBullet"/>
              <w:spacing w:before="100" w:after="100"/>
            </w:pPr>
            <w:r>
              <w:t>Not applicable</w:t>
            </w:r>
          </w:p>
        </w:tc>
      </w:tr>
      <w:tr w:rsidR="00793741" w:rsidRPr="00E62611" w14:paraId="32AD008B" w14:textId="77777777" w:rsidTr="00793741">
        <w:trPr>
          <w:cantSplit/>
          <w:trHeight w:val="152"/>
        </w:trPr>
        <w:tc>
          <w:tcPr>
            <w:tcW w:w="13886" w:type="dxa"/>
            <w:gridSpan w:val="4"/>
            <w:tcBorders>
              <w:left w:val="nil"/>
              <w:bottom w:val="nil"/>
              <w:right w:val="nil"/>
            </w:tcBorders>
          </w:tcPr>
          <w:p w14:paraId="0B72156F" w14:textId="3691C146" w:rsidR="00793741" w:rsidRPr="00793741" w:rsidRDefault="00793741" w:rsidP="00DC0E3E">
            <w:pPr>
              <w:adjustRightInd w:val="0"/>
              <w:snapToGrid w:val="0"/>
              <w:spacing w:before="100" w:after="100"/>
              <w:rPr>
                <w:rFonts w:asciiTheme="minorHAnsi" w:hAnsiTheme="minorHAnsi"/>
                <w:sz w:val="20"/>
                <w:szCs w:val="20"/>
              </w:rPr>
            </w:pPr>
            <w:r w:rsidRPr="00793741">
              <w:rPr>
                <w:rFonts w:asciiTheme="minorHAnsi" w:hAnsiTheme="minorHAnsi"/>
                <w:sz w:val="20"/>
                <w:szCs w:val="20"/>
              </w:rPr>
              <w:t>*Restricted medicines listed in the schedul</w:t>
            </w:r>
            <w:r w:rsidR="00E227EE">
              <w:rPr>
                <w:rFonts w:asciiTheme="minorHAnsi" w:hAnsiTheme="minorHAnsi"/>
                <w:sz w:val="20"/>
                <w:szCs w:val="20"/>
              </w:rPr>
              <w:t>e</w:t>
            </w:r>
            <w:r w:rsidRPr="00793741">
              <w:rPr>
                <w:rFonts w:asciiTheme="minorHAnsi" w:hAnsiTheme="minorHAnsi"/>
                <w:sz w:val="20"/>
                <w:szCs w:val="20"/>
              </w:rPr>
              <w:t xml:space="preserve"> are only prescribed if the condition meets the stated restrictions.</w:t>
            </w:r>
          </w:p>
        </w:tc>
      </w:tr>
    </w:tbl>
    <w:p w14:paraId="280D2ED3" w14:textId="1F2DCC52" w:rsidR="00342C83" w:rsidRDefault="00342C83" w:rsidP="00A90400"/>
    <w:p w14:paraId="03932334" w14:textId="77777777" w:rsidR="00342C83" w:rsidRDefault="00342C83">
      <w:pPr>
        <w:spacing w:before="0" w:after="0" w:line="240" w:lineRule="auto"/>
        <w:sectPr w:rsidR="00342C83" w:rsidSect="00342C83">
          <w:footerReference w:type="default" r:id="rId70"/>
          <w:pgSz w:w="16838" w:h="11906" w:orient="landscape" w:code="9"/>
          <w:pgMar w:top="1418" w:right="1134" w:bottom="1418" w:left="1361" w:header="573" w:footer="567" w:gutter="0"/>
          <w:cols w:space="708"/>
          <w:docGrid w:linePitch="360"/>
        </w:sectPr>
      </w:pPr>
    </w:p>
    <w:p w14:paraId="7DE1D08A" w14:textId="75851259" w:rsidR="00960560" w:rsidRPr="00A31882" w:rsidRDefault="00B2273E" w:rsidP="00960560">
      <w:pPr>
        <w:pStyle w:val="Heading3"/>
      </w:pPr>
      <w:bookmarkStart w:id="80" w:name="_Toc57132547"/>
      <w:bookmarkStart w:id="81" w:name="_Toc70418964"/>
      <w:r>
        <w:lastRenderedPageBreak/>
        <w:t xml:space="preserve">Appendix 2 – </w:t>
      </w:r>
      <w:r w:rsidR="00960560" w:rsidRPr="00A31882">
        <w:t xml:space="preserve">TGA </w:t>
      </w:r>
      <w:r w:rsidR="00960560">
        <w:t>DAEN</w:t>
      </w:r>
      <w:r w:rsidR="00960560" w:rsidRPr="00A31882">
        <w:t xml:space="preserve"> search strategy for youth </w:t>
      </w:r>
      <w:r w:rsidR="00960560">
        <w:t xml:space="preserve">suicide reported with the use of </w:t>
      </w:r>
      <w:r w:rsidR="00E51AC4">
        <w:t>antidepressants</w:t>
      </w:r>
      <w:r w:rsidR="00960560">
        <w:t xml:space="preserve"> – </w:t>
      </w:r>
      <w:r w:rsidR="00E51AC4">
        <w:t xml:space="preserve">19 November </w:t>
      </w:r>
      <w:r w:rsidR="00960560">
        <w:t>2020</w:t>
      </w:r>
      <w:bookmarkEnd w:id="80"/>
      <w:bookmarkEnd w:id="81"/>
    </w:p>
    <w:p w14:paraId="75B88486" w14:textId="77777777" w:rsidR="0010591B" w:rsidRDefault="00960560" w:rsidP="00AE3AB9">
      <w:pPr>
        <w:rPr>
          <w:rFonts w:asciiTheme="minorHAnsi" w:hAnsiTheme="minorHAnsi" w:cstheme="minorHAnsi"/>
        </w:rPr>
      </w:pPr>
      <w:r w:rsidRPr="00A31882">
        <w:rPr>
          <w:rFonts w:asciiTheme="minorHAnsi" w:hAnsiTheme="minorHAnsi" w:cstheme="minorHAnsi"/>
          <w:b/>
        </w:rPr>
        <w:t>Medicine:</w:t>
      </w:r>
    </w:p>
    <w:p w14:paraId="00A72D10" w14:textId="77777777" w:rsidR="0010591B" w:rsidRDefault="00960560" w:rsidP="00AE3AB9">
      <w:pPr>
        <w:ind w:left="1134" w:hanging="708"/>
        <w:rPr>
          <w:rFonts w:asciiTheme="minorHAnsi" w:hAnsiTheme="minorHAnsi" w:cstheme="minorHAnsi"/>
        </w:rPr>
      </w:pPr>
      <w:r w:rsidRPr="00FB6947">
        <w:rPr>
          <w:rFonts w:asciiTheme="minorHAnsi" w:hAnsiTheme="minorHAnsi" w:cstheme="minorHAnsi"/>
          <w:i/>
        </w:rPr>
        <w:t>SSRIs</w:t>
      </w:r>
      <w:r w:rsidRPr="00A31882">
        <w:rPr>
          <w:rFonts w:asciiTheme="minorHAnsi" w:hAnsiTheme="minorHAnsi" w:cstheme="minorHAnsi"/>
        </w:rPr>
        <w:t xml:space="preserve">: Citalopram, </w:t>
      </w:r>
      <w:r w:rsidR="00E51AC4">
        <w:rPr>
          <w:rFonts w:asciiTheme="minorHAnsi" w:hAnsiTheme="minorHAnsi" w:cstheme="minorHAnsi"/>
        </w:rPr>
        <w:t>d</w:t>
      </w:r>
      <w:r w:rsidRPr="00A31882">
        <w:rPr>
          <w:rFonts w:asciiTheme="minorHAnsi" w:hAnsiTheme="minorHAnsi" w:cstheme="minorHAnsi"/>
        </w:rPr>
        <w:t xml:space="preserve">apoxetine, </w:t>
      </w:r>
      <w:r w:rsidR="00E51AC4">
        <w:rPr>
          <w:rFonts w:asciiTheme="minorHAnsi" w:hAnsiTheme="minorHAnsi" w:cstheme="minorHAnsi"/>
        </w:rPr>
        <w:t>e</w:t>
      </w:r>
      <w:r w:rsidRPr="00A31882">
        <w:rPr>
          <w:rFonts w:asciiTheme="minorHAnsi" w:hAnsiTheme="minorHAnsi" w:cstheme="minorHAnsi"/>
        </w:rPr>
        <w:t xml:space="preserve">scitalopram, </w:t>
      </w:r>
      <w:r w:rsidR="00E51AC4">
        <w:rPr>
          <w:rFonts w:asciiTheme="minorHAnsi" w:hAnsiTheme="minorHAnsi" w:cstheme="minorHAnsi"/>
        </w:rPr>
        <w:t>f</w:t>
      </w:r>
      <w:r w:rsidRPr="00A31882">
        <w:rPr>
          <w:rFonts w:asciiTheme="minorHAnsi" w:hAnsiTheme="minorHAnsi" w:cstheme="minorHAnsi"/>
        </w:rPr>
        <w:t xml:space="preserve">luoxetine, </w:t>
      </w:r>
      <w:r w:rsidR="00E51AC4">
        <w:rPr>
          <w:rFonts w:asciiTheme="minorHAnsi" w:hAnsiTheme="minorHAnsi" w:cstheme="minorHAnsi"/>
        </w:rPr>
        <w:t>f</w:t>
      </w:r>
      <w:r w:rsidRPr="00A31882">
        <w:rPr>
          <w:rFonts w:asciiTheme="minorHAnsi" w:hAnsiTheme="minorHAnsi" w:cstheme="minorHAnsi"/>
        </w:rPr>
        <w:t xml:space="preserve">luvoxamine, </w:t>
      </w:r>
      <w:r w:rsidR="00E51AC4">
        <w:rPr>
          <w:rFonts w:asciiTheme="minorHAnsi" w:hAnsiTheme="minorHAnsi" w:cstheme="minorHAnsi"/>
        </w:rPr>
        <w:t>p</w:t>
      </w:r>
      <w:r w:rsidRPr="00A31882">
        <w:rPr>
          <w:rFonts w:asciiTheme="minorHAnsi" w:hAnsiTheme="minorHAnsi" w:cstheme="minorHAnsi"/>
        </w:rPr>
        <w:t xml:space="preserve">aroxetine, </w:t>
      </w:r>
      <w:r w:rsidR="00E51AC4">
        <w:rPr>
          <w:rFonts w:asciiTheme="minorHAnsi" w:hAnsiTheme="minorHAnsi" w:cstheme="minorHAnsi"/>
        </w:rPr>
        <w:t>s</w:t>
      </w:r>
      <w:r w:rsidRPr="00A31882">
        <w:rPr>
          <w:rFonts w:asciiTheme="minorHAnsi" w:hAnsiTheme="minorHAnsi" w:cstheme="minorHAnsi"/>
        </w:rPr>
        <w:t>ertraline.</w:t>
      </w:r>
    </w:p>
    <w:p w14:paraId="0B1DF5E4" w14:textId="42C0FC98" w:rsidR="00E51AC4" w:rsidRPr="00FB6947" w:rsidRDefault="00960560" w:rsidP="00AE3AB9">
      <w:pPr>
        <w:ind w:left="1134" w:hanging="708"/>
        <w:rPr>
          <w:rFonts w:asciiTheme="minorHAnsi" w:hAnsiTheme="minorHAnsi" w:cstheme="minorHAnsi"/>
        </w:rPr>
      </w:pPr>
      <w:r w:rsidRPr="00FB6947">
        <w:rPr>
          <w:rFonts w:asciiTheme="minorHAnsi" w:hAnsiTheme="minorHAnsi" w:cstheme="minorHAnsi"/>
          <w:i/>
        </w:rPr>
        <w:t>SNRIs:</w:t>
      </w:r>
      <w:r w:rsidRPr="00FB6947">
        <w:rPr>
          <w:rFonts w:asciiTheme="minorHAnsi" w:hAnsiTheme="minorHAnsi" w:cstheme="minorHAnsi"/>
        </w:rPr>
        <w:t xml:space="preserve"> Desvenlafaxine, </w:t>
      </w:r>
      <w:r w:rsidR="00E51AC4" w:rsidRPr="00FB6947">
        <w:rPr>
          <w:rFonts w:asciiTheme="minorHAnsi" w:hAnsiTheme="minorHAnsi" w:cstheme="minorHAnsi"/>
        </w:rPr>
        <w:t>d</w:t>
      </w:r>
      <w:r w:rsidRPr="00FB6947">
        <w:rPr>
          <w:rFonts w:asciiTheme="minorHAnsi" w:hAnsiTheme="minorHAnsi" w:cstheme="minorHAnsi"/>
        </w:rPr>
        <w:t xml:space="preserve">uloxetine, </w:t>
      </w:r>
      <w:r w:rsidR="00E51AC4" w:rsidRPr="00FB6947">
        <w:rPr>
          <w:rFonts w:asciiTheme="minorHAnsi" w:hAnsiTheme="minorHAnsi" w:cstheme="minorHAnsi"/>
        </w:rPr>
        <w:t>m</w:t>
      </w:r>
      <w:r w:rsidRPr="00FB6947">
        <w:rPr>
          <w:rFonts w:asciiTheme="minorHAnsi" w:hAnsiTheme="minorHAnsi" w:cstheme="minorHAnsi"/>
        </w:rPr>
        <w:t xml:space="preserve">ilnacipram, </w:t>
      </w:r>
      <w:r w:rsidR="00E51AC4" w:rsidRPr="00FB6947">
        <w:rPr>
          <w:rFonts w:asciiTheme="minorHAnsi" w:hAnsiTheme="minorHAnsi" w:cstheme="minorHAnsi"/>
        </w:rPr>
        <w:t>v</w:t>
      </w:r>
      <w:r w:rsidRPr="00FB6947">
        <w:rPr>
          <w:rFonts w:asciiTheme="minorHAnsi" w:hAnsiTheme="minorHAnsi" w:cstheme="minorHAnsi"/>
        </w:rPr>
        <w:t>enlafaxine.</w:t>
      </w:r>
    </w:p>
    <w:p w14:paraId="479DEC93" w14:textId="0EB178B5" w:rsidR="00E51AC4" w:rsidRPr="00FB6947" w:rsidRDefault="00E51AC4" w:rsidP="00AE3AB9">
      <w:pPr>
        <w:ind w:left="1134" w:hanging="708"/>
        <w:rPr>
          <w:rFonts w:asciiTheme="minorHAnsi" w:hAnsiTheme="minorHAnsi" w:cstheme="minorHAnsi"/>
        </w:rPr>
      </w:pPr>
      <w:r w:rsidRPr="00FB6947">
        <w:rPr>
          <w:rFonts w:asciiTheme="minorHAnsi" w:hAnsiTheme="minorHAnsi" w:cstheme="minorHAnsi"/>
          <w:i/>
        </w:rPr>
        <w:t>TCAs:</w:t>
      </w:r>
      <w:r w:rsidRPr="00FB6947">
        <w:rPr>
          <w:rFonts w:asciiTheme="minorHAnsi" w:hAnsiTheme="minorHAnsi" w:cstheme="minorHAnsi"/>
        </w:rPr>
        <w:t xml:space="preserve"> Amitriptyline, clomipramine, dosulepin, doxepin, imipramine, nortriptyline.</w:t>
      </w:r>
    </w:p>
    <w:p w14:paraId="2E8C00A7" w14:textId="77777777" w:rsidR="0010591B" w:rsidRDefault="00E51AC4" w:rsidP="00AE3AB9">
      <w:pPr>
        <w:ind w:left="1134" w:hanging="708"/>
        <w:rPr>
          <w:rFonts w:asciiTheme="minorHAnsi" w:hAnsiTheme="minorHAnsi" w:cstheme="minorHAnsi"/>
        </w:rPr>
      </w:pPr>
      <w:r w:rsidRPr="00FB6947">
        <w:rPr>
          <w:rFonts w:asciiTheme="minorHAnsi" w:hAnsiTheme="minorHAnsi" w:cstheme="minorHAnsi"/>
          <w:i/>
        </w:rPr>
        <w:t>MAOIs:</w:t>
      </w:r>
      <w:r w:rsidRPr="00FB6947">
        <w:rPr>
          <w:rFonts w:asciiTheme="minorHAnsi" w:hAnsiTheme="minorHAnsi" w:cstheme="minorHAnsi"/>
        </w:rPr>
        <w:t xml:space="preserve"> Phenelzine, tranylcypromine.</w:t>
      </w:r>
    </w:p>
    <w:p w14:paraId="7F0A5D17" w14:textId="77777777" w:rsidR="0010591B" w:rsidRDefault="00E51AC4" w:rsidP="00AE3AB9">
      <w:pPr>
        <w:ind w:left="1134" w:hanging="708"/>
        <w:rPr>
          <w:rFonts w:asciiTheme="minorHAnsi" w:hAnsiTheme="minorHAnsi" w:cstheme="minorHAnsi"/>
        </w:rPr>
      </w:pPr>
      <w:r w:rsidRPr="00FB6947">
        <w:rPr>
          <w:rFonts w:asciiTheme="minorHAnsi" w:hAnsiTheme="minorHAnsi" w:cstheme="minorHAnsi"/>
          <w:i/>
        </w:rPr>
        <w:t>Other:</w:t>
      </w:r>
      <w:r w:rsidRPr="00FB6947">
        <w:rPr>
          <w:rFonts w:asciiTheme="minorHAnsi" w:hAnsiTheme="minorHAnsi" w:cstheme="minorHAnsi"/>
        </w:rPr>
        <w:t xml:space="preserve"> Agomelatine</w:t>
      </w:r>
      <w:r>
        <w:rPr>
          <w:rFonts w:asciiTheme="minorHAnsi" w:hAnsiTheme="minorHAnsi" w:cstheme="minorHAnsi"/>
        </w:rPr>
        <w:t>, mianserin, mirtazapine, moclobemide, reboxetine, vortioxetine.</w:t>
      </w:r>
    </w:p>
    <w:p w14:paraId="4A3FB498" w14:textId="4C01E065" w:rsidR="00FB6947" w:rsidRDefault="00FB6947" w:rsidP="00AE3AB9">
      <w:pPr>
        <w:rPr>
          <w:rFonts w:asciiTheme="minorHAnsi" w:hAnsiTheme="minorHAnsi" w:cstheme="minorHAnsi"/>
        </w:rPr>
      </w:pPr>
      <w:r>
        <w:rPr>
          <w:rFonts w:asciiTheme="minorHAnsi" w:hAnsiTheme="minorHAnsi" w:cstheme="minorHAnsi"/>
          <w:b/>
        </w:rPr>
        <w:t xml:space="preserve">MedDRA system organ class: </w:t>
      </w:r>
      <w:r>
        <w:rPr>
          <w:rFonts w:asciiTheme="minorHAnsi" w:hAnsiTheme="minorHAnsi" w:cstheme="minorHAnsi"/>
        </w:rPr>
        <w:t>Psychiatric disorders</w:t>
      </w:r>
    </w:p>
    <w:p w14:paraId="4A0707B2" w14:textId="44960839" w:rsidR="00960560" w:rsidRDefault="00FB6947" w:rsidP="00AE3AB9">
      <w:pPr>
        <w:rPr>
          <w:rFonts w:asciiTheme="minorHAnsi" w:hAnsiTheme="minorHAnsi" w:cstheme="minorHAnsi"/>
        </w:rPr>
      </w:pPr>
      <w:r w:rsidRPr="00FB6947">
        <w:rPr>
          <w:rFonts w:asciiTheme="minorHAnsi" w:hAnsiTheme="minorHAnsi" w:cstheme="minorHAnsi"/>
          <w:b/>
        </w:rPr>
        <w:t>MedDRA Reaction Terms:</w:t>
      </w:r>
      <w:r w:rsidR="00960560" w:rsidRPr="00A31882">
        <w:rPr>
          <w:rFonts w:asciiTheme="minorHAnsi" w:hAnsiTheme="minorHAnsi" w:cstheme="minorHAnsi"/>
        </w:rPr>
        <w:t xml:space="preserve"> Completed suicide, suicidal attempt, suicidal ideation, suicidal behaviour.</w:t>
      </w:r>
    </w:p>
    <w:p w14:paraId="0CBA99A7" w14:textId="5E0778D3" w:rsidR="00FB6947" w:rsidRDefault="00FB6947" w:rsidP="00AE3AB9">
      <w:pPr>
        <w:rPr>
          <w:rFonts w:asciiTheme="minorHAnsi" w:hAnsiTheme="minorHAnsi" w:cstheme="minorHAnsi"/>
        </w:rPr>
      </w:pPr>
      <w:r w:rsidRPr="00FB6947">
        <w:rPr>
          <w:rFonts w:asciiTheme="minorHAnsi" w:hAnsiTheme="minorHAnsi" w:cstheme="minorHAnsi"/>
          <w:b/>
        </w:rPr>
        <w:t>Sort by:</w:t>
      </w:r>
      <w:r>
        <w:rPr>
          <w:rFonts w:asciiTheme="minorHAnsi" w:hAnsiTheme="minorHAnsi" w:cstheme="minorHAnsi"/>
        </w:rPr>
        <w:t xml:space="preserve"> ‘Age – lowest first’</w:t>
      </w:r>
    </w:p>
    <w:p w14:paraId="0B578932" w14:textId="3E9CCDA8" w:rsidR="00960560" w:rsidRDefault="00960560" w:rsidP="008E3FF2"/>
    <w:p w14:paraId="208A8352" w14:textId="77777777" w:rsidR="00FB6947" w:rsidRDefault="00FB6947" w:rsidP="008E3FF2">
      <w:pPr>
        <w:sectPr w:rsidR="00FB6947" w:rsidSect="0029069E">
          <w:footerReference w:type="default" r:id="rId71"/>
          <w:pgSz w:w="11906" w:h="16838" w:code="9"/>
          <w:pgMar w:top="1134" w:right="1418" w:bottom="1361" w:left="1418" w:header="573" w:footer="567" w:gutter="0"/>
          <w:cols w:space="708"/>
          <w:docGrid w:linePitch="360"/>
        </w:sectPr>
      </w:pPr>
    </w:p>
    <w:p w14:paraId="27D125C6" w14:textId="77777777" w:rsidR="0010591B" w:rsidRDefault="00B2273E" w:rsidP="00960560">
      <w:pPr>
        <w:pStyle w:val="Heading3"/>
      </w:pPr>
      <w:bookmarkStart w:id="82" w:name="_Toc57132548"/>
      <w:bookmarkStart w:id="83" w:name="_Toc70418965"/>
      <w:r>
        <w:lastRenderedPageBreak/>
        <w:t xml:space="preserve">Appendix 3 – </w:t>
      </w:r>
      <w:r w:rsidR="00960560">
        <w:t xml:space="preserve">Case line listing of completed suicides reported with use of </w:t>
      </w:r>
      <w:r w:rsidR="00DA0D70">
        <w:t>antidepressants</w:t>
      </w:r>
      <w:r w:rsidR="00960560">
        <w:t xml:space="preserve"> – </w:t>
      </w:r>
      <w:r w:rsidR="00E51AC4">
        <w:t>19 November 2020</w:t>
      </w:r>
      <w:bookmarkEnd w:id="82"/>
      <w:bookmarkEnd w:id="83"/>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190"/>
        <w:gridCol w:w="851"/>
        <w:gridCol w:w="567"/>
        <w:gridCol w:w="5077"/>
        <w:gridCol w:w="4677"/>
        <w:gridCol w:w="852"/>
      </w:tblGrid>
      <w:tr w:rsidR="00EB519C" w:rsidRPr="00177691" w14:paraId="2F5CCF47" w14:textId="77777777" w:rsidTr="00985ADB">
        <w:trPr>
          <w:cantSplit/>
          <w:trHeight w:val="300"/>
          <w:tblHeader/>
        </w:trPr>
        <w:tc>
          <w:tcPr>
            <w:tcW w:w="815" w:type="dxa"/>
            <w:shd w:val="clear" w:color="auto" w:fill="006DA7"/>
            <w:vAlign w:val="center"/>
            <w:hideMark/>
          </w:tcPr>
          <w:p w14:paraId="10E76BA0" w14:textId="77777777" w:rsidR="00EB519C" w:rsidRPr="00177691" w:rsidRDefault="00EB519C" w:rsidP="00985ADB">
            <w:pPr>
              <w:spacing w:before="60" w:after="60" w:line="240" w:lineRule="auto"/>
              <w:jc w:val="center"/>
              <w:rPr>
                <w:rFonts w:asciiTheme="minorHAnsi" w:eastAsia="Times New Roman" w:hAnsiTheme="minorHAnsi" w:cstheme="minorHAnsi"/>
                <w:b/>
                <w:color w:val="FFFFFF" w:themeColor="background1"/>
                <w:sz w:val="18"/>
                <w:szCs w:val="18"/>
                <w:lang w:val="en-US"/>
              </w:rPr>
            </w:pPr>
            <w:r w:rsidRPr="00177691">
              <w:rPr>
                <w:rFonts w:asciiTheme="minorHAnsi" w:eastAsia="Times New Roman" w:hAnsiTheme="minorHAnsi" w:cstheme="minorHAnsi"/>
                <w:b/>
                <w:color w:val="FFFFFF" w:themeColor="background1"/>
                <w:sz w:val="18"/>
                <w:szCs w:val="18"/>
                <w:lang w:val="en-US"/>
              </w:rPr>
              <w:t>Case No.</w:t>
            </w:r>
          </w:p>
        </w:tc>
        <w:tc>
          <w:tcPr>
            <w:tcW w:w="1190" w:type="dxa"/>
            <w:shd w:val="clear" w:color="auto" w:fill="006DA7"/>
            <w:noWrap/>
            <w:vAlign w:val="center"/>
            <w:hideMark/>
          </w:tcPr>
          <w:p w14:paraId="19188C62" w14:textId="77777777" w:rsidR="00EB519C" w:rsidRPr="00177691" w:rsidRDefault="00EB519C" w:rsidP="00985ADB">
            <w:pPr>
              <w:spacing w:before="60" w:after="60" w:line="240" w:lineRule="auto"/>
              <w:jc w:val="center"/>
              <w:rPr>
                <w:rFonts w:asciiTheme="minorHAnsi" w:eastAsia="Times New Roman" w:hAnsiTheme="minorHAnsi" w:cstheme="minorHAnsi"/>
                <w:b/>
                <w:color w:val="FFFFFF" w:themeColor="background1"/>
                <w:sz w:val="18"/>
                <w:szCs w:val="18"/>
                <w:lang w:val="en-US"/>
              </w:rPr>
            </w:pPr>
            <w:r w:rsidRPr="00177691">
              <w:rPr>
                <w:rFonts w:asciiTheme="minorHAnsi" w:eastAsia="Times New Roman" w:hAnsiTheme="minorHAnsi" w:cstheme="minorHAnsi"/>
                <w:b/>
                <w:color w:val="FFFFFF" w:themeColor="background1"/>
                <w:sz w:val="18"/>
                <w:szCs w:val="18"/>
                <w:lang w:val="en-US"/>
              </w:rPr>
              <w:t>Report Date</w:t>
            </w:r>
          </w:p>
        </w:tc>
        <w:tc>
          <w:tcPr>
            <w:tcW w:w="851" w:type="dxa"/>
            <w:shd w:val="clear" w:color="auto" w:fill="006DA7"/>
            <w:noWrap/>
            <w:vAlign w:val="center"/>
            <w:hideMark/>
          </w:tcPr>
          <w:p w14:paraId="50FA566F" w14:textId="77777777" w:rsidR="00EB519C" w:rsidRPr="00177691" w:rsidRDefault="00EB519C" w:rsidP="00985ADB">
            <w:pPr>
              <w:spacing w:before="60" w:after="60" w:line="240" w:lineRule="auto"/>
              <w:jc w:val="center"/>
              <w:rPr>
                <w:rFonts w:asciiTheme="minorHAnsi" w:eastAsia="Times New Roman" w:hAnsiTheme="minorHAnsi" w:cstheme="minorHAnsi"/>
                <w:b/>
                <w:color w:val="FFFFFF" w:themeColor="background1"/>
                <w:sz w:val="18"/>
                <w:szCs w:val="18"/>
                <w:lang w:val="en-US"/>
              </w:rPr>
            </w:pPr>
            <w:r w:rsidRPr="00177691">
              <w:rPr>
                <w:rFonts w:asciiTheme="minorHAnsi" w:eastAsia="Times New Roman" w:hAnsiTheme="minorHAnsi" w:cstheme="minorHAnsi"/>
                <w:b/>
                <w:color w:val="FFFFFF" w:themeColor="background1"/>
                <w:sz w:val="18"/>
                <w:szCs w:val="18"/>
                <w:lang w:val="en-US"/>
              </w:rPr>
              <w:t>Sex</w:t>
            </w:r>
          </w:p>
        </w:tc>
        <w:tc>
          <w:tcPr>
            <w:tcW w:w="567" w:type="dxa"/>
            <w:shd w:val="clear" w:color="auto" w:fill="006DA7"/>
            <w:noWrap/>
            <w:vAlign w:val="center"/>
            <w:hideMark/>
          </w:tcPr>
          <w:p w14:paraId="2ED2B691" w14:textId="77777777" w:rsidR="00EB519C" w:rsidRPr="00177691" w:rsidRDefault="00EB519C" w:rsidP="00985ADB">
            <w:pPr>
              <w:spacing w:before="60" w:after="60" w:line="240" w:lineRule="auto"/>
              <w:jc w:val="center"/>
              <w:rPr>
                <w:rFonts w:asciiTheme="minorHAnsi" w:eastAsia="Times New Roman" w:hAnsiTheme="minorHAnsi" w:cstheme="minorHAnsi"/>
                <w:b/>
                <w:color w:val="FFFFFF" w:themeColor="background1"/>
                <w:sz w:val="18"/>
                <w:szCs w:val="18"/>
                <w:lang w:val="en-US"/>
              </w:rPr>
            </w:pPr>
            <w:r w:rsidRPr="00177691">
              <w:rPr>
                <w:rFonts w:asciiTheme="minorHAnsi" w:eastAsia="Times New Roman" w:hAnsiTheme="minorHAnsi" w:cstheme="minorHAnsi"/>
                <w:b/>
                <w:color w:val="FFFFFF" w:themeColor="background1"/>
                <w:sz w:val="18"/>
                <w:szCs w:val="18"/>
                <w:lang w:val="en-US"/>
              </w:rPr>
              <w:t>Age</w:t>
            </w:r>
          </w:p>
        </w:tc>
        <w:tc>
          <w:tcPr>
            <w:tcW w:w="5077" w:type="dxa"/>
            <w:shd w:val="clear" w:color="auto" w:fill="006DA7"/>
            <w:vAlign w:val="center"/>
            <w:hideMark/>
          </w:tcPr>
          <w:p w14:paraId="64B2B523" w14:textId="77777777" w:rsidR="00EB519C" w:rsidRPr="00177691" w:rsidRDefault="00EB519C" w:rsidP="00985ADB">
            <w:pPr>
              <w:spacing w:before="60" w:after="60" w:line="240" w:lineRule="auto"/>
              <w:jc w:val="center"/>
              <w:rPr>
                <w:rFonts w:asciiTheme="minorHAnsi" w:eastAsia="Times New Roman" w:hAnsiTheme="minorHAnsi" w:cstheme="minorHAnsi"/>
                <w:b/>
                <w:color w:val="FFFFFF" w:themeColor="background1"/>
                <w:sz w:val="18"/>
                <w:szCs w:val="18"/>
                <w:lang w:val="en-US"/>
              </w:rPr>
            </w:pPr>
            <w:r w:rsidRPr="00177691">
              <w:rPr>
                <w:rFonts w:asciiTheme="minorHAnsi" w:eastAsia="Times New Roman" w:hAnsiTheme="minorHAnsi" w:cstheme="minorHAnsi"/>
                <w:b/>
                <w:color w:val="FFFFFF" w:themeColor="background1"/>
                <w:sz w:val="18"/>
                <w:szCs w:val="18"/>
                <w:lang w:val="en-US"/>
              </w:rPr>
              <w:t>Medicine (Onset Time)</w:t>
            </w:r>
          </w:p>
        </w:tc>
        <w:tc>
          <w:tcPr>
            <w:tcW w:w="4677" w:type="dxa"/>
            <w:shd w:val="clear" w:color="auto" w:fill="006DA7"/>
            <w:vAlign w:val="center"/>
            <w:hideMark/>
          </w:tcPr>
          <w:p w14:paraId="36DBDF19" w14:textId="77777777" w:rsidR="00EB519C" w:rsidRPr="00177691" w:rsidRDefault="00EB519C" w:rsidP="00985ADB">
            <w:pPr>
              <w:spacing w:before="60" w:after="60" w:line="240" w:lineRule="auto"/>
              <w:jc w:val="center"/>
              <w:rPr>
                <w:rFonts w:asciiTheme="minorHAnsi" w:eastAsia="Times New Roman" w:hAnsiTheme="minorHAnsi" w:cstheme="minorHAnsi"/>
                <w:b/>
                <w:color w:val="FFFFFF" w:themeColor="background1"/>
                <w:sz w:val="18"/>
                <w:szCs w:val="18"/>
                <w:lang w:val="en-US"/>
              </w:rPr>
            </w:pPr>
            <w:r w:rsidRPr="00177691">
              <w:rPr>
                <w:rFonts w:asciiTheme="minorHAnsi" w:eastAsia="Times New Roman" w:hAnsiTheme="minorHAnsi" w:cstheme="minorHAnsi"/>
                <w:b/>
                <w:color w:val="FFFFFF" w:themeColor="background1"/>
                <w:sz w:val="18"/>
                <w:szCs w:val="18"/>
                <w:lang w:val="en-US"/>
              </w:rPr>
              <w:t>Reaction</w:t>
            </w:r>
          </w:p>
        </w:tc>
        <w:tc>
          <w:tcPr>
            <w:tcW w:w="852" w:type="dxa"/>
            <w:shd w:val="clear" w:color="auto" w:fill="006DA7"/>
            <w:noWrap/>
            <w:vAlign w:val="center"/>
            <w:hideMark/>
          </w:tcPr>
          <w:p w14:paraId="2C0AA4B0" w14:textId="77777777" w:rsidR="00EB519C" w:rsidRPr="00177691" w:rsidRDefault="00EB519C" w:rsidP="00985ADB">
            <w:pPr>
              <w:spacing w:before="60" w:after="60" w:line="240" w:lineRule="auto"/>
              <w:jc w:val="center"/>
              <w:rPr>
                <w:rFonts w:asciiTheme="minorHAnsi" w:eastAsia="Times New Roman" w:hAnsiTheme="minorHAnsi" w:cstheme="minorHAnsi"/>
                <w:b/>
                <w:color w:val="FFFFFF" w:themeColor="background1"/>
                <w:sz w:val="18"/>
                <w:szCs w:val="18"/>
                <w:lang w:val="en-US"/>
              </w:rPr>
            </w:pPr>
            <w:r w:rsidRPr="00177691">
              <w:rPr>
                <w:rFonts w:asciiTheme="minorHAnsi" w:eastAsia="Times New Roman" w:hAnsiTheme="minorHAnsi" w:cstheme="minorHAnsi"/>
                <w:b/>
                <w:color w:val="FFFFFF" w:themeColor="background1"/>
                <w:sz w:val="18"/>
                <w:szCs w:val="18"/>
                <w:lang w:val="en-US"/>
              </w:rPr>
              <w:t>Sole Suspect</w:t>
            </w:r>
          </w:p>
        </w:tc>
      </w:tr>
      <w:tr w:rsidR="00EB519C" w:rsidRPr="00177691" w14:paraId="036B8297" w14:textId="77777777" w:rsidTr="00985ADB">
        <w:trPr>
          <w:cantSplit/>
        </w:trPr>
        <w:tc>
          <w:tcPr>
            <w:tcW w:w="815" w:type="dxa"/>
            <w:shd w:val="clear" w:color="auto" w:fill="auto"/>
            <w:hideMark/>
          </w:tcPr>
          <w:p w14:paraId="16889A62"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208539</w:t>
            </w:r>
          </w:p>
        </w:tc>
        <w:tc>
          <w:tcPr>
            <w:tcW w:w="1190" w:type="dxa"/>
            <w:shd w:val="clear" w:color="auto" w:fill="auto"/>
            <w:noWrap/>
            <w:hideMark/>
          </w:tcPr>
          <w:p w14:paraId="11974EF0"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7/06/2005</w:t>
            </w:r>
          </w:p>
        </w:tc>
        <w:tc>
          <w:tcPr>
            <w:tcW w:w="851" w:type="dxa"/>
            <w:shd w:val="clear" w:color="auto" w:fill="auto"/>
            <w:noWrap/>
            <w:hideMark/>
          </w:tcPr>
          <w:p w14:paraId="69A3D470"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4D19B3B7"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21</w:t>
            </w:r>
          </w:p>
        </w:tc>
        <w:tc>
          <w:tcPr>
            <w:tcW w:w="5077" w:type="dxa"/>
            <w:shd w:val="clear" w:color="auto" w:fill="auto"/>
            <w:hideMark/>
          </w:tcPr>
          <w:p w14:paraId="0B61091A"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Aropax (</w:t>
            </w:r>
            <w:r w:rsidRPr="00177691">
              <w:rPr>
                <w:rFonts w:asciiTheme="minorHAnsi" w:eastAsia="Times New Roman" w:hAnsiTheme="minorHAnsi" w:cstheme="minorHAnsi"/>
                <w:b/>
                <w:color w:val="000000"/>
                <w:sz w:val="18"/>
                <w:szCs w:val="18"/>
                <w:lang w:val="en-US"/>
              </w:rPr>
              <w:t>paroxetine hydrochloride</w:t>
            </w:r>
            <w:r>
              <w:rPr>
                <w:rFonts w:asciiTheme="minorHAnsi" w:eastAsia="Times New Roman" w:hAnsiTheme="minorHAnsi" w:cstheme="minorHAnsi"/>
                <w:color w:val="000000"/>
                <w:sz w:val="18"/>
                <w:szCs w:val="18"/>
                <w:lang w:val="en-US"/>
              </w:rPr>
              <w:t>) - Suspect</w:t>
            </w:r>
            <w:r w:rsidRPr="00177691">
              <w:rPr>
                <w:rFonts w:asciiTheme="minorHAnsi" w:eastAsia="Times New Roman" w:hAnsiTheme="minorHAnsi" w:cstheme="minorHAnsi"/>
                <w:color w:val="000000"/>
                <w:sz w:val="18"/>
                <w:szCs w:val="18"/>
                <w:lang w:val="en-US"/>
              </w:rPr>
              <w:t>;</w:t>
            </w:r>
          </w:p>
          <w:p w14:paraId="30FB5424"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Lam</w:t>
            </w:r>
            <w:r>
              <w:rPr>
                <w:rFonts w:asciiTheme="minorHAnsi" w:eastAsia="Times New Roman" w:hAnsiTheme="minorHAnsi" w:cstheme="minorHAnsi"/>
                <w:color w:val="000000"/>
                <w:sz w:val="18"/>
                <w:szCs w:val="18"/>
                <w:lang w:val="en-US"/>
              </w:rPr>
              <w:t>ictal (</w:t>
            </w:r>
            <w:r w:rsidRPr="00177691">
              <w:rPr>
                <w:rFonts w:asciiTheme="minorHAnsi" w:eastAsia="Times New Roman" w:hAnsiTheme="minorHAnsi" w:cstheme="minorHAnsi"/>
                <w:b/>
                <w:color w:val="000000"/>
                <w:sz w:val="18"/>
                <w:szCs w:val="18"/>
                <w:lang w:val="en-US"/>
              </w:rPr>
              <w:t>Lamotrigine</w:t>
            </w:r>
            <w:r>
              <w:rPr>
                <w:rFonts w:asciiTheme="minorHAnsi" w:eastAsia="Times New Roman" w:hAnsiTheme="minorHAnsi" w:cstheme="minorHAnsi"/>
                <w:color w:val="000000"/>
                <w:sz w:val="18"/>
                <w:szCs w:val="18"/>
                <w:lang w:val="en-US"/>
              </w:rPr>
              <w:t>) - Suspect</w:t>
            </w:r>
            <w:r w:rsidRPr="00177691">
              <w:rPr>
                <w:rFonts w:asciiTheme="minorHAnsi" w:eastAsia="Times New Roman" w:hAnsiTheme="minorHAnsi" w:cstheme="minorHAnsi"/>
                <w:color w:val="000000"/>
                <w:sz w:val="18"/>
                <w:szCs w:val="18"/>
                <w:lang w:val="en-US"/>
              </w:rPr>
              <w:t>;</w:t>
            </w:r>
          </w:p>
          <w:p w14:paraId="512A47E6"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Trade Name Not Specif</w:t>
            </w:r>
            <w:r>
              <w:rPr>
                <w:rFonts w:asciiTheme="minorHAnsi" w:eastAsia="Times New Roman" w:hAnsiTheme="minorHAnsi" w:cstheme="minorHAnsi"/>
                <w:color w:val="000000"/>
                <w:sz w:val="18"/>
                <w:szCs w:val="18"/>
                <w:lang w:val="en-US"/>
              </w:rPr>
              <w:t>ied (</w:t>
            </w:r>
            <w:r w:rsidRPr="00177691">
              <w:rPr>
                <w:rFonts w:asciiTheme="minorHAnsi" w:eastAsia="Times New Roman" w:hAnsiTheme="minorHAnsi" w:cstheme="minorHAnsi"/>
                <w:b/>
                <w:color w:val="000000"/>
                <w:sz w:val="18"/>
                <w:szCs w:val="18"/>
                <w:lang w:val="en-US"/>
              </w:rPr>
              <w:t>Carbamazepine</w:t>
            </w:r>
            <w:r>
              <w:rPr>
                <w:rFonts w:asciiTheme="minorHAnsi" w:eastAsia="Times New Roman" w:hAnsiTheme="minorHAnsi" w:cstheme="minorHAnsi"/>
                <w:color w:val="000000"/>
                <w:sz w:val="18"/>
                <w:szCs w:val="18"/>
                <w:lang w:val="en-US"/>
              </w:rPr>
              <w:t>) - Suspect</w:t>
            </w:r>
            <w:r w:rsidRPr="00177691">
              <w:rPr>
                <w:rFonts w:asciiTheme="minorHAnsi" w:eastAsia="Times New Roman" w:hAnsiTheme="minorHAnsi" w:cstheme="minorHAnsi"/>
                <w:color w:val="000000"/>
                <w:sz w:val="18"/>
                <w:szCs w:val="18"/>
                <w:lang w:val="en-US"/>
              </w:rPr>
              <w:t>;</w:t>
            </w:r>
          </w:p>
          <w:p w14:paraId="2F3C84BB" w14:textId="34D7AD90"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Trade Name Not Specified (</w:t>
            </w:r>
            <w:r w:rsidRPr="00177691">
              <w:rPr>
                <w:rFonts w:asciiTheme="minorHAnsi" w:eastAsia="Times New Roman" w:hAnsiTheme="minorHAnsi" w:cstheme="minorHAnsi"/>
                <w:b/>
                <w:color w:val="000000"/>
                <w:sz w:val="18"/>
                <w:szCs w:val="18"/>
                <w:lang w:val="en-US"/>
              </w:rPr>
              <w:t>Thioridazine hydrochloride</w:t>
            </w:r>
            <w:r w:rsidRPr="00177691">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3FBCB8E0"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 ; Overdose ; Toxicity to various agents</w:t>
            </w:r>
          </w:p>
        </w:tc>
        <w:tc>
          <w:tcPr>
            <w:tcW w:w="852" w:type="dxa"/>
            <w:shd w:val="clear" w:color="auto" w:fill="auto"/>
            <w:noWrap/>
            <w:hideMark/>
          </w:tcPr>
          <w:p w14:paraId="460D3308"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No</w:t>
            </w:r>
          </w:p>
        </w:tc>
      </w:tr>
      <w:tr w:rsidR="00EB519C" w:rsidRPr="00177691" w14:paraId="127A92C6" w14:textId="77777777" w:rsidTr="00985ADB">
        <w:trPr>
          <w:cantSplit/>
          <w:trHeight w:val="554"/>
        </w:trPr>
        <w:tc>
          <w:tcPr>
            <w:tcW w:w="815" w:type="dxa"/>
            <w:shd w:val="clear" w:color="auto" w:fill="auto"/>
            <w:hideMark/>
          </w:tcPr>
          <w:p w14:paraId="4E7D95AC"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209759</w:t>
            </w:r>
          </w:p>
        </w:tc>
        <w:tc>
          <w:tcPr>
            <w:tcW w:w="1190" w:type="dxa"/>
            <w:shd w:val="clear" w:color="auto" w:fill="auto"/>
            <w:noWrap/>
            <w:hideMark/>
          </w:tcPr>
          <w:p w14:paraId="42E3D7E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12/07/2005</w:t>
            </w:r>
          </w:p>
        </w:tc>
        <w:tc>
          <w:tcPr>
            <w:tcW w:w="851" w:type="dxa"/>
            <w:shd w:val="clear" w:color="auto" w:fill="auto"/>
            <w:noWrap/>
            <w:hideMark/>
          </w:tcPr>
          <w:p w14:paraId="2FCC274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460AC287"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21</w:t>
            </w:r>
          </w:p>
        </w:tc>
        <w:tc>
          <w:tcPr>
            <w:tcW w:w="5077" w:type="dxa"/>
            <w:shd w:val="clear" w:color="auto" w:fill="auto"/>
            <w:hideMark/>
          </w:tcPr>
          <w:p w14:paraId="25D58DAF"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Efexor-XR (</w:t>
            </w:r>
            <w:r w:rsidRPr="00177691">
              <w:rPr>
                <w:rFonts w:asciiTheme="minorHAnsi" w:eastAsia="Times New Roman" w:hAnsiTheme="minorHAnsi" w:cstheme="minorHAnsi"/>
                <w:b/>
                <w:color w:val="000000"/>
                <w:sz w:val="18"/>
                <w:szCs w:val="18"/>
                <w:lang w:val="en-US"/>
              </w:rPr>
              <w:t>Venlafaxine hydrochloride</w:t>
            </w:r>
            <w:r>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0CA947D9"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5535F81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0F082166" w14:textId="77777777" w:rsidTr="00985ADB">
        <w:trPr>
          <w:cantSplit/>
        </w:trPr>
        <w:tc>
          <w:tcPr>
            <w:tcW w:w="815" w:type="dxa"/>
            <w:shd w:val="clear" w:color="auto" w:fill="auto"/>
            <w:hideMark/>
          </w:tcPr>
          <w:p w14:paraId="035D6D4E"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215419</w:t>
            </w:r>
          </w:p>
        </w:tc>
        <w:tc>
          <w:tcPr>
            <w:tcW w:w="1190" w:type="dxa"/>
            <w:shd w:val="clear" w:color="auto" w:fill="auto"/>
            <w:noWrap/>
            <w:hideMark/>
          </w:tcPr>
          <w:p w14:paraId="323705B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31/01/2006</w:t>
            </w:r>
          </w:p>
        </w:tc>
        <w:tc>
          <w:tcPr>
            <w:tcW w:w="851" w:type="dxa"/>
            <w:shd w:val="clear" w:color="auto" w:fill="auto"/>
            <w:noWrap/>
            <w:hideMark/>
          </w:tcPr>
          <w:p w14:paraId="6EABF3CA"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55B4816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14</w:t>
            </w:r>
          </w:p>
        </w:tc>
        <w:tc>
          <w:tcPr>
            <w:tcW w:w="5077" w:type="dxa"/>
            <w:shd w:val="clear" w:color="auto" w:fill="auto"/>
            <w:hideMark/>
          </w:tcPr>
          <w:p w14:paraId="6E675866"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Diane-35 ED (</w:t>
            </w:r>
            <w:r w:rsidRPr="00177691">
              <w:rPr>
                <w:rFonts w:asciiTheme="minorHAnsi" w:eastAsia="Times New Roman" w:hAnsiTheme="minorHAnsi" w:cstheme="minorHAnsi"/>
                <w:b/>
                <w:color w:val="000000"/>
                <w:sz w:val="18"/>
                <w:szCs w:val="18"/>
                <w:lang w:val="en-US"/>
              </w:rPr>
              <w:t>cyproterone acetate ; ethinylestradiol</w:t>
            </w:r>
            <w:r w:rsidRPr="00177691">
              <w:rPr>
                <w:rFonts w:asciiTheme="minorHAnsi" w:eastAsia="Times New Roman" w:hAnsiTheme="minorHAnsi" w:cstheme="minorHAnsi"/>
                <w:color w:val="000000"/>
                <w:sz w:val="18"/>
                <w:szCs w:val="18"/>
                <w:lang w:val="en-US"/>
              </w:rPr>
              <w:t>) - Concomitant;</w:t>
            </w:r>
          </w:p>
          <w:p w14:paraId="49218061"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Efexor-XR (</w:t>
            </w:r>
            <w:r w:rsidRPr="00177691">
              <w:rPr>
                <w:rFonts w:asciiTheme="minorHAnsi" w:eastAsia="Times New Roman" w:hAnsiTheme="minorHAnsi" w:cstheme="minorHAnsi"/>
                <w:b/>
                <w:color w:val="000000"/>
                <w:sz w:val="18"/>
                <w:szCs w:val="18"/>
                <w:lang w:val="en-US"/>
              </w:rPr>
              <w:t>Venlafaxine hydrochloride</w:t>
            </w:r>
            <w:r w:rsidRPr="00177691">
              <w:rPr>
                <w:rFonts w:asciiTheme="minorHAnsi" w:eastAsia="Times New Roman" w:hAnsiTheme="minorHAnsi" w:cstheme="minorHAnsi"/>
                <w:color w:val="000000"/>
                <w:sz w:val="18"/>
                <w:szCs w:val="18"/>
                <w:lang w:val="en-US"/>
              </w:rPr>
              <w:t>) - Suspect (60 days);</w:t>
            </w:r>
          </w:p>
          <w:p w14:paraId="29630062"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Endep (</w:t>
            </w:r>
            <w:r w:rsidRPr="00177691">
              <w:rPr>
                <w:rFonts w:asciiTheme="minorHAnsi" w:eastAsia="Times New Roman" w:hAnsiTheme="minorHAnsi" w:cstheme="minorHAnsi"/>
                <w:b/>
                <w:color w:val="000000"/>
                <w:sz w:val="18"/>
                <w:szCs w:val="18"/>
                <w:lang w:val="en-US"/>
              </w:rPr>
              <w:t>amitriptyline hydrochloride</w:t>
            </w:r>
            <w:r w:rsidRPr="00177691">
              <w:rPr>
                <w:rFonts w:asciiTheme="minorHAnsi" w:eastAsia="Times New Roman" w:hAnsiTheme="minorHAnsi" w:cstheme="minorHAnsi"/>
                <w:color w:val="000000"/>
                <w:sz w:val="18"/>
                <w:szCs w:val="18"/>
                <w:lang w:val="en-US"/>
              </w:rPr>
              <w:t>) - Concomitant;</w:t>
            </w:r>
          </w:p>
          <w:p w14:paraId="1C1C14AC"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Ritalin (</w:t>
            </w:r>
            <w:r w:rsidRPr="00177691">
              <w:rPr>
                <w:rFonts w:asciiTheme="minorHAnsi" w:eastAsia="Times New Roman" w:hAnsiTheme="minorHAnsi" w:cstheme="minorHAnsi"/>
                <w:b/>
                <w:color w:val="000000"/>
                <w:sz w:val="18"/>
                <w:szCs w:val="18"/>
                <w:lang w:val="en-US"/>
              </w:rPr>
              <w:t>methylphenidate hydrochloride</w:t>
            </w:r>
            <w:r w:rsidRPr="00177691">
              <w:rPr>
                <w:rFonts w:asciiTheme="minorHAnsi" w:eastAsia="Times New Roman" w:hAnsiTheme="minorHAnsi" w:cstheme="minorHAnsi"/>
                <w:color w:val="000000"/>
                <w:sz w:val="18"/>
                <w:szCs w:val="18"/>
                <w:lang w:val="en-US"/>
              </w:rPr>
              <w:t>) - Concomitant;</w:t>
            </w:r>
          </w:p>
          <w:p w14:paraId="66D77933"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Stilnox (</w:t>
            </w:r>
            <w:r w:rsidRPr="00177691">
              <w:rPr>
                <w:rFonts w:asciiTheme="minorHAnsi" w:eastAsia="Times New Roman" w:hAnsiTheme="minorHAnsi" w:cstheme="minorHAnsi"/>
                <w:b/>
                <w:color w:val="000000"/>
                <w:sz w:val="18"/>
                <w:szCs w:val="18"/>
                <w:lang w:val="en-US"/>
              </w:rPr>
              <w:t>zolpidem tartrate</w:t>
            </w:r>
            <w:r>
              <w:rPr>
                <w:rFonts w:asciiTheme="minorHAnsi" w:eastAsia="Times New Roman" w:hAnsiTheme="minorHAnsi" w:cstheme="minorHAnsi"/>
                <w:color w:val="000000"/>
                <w:sz w:val="18"/>
                <w:szCs w:val="18"/>
                <w:lang w:val="en-US"/>
              </w:rPr>
              <w:t>) - Concomitant</w:t>
            </w:r>
            <w:r w:rsidRPr="00177691">
              <w:rPr>
                <w:rFonts w:asciiTheme="minorHAnsi" w:eastAsia="Times New Roman" w:hAnsiTheme="minorHAnsi" w:cstheme="minorHAnsi"/>
                <w:color w:val="000000"/>
                <w:sz w:val="18"/>
                <w:szCs w:val="18"/>
                <w:lang w:val="en-US"/>
              </w:rPr>
              <w:t>;</w:t>
            </w:r>
          </w:p>
          <w:p w14:paraId="1C442F74"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Trade Name Not Specified (</w:t>
            </w:r>
            <w:r w:rsidRPr="00177691">
              <w:rPr>
                <w:rFonts w:asciiTheme="minorHAnsi" w:eastAsia="Times New Roman" w:hAnsiTheme="minorHAnsi" w:cstheme="minorHAnsi"/>
                <w:b/>
                <w:color w:val="000000"/>
                <w:sz w:val="18"/>
                <w:szCs w:val="18"/>
                <w:lang w:val="en-US"/>
              </w:rPr>
              <w:t>Fluoxetine hydrochloride</w:t>
            </w:r>
            <w:r w:rsidRPr="00177691">
              <w:rPr>
                <w:rFonts w:asciiTheme="minorHAnsi" w:eastAsia="Times New Roman" w:hAnsiTheme="minorHAnsi" w:cstheme="minorHAnsi"/>
                <w:color w:val="000000"/>
                <w:sz w:val="18"/>
                <w:szCs w:val="18"/>
                <w:lang w:val="en-US"/>
              </w:rPr>
              <w:t>) - Concomitant (149 days);</w:t>
            </w:r>
          </w:p>
          <w:p w14:paraId="302BDA7A" w14:textId="73519814"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Zyprexa (</w:t>
            </w:r>
            <w:r w:rsidRPr="00177691">
              <w:rPr>
                <w:rFonts w:asciiTheme="minorHAnsi" w:eastAsia="Times New Roman" w:hAnsiTheme="minorHAnsi" w:cstheme="minorHAnsi"/>
                <w:b/>
                <w:color w:val="000000"/>
                <w:sz w:val="18"/>
                <w:szCs w:val="18"/>
                <w:lang w:val="en-US"/>
              </w:rPr>
              <w:t>Olanzapine</w:t>
            </w:r>
            <w:r w:rsidRPr="00177691">
              <w:rPr>
                <w:rFonts w:asciiTheme="minorHAnsi" w:eastAsia="Times New Roman" w:hAnsiTheme="minorHAnsi" w:cstheme="minorHAnsi"/>
                <w:color w:val="000000"/>
                <w:sz w:val="18"/>
                <w:szCs w:val="18"/>
                <w:lang w:val="en-US"/>
              </w:rPr>
              <w:t>) - Concomitant (21 days)</w:t>
            </w:r>
          </w:p>
        </w:tc>
        <w:tc>
          <w:tcPr>
            <w:tcW w:w="4677" w:type="dxa"/>
            <w:shd w:val="clear" w:color="auto" w:fill="auto"/>
            <w:hideMark/>
          </w:tcPr>
          <w:p w14:paraId="1D6958BB"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Akathisia ; Completed suicide ; Drug ineffective</w:t>
            </w:r>
          </w:p>
        </w:tc>
        <w:tc>
          <w:tcPr>
            <w:tcW w:w="852" w:type="dxa"/>
            <w:shd w:val="clear" w:color="auto" w:fill="auto"/>
            <w:noWrap/>
            <w:hideMark/>
          </w:tcPr>
          <w:p w14:paraId="6D7DD2AD"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54BB5458" w14:textId="77777777" w:rsidTr="00985ADB">
        <w:trPr>
          <w:cantSplit/>
          <w:trHeight w:val="320"/>
        </w:trPr>
        <w:tc>
          <w:tcPr>
            <w:tcW w:w="815" w:type="dxa"/>
            <w:shd w:val="clear" w:color="auto" w:fill="auto"/>
            <w:hideMark/>
          </w:tcPr>
          <w:p w14:paraId="45F604E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235955</w:t>
            </w:r>
          </w:p>
        </w:tc>
        <w:tc>
          <w:tcPr>
            <w:tcW w:w="1190" w:type="dxa"/>
            <w:shd w:val="clear" w:color="auto" w:fill="auto"/>
            <w:noWrap/>
            <w:hideMark/>
          </w:tcPr>
          <w:p w14:paraId="0A27946D"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5/12/2007</w:t>
            </w:r>
          </w:p>
        </w:tc>
        <w:tc>
          <w:tcPr>
            <w:tcW w:w="851" w:type="dxa"/>
            <w:shd w:val="clear" w:color="auto" w:fill="auto"/>
            <w:noWrap/>
            <w:hideMark/>
          </w:tcPr>
          <w:p w14:paraId="5A0A9ED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647B91B0"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20</w:t>
            </w:r>
          </w:p>
        </w:tc>
        <w:tc>
          <w:tcPr>
            <w:tcW w:w="5077" w:type="dxa"/>
            <w:shd w:val="clear" w:color="auto" w:fill="auto"/>
            <w:vAlign w:val="center"/>
            <w:hideMark/>
          </w:tcPr>
          <w:p w14:paraId="7390FE00"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Zoloft (</w:t>
            </w:r>
            <w:r w:rsidRPr="00177691">
              <w:rPr>
                <w:rFonts w:asciiTheme="minorHAnsi" w:eastAsia="Times New Roman" w:hAnsiTheme="minorHAnsi" w:cstheme="minorHAnsi"/>
                <w:b/>
                <w:color w:val="000000"/>
                <w:sz w:val="18"/>
                <w:szCs w:val="18"/>
                <w:lang w:val="en-US"/>
              </w:rPr>
              <w:t>Sertraline hydrochloride</w:t>
            </w:r>
            <w:r w:rsidRPr="00177691">
              <w:rPr>
                <w:rFonts w:asciiTheme="minorHAnsi" w:eastAsia="Times New Roman" w:hAnsiTheme="minorHAnsi" w:cstheme="minorHAnsi"/>
                <w:color w:val="000000"/>
                <w:sz w:val="18"/>
                <w:szCs w:val="18"/>
                <w:lang w:val="en-US"/>
              </w:rPr>
              <w:t>) - Suspect</w:t>
            </w:r>
          </w:p>
        </w:tc>
        <w:tc>
          <w:tcPr>
            <w:tcW w:w="4677" w:type="dxa"/>
            <w:shd w:val="clear" w:color="auto" w:fill="auto"/>
            <w:vAlign w:val="center"/>
            <w:hideMark/>
          </w:tcPr>
          <w:p w14:paraId="1C6D49E0"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 ; Suicidal behaviour</w:t>
            </w:r>
          </w:p>
        </w:tc>
        <w:tc>
          <w:tcPr>
            <w:tcW w:w="852" w:type="dxa"/>
            <w:shd w:val="clear" w:color="auto" w:fill="auto"/>
            <w:noWrap/>
            <w:hideMark/>
          </w:tcPr>
          <w:p w14:paraId="27B7E43A"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4AA45D89" w14:textId="77777777" w:rsidTr="00985ADB">
        <w:trPr>
          <w:cantSplit/>
          <w:trHeight w:val="836"/>
        </w:trPr>
        <w:tc>
          <w:tcPr>
            <w:tcW w:w="815" w:type="dxa"/>
            <w:shd w:val="clear" w:color="auto" w:fill="auto"/>
            <w:hideMark/>
          </w:tcPr>
          <w:p w14:paraId="319F948D"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246877</w:t>
            </w:r>
          </w:p>
        </w:tc>
        <w:tc>
          <w:tcPr>
            <w:tcW w:w="1190" w:type="dxa"/>
            <w:shd w:val="clear" w:color="auto" w:fill="auto"/>
            <w:noWrap/>
            <w:hideMark/>
          </w:tcPr>
          <w:p w14:paraId="5212C43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8/12/2008</w:t>
            </w:r>
          </w:p>
        </w:tc>
        <w:tc>
          <w:tcPr>
            <w:tcW w:w="851" w:type="dxa"/>
            <w:shd w:val="clear" w:color="auto" w:fill="auto"/>
            <w:noWrap/>
            <w:hideMark/>
          </w:tcPr>
          <w:p w14:paraId="339114E8"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5FDBC738"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19</w:t>
            </w:r>
          </w:p>
        </w:tc>
        <w:tc>
          <w:tcPr>
            <w:tcW w:w="5077" w:type="dxa"/>
            <w:shd w:val="clear" w:color="auto" w:fill="auto"/>
            <w:hideMark/>
          </w:tcPr>
          <w:p w14:paraId="0D769F5D"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Luvox (</w:t>
            </w:r>
            <w:r w:rsidRPr="00177691">
              <w:rPr>
                <w:rFonts w:asciiTheme="minorHAnsi" w:eastAsia="Times New Roman" w:hAnsiTheme="minorHAnsi" w:cstheme="minorHAnsi"/>
                <w:b/>
                <w:color w:val="000000"/>
                <w:sz w:val="18"/>
                <w:szCs w:val="18"/>
                <w:lang w:val="en-US"/>
              </w:rPr>
              <w:t>Fluvoxamine maleate</w:t>
            </w:r>
            <w:r w:rsidRPr="00177691">
              <w:rPr>
                <w:rFonts w:asciiTheme="minorHAnsi" w:eastAsia="Times New Roman" w:hAnsiTheme="minorHAnsi" w:cstheme="minorHAnsi"/>
                <w:color w:val="000000"/>
                <w:sz w:val="18"/>
                <w:szCs w:val="18"/>
                <w:lang w:val="en-US"/>
              </w:rPr>
              <w:t>) - Suspect (0 days)</w:t>
            </w:r>
          </w:p>
        </w:tc>
        <w:tc>
          <w:tcPr>
            <w:tcW w:w="4677" w:type="dxa"/>
            <w:shd w:val="clear" w:color="auto" w:fill="auto"/>
            <w:hideMark/>
          </w:tcPr>
          <w:p w14:paraId="1ACC7B78"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Abdominal pain ; Completed suicide ; Headache ; Nightmare ; Poor quality sleep ; Rash ; Weight decreased</w:t>
            </w:r>
          </w:p>
        </w:tc>
        <w:tc>
          <w:tcPr>
            <w:tcW w:w="852" w:type="dxa"/>
            <w:shd w:val="clear" w:color="auto" w:fill="auto"/>
            <w:noWrap/>
            <w:hideMark/>
          </w:tcPr>
          <w:p w14:paraId="31A9656A"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54526A9E" w14:textId="77777777" w:rsidTr="00985ADB">
        <w:trPr>
          <w:cantSplit/>
          <w:trHeight w:val="600"/>
        </w:trPr>
        <w:tc>
          <w:tcPr>
            <w:tcW w:w="815" w:type="dxa"/>
            <w:shd w:val="clear" w:color="auto" w:fill="auto"/>
            <w:hideMark/>
          </w:tcPr>
          <w:p w14:paraId="1EA53C4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248391</w:t>
            </w:r>
          </w:p>
        </w:tc>
        <w:tc>
          <w:tcPr>
            <w:tcW w:w="1190" w:type="dxa"/>
            <w:shd w:val="clear" w:color="auto" w:fill="auto"/>
            <w:noWrap/>
            <w:hideMark/>
          </w:tcPr>
          <w:p w14:paraId="4406D5D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9/02/2009</w:t>
            </w:r>
          </w:p>
        </w:tc>
        <w:tc>
          <w:tcPr>
            <w:tcW w:w="851" w:type="dxa"/>
            <w:shd w:val="clear" w:color="auto" w:fill="auto"/>
            <w:noWrap/>
            <w:hideMark/>
          </w:tcPr>
          <w:p w14:paraId="7717672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57DCA56C"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24</w:t>
            </w:r>
          </w:p>
        </w:tc>
        <w:tc>
          <w:tcPr>
            <w:tcW w:w="5077" w:type="dxa"/>
            <w:shd w:val="clear" w:color="auto" w:fill="auto"/>
            <w:hideMark/>
          </w:tcPr>
          <w:p w14:paraId="46C2F5E1"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Efexor (</w:t>
            </w:r>
            <w:r w:rsidRPr="00177691">
              <w:rPr>
                <w:rFonts w:asciiTheme="minorHAnsi" w:eastAsia="Times New Roman" w:hAnsiTheme="minorHAnsi" w:cstheme="minorHAnsi"/>
                <w:b/>
                <w:color w:val="000000"/>
                <w:sz w:val="18"/>
                <w:szCs w:val="18"/>
                <w:lang w:val="en-US"/>
              </w:rPr>
              <w:t>Venlafaxine hydrochloride</w:t>
            </w:r>
            <w:r w:rsidRPr="00177691">
              <w:rPr>
                <w:rFonts w:asciiTheme="minorHAnsi" w:eastAsia="Times New Roman" w:hAnsiTheme="minorHAnsi" w:cstheme="minorHAnsi"/>
                <w:color w:val="000000"/>
                <w:sz w:val="18"/>
                <w:szCs w:val="18"/>
                <w:lang w:val="en-US"/>
              </w:rPr>
              <w:t>) - Suspect (27 days)</w:t>
            </w:r>
          </w:p>
        </w:tc>
        <w:tc>
          <w:tcPr>
            <w:tcW w:w="4677" w:type="dxa"/>
            <w:shd w:val="clear" w:color="auto" w:fill="auto"/>
            <w:hideMark/>
          </w:tcPr>
          <w:p w14:paraId="405F83D1"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2B50C2E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3019D5" w14:paraId="0F32A7EB" w14:textId="77777777" w:rsidTr="00985ADB">
        <w:trPr>
          <w:cantSplit/>
          <w:trHeight w:val="551"/>
        </w:trPr>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78D1008B" w14:textId="77777777" w:rsidR="00EB519C" w:rsidRPr="003019D5" w:rsidRDefault="00EB519C" w:rsidP="00985ADB">
            <w:pPr>
              <w:spacing w:before="60" w:after="60" w:line="240" w:lineRule="auto"/>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252667</w:t>
            </w:r>
          </w:p>
        </w:tc>
        <w:tc>
          <w:tcPr>
            <w:tcW w:w="1190" w:type="dxa"/>
            <w:tcBorders>
              <w:top w:val="single" w:sz="4" w:space="0" w:color="auto"/>
              <w:left w:val="single" w:sz="4" w:space="0" w:color="auto"/>
              <w:bottom w:val="single" w:sz="4" w:space="0" w:color="auto"/>
              <w:right w:val="single" w:sz="4" w:space="0" w:color="auto"/>
            </w:tcBorders>
            <w:shd w:val="clear" w:color="auto" w:fill="auto"/>
            <w:noWrap/>
            <w:hideMark/>
          </w:tcPr>
          <w:p w14:paraId="050EC9D6"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24/06/2009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77FA17A"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6629DD0"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20</w:t>
            </w:r>
          </w:p>
        </w:tc>
        <w:tc>
          <w:tcPr>
            <w:tcW w:w="5077" w:type="dxa"/>
            <w:tcBorders>
              <w:top w:val="single" w:sz="4" w:space="0" w:color="auto"/>
              <w:left w:val="single" w:sz="4" w:space="0" w:color="auto"/>
              <w:bottom w:val="single" w:sz="4" w:space="0" w:color="auto"/>
              <w:right w:val="single" w:sz="4" w:space="0" w:color="auto"/>
            </w:tcBorders>
            <w:shd w:val="clear" w:color="auto" w:fill="auto"/>
            <w:hideMark/>
          </w:tcPr>
          <w:p w14:paraId="004CFBE6" w14:textId="77777777" w:rsidR="00EB519C" w:rsidRPr="003019D5" w:rsidRDefault="00EB519C" w:rsidP="00985ADB">
            <w:pPr>
              <w:pStyle w:val="ListParagraph"/>
              <w:numPr>
                <w:ilvl w:val="0"/>
                <w:numId w:val="27"/>
              </w:numPr>
              <w:spacing w:before="60" w:after="60"/>
              <w:ind w:left="258" w:hanging="142"/>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Dothep (</w:t>
            </w:r>
            <w:r w:rsidRPr="003019D5">
              <w:rPr>
                <w:rFonts w:asciiTheme="minorHAnsi" w:eastAsia="Times New Roman" w:hAnsiTheme="minorHAnsi" w:cstheme="minorHAnsi"/>
                <w:b/>
                <w:color w:val="000000"/>
                <w:sz w:val="18"/>
                <w:szCs w:val="18"/>
                <w:lang w:val="en-US"/>
              </w:rPr>
              <w:t>dosulepin (dothiepin) hydrochloride)</w:t>
            </w:r>
            <w:r w:rsidRPr="003019D5">
              <w:rPr>
                <w:rFonts w:asciiTheme="minorHAnsi" w:eastAsia="Times New Roman" w:hAnsiTheme="minorHAnsi" w:cstheme="minorHAnsi"/>
                <w:color w:val="000000"/>
                <w:sz w:val="18"/>
                <w:szCs w:val="18"/>
                <w:lang w:val="en-US"/>
              </w:rPr>
              <w:t xml:space="preserve"> - Suspect</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24685709" w14:textId="77777777" w:rsidR="00EB519C" w:rsidRPr="003019D5" w:rsidRDefault="00EB519C" w:rsidP="00985ADB">
            <w:pPr>
              <w:spacing w:before="60" w:after="60" w:line="240" w:lineRule="auto"/>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Completed suicide ; Overdose</w:t>
            </w:r>
          </w:p>
        </w:tc>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14:paraId="51DFBBC0"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Yes</w:t>
            </w:r>
          </w:p>
        </w:tc>
      </w:tr>
      <w:tr w:rsidR="00EB519C" w:rsidRPr="00177691" w14:paraId="6B91D15E" w14:textId="77777777" w:rsidTr="00985ADB">
        <w:trPr>
          <w:cantSplit/>
          <w:trHeight w:val="983"/>
        </w:trPr>
        <w:tc>
          <w:tcPr>
            <w:tcW w:w="815" w:type="dxa"/>
            <w:shd w:val="clear" w:color="auto" w:fill="auto"/>
            <w:hideMark/>
          </w:tcPr>
          <w:p w14:paraId="25609CD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260274</w:t>
            </w:r>
          </w:p>
        </w:tc>
        <w:tc>
          <w:tcPr>
            <w:tcW w:w="1190" w:type="dxa"/>
            <w:shd w:val="clear" w:color="auto" w:fill="auto"/>
            <w:noWrap/>
            <w:hideMark/>
          </w:tcPr>
          <w:p w14:paraId="066CCB7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24/11/2009</w:t>
            </w:r>
          </w:p>
        </w:tc>
        <w:tc>
          <w:tcPr>
            <w:tcW w:w="851" w:type="dxa"/>
            <w:shd w:val="clear" w:color="auto" w:fill="auto"/>
            <w:noWrap/>
            <w:hideMark/>
          </w:tcPr>
          <w:p w14:paraId="6887312C"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2576593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24</w:t>
            </w:r>
          </w:p>
        </w:tc>
        <w:tc>
          <w:tcPr>
            <w:tcW w:w="5077" w:type="dxa"/>
            <w:shd w:val="clear" w:color="auto" w:fill="auto"/>
            <w:hideMark/>
          </w:tcPr>
          <w:p w14:paraId="07716FCC"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Amphetamine (</w:t>
            </w:r>
            <w:r w:rsidRPr="00177691">
              <w:rPr>
                <w:rFonts w:asciiTheme="minorHAnsi" w:eastAsia="Times New Roman" w:hAnsiTheme="minorHAnsi" w:cstheme="minorHAnsi"/>
                <w:b/>
                <w:color w:val="000000"/>
                <w:sz w:val="18"/>
                <w:szCs w:val="18"/>
                <w:lang w:val="en-US"/>
              </w:rPr>
              <w:t>amfetamine</w:t>
            </w:r>
            <w:r w:rsidRPr="00177691">
              <w:rPr>
                <w:rFonts w:asciiTheme="minorHAnsi" w:eastAsia="Times New Roman" w:hAnsiTheme="minorHAnsi" w:cstheme="minorHAnsi"/>
                <w:color w:val="000000"/>
                <w:sz w:val="18"/>
                <w:szCs w:val="18"/>
                <w:lang w:val="en-US"/>
              </w:rPr>
              <w:t>) - Suspect;</w:t>
            </w:r>
          </w:p>
          <w:p w14:paraId="4C229AED"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Luvox (</w:t>
            </w:r>
            <w:r w:rsidRPr="00177691">
              <w:rPr>
                <w:rFonts w:asciiTheme="minorHAnsi" w:eastAsia="Times New Roman" w:hAnsiTheme="minorHAnsi" w:cstheme="minorHAnsi"/>
                <w:b/>
                <w:color w:val="000000"/>
                <w:sz w:val="18"/>
                <w:szCs w:val="18"/>
                <w:lang w:val="en-US"/>
              </w:rPr>
              <w:t>Fluvoxamine maleate</w:t>
            </w:r>
            <w:r w:rsidRPr="00177691">
              <w:rPr>
                <w:rFonts w:asciiTheme="minorHAnsi" w:eastAsia="Times New Roman" w:hAnsiTheme="minorHAnsi" w:cstheme="minorHAnsi"/>
                <w:color w:val="000000"/>
                <w:sz w:val="18"/>
                <w:szCs w:val="18"/>
                <w:lang w:val="en-US"/>
              </w:rPr>
              <w:t>) - Suspect;</w:t>
            </w:r>
          </w:p>
          <w:p w14:paraId="27689519" w14:textId="25DA8B66"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Zyprexa (</w:t>
            </w:r>
            <w:r w:rsidRPr="00177691">
              <w:rPr>
                <w:rFonts w:asciiTheme="minorHAnsi" w:eastAsia="Times New Roman" w:hAnsiTheme="minorHAnsi" w:cstheme="minorHAnsi"/>
                <w:b/>
                <w:color w:val="000000"/>
                <w:sz w:val="18"/>
                <w:szCs w:val="18"/>
                <w:lang w:val="en-US"/>
              </w:rPr>
              <w:t>Olanzapine</w:t>
            </w:r>
            <w:r>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722C9FD8"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 ; Drug interaction</w:t>
            </w:r>
          </w:p>
        </w:tc>
        <w:tc>
          <w:tcPr>
            <w:tcW w:w="852" w:type="dxa"/>
            <w:shd w:val="clear" w:color="auto" w:fill="auto"/>
            <w:noWrap/>
            <w:hideMark/>
          </w:tcPr>
          <w:p w14:paraId="34FD116A"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No</w:t>
            </w:r>
          </w:p>
        </w:tc>
      </w:tr>
      <w:tr w:rsidR="00EB519C" w:rsidRPr="00177691" w14:paraId="2B004140" w14:textId="77777777" w:rsidTr="00985ADB">
        <w:trPr>
          <w:cantSplit/>
          <w:trHeight w:val="416"/>
        </w:trPr>
        <w:tc>
          <w:tcPr>
            <w:tcW w:w="815" w:type="dxa"/>
            <w:shd w:val="clear" w:color="auto" w:fill="auto"/>
            <w:hideMark/>
          </w:tcPr>
          <w:p w14:paraId="5419F66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lastRenderedPageBreak/>
              <w:t>287948</w:t>
            </w:r>
          </w:p>
        </w:tc>
        <w:tc>
          <w:tcPr>
            <w:tcW w:w="1190" w:type="dxa"/>
            <w:shd w:val="clear" w:color="auto" w:fill="auto"/>
            <w:noWrap/>
            <w:hideMark/>
          </w:tcPr>
          <w:p w14:paraId="030E1BE5"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25/08/2011</w:t>
            </w:r>
          </w:p>
        </w:tc>
        <w:tc>
          <w:tcPr>
            <w:tcW w:w="851" w:type="dxa"/>
            <w:shd w:val="clear" w:color="auto" w:fill="auto"/>
            <w:noWrap/>
            <w:hideMark/>
          </w:tcPr>
          <w:p w14:paraId="55116DBF"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18AC178C"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16</w:t>
            </w:r>
          </w:p>
        </w:tc>
        <w:tc>
          <w:tcPr>
            <w:tcW w:w="5077" w:type="dxa"/>
            <w:shd w:val="clear" w:color="auto" w:fill="auto"/>
            <w:hideMark/>
          </w:tcPr>
          <w:p w14:paraId="1D102390"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Zoloft (</w:t>
            </w:r>
            <w:r w:rsidRPr="00177691">
              <w:rPr>
                <w:rFonts w:asciiTheme="minorHAnsi" w:eastAsia="Times New Roman" w:hAnsiTheme="minorHAnsi" w:cstheme="minorHAnsi"/>
                <w:b/>
                <w:color w:val="000000"/>
                <w:sz w:val="18"/>
                <w:szCs w:val="18"/>
                <w:lang w:val="en-US"/>
              </w:rPr>
              <w:t>Sertraline hydrochloride</w:t>
            </w:r>
            <w:r w:rsidRPr="00177691">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0F310CA7"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 ; Intentional overdose</w:t>
            </w:r>
          </w:p>
        </w:tc>
        <w:tc>
          <w:tcPr>
            <w:tcW w:w="852" w:type="dxa"/>
            <w:shd w:val="clear" w:color="auto" w:fill="auto"/>
            <w:noWrap/>
            <w:hideMark/>
          </w:tcPr>
          <w:p w14:paraId="67BF252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5A75670B" w14:textId="77777777" w:rsidTr="00985ADB">
        <w:trPr>
          <w:cantSplit/>
          <w:trHeight w:val="564"/>
        </w:trPr>
        <w:tc>
          <w:tcPr>
            <w:tcW w:w="815" w:type="dxa"/>
            <w:shd w:val="clear" w:color="auto" w:fill="auto"/>
            <w:hideMark/>
          </w:tcPr>
          <w:p w14:paraId="43D3FB0F"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287951</w:t>
            </w:r>
          </w:p>
        </w:tc>
        <w:tc>
          <w:tcPr>
            <w:tcW w:w="1190" w:type="dxa"/>
            <w:shd w:val="clear" w:color="auto" w:fill="auto"/>
            <w:noWrap/>
            <w:hideMark/>
          </w:tcPr>
          <w:p w14:paraId="36533AE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25/08/2011</w:t>
            </w:r>
          </w:p>
        </w:tc>
        <w:tc>
          <w:tcPr>
            <w:tcW w:w="851" w:type="dxa"/>
            <w:shd w:val="clear" w:color="auto" w:fill="auto"/>
            <w:noWrap/>
            <w:hideMark/>
          </w:tcPr>
          <w:p w14:paraId="34E960C0"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7831820F"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18</w:t>
            </w:r>
          </w:p>
        </w:tc>
        <w:tc>
          <w:tcPr>
            <w:tcW w:w="5077" w:type="dxa"/>
            <w:shd w:val="clear" w:color="auto" w:fill="auto"/>
            <w:hideMark/>
          </w:tcPr>
          <w:p w14:paraId="1E577143"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Efexor-XR (Venlafaxine hydrochloride) - Suspect</w:t>
            </w:r>
          </w:p>
        </w:tc>
        <w:tc>
          <w:tcPr>
            <w:tcW w:w="4677" w:type="dxa"/>
            <w:shd w:val="clear" w:color="auto" w:fill="auto"/>
            <w:hideMark/>
          </w:tcPr>
          <w:p w14:paraId="1BA0DBE7"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0520E81E"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77E8956C" w14:textId="77777777" w:rsidTr="00985ADB">
        <w:trPr>
          <w:cantSplit/>
          <w:trHeight w:val="402"/>
        </w:trPr>
        <w:tc>
          <w:tcPr>
            <w:tcW w:w="815" w:type="dxa"/>
            <w:shd w:val="clear" w:color="auto" w:fill="auto"/>
            <w:hideMark/>
          </w:tcPr>
          <w:p w14:paraId="64FEE7E9"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295619</w:t>
            </w:r>
          </w:p>
        </w:tc>
        <w:tc>
          <w:tcPr>
            <w:tcW w:w="1190" w:type="dxa"/>
            <w:shd w:val="clear" w:color="auto" w:fill="auto"/>
            <w:noWrap/>
            <w:hideMark/>
          </w:tcPr>
          <w:p w14:paraId="2213CA76"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8/02/2012</w:t>
            </w:r>
          </w:p>
        </w:tc>
        <w:tc>
          <w:tcPr>
            <w:tcW w:w="851" w:type="dxa"/>
            <w:shd w:val="clear" w:color="auto" w:fill="auto"/>
            <w:noWrap/>
            <w:hideMark/>
          </w:tcPr>
          <w:p w14:paraId="782D5217"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7DB333A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19</w:t>
            </w:r>
          </w:p>
        </w:tc>
        <w:tc>
          <w:tcPr>
            <w:tcW w:w="5077" w:type="dxa"/>
            <w:shd w:val="clear" w:color="auto" w:fill="auto"/>
            <w:hideMark/>
          </w:tcPr>
          <w:p w14:paraId="5ED0FB02"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Zoloft (</w:t>
            </w:r>
            <w:r w:rsidRPr="00177691">
              <w:rPr>
                <w:rFonts w:asciiTheme="minorHAnsi" w:eastAsia="Times New Roman" w:hAnsiTheme="minorHAnsi" w:cstheme="minorHAnsi"/>
                <w:b/>
                <w:color w:val="000000"/>
                <w:sz w:val="18"/>
                <w:szCs w:val="18"/>
                <w:lang w:val="en-US"/>
              </w:rPr>
              <w:t>Sertraline hydrochloride</w:t>
            </w:r>
            <w:r w:rsidRPr="00177691">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123A733E"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 ; Gambling disorder</w:t>
            </w:r>
          </w:p>
        </w:tc>
        <w:tc>
          <w:tcPr>
            <w:tcW w:w="852" w:type="dxa"/>
            <w:shd w:val="clear" w:color="auto" w:fill="auto"/>
            <w:noWrap/>
            <w:hideMark/>
          </w:tcPr>
          <w:p w14:paraId="6763BA22"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00024D8E" w14:textId="77777777" w:rsidTr="00985ADB">
        <w:trPr>
          <w:cantSplit/>
          <w:trHeight w:val="600"/>
        </w:trPr>
        <w:tc>
          <w:tcPr>
            <w:tcW w:w="815" w:type="dxa"/>
            <w:shd w:val="clear" w:color="auto" w:fill="auto"/>
            <w:hideMark/>
          </w:tcPr>
          <w:p w14:paraId="30B93FB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332300</w:t>
            </w:r>
          </w:p>
        </w:tc>
        <w:tc>
          <w:tcPr>
            <w:tcW w:w="1190" w:type="dxa"/>
            <w:shd w:val="clear" w:color="auto" w:fill="auto"/>
            <w:noWrap/>
            <w:hideMark/>
          </w:tcPr>
          <w:p w14:paraId="4DCEA73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10/12/2013</w:t>
            </w:r>
          </w:p>
        </w:tc>
        <w:tc>
          <w:tcPr>
            <w:tcW w:w="851" w:type="dxa"/>
            <w:shd w:val="clear" w:color="auto" w:fill="auto"/>
            <w:noWrap/>
            <w:hideMark/>
          </w:tcPr>
          <w:p w14:paraId="76E06ED9"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1B09648F"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22</w:t>
            </w:r>
          </w:p>
        </w:tc>
        <w:tc>
          <w:tcPr>
            <w:tcW w:w="5077" w:type="dxa"/>
            <w:shd w:val="clear" w:color="auto" w:fill="auto"/>
            <w:hideMark/>
          </w:tcPr>
          <w:p w14:paraId="526380D0"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Zoloft (</w:t>
            </w:r>
            <w:r w:rsidRPr="00177691">
              <w:rPr>
                <w:rFonts w:asciiTheme="minorHAnsi" w:eastAsia="Times New Roman" w:hAnsiTheme="minorHAnsi" w:cstheme="minorHAnsi"/>
                <w:b/>
                <w:color w:val="000000"/>
                <w:sz w:val="18"/>
                <w:szCs w:val="18"/>
                <w:lang w:val="en-US"/>
              </w:rPr>
              <w:t>Sertraline hydrochloride</w:t>
            </w:r>
            <w:r w:rsidRPr="00177691">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4E51949D"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 ; Feeling abnormal ; Psychotic disorder</w:t>
            </w:r>
          </w:p>
        </w:tc>
        <w:tc>
          <w:tcPr>
            <w:tcW w:w="852" w:type="dxa"/>
            <w:shd w:val="clear" w:color="auto" w:fill="auto"/>
            <w:noWrap/>
            <w:hideMark/>
          </w:tcPr>
          <w:p w14:paraId="2ABF17D7"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49E12C08" w14:textId="77777777" w:rsidTr="00985ADB">
        <w:trPr>
          <w:cantSplit/>
          <w:trHeight w:val="373"/>
        </w:trPr>
        <w:tc>
          <w:tcPr>
            <w:tcW w:w="815" w:type="dxa"/>
            <w:shd w:val="clear" w:color="auto" w:fill="auto"/>
            <w:hideMark/>
          </w:tcPr>
          <w:p w14:paraId="7365E7C5"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343236</w:t>
            </w:r>
          </w:p>
        </w:tc>
        <w:tc>
          <w:tcPr>
            <w:tcW w:w="1190" w:type="dxa"/>
            <w:shd w:val="clear" w:color="auto" w:fill="auto"/>
            <w:noWrap/>
            <w:hideMark/>
          </w:tcPr>
          <w:p w14:paraId="277970B2"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4/07/2014</w:t>
            </w:r>
          </w:p>
        </w:tc>
        <w:tc>
          <w:tcPr>
            <w:tcW w:w="851" w:type="dxa"/>
            <w:shd w:val="clear" w:color="auto" w:fill="auto"/>
            <w:noWrap/>
            <w:hideMark/>
          </w:tcPr>
          <w:p w14:paraId="45E1F70F"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08CFD09F"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22</w:t>
            </w:r>
          </w:p>
        </w:tc>
        <w:tc>
          <w:tcPr>
            <w:tcW w:w="5077" w:type="dxa"/>
            <w:shd w:val="clear" w:color="auto" w:fill="auto"/>
            <w:hideMark/>
          </w:tcPr>
          <w:p w14:paraId="278312E5"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Zoloft (</w:t>
            </w:r>
            <w:r w:rsidRPr="00177691">
              <w:rPr>
                <w:rFonts w:asciiTheme="minorHAnsi" w:eastAsia="Times New Roman" w:hAnsiTheme="minorHAnsi" w:cstheme="minorHAnsi"/>
                <w:b/>
                <w:color w:val="000000"/>
                <w:sz w:val="18"/>
                <w:szCs w:val="18"/>
                <w:lang w:val="en-US"/>
              </w:rPr>
              <w:t>Sertraline hydrochloride</w:t>
            </w:r>
            <w:r w:rsidRPr="00177691">
              <w:rPr>
                <w:rFonts w:asciiTheme="minorHAnsi" w:eastAsia="Times New Roman" w:hAnsiTheme="minorHAnsi" w:cstheme="minorHAnsi"/>
                <w:color w:val="000000"/>
                <w:sz w:val="18"/>
                <w:szCs w:val="18"/>
                <w:lang w:val="en-US"/>
              </w:rPr>
              <w:t>) - S</w:t>
            </w:r>
            <w:r>
              <w:rPr>
                <w:rFonts w:asciiTheme="minorHAnsi" w:eastAsia="Times New Roman" w:hAnsiTheme="minorHAnsi" w:cstheme="minorHAnsi"/>
                <w:color w:val="000000"/>
                <w:sz w:val="18"/>
                <w:szCs w:val="18"/>
                <w:lang w:val="en-US"/>
              </w:rPr>
              <w:t>us</w:t>
            </w:r>
            <w:r w:rsidRPr="00177691">
              <w:rPr>
                <w:rFonts w:asciiTheme="minorHAnsi" w:eastAsia="Times New Roman" w:hAnsiTheme="minorHAnsi" w:cstheme="minorHAnsi"/>
                <w:color w:val="000000"/>
                <w:sz w:val="18"/>
                <w:szCs w:val="18"/>
                <w:lang w:val="en-US"/>
              </w:rPr>
              <w:t>pect</w:t>
            </w:r>
          </w:p>
        </w:tc>
        <w:tc>
          <w:tcPr>
            <w:tcW w:w="4677" w:type="dxa"/>
            <w:shd w:val="clear" w:color="auto" w:fill="auto"/>
            <w:hideMark/>
          </w:tcPr>
          <w:p w14:paraId="6A789855"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 ; Drug ineffective ; Mania</w:t>
            </w:r>
          </w:p>
        </w:tc>
        <w:tc>
          <w:tcPr>
            <w:tcW w:w="852" w:type="dxa"/>
            <w:shd w:val="clear" w:color="auto" w:fill="auto"/>
            <w:noWrap/>
            <w:hideMark/>
          </w:tcPr>
          <w:p w14:paraId="2F78D71C"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3019D5" w14:paraId="79DD46D8" w14:textId="77777777" w:rsidTr="00985ADB">
        <w:trPr>
          <w:cantSplit/>
          <w:trHeight w:val="551"/>
        </w:trPr>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5E630718" w14:textId="77777777" w:rsidR="00EB519C" w:rsidRPr="003019D5" w:rsidRDefault="00EB519C" w:rsidP="00985ADB">
            <w:pPr>
              <w:spacing w:before="60" w:after="60" w:line="240" w:lineRule="auto"/>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347609</w:t>
            </w:r>
          </w:p>
        </w:tc>
        <w:tc>
          <w:tcPr>
            <w:tcW w:w="1190" w:type="dxa"/>
            <w:tcBorders>
              <w:top w:val="single" w:sz="4" w:space="0" w:color="auto"/>
              <w:left w:val="single" w:sz="4" w:space="0" w:color="auto"/>
              <w:bottom w:val="single" w:sz="4" w:space="0" w:color="auto"/>
              <w:right w:val="single" w:sz="4" w:space="0" w:color="auto"/>
            </w:tcBorders>
            <w:shd w:val="clear" w:color="auto" w:fill="auto"/>
            <w:noWrap/>
            <w:hideMark/>
          </w:tcPr>
          <w:p w14:paraId="18141BE8"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16/09/2014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540C983"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17F91F7"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21</w:t>
            </w:r>
          </w:p>
        </w:tc>
        <w:tc>
          <w:tcPr>
            <w:tcW w:w="5077" w:type="dxa"/>
            <w:tcBorders>
              <w:top w:val="single" w:sz="4" w:space="0" w:color="auto"/>
              <w:left w:val="single" w:sz="4" w:space="0" w:color="auto"/>
              <w:bottom w:val="single" w:sz="4" w:space="0" w:color="auto"/>
              <w:right w:val="single" w:sz="4" w:space="0" w:color="auto"/>
            </w:tcBorders>
            <w:shd w:val="clear" w:color="auto" w:fill="auto"/>
            <w:hideMark/>
          </w:tcPr>
          <w:p w14:paraId="060F6F60" w14:textId="77777777" w:rsidR="00EB519C" w:rsidRPr="003019D5" w:rsidRDefault="00EB519C" w:rsidP="00985ADB">
            <w:pPr>
              <w:pStyle w:val="ListParagraph"/>
              <w:numPr>
                <w:ilvl w:val="0"/>
                <w:numId w:val="27"/>
              </w:numPr>
              <w:spacing w:before="60" w:after="60"/>
              <w:ind w:left="258" w:hanging="142"/>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 xml:space="preserve">Valdoxan </w:t>
            </w:r>
            <w:r w:rsidRPr="003019D5">
              <w:rPr>
                <w:rFonts w:asciiTheme="minorHAnsi" w:eastAsia="Times New Roman" w:hAnsiTheme="minorHAnsi" w:cstheme="minorHAnsi"/>
                <w:b/>
                <w:color w:val="000000"/>
                <w:sz w:val="18"/>
                <w:szCs w:val="18"/>
                <w:lang w:val="en-US"/>
              </w:rPr>
              <w:t>(Agomelatine)</w:t>
            </w:r>
            <w:r w:rsidRPr="003019D5">
              <w:rPr>
                <w:rFonts w:asciiTheme="minorHAnsi" w:eastAsia="Times New Roman" w:hAnsiTheme="minorHAnsi" w:cstheme="minorHAnsi"/>
                <w:color w:val="000000"/>
                <w:sz w:val="18"/>
                <w:szCs w:val="18"/>
                <w:lang w:val="en-US"/>
              </w:rPr>
              <w:t xml:space="preserve"> - Suspect</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193063A9" w14:textId="77777777" w:rsidR="00EB519C" w:rsidRPr="003019D5" w:rsidRDefault="00EB519C" w:rsidP="00985ADB">
            <w:pPr>
              <w:spacing w:before="60" w:after="60" w:line="240" w:lineRule="auto"/>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Completed suicide ; Drug ineffective</w:t>
            </w:r>
          </w:p>
        </w:tc>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14:paraId="706BFD31"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Yes</w:t>
            </w:r>
          </w:p>
        </w:tc>
      </w:tr>
      <w:tr w:rsidR="00EB519C" w:rsidRPr="00177691" w14:paraId="51C2119D" w14:textId="77777777" w:rsidTr="00985ADB">
        <w:trPr>
          <w:cantSplit/>
          <w:trHeight w:val="900"/>
        </w:trPr>
        <w:tc>
          <w:tcPr>
            <w:tcW w:w="815" w:type="dxa"/>
            <w:shd w:val="clear" w:color="auto" w:fill="auto"/>
            <w:hideMark/>
          </w:tcPr>
          <w:p w14:paraId="38F3CB06"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350180</w:t>
            </w:r>
          </w:p>
        </w:tc>
        <w:tc>
          <w:tcPr>
            <w:tcW w:w="1190" w:type="dxa"/>
            <w:shd w:val="clear" w:color="auto" w:fill="auto"/>
            <w:noWrap/>
            <w:hideMark/>
          </w:tcPr>
          <w:p w14:paraId="7BC0771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12/11/2014</w:t>
            </w:r>
          </w:p>
        </w:tc>
        <w:tc>
          <w:tcPr>
            <w:tcW w:w="851" w:type="dxa"/>
            <w:shd w:val="clear" w:color="auto" w:fill="auto"/>
            <w:noWrap/>
            <w:hideMark/>
          </w:tcPr>
          <w:p w14:paraId="33B16935"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381DD7A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20</w:t>
            </w:r>
          </w:p>
        </w:tc>
        <w:tc>
          <w:tcPr>
            <w:tcW w:w="5077" w:type="dxa"/>
            <w:shd w:val="clear" w:color="auto" w:fill="auto"/>
            <w:hideMark/>
          </w:tcPr>
          <w:p w14:paraId="61D242D7" w14:textId="77777777" w:rsidR="0010591B"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Cymbalta (</w:t>
            </w:r>
            <w:r w:rsidRPr="00177691">
              <w:rPr>
                <w:rFonts w:asciiTheme="minorHAnsi" w:eastAsia="Times New Roman" w:hAnsiTheme="minorHAnsi" w:cstheme="minorHAnsi"/>
                <w:b/>
                <w:color w:val="000000"/>
                <w:sz w:val="18"/>
                <w:szCs w:val="18"/>
                <w:lang w:val="en-US"/>
              </w:rPr>
              <w:t>Duloxetine hydrochloride</w:t>
            </w:r>
            <w:r w:rsidRPr="00177691">
              <w:rPr>
                <w:rFonts w:asciiTheme="minorHAnsi" w:eastAsia="Times New Roman" w:hAnsiTheme="minorHAnsi" w:cstheme="minorHAnsi"/>
                <w:color w:val="000000"/>
                <w:sz w:val="18"/>
                <w:szCs w:val="18"/>
                <w:lang w:val="en-US"/>
              </w:rPr>
              <w:t>) - Suspect (7 days);</w:t>
            </w:r>
          </w:p>
          <w:p w14:paraId="2BD4EF5D" w14:textId="669E4BE3"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Temtabs (</w:t>
            </w:r>
            <w:r w:rsidRPr="00177691">
              <w:rPr>
                <w:rFonts w:asciiTheme="minorHAnsi" w:eastAsia="Times New Roman" w:hAnsiTheme="minorHAnsi" w:cstheme="minorHAnsi"/>
                <w:b/>
                <w:color w:val="000000"/>
                <w:sz w:val="18"/>
                <w:szCs w:val="18"/>
                <w:lang w:val="en-US"/>
              </w:rPr>
              <w:t>Temazepam</w:t>
            </w:r>
            <w:r w:rsidRPr="00177691">
              <w:rPr>
                <w:rFonts w:asciiTheme="minorHAnsi" w:eastAsia="Times New Roman" w:hAnsiTheme="minorHAnsi" w:cstheme="minorHAnsi"/>
                <w:color w:val="000000"/>
                <w:sz w:val="18"/>
                <w:szCs w:val="18"/>
                <w:lang w:val="en-US"/>
              </w:rPr>
              <w:t>) - Concomitant</w:t>
            </w:r>
          </w:p>
        </w:tc>
        <w:tc>
          <w:tcPr>
            <w:tcW w:w="4677" w:type="dxa"/>
            <w:shd w:val="clear" w:color="auto" w:fill="auto"/>
            <w:hideMark/>
          </w:tcPr>
          <w:p w14:paraId="22EF8A0B"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Abdominal pain ; Completed suicide ; Influenza ; Insomnia</w:t>
            </w:r>
          </w:p>
        </w:tc>
        <w:tc>
          <w:tcPr>
            <w:tcW w:w="852" w:type="dxa"/>
            <w:shd w:val="clear" w:color="auto" w:fill="auto"/>
            <w:noWrap/>
            <w:hideMark/>
          </w:tcPr>
          <w:p w14:paraId="5A8F97DE"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50D23A15" w14:textId="77777777" w:rsidTr="00985ADB">
        <w:trPr>
          <w:cantSplit/>
          <w:trHeight w:val="600"/>
        </w:trPr>
        <w:tc>
          <w:tcPr>
            <w:tcW w:w="815" w:type="dxa"/>
            <w:shd w:val="clear" w:color="auto" w:fill="auto"/>
            <w:hideMark/>
          </w:tcPr>
          <w:p w14:paraId="1D2A987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360182</w:t>
            </w:r>
          </w:p>
        </w:tc>
        <w:tc>
          <w:tcPr>
            <w:tcW w:w="1190" w:type="dxa"/>
            <w:shd w:val="clear" w:color="auto" w:fill="auto"/>
            <w:noWrap/>
            <w:hideMark/>
          </w:tcPr>
          <w:p w14:paraId="0626E9D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26/05/2015</w:t>
            </w:r>
          </w:p>
        </w:tc>
        <w:tc>
          <w:tcPr>
            <w:tcW w:w="851" w:type="dxa"/>
            <w:shd w:val="clear" w:color="auto" w:fill="auto"/>
            <w:noWrap/>
            <w:hideMark/>
          </w:tcPr>
          <w:p w14:paraId="61BDE199"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4C84A730"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16</w:t>
            </w:r>
          </w:p>
        </w:tc>
        <w:tc>
          <w:tcPr>
            <w:tcW w:w="5077" w:type="dxa"/>
            <w:shd w:val="clear" w:color="auto" w:fill="auto"/>
            <w:hideMark/>
          </w:tcPr>
          <w:p w14:paraId="180EB8E7"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Trade Name Not Specified (</w:t>
            </w:r>
            <w:r w:rsidRPr="00177691">
              <w:rPr>
                <w:rFonts w:asciiTheme="minorHAnsi" w:eastAsia="Times New Roman" w:hAnsiTheme="minorHAnsi" w:cstheme="minorHAnsi"/>
                <w:b/>
                <w:color w:val="000000"/>
                <w:sz w:val="18"/>
                <w:szCs w:val="18"/>
                <w:lang w:val="en-US"/>
              </w:rPr>
              <w:t>Escitalopram</w:t>
            </w:r>
            <w:r w:rsidRPr="00177691">
              <w:rPr>
                <w:rFonts w:asciiTheme="minorHAnsi" w:eastAsia="Times New Roman" w:hAnsiTheme="minorHAnsi" w:cstheme="minorHAnsi"/>
                <w:color w:val="000000"/>
                <w:sz w:val="18"/>
                <w:szCs w:val="18"/>
                <w:lang w:val="en-US"/>
              </w:rPr>
              <w:t>) - Suspect (121 days)</w:t>
            </w:r>
          </w:p>
        </w:tc>
        <w:tc>
          <w:tcPr>
            <w:tcW w:w="4677" w:type="dxa"/>
            <w:shd w:val="clear" w:color="auto" w:fill="auto"/>
            <w:hideMark/>
          </w:tcPr>
          <w:p w14:paraId="07D82EF1"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0B8D8FCC"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71A5D67B" w14:textId="77777777" w:rsidTr="00985ADB">
        <w:trPr>
          <w:cantSplit/>
          <w:trHeight w:val="600"/>
        </w:trPr>
        <w:tc>
          <w:tcPr>
            <w:tcW w:w="815" w:type="dxa"/>
            <w:shd w:val="clear" w:color="auto" w:fill="auto"/>
            <w:hideMark/>
          </w:tcPr>
          <w:p w14:paraId="2C0B2194"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366628</w:t>
            </w:r>
          </w:p>
        </w:tc>
        <w:tc>
          <w:tcPr>
            <w:tcW w:w="1190" w:type="dxa"/>
            <w:shd w:val="clear" w:color="auto" w:fill="auto"/>
            <w:noWrap/>
            <w:hideMark/>
          </w:tcPr>
          <w:p w14:paraId="4213FE76"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31/08/2015</w:t>
            </w:r>
          </w:p>
        </w:tc>
        <w:tc>
          <w:tcPr>
            <w:tcW w:w="851" w:type="dxa"/>
            <w:shd w:val="clear" w:color="auto" w:fill="auto"/>
            <w:noWrap/>
            <w:hideMark/>
          </w:tcPr>
          <w:p w14:paraId="4579BA00"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69E171F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17</w:t>
            </w:r>
          </w:p>
        </w:tc>
        <w:tc>
          <w:tcPr>
            <w:tcW w:w="5077" w:type="dxa"/>
            <w:shd w:val="clear" w:color="auto" w:fill="auto"/>
            <w:hideMark/>
          </w:tcPr>
          <w:p w14:paraId="08DE9E2D" w14:textId="77777777" w:rsidR="00EB519C" w:rsidRPr="00177691" w:rsidRDefault="00EB519C" w:rsidP="00985ADB">
            <w:pPr>
              <w:pStyle w:val="ListParagraph"/>
              <w:numPr>
                <w:ilvl w:val="0"/>
                <w:numId w:val="16"/>
              </w:numPr>
              <w:spacing w:before="60" w:after="60" w:line="240" w:lineRule="auto"/>
              <w:ind w:left="258" w:hanging="142"/>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Trade Name Not Specified (</w:t>
            </w:r>
            <w:r w:rsidRPr="00177691">
              <w:rPr>
                <w:rFonts w:asciiTheme="minorHAnsi" w:eastAsia="Times New Roman" w:hAnsiTheme="minorHAnsi" w:cstheme="minorHAnsi"/>
                <w:b/>
                <w:color w:val="000000"/>
                <w:sz w:val="18"/>
                <w:szCs w:val="18"/>
                <w:lang w:val="en-US"/>
              </w:rPr>
              <w:t>Fluvoxamine maleate</w:t>
            </w:r>
            <w:r w:rsidRPr="00177691">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5F66DEB7"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087AFF6E"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4EACF27B" w14:textId="77777777" w:rsidTr="00985ADB">
        <w:trPr>
          <w:cantSplit/>
          <w:trHeight w:val="1557"/>
        </w:trPr>
        <w:tc>
          <w:tcPr>
            <w:tcW w:w="815" w:type="dxa"/>
            <w:shd w:val="clear" w:color="auto" w:fill="auto"/>
            <w:hideMark/>
          </w:tcPr>
          <w:p w14:paraId="02221D61"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387403</w:t>
            </w:r>
          </w:p>
        </w:tc>
        <w:tc>
          <w:tcPr>
            <w:tcW w:w="1190" w:type="dxa"/>
            <w:shd w:val="clear" w:color="auto" w:fill="auto"/>
            <w:noWrap/>
            <w:hideMark/>
          </w:tcPr>
          <w:p w14:paraId="71CDCCE8"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4/05/2016</w:t>
            </w:r>
          </w:p>
        </w:tc>
        <w:tc>
          <w:tcPr>
            <w:tcW w:w="851" w:type="dxa"/>
            <w:shd w:val="clear" w:color="auto" w:fill="auto"/>
            <w:noWrap/>
            <w:hideMark/>
          </w:tcPr>
          <w:p w14:paraId="1B917BE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374A63B8"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15</w:t>
            </w:r>
          </w:p>
        </w:tc>
        <w:tc>
          <w:tcPr>
            <w:tcW w:w="5077" w:type="dxa"/>
            <w:shd w:val="clear" w:color="auto" w:fill="auto"/>
            <w:hideMark/>
          </w:tcPr>
          <w:p w14:paraId="766F6056" w14:textId="77777777" w:rsidR="0010591B"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Sertraline (</w:t>
            </w:r>
            <w:r w:rsidRPr="00474F66">
              <w:rPr>
                <w:rFonts w:asciiTheme="minorHAnsi" w:eastAsia="Times New Roman" w:hAnsiTheme="minorHAnsi" w:cstheme="minorHAnsi"/>
                <w:b/>
                <w:color w:val="000000"/>
                <w:sz w:val="18"/>
                <w:szCs w:val="18"/>
                <w:lang w:val="en-US"/>
              </w:rPr>
              <w:t>Sertraline hydrochloride</w:t>
            </w:r>
            <w:r w:rsidRPr="00474F66">
              <w:rPr>
                <w:rFonts w:asciiTheme="minorHAnsi" w:eastAsia="Times New Roman" w:hAnsiTheme="minorHAnsi" w:cstheme="minorHAnsi"/>
                <w:color w:val="000000"/>
                <w:sz w:val="18"/>
                <w:szCs w:val="18"/>
                <w:lang w:val="en-US"/>
              </w:rPr>
              <w:t>) - Suspect (45 days);</w:t>
            </w:r>
          </w:p>
          <w:p w14:paraId="202E1952" w14:textId="77777777" w:rsidR="0010591B"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Symbicort (</w:t>
            </w:r>
            <w:r w:rsidRPr="00474F66">
              <w:rPr>
                <w:rFonts w:asciiTheme="minorHAnsi" w:eastAsia="Times New Roman" w:hAnsiTheme="minorHAnsi" w:cstheme="minorHAnsi"/>
                <w:b/>
                <w:color w:val="000000"/>
                <w:sz w:val="18"/>
                <w:szCs w:val="18"/>
                <w:lang w:val="en-US"/>
              </w:rPr>
              <w:t>Budesonide ; formoterol (eformoterol) fumarate dihydrate</w:t>
            </w:r>
            <w:r w:rsidRPr="00474F66">
              <w:rPr>
                <w:rFonts w:asciiTheme="minorHAnsi" w:eastAsia="Times New Roman" w:hAnsiTheme="minorHAnsi" w:cstheme="minorHAnsi"/>
                <w:color w:val="000000"/>
                <w:sz w:val="18"/>
                <w:szCs w:val="18"/>
                <w:lang w:val="en-US"/>
              </w:rPr>
              <w:t>) - Concomitant;</w:t>
            </w:r>
          </w:p>
          <w:p w14:paraId="208FBC23" w14:textId="77777777" w:rsidR="0010591B"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Trade Name Not Specified (</w:t>
            </w:r>
            <w:r w:rsidRPr="00474F66">
              <w:rPr>
                <w:rFonts w:asciiTheme="minorHAnsi" w:eastAsia="Times New Roman" w:hAnsiTheme="minorHAnsi" w:cstheme="minorHAnsi"/>
                <w:b/>
                <w:color w:val="000000"/>
                <w:sz w:val="18"/>
                <w:szCs w:val="18"/>
                <w:lang w:val="en-US"/>
              </w:rPr>
              <w:t>Melatonin</w:t>
            </w:r>
            <w:r>
              <w:rPr>
                <w:rFonts w:asciiTheme="minorHAnsi" w:eastAsia="Times New Roman" w:hAnsiTheme="minorHAnsi" w:cstheme="minorHAnsi"/>
                <w:color w:val="000000"/>
                <w:sz w:val="18"/>
                <w:szCs w:val="18"/>
                <w:lang w:val="en-US"/>
              </w:rPr>
              <w:t>) - Concomitant</w:t>
            </w:r>
            <w:r w:rsidRPr="00474F66">
              <w:rPr>
                <w:rFonts w:asciiTheme="minorHAnsi" w:eastAsia="Times New Roman" w:hAnsiTheme="minorHAnsi" w:cstheme="minorHAnsi"/>
                <w:color w:val="000000"/>
                <w:sz w:val="18"/>
                <w:szCs w:val="18"/>
                <w:lang w:val="en-US"/>
              </w:rPr>
              <w:t>;</w:t>
            </w:r>
          </w:p>
          <w:p w14:paraId="05192397" w14:textId="238E2E37" w:rsidR="00EB519C" w:rsidRPr="00474F66"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Ventolin (</w:t>
            </w:r>
            <w:r w:rsidRPr="00474F66">
              <w:rPr>
                <w:rFonts w:asciiTheme="minorHAnsi" w:eastAsia="Times New Roman" w:hAnsiTheme="minorHAnsi" w:cstheme="minorHAnsi"/>
                <w:b/>
                <w:color w:val="000000"/>
                <w:sz w:val="18"/>
                <w:szCs w:val="18"/>
                <w:lang w:val="en-US"/>
              </w:rPr>
              <w:t>Salbutamol</w:t>
            </w:r>
            <w:r w:rsidRPr="00474F66">
              <w:rPr>
                <w:rFonts w:asciiTheme="minorHAnsi" w:eastAsia="Times New Roman" w:hAnsiTheme="minorHAnsi" w:cstheme="minorHAnsi"/>
                <w:color w:val="000000"/>
                <w:sz w:val="18"/>
                <w:szCs w:val="18"/>
                <w:lang w:val="en-US"/>
              </w:rPr>
              <w:t>) - Concomitant</w:t>
            </w:r>
          </w:p>
        </w:tc>
        <w:tc>
          <w:tcPr>
            <w:tcW w:w="4677" w:type="dxa"/>
            <w:shd w:val="clear" w:color="auto" w:fill="auto"/>
            <w:hideMark/>
          </w:tcPr>
          <w:p w14:paraId="30770124"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60739F2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3807C8DE" w14:textId="77777777" w:rsidTr="00985ADB">
        <w:trPr>
          <w:cantSplit/>
          <w:trHeight w:val="300"/>
        </w:trPr>
        <w:tc>
          <w:tcPr>
            <w:tcW w:w="815" w:type="dxa"/>
            <w:shd w:val="clear" w:color="auto" w:fill="auto"/>
            <w:hideMark/>
          </w:tcPr>
          <w:p w14:paraId="5BDF40AF"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390527</w:t>
            </w:r>
          </w:p>
        </w:tc>
        <w:tc>
          <w:tcPr>
            <w:tcW w:w="1190" w:type="dxa"/>
            <w:shd w:val="clear" w:color="auto" w:fill="auto"/>
            <w:noWrap/>
            <w:hideMark/>
          </w:tcPr>
          <w:p w14:paraId="1EC157E9"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22/06/2016</w:t>
            </w:r>
          </w:p>
        </w:tc>
        <w:tc>
          <w:tcPr>
            <w:tcW w:w="851" w:type="dxa"/>
            <w:shd w:val="clear" w:color="auto" w:fill="auto"/>
            <w:noWrap/>
            <w:hideMark/>
          </w:tcPr>
          <w:p w14:paraId="775F78E9"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24AE6840"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21</w:t>
            </w:r>
          </w:p>
        </w:tc>
        <w:tc>
          <w:tcPr>
            <w:tcW w:w="5077" w:type="dxa"/>
            <w:shd w:val="clear" w:color="auto" w:fill="auto"/>
            <w:hideMark/>
          </w:tcPr>
          <w:p w14:paraId="51E21E6A" w14:textId="77777777" w:rsidR="00EB519C" w:rsidRPr="00474F66"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Pristiq (</w:t>
            </w:r>
            <w:r w:rsidRPr="00474F66">
              <w:rPr>
                <w:rFonts w:asciiTheme="minorHAnsi" w:eastAsia="Times New Roman" w:hAnsiTheme="minorHAnsi" w:cstheme="minorHAnsi"/>
                <w:b/>
                <w:color w:val="000000"/>
                <w:sz w:val="18"/>
                <w:szCs w:val="18"/>
                <w:lang w:val="en-US"/>
              </w:rPr>
              <w:t>Desvenlafaxine</w:t>
            </w:r>
            <w:r w:rsidRPr="00474F66">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6AB5A711"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55D719D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60C85B94" w14:textId="77777777" w:rsidTr="00985ADB">
        <w:trPr>
          <w:cantSplit/>
          <w:trHeight w:val="2259"/>
        </w:trPr>
        <w:tc>
          <w:tcPr>
            <w:tcW w:w="815" w:type="dxa"/>
            <w:shd w:val="clear" w:color="auto" w:fill="auto"/>
            <w:hideMark/>
          </w:tcPr>
          <w:p w14:paraId="1DB1AC1D"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lastRenderedPageBreak/>
              <w:t>403490</w:t>
            </w:r>
          </w:p>
        </w:tc>
        <w:tc>
          <w:tcPr>
            <w:tcW w:w="1190" w:type="dxa"/>
            <w:shd w:val="clear" w:color="auto" w:fill="auto"/>
            <w:noWrap/>
            <w:hideMark/>
          </w:tcPr>
          <w:p w14:paraId="4424A89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10/02/2017</w:t>
            </w:r>
          </w:p>
        </w:tc>
        <w:tc>
          <w:tcPr>
            <w:tcW w:w="851" w:type="dxa"/>
            <w:shd w:val="clear" w:color="auto" w:fill="auto"/>
            <w:noWrap/>
            <w:hideMark/>
          </w:tcPr>
          <w:p w14:paraId="0E4B83DE"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020E83AA"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22</w:t>
            </w:r>
          </w:p>
        </w:tc>
        <w:tc>
          <w:tcPr>
            <w:tcW w:w="5077" w:type="dxa"/>
            <w:shd w:val="clear" w:color="auto" w:fill="auto"/>
            <w:hideMark/>
          </w:tcPr>
          <w:p w14:paraId="12759290" w14:textId="77777777" w:rsidR="0010591B"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Fluoxetine (</w:t>
            </w:r>
            <w:r w:rsidRPr="00474F66">
              <w:rPr>
                <w:rFonts w:asciiTheme="minorHAnsi" w:eastAsia="Times New Roman" w:hAnsiTheme="minorHAnsi" w:cstheme="minorHAnsi"/>
                <w:b/>
                <w:color w:val="000000"/>
                <w:sz w:val="18"/>
                <w:szCs w:val="18"/>
                <w:lang w:val="en-US"/>
              </w:rPr>
              <w:t>Fluoxetine hydrochloride</w:t>
            </w:r>
            <w:r>
              <w:rPr>
                <w:rFonts w:asciiTheme="minorHAnsi" w:eastAsia="Times New Roman" w:hAnsiTheme="minorHAnsi" w:cstheme="minorHAnsi"/>
                <w:color w:val="000000"/>
                <w:sz w:val="18"/>
                <w:szCs w:val="18"/>
                <w:lang w:val="en-US"/>
              </w:rPr>
              <w:t>) - Suspect</w:t>
            </w:r>
            <w:r w:rsidRPr="00474F66">
              <w:rPr>
                <w:rFonts w:asciiTheme="minorHAnsi" w:eastAsia="Times New Roman" w:hAnsiTheme="minorHAnsi" w:cstheme="minorHAnsi"/>
                <w:color w:val="000000"/>
                <w:sz w:val="18"/>
                <w:szCs w:val="18"/>
                <w:lang w:val="en-US"/>
              </w:rPr>
              <w:t>;</w:t>
            </w:r>
          </w:p>
          <w:p w14:paraId="48844A0F" w14:textId="77777777" w:rsidR="0010591B"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Paracetamol-Codeine Phosphate (</w:t>
            </w:r>
            <w:r w:rsidRPr="00474F66">
              <w:rPr>
                <w:rFonts w:asciiTheme="minorHAnsi" w:eastAsia="Times New Roman" w:hAnsiTheme="minorHAnsi" w:cstheme="minorHAnsi"/>
                <w:b/>
                <w:color w:val="000000"/>
                <w:sz w:val="18"/>
                <w:szCs w:val="18"/>
                <w:lang w:val="en-US"/>
              </w:rPr>
              <w:t>codeine phosphate hemihydrate ; Paracetamol</w:t>
            </w:r>
            <w:r>
              <w:rPr>
                <w:rFonts w:asciiTheme="minorHAnsi" w:eastAsia="Times New Roman" w:hAnsiTheme="minorHAnsi" w:cstheme="minorHAnsi"/>
                <w:color w:val="000000"/>
                <w:sz w:val="18"/>
                <w:szCs w:val="18"/>
                <w:lang w:val="en-US"/>
              </w:rPr>
              <w:t>) - Concomitant</w:t>
            </w:r>
            <w:r w:rsidRPr="00474F66">
              <w:rPr>
                <w:rFonts w:asciiTheme="minorHAnsi" w:eastAsia="Times New Roman" w:hAnsiTheme="minorHAnsi" w:cstheme="minorHAnsi"/>
                <w:color w:val="000000"/>
                <w:sz w:val="18"/>
                <w:szCs w:val="18"/>
                <w:lang w:val="en-US"/>
              </w:rPr>
              <w:t>;</w:t>
            </w:r>
          </w:p>
          <w:p w14:paraId="00119D4E" w14:textId="77777777" w:rsidR="0010591B"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Trade Name Not Speci</w:t>
            </w:r>
            <w:r>
              <w:rPr>
                <w:rFonts w:asciiTheme="minorHAnsi" w:eastAsia="Times New Roman" w:hAnsiTheme="minorHAnsi" w:cstheme="minorHAnsi"/>
                <w:color w:val="000000"/>
                <w:sz w:val="18"/>
                <w:szCs w:val="18"/>
                <w:lang w:val="en-US"/>
              </w:rPr>
              <w:t>fied (</w:t>
            </w:r>
            <w:r w:rsidRPr="00474F66">
              <w:rPr>
                <w:rFonts w:asciiTheme="minorHAnsi" w:eastAsia="Times New Roman" w:hAnsiTheme="minorHAnsi" w:cstheme="minorHAnsi"/>
                <w:b/>
                <w:color w:val="000000"/>
                <w:sz w:val="18"/>
                <w:szCs w:val="18"/>
                <w:lang w:val="en-US"/>
              </w:rPr>
              <w:t>Diazepam</w:t>
            </w:r>
            <w:r>
              <w:rPr>
                <w:rFonts w:asciiTheme="minorHAnsi" w:eastAsia="Times New Roman" w:hAnsiTheme="minorHAnsi" w:cstheme="minorHAnsi"/>
                <w:color w:val="000000"/>
                <w:sz w:val="18"/>
                <w:szCs w:val="18"/>
                <w:lang w:val="en-US"/>
              </w:rPr>
              <w:t>) - Concomitant</w:t>
            </w:r>
            <w:r w:rsidRPr="00474F66">
              <w:rPr>
                <w:rFonts w:asciiTheme="minorHAnsi" w:eastAsia="Times New Roman" w:hAnsiTheme="minorHAnsi" w:cstheme="minorHAnsi"/>
                <w:color w:val="000000"/>
                <w:sz w:val="18"/>
                <w:szCs w:val="18"/>
                <w:lang w:val="en-US"/>
              </w:rPr>
              <w:t>;</w:t>
            </w:r>
          </w:p>
          <w:p w14:paraId="2B1E9AA9" w14:textId="161A0A80" w:rsidR="00EB519C" w:rsidRPr="00474F66"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 xml:space="preserve">Trade Name Not Specified </w:t>
            </w:r>
            <w:r w:rsidRPr="00474F66">
              <w:rPr>
                <w:rFonts w:asciiTheme="minorHAnsi" w:eastAsia="Times New Roman" w:hAnsiTheme="minorHAnsi" w:cstheme="minorHAnsi"/>
                <w:b/>
                <w:color w:val="000000"/>
                <w:sz w:val="18"/>
                <w:szCs w:val="18"/>
                <w:lang w:val="en-US"/>
              </w:rPr>
              <w:t>(Quetiapine</w:t>
            </w:r>
            <w:r w:rsidRPr="00474F66">
              <w:rPr>
                <w:rFonts w:asciiTheme="minorHAnsi" w:eastAsia="Times New Roman" w:hAnsiTheme="minorHAnsi" w:cstheme="minorHAnsi"/>
                <w:color w:val="000000"/>
                <w:sz w:val="18"/>
                <w:szCs w:val="18"/>
                <w:lang w:val="en-US"/>
              </w:rPr>
              <w:t>) - Concomitant</w:t>
            </w:r>
          </w:p>
        </w:tc>
        <w:tc>
          <w:tcPr>
            <w:tcW w:w="4677" w:type="dxa"/>
            <w:shd w:val="clear" w:color="auto" w:fill="auto"/>
            <w:hideMark/>
          </w:tcPr>
          <w:p w14:paraId="502004C9"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7764601E"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177691" w14:paraId="2EECA9E4" w14:textId="77777777" w:rsidTr="00985ADB">
        <w:trPr>
          <w:cantSplit/>
          <w:trHeight w:val="557"/>
        </w:trPr>
        <w:tc>
          <w:tcPr>
            <w:tcW w:w="815" w:type="dxa"/>
            <w:shd w:val="clear" w:color="auto" w:fill="auto"/>
            <w:hideMark/>
          </w:tcPr>
          <w:p w14:paraId="016E2033"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403506</w:t>
            </w:r>
          </w:p>
        </w:tc>
        <w:tc>
          <w:tcPr>
            <w:tcW w:w="1190" w:type="dxa"/>
            <w:shd w:val="clear" w:color="auto" w:fill="auto"/>
            <w:noWrap/>
            <w:hideMark/>
          </w:tcPr>
          <w:p w14:paraId="78D5F96C"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10/02/2017</w:t>
            </w:r>
          </w:p>
        </w:tc>
        <w:tc>
          <w:tcPr>
            <w:tcW w:w="851" w:type="dxa"/>
            <w:shd w:val="clear" w:color="auto" w:fill="auto"/>
            <w:noWrap/>
            <w:hideMark/>
          </w:tcPr>
          <w:p w14:paraId="11565B6E"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Female</w:t>
            </w:r>
          </w:p>
        </w:tc>
        <w:tc>
          <w:tcPr>
            <w:tcW w:w="567" w:type="dxa"/>
            <w:shd w:val="clear" w:color="auto" w:fill="auto"/>
            <w:noWrap/>
            <w:hideMark/>
          </w:tcPr>
          <w:p w14:paraId="38FE47BB"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17</w:t>
            </w:r>
          </w:p>
        </w:tc>
        <w:tc>
          <w:tcPr>
            <w:tcW w:w="5077" w:type="dxa"/>
            <w:shd w:val="clear" w:color="auto" w:fill="auto"/>
            <w:hideMark/>
          </w:tcPr>
          <w:p w14:paraId="0E129054" w14:textId="77777777" w:rsidR="00EB519C" w:rsidRPr="00474F66"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Trade Name Not Specified (</w:t>
            </w:r>
            <w:r w:rsidRPr="00474F66">
              <w:rPr>
                <w:rFonts w:asciiTheme="minorHAnsi" w:eastAsia="Times New Roman" w:hAnsiTheme="minorHAnsi" w:cstheme="minorHAnsi"/>
                <w:b/>
                <w:color w:val="000000"/>
                <w:sz w:val="18"/>
                <w:szCs w:val="18"/>
                <w:lang w:val="en-US"/>
              </w:rPr>
              <w:t>Venlafaxine hydrochloride</w:t>
            </w:r>
            <w:r w:rsidRPr="00474F66">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79378D40"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 ; Neurotoxicity</w:t>
            </w:r>
          </w:p>
        </w:tc>
        <w:tc>
          <w:tcPr>
            <w:tcW w:w="852" w:type="dxa"/>
            <w:shd w:val="clear" w:color="auto" w:fill="auto"/>
            <w:noWrap/>
            <w:hideMark/>
          </w:tcPr>
          <w:p w14:paraId="6332CCEE"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3019D5" w14:paraId="52A4E51C" w14:textId="77777777" w:rsidTr="00985ADB">
        <w:trPr>
          <w:cantSplit/>
          <w:trHeight w:val="551"/>
        </w:trPr>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483E6B17" w14:textId="77777777" w:rsidR="00EB519C" w:rsidRPr="003019D5" w:rsidRDefault="00EB519C" w:rsidP="00985ADB">
            <w:pPr>
              <w:spacing w:before="60" w:after="60" w:line="240" w:lineRule="auto"/>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414707</w:t>
            </w:r>
          </w:p>
        </w:tc>
        <w:tc>
          <w:tcPr>
            <w:tcW w:w="1190" w:type="dxa"/>
            <w:tcBorders>
              <w:top w:val="single" w:sz="4" w:space="0" w:color="auto"/>
              <w:left w:val="single" w:sz="4" w:space="0" w:color="auto"/>
              <w:bottom w:val="single" w:sz="4" w:space="0" w:color="auto"/>
              <w:right w:val="single" w:sz="4" w:space="0" w:color="auto"/>
            </w:tcBorders>
            <w:shd w:val="clear" w:color="auto" w:fill="auto"/>
            <w:noWrap/>
            <w:hideMark/>
          </w:tcPr>
          <w:p w14:paraId="1D9F3457"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24/07/2017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89C5C64"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31913368"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14</w:t>
            </w:r>
          </w:p>
        </w:tc>
        <w:tc>
          <w:tcPr>
            <w:tcW w:w="5077" w:type="dxa"/>
            <w:tcBorders>
              <w:top w:val="single" w:sz="4" w:space="0" w:color="auto"/>
              <w:left w:val="single" w:sz="4" w:space="0" w:color="auto"/>
              <w:bottom w:val="single" w:sz="4" w:space="0" w:color="auto"/>
              <w:right w:val="single" w:sz="4" w:space="0" w:color="auto"/>
            </w:tcBorders>
            <w:shd w:val="clear" w:color="auto" w:fill="auto"/>
            <w:hideMark/>
          </w:tcPr>
          <w:p w14:paraId="2A6DF6C6" w14:textId="77777777" w:rsidR="00EB519C" w:rsidRPr="003019D5" w:rsidRDefault="00EB519C" w:rsidP="00985ADB">
            <w:pPr>
              <w:pStyle w:val="ListParagraph"/>
              <w:numPr>
                <w:ilvl w:val="0"/>
                <w:numId w:val="27"/>
              </w:numPr>
              <w:spacing w:before="60" w:after="60"/>
              <w:ind w:left="258" w:hanging="142"/>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 xml:space="preserve">Endep </w:t>
            </w:r>
            <w:r w:rsidRPr="003019D5">
              <w:rPr>
                <w:rFonts w:asciiTheme="minorHAnsi" w:eastAsia="Times New Roman" w:hAnsiTheme="minorHAnsi" w:cstheme="minorHAnsi"/>
                <w:b/>
                <w:color w:val="000000"/>
                <w:sz w:val="18"/>
                <w:szCs w:val="18"/>
                <w:lang w:val="en-US"/>
              </w:rPr>
              <w:t>(amitriptyline hydrochloride)</w:t>
            </w:r>
            <w:r>
              <w:rPr>
                <w:rFonts w:asciiTheme="minorHAnsi" w:eastAsia="Times New Roman" w:hAnsiTheme="minorHAnsi" w:cstheme="minorHAnsi"/>
                <w:color w:val="000000"/>
                <w:sz w:val="18"/>
                <w:szCs w:val="18"/>
                <w:lang w:val="en-US"/>
              </w:rPr>
              <w:t xml:space="preserve"> - Suspect</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57A0C32C" w14:textId="77777777" w:rsidR="00EB519C" w:rsidRPr="003019D5" w:rsidRDefault="00EB519C" w:rsidP="00985ADB">
            <w:pPr>
              <w:spacing w:before="60" w:after="60" w:line="240" w:lineRule="auto"/>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Completed suicide ; Overdose</w:t>
            </w:r>
          </w:p>
        </w:tc>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14:paraId="4D6C667F"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Yes</w:t>
            </w:r>
          </w:p>
        </w:tc>
      </w:tr>
      <w:tr w:rsidR="00EB519C" w:rsidRPr="00177691" w14:paraId="049A8EB6" w14:textId="77777777" w:rsidTr="00985ADB">
        <w:trPr>
          <w:cantSplit/>
          <w:trHeight w:val="551"/>
        </w:trPr>
        <w:tc>
          <w:tcPr>
            <w:tcW w:w="815" w:type="dxa"/>
            <w:shd w:val="clear" w:color="auto" w:fill="auto"/>
            <w:hideMark/>
          </w:tcPr>
          <w:p w14:paraId="1AF64E3F"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421896</w:t>
            </w:r>
          </w:p>
        </w:tc>
        <w:tc>
          <w:tcPr>
            <w:tcW w:w="1190" w:type="dxa"/>
            <w:shd w:val="clear" w:color="auto" w:fill="auto"/>
            <w:noWrap/>
            <w:hideMark/>
          </w:tcPr>
          <w:p w14:paraId="76249004"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14/11/2017</w:t>
            </w:r>
          </w:p>
        </w:tc>
        <w:tc>
          <w:tcPr>
            <w:tcW w:w="851" w:type="dxa"/>
            <w:shd w:val="clear" w:color="auto" w:fill="auto"/>
            <w:noWrap/>
            <w:hideMark/>
          </w:tcPr>
          <w:p w14:paraId="144CB1F7"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Male</w:t>
            </w:r>
          </w:p>
        </w:tc>
        <w:tc>
          <w:tcPr>
            <w:tcW w:w="567" w:type="dxa"/>
            <w:shd w:val="clear" w:color="auto" w:fill="auto"/>
            <w:noWrap/>
            <w:hideMark/>
          </w:tcPr>
          <w:p w14:paraId="5D540B06"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16</w:t>
            </w:r>
          </w:p>
        </w:tc>
        <w:tc>
          <w:tcPr>
            <w:tcW w:w="5077" w:type="dxa"/>
            <w:shd w:val="clear" w:color="auto" w:fill="auto"/>
            <w:hideMark/>
          </w:tcPr>
          <w:p w14:paraId="44828D35" w14:textId="77777777" w:rsidR="0010591B"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Fish Oil (</w:t>
            </w:r>
            <w:r w:rsidRPr="00474F66">
              <w:rPr>
                <w:rFonts w:asciiTheme="minorHAnsi" w:eastAsia="Times New Roman" w:hAnsiTheme="minorHAnsi" w:cstheme="minorHAnsi"/>
                <w:b/>
                <w:color w:val="000000"/>
                <w:sz w:val="18"/>
                <w:szCs w:val="18"/>
                <w:lang w:val="en-US"/>
              </w:rPr>
              <w:t>natural fish oil</w:t>
            </w:r>
            <w:r w:rsidRPr="00474F66">
              <w:rPr>
                <w:rFonts w:asciiTheme="minorHAnsi" w:eastAsia="Times New Roman" w:hAnsiTheme="minorHAnsi" w:cstheme="minorHAnsi"/>
                <w:color w:val="000000"/>
                <w:sz w:val="18"/>
                <w:szCs w:val="18"/>
                <w:lang w:val="en-US"/>
              </w:rPr>
              <w:t>) - Concomitant;</w:t>
            </w:r>
          </w:p>
          <w:p w14:paraId="03799F8B" w14:textId="3ECC73C8" w:rsidR="00EB519C" w:rsidRPr="00474F66" w:rsidRDefault="00EB519C" w:rsidP="00985ADB">
            <w:pPr>
              <w:pStyle w:val="ListParagraph"/>
              <w:numPr>
                <w:ilvl w:val="0"/>
                <w:numId w:val="17"/>
              </w:numPr>
              <w:spacing w:before="60" w:after="60" w:line="240" w:lineRule="auto"/>
              <w:ind w:left="258" w:hanging="142"/>
              <w:rPr>
                <w:rFonts w:asciiTheme="minorHAnsi" w:eastAsia="Times New Roman" w:hAnsiTheme="minorHAnsi" w:cstheme="minorHAnsi"/>
                <w:color w:val="000000"/>
                <w:sz w:val="18"/>
                <w:szCs w:val="18"/>
                <w:lang w:val="en-US"/>
              </w:rPr>
            </w:pPr>
            <w:r w:rsidRPr="00474F66">
              <w:rPr>
                <w:rFonts w:asciiTheme="minorHAnsi" w:eastAsia="Times New Roman" w:hAnsiTheme="minorHAnsi" w:cstheme="minorHAnsi"/>
                <w:color w:val="000000"/>
                <w:sz w:val="18"/>
                <w:szCs w:val="18"/>
                <w:lang w:val="en-US"/>
              </w:rPr>
              <w:t>Lovan (</w:t>
            </w:r>
            <w:r w:rsidRPr="00474F66">
              <w:rPr>
                <w:rFonts w:asciiTheme="minorHAnsi" w:eastAsia="Times New Roman" w:hAnsiTheme="minorHAnsi" w:cstheme="minorHAnsi"/>
                <w:b/>
                <w:color w:val="000000"/>
                <w:sz w:val="18"/>
                <w:szCs w:val="18"/>
                <w:lang w:val="en-US"/>
              </w:rPr>
              <w:t>Fluoxetine hydrochloride</w:t>
            </w:r>
            <w:r w:rsidRPr="00474F66">
              <w:rPr>
                <w:rFonts w:asciiTheme="minorHAnsi" w:eastAsia="Times New Roman" w:hAnsiTheme="minorHAnsi" w:cstheme="minorHAnsi"/>
                <w:color w:val="000000"/>
                <w:sz w:val="18"/>
                <w:szCs w:val="18"/>
                <w:lang w:val="en-US"/>
              </w:rPr>
              <w:t>) - Suspect</w:t>
            </w:r>
          </w:p>
        </w:tc>
        <w:tc>
          <w:tcPr>
            <w:tcW w:w="4677" w:type="dxa"/>
            <w:shd w:val="clear" w:color="auto" w:fill="auto"/>
            <w:hideMark/>
          </w:tcPr>
          <w:p w14:paraId="6BEA3B16" w14:textId="77777777" w:rsidR="00EB519C" w:rsidRPr="00177691" w:rsidRDefault="00EB519C" w:rsidP="00985ADB">
            <w:pPr>
              <w:spacing w:before="60" w:after="60" w:line="240" w:lineRule="auto"/>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Completed suicide</w:t>
            </w:r>
          </w:p>
        </w:tc>
        <w:tc>
          <w:tcPr>
            <w:tcW w:w="852" w:type="dxa"/>
            <w:shd w:val="clear" w:color="auto" w:fill="auto"/>
            <w:noWrap/>
            <w:hideMark/>
          </w:tcPr>
          <w:p w14:paraId="13E99F8D" w14:textId="77777777" w:rsidR="00EB519C" w:rsidRPr="00177691"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177691">
              <w:rPr>
                <w:rFonts w:asciiTheme="minorHAnsi" w:eastAsia="Times New Roman" w:hAnsiTheme="minorHAnsi" w:cstheme="minorHAnsi"/>
                <w:color w:val="000000"/>
                <w:sz w:val="18"/>
                <w:szCs w:val="18"/>
                <w:lang w:val="en-US"/>
              </w:rPr>
              <w:t>Yes</w:t>
            </w:r>
          </w:p>
        </w:tc>
      </w:tr>
      <w:tr w:rsidR="00EB519C" w:rsidRPr="003019D5" w14:paraId="3E33BB26" w14:textId="77777777" w:rsidTr="00985ADB">
        <w:trPr>
          <w:cantSplit/>
          <w:trHeight w:val="551"/>
        </w:trPr>
        <w:tc>
          <w:tcPr>
            <w:tcW w:w="815" w:type="dxa"/>
            <w:tcBorders>
              <w:top w:val="single" w:sz="4" w:space="0" w:color="auto"/>
              <w:left w:val="single" w:sz="4" w:space="0" w:color="auto"/>
              <w:bottom w:val="single" w:sz="4" w:space="0" w:color="auto"/>
              <w:right w:val="single" w:sz="4" w:space="0" w:color="auto"/>
            </w:tcBorders>
            <w:shd w:val="clear" w:color="auto" w:fill="auto"/>
            <w:hideMark/>
          </w:tcPr>
          <w:p w14:paraId="38618F38" w14:textId="77777777" w:rsidR="00EB519C" w:rsidRPr="003019D5" w:rsidRDefault="00EB519C" w:rsidP="00985ADB">
            <w:pPr>
              <w:spacing w:before="60" w:after="60" w:line="240" w:lineRule="auto"/>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432995</w:t>
            </w:r>
          </w:p>
        </w:tc>
        <w:tc>
          <w:tcPr>
            <w:tcW w:w="1190" w:type="dxa"/>
            <w:tcBorders>
              <w:top w:val="single" w:sz="4" w:space="0" w:color="auto"/>
              <w:left w:val="single" w:sz="4" w:space="0" w:color="auto"/>
              <w:bottom w:val="single" w:sz="4" w:space="0" w:color="auto"/>
              <w:right w:val="single" w:sz="4" w:space="0" w:color="auto"/>
            </w:tcBorders>
            <w:shd w:val="clear" w:color="auto" w:fill="auto"/>
            <w:noWrap/>
            <w:hideMark/>
          </w:tcPr>
          <w:p w14:paraId="11C02C8A"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10/05/2018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69C7CF2"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C723630"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24</w:t>
            </w:r>
          </w:p>
        </w:tc>
        <w:tc>
          <w:tcPr>
            <w:tcW w:w="5077" w:type="dxa"/>
            <w:tcBorders>
              <w:top w:val="single" w:sz="4" w:space="0" w:color="auto"/>
              <w:left w:val="single" w:sz="4" w:space="0" w:color="auto"/>
              <w:bottom w:val="single" w:sz="4" w:space="0" w:color="auto"/>
              <w:right w:val="single" w:sz="4" w:space="0" w:color="auto"/>
            </w:tcBorders>
            <w:shd w:val="clear" w:color="auto" w:fill="auto"/>
            <w:hideMark/>
          </w:tcPr>
          <w:p w14:paraId="4495CD51" w14:textId="77777777" w:rsidR="00EB519C" w:rsidRDefault="00EB519C" w:rsidP="00985ADB">
            <w:pPr>
              <w:pStyle w:val="ListParagraph"/>
              <w:numPr>
                <w:ilvl w:val="0"/>
                <w:numId w:val="27"/>
              </w:numPr>
              <w:spacing w:before="60" w:after="60"/>
              <w:ind w:left="258" w:hanging="142"/>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 xml:space="preserve">Trade Name Not Specified </w:t>
            </w:r>
            <w:r w:rsidRPr="003019D5">
              <w:rPr>
                <w:rFonts w:asciiTheme="minorHAnsi" w:eastAsia="Times New Roman" w:hAnsiTheme="minorHAnsi" w:cstheme="minorHAnsi"/>
                <w:b/>
                <w:color w:val="000000"/>
                <w:sz w:val="18"/>
                <w:szCs w:val="18"/>
                <w:lang w:val="en-US"/>
              </w:rPr>
              <w:t>(Amitriptyline)</w:t>
            </w:r>
            <w:r w:rsidRPr="003019D5">
              <w:rPr>
                <w:rFonts w:asciiTheme="minorHAnsi" w:eastAsia="Times New Roman" w:hAnsiTheme="minorHAnsi" w:cstheme="minorHAnsi"/>
                <w:color w:val="000000"/>
                <w:sz w:val="18"/>
                <w:szCs w:val="18"/>
                <w:lang w:val="en-US"/>
              </w:rPr>
              <w:t xml:space="preserve"> </w:t>
            </w:r>
            <w:r>
              <w:rPr>
                <w:rFonts w:asciiTheme="minorHAnsi" w:eastAsia="Times New Roman" w:hAnsiTheme="minorHAnsi" w:cstheme="minorHAnsi"/>
                <w:color w:val="000000"/>
                <w:sz w:val="18"/>
                <w:szCs w:val="18"/>
                <w:lang w:val="en-US"/>
              </w:rPr>
              <w:t>–</w:t>
            </w:r>
            <w:r w:rsidRPr="003019D5">
              <w:rPr>
                <w:rFonts w:asciiTheme="minorHAnsi" w:eastAsia="Times New Roman" w:hAnsiTheme="minorHAnsi" w:cstheme="minorHAnsi"/>
                <w:color w:val="000000"/>
                <w:sz w:val="18"/>
                <w:szCs w:val="18"/>
                <w:lang w:val="en-US"/>
              </w:rPr>
              <w:t xml:space="preserve"> Suspect</w:t>
            </w:r>
          </w:p>
          <w:p w14:paraId="41F27C42" w14:textId="77777777" w:rsidR="00EB519C" w:rsidRPr="003019D5" w:rsidRDefault="00EB519C" w:rsidP="00985ADB">
            <w:pPr>
              <w:pStyle w:val="ListParagraph"/>
              <w:numPr>
                <w:ilvl w:val="0"/>
                <w:numId w:val="27"/>
              </w:numPr>
              <w:spacing w:before="60" w:after="60"/>
              <w:ind w:left="258" w:hanging="142"/>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 xml:space="preserve">Trade Name Not Specified </w:t>
            </w:r>
            <w:r w:rsidRPr="003019D5">
              <w:rPr>
                <w:rFonts w:asciiTheme="minorHAnsi" w:eastAsia="Times New Roman" w:hAnsiTheme="minorHAnsi" w:cstheme="minorHAnsi"/>
                <w:b/>
                <w:color w:val="000000"/>
                <w:sz w:val="18"/>
                <w:szCs w:val="18"/>
                <w:lang w:val="en-US"/>
              </w:rPr>
              <w:t>(Diazepam)</w:t>
            </w:r>
            <w:r>
              <w:rPr>
                <w:rFonts w:asciiTheme="minorHAnsi" w:eastAsia="Times New Roman" w:hAnsiTheme="minorHAnsi" w:cstheme="minorHAnsi"/>
                <w:color w:val="000000"/>
                <w:sz w:val="18"/>
                <w:szCs w:val="18"/>
                <w:lang w:val="en-US"/>
              </w:rPr>
              <w:t xml:space="preserve"> - Suspect</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0E95D608" w14:textId="77777777" w:rsidR="00EB519C" w:rsidRPr="003019D5" w:rsidRDefault="00EB519C" w:rsidP="00985ADB">
            <w:pPr>
              <w:spacing w:before="60" w:after="60" w:line="240" w:lineRule="auto"/>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Completed suicide ; Toxicity to various agents</w:t>
            </w:r>
          </w:p>
        </w:tc>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14:paraId="2540B385" w14:textId="77777777" w:rsidR="00EB519C" w:rsidRPr="003019D5" w:rsidRDefault="00EB519C" w:rsidP="00985ADB">
            <w:pPr>
              <w:spacing w:before="60" w:after="60" w:line="240" w:lineRule="auto"/>
              <w:jc w:val="center"/>
              <w:rPr>
                <w:rFonts w:asciiTheme="minorHAnsi" w:eastAsia="Times New Roman" w:hAnsiTheme="minorHAnsi" w:cstheme="minorHAnsi"/>
                <w:color w:val="000000"/>
                <w:sz w:val="18"/>
                <w:szCs w:val="18"/>
                <w:lang w:val="en-US"/>
              </w:rPr>
            </w:pPr>
            <w:r w:rsidRPr="003019D5">
              <w:rPr>
                <w:rFonts w:asciiTheme="minorHAnsi" w:eastAsia="Times New Roman" w:hAnsiTheme="minorHAnsi" w:cstheme="minorHAnsi"/>
                <w:color w:val="000000"/>
                <w:sz w:val="18"/>
                <w:szCs w:val="18"/>
                <w:lang w:val="en-US"/>
              </w:rPr>
              <w:t>No</w:t>
            </w:r>
          </w:p>
        </w:tc>
      </w:tr>
    </w:tbl>
    <w:p w14:paraId="6FB1EAB8" w14:textId="77777777" w:rsidR="00DA0D70" w:rsidRDefault="00DA0D70" w:rsidP="008E3FF2">
      <w:pPr>
        <w:sectPr w:rsidR="00DA0D70" w:rsidSect="00960560">
          <w:footerReference w:type="default" r:id="rId72"/>
          <w:pgSz w:w="16838" w:h="11906" w:orient="landscape" w:code="9"/>
          <w:pgMar w:top="1418" w:right="1134" w:bottom="1418" w:left="1361" w:header="573" w:footer="567" w:gutter="0"/>
          <w:cols w:space="708"/>
          <w:docGrid w:linePitch="360"/>
        </w:sectPr>
      </w:pPr>
    </w:p>
    <w:p w14:paraId="4A42A2E4" w14:textId="795E5A5C" w:rsidR="00DD1307" w:rsidRPr="00DD1307" w:rsidRDefault="00DD1307" w:rsidP="00DD1307">
      <w:pPr>
        <w:pStyle w:val="Heading3"/>
      </w:pPr>
      <w:bookmarkStart w:id="84" w:name="_Toc57132549"/>
      <w:bookmarkStart w:id="85" w:name="_Toc70418966"/>
      <w:r w:rsidRPr="00DD1307">
        <w:lastRenderedPageBreak/>
        <w:t>Appendix 4 – Number of antidepressant patients and distribution for drug classes, under age 25 years, Australia 2013-2019</w:t>
      </w:r>
      <w:bookmarkEnd w:id="84"/>
      <w:bookmarkEnd w:id="85"/>
    </w:p>
    <w:tbl>
      <w:tblPr>
        <w:tblW w:w="7371" w:type="dxa"/>
        <w:tblLook w:val="04A0" w:firstRow="1" w:lastRow="0" w:firstColumn="1" w:lastColumn="0" w:noHBand="0" w:noVBand="1"/>
      </w:tblPr>
      <w:tblGrid>
        <w:gridCol w:w="1060"/>
        <w:gridCol w:w="1300"/>
        <w:gridCol w:w="1012"/>
        <w:gridCol w:w="998"/>
        <w:gridCol w:w="1017"/>
        <w:gridCol w:w="992"/>
        <w:gridCol w:w="992"/>
      </w:tblGrid>
      <w:tr w:rsidR="00DD1307" w:rsidRPr="00A37CBC" w14:paraId="4497F66A" w14:textId="77777777" w:rsidTr="00AE3AB9">
        <w:trPr>
          <w:trHeight w:val="300"/>
        </w:trPr>
        <w:tc>
          <w:tcPr>
            <w:tcW w:w="1060" w:type="dxa"/>
            <w:vMerge w:val="restart"/>
            <w:tcBorders>
              <w:top w:val="single" w:sz="4" w:space="0" w:color="auto"/>
              <w:left w:val="nil"/>
              <w:bottom w:val="single" w:sz="4" w:space="0" w:color="000000"/>
              <w:right w:val="nil"/>
            </w:tcBorders>
            <w:shd w:val="clear" w:color="auto" w:fill="006DA7"/>
            <w:vAlign w:val="bottom"/>
            <w:hideMark/>
          </w:tcPr>
          <w:p w14:paraId="796FE243" w14:textId="77777777" w:rsidR="00DD1307" w:rsidRPr="00AE3AB9" w:rsidRDefault="00DD1307" w:rsidP="00A61F03">
            <w:pPr>
              <w:spacing w:before="0" w:after="0" w:line="240" w:lineRule="auto"/>
              <w:rPr>
                <w:rFonts w:ascii="Calibri" w:eastAsia="Times New Roman" w:hAnsi="Calibri" w:cs="Calibri"/>
                <w:b/>
                <w:color w:val="FFFFFF" w:themeColor="background1"/>
                <w:szCs w:val="22"/>
                <w:lang w:eastAsia="en-AU"/>
              </w:rPr>
            </w:pPr>
            <w:r w:rsidRPr="00AE3AB9">
              <w:rPr>
                <w:rFonts w:ascii="Calibri" w:eastAsia="Times New Roman" w:hAnsi="Calibri" w:cs="Calibri"/>
                <w:b/>
                <w:color w:val="FFFFFF" w:themeColor="background1"/>
                <w:szCs w:val="22"/>
                <w:lang w:eastAsia="en-AU"/>
              </w:rPr>
              <w:t>Calendar year</w:t>
            </w:r>
          </w:p>
        </w:tc>
        <w:tc>
          <w:tcPr>
            <w:tcW w:w="1300" w:type="dxa"/>
            <w:vMerge w:val="restart"/>
            <w:tcBorders>
              <w:top w:val="single" w:sz="4" w:space="0" w:color="auto"/>
              <w:left w:val="nil"/>
              <w:bottom w:val="single" w:sz="4" w:space="0" w:color="000000"/>
              <w:right w:val="nil"/>
            </w:tcBorders>
            <w:shd w:val="clear" w:color="auto" w:fill="006DA7"/>
            <w:vAlign w:val="bottom"/>
            <w:hideMark/>
          </w:tcPr>
          <w:p w14:paraId="54481196" w14:textId="77777777" w:rsidR="00DD1307" w:rsidRPr="00AE3AB9" w:rsidRDefault="00DD1307" w:rsidP="00A61F03">
            <w:pPr>
              <w:spacing w:before="0" w:after="0" w:line="240" w:lineRule="auto"/>
              <w:jc w:val="right"/>
              <w:rPr>
                <w:rFonts w:ascii="Calibri" w:eastAsia="Times New Roman" w:hAnsi="Calibri" w:cs="Calibri"/>
                <w:b/>
                <w:color w:val="FFFFFF" w:themeColor="background1"/>
                <w:szCs w:val="22"/>
                <w:lang w:eastAsia="en-AU"/>
              </w:rPr>
            </w:pPr>
            <w:r w:rsidRPr="00AE3AB9">
              <w:rPr>
                <w:rFonts w:ascii="Calibri" w:eastAsia="Times New Roman" w:hAnsi="Calibri" w:cs="Calibri"/>
                <w:b/>
                <w:color w:val="FFFFFF" w:themeColor="background1"/>
                <w:szCs w:val="22"/>
                <w:lang w:eastAsia="en-AU"/>
              </w:rPr>
              <w:t>Total patients (N)</w:t>
            </w:r>
          </w:p>
        </w:tc>
        <w:tc>
          <w:tcPr>
            <w:tcW w:w="5011" w:type="dxa"/>
            <w:gridSpan w:val="5"/>
            <w:tcBorders>
              <w:top w:val="single" w:sz="4" w:space="0" w:color="auto"/>
              <w:left w:val="nil"/>
              <w:bottom w:val="nil"/>
              <w:right w:val="nil"/>
            </w:tcBorders>
            <w:shd w:val="clear" w:color="auto" w:fill="006DA7"/>
            <w:noWrap/>
            <w:vAlign w:val="bottom"/>
            <w:hideMark/>
          </w:tcPr>
          <w:p w14:paraId="6BD77B09" w14:textId="77777777" w:rsidR="00DD1307" w:rsidRPr="00AE3AB9" w:rsidRDefault="00DD1307" w:rsidP="00A61F03">
            <w:pPr>
              <w:spacing w:before="0" w:after="0" w:line="240" w:lineRule="auto"/>
              <w:jc w:val="center"/>
              <w:rPr>
                <w:rFonts w:ascii="Calibri" w:eastAsia="Times New Roman" w:hAnsi="Calibri" w:cs="Calibri"/>
                <w:b/>
                <w:color w:val="FFFFFF" w:themeColor="background1"/>
                <w:szCs w:val="22"/>
                <w:lang w:eastAsia="en-AU"/>
              </w:rPr>
            </w:pPr>
            <w:r w:rsidRPr="00AE3AB9">
              <w:rPr>
                <w:rFonts w:ascii="Calibri" w:eastAsia="Times New Roman" w:hAnsi="Calibri" w:cs="Calibri"/>
                <w:b/>
                <w:color w:val="FFFFFF" w:themeColor="background1"/>
                <w:szCs w:val="22"/>
                <w:lang w:eastAsia="en-AU"/>
              </w:rPr>
              <w:t>Proportions for drug classes (4th-level ATC codes)</w:t>
            </w:r>
          </w:p>
        </w:tc>
      </w:tr>
      <w:tr w:rsidR="00DD1307" w:rsidRPr="00A37CBC" w14:paraId="188A3518" w14:textId="77777777" w:rsidTr="00AE3AB9">
        <w:trPr>
          <w:trHeight w:val="645"/>
        </w:trPr>
        <w:tc>
          <w:tcPr>
            <w:tcW w:w="1060" w:type="dxa"/>
            <w:vMerge/>
            <w:tcBorders>
              <w:top w:val="nil"/>
              <w:left w:val="nil"/>
              <w:bottom w:val="single" w:sz="4" w:space="0" w:color="000000"/>
              <w:right w:val="nil"/>
            </w:tcBorders>
            <w:shd w:val="clear" w:color="auto" w:fill="006DA7"/>
            <w:vAlign w:val="center"/>
            <w:hideMark/>
          </w:tcPr>
          <w:p w14:paraId="14D51AF3" w14:textId="77777777" w:rsidR="00DD1307" w:rsidRPr="00AE3AB9" w:rsidRDefault="00DD1307" w:rsidP="00A61F03">
            <w:pPr>
              <w:spacing w:before="0" w:after="0" w:line="240" w:lineRule="auto"/>
              <w:rPr>
                <w:rFonts w:ascii="Calibri" w:eastAsia="Times New Roman" w:hAnsi="Calibri" w:cs="Calibri"/>
                <w:b/>
                <w:color w:val="FFFFFF" w:themeColor="background1"/>
                <w:szCs w:val="22"/>
                <w:lang w:eastAsia="en-AU"/>
              </w:rPr>
            </w:pPr>
          </w:p>
        </w:tc>
        <w:tc>
          <w:tcPr>
            <w:tcW w:w="1300" w:type="dxa"/>
            <w:vMerge/>
            <w:tcBorders>
              <w:top w:val="nil"/>
              <w:left w:val="nil"/>
              <w:bottom w:val="single" w:sz="4" w:space="0" w:color="000000"/>
              <w:right w:val="nil"/>
            </w:tcBorders>
            <w:shd w:val="clear" w:color="auto" w:fill="006DA7"/>
            <w:vAlign w:val="center"/>
            <w:hideMark/>
          </w:tcPr>
          <w:p w14:paraId="4E7798F8" w14:textId="77777777" w:rsidR="00DD1307" w:rsidRPr="00AE3AB9" w:rsidRDefault="00DD1307" w:rsidP="00A61F03">
            <w:pPr>
              <w:spacing w:before="0" w:after="0" w:line="240" w:lineRule="auto"/>
              <w:rPr>
                <w:rFonts w:ascii="Calibri" w:eastAsia="Times New Roman" w:hAnsi="Calibri" w:cs="Calibri"/>
                <w:b/>
                <w:color w:val="FFFFFF" w:themeColor="background1"/>
                <w:szCs w:val="22"/>
                <w:lang w:eastAsia="en-AU"/>
              </w:rPr>
            </w:pPr>
          </w:p>
        </w:tc>
        <w:tc>
          <w:tcPr>
            <w:tcW w:w="1012" w:type="dxa"/>
            <w:tcBorders>
              <w:top w:val="nil"/>
              <w:left w:val="nil"/>
              <w:bottom w:val="single" w:sz="4" w:space="0" w:color="auto"/>
              <w:right w:val="nil"/>
            </w:tcBorders>
            <w:shd w:val="clear" w:color="auto" w:fill="006DA7"/>
            <w:noWrap/>
            <w:vAlign w:val="bottom"/>
            <w:hideMark/>
          </w:tcPr>
          <w:p w14:paraId="5D3440E0" w14:textId="77777777" w:rsidR="00DD1307" w:rsidRPr="00AE3AB9" w:rsidRDefault="00DD1307" w:rsidP="00A61F03">
            <w:pPr>
              <w:spacing w:before="0" w:after="0" w:line="240" w:lineRule="auto"/>
              <w:jc w:val="right"/>
              <w:rPr>
                <w:rFonts w:ascii="Calibri" w:eastAsia="Times New Roman" w:hAnsi="Calibri" w:cs="Calibri"/>
                <w:b/>
                <w:color w:val="FFFFFF" w:themeColor="background1"/>
                <w:szCs w:val="22"/>
                <w:lang w:eastAsia="en-AU"/>
              </w:rPr>
            </w:pPr>
            <w:r w:rsidRPr="00AE3AB9">
              <w:rPr>
                <w:rFonts w:ascii="Calibri" w:eastAsia="Times New Roman" w:hAnsi="Calibri" w:cs="Calibri"/>
                <w:b/>
                <w:color w:val="FFFFFF" w:themeColor="background1"/>
                <w:szCs w:val="22"/>
                <w:lang w:eastAsia="en-AU"/>
              </w:rPr>
              <w:t>N06AA</w:t>
            </w:r>
          </w:p>
        </w:tc>
        <w:tc>
          <w:tcPr>
            <w:tcW w:w="998" w:type="dxa"/>
            <w:tcBorders>
              <w:top w:val="nil"/>
              <w:left w:val="nil"/>
              <w:bottom w:val="single" w:sz="4" w:space="0" w:color="auto"/>
              <w:right w:val="nil"/>
            </w:tcBorders>
            <w:shd w:val="clear" w:color="auto" w:fill="006DA7"/>
            <w:noWrap/>
            <w:vAlign w:val="bottom"/>
            <w:hideMark/>
          </w:tcPr>
          <w:p w14:paraId="38A9C8F6" w14:textId="77777777" w:rsidR="00DD1307" w:rsidRPr="00AE3AB9" w:rsidRDefault="00DD1307" w:rsidP="00A61F03">
            <w:pPr>
              <w:spacing w:before="0" w:after="0" w:line="240" w:lineRule="auto"/>
              <w:jc w:val="right"/>
              <w:rPr>
                <w:rFonts w:ascii="Calibri" w:eastAsia="Times New Roman" w:hAnsi="Calibri" w:cs="Calibri"/>
                <w:b/>
                <w:color w:val="FFFFFF" w:themeColor="background1"/>
                <w:szCs w:val="22"/>
                <w:lang w:eastAsia="en-AU"/>
              </w:rPr>
            </w:pPr>
            <w:r w:rsidRPr="00AE3AB9">
              <w:rPr>
                <w:rFonts w:ascii="Calibri" w:eastAsia="Times New Roman" w:hAnsi="Calibri" w:cs="Calibri"/>
                <w:b/>
                <w:color w:val="FFFFFF" w:themeColor="background1"/>
                <w:szCs w:val="22"/>
                <w:lang w:eastAsia="en-AU"/>
              </w:rPr>
              <w:t>N06AB</w:t>
            </w:r>
          </w:p>
        </w:tc>
        <w:tc>
          <w:tcPr>
            <w:tcW w:w="1017" w:type="dxa"/>
            <w:tcBorders>
              <w:top w:val="nil"/>
              <w:left w:val="nil"/>
              <w:bottom w:val="single" w:sz="4" w:space="0" w:color="auto"/>
              <w:right w:val="nil"/>
            </w:tcBorders>
            <w:shd w:val="clear" w:color="auto" w:fill="006DA7"/>
            <w:vAlign w:val="bottom"/>
            <w:hideMark/>
          </w:tcPr>
          <w:p w14:paraId="648F5B4F" w14:textId="77777777" w:rsidR="00DD1307" w:rsidRPr="00AE3AB9" w:rsidRDefault="00DD1307" w:rsidP="00A61F03">
            <w:pPr>
              <w:spacing w:before="0" w:after="0" w:line="240" w:lineRule="auto"/>
              <w:jc w:val="right"/>
              <w:rPr>
                <w:rFonts w:ascii="Calibri" w:eastAsia="Times New Roman" w:hAnsi="Calibri" w:cs="Calibri"/>
                <w:b/>
                <w:color w:val="FFFFFF" w:themeColor="background1"/>
                <w:szCs w:val="22"/>
                <w:lang w:eastAsia="en-AU"/>
              </w:rPr>
            </w:pPr>
            <w:r w:rsidRPr="00AE3AB9">
              <w:rPr>
                <w:rFonts w:ascii="Calibri" w:eastAsia="Times New Roman" w:hAnsi="Calibri" w:cs="Calibri"/>
                <w:b/>
                <w:color w:val="FFFFFF" w:themeColor="background1"/>
                <w:szCs w:val="22"/>
                <w:lang w:eastAsia="en-AU"/>
              </w:rPr>
              <w:t>N06AF N06AG</w:t>
            </w:r>
          </w:p>
        </w:tc>
        <w:tc>
          <w:tcPr>
            <w:tcW w:w="992" w:type="dxa"/>
            <w:tcBorders>
              <w:top w:val="nil"/>
              <w:left w:val="nil"/>
              <w:bottom w:val="single" w:sz="4" w:space="0" w:color="auto"/>
              <w:right w:val="nil"/>
            </w:tcBorders>
            <w:shd w:val="clear" w:color="auto" w:fill="006DA7"/>
            <w:noWrap/>
            <w:vAlign w:val="bottom"/>
            <w:hideMark/>
          </w:tcPr>
          <w:p w14:paraId="6AAECCA6" w14:textId="77777777" w:rsidR="00DD1307" w:rsidRPr="00AE3AB9" w:rsidRDefault="00DD1307" w:rsidP="00A61F03">
            <w:pPr>
              <w:spacing w:before="0" w:after="0" w:line="240" w:lineRule="auto"/>
              <w:jc w:val="right"/>
              <w:rPr>
                <w:rFonts w:ascii="Calibri" w:eastAsia="Times New Roman" w:hAnsi="Calibri" w:cs="Calibri"/>
                <w:b/>
                <w:color w:val="FFFFFF" w:themeColor="background1"/>
                <w:szCs w:val="22"/>
                <w:lang w:eastAsia="en-AU"/>
              </w:rPr>
            </w:pPr>
            <w:r w:rsidRPr="00AE3AB9">
              <w:rPr>
                <w:rFonts w:ascii="Calibri" w:eastAsia="Times New Roman" w:hAnsi="Calibri" w:cs="Calibri"/>
                <w:b/>
                <w:color w:val="FFFFFF" w:themeColor="background1"/>
                <w:szCs w:val="22"/>
                <w:lang w:eastAsia="en-AU"/>
              </w:rPr>
              <w:t>N06AX</w:t>
            </w:r>
          </w:p>
        </w:tc>
        <w:tc>
          <w:tcPr>
            <w:tcW w:w="992" w:type="dxa"/>
            <w:tcBorders>
              <w:top w:val="nil"/>
              <w:left w:val="nil"/>
              <w:bottom w:val="single" w:sz="4" w:space="0" w:color="auto"/>
              <w:right w:val="nil"/>
            </w:tcBorders>
            <w:shd w:val="clear" w:color="auto" w:fill="006DA7"/>
            <w:noWrap/>
            <w:vAlign w:val="bottom"/>
            <w:hideMark/>
          </w:tcPr>
          <w:p w14:paraId="4EEDEC2C" w14:textId="77777777" w:rsidR="00DD1307" w:rsidRPr="00AE3AB9" w:rsidRDefault="00DD1307" w:rsidP="00A61F03">
            <w:pPr>
              <w:spacing w:before="0" w:after="0" w:line="240" w:lineRule="auto"/>
              <w:jc w:val="right"/>
              <w:rPr>
                <w:rFonts w:ascii="Calibri" w:eastAsia="Times New Roman" w:hAnsi="Calibri" w:cs="Calibri"/>
                <w:b/>
                <w:color w:val="FFFFFF" w:themeColor="background1"/>
                <w:szCs w:val="22"/>
                <w:lang w:eastAsia="en-AU"/>
              </w:rPr>
            </w:pPr>
            <w:r w:rsidRPr="00AE3AB9">
              <w:rPr>
                <w:rFonts w:ascii="Calibri" w:eastAsia="Times New Roman" w:hAnsi="Calibri" w:cs="Calibri"/>
                <w:b/>
                <w:color w:val="FFFFFF" w:themeColor="background1"/>
                <w:szCs w:val="22"/>
                <w:lang w:eastAsia="en-AU"/>
              </w:rPr>
              <w:t>Total</w:t>
            </w:r>
          </w:p>
        </w:tc>
      </w:tr>
      <w:tr w:rsidR="00AE3AB9" w:rsidRPr="00A37CBC" w14:paraId="26DA9242" w14:textId="77777777" w:rsidTr="00AE3AB9">
        <w:trPr>
          <w:trHeight w:val="300"/>
        </w:trPr>
        <w:tc>
          <w:tcPr>
            <w:tcW w:w="7371" w:type="dxa"/>
            <w:gridSpan w:val="7"/>
            <w:tcBorders>
              <w:top w:val="nil"/>
              <w:left w:val="nil"/>
              <w:bottom w:val="nil"/>
              <w:right w:val="nil"/>
            </w:tcBorders>
            <w:shd w:val="clear" w:color="auto" w:fill="auto"/>
            <w:noWrap/>
            <w:vAlign w:val="bottom"/>
            <w:hideMark/>
          </w:tcPr>
          <w:p w14:paraId="6C08C0D5" w14:textId="7FFAEBCC" w:rsidR="00AE3AB9" w:rsidRPr="00A37CBC" w:rsidRDefault="00AE3AB9" w:rsidP="00AE3AB9">
            <w:pPr>
              <w:spacing w:before="0" w:after="0" w:line="240" w:lineRule="auto"/>
              <w:rPr>
                <w:rFonts w:ascii="Times New Roman" w:eastAsia="Times New Roman" w:hAnsi="Times New Roman"/>
                <w:sz w:val="20"/>
                <w:lang w:eastAsia="en-AU"/>
              </w:rPr>
            </w:pPr>
            <w:r w:rsidRPr="00A37CBC">
              <w:rPr>
                <w:rFonts w:ascii="Calibri" w:eastAsia="Times New Roman" w:hAnsi="Calibri" w:cs="Calibri"/>
                <w:b/>
                <w:bCs/>
                <w:color w:val="000000"/>
                <w:szCs w:val="22"/>
                <w:lang w:eastAsia="en-AU"/>
              </w:rPr>
              <w:t>Two sexes</w:t>
            </w:r>
          </w:p>
        </w:tc>
      </w:tr>
      <w:tr w:rsidR="00DD1307" w:rsidRPr="00A37CBC" w14:paraId="308BAA64" w14:textId="77777777" w:rsidTr="00A61F03">
        <w:trPr>
          <w:trHeight w:val="300"/>
        </w:trPr>
        <w:tc>
          <w:tcPr>
            <w:tcW w:w="1060" w:type="dxa"/>
            <w:tcBorders>
              <w:top w:val="nil"/>
              <w:left w:val="nil"/>
              <w:bottom w:val="nil"/>
              <w:right w:val="nil"/>
            </w:tcBorders>
            <w:shd w:val="clear" w:color="auto" w:fill="auto"/>
            <w:noWrap/>
            <w:vAlign w:val="bottom"/>
            <w:hideMark/>
          </w:tcPr>
          <w:p w14:paraId="2A29B097"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2013</w:t>
            </w:r>
          </w:p>
        </w:tc>
        <w:tc>
          <w:tcPr>
            <w:tcW w:w="1300" w:type="dxa"/>
            <w:tcBorders>
              <w:top w:val="nil"/>
              <w:left w:val="nil"/>
              <w:bottom w:val="nil"/>
              <w:right w:val="nil"/>
            </w:tcBorders>
            <w:shd w:val="clear" w:color="auto" w:fill="auto"/>
            <w:noWrap/>
            <w:vAlign w:val="bottom"/>
            <w:hideMark/>
          </w:tcPr>
          <w:p w14:paraId="1C6856B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245 068</w:t>
            </w:r>
          </w:p>
        </w:tc>
        <w:tc>
          <w:tcPr>
            <w:tcW w:w="1012" w:type="dxa"/>
            <w:tcBorders>
              <w:top w:val="nil"/>
              <w:left w:val="nil"/>
              <w:bottom w:val="nil"/>
              <w:right w:val="nil"/>
            </w:tcBorders>
            <w:shd w:val="clear" w:color="auto" w:fill="auto"/>
            <w:noWrap/>
            <w:vAlign w:val="bottom"/>
            <w:hideMark/>
          </w:tcPr>
          <w:p w14:paraId="69D282D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0.091</w:t>
            </w:r>
          </w:p>
        </w:tc>
        <w:tc>
          <w:tcPr>
            <w:tcW w:w="998" w:type="dxa"/>
            <w:tcBorders>
              <w:top w:val="nil"/>
              <w:left w:val="nil"/>
              <w:bottom w:val="nil"/>
              <w:right w:val="nil"/>
            </w:tcBorders>
            <w:shd w:val="clear" w:color="auto" w:fill="auto"/>
            <w:noWrap/>
            <w:vAlign w:val="bottom"/>
            <w:hideMark/>
          </w:tcPr>
          <w:p w14:paraId="4BF34BD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0.665</w:t>
            </w:r>
          </w:p>
        </w:tc>
        <w:tc>
          <w:tcPr>
            <w:tcW w:w="1017" w:type="dxa"/>
            <w:tcBorders>
              <w:top w:val="nil"/>
              <w:left w:val="nil"/>
              <w:bottom w:val="nil"/>
              <w:right w:val="nil"/>
            </w:tcBorders>
            <w:shd w:val="clear" w:color="auto" w:fill="auto"/>
            <w:noWrap/>
            <w:vAlign w:val="bottom"/>
            <w:hideMark/>
          </w:tcPr>
          <w:p w14:paraId="4FB0BAF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4A00687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0.242</w:t>
            </w:r>
          </w:p>
        </w:tc>
        <w:tc>
          <w:tcPr>
            <w:tcW w:w="992" w:type="dxa"/>
            <w:tcBorders>
              <w:top w:val="nil"/>
              <w:left w:val="nil"/>
              <w:bottom w:val="nil"/>
              <w:right w:val="nil"/>
            </w:tcBorders>
            <w:shd w:val="clear" w:color="auto" w:fill="auto"/>
            <w:noWrap/>
            <w:vAlign w:val="bottom"/>
            <w:hideMark/>
          </w:tcPr>
          <w:p w14:paraId="0CB5ABC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0F97EF29" w14:textId="77777777" w:rsidTr="00A61F03">
        <w:trPr>
          <w:trHeight w:val="300"/>
        </w:trPr>
        <w:tc>
          <w:tcPr>
            <w:tcW w:w="1060" w:type="dxa"/>
            <w:tcBorders>
              <w:top w:val="nil"/>
              <w:left w:val="nil"/>
              <w:bottom w:val="nil"/>
              <w:right w:val="nil"/>
            </w:tcBorders>
            <w:shd w:val="clear" w:color="auto" w:fill="auto"/>
            <w:noWrap/>
            <w:vAlign w:val="bottom"/>
            <w:hideMark/>
          </w:tcPr>
          <w:p w14:paraId="79148189"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2014</w:t>
            </w:r>
          </w:p>
        </w:tc>
        <w:tc>
          <w:tcPr>
            <w:tcW w:w="1300" w:type="dxa"/>
            <w:tcBorders>
              <w:top w:val="nil"/>
              <w:left w:val="nil"/>
              <w:bottom w:val="nil"/>
              <w:right w:val="nil"/>
            </w:tcBorders>
            <w:shd w:val="clear" w:color="auto" w:fill="auto"/>
            <w:noWrap/>
            <w:vAlign w:val="bottom"/>
            <w:hideMark/>
          </w:tcPr>
          <w:p w14:paraId="22BA625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259 465</w:t>
            </w:r>
          </w:p>
        </w:tc>
        <w:tc>
          <w:tcPr>
            <w:tcW w:w="1012" w:type="dxa"/>
            <w:tcBorders>
              <w:top w:val="nil"/>
              <w:left w:val="nil"/>
              <w:bottom w:val="nil"/>
              <w:right w:val="nil"/>
            </w:tcBorders>
            <w:shd w:val="clear" w:color="auto" w:fill="auto"/>
            <w:noWrap/>
            <w:vAlign w:val="bottom"/>
            <w:hideMark/>
          </w:tcPr>
          <w:p w14:paraId="635BDAA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0.085</w:t>
            </w:r>
          </w:p>
        </w:tc>
        <w:tc>
          <w:tcPr>
            <w:tcW w:w="998" w:type="dxa"/>
            <w:tcBorders>
              <w:top w:val="nil"/>
              <w:left w:val="nil"/>
              <w:bottom w:val="nil"/>
              <w:right w:val="nil"/>
            </w:tcBorders>
            <w:shd w:val="clear" w:color="auto" w:fill="auto"/>
            <w:noWrap/>
            <w:vAlign w:val="bottom"/>
            <w:hideMark/>
          </w:tcPr>
          <w:p w14:paraId="55E02F3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0.676</w:t>
            </w:r>
          </w:p>
        </w:tc>
        <w:tc>
          <w:tcPr>
            <w:tcW w:w="1017" w:type="dxa"/>
            <w:tcBorders>
              <w:top w:val="nil"/>
              <w:left w:val="nil"/>
              <w:bottom w:val="nil"/>
              <w:right w:val="nil"/>
            </w:tcBorders>
            <w:shd w:val="clear" w:color="auto" w:fill="auto"/>
            <w:noWrap/>
            <w:vAlign w:val="bottom"/>
            <w:hideMark/>
          </w:tcPr>
          <w:p w14:paraId="147FC55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04C37B1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0.237</w:t>
            </w:r>
          </w:p>
        </w:tc>
        <w:tc>
          <w:tcPr>
            <w:tcW w:w="992" w:type="dxa"/>
            <w:tcBorders>
              <w:top w:val="nil"/>
              <w:left w:val="nil"/>
              <w:bottom w:val="nil"/>
              <w:right w:val="nil"/>
            </w:tcBorders>
            <w:shd w:val="clear" w:color="auto" w:fill="auto"/>
            <w:noWrap/>
            <w:vAlign w:val="bottom"/>
            <w:hideMark/>
          </w:tcPr>
          <w:p w14:paraId="5A5525C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4346995C" w14:textId="77777777" w:rsidTr="00A61F03">
        <w:trPr>
          <w:trHeight w:val="300"/>
        </w:trPr>
        <w:tc>
          <w:tcPr>
            <w:tcW w:w="1060" w:type="dxa"/>
            <w:tcBorders>
              <w:top w:val="nil"/>
              <w:left w:val="nil"/>
              <w:bottom w:val="nil"/>
              <w:right w:val="nil"/>
            </w:tcBorders>
            <w:shd w:val="clear" w:color="auto" w:fill="auto"/>
            <w:noWrap/>
            <w:vAlign w:val="bottom"/>
            <w:hideMark/>
          </w:tcPr>
          <w:p w14:paraId="52BEA886"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2015</w:t>
            </w:r>
          </w:p>
        </w:tc>
        <w:tc>
          <w:tcPr>
            <w:tcW w:w="1300" w:type="dxa"/>
            <w:tcBorders>
              <w:top w:val="nil"/>
              <w:left w:val="nil"/>
              <w:bottom w:val="nil"/>
              <w:right w:val="nil"/>
            </w:tcBorders>
            <w:shd w:val="clear" w:color="auto" w:fill="auto"/>
            <w:noWrap/>
            <w:vAlign w:val="bottom"/>
            <w:hideMark/>
          </w:tcPr>
          <w:p w14:paraId="7753F21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278 375</w:t>
            </w:r>
          </w:p>
        </w:tc>
        <w:tc>
          <w:tcPr>
            <w:tcW w:w="1012" w:type="dxa"/>
            <w:tcBorders>
              <w:top w:val="nil"/>
              <w:left w:val="nil"/>
              <w:bottom w:val="nil"/>
              <w:right w:val="nil"/>
            </w:tcBorders>
            <w:shd w:val="clear" w:color="auto" w:fill="auto"/>
            <w:noWrap/>
            <w:vAlign w:val="bottom"/>
            <w:hideMark/>
          </w:tcPr>
          <w:p w14:paraId="6A7B859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0.079</w:t>
            </w:r>
          </w:p>
        </w:tc>
        <w:tc>
          <w:tcPr>
            <w:tcW w:w="998" w:type="dxa"/>
            <w:tcBorders>
              <w:top w:val="nil"/>
              <w:left w:val="nil"/>
              <w:bottom w:val="nil"/>
              <w:right w:val="nil"/>
            </w:tcBorders>
            <w:shd w:val="clear" w:color="auto" w:fill="auto"/>
            <w:noWrap/>
            <w:vAlign w:val="bottom"/>
            <w:hideMark/>
          </w:tcPr>
          <w:p w14:paraId="1FC1E4D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0.690</w:t>
            </w:r>
          </w:p>
        </w:tc>
        <w:tc>
          <w:tcPr>
            <w:tcW w:w="1017" w:type="dxa"/>
            <w:tcBorders>
              <w:top w:val="nil"/>
              <w:left w:val="nil"/>
              <w:bottom w:val="nil"/>
              <w:right w:val="nil"/>
            </w:tcBorders>
            <w:shd w:val="clear" w:color="auto" w:fill="auto"/>
            <w:noWrap/>
            <w:vAlign w:val="bottom"/>
            <w:hideMark/>
          </w:tcPr>
          <w:p w14:paraId="6C74581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4664DB66"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0.229</w:t>
            </w:r>
          </w:p>
        </w:tc>
        <w:tc>
          <w:tcPr>
            <w:tcW w:w="992" w:type="dxa"/>
            <w:tcBorders>
              <w:top w:val="nil"/>
              <w:left w:val="nil"/>
              <w:bottom w:val="nil"/>
              <w:right w:val="nil"/>
            </w:tcBorders>
            <w:shd w:val="clear" w:color="auto" w:fill="auto"/>
            <w:noWrap/>
            <w:vAlign w:val="bottom"/>
            <w:hideMark/>
          </w:tcPr>
          <w:p w14:paraId="2641BEE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429EA2BE" w14:textId="77777777" w:rsidTr="00A61F03">
        <w:trPr>
          <w:trHeight w:val="300"/>
        </w:trPr>
        <w:tc>
          <w:tcPr>
            <w:tcW w:w="1060" w:type="dxa"/>
            <w:tcBorders>
              <w:top w:val="nil"/>
              <w:left w:val="nil"/>
              <w:bottom w:val="nil"/>
              <w:right w:val="nil"/>
            </w:tcBorders>
            <w:shd w:val="clear" w:color="auto" w:fill="auto"/>
            <w:noWrap/>
            <w:vAlign w:val="bottom"/>
            <w:hideMark/>
          </w:tcPr>
          <w:p w14:paraId="067643A7"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2016</w:t>
            </w:r>
          </w:p>
        </w:tc>
        <w:tc>
          <w:tcPr>
            <w:tcW w:w="1300" w:type="dxa"/>
            <w:tcBorders>
              <w:top w:val="nil"/>
              <w:left w:val="nil"/>
              <w:bottom w:val="nil"/>
              <w:right w:val="nil"/>
            </w:tcBorders>
            <w:shd w:val="clear" w:color="auto" w:fill="auto"/>
            <w:noWrap/>
            <w:vAlign w:val="bottom"/>
            <w:hideMark/>
          </w:tcPr>
          <w:p w14:paraId="020E205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295 372</w:t>
            </w:r>
          </w:p>
        </w:tc>
        <w:tc>
          <w:tcPr>
            <w:tcW w:w="1012" w:type="dxa"/>
            <w:tcBorders>
              <w:top w:val="nil"/>
              <w:left w:val="nil"/>
              <w:bottom w:val="nil"/>
              <w:right w:val="nil"/>
            </w:tcBorders>
            <w:shd w:val="clear" w:color="auto" w:fill="auto"/>
            <w:noWrap/>
            <w:vAlign w:val="bottom"/>
            <w:hideMark/>
          </w:tcPr>
          <w:p w14:paraId="72FC0FD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0.077</w:t>
            </w:r>
          </w:p>
        </w:tc>
        <w:tc>
          <w:tcPr>
            <w:tcW w:w="998" w:type="dxa"/>
            <w:tcBorders>
              <w:top w:val="nil"/>
              <w:left w:val="nil"/>
              <w:bottom w:val="nil"/>
              <w:right w:val="nil"/>
            </w:tcBorders>
            <w:shd w:val="clear" w:color="auto" w:fill="auto"/>
            <w:noWrap/>
            <w:vAlign w:val="bottom"/>
            <w:hideMark/>
          </w:tcPr>
          <w:p w14:paraId="4AF94BB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0.707</w:t>
            </w:r>
          </w:p>
        </w:tc>
        <w:tc>
          <w:tcPr>
            <w:tcW w:w="1017" w:type="dxa"/>
            <w:tcBorders>
              <w:top w:val="nil"/>
              <w:left w:val="nil"/>
              <w:bottom w:val="nil"/>
              <w:right w:val="nil"/>
            </w:tcBorders>
            <w:shd w:val="clear" w:color="auto" w:fill="auto"/>
            <w:noWrap/>
            <w:vAlign w:val="bottom"/>
            <w:hideMark/>
          </w:tcPr>
          <w:p w14:paraId="58DB299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6AD650F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0.215</w:t>
            </w:r>
          </w:p>
        </w:tc>
        <w:tc>
          <w:tcPr>
            <w:tcW w:w="992" w:type="dxa"/>
            <w:tcBorders>
              <w:top w:val="nil"/>
              <w:left w:val="nil"/>
              <w:bottom w:val="nil"/>
              <w:right w:val="nil"/>
            </w:tcBorders>
            <w:shd w:val="clear" w:color="auto" w:fill="auto"/>
            <w:noWrap/>
            <w:vAlign w:val="bottom"/>
            <w:hideMark/>
          </w:tcPr>
          <w:p w14:paraId="3AED749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072D3B75" w14:textId="77777777" w:rsidTr="00A61F03">
        <w:trPr>
          <w:trHeight w:val="300"/>
        </w:trPr>
        <w:tc>
          <w:tcPr>
            <w:tcW w:w="1060" w:type="dxa"/>
            <w:tcBorders>
              <w:top w:val="nil"/>
              <w:left w:val="nil"/>
              <w:bottom w:val="nil"/>
              <w:right w:val="nil"/>
            </w:tcBorders>
            <w:shd w:val="clear" w:color="auto" w:fill="auto"/>
            <w:noWrap/>
            <w:vAlign w:val="bottom"/>
            <w:hideMark/>
          </w:tcPr>
          <w:p w14:paraId="5AD61D5A"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2017</w:t>
            </w:r>
          </w:p>
        </w:tc>
        <w:tc>
          <w:tcPr>
            <w:tcW w:w="1300" w:type="dxa"/>
            <w:tcBorders>
              <w:top w:val="nil"/>
              <w:left w:val="nil"/>
              <w:bottom w:val="nil"/>
              <w:right w:val="nil"/>
            </w:tcBorders>
            <w:shd w:val="clear" w:color="auto" w:fill="auto"/>
            <w:noWrap/>
            <w:vAlign w:val="bottom"/>
            <w:hideMark/>
          </w:tcPr>
          <w:p w14:paraId="6330E6B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311 470</w:t>
            </w:r>
          </w:p>
        </w:tc>
        <w:tc>
          <w:tcPr>
            <w:tcW w:w="1012" w:type="dxa"/>
            <w:tcBorders>
              <w:top w:val="nil"/>
              <w:left w:val="nil"/>
              <w:bottom w:val="nil"/>
              <w:right w:val="nil"/>
            </w:tcBorders>
            <w:shd w:val="clear" w:color="auto" w:fill="auto"/>
            <w:noWrap/>
            <w:vAlign w:val="bottom"/>
            <w:hideMark/>
          </w:tcPr>
          <w:p w14:paraId="66105006"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0.072</w:t>
            </w:r>
          </w:p>
        </w:tc>
        <w:tc>
          <w:tcPr>
            <w:tcW w:w="998" w:type="dxa"/>
            <w:tcBorders>
              <w:top w:val="nil"/>
              <w:left w:val="nil"/>
              <w:bottom w:val="nil"/>
              <w:right w:val="nil"/>
            </w:tcBorders>
            <w:shd w:val="clear" w:color="auto" w:fill="auto"/>
            <w:noWrap/>
            <w:vAlign w:val="bottom"/>
            <w:hideMark/>
          </w:tcPr>
          <w:p w14:paraId="1ADAE9F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0.726</w:t>
            </w:r>
          </w:p>
        </w:tc>
        <w:tc>
          <w:tcPr>
            <w:tcW w:w="1017" w:type="dxa"/>
            <w:tcBorders>
              <w:top w:val="nil"/>
              <w:left w:val="nil"/>
              <w:bottom w:val="nil"/>
              <w:right w:val="nil"/>
            </w:tcBorders>
            <w:shd w:val="clear" w:color="auto" w:fill="auto"/>
            <w:noWrap/>
            <w:vAlign w:val="bottom"/>
            <w:hideMark/>
          </w:tcPr>
          <w:p w14:paraId="5B4DB4B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4F1BAFF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0.200</w:t>
            </w:r>
          </w:p>
        </w:tc>
        <w:tc>
          <w:tcPr>
            <w:tcW w:w="992" w:type="dxa"/>
            <w:tcBorders>
              <w:top w:val="nil"/>
              <w:left w:val="nil"/>
              <w:bottom w:val="nil"/>
              <w:right w:val="nil"/>
            </w:tcBorders>
            <w:shd w:val="clear" w:color="auto" w:fill="auto"/>
            <w:noWrap/>
            <w:vAlign w:val="bottom"/>
            <w:hideMark/>
          </w:tcPr>
          <w:p w14:paraId="743A99D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67099A35" w14:textId="77777777" w:rsidTr="00A61F03">
        <w:trPr>
          <w:trHeight w:val="300"/>
        </w:trPr>
        <w:tc>
          <w:tcPr>
            <w:tcW w:w="1060" w:type="dxa"/>
            <w:tcBorders>
              <w:top w:val="nil"/>
              <w:left w:val="nil"/>
              <w:bottom w:val="nil"/>
              <w:right w:val="nil"/>
            </w:tcBorders>
            <w:shd w:val="clear" w:color="auto" w:fill="auto"/>
            <w:noWrap/>
            <w:vAlign w:val="bottom"/>
            <w:hideMark/>
          </w:tcPr>
          <w:p w14:paraId="6D4EA356"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2018</w:t>
            </w:r>
          </w:p>
        </w:tc>
        <w:tc>
          <w:tcPr>
            <w:tcW w:w="1300" w:type="dxa"/>
            <w:tcBorders>
              <w:top w:val="nil"/>
              <w:left w:val="nil"/>
              <w:bottom w:val="nil"/>
              <w:right w:val="nil"/>
            </w:tcBorders>
            <w:shd w:val="clear" w:color="auto" w:fill="auto"/>
            <w:noWrap/>
            <w:vAlign w:val="bottom"/>
            <w:hideMark/>
          </w:tcPr>
          <w:p w14:paraId="7CDCFE0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331 075</w:t>
            </w:r>
          </w:p>
        </w:tc>
        <w:tc>
          <w:tcPr>
            <w:tcW w:w="1012" w:type="dxa"/>
            <w:tcBorders>
              <w:top w:val="nil"/>
              <w:left w:val="nil"/>
              <w:bottom w:val="nil"/>
              <w:right w:val="nil"/>
            </w:tcBorders>
            <w:shd w:val="clear" w:color="auto" w:fill="auto"/>
            <w:noWrap/>
            <w:vAlign w:val="bottom"/>
            <w:hideMark/>
          </w:tcPr>
          <w:p w14:paraId="450AEA1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0.071</w:t>
            </w:r>
          </w:p>
        </w:tc>
        <w:tc>
          <w:tcPr>
            <w:tcW w:w="998" w:type="dxa"/>
            <w:tcBorders>
              <w:top w:val="nil"/>
              <w:left w:val="nil"/>
              <w:bottom w:val="nil"/>
              <w:right w:val="nil"/>
            </w:tcBorders>
            <w:shd w:val="clear" w:color="auto" w:fill="auto"/>
            <w:noWrap/>
            <w:vAlign w:val="bottom"/>
            <w:hideMark/>
          </w:tcPr>
          <w:p w14:paraId="4EC3B5E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0.740</w:t>
            </w:r>
          </w:p>
        </w:tc>
        <w:tc>
          <w:tcPr>
            <w:tcW w:w="1017" w:type="dxa"/>
            <w:tcBorders>
              <w:top w:val="nil"/>
              <w:left w:val="nil"/>
              <w:bottom w:val="nil"/>
              <w:right w:val="nil"/>
            </w:tcBorders>
            <w:shd w:val="clear" w:color="auto" w:fill="auto"/>
            <w:noWrap/>
            <w:vAlign w:val="bottom"/>
            <w:hideMark/>
          </w:tcPr>
          <w:p w14:paraId="4525F2D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5BE254C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0.188</w:t>
            </w:r>
          </w:p>
        </w:tc>
        <w:tc>
          <w:tcPr>
            <w:tcW w:w="992" w:type="dxa"/>
            <w:tcBorders>
              <w:top w:val="nil"/>
              <w:left w:val="nil"/>
              <w:bottom w:val="nil"/>
              <w:right w:val="nil"/>
            </w:tcBorders>
            <w:shd w:val="clear" w:color="auto" w:fill="auto"/>
            <w:noWrap/>
            <w:vAlign w:val="bottom"/>
            <w:hideMark/>
          </w:tcPr>
          <w:p w14:paraId="14DC6B3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12601ADC" w14:textId="77777777" w:rsidTr="00A61F03">
        <w:trPr>
          <w:trHeight w:val="300"/>
        </w:trPr>
        <w:tc>
          <w:tcPr>
            <w:tcW w:w="1060" w:type="dxa"/>
            <w:tcBorders>
              <w:top w:val="nil"/>
              <w:left w:val="nil"/>
              <w:bottom w:val="nil"/>
              <w:right w:val="nil"/>
            </w:tcBorders>
            <w:shd w:val="clear" w:color="auto" w:fill="auto"/>
            <w:noWrap/>
            <w:vAlign w:val="bottom"/>
            <w:hideMark/>
          </w:tcPr>
          <w:p w14:paraId="766DC7CE"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2019</w:t>
            </w:r>
          </w:p>
        </w:tc>
        <w:tc>
          <w:tcPr>
            <w:tcW w:w="1300" w:type="dxa"/>
            <w:tcBorders>
              <w:top w:val="nil"/>
              <w:left w:val="nil"/>
              <w:bottom w:val="nil"/>
              <w:right w:val="nil"/>
            </w:tcBorders>
            <w:shd w:val="clear" w:color="auto" w:fill="auto"/>
            <w:noWrap/>
            <w:vAlign w:val="bottom"/>
            <w:hideMark/>
          </w:tcPr>
          <w:p w14:paraId="6C9720E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357 037</w:t>
            </w:r>
          </w:p>
        </w:tc>
        <w:tc>
          <w:tcPr>
            <w:tcW w:w="1012" w:type="dxa"/>
            <w:tcBorders>
              <w:top w:val="nil"/>
              <w:left w:val="nil"/>
              <w:bottom w:val="nil"/>
              <w:right w:val="nil"/>
            </w:tcBorders>
            <w:shd w:val="clear" w:color="auto" w:fill="auto"/>
            <w:noWrap/>
            <w:vAlign w:val="bottom"/>
            <w:hideMark/>
          </w:tcPr>
          <w:p w14:paraId="7CD5E32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0.068</w:t>
            </w:r>
          </w:p>
        </w:tc>
        <w:tc>
          <w:tcPr>
            <w:tcW w:w="998" w:type="dxa"/>
            <w:tcBorders>
              <w:top w:val="nil"/>
              <w:left w:val="nil"/>
              <w:bottom w:val="nil"/>
              <w:right w:val="nil"/>
            </w:tcBorders>
            <w:shd w:val="clear" w:color="auto" w:fill="auto"/>
            <w:noWrap/>
            <w:vAlign w:val="bottom"/>
            <w:hideMark/>
          </w:tcPr>
          <w:p w14:paraId="34785A0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0.753</w:t>
            </w:r>
          </w:p>
        </w:tc>
        <w:tc>
          <w:tcPr>
            <w:tcW w:w="1017" w:type="dxa"/>
            <w:tcBorders>
              <w:top w:val="nil"/>
              <w:left w:val="nil"/>
              <w:bottom w:val="nil"/>
              <w:right w:val="nil"/>
            </w:tcBorders>
            <w:shd w:val="clear" w:color="auto" w:fill="auto"/>
            <w:noWrap/>
            <w:vAlign w:val="bottom"/>
            <w:hideMark/>
          </w:tcPr>
          <w:p w14:paraId="0821EEE6"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0.001</w:t>
            </w:r>
          </w:p>
        </w:tc>
        <w:tc>
          <w:tcPr>
            <w:tcW w:w="992" w:type="dxa"/>
            <w:tcBorders>
              <w:top w:val="nil"/>
              <w:left w:val="nil"/>
              <w:bottom w:val="nil"/>
              <w:right w:val="nil"/>
            </w:tcBorders>
            <w:shd w:val="clear" w:color="auto" w:fill="auto"/>
            <w:noWrap/>
            <w:vAlign w:val="bottom"/>
            <w:hideMark/>
          </w:tcPr>
          <w:p w14:paraId="18D69DD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0.177</w:t>
            </w:r>
          </w:p>
        </w:tc>
        <w:tc>
          <w:tcPr>
            <w:tcW w:w="992" w:type="dxa"/>
            <w:tcBorders>
              <w:top w:val="nil"/>
              <w:left w:val="nil"/>
              <w:bottom w:val="nil"/>
              <w:right w:val="nil"/>
            </w:tcBorders>
            <w:shd w:val="clear" w:color="auto" w:fill="auto"/>
            <w:noWrap/>
            <w:vAlign w:val="bottom"/>
            <w:hideMark/>
          </w:tcPr>
          <w:p w14:paraId="7C70E72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AE3AB9" w:rsidRPr="00A37CBC" w14:paraId="1CC555B4" w14:textId="77777777" w:rsidTr="004F27E3">
        <w:trPr>
          <w:trHeight w:val="300"/>
        </w:trPr>
        <w:tc>
          <w:tcPr>
            <w:tcW w:w="7371" w:type="dxa"/>
            <w:gridSpan w:val="7"/>
            <w:tcBorders>
              <w:top w:val="nil"/>
              <w:left w:val="nil"/>
              <w:bottom w:val="nil"/>
              <w:right w:val="nil"/>
            </w:tcBorders>
            <w:shd w:val="clear" w:color="auto" w:fill="auto"/>
            <w:noWrap/>
            <w:vAlign w:val="bottom"/>
            <w:hideMark/>
          </w:tcPr>
          <w:p w14:paraId="281DDD73" w14:textId="77777777" w:rsidR="00AE3AB9" w:rsidRPr="00A37CBC" w:rsidRDefault="00AE3AB9" w:rsidP="00A61F03">
            <w:pPr>
              <w:spacing w:before="0" w:after="0" w:line="240" w:lineRule="auto"/>
              <w:jc w:val="right"/>
              <w:rPr>
                <w:rFonts w:ascii="Times New Roman" w:eastAsia="Times New Roman" w:hAnsi="Times New Roman"/>
                <w:sz w:val="20"/>
                <w:lang w:eastAsia="en-AU"/>
              </w:rPr>
            </w:pPr>
          </w:p>
        </w:tc>
      </w:tr>
      <w:tr w:rsidR="00AE3AB9" w:rsidRPr="00A37CBC" w14:paraId="41BFC3DA" w14:textId="77777777" w:rsidTr="00AE3AB9">
        <w:trPr>
          <w:trHeight w:val="300"/>
        </w:trPr>
        <w:tc>
          <w:tcPr>
            <w:tcW w:w="7371" w:type="dxa"/>
            <w:gridSpan w:val="7"/>
            <w:tcBorders>
              <w:top w:val="nil"/>
              <w:left w:val="nil"/>
              <w:bottom w:val="nil"/>
              <w:right w:val="nil"/>
            </w:tcBorders>
            <w:shd w:val="clear" w:color="auto" w:fill="auto"/>
            <w:noWrap/>
            <w:vAlign w:val="bottom"/>
            <w:hideMark/>
          </w:tcPr>
          <w:p w14:paraId="570A5084" w14:textId="4D4B41F8" w:rsidR="00AE3AB9" w:rsidRPr="00A37CBC" w:rsidRDefault="00AE3AB9" w:rsidP="00AE3AB9">
            <w:pPr>
              <w:spacing w:before="0" w:after="0" w:line="240" w:lineRule="auto"/>
              <w:rPr>
                <w:rFonts w:ascii="Times New Roman" w:eastAsia="Times New Roman" w:hAnsi="Times New Roman"/>
                <w:sz w:val="20"/>
                <w:lang w:eastAsia="en-AU"/>
              </w:rPr>
            </w:pPr>
            <w:r w:rsidRPr="00A37CBC">
              <w:rPr>
                <w:rFonts w:ascii="Calibri" w:eastAsia="Times New Roman" w:hAnsi="Calibri" w:cs="Calibri"/>
                <w:b/>
                <w:bCs/>
                <w:color w:val="000000"/>
                <w:szCs w:val="22"/>
                <w:lang w:eastAsia="en-AU"/>
              </w:rPr>
              <w:t>Male</w:t>
            </w:r>
          </w:p>
        </w:tc>
      </w:tr>
      <w:tr w:rsidR="00DD1307" w:rsidRPr="00A37CBC" w14:paraId="6A70B82E" w14:textId="77777777" w:rsidTr="00A61F03">
        <w:trPr>
          <w:trHeight w:val="300"/>
        </w:trPr>
        <w:tc>
          <w:tcPr>
            <w:tcW w:w="1060" w:type="dxa"/>
            <w:tcBorders>
              <w:top w:val="nil"/>
              <w:left w:val="nil"/>
              <w:bottom w:val="nil"/>
              <w:right w:val="nil"/>
            </w:tcBorders>
            <w:shd w:val="clear" w:color="auto" w:fill="auto"/>
            <w:noWrap/>
            <w:vAlign w:val="bottom"/>
            <w:hideMark/>
          </w:tcPr>
          <w:p w14:paraId="74C94B3F"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2013</w:t>
            </w:r>
          </w:p>
        </w:tc>
        <w:tc>
          <w:tcPr>
            <w:tcW w:w="1300" w:type="dxa"/>
            <w:tcBorders>
              <w:top w:val="nil"/>
              <w:left w:val="nil"/>
              <w:bottom w:val="nil"/>
              <w:right w:val="nil"/>
            </w:tcBorders>
            <w:shd w:val="clear" w:color="auto" w:fill="auto"/>
            <w:noWrap/>
            <w:vAlign w:val="bottom"/>
            <w:hideMark/>
          </w:tcPr>
          <w:p w14:paraId="6958B3E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90 435</w:t>
            </w:r>
          </w:p>
        </w:tc>
        <w:tc>
          <w:tcPr>
            <w:tcW w:w="1012" w:type="dxa"/>
            <w:tcBorders>
              <w:top w:val="nil"/>
              <w:left w:val="nil"/>
              <w:bottom w:val="nil"/>
              <w:right w:val="nil"/>
            </w:tcBorders>
            <w:shd w:val="clear" w:color="auto" w:fill="auto"/>
            <w:noWrap/>
            <w:vAlign w:val="bottom"/>
            <w:hideMark/>
          </w:tcPr>
          <w:p w14:paraId="0AFACD96"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0.099</w:t>
            </w:r>
          </w:p>
        </w:tc>
        <w:tc>
          <w:tcPr>
            <w:tcW w:w="998" w:type="dxa"/>
            <w:tcBorders>
              <w:top w:val="nil"/>
              <w:left w:val="nil"/>
              <w:bottom w:val="nil"/>
              <w:right w:val="nil"/>
            </w:tcBorders>
            <w:shd w:val="clear" w:color="auto" w:fill="auto"/>
            <w:noWrap/>
            <w:vAlign w:val="bottom"/>
            <w:hideMark/>
          </w:tcPr>
          <w:p w14:paraId="52ADA21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0.651</w:t>
            </w:r>
          </w:p>
        </w:tc>
        <w:tc>
          <w:tcPr>
            <w:tcW w:w="1017" w:type="dxa"/>
            <w:tcBorders>
              <w:top w:val="nil"/>
              <w:left w:val="nil"/>
              <w:bottom w:val="nil"/>
              <w:right w:val="nil"/>
            </w:tcBorders>
            <w:shd w:val="clear" w:color="auto" w:fill="auto"/>
            <w:noWrap/>
            <w:vAlign w:val="bottom"/>
            <w:hideMark/>
          </w:tcPr>
          <w:p w14:paraId="6A30722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5F98DAB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0.248</w:t>
            </w:r>
          </w:p>
        </w:tc>
        <w:tc>
          <w:tcPr>
            <w:tcW w:w="992" w:type="dxa"/>
            <w:tcBorders>
              <w:top w:val="nil"/>
              <w:left w:val="nil"/>
              <w:bottom w:val="nil"/>
              <w:right w:val="nil"/>
            </w:tcBorders>
            <w:shd w:val="clear" w:color="auto" w:fill="auto"/>
            <w:noWrap/>
            <w:vAlign w:val="bottom"/>
            <w:hideMark/>
          </w:tcPr>
          <w:p w14:paraId="060AE14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3CA6EC7B" w14:textId="77777777" w:rsidTr="00A61F03">
        <w:trPr>
          <w:trHeight w:val="300"/>
        </w:trPr>
        <w:tc>
          <w:tcPr>
            <w:tcW w:w="1060" w:type="dxa"/>
            <w:tcBorders>
              <w:top w:val="nil"/>
              <w:left w:val="nil"/>
              <w:bottom w:val="nil"/>
              <w:right w:val="nil"/>
            </w:tcBorders>
            <w:shd w:val="clear" w:color="auto" w:fill="auto"/>
            <w:noWrap/>
            <w:vAlign w:val="bottom"/>
            <w:hideMark/>
          </w:tcPr>
          <w:p w14:paraId="0156ABAF"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2014</w:t>
            </w:r>
          </w:p>
        </w:tc>
        <w:tc>
          <w:tcPr>
            <w:tcW w:w="1300" w:type="dxa"/>
            <w:tcBorders>
              <w:top w:val="nil"/>
              <w:left w:val="nil"/>
              <w:bottom w:val="nil"/>
              <w:right w:val="nil"/>
            </w:tcBorders>
            <w:shd w:val="clear" w:color="auto" w:fill="auto"/>
            <w:noWrap/>
            <w:vAlign w:val="bottom"/>
            <w:hideMark/>
          </w:tcPr>
          <w:p w14:paraId="75050C6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96 330</w:t>
            </w:r>
          </w:p>
        </w:tc>
        <w:tc>
          <w:tcPr>
            <w:tcW w:w="1012" w:type="dxa"/>
            <w:tcBorders>
              <w:top w:val="nil"/>
              <w:left w:val="nil"/>
              <w:bottom w:val="nil"/>
              <w:right w:val="nil"/>
            </w:tcBorders>
            <w:shd w:val="clear" w:color="auto" w:fill="auto"/>
            <w:noWrap/>
            <w:vAlign w:val="bottom"/>
            <w:hideMark/>
          </w:tcPr>
          <w:p w14:paraId="5DBA7FB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0.087</w:t>
            </w:r>
          </w:p>
        </w:tc>
        <w:tc>
          <w:tcPr>
            <w:tcW w:w="998" w:type="dxa"/>
            <w:tcBorders>
              <w:top w:val="nil"/>
              <w:left w:val="nil"/>
              <w:bottom w:val="nil"/>
              <w:right w:val="nil"/>
            </w:tcBorders>
            <w:shd w:val="clear" w:color="auto" w:fill="auto"/>
            <w:noWrap/>
            <w:vAlign w:val="bottom"/>
            <w:hideMark/>
          </w:tcPr>
          <w:p w14:paraId="56C3B926"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0.667</w:t>
            </w:r>
          </w:p>
        </w:tc>
        <w:tc>
          <w:tcPr>
            <w:tcW w:w="1017" w:type="dxa"/>
            <w:tcBorders>
              <w:top w:val="nil"/>
              <w:left w:val="nil"/>
              <w:bottom w:val="nil"/>
              <w:right w:val="nil"/>
            </w:tcBorders>
            <w:shd w:val="clear" w:color="auto" w:fill="auto"/>
            <w:noWrap/>
            <w:vAlign w:val="bottom"/>
            <w:hideMark/>
          </w:tcPr>
          <w:p w14:paraId="2DA2BCD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5732B23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0.244</w:t>
            </w:r>
          </w:p>
        </w:tc>
        <w:tc>
          <w:tcPr>
            <w:tcW w:w="992" w:type="dxa"/>
            <w:tcBorders>
              <w:top w:val="nil"/>
              <w:left w:val="nil"/>
              <w:bottom w:val="nil"/>
              <w:right w:val="nil"/>
            </w:tcBorders>
            <w:shd w:val="clear" w:color="auto" w:fill="auto"/>
            <w:noWrap/>
            <w:vAlign w:val="bottom"/>
            <w:hideMark/>
          </w:tcPr>
          <w:p w14:paraId="4EEB870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793EE9FF" w14:textId="77777777" w:rsidTr="00A61F03">
        <w:trPr>
          <w:trHeight w:val="300"/>
        </w:trPr>
        <w:tc>
          <w:tcPr>
            <w:tcW w:w="1060" w:type="dxa"/>
            <w:tcBorders>
              <w:top w:val="nil"/>
              <w:left w:val="nil"/>
              <w:bottom w:val="nil"/>
              <w:right w:val="nil"/>
            </w:tcBorders>
            <w:shd w:val="clear" w:color="auto" w:fill="auto"/>
            <w:noWrap/>
            <w:vAlign w:val="bottom"/>
            <w:hideMark/>
          </w:tcPr>
          <w:p w14:paraId="6ACB1095"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2015</w:t>
            </w:r>
          </w:p>
        </w:tc>
        <w:tc>
          <w:tcPr>
            <w:tcW w:w="1300" w:type="dxa"/>
            <w:tcBorders>
              <w:top w:val="nil"/>
              <w:left w:val="nil"/>
              <w:bottom w:val="nil"/>
              <w:right w:val="nil"/>
            </w:tcBorders>
            <w:shd w:val="clear" w:color="auto" w:fill="auto"/>
            <w:noWrap/>
            <w:vAlign w:val="bottom"/>
            <w:hideMark/>
          </w:tcPr>
          <w:p w14:paraId="0B48258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103 986</w:t>
            </w:r>
          </w:p>
        </w:tc>
        <w:tc>
          <w:tcPr>
            <w:tcW w:w="1012" w:type="dxa"/>
            <w:tcBorders>
              <w:top w:val="nil"/>
              <w:left w:val="nil"/>
              <w:bottom w:val="nil"/>
              <w:right w:val="nil"/>
            </w:tcBorders>
            <w:shd w:val="clear" w:color="auto" w:fill="auto"/>
            <w:noWrap/>
            <w:vAlign w:val="bottom"/>
            <w:hideMark/>
          </w:tcPr>
          <w:p w14:paraId="69D4A08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0.078</w:t>
            </w:r>
          </w:p>
        </w:tc>
        <w:tc>
          <w:tcPr>
            <w:tcW w:w="998" w:type="dxa"/>
            <w:tcBorders>
              <w:top w:val="nil"/>
              <w:left w:val="nil"/>
              <w:bottom w:val="nil"/>
              <w:right w:val="nil"/>
            </w:tcBorders>
            <w:shd w:val="clear" w:color="auto" w:fill="auto"/>
            <w:noWrap/>
            <w:vAlign w:val="bottom"/>
            <w:hideMark/>
          </w:tcPr>
          <w:p w14:paraId="1D2052B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0.681</w:t>
            </w:r>
          </w:p>
        </w:tc>
        <w:tc>
          <w:tcPr>
            <w:tcW w:w="1017" w:type="dxa"/>
            <w:tcBorders>
              <w:top w:val="nil"/>
              <w:left w:val="nil"/>
              <w:bottom w:val="nil"/>
              <w:right w:val="nil"/>
            </w:tcBorders>
            <w:shd w:val="clear" w:color="auto" w:fill="auto"/>
            <w:noWrap/>
            <w:vAlign w:val="bottom"/>
            <w:hideMark/>
          </w:tcPr>
          <w:p w14:paraId="7C12C66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7751F13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0.239</w:t>
            </w:r>
          </w:p>
        </w:tc>
        <w:tc>
          <w:tcPr>
            <w:tcW w:w="992" w:type="dxa"/>
            <w:tcBorders>
              <w:top w:val="nil"/>
              <w:left w:val="nil"/>
              <w:bottom w:val="nil"/>
              <w:right w:val="nil"/>
            </w:tcBorders>
            <w:shd w:val="clear" w:color="auto" w:fill="auto"/>
            <w:noWrap/>
            <w:vAlign w:val="bottom"/>
            <w:hideMark/>
          </w:tcPr>
          <w:p w14:paraId="1D9F099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7F622F2D" w14:textId="77777777" w:rsidTr="00A61F03">
        <w:trPr>
          <w:trHeight w:val="300"/>
        </w:trPr>
        <w:tc>
          <w:tcPr>
            <w:tcW w:w="1060" w:type="dxa"/>
            <w:tcBorders>
              <w:top w:val="nil"/>
              <w:left w:val="nil"/>
              <w:bottom w:val="nil"/>
              <w:right w:val="nil"/>
            </w:tcBorders>
            <w:shd w:val="clear" w:color="auto" w:fill="auto"/>
            <w:noWrap/>
            <w:vAlign w:val="bottom"/>
            <w:hideMark/>
          </w:tcPr>
          <w:p w14:paraId="7DA3D22B"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2016</w:t>
            </w:r>
          </w:p>
        </w:tc>
        <w:tc>
          <w:tcPr>
            <w:tcW w:w="1300" w:type="dxa"/>
            <w:tcBorders>
              <w:top w:val="nil"/>
              <w:left w:val="nil"/>
              <w:bottom w:val="nil"/>
              <w:right w:val="nil"/>
            </w:tcBorders>
            <w:shd w:val="clear" w:color="auto" w:fill="auto"/>
            <w:noWrap/>
            <w:vAlign w:val="bottom"/>
            <w:hideMark/>
          </w:tcPr>
          <w:p w14:paraId="10C2C99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110 802</w:t>
            </w:r>
          </w:p>
        </w:tc>
        <w:tc>
          <w:tcPr>
            <w:tcW w:w="1012" w:type="dxa"/>
            <w:tcBorders>
              <w:top w:val="nil"/>
              <w:left w:val="nil"/>
              <w:bottom w:val="nil"/>
              <w:right w:val="nil"/>
            </w:tcBorders>
            <w:shd w:val="clear" w:color="auto" w:fill="auto"/>
            <w:noWrap/>
            <w:vAlign w:val="bottom"/>
            <w:hideMark/>
          </w:tcPr>
          <w:p w14:paraId="1BBD479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0.074</w:t>
            </w:r>
          </w:p>
        </w:tc>
        <w:tc>
          <w:tcPr>
            <w:tcW w:w="998" w:type="dxa"/>
            <w:tcBorders>
              <w:top w:val="nil"/>
              <w:left w:val="nil"/>
              <w:bottom w:val="nil"/>
              <w:right w:val="nil"/>
            </w:tcBorders>
            <w:shd w:val="clear" w:color="auto" w:fill="auto"/>
            <w:noWrap/>
            <w:vAlign w:val="bottom"/>
            <w:hideMark/>
          </w:tcPr>
          <w:p w14:paraId="4770C84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0.698</w:t>
            </w:r>
          </w:p>
        </w:tc>
        <w:tc>
          <w:tcPr>
            <w:tcW w:w="1017" w:type="dxa"/>
            <w:tcBorders>
              <w:top w:val="nil"/>
              <w:left w:val="nil"/>
              <w:bottom w:val="nil"/>
              <w:right w:val="nil"/>
            </w:tcBorders>
            <w:shd w:val="clear" w:color="auto" w:fill="auto"/>
            <w:noWrap/>
            <w:vAlign w:val="bottom"/>
            <w:hideMark/>
          </w:tcPr>
          <w:p w14:paraId="4CC0CDE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1BA8A70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0.226</w:t>
            </w:r>
          </w:p>
        </w:tc>
        <w:tc>
          <w:tcPr>
            <w:tcW w:w="992" w:type="dxa"/>
            <w:tcBorders>
              <w:top w:val="nil"/>
              <w:left w:val="nil"/>
              <w:bottom w:val="nil"/>
              <w:right w:val="nil"/>
            </w:tcBorders>
            <w:shd w:val="clear" w:color="auto" w:fill="auto"/>
            <w:noWrap/>
            <w:vAlign w:val="bottom"/>
            <w:hideMark/>
          </w:tcPr>
          <w:p w14:paraId="301DB98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1859F2C8" w14:textId="77777777" w:rsidTr="00A61F03">
        <w:trPr>
          <w:trHeight w:val="300"/>
        </w:trPr>
        <w:tc>
          <w:tcPr>
            <w:tcW w:w="1060" w:type="dxa"/>
            <w:tcBorders>
              <w:top w:val="nil"/>
              <w:left w:val="nil"/>
              <w:bottom w:val="nil"/>
              <w:right w:val="nil"/>
            </w:tcBorders>
            <w:shd w:val="clear" w:color="auto" w:fill="auto"/>
            <w:noWrap/>
            <w:vAlign w:val="bottom"/>
            <w:hideMark/>
          </w:tcPr>
          <w:p w14:paraId="74B8BCB8"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2017</w:t>
            </w:r>
          </w:p>
        </w:tc>
        <w:tc>
          <w:tcPr>
            <w:tcW w:w="1300" w:type="dxa"/>
            <w:tcBorders>
              <w:top w:val="nil"/>
              <w:left w:val="nil"/>
              <w:bottom w:val="nil"/>
              <w:right w:val="nil"/>
            </w:tcBorders>
            <w:shd w:val="clear" w:color="auto" w:fill="auto"/>
            <w:noWrap/>
            <w:vAlign w:val="bottom"/>
            <w:hideMark/>
          </w:tcPr>
          <w:p w14:paraId="6E2CC3E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117 416</w:t>
            </w:r>
          </w:p>
        </w:tc>
        <w:tc>
          <w:tcPr>
            <w:tcW w:w="1012" w:type="dxa"/>
            <w:tcBorders>
              <w:top w:val="nil"/>
              <w:left w:val="nil"/>
              <w:bottom w:val="nil"/>
              <w:right w:val="nil"/>
            </w:tcBorders>
            <w:shd w:val="clear" w:color="auto" w:fill="auto"/>
            <w:noWrap/>
            <w:vAlign w:val="bottom"/>
            <w:hideMark/>
          </w:tcPr>
          <w:p w14:paraId="46650FE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0.069</w:t>
            </w:r>
          </w:p>
        </w:tc>
        <w:tc>
          <w:tcPr>
            <w:tcW w:w="998" w:type="dxa"/>
            <w:tcBorders>
              <w:top w:val="nil"/>
              <w:left w:val="nil"/>
              <w:bottom w:val="nil"/>
              <w:right w:val="nil"/>
            </w:tcBorders>
            <w:shd w:val="clear" w:color="auto" w:fill="auto"/>
            <w:noWrap/>
            <w:vAlign w:val="bottom"/>
            <w:hideMark/>
          </w:tcPr>
          <w:p w14:paraId="2E20ACD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0.718</w:t>
            </w:r>
          </w:p>
        </w:tc>
        <w:tc>
          <w:tcPr>
            <w:tcW w:w="1017" w:type="dxa"/>
            <w:tcBorders>
              <w:top w:val="nil"/>
              <w:left w:val="nil"/>
              <w:bottom w:val="nil"/>
              <w:right w:val="nil"/>
            </w:tcBorders>
            <w:shd w:val="clear" w:color="auto" w:fill="auto"/>
            <w:noWrap/>
            <w:vAlign w:val="bottom"/>
            <w:hideMark/>
          </w:tcPr>
          <w:p w14:paraId="3692D73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3A566A0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0.211</w:t>
            </w:r>
          </w:p>
        </w:tc>
        <w:tc>
          <w:tcPr>
            <w:tcW w:w="992" w:type="dxa"/>
            <w:tcBorders>
              <w:top w:val="nil"/>
              <w:left w:val="nil"/>
              <w:bottom w:val="nil"/>
              <w:right w:val="nil"/>
            </w:tcBorders>
            <w:shd w:val="clear" w:color="auto" w:fill="auto"/>
            <w:noWrap/>
            <w:vAlign w:val="bottom"/>
            <w:hideMark/>
          </w:tcPr>
          <w:p w14:paraId="202DCE8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78C8B082" w14:textId="77777777" w:rsidTr="00A61F03">
        <w:trPr>
          <w:trHeight w:val="300"/>
        </w:trPr>
        <w:tc>
          <w:tcPr>
            <w:tcW w:w="1060" w:type="dxa"/>
            <w:tcBorders>
              <w:top w:val="nil"/>
              <w:left w:val="nil"/>
              <w:bottom w:val="nil"/>
              <w:right w:val="nil"/>
            </w:tcBorders>
            <w:shd w:val="clear" w:color="auto" w:fill="auto"/>
            <w:noWrap/>
            <w:vAlign w:val="bottom"/>
            <w:hideMark/>
          </w:tcPr>
          <w:p w14:paraId="4DC3AA4A"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2018</w:t>
            </w:r>
          </w:p>
        </w:tc>
        <w:tc>
          <w:tcPr>
            <w:tcW w:w="1300" w:type="dxa"/>
            <w:tcBorders>
              <w:top w:val="nil"/>
              <w:left w:val="nil"/>
              <w:bottom w:val="nil"/>
              <w:right w:val="nil"/>
            </w:tcBorders>
            <w:shd w:val="clear" w:color="auto" w:fill="auto"/>
            <w:noWrap/>
            <w:vAlign w:val="bottom"/>
            <w:hideMark/>
          </w:tcPr>
          <w:p w14:paraId="6668A53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125 784</w:t>
            </w:r>
          </w:p>
        </w:tc>
        <w:tc>
          <w:tcPr>
            <w:tcW w:w="1012" w:type="dxa"/>
            <w:tcBorders>
              <w:top w:val="nil"/>
              <w:left w:val="nil"/>
              <w:bottom w:val="nil"/>
              <w:right w:val="nil"/>
            </w:tcBorders>
            <w:shd w:val="clear" w:color="auto" w:fill="auto"/>
            <w:noWrap/>
            <w:vAlign w:val="bottom"/>
            <w:hideMark/>
          </w:tcPr>
          <w:p w14:paraId="5797CC2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0.066</w:t>
            </w:r>
          </w:p>
        </w:tc>
        <w:tc>
          <w:tcPr>
            <w:tcW w:w="998" w:type="dxa"/>
            <w:tcBorders>
              <w:top w:val="nil"/>
              <w:left w:val="nil"/>
              <w:bottom w:val="nil"/>
              <w:right w:val="nil"/>
            </w:tcBorders>
            <w:shd w:val="clear" w:color="auto" w:fill="auto"/>
            <w:noWrap/>
            <w:vAlign w:val="bottom"/>
            <w:hideMark/>
          </w:tcPr>
          <w:p w14:paraId="758000C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0.733</w:t>
            </w:r>
          </w:p>
        </w:tc>
        <w:tc>
          <w:tcPr>
            <w:tcW w:w="1017" w:type="dxa"/>
            <w:tcBorders>
              <w:top w:val="nil"/>
              <w:left w:val="nil"/>
              <w:bottom w:val="nil"/>
              <w:right w:val="nil"/>
            </w:tcBorders>
            <w:shd w:val="clear" w:color="auto" w:fill="auto"/>
            <w:noWrap/>
            <w:vAlign w:val="bottom"/>
            <w:hideMark/>
          </w:tcPr>
          <w:p w14:paraId="4AABDCB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3E3F385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0.199</w:t>
            </w:r>
          </w:p>
        </w:tc>
        <w:tc>
          <w:tcPr>
            <w:tcW w:w="992" w:type="dxa"/>
            <w:tcBorders>
              <w:top w:val="nil"/>
              <w:left w:val="nil"/>
              <w:bottom w:val="nil"/>
              <w:right w:val="nil"/>
            </w:tcBorders>
            <w:shd w:val="clear" w:color="auto" w:fill="auto"/>
            <w:noWrap/>
            <w:vAlign w:val="bottom"/>
            <w:hideMark/>
          </w:tcPr>
          <w:p w14:paraId="1A603B1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200E951D" w14:textId="77777777" w:rsidTr="00A61F03">
        <w:trPr>
          <w:trHeight w:val="300"/>
        </w:trPr>
        <w:tc>
          <w:tcPr>
            <w:tcW w:w="1060" w:type="dxa"/>
            <w:tcBorders>
              <w:top w:val="nil"/>
              <w:left w:val="nil"/>
              <w:bottom w:val="nil"/>
              <w:right w:val="nil"/>
            </w:tcBorders>
            <w:shd w:val="clear" w:color="auto" w:fill="auto"/>
            <w:noWrap/>
            <w:vAlign w:val="bottom"/>
            <w:hideMark/>
          </w:tcPr>
          <w:p w14:paraId="4628576C"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2019</w:t>
            </w:r>
          </w:p>
        </w:tc>
        <w:tc>
          <w:tcPr>
            <w:tcW w:w="1300" w:type="dxa"/>
            <w:tcBorders>
              <w:top w:val="nil"/>
              <w:left w:val="nil"/>
              <w:bottom w:val="nil"/>
              <w:right w:val="nil"/>
            </w:tcBorders>
            <w:shd w:val="clear" w:color="auto" w:fill="auto"/>
            <w:noWrap/>
            <w:vAlign w:val="bottom"/>
            <w:hideMark/>
          </w:tcPr>
          <w:p w14:paraId="14AEAF2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136 386</w:t>
            </w:r>
          </w:p>
        </w:tc>
        <w:tc>
          <w:tcPr>
            <w:tcW w:w="1012" w:type="dxa"/>
            <w:tcBorders>
              <w:top w:val="nil"/>
              <w:left w:val="nil"/>
              <w:bottom w:val="nil"/>
              <w:right w:val="nil"/>
            </w:tcBorders>
            <w:shd w:val="clear" w:color="auto" w:fill="auto"/>
            <w:noWrap/>
            <w:vAlign w:val="bottom"/>
            <w:hideMark/>
          </w:tcPr>
          <w:p w14:paraId="0C82AB7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0.062</w:t>
            </w:r>
          </w:p>
        </w:tc>
        <w:tc>
          <w:tcPr>
            <w:tcW w:w="998" w:type="dxa"/>
            <w:tcBorders>
              <w:top w:val="nil"/>
              <w:left w:val="nil"/>
              <w:bottom w:val="nil"/>
              <w:right w:val="nil"/>
            </w:tcBorders>
            <w:shd w:val="clear" w:color="auto" w:fill="auto"/>
            <w:noWrap/>
            <w:vAlign w:val="bottom"/>
            <w:hideMark/>
          </w:tcPr>
          <w:p w14:paraId="0BF79E9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0.746</w:t>
            </w:r>
          </w:p>
        </w:tc>
        <w:tc>
          <w:tcPr>
            <w:tcW w:w="1017" w:type="dxa"/>
            <w:tcBorders>
              <w:top w:val="nil"/>
              <w:left w:val="nil"/>
              <w:bottom w:val="nil"/>
              <w:right w:val="nil"/>
            </w:tcBorders>
            <w:shd w:val="clear" w:color="auto" w:fill="auto"/>
            <w:noWrap/>
            <w:vAlign w:val="bottom"/>
            <w:hideMark/>
          </w:tcPr>
          <w:p w14:paraId="358CA5F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6FC869D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0.190</w:t>
            </w:r>
          </w:p>
        </w:tc>
        <w:tc>
          <w:tcPr>
            <w:tcW w:w="992" w:type="dxa"/>
            <w:tcBorders>
              <w:top w:val="nil"/>
              <w:left w:val="nil"/>
              <w:bottom w:val="nil"/>
              <w:right w:val="nil"/>
            </w:tcBorders>
            <w:shd w:val="clear" w:color="auto" w:fill="auto"/>
            <w:noWrap/>
            <w:vAlign w:val="bottom"/>
            <w:hideMark/>
          </w:tcPr>
          <w:p w14:paraId="76907CB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AE3AB9" w:rsidRPr="00A37CBC" w14:paraId="26C337B5" w14:textId="77777777" w:rsidTr="00434BEF">
        <w:trPr>
          <w:trHeight w:val="300"/>
        </w:trPr>
        <w:tc>
          <w:tcPr>
            <w:tcW w:w="7371" w:type="dxa"/>
            <w:gridSpan w:val="7"/>
            <w:tcBorders>
              <w:top w:val="nil"/>
              <w:left w:val="nil"/>
              <w:bottom w:val="nil"/>
              <w:right w:val="nil"/>
            </w:tcBorders>
            <w:shd w:val="clear" w:color="auto" w:fill="auto"/>
            <w:noWrap/>
            <w:vAlign w:val="bottom"/>
            <w:hideMark/>
          </w:tcPr>
          <w:p w14:paraId="014DF52C" w14:textId="77777777" w:rsidR="00AE3AB9" w:rsidRPr="00A37CBC" w:rsidRDefault="00AE3AB9" w:rsidP="00A61F03">
            <w:pPr>
              <w:spacing w:before="0" w:after="0" w:line="240" w:lineRule="auto"/>
              <w:jc w:val="right"/>
              <w:rPr>
                <w:rFonts w:ascii="Times New Roman" w:eastAsia="Times New Roman" w:hAnsi="Times New Roman"/>
                <w:sz w:val="20"/>
                <w:lang w:eastAsia="en-AU"/>
              </w:rPr>
            </w:pPr>
          </w:p>
        </w:tc>
      </w:tr>
      <w:tr w:rsidR="00AE3AB9" w:rsidRPr="00A37CBC" w14:paraId="70C81F44" w14:textId="77777777" w:rsidTr="00AE3AB9">
        <w:trPr>
          <w:trHeight w:val="300"/>
        </w:trPr>
        <w:tc>
          <w:tcPr>
            <w:tcW w:w="7371" w:type="dxa"/>
            <w:gridSpan w:val="7"/>
            <w:tcBorders>
              <w:top w:val="nil"/>
              <w:left w:val="nil"/>
              <w:bottom w:val="nil"/>
              <w:right w:val="nil"/>
            </w:tcBorders>
            <w:shd w:val="clear" w:color="auto" w:fill="auto"/>
            <w:noWrap/>
            <w:vAlign w:val="bottom"/>
            <w:hideMark/>
          </w:tcPr>
          <w:p w14:paraId="63DB57E7" w14:textId="6F4F7339" w:rsidR="00AE3AB9" w:rsidRPr="00A37CBC" w:rsidRDefault="00AE3AB9" w:rsidP="00AE3AB9">
            <w:pPr>
              <w:spacing w:before="0" w:after="0" w:line="240" w:lineRule="auto"/>
              <w:rPr>
                <w:rFonts w:ascii="Times New Roman" w:eastAsia="Times New Roman" w:hAnsi="Times New Roman"/>
                <w:sz w:val="20"/>
                <w:lang w:eastAsia="en-AU"/>
              </w:rPr>
            </w:pPr>
            <w:r w:rsidRPr="00A37CBC">
              <w:rPr>
                <w:rFonts w:ascii="Calibri" w:eastAsia="Times New Roman" w:hAnsi="Calibri" w:cs="Calibri"/>
                <w:b/>
                <w:bCs/>
                <w:color w:val="000000"/>
                <w:szCs w:val="22"/>
                <w:lang w:eastAsia="en-AU"/>
              </w:rPr>
              <w:t>Female</w:t>
            </w:r>
          </w:p>
        </w:tc>
      </w:tr>
      <w:tr w:rsidR="00DD1307" w:rsidRPr="00A37CBC" w14:paraId="0ED5C8B3" w14:textId="77777777" w:rsidTr="00A61F03">
        <w:trPr>
          <w:trHeight w:val="300"/>
        </w:trPr>
        <w:tc>
          <w:tcPr>
            <w:tcW w:w="1060" w:type="dxa"/>
            <w:tcBorders>
              <w:top w:val="nil"/>
              <w:left w:val="nil"/>
              <w:bottom w:val="nil"/>
              <w:right w:val="nil"/>
            </w:tcBorders>
            <w:shd w:val="clear" w:color="auto" w:fill="auto"/>
            <w:noWrap/>
            <w:vAlign w:val="bottom"/>
            <w:hideMark/>
          </w:tcPr>
          <w:p w14:paraId="4864788D"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2013</w:t>
            </w:r>
          </w:p>
        </w:tc>
        <w:tc>
          <w:tcPr>
            <w:tcW w:w="1300" w:type="dxa"/>
            <w:tcBorders>
              <w:top w:val="nil"/>
              <w:left w:val="nil"/>
              <w:bottom w:val="nil"/>
              <w:right w:val="nil"/>
            </w:tcBorders>
            <w:shd w:val="clear" w:color="auto" w:fill="auto"/>
            <w:noWrap/>
            <w:vAlign w:val="bottom"/>
            <w:hideMark/>
          </w:tcPr>
          <w:p w14:paraId="5171950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154 633</w:t>
            </w:r>
          </w:p>
        </w:tc>
        <w:tc>
          <w:tcPr>
            <w:tcW w:w="1012" w:type="dxa"/>
            <w:tcBorders>
              <w:top w:val="nil"/>
              <w:left w:val="nil"/>
              <w:bottom w:val="nil"/>
              <w:right w:val="nil"/>
            </w:tcBorders>
            <w:shd w:val="clear" w:color="auto" w:fill="auto"/>
            <w:noWrap/>
            <w:vAlign w:val="bottom"/>
            <w:hideMark/>
          </w:tcPr>
          <w:p w14:paraId="0D6E5B2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0.086</w:t>
            </w:r>
          </w:p>
        </w:tc>
        <w:tc>
          <w:tcPr>
            <w:tcW w:w="998" w:type="dxa"/>
            <w:tcBorders>
              <w:top w:val="nil"/>
              <w:left w:val="nil"/>
              <w:bottom w:val="nil"/>
              <w:right w:val="nil"/>
            </w:tcBorders>
            <w:shd w:val="clear" w:color="auto" w:fill="auto"/>
            <w:noWrap/>
            <w:vAlign w:val="bottom"/>
            <w:hideMark/>
          </w:tcPr>
          <w:p w14:paraId="5DAA959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0.674</w:t>
            </w:r>
          </w:p>
        </w:tc>
        <w:tc>
          <w:tcPr>
            <w:tcW w:w="1017" w:type="dxa"/>
            <w:tcBorders>
              <w:top w:val="nil"/>
              <w:left w:val="nil"/>
              <w:bottom w:val="nil"/>
              <w:right w:val="nil"/>
            </w:tcBorders>
            <w:shd w:val="clear" w:color="auto" w:fill="auto"/>
            <w:noWrap/>
            <w:vAlign w:val="bottom"/>
            <w:hideMark/>
          </w:tcPr>
          <w:p w14:paraId="7439C02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668EAE5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0.239</w:t>
            </w:r>
          </w:p>
        </w:tc>
        <w:tc>
          <w:tcPr>
            <w:tcW w:w="992" w:type="dxa"/>
            <w:tcBorders>
              <w:top w:val="nil"/>
              <w:left w:val="nil"/>
              <w:bottom w:val="nil"/>
              <w:right w:val="nil"/>
            </w:tcBorders>
            <w:shd w:val="clear" w:color="auto" w:fill="auto"/>
            <w:noWrap/>
            <w:vAlign w:val="bottom"/>
            <w:hideMark/>
          </w:tcPr>
          <w:p w14:paraId="0AC3A67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73C0A80F" w14:textId="77777777" w:rsidTr="00A61F03">
        <w:trPr>
          <w:trHeight w:val="300"/>
        </w:trPr>
        <w:tc>
          <w:tcPr>
            <w:tcW w:w="1060" w:type="dxa"/>
            <w:tcBorders>
              <w:top w:val="nil"/>
              <w:left w:val="nil"/>
              <w:bottom w:val="nil"/>
              <w:right w:val="nil"/>
            </w:tcBorders>
            <w:shd w:val="clear" w:color="auto" w:fill="auto"/>
            <w:noWrap/>
            <w:vAlign w:val="bottom"/>
            <w:hideMark/>
          </w:tcPr>
          <w:p w14:paraId="3A81279C"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2014</w:t>
            </w:r>
          </w:p>
        </w:tc>
        <w:tc>
          <w:tcPr>
            <w:tcW w:w="1300" w:type="dxa"/>
            <w:tcBorders>
              <w:top w:val="nil"/>
              <w:left w:val="nil"/>
              <w:bottom w:val="nil"/>
              <w:right w:val="nil"/>
            </w:tcBorders>
            <w:shd w:val="clear" w:color="auto" w:fill="auto"/>
            <w:noWrap/>
            <w:vAlign w:val="bottom"/>
            <w:hideMark/>
          </w:tcPr>
          <w:p w14:paraId="07D9687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163 135</w:t>
            </w:r>
          </w:p>
        </w:tc>
        <w:tc>
          <w:tcPr>
            <w:tcW w:w="1012" w:type="dxa"/>
            <w:tcBorders>
              <w:top w:val="nil"/>
              <w:left w:val="nil"/>
              <w:bottom w:val="nil"/>
              <w:right w:val="nil"/>
            </w:tcBorders>
            <w:shd w:val="clear" w:color="auto" w:fill="auto"/>
            <w:noWrap/>
            <w:vAlign w:val="bottom"/>
            <w:hideMark/>
          </w:tcPr>
          <w:p w14:paraId="3A883F3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0.084</w:t>
            </w:r>
          </w:p>
        </w:tc>
        <w:tc>
          <w:tcPr>
            <w:tcW w:w="998" w:type="dxa"/>
            <w:tcBorders>
              <w:top w:val="nil"/>
              <w:left w:val="nil"/>
              <w:bottom w:val="nil"/>
              <w:right w:val="nil"/>
            </w:tcBorders>
            <w:shd w:val="clear" w:color="auto" w:fill="auto"/>
            <w:noWrap/>
            <w:vAlign w:val="bottom"/>
            <w:hideMark/>
          </w:tcPr>
          <w:p w14:paraId="17EE197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0.681</w:t>
            </w:r>
          </w:p>
        </w:tc>
        <w:tc>
          <w:tcPr>
            <w:tcW w:w="1017" w:type="dxa"/>
            <w:tcBorders>
              <w:top w:val="nil"/>
              <w:left w:val="nil"/>
              <w:bottom w:val="nil"/>
              <w:right w:val="nil"/>
            </w:tcBorders>
            <w:shd w:val="clear" w:color="auto" w:fill="auto"/>
            <w:noWrap/>
            <w:vAlign w:val="bottom"/>
            <w:hideMark/>
          </w:tcPr>
          <w:p w14:paraId="2453C71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3D08B30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0.233</w:t>
            </w:r>
          </w:p>
        </w:tc>
        <w:tc>
          <w:tcPr>
            <w:tcW w:w="992" w:type="dxa"/>
            <w:tcBorders>
              <w:top w:val="nil"/>
              <w:left w:val="nil"/>
              <w:bottom w:val="nil"/>
              <w:right w:val="nil"/>
            </w:tcBorders>
            <w:shd w:val="clear" w:color="auto" w:fill="auto"/>
            <w:noWrap/>
            <w:vAlign w:val="bottom"/>
            <w:hideMark/>
          </w:tcPr>
          <w:p w14:paraId="11C954A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3919D4CC" w14:textId="77777777" w:rsidTr="00A61F03">
        <w:trPr>
          <w:trHeight w:val="300"/>
        </w:trPr>
        <w:tc>
          <w:tcPr>
            <w:tcW w:w="1060" w:type="dxa"/>
            <w:tcBorders>
              <w:top w:val="nil"/>
              <w:left w:val="nil"/>
              <w:bottom w:val="nil"/>
              <w:right w:val="nil"/>
            </w:tcBorders>
            <w:shd w:val="clear" w:color="auto" w:fill="auto"/>
            <w:noWrap/>
            <w:vAlign w:val="bottom"/>
            <w:hideMark/>
          </w:tcPr>
          <w:p w14:paraId="40FC4627"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2015</w:t>
            </w:r>
          </w:p>
        </w:tc>
        <w:tc>
          <w:tcPr>
            <w:tcW w:w="1300" w:type="dxa"/>
            <w:tcBorders>
              <w:top w:val="nil"/>
              <w:left w:val="nil"/>
              <w:bottom w:val="nil"/>
              <w:right w:val="nil"/>
            </w:tcBorders>
            <w:shd w:val="clear" w:color="auto" w:fill="auto"/>
            <w:noWrap/>
            <w:vAlign w:val="bottom"/>
            <w:hideMark/>
          </w:tcPr>
          <w:p w14:paraId="291C260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174 389</w:t>
            </w:r>
          </w:p>
        </w:tc>
        <w:tc>
          <w:tcPr>
            <w:tcW w:w="1012" w:type="dxa"/>
            <w:tcBorders>
              <w:top w:val="nil"/>
              <w:left w:val="nil"/>
              <w:bottom w:val="nil"/>
              <w:right w:val="nil"/>
            </w:tcBorders>
            <w:shd w:val="clear" w:color="auto" w:fill="auto"/>
            <w:noWrap/>
            <w:vAlign w:val="bottom"/>
            <w:hideMark/>
          </w:tcPr>
          <w:p w14:paraId="37EAB40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0.080</w:t>
            </w:r>
          </w:p>
        </w:tc>
        <w:tc>
          <w:tcPr>
            <w:tcW w:w="998" w:type="dxa"/>
            <w:tcBorders>
              <w:top w:val="nil"/>
              <w:left w:val="nil"/>
              <w:bottom w:val="nil"/>
              <w:right w:val="nil"/>
            </w:tcBorders>
            <w:shd w:val="clear" w:color="auto" w:fill="auto"/>
            <w:noWrap/>
            <w:vAlign w:val="bottom"/>
            <w:hideMark/>
          </w:tcPr>
          <w:p w14:paraId="420A3FB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0.696</w:t>
            </w:r>
          </w:p>
        </w:tc>
        <w:tc>
          <w:tcPr>
            <w:tcW w:w="1017" w:type="dxa"/>
            <w:tcBorders>
              <w:top w:val="nil"/>
              <w:left w:val="nil"/>
              <w:bottom w:val="nil"/>
              <w:right w:val="nil"/>
            </w:tcBorders>
            <w:shd w:val="clear" w:color="auto" w:fill="auto"/>
            <w:noWrap/>
            <w:vAlign w:val="bottom"/>
            <w:hideMark/>
          </w:tcPr>
          <w:p w14:paraId="1E3A7BD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44AE8BD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0.223</w:t>
            </w:r>
          </w:p>
        </w:tc>
        <w:tc>
          <w:tcPr>
            <w:tcW w:w="992" w:type="dxa"/>
            <w:tcBorders>
              <w:top w:val="nil"/>
              <w:left w:val="nil"/>
              <w:bottom w:val="nil"/>
              <w:right w:val="nil"/>
            </w:tcBorders>
            <w:shd w:val="clear" w:color="auto" w:fill="auto"/>
            <w:noWrap/>
            <w:vAlign w:val="bottom"/>
            <w:hideMark/>
          </w:tcPr>
          <w:p w14:paraId="7737F75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00972D06" w14:textId="77777777" w:rsidTr="00A61F03">
        <w:trPr>
          <w:trHeight w:val="300"/>
        </w:trPr>
        <w:tc>
          <w:tcPr>
            <w:tcW w:w="1060" w:type="dxa"/>
            <w:tcBorders>
              <w:top w:val="nil"/>
              <w:left w:val="nil"/>
              <w:bottom w:val="nil"/>
              <w:right w:val="nil"/>
            </w:tcBorders>
            <w:shd w:val="clear" w:color="auto" w:fill="auto"/>
            <w:noWrap/>
            <w:vAlign w:val="bottom"/>
            <w:hideMark/>
          </w:tcPr>
          <w:p w14:paraId="2F05757F"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2016</w:t>
            </w:r>
          </w:p>
        </w:tc>
        <w:tc>
          <w:tcPr>
            <w:tcW w:w="1300" w:type="dxa"/>
            <w:tcBorders>
              <w:top w:val="nil"/>
              <w:left w:val="nil"/>
              <w:bottom w:val="nil"/>
              <w:right w:val="nil"/>
            </w:tcBorders>
            <w:shd w:val="clear" w:color="auto" w:fill="auto"/>
            <w:noWrap/>
            <w:vAlign w:val="bottom"/>
            <w:hideMark/>
          </w:tcPr>
          <w:p w14:paraId="7F79456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184 570</w:t>
            </w:r>
          </w:p>
        </w:tc>
        <w:tc>
          <w:tcPr>
            <w:tcW w:w="1012" w:type="dxa"/>
            <w:tcBorders>
              <w:top w:val="nil"/>
              <w:left w:val="nil"/>
              <w:bottom w:val="nil"/>
              <w:right w:val="nil"/>
            </w:tcBorders>
            <w:shd w:val="clear" w:color="auto" w:fill="auto"/>
            <w:noWrap/>
            <w:vAlign w:val="bottom"/>
            <w:hideMark/>
          </w:tcPr>
          <w:p w14:paraId="6A67759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0.079</w:t>
            </w:r>
          </w:p>
        </w:tc>
        <w:tc>
          <w:tcPr>
            <w:tcW w:w="998" w:type="dxa"/>
            <w:tcBorders>
              <w:top w:val="nil"/>
              <w:left w:val="nil"/>
              <w:bottom w:val="nil"/>
              <w:right w:val="nil"/>
            </w:tcBorders>
            <w:shd w:val="clear" w:color="auto" w:fill="auto"/>
            <w:noWrap/>
            <w:vAlign w:val="bottom"/>
            <w:hideMark/>
          </w:tcPr>
          <w:p w14:paraId="1E16726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0.712</w:t>
            </w:r>
          </w:p>
        </w:tc>
        <w:tc>
          <w:tcPr>
            <w:tcW w:w="1017" w:type="dxa"/>
            <w:tcBorders>
              <w:top w:val="nil"/>
              <w:left w:val="nil"/>
              <w:bottom w:val="nil"/>
              <w:right w:val="nil"/>
            </w:tcBorders>
            <w:shd w:val="clear" w:color="auto" w:fill="auto"/>
            <w:noWrap/>
            <w:vAlign w:val="bottom"/>
            <w:hideMark/>
          </w:tcPr>
          <w:p w14:paraId="5E309A4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099ACDF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0.208</w:t>
            </w:r>
          </w:p>
        </w:tc>
        <w:tc>
          <w:tcPr>
            <w:tcW w:w="992" w:type="dxa"/>
            <w:tcBorders>
              <w:top w:val="nil"/>
              <w:left w:val="nil"/>
              <w:bottom w:val="nil"/>
              <w:right w:val="nil"/>
            </w:tcBorders>
            <w:shd w:val="clear" w:color="auto" w:fill="auto"/>
            <w:noWrap/>
            <w:vAlign w:val="bottom"/>
            <w:hideMark/>
          </w:tcPr>
          <w:p w14:paraId="12DB429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2F16F59B" w14:textId="77777777" w:rsidTr="00A61F03">
        <w:trPr>
          <w:trHeight w:val="300"/>
        </w:trPr>
        <w:tc>
          <w:tcPr>
            <w:tcW w:w="1060" w:type="dxa"/>
            <w:tcBorders>
              <w:top w:val="nil"/>
              <w:left w:val="nil"/>
              <w:bottom w:val="nil"/>
              <w:right w:val="nil"/>
            </w:tcBorders>
            <w:shd w:val="clear" w:color="auto" w:fill="auto"/>
            <w:noWrap/>
            <w:vAlign w:val="bottom"/>
            <w:hideMark/>
          </w:tcPr>
          <w:p w14:paraId="42A6E432"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2017</w:t>
            </w:r>
          </w:p>
        </w:tc>
        <w:tc>
          <w:tcPr>
            <w:tcW w:w="1300" w:type="dxa"/>
            <w:tcBorders>
              <w:top w:val="nil"/>
              <w:left w:val="nil"/>
              <w:bottom w:val="nil"/>
              <w:right w:val="nil"/>
            </w:tcBorders>
            <w:shd w:val="clear" w:color="auto" w:fill="auto"/>
            <w:noWrap/>
            <w:vAlign w:val="bottom"/>
            <w:hideMark/>
          </w:tcPr>
          <w:p w14:paraId="178D21A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194 054</w:t>
            </w:r>
          </w:p>
        </w:tc>
        <w:tc>
          <w:tcPr>
            <w:tcW w:w="1012" w:type="dxa"/>
            <w:tcBorders>
              <w:top w:val="nil"/>
              <w:left w:val="nil"/>
              <w:bottom w:val="nil"/>
              <w:right w:val="nil"/>
            </w:tcBorders>
            <w:shd w:val="clear" w:color="auto" w:fill="auto"/>
            <w:noWrap/>
            <w:vAlign w:val="bottom"/>
            <w:hideMark/>
          </w:tcPr>
          <w:p w14:paraId="1C51515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0.074</w:t>
            </w:r>
          </w:p>
        </w:tc>
        <w:tc>
          <w:tcPr>
            <w:tcW w:w="998" w:type="dxa"/>
            <w:tcBorders>
              <w:top w:val="nil"/>
              <w:left w:val="nil"/>
              <w:bottom w:val="nil"/>
              <w:right w:val="nil"/>
            </w:tcBorders>
            <w:shd w:val="clear" w:color="auto" w:fill="auto"/>
            <w:noWrap/>
            <w:vAlign w:val="bottom"/>
            <w:hideMark/>
          </w:tcPr>
          <w:p w14:paraId="76AA8DF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0.731</w:t>
            </w:r>
          </w:p>
        </w:tc>
        <w:tc>
          <w:tcPr>
            <w:tcW w:w="1017" w:type="dxa"/>
            <w:tcBorders>
              <w:top w:val="nil"/>
              <w:left w:val="nil"/>
              <w:bottom w:val="nil"/>
              <w:right w:val="nil"/>
            </w:tcBorders>
            <w:shd w:val="clear" w:color="auto" w:fill="auto"/>
            <w:noWrap/>
            <w:vAlign w:val="bottom"/>
            <w:hideMark/>
          </w:tcPr>
          <w:p w14:paraId="0814ECE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25D178B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0.193</w:t>
            </w:r>
          </w:p>
        </w:tc>
        <w:tc>
          <w:tcPr>
            <w:tcW w:w="992" w:type="dxa"/>
            <w:tcBorders>
              <w:top w:val="nil"/>
              <w:left w:val="nil"/>
              <w:bottom w:val="nil"/>
              <w:right w:val="nil"/>
            </w:tcBorders>
            <w:shd w:val="clear" w:color="auto" w:fill="auto"/>
            <w:noWrap/>
            <w:vAlign w:val="bottom"/>
            <w:hideMark/>
          </w:tcPr>
          <w:p w14:paraId="700FF42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085A35FC" w14:textId="77777777" w:rsidTr="00A61F03">
        <w:trPr>
          <w:trHeight w:val="300"/>
        </w:trPr>
        <w:tc>
          <w:tcPr>
            <w:tcW w:w="1060" w:type="dxa"/>
            <w:tcBorders>
              <w:top w:val="nil"/>
              <w:left w:val="nil"/>
              <w:bottom w:val="nil"/>
              <w:right w:val="nil"/>
            </w:tcBorders>
            <w:shd w:val="clear" w:color="auto" w:fill="auto"/>
            <w:noWrap/>
            <w:vAlign w:val="bottom"/>
            <w:hideMark/>
          </w:tcPr>
          <w:p w14:paraId="1ED90903"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2018</w:t>
            </w:r>
          </w:p>
        </w:tc>
        <w:tc>
          <w:tcPr>
            <w:tcW w:w="1300" w:type="dxa"/>
            <w:tcBorders>
              <w:top w:val="nil"/>
              <w:left w:val="nil"/>
              <w:bottom w:val="nil"/>
              <w:right w:val="nil"/>
            </w:tcBorders>
            <w:shd w:val="clear" w:color="auto" w:fill="auto"/>
            <w:noWrap/>
            <w:vAlign w:val="bottom"/>
            <w:hideMark/>
          </w:tcPr>
          <w:p w14:paraId="073B796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205 291</w:t>
            </w:r>
          </w:p>
        </w:tc>
        <w:tc>
          <w:tcPr>
            <w:tcW w:w="1012" w:type="dxa"/>
            <w:tcBorders>
              <w:top w:val="nil"/>
              <w:left w:val="nil"/>
              <w:bottom w:val="nil"/>
              <w:right w:val="nil"/>
            </w:tcBorders>
            <w:shd w:val="clear" w:color="auto" w:fill="auto"/>
            <w:noWrap/>
            <w:vAlign w:val="bottom"/>
            <w:hideMark/>
          </w:tcPr>
          <w:p w14:paraId="0FAE336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0.073</w:t>
            </w:r>
          </w:p>
        </w:tc>
        <w:tc>
          <w:tcPr>
            <w:tcW w:w="998" w:type="dxa"/>
            <w:tcBorders>
              <w:top w:val="nil"/>
              <w:left w:val="nil"/>
              <w:bottom w:val="nil"/>
              <w:right w:val="nil"/>
            </w:tcBorders>
            <w:shd w:val="clear" w:color="auto" w:fill="auto"/>
            <w:noWrap/>
            <w:vAlign w:val="bottom"/>
            <w:hideMark/>
          </w:tcPr>
          <w:p w14:paraId="28F7947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0.745</w:t>
            </w:r>
          </w:p>
        </w:tc>
        <w:tc>
          <w:tcPr>
            <w:tcW w:w="1017" w:type="dxa"/>
            <w:tcBorders>
              <w:top w:val="nil"/>
              <w:left w:val="nil"/>
              <w:bottom w:val="nil"/>
              <w:right w:val="nil"/>
            </w:tcBorders>
            <w:shd w:val="clear" w:color="auto" w:fill="auto"/>
            <w:noWrap/>
            <w:vAlign w:val="bottom"/>
            <w:hideMark/>
          </w:tcPr>
          <w:p w14:paraId="3D0892F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0.002</w:t>
            </w:r>
          </w:p>
        </w:tc>
        <w:tc>
          <w:tcPr>
            <w:tcW w:w="992" w:type="dxa"/>
            <w:tcBorders>
              <w:top w:val="nil"/>
              <w:left w:val="nil"/>
              <w:bottom w:val="nil"/>
              <w:right w:val="nil"/>
            </w:tcBorders>
            <w:shd w:val="clear" w:color="auto" w:fill="auto"/>
            <w:noWrap/>
            <w:vAlign w:val="bottom"/>
            <w:hideMark/>
          </w:tcPr>
          <w:p w14:paraId="0CFA1A5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0.180</w:t>
            </w:r>
          </w:p>
        </w:tc>
        <w:tc>
          <w:tcPr>
            <w:tcW w:w="992" w:type="dxa"/>
            <w:tcBorders>
              <w:top w:val="nil"/>
              <w:left w:val="nil"/>
              <w:bottom w:val="nil"/>
              <w:right w:val="nil"/>
            </w:tcBorders>
            <w:shd w:val="clear" w:color="auto" w:fill="auto"/>
            <w:noWrap/>
            <w:vAlign w:val="bottom"/>
            <w:hideMark/>
          </w:tcPr>
          <w:p w14:paraId="71D15FE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r w:rsidR="00DD1307" w:rsidRPr="00A37CBC" w14:paraId="61CFA97C" w14:textId="77777777" w:rsidTr="00A61F03">
        <w:trPr>
          <w:trHeight w:val="300"/>
        </w:trPr>
        <w:tc>
          <w:tcPr>
            <w:tcW w:w="1060" w:type="dxa"/>
            <w:tcBorders>
              <w:top w:val="nil"/>
              <w:left w:val="nil"/>
              <w:bottom w:val="single" w:sz="4" w:space="0" w:color="auto"/>
              <w:right w:val="nil"/>
            </w:tcBorders>
            <w:shd w:val="clear" w:color="auto" w:fill="auto"/>
            <w:noWrap/>
            <w:vAlign w:val="bottom"/>
            <w:hideMark/>
          </w:tcPr>
          <w:p w14:paraId="07D5B63A"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2019</w:t>
            </w:r>
          </w:p>
        </w:tc>
        <w:tc>
          <w:tcPr>
            <w:tcW w:w="1300" w:type="dxa"/>
            <w:tcBorders>
              <w:top w:val="nil"/>
              <w:left w:val="nil"/>
              <w:bottom w:val="single" w:sz="4" w:space="0" w:color="auto"/>
              <w:right w:val="nil"/>
            </w:tcBorders>
            <w:shd w:val="clear" w:color="auto" w:fill="auto"/>
            <w:noWrap/>
            <w:vAlign w:val="bottom"/>
            <w:hideMark/>
          </w:tcPr>
          <w:p w14:paraId="2CBC92F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220 651</w:t>
            </w:r>
          </w:p>
        </w:tc>
        <w:tc>
          <w:tcPr>
            <w:tcW w:w="1012" w:type="dxa"/>
            <w:tcBorders>
              <w:top w:val="nil"/>
              <w:left w:val="nil"/>
              <w:bottom w:val="single" w:sz="4" w:space="0" w:color="auto"/>
              <w:right w:val="nil"/>
            </w:tcBorders>
            <w:shd w:val="clear" w:color="auto" w:fill="auto"/>
            <w:noWrap/>
            <w:vAlign w:val="bottom"/>
            <w:hideMark/>
          </w:tcPr>
          <w:p w14:paraId="595E8A3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0.071</w:t>
            </w:r>
          </w:p>
        </w:tc>
        <w:tc>
          <w:tcPr>
            <w:tcW w:w="998" w:type="dxa"/>
            <w:tcBorders>
              <w:top w:val="nil"/>
              <w:left w:val="nil"/>
              <w:bottom w:val="single" w:sz="4" w:space="0" w:color="auto"/>
              <w:right w:val="nil"/>
            </w:tcBorders>
            <w:shd w:val="clear" w:color="auto" w:fill="auto"/>
            <w:noWrap/>
            <w:vAlign w:val="bottom"/>
            <w:hideMark/>
          </w:tcPr>
          <w:p w14:paraId="1AE8FED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0.758</w:t>
            </w:r>
          </w:p>
        </w:tc>
        <w:tc>
          <w:tcPr>
            <w:tcW w:w="1017" w:type="dxa"/>
            <w:tcBorders>
              <w:top w:val="nil"/>
              <w:left w:val="nil"/>
              <w:bottom w:val="single" w:sz="4" w:space="0" w:color="auto"/>
              <w:right w:val="nil"/>
            </w:tcBorders>
            <w:shd w:val="clear" w:color="auto" w:fill="auto"/>
            <w:noWrap/>
            <w:vAlign w:val="bottom"/>
            <w:hideMark/>
          </w:tcPr>
          <w:p w14:paraId="7785C4B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0.001</w:t>
            </w:r>
          </w:p>
        </w:tc>
        <w:tc>
          <w:tcPr>
            <w:tcW w:w="992" w:type="dxa"/>
            <w:tcBorders>
              <w:top w:val="nil"/>
              <w:left w:val="nil"/>
              <w:bottom w:val="single" w:sz="4" w:space="0" w:color="auto"/>
              <w:right w:val="nil"/>
            </w:tcBorders>
            <w:shd w:val="clear" w:color="auto" w:fill="auto"/>
            <w:noWrap/>
            <w:vAlign w:val="bottom"/>
            <w:hideMark/>
          </w:tcPr>
          <w:p w14:paraId="61D974C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0.170</w:t>
            </w:r>
          </w:p>
        </w:tc>
        <w:tc>
          <w:tcPr>
            <w:tcW w:w="992" w:type="dxa"/>
            <w:tcBorders>
              <w:top w:val="nil"/>
              <w:left w:val="nil"/>
              <w:bottom w:val="single" w:sz="4" w:space="0" w:color="auto"/>
              <w:right w:val="nil"/>
            </w:tcBorders>
            <w:shd w:val="clear" w:color="auto" w:fill="auto"/>
            <w:noWrap/>
            <w:vAlign w:val="bottom"/>
            <w:hideMark/>
          </w:tcPr>
          <w:p w14:paraId="6E62DD46"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1.000</w:t>
            </w:r>
          </w:p>
        </w:tc>
      </w:tr>
    </w:tbl>
    <w:p w14:paraId="76A5D8FA" w14:textId="77777777" w:rsidR="00DD1307" w:rsidRPr="00052F99" w:rsidRDefault="00DD1307" w:rsidP="00DD1307">
      <w:r w:rsidRPr="00052F99">
        <w:t>Source: PBS</w:t>
      </w:r>
    </w:p>
    <w:p w14:paraId="7ECF7441" w14:textId="5381F457" w:rsidR="009266F3" w:rsidRDefault="00DD1307" w:rsidP="00DD1307">
      <w:pPr>
        <w:sectPr w:rsidR="009266F3" w:rsidSect="00960560">
          <w:footerReference w:type="default" r:id="rId73"/>
          <w:pgSz w:w="11906" w:h="16838" w:code="9"/>
          <w:pgMar w:top="1134" w:right="1418" w:bottom="1361" w:left="1418" w:header="573" w:footer="567" w:gutter="0"/>
          <w:cols w:space="708"/>
          <w:docGrid w:linePitch="360"/>
        </w:sectPr>
      </w:pPr>
      <w:r w:rsidRPr="00052F99">
        <w:t>Note: N06AA for monoamine reuptake inhibitors, N06AB selective serotonin reuptake inhibitors, N06AF non-selective monoamine oxidase inhibitors, N06AG monamine oxidase A inhibitors, N06AX other antidepressants</w:t>
      </w:r>
    </w:p>
    <w:p w14:paraId="2476711A" w14:textId="4416E421" w:rsidR="00DD1307" w:rsidRPr="00DD1307" w:rsidRDefault="00DD1307" w:rsidP="00A8585C">
      <w:pPr>
        <w:pStyle w:val="Heading3"/>
        <w:spacing w:before="0"/>
      </w:pPr>
      <w:bookmarkStart w:id="86" w:name="_Toc57132550"/>
      <w:bookmarkStart w:id="87" w:name="_Toc70418967"/>
      <w:r w:rsidRPr="00DD1307">
        <w:lastRenderedPageBreak/>
        <w:t>Appendix 5 – Age-specific number of antidepressant patients and distribution for drug classes, Australia 2013-2019</w:t>
      </w:r>
      <w:bookmarkEnd w:id="86"/>
      <w:bookmarkEnd w:id="87"/>
    </w:p>
    <w:tbl>
      <w:tblPr>
        <w:tblW w:w="13146" w:type="dxa"/>
        <w:tblLook w:val="04A0" w:firstRow="1" w:lastRow="0" w:firstColumn="1" w:lastColumn="0" w:noHBand="0" w:noVBand="1"/>
      </w:tblPr>
      <w:tblGrid>
        <w:gridCol w:w="1134"/>
        <w:gridCol w:w="929"/>
        <w:gridCol w:w="838"/>
        <w:gridCol w:w="828"/>
        <w:gridCol w:w="1188"/>
        <w:gridCol w:w="262"/>
        <w:gridCol w:w="1116"/>
        <w:gridCol w:w="821"/>
        <w:gridCol w:w="811"/>
        <w:gridCol w:w="1182"/>
        <w:gridCol w:w="262"/>
        <w:gridCol w:w="1006"/>
        <w:gridCol w:w="798"/>
        <w:gridCol w:w="789"/>
        <w:gridCol w:w="1182"/>
      </w:tblGrid>
      <w:tr w:rsidR="00A8585C" w:rsidRPr="00A37CBC" w14:paraId="4C41770B" w14:textId="77777777" w:rsidTr="00A8585C">
        <w:trPr>
          <w:cantSplit/>
          <w:tblHeader/>
        </w:trPr>
        <w:tc>
          <w:tcPr>
            <w:tcW w:w="1134" w:type="dxa"/>
            <w:vMerge w:val="restart"/>
            <w:tcBorders>
              <w:top w:val="single" w:sz="4" w:space="0" w:color="auto"/>
              <w:left w:val="nil"/>
              <w:bottom w:val="single" w:sz="4" w:space="0" w:color="000000"/>
              <w:right w:val="nil"/>
            </w:tcBorders>
            <w:shd w:val="clear" w:color="auto" w:fill="006DA7"/>
            <w:vAlign w:val="bottom"/>
            <w:hideMark/>
          </w:tcPr>
          <w:p w14:paraId="6EDDAD7C" w14:textId="77777777"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Calendar year</w:t>
            </w:r>
          </w:p>
        </w:tc>
        <w:tc>
          <w:tcPr>
            <w:tcW w:w="3783" w:type="dxa"/>
            <w:gridSpan w:val="4"/>
            <w:tcBorders>
              <w:top w:val="single" w:sz="4" w:space="0" w:color="auto"/>
              <w:left w:val="nil"/>
              <w:bottom w:val="single" w:sz="4" w:space="0" w:color="auto"/>
              <w:right w:val="nil"/>
            </w:tcBorders>
            <w:shd w:val="clear" w:color="auto" w:fill="006DA7"/>
            <w:noWrap/>
            <w:vAlign w:val="bottom"/>
            <w:hideMark/>
          </w:tcPr>
          <w:p w14:paraId="49557358" w14:textId="77777777" w:rsidR="00A8585C" w:rsidRPr="00A8585C" w:rsidRDefault="00A8585C" w:rsidP="00A61F03">
            <w:pPr>
              <w:spacing w:before="0" w:after="0" w:line="240" w:lineRule="auto"/>
              <w:jc w:val="center"/>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Two sexes</w:t>
            </w:r>
          </w:p>
        </w:tc>
        <w:tc>
          <w:tcPr>
            <w:tcW w:w="262" w:type="dxa"/>
            <w:vMerge w:val="restart"/>
            <w:tcBorders>
              <w:top w:val="single" w:sz="4" w:space="0" w:color="auto"/>
              <w:left w:val="nil"/>
              <w:right w:val="nil"/>
            </w:tcBorders>
            <w:shd w:val="clear" w:color="auto" w:fill="006DA7"/>
            <w:noWrap/>
            <w:vAlign w:val="bottom"/>
            <w:hideMark/>
          </w:tcPr>
          <w:p w14:paraId="6E36D633" w14:textId="3A0493EF"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3930" w:type="dxa"/>
            <w:gridSpan w:val="4"/>
            <w:tcBorders>
              <w:top w:val="single" w:sz="4" w:space="0" w:color="auto"/>
              <w:left w:val="nil"/>
              <w:bottom w:val="single" w:sz="4" w:space="0" w:color="auto"/>
              <w:right w:val="nil"/>
            </w:tcBorders>
            <w:shd w:val="clear" w:color="auto" w:fill="006DA7"/>
            <w:noWrap/>
            <w:vAlign w:val="bottom"/>
            <w:hideMark/>
          </w:tcPr>
          <w:p w14:paraId="48C45D8F" w14:textId="77777777" w:rsidR="00A8585C" w:rsidRPr="00A8585C" w:rsidRDefault="00A8585C" w:rsidP="00A61F03">
            <w:pPr>
              <w:spacing w:before="0" w:after="0" w:line="240" w:lineRule="auto"/>
              <w:jc w:val="center"/>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Male</w:t>
            </w:r>
          </w:p>
        </w:tc>
        <w:tc>
          <w:tcPr>
            <w:tcW w:w="262" w:type="dxa"/>
            <w:vMerge w:val="restart"/>
            <w:tcBorders>
              <w:top w:val="single" w:sz="4" w:space="0" w:color="auto"/>
              <w:left w:val="nil"/>
              <w:right w:val="nil"/>
            </w:tcBorders>
            <w:shd w:val="clear" w:color="auto" w:fill="006DA7"/>
            <w:noWrap/>
            <w:vAlign w:val="bottom"/>
            <w:hideMark/>
          </w:tcPr>
          <w:p w14:paraId="30461AAE" w14:textId="7889A2C1"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3775" w:type="dxa"/>
            <w:gridSpan w:val="4"/>
            <w:tcBorders>
              <w:top w:val="single" w:sz="4" w:space="0" w:color="auto"/>
              <w:left w:val="nil"/>
              <w:bottom w:val="single" w:sz="4" w:space="0" w:color="auto"/>
              <w:right w:val="nil"/>
            </w:tcBorders>
            <w:shd w:val="clear" w:color="auto" w:fill="006DA7"/>
            <w:noWrap/>
            <w:vAlign w:val="bottom"/>
            <w:hideMark/>
          </w:tcPr>
          <w:p w14:paraId="0C7A55FD" w14:textId="77777777" w:rsidR="00A8585C" w:rsidRPr="00A8585C" w:rsidRDefault="00A8585C" w:rsidP="00A61F03">
            <w:pPr>
              <w:spacing w:before="0" w:after="0" w:line="240" w:lineRule="auto"/>
              <w:jc w:val="center"/>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Female</w:t>
            </w:r>
          </w:p>
        </w:tc>
      </w:tr>
      <w:tr w:rsidR="00A8585C" w:rsidRPr="00A37CBC" w14:paraId="1C9807D8" w14:textId="77777777" w:rsidTr="00A8585C">
        <w:trPr>
          <w:cantSplit/>
          <w:tblHeader/>
        </w:trPr>
        <w:tc>
          <w:tcPr>
            <w:tcW w:w="1134" w:type="dxa"/>
            <w:vMerge/>
            <w:tcBorders>
              <w:top w:val="single" w:sz="4" w:space="0" w:color="auto"/>
              <w:left w:val="nil"/>
              <w:bottom w:val="single" w:sz="4" w:space="0" w:color="000000"/>
              <w:right w:val="nil"/>
            </w:tcBorders>
            <w:shd w:val="clear" w:color="auto" w:fill="006DA7"/>
            <w:vAlign w:val="center"/>
            <w:hideMark/>
          </w:tcPr>
          <w:p w14:paraId="0680BA50" w14:textId="77777777"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929" w:type="dxa"/>
            <w:vMerge w:val="restart"/>
            <w:tcBorders>
              <w:top w:val="nil"/>
              <w:left w:val="nil"/>
              <w:bottom w:val="single" w:sz="4" w:space="0" w:color="000000"/>
              <w:right w:val="nil"/>
            </w:tcBorders>
            <w:shd w:val="clear" w:color="auto" w:fill="006DA7"/>
            <w:vAlign w:val="bottom"/>
            <w:hideMark/>
          </w:tcPr>
          <w:p w14:paraId="13785653"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Total patients (N)</w:t>
            </w:r>
          </w:p>
        </w:tc>
        <w:tc>
          <w:tcPr>
            <w:tcW w:w="2854" w:type="dxa"/>
            <w:gridSpan w:val="3"/>
            <w:tcBorders>
              <w:top w:val="single" w:sz="4" w:space="0" w:color="auto"/>
              <w:left w:val="nil"/>
              <w:bottom w:val="single" w:sz="4" w:space="0" w:color="000000"/>
              <w:right w:val="nil"/>
            </w:tcBorders>
            <w:shd w:val="clear" w:color="auto" w:fill="006DA7"/>
            <w:vAlign w:val="bottom"/>
            <w:hideMark/>
          </w:tcPr>
          <w:p w14:paraId="0A9457AB" w14:textId="77777777" w:rsidR="00A8585C" w:rsidRPr="00A8585C" w:rsidRDefault="00A8585C" w:rsidP="00A61F03">
            <w:pPr>
              <w:spacing w:before="0" w:after="0" w:line="240" w:lineRule="auto"/>
              <w:jc w:val="center"/>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Proportions for drug classes (4th-level ATC codes)</w:t>
            </w:r>
          </w:p>
        </w:tc>
        <w:tc>
          <w:tcPr>
            <w:tcW w:w="262" w:type="dxa"/>
            <w:vMerge/>
            <w:tcBorders>
              <w:left w:val="nil"/>
              <w:bottom w:val="nil"/>
              <w:right w:val="nil"/>
            </w:tcBorders>
            <w:shd w:val="clear" w:color="auto" w:fill="006DA7"/>
            <w:noWrap/>
            <w:vAlign w:val="bottom"/>
            <w:hideMark/>
          </w:tcPr>
          <w:p w14:paraId="77F3E05B" w14:textId="0905DB98"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1116" w:type="dxa"/>
            <w:vMerge w:val="restart"/>
            <w:tcBorders>
              <w:top w:val="nil"/>
              <w:left w:val="nil"/>
              <w:bottom w:val="single" w:sz="4" w:space="0" w:color="000000"/>
              <w:right w:val="nil"/>
            </w:tcBorders>
            <w:shd w:val="clear" w:color="auto" w:fill="006DA7"/>
            <w:vAlign w:val="bottom"/>
            <w:hideMark/>
          </w:tcPr>
          <w:p w14:paraId="61F30DD3"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Total patients (N)</w:t>
            </w:r>
          </w:p>
        </w:tc>
        <w:tc>
          <w:tcPr>
            <w:tcW w:w="2814" w:type="dxa"/>
            <w:gridSpan w:val="3"/>
            <w:tcBorders>
              <w:top w:val="single" w:sz="4" w:space="0" w:color="auto"/>
              <w:left w:val="nil"/>
              <w:bottom w:val="single" w:sz="4" w:space="0" w:color="000000"/>
              <w:right w:val="nil"/>
            </w:tcBorders>
            <w:shd w:val="clear" w:color="auto" w:fill="006DA7"/>
            <w:vAlign w:val="bottom"/>
            <w:hideMark/>
          </w:tcPr>
          <w:p w14:paraId="446640C7" w14:textId="77777777" w:rsidR="00A8585C" w:rsidRPr="00A8585C" w:rsidRDefault="00A8585C" w:rsidP="00A61F03">
            <w:pPr>
              <w:spacing w:before="0" w:after="0" w:line="240" w:lineRule="auto"/>
              <w:jc w:val="center"/>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Proportions for drug classes (4th-level ATC codes)</w:t>
            </w:r>
          </w:p>
        </w:tc>
        <w:tc>
          <w:tcPr>
            <w:tcW w:w="262" w:type="dxa"/>
            <w:vMerge/>
            <w:tcBorders>
              <w:left w:val="nil"/>
              <w:bottom w:val="nil"/>
              <w:right w:val="nil"/>
            </w:tcBorders>
            <w:shd w:val="clear" w:color="auto" w:fill="006DA7"/>
            <w:noWrap/>
            <w:vAlign w:val="bottom"/>
            <w:hideMark/>
          </w:tcPr>
          <w:p w14:paraId="21CFE611" w14:textId="048A5396"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1006" w:type="dxa"/>
            <w:vMerge w:val="restart"/>
            <w:tcBorders>
              <w:top w:val="nil"/>
              <w:left w:val="nil"/>
              <w:bottom w:val="single" w:sz="4" w:space="0" w:color="000000"/>
              <w:right w:val="nil"/>
            </w:tcBorders>
            <w:shd w:val="clear" w:color="auto" w:fill="006DA7"/>
            <w:vAlign w:val="bottom"/>
            <w:hideMark/>
          </w:tcPr>
          <w:p w14:paraId="3FB9D080"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Total patients (N)</w:t>
            </w:r>
          </w:p>
        </w:tc>
        <w:tc>
          <w:tcPr>
            <w:tcW w:w="2769" w:type="dxa"/>
            <w:gridSpan w:val="3"/>
            <w:tcBorders>
              <w:top w:val="single" w:sz="4" w:space="0" w:color="auto"/>
              <w:left w:val="nil"/>
              <w:bottom w:val="single" w:sz="4" w:space="0" w:color="000000"/>
              <w:right w:val="nil"/>
            </w:tcBorders>
            <w:shd w:val="clear" w:color="auto" w:fill="006DA7"/>
            <w:vAlign w:val="bottom"/>
            <w:hideMark/>
          </w:tcPr>
          <w:p w14:paraId="56808C6D" w14:textId="77777777" w:rsidR="00A8585C" w:rsidRPr="00A8585C" w:rsidRDefault="00A8585C" w:rsidP="00A61F03">
            <w:pPr>
              <w:spacing w:before="0" w:after="0" w:line="240" w:lineRule="auto"/>
              <w:jc w:val="center"/>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Proportions for drug classes (4th-level ATC codes)</w:t>
            </w:r>
          </w:p>
        </w:tc>
      </w:tr>
      <w:tr w:rsidR="00A8585C" w:rsidRPr="00A37CBC" w14:paraId="3B766BBF" w14:textId="77777777" w:rsidTr="00A8585C">
        <w:trPr>
          <w:cantSplit/>
          <w:tblHeader/>
        </w:trPr>
        <w:tc>
          <w:tcPr>
            <w:tcW w:w="1134" w:type="dxa"/>
            <w:vMerge/>
            <w:tcBorders>
              <w:top w:val="single" w:sz="4" w:space="0" w:color="auto"/>
              <w:left w:val="nil"/>
              <w:bottom w:val="single" w:sz="4" w:space="0" w:color="000000"/>
              <w:right w:val="nil"/>
            </w:tcBorders>
            <w:shd w:val="clear" w:color="auto" w:fill="006DA7"/>
            <w:vAlign w:val="center"/>
            <w:hideMark/>
          </w:tcPr>
          <w:p w14:paraId="13EB8B50" w14:textId="77777777"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929" w:type="dxa"/>
            <w:vMerge/>
            <w:tcBorders>
              <w:top w:val="nil"/>
              <w:left w:val="nil"/>
              <w:bottom w:val="single" w:sz="4" w:space="0" w:color="000000"/>
              <w:right w:val="nil"/>
            </w:tcBorders>
            <w:shd w:val="clear" w:color="auto" w:fill="006DA7"/>
            <w:vAlign w:val="center"/>
            <w:hideMark/>
          </w:tcPr>
          <w:p w14:paraId="4E4C366E" w14:textId="77777777"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838" w:type="dxa"/>
            <w:tcBorders>
              <w:top w:val="nil"/>
              <w:left w:val="nil"/>
              <w:bottom w:val="single" w:sz="4" w:space="0" w:color="auto"/>
              <w:right w:val="nil"/>
            </w:tcBorders>
            <w:shd w:val="clear" w:color="auto" w:fill="006DA7"/>
            <w:noWrap/>
            <w:vAlign w:val="bottom"/>
            <w:hideMark/>
          </w:tcPr>
          <w:p w14:paraId="5CD106E8"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N06AA</w:t>
            </w:r>
          </w:p>
        </w:tc>
        <w:tc>
          <w:tcPr>
            <w:tcW w:w="828" w:type="dxa"/>
            <w:tcBorders>
              <w:top w:val="nil"/>
              <w:left w:val="nil"/>
              <w:bottom w:val="single" w:sz="4" w:space="0" w:color="auto"/>
              <w:right w:val="nil"/>
            </w:tcBorders>
            <w:shd w:val="clear" w:color="auto" w:fill="006DA7"/>
            <w:noWrap/>
            <w:vAlign w:val="bottom"/>
            <w:hideMark/>
          </w:tcPr>
          <w:p w14:paraId="5A02D02A"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N06AB</w:t>
            </w:r>
          </w:p>
        </w:tc>
        <w:tc>
          <w:tcPr>
            <w:tcW w:w="1188" w:type="dxa"/>
            <w:tcBorders>
              <w:top w:val="nil"/>
              <w:left w:val="nil"/>
              <w:bottom w:val="single" w:sz="4" w:space="0" w:color="auto"/>
              <w:right w:val="nil"/>
            </w:tcBorders>
            <w:shd w:val="clear" w:color="auto" w:fill="006DA7"/>
            <w:vAlign w:val="bottom"/>
            <w:hideMark/>
          </w:tcPr>
          <w:p w14:paraId="38F8CBF3"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N06AF N06AG N06AX</w:t>
            </w:r>
          </w:p>
        </w:tc>
        <w:tc>
          <w:tcPr>
            <w:tcW w:w="262" w:type="dxa"/>
            <w:vMerge/>
            <w:tcBorders>
              <w:left w:val="nil"/>
              <w:bottom w:val="single" w:sz="4" w:space="0" w:color="auto"/>
              <w:right w:val="nil"/>
            </w:tcBorders>
            <w:shd w:val="clear" w:color="auto" w:fill="006DA7"/>
            <w:noWrap/>
            <w:vAlign w:val="bottom"/>
            <w:hideMark/>
          </w:tcPr>
          <w:p w14:paraId="3BB50A4F" w14:textId="0C0B937F"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1116" w:type="dxa"/>
            <w:vMerge/>
            <w:tcBorders>
              <w:top w:val="nil"/>
              <w:left w:val="nil"/>
              <w:bottom w:val="single" w:sz="4" w:space="0" w:color="000000"/>
              <w:right w:val="nil"/>
            </w:tcBorders>
            <w:shd w:val="clear" w:color="auto" w:fill="006DA7"/>
            <w:vAlign w:val="center"/>
            <w:hideMark/>
          </w:tcPr>
          <w:p w14:paraId="2B595B28" w14:textId="77777777"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821" w:type="dxa"/>
            <w:tcBorders>
              <w:top w:val="nil"/>
              <w:left w:val="nil"/>
              <w:bottom w:val="single" w:sz="4" w:space="0" w:color="auto"/>
              <w:right w:val="nil"/>
            </w:tcBorders>
            <w:shd w:val="clear" w:color="auto" w:fill="006DA7"/>
            <w:noWrap/>
            <w:vAlign w:val="bottom"/>
            <w:hideMark/>
          </w:tcPr>
          <w:p w14:paraId="1E0ADAEF"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N06AA</w:t>
            </w:r>
          </w:p>
        </w:tc>
        <w:tc>
          <w:tcPr>
            <w:tcW w:w="811" w:type="dxa"/>
            <w:tcBorders>
              <w:top w:val="nil"/>
              <w:left w:val="nil"/>
              <w:bottom w:val="single" w:sz="4" w:space="0" w:color="auto"/>
              <w:right w:val="nil"/>
            </w:tcBorders>
            <w:shd w:val="clear" w:color="auto" w:fill="006DA7"/>
            <w:noWrap/>
            <w:vAlign w:val="bottom"/>
            <w:hideMark/>
          </w:tcPr>
          <w:p w14:paraId="217DCEA7"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N06AB</w:t>
            </w:r>
          </w:p>
        </w:tc>
        <w:tc>
          <w:tcPr>
            <w:tcW w:w="1182" w:type="dxa"/>
            <w:tcBorders>
              <w:top w:val="nil"/>
              <w:left w:val="nil"/>
              <w:bottom w:val="single" w:sz="4" w:space="0" w:color="auto"/>
              <w:right w:val="nil"/>
            </w:tcBorders>
            <w:shd w:val="clear" w:color="auto" w:fill="006DA7"/>
            <w:vAlign w:val="bottom"/>
            <w:hideMark/>
          </w:tcPr>
          <w:p w14:paraId="726DAF9C"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N06AF N06AG N06AX</w:t>
            </w:r>
          </w:p>
        </w:tc>
        <w:tc>
          <w:tcPr>
            <w:tcW w:w="262" w:type="dxa"/>
            <w:vMerge/>
            <w:tcBorders>
              <w:left w:val="nil"/>
              <w:bottom w:val="single" w:sz="4" w:space="0" w:color="auto"/>
              <w:right w:val="nil"/>
            </w:tcBorders>
            <w:shd w:val="clear" w:color="auto" w:fill="006DA7"/>
            <w:noWrap/>
            <w:vAlign w:val="bottom"/>
            <w:hideMark/>
          </w:tcPr>
          <w:p w14:paraId="74F6F6CB" w14:textId="28C566EA"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1006" w:type="dxa"/>
            <w:vMerge/>
            <w:tcBorders>
              <w:top w:val="nil"/>
              <w:left w:val="nil"/>
              <w:bottom w:val="single" w:sz="4" w:space="0" w:color="000000"/>
              <w:right w:val="nil"/>
            </w:tcBorders>
            <w:shd w:val="clear" w:color="auto" w:fill="006DA7"/>
            <w:vAlign w:val="center"/>
            <w:hideMark/>
          </w:tcPr>
          <w:p w14:paraId="4166C527" w14:textId="77777777" w:rsidR="00A8585C" w:rsidRPr="00A8585C" w:rsidRDefault="00A8585C" w:rsidP="00A61F03">
            <w:pPr>
              <w:spacing w:before="0" w:after="0" w:line="240" w:lineRule="auto"/>
              <w:rPr>
                <w:rFonts w:ascii="Calibri" w:eastAsia="Times New Roman" w:hAnsi="Calibri" w:cs="Calibri"/>
                <w:b/>
                <w:color w:val="FFFFFF" w:themeColor="background1"/>
                <w:sz w:val="20"/>
                <w:lang w:eastAsia="en-AU"/>
              </w:rPr>
            </w:pPr>
          </w:p>
        </w:tc>
        <w:tc>
          <w:tcPr>
            <w:tcW w:w="798" w:type="dxa"/>
            <w:tcBorders>
              <w:top w:val="nil"/>
              <w:left w:val="nil"/>
              <w:bottom w:val="single" w:sz="4" w:space="0" w:color="auto"/>
              <w:right w:val="nil"/>
            </w:tcBorders>
            <w:shd w:val="clear" w:color="auto" w:fill="006DA7"/>
            <w:noWrap/>
            <w:vAlign w:val="bottom"/>
            <w:hideMark/>
          </w:tcPr>
          <w:p w14:paraId="1EA6494E"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N06AA</w:t>
            </w:r>
          </w:p>
        </w:tc>
        <w:tc>
          <w:tcPr>
            <w:tcW w:w="789" w:type="dxa"/>
            <w:tcBorders>
              <w:top w:val="nil"/>
              <w:left w:val="nil"/>
              <w:bottom w:val="single" w:sz="4" w:space="0" w:color="auto"/>
              <w:right w:val="nil"/>
            </w:tcBorders>
            <w:shd w:val="clear" w:color="auto" w:fill="006DA7"/>
            <w:noWrap/>
            <w:vAlign w:val="bottom"/>
            <w:hideMark/>
          </w:tcPr>
          <w:p w14:paraId="6C56EA88"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N06AB</w:t>
            </w:r>
          </w:p>
        </w:tc>
        <w:tc>
          <w:tcPr>
            <w:tcW w:w="1182" w:type="dxa"/>
            <w:tcBorders>
              <w:top w:val="nil"/>
              <w:left w:val="nil"/>
              <w:bottom w:val="single" w:sz="4" w:space="0" w:color="auto"/>
              <w:right w:val="nil"/>
            </w:tcBorders>
            <w:shd w:val="clear" w:color="auto" w:fill="006DA7"/>
            <w:vAlign w:val="bottom"/>
            <w:hideMark/>
          </w:tcPr>
          <w:p w14:paraId="5D706242" w14:textId="77777777" w:rsidR="00A8585C" w:rsidRPr="00A8585C" w:rsidRDefault="00A8585C" w:rsidP="00A61F03">
            <w:pPr>
              <w:spacing w:before="0" w:after="0" w:line="240" w:lineRule="auto"/>
              <w:jc w:val="right"/>
              <w:rPr>
                <w:rFonts w:ascii="Calibri" w:eastAsia="Times New Roman" w:hAnsi="Calibri" w:cs="Calibri"/>
                <w:b/>
                <w:color w:val="FFFFFF" w:themeColor="background1"/>
                <w:sz w:val="20"/>
                <w:lang w:eastAsia="en-AU"/>
              </w:rPr>
            </w:pPr>
            <w:r w:rsidRPr="00A8585C">
              <w:rPr>
                <w:rFonts w:ascii="Calibri" w:eastAsia="Times New Roman" w:hAnsi="Calibri" w:cs="Calibri"/>
                <w:b/>
                <w:color w:val="FFFFFF" w:themeColor="background1"/>
                <w:sz w:val="20"/>
                <w:lang w:eastAsia="en-AU"/>
              </w:rPr>
              <w:t>N06AF N06AG N06AX</w:t>
            </w:r>
          </w:p>
        </w:tc>
      </w:tr>
      <w:tr w:rsidR="00A8585C" w:rsidRPr="00A37CBC" w14:paraId="159C1725" w14:textId="77777777" w:rsidTr="00A054FC">
        <w:trPr>
          <w:cantSplit/>
          <w:trHeight w:val="300"/>
        </w:trPr>
        <w:tc>
          <w:tcPr>
            <w:tcW w:w="13146" w:type="dxa"/>
            <w:gridSpan w:val="15"/>
            <w:tcBorders>
              <w:top w:val="nil"/>
              <w:left w:val="nil"/>
              <w:bottom w:val="nil"/>
              <w:right w:val="nil"/>
            </w:tcBorders>
            <w:shd w:val="clear" w:color="auto" w:fill="auto"/>
            <w:noWrap/>
            <w:vAlign w:val="bottom"/>
            <w:hideMark/>
          </w:tcPr>
          <w:p w14:paraId="1C08B889" w14:textId="17D3A6D2" w:rsidR="00A8585C" w:rsidRPr="00A37CBC" w:rsidRDefault="00A8585C" w:rsidP="00A61F03">
            <w:pPr>
              <w:spacing w:before="0" w:after="0" w:line="240" w:lineRule="auto"/>
              <w:jc w:val="right"/>
              <w:rPr>
                <w:rFonts w:ascii="Times New Roman" w:eastAsia="Times New Roman" w:hAnsi="Times New Roman"/>
                <w:sz w:val="20"/>
                <w:lang w:eastAsia="en-AU"/>
              </w:rPr>
            </w:pPr>
            <w:r w:rsidRPr="00A37CBC">
              <w:rPr>
                <w:rFonts w:ascii="Calibri" w:eastAsia="Times New Roman" w:hAnsi="Calibri" w:cs="Calibri"/>
                <w:color w:val="000000"/>
                <w:sz w:val="20"/>
                <w:lang w:eastAsia="en-AU"/>
              </w:rPr>
              <w:t xml:space="preserve">Aged 0-14 </w:t>
            </w:r>
          </w:p>
        </w:tc>
      </w:tr>
      <w:tr w:rsidR="00A8585C" w:rsidRPr="00A37CBC" w14:paraId="3FD4E70D" w14:textId="77777777" w:rsidTr="00722837">
        <w:trPr>
          <w:cantSplit/>
          <w:trHeight w:val="300"/>
        </w:trPr>
        <w:tc>
          <w:tcPr>
            <w:tcW w:w="1134" w:type="dxa"/>
            <w:tcBorders>
              <w:top w:val="nil"/>
              <w:left w:val="nil"/>
              <w:bottom w:val="nil"/>
              <w:right w:val="nil"/>
            </w:tcBorders>
            <w:shd w:val="clear" w:color="auto" w:fill="auto"/>
            <w:noWrap/>
            <w:vAlign w:val="bottom"/>
            <w:hideMark/>
          </w:tcPr>
          <w:p w14:paraId="04E3AEA8"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2013</w:t>
            </w:r>
          </w:p>
        </w:tc>
        <w:tc>
          <w:tcPr>
            <w:tcW w:w="929" w:type="dxa"/>
            <w:tcBorders>
              <w:top w:val="nil"/>
              <w:left w:val="nil"/>
              <w:bottom w:val="nil"/>
              <w:right w:val="nil"/>
            </w:tcBorders>
            <w:shd w:val="clear" w:color="auto" w:fill="auto"/>
            <w:noWrap/>
            <w:vAlign w:val="bottom"/>
            <w:hideMark/>
          </w:tcPr>
          <w:p w14:paraId="2DB01E6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27 664</w:t>
            </w:r>
          </w:p>
        </w:tc>
        <w:tc>
          <w:tcPr>
            <w:tcW w:w="838" w:type="dxa"/>
            <w:tcBorders>
              <w:top w:val="nil"/>
              <w:left w:val="nil"/>
              <w:bottom w:val="nil"/>
              <w:right w:val="nil"/>
            </w:tcBorders>
            <w:shd w:val="clear" w:color="auto" w:fill="auto"/>
            <w:noWrap/>
            <w:vAlign w:val="bottom"/>
            <w:hideMark/>
          </w:tcPr>
          <w:p w14:paraId="588A1D5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0.193</w:t>
            </w:r>
          </w:p>
        </w:tc>
        <w:tc>
          <w:tcPr>
            <w:tcW w:w="828" w:type="dxa"/>
            <w:tcBorders>
              <w:top w:val="nil"/>
              <w:left w:val="nil"/>
              <w:bottom w:val="nil"/>
              <w:right w:val="nil"/>
            </w:tcBorders>
            <w:shd w:val="clear" w:color="auto" w:fill="auto"/>
            <w:noWrap/>
            <w:vAlign w:val="bottom"/>
            <w:hideMark/>
          </w:tcPr>
          <w:p w14:paraId="4593A17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0.749</w:t>
            </w:r>
          </w:p>
        </w:tc>
        <w:tc>
          <w:tcPr>
            <w:tcW w:w="1188" w:type="dxa"/>
            <w:tcBorders>
              <w:top w:val="nil"/>
              <w:left w:val="nil"/>
              <w:bottom w:val="nil"/>
              <w:right w:val="nil"/>
            </w:tcBorders>
            <w:shd w:val="clear" w:color="auto" w:fill="auto"/>
            <w:noWrap/>
            <w:vAlign w:val="bottom"/>
            <w:hideMark/>
          </w:tcPr>
          <w:p w14:paraId="4BA6216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0.058</w:t>
            </w:r>
          </w:p>
        </w:tc>
        <w:tc>
          <w:tcPr>
            <w:tcW w:w="262" w:type="dxa"/>
            <w:vMerge w:val="restart"/>
            <w:tcBorders>
              <w:top w:val="nil"/>
              <w:left w:val="nil"/>
              <w:right w:val="nil"/>
            </w:tcBorders>
            <w:shd w:val="clear" w:color="auto" w:fill="auto"/>
            <w:noWrap/>
            <w:vAlign w:val="bottom"/>
            <w:hideMark/>
          </w:tcPr>
          <w:p w14:paraId="3F5D529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7A35B48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14 986</w:t>
            </w:r>
          </w:p>
        </w:tc>
        <w:tc>
          <w:tcPr>
            <w:tcW w:w="821" w:type="dxa"/>
            <w:tcBorders>
              <w:top w:val="nil"/>
              <w:left w:val="nil"/>
              <w:bottom w:val="nil"/>
              <w:right w:val="nil"/>
            </w:tcBorders>
            <w:shd w:val="clear" w:color="auto" w:fill="auto"/>
            <w:noWrap/>
            <w:vAlign w:val="bottom"/>
            <w:hideMark/>
          </w:tcPr>
          <w:p w14:paraId="795BAB2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0.206</w:t>
            </w:r>
          </w:p>
        </w:tc>
        <w:tc>
          <w:tcPr>
            <w:tcW w:w="811" w:type="dxa"/>
            <w:tcBorders>
              <w:top w:val="nil"/>
              <w:left w:val="nil"/>
              <w:bottom w:val="nil"/>
              <w:right w:val="nil"/>
            </w:tcBorders>
            <w:shd w:val="clear" w:color="auto" w:fill="auto"/>
            <w:noWrap/>
            <w:vAlign w:val="bottom"/>
            <w:hideMark/>
          </w:tcPr>
          <w:p w14:paraId="4CC2112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0.742</w:t>
            </w:r>
          </w:p>
        </w:tc>
        <w:tc>
          <w:tcPr>
            <w:tcW w:w="1182" w:type="dxa"/>
            <w:tcBorders>
              <w:top w:val="nil"/>
              <w:left w:val="nil"/>
              <w:bottom w:val="nil"/>
              <w:right w:val="nil"/>
            </w:tcBorders>
            <w:shd w:val="clear" w:color="auto" w:fill="auto"/>
            <w:noWrap/>
            <w:vAlign w:val="bottom"/>
            <w:hideMark/>
          </w:tcPr>
          <w:p w14:paraId="4C189CC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0.051</w:t>
            </w:r>
          </w:p>
        </w:tc>
        <w:tc>
          <w:tcPr>
            <w:tcW w:w="262" w:type="dxa"/>
            <w:vMerge w:val="restart"/>
            <w:tcBorders>
              <w:top w:val="nil"/>
              <w:left w:val="nil"/>
              <w:right w:val="nil"/>
            </w:tcBorders>
            <w:shd w:val="clear" w:color="auto" w:fill="auto"/>
            <w:noWrap/>
            <w:vAlign w:val="bottom"/>
            <w:hideMark/>
          </w:tcPr>
          <w:p w14:paraId="674313B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1358781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12 678</w:t>
            </w:r>
          </w:p>
        </w:tc>
        <w:tc>
          <w:tcPr>
            <w:tcW w:w="798" w:type="dxa"/>
            <w:tcBorders>
              <w:top w:val="nil"/>
              <w:left w:val="nil"/>
              <w:bottom w:val="nil"/>
              <w:right w:val="nil"/>
            </w:tcBorders>
            <w:shd w:val="clear" w:color="auto" w:fill="auto"/>
            <w:noWrap/>
            <w:vAlign w:val="bottom"/>
            <w:hideMark/>
          </w:tcPr>
          <w:p w14:paraId="4404336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0.178</w:t>
            </w:r>
          </w:p>
        </w:tc>
        <w:tc>
          <w:tcPr>
            <w:tcW w:w="789" w:type="dxa"/>
            <w:tcBorders>
              <w:top w:val="nil"/>
              <w:left w:val="nil"/>
              <w:bottom w:val="nil"/>
              <w:right w:val="nil"/>
            </w:tcBorders>
            <w:shd w:val="clear" w:color="auto" w:fill="auto"/>
            <w:noWrap/>
            <w:vAlign w:val="bottom"/>
            <w:hideMark/>
          </w:tcPr>
          <w:p w14:paraId="70347B2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0.757</w:t>
            </w:r>
          </w:p>
        </w:tc>
        <w:tc>
          <w:tcPr>
            <w:tcW w:w="1182" w:type="dxa"/>
            <w:tcBorders>
              <w:top w:val="nil"/>
              <w:left w:val="nil"/>
              <w:bottom w:val="nil"/>
              <w:right w:val="nil"/>
            </w:tcBorders>
            <w:shd w:val="clear" w:color="auto" w:fill="auto"/>
            <w:noWrap/>
            <w:vAlign w:val="bottom"/>
            <w:hideMark/>
          </w:tcPr>
          <w:p w14:paraId="2864D89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0.065</w:t>
            </w:r>
          </w:p>
        </w:tc>
      </w:tr>
      <w:tr w:rsidR="00A8585C" w:rsidRPr="00A37CBC" w14:paraId="3AF5DFAA" w14:textId="77777777" w:rsidTr="00722837">
        <w:trPr>
          <w:cantSplit/>
          <w:trHeight w:val="300"/>
        </w:trPr>
        <w:tc>
          <w:tcPr>
            <w:tcW w:w="1134" w:type="dxa"/>
            <w:tcBorders>
              <w:top w:val="nil"/>
              <w:left w:val="nil"/>
              <w:bottom w:val="nil"/>
              <w:right w:val="nil"/>
            </w:tcBorders>
            <w:shd w:val="clear" w:color="auto" w:fill="auto"/>
            <w:noWrap/>
            <w:vAlign w:val="bottom"/>
            <w:hideMark/>
          </w:tcPr>
          <w:p w14:paraId="474E032F"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2014</w:t>
            </w:r>
          </w:p>
        </w:tc>
        <w:tc>
          <w:tcPr>
            <w:tcW w:w="929" w:type="dxa"/>
            <w:tcBorders>
              <w:top w:val="nil"/>
              <w:left w:val="nil"/>
              <w:bottom w:val="nil"/>
              <w:right w:val="nil"/>
            </w:tcBorders>
            <w:shd w:val="clear" w:color="auto" w:fill="auto"/>
            <w:noWrap/>
            <w:vAlign w:val="bottom"/>
            <w:hideMark/>
          </w:tcPr>
          <w:p w14:paraId="16DCF4C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29 110</w:t>
            </w:r>
          </w:p>
        </w:tc>
        <w:tc>
          <w:tcPr>
            <w:tcW w:w="838" w:type="dxa"/>
            <w:tcBorders>
              <w:top w:val="nil"/>
              <w:left w:val="nil"/>
              <w:bottom w:val="nil"/>
              <w:right w:val="nil"/>
            </w:tcBorders>
            <w:shd w:val="clear" w:color="auto" w:fill="auto"/>
            <w:noWrap/>
            <w:vAlign w:val="bottom"/>
            <w:hideMark/>
          </w:tcPr>
          <w:p w14:paraId="35A7FDF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0.166</w:t>
            </w:r>
          </w:p>
        </w:tc>
        <w:tc>
          <w:tcPr>
            <w:tcW w:w="828" w:type="dxa"/>
            <w:tcBorders>
              <w:top w:val="nil"/>
              <w:left w:val="nil"/>
              <w:bottom w:val="nil"/>
              <w:right w:val="nil"/>
            </w:tcBorders>
            <w:shd w:val="clear" w:color="auto" w:fill="auto"/>
            <w:noWrap/>
            <w:vAlign w:val="bottom"/>
            <w:hideMark/>
          </w:tcPr>
          <w:p w14:paraId="08C6CDF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0.776</w:t>
            </w:r>
          </w:p>
        </w:tc>
        <w:tc>
          <w:tcPr>
            <w:tcW w:w="1188" w:type="dxa"/>
            <w:tcBorders>
              <w:top w:val="nil"/>
              <w:left w:val="nil"/>
              <w:bottom w:val="nil"/>
              <w:right w:val="nil"/>
            </w:tcBorders>
            <w:shd w:val="clear" w:color="auto" w:fill="auto"/>
            <w:noWrap/>
            <w:vAlign w:val="bottom"/>
            <w:hideMark/>
          </w:tcPr>
          <w:p w14:paraId="4DD933E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0.058</w:t>
            </w:r>
          </w:p>
        </w:tc>
        <w:tc>
          <w:tcPr>
            <w:tcW w:w="262" w:type="dxa"/>
            <w:vMerge/>
            <w:tcBorders>
              <w:left w:val="nil"/>
              <w:right w:val="nil"/>
            </w:tcBorders>
            <w:shd w:val="clear" w:color="auto" w:fill="auto"/>
            <w:noWrap/>
            <w:vAlign w:val="bottom"/>
            <w:hideMark/>
          </w:tcPr>
          <w:p w14:paraId="20A932A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160A308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15 929</w:t>
            </w:r>
          </w:p>
        </w:tc>
        <w:tc>
          <w:tcPr>
            <w:tcW w:w="821" w:type="dxa"/>
            <w:tcBorders>
              <w:top w:val="nil"/>
              <w:left w:val="nil"/>
              <w:bottom w:val="nil"/>
              <w:right w:val="nil"/>
            </w:tcBorders>
            <w:shd w:val="clear" w:color="auto" w:fill="auto"/>
            <w:noWrap/>
            <w:vAlign w:val="bottom"/>
            <w:hideMark/>
          </w:tcPr>
          <w:p w14:paraId="1FF4736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0.168</w:t>
            </w:r>
          </w:p>
        </w:tc>
        <w:tc>
          <w:tcPr>
            <w:tcW w:w="811" w:type="dxa"/>
            <w:tcBorders>
              <w:top w:val="nil"/>
              <w:left w:val="nil"/>
              <w:bottom w:val="nil"/>
              <w:right w:val="nil"/>
            </w:tcBorders>
            <w:shd w:val="clear" w:color="auto" w:fill="auto"/>
            <w:noWrap/>
            <w:vAlign w:val="bottom"/>
            <w:hideMark/>
          </w:tcPr>
          <w:p w14:paraId="7FFCE1E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0.779</w:t>
            </w:r>
          </w:p>
        </w:tc>
        <w:tc>
          <w:tcPr>
            <w:tcW w:w="1182" w:type="dxa"/>
            <w:tcBorders>
              <w:top w:val="nil"/>
              <w:left w:val="nil"/>
              <w:bottom w:val="nil"/>
              <w:right w:val="nil"/>
            </w:tcBorders>
            <w:shd w:val="clear" w:color="auto" w:fill="auto"/>
            <w:noWrap/>
            <w:vAlign w:val="bottom"/>
            <w:hideMark/>
          </w:tcPr>
          <w:p w14:paraId="23735BC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0.053</w:t>
            </w:r>
          </w:p>
        </w:tc>
        <w:tc>
          <w:tcPr>
            <w:tcW w:w="262" w:type="dxa"/>
            <w:vMerge/>
            <w:tcBorders>
              <w:left w:val="nil"/>
              <w:right w:val="nil"/>
            </w:tcBorders>
            <w:shd w:val="clear" w:color="auto" w:fill="auto"/>
            <w:noWrap/>
            <w:vAlign w:val="bottom"/>
            <w:hideMark/>
          </w:tcPr>
          <w:p w14:paraId="1B9564C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4D47B43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13 181</w:t>
            </w:r>
          </w:p>
        </w:tc>
        <w:tc>
          <w:tcPr>
            <w:tcW w:w="798" w:type="dxa"/>
            <w:tcBorders>
              <w:top w:val="nil"/>
              <w:left w:val="nil"/>
              <w:bottom w:val="nil"/>
              <w:right w:val="nil"/>
            </w:tcBorders>
            <w:shd w:val="clear" w:color="auto" w:fill="auto"/>
            <w:noWrap/>
            <w:vAlign w:val="bottom"/>
            <w:hideMark/>
          </w:tcPr>
          <w:p w14:paraId="52DA0D0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0.164</w:t>
            </w:r>
          </w:p>
        </w:tc>
        <w:tc>
          <w:tcPr>
            <w:tcW w:w="789" w:type="dxa"/>
            <w:tcBorders>
              <w:top w:val="nil"/>
              <w:left w:val="nil"/>
              <w:bottom w:val="nil"/>
              <w:right w:val="nil"/>
            </w:tcBorders>
            <w:shd w:val="clear" w:color="auto" w:fill="auto"/>
            <w:noWrap/>
            <w:vAlign w:val="bottom"/>
            <w:hideMark/>
          </w:tcPr>
          <w:p w14:paraId="1232BE5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0.773</w:t>
            </w:r>
          </w:p>
        </w:tc>
        <w:tc>
          <w:tcPr>
            <w:tcW w:w="1182" w:type="dxa"/>
            <w:tcBorders>
              <w:top w:val="nil"/>
              <w:left w:val="nil"/>
              <w:bottom w:val="nil"/>
              <w:right w:val="nil"/>
            </w:tcBorders>
            <w:shd w:val="clear" w:color="auto" w:fill="auto"/>
            <w:noWrap/>
            <w:vAlign w:val="bottom"/>
            <w:hideMark/>
          </w:tcPr>
          <w:p w14:paraId="3FBC6ED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0.063</w:t>
            </w:r>
          </w:p>
        </w:tc>
      </w:tr>
      <w:tr w:rsidR="00A8585C" w:rsidRPr="00A37CBC" w14:paraId="04CF3718" w14:textId="77777777" w:rsidTr="00722837">
        <w:trPr>
          <w:cantSplit/>
          <w:trHeight w:val="300"/>
        </w:trPr>
        <w:tc>
          <w:tcPr>
            <w:tcW w:w="1134" w:type="dxa"/>
            <w:tcBorders>
              <w:top w:val="nil"/>
              <w:left w:val="nil"/>
              <w:bottom w:val="nil"/>
              <w:right w:val="nil"/>
            </w:tcBorders>
            <w:shd w:val="clear" w:color="auto" w:fill="auto"/>
            <w:noWrap/>
            <w:vAlign w:val="bottom"/>
            <w:hideMark/>
          </w:tcPr>
          <w:p w14:paraId="58844F1A"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2015</w:t>
            </w:r>
          </w:p>
        </w:tc>
        <w:tc>
          <w:tcPr>
            <w:tcW w:w="929" w:type="dxa"/>
            <w:tcBorders>
              <w:top w:val="nil"/>
              <w:left w:val="nil"/>
              <w:bottom w:val="nil"/>
              <w:right w:val="nil"/>
            </w:tcBorders>
            <w:shd w:val="clear" w:color="auto" w:fill="auto"/>
            <w:noWrap/>
            <w:vAlign w:val="bottom"/>
            <w:hideMark/>
          </w:tcPr>
          <w:p w14:paraId="66DB6B1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31 461</w:t>
            </w:r>
          </w:p>
        </w:tc>
        <w:tc>
          <w:tcPr>
            <w:tcW w:w="838" w:type="dxa"/>
            <w:tcBorders>
              <w:top w:val="nil"/>
              <w:left w:val="nil"/>
              <w:bottom w:val="nil"/>
              <w:right w:val="nil"/>
            </w:tcBorders>
            <w:shd w:val="clear" w:color="auto" w:fill="auto"/>
            <w:noWrap/>
            <w:vAlign w:val="bottom"/>
            <w:hideMark/>
          </w:tcPr>
          <w:p w14:paraId="0AA8389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0.136</w:t>
            </w:r>
          </w:p>
        </w:tc>
        <w:tc>
          <w:tcPr>
            <w:tcW w:w="828" w:type="dxa"/>
            <w:tcBorders>
              <w:top w:val="nil"/>
              <w:left w:val="nil"/>
              <w:bottom w:val="nil"/>
              <w:right w:val="nil"/>
            </w:tcBorders>
            <w:shd w:val="clear" w:color="auto" w:fill="auto"/>
            <w:noWrap/>
            <w:vAlign w:val="bottom"/>
            <w:hideMark/>
          </w:tcPr>
          <w:p w14:paraId="729077A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0.810</w:t>
            </w:r>
          </w:p>
        </w:tc>
        <w:tc>
          <w:tcPr>
            <w:tcW w:w="1188" w:type="dxa"/>
            <w:tcBorders>
              <w:top w:val="nil"/>
              <w:left w:val="nil"/>
              <w:bottom w:val="nil"/>
              <w:right w:val="nil"/>
            </w:tcBorders>
            <w:shd w:val="clear" w:color="auto" w:fill="auto"/>
            <w:noWrap/>
            <w:vAlign w:val="bottom"/>
            <w:hideMark/>
          </w:tcPr>
          <w:p w14:paraId="2B4C6B9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0.054</w:t>
            </w:r>
          </w:p>
        </w:tc>
        <w:tc>
          <w:tcPr>
            <w:tcW w:w="262" w:type="dxa"/>
            <w:vMerge/>
            <w:tcBorders>
              <w:left w:val="nil"/>
              <w:right w:val="nil"/>
            </w:tcBorders>
            <w:shd w:val="clear" w:color="auto" w:fill="auto"/>
            <w:noWrap/>
            <w:vAlign w:val="bottom"/>
            <w:hideMark/>
          </w:tcPr>
          <w:p w14:paraId="2DC737E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4EB7479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17 120</w:t>
            </w:r>
          </w:p>
        </w:tc>
        <w:tc>
          <w:tcPr>
            <w:tcW w:w="821" w:type="dxa"/>
            <w:tcBorders>
              <w:top w:val="nil"/>
              <w:left w:val="nil"/>
              <w:bottom w:val="nil"/>
              <w:right w:val="nil"/>
            </w:tcBorders>
            <w:shd w:val="clear" w:color="auto" w:fill="auto"/>
            <w:noWrap/>
            <w:vAlign w:val="bottom"/>
            <w:hideMark/>
          </w:tcPr>
          <w:p w14:paraId="6841728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0.140</w:t>
            </w:r>
          </w:p>
        </w:tc>
        <w:tc>
          <w:tcPr>
            <w:tcW w:w="811" w:type="dxa"/>
            <w:tcBorders>
              <w:top w:val="nil"/>
              <w:left w:val="nil"/>
              <w:bottom w:val="nil"/>
              <w:right w:val="nil"/>
            </w:tcBorders>
            <w:shd w:val="clear" w:color="auto" w:fill="auto"/>
            <w:noWrap/>
            <w:vAlign w:val="bottom"/>
            <w:hideMark/>
          </w:tcPr>
          <w:p w14:paraId="31D43BC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0.811</w:t>
            </w:r>
          </w:p>
        </w:tc>
        <w:tc>
          <w:tcPr>
            <w:tcW w:w="1182" w:type="dxa"/>
            <w:tcBorders>
              <w:top w:val="nil"/>
              <w:left w:val="nil"/>
              <w:bottom w:val="nil"/>
              <w:right w:val="nil"/>
            </w:tcBorders>
            <w:shd w:val="clear" w:color="auto" w:fill="auto"/>
            <w:noWrap/>
            <w:vAlign w:val="bottom"/>
            <w:hideMark/>
          </w:tcPr>
          <w:p w14:paraId="36060FB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0.050</w:t>
            </w:r>
          </w:p>
        </w:tc>
        <w:tc>
          <w:tcPr>
            <w:tcW w:w="262" w:type="dxa"/>
            <w:vMerge/>
            <w:tcBorders>
              <w:left w:val="nil"/>
              <w:right w:val="nil"/>
            </w:tcBorders>
            <w:shd w:val="clear" w:color="auto" w:fill="auto"/>
            <w:noWrap/>
            <w:vAlign w:val="bottom"/>
            <w:hideMark/>
          </w:tcPr>
          <w:p w14:paraId="2196CCA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3137153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14 341</w:t>
            </w:r>
          </w:p>
        </w:tc>
        <w:tc>
          <w:tcPr>
            <w:tcW w:w="798" w:type="dxa"/>
            <w:tcBorders>
              <w:top w:val="nil"/>
              <w:left w:val="nil"/>
              <w:bottom w:val="nil"/>
              <w:right w:val="nil"/>
            </w:tcBorders>
            <w:shd w:val="clear" w:color="auto" w:fill="auto"/>
            <w:noWrap/>
            <w:vAlign w:val="bottom"/>
            <w:hideMark/>
          </w:tcPr>
          <w:p w14:paraId="2934B47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0.132</w:t>
            </w:r>
          </w:p>
        </w:tc>
        <w:tc>
          <w:tcPr>
            <w:tcW w:w="789" w:type="dxa"/>
            <w:tcBorders>
              <w:top w:val="nil"/>
              <w:left w:val="nil"/>
              <w:bottom w:val="nil"/>
              <w:right w:val="nil"/>
            </w:tcBorders>
            <w:shd w:val="clear" w:color="auto" w:fill="auto"/>
            <w:noWrap/>
            <w:vAlign w:val="bottom"/>
            <w:hideMark/>
          </w:tcPr>
          <w:p w14:paraId="65FB435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0.810</w:t>
            </w:r>
          </w:p>
        </w:tc>
        <w:tc>
          <w:tcPr>
            <w:tcW w:w="1182" w:type="dxa"/>
            <w:tcBorders>
              <w:top w:val="nil"/>
              <w:left w:val="nil"/>
              <w:bottom w:val="nil"/>
              <w:right w:val="nil"/>
            </w:tcBorders>
            <w:shd w:val="clear" w:color="auto" w:fill="auto"/>
            <w:noWrap/>
            <w:vAlign w:val="bottom"/>
            <w:hideMark/>
          </w:tcPr>
          <w:p w14:paraId="735451B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0.058</w:t>
            </w:r>
          </w:p>
        </w:tc>
      </w:tr>
      <w:tr w:rsidR="00A8585C" w:rsidRPr="00A37CBC" w14:paraId="648F1E71" w14:textId="77777777" w:rsidTr="00722837">
        <w:trPr>
          <w:cantSplit/>
          <w:trHeight w:val="300"/>
        </w:trPr>
        <w:tc>
          <w:tcPr>
            <w:tcW w:w="1134" w:type="dxa"/>
            <w:tcBorders>
              <w:top w:val="nil"/>
              <w:left w:val="nil"/>
              <w:bottom w:val="nil"/>
              <w:right w:val="nil"/>
            </w:tcBorders>
            <w:shd w:val="clear" w:color="auto" w:fill="auto"/>
            <w:noWrap/>
            <w:vAlign w:val="bottom"/>
            <w:hideMark/>
          </w:tcPr>
          <w:p w14:paraId="2472F369"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2016</w:t>
            </w:r>
          </w:p>
        </w:tc>
        <w:tc>
          <w:tcPr>
            <w:tcW w:w="929" w:type="dxa"/>
            <w:tcBorders>
              <w:top w:val="nil"/>
              <w:left w:val="nil"/>
              <w:bottom w:val="nil"/>
              <w:right w:val="nil"/>
            </w:tcBorders>
            <w:shd w:val="clear" w:color="auto" w:fill="auto"/>
            <w:noWrap/>
            <w:vAlign w:val="bottom"/>
            <w:hideMark/>
          </w:tcPr>
          <w:p w14:paraId="68F0C5E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34 958</w:t>
            </w:r>
          </w:p>
        </w:tc>
        <w:tc>
          <w:tcPr>
            <w:tcW w:w="838" w:type="dxa"/>
            <w:tcBorders>
              <w:top w:val="nil"/>
              <w:left w:val="nil"/>
              <w:bottom w:val="nil"/>
              <w:right w:val="nil"/>
            </w:tcBorders>
            <w:shd w:val="clear" w:color="auto" w:fill="auto"/>
            <w:noWrap/>
            <w:vAlign w:val="bottom"/>
            <w:hideMark/>
          </w:tcPr>
          <w:p w14:paraId="77E5290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0.126</w:t>
            </w:r>
          </w:p>
        </w:tc>
        <w:tc>
          <w:tcPr>
            <w:tcW w:w="828" w:type="dxa"/>
            <w:tcBorders>
              <w:top w:val="nil"/>
              <w:left w:val="nil"/>
              <w:bottom w:val="nil"/>
              <w:right w:val="nil"/>
            </w:tcBorders>
            <w:shd w:val="clear" w:color="auto" w:fill="auto"/>
            <w:noWrap/>
            <w:vAlign w:val="bottom"/>
            <w:hideMark/>
          </w:tcPr>
          <w:p w14:paraId="2D64B46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0.825</w:t>
            </w:r>
          </w:p>
        </w:tc>
        <w:tc>
          <w:tcPr>
            <w:tcW w:w="1188" w:type="dxa"/>
            <w:tcBorders>
              <w:top w:val="nil"/>
              <w:left w:val="nil"/>
              <w:bottom w:val="nil"/>
              <w:right w:val="nil"/>
            </w:tcBorders>
            <w:shd w:val="clear" w:color="auto" w:fill="auto"/>
            <w:noWrap/>
            <w:vAlign w:val="bottom"/>
            <w:hideMark/>
          </w:tcPr>
          <w:p w14:paraId="0B69EE2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0.050</w:t>
            </w:r>
          </w:p>
        </w:tc>
        <w:tc>
          <w:tcPr>
            <w:tcW w:w="262" w:type="dxa"/>
            <w:vMerge/>
            <w:tcBorders>
              <w:left w:val="nil"/>
              <w:right w:val="nil"/>
            </w:tcBorders>
            <w:shd w:val="clear" w:color="auto" w:fill="auto"/>
            <w:noWrap/>
            <w:vAlign w:val="bottom"/>
            <w:hideMark/>
          </w:tcPr>
          <w:p w14:paraId="79E1DEA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6927850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19 072</w:t>
            </w:r>
          </w:p>
        </w:tc>
        <w:tc>
          <w:tcPr>
            <w:tcW w:w="821" w:type="dxa"/>
            <w:tcBorders>
              <w:top w:val="nil"/>
              <w:left w:val="nil"/>
              <w:bottom w:val="nil"/>
              <w:right w:val="nil"/>
            </w:tcBorders>
            <w:shd w:val="clear" w:color="auto" w:fill="auto"/>
            <w:noWrap/>
            <w:vAlign w:val="bottom"/>
            <w:hideMark/>
          </w:tcPr>
          <w:p w14:paraId="2C267D9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0.123</w:t>
            </w:r>
          </w:p>
        </w:tc>
        <w:tc>
          <w:tcPr>
            <w:tcW w:w="811" w:type="dxa"/>
            <w:tcBorders>
              <w:top w:val="nil"/>
              <w:left w:val="nil"/>
              <w:bottom w:val="nil"/>
              <w:right w:val="nil"/>
            </w:tcBorders>
            <w:shd w:val="clear" w:color="auto" w:fill="auto"/>
            <w:noWrap/>
            <w:vAlign w:val="bottom"/>
            <w:hideMark/>
          </w:tcPr>
          <w:p w14:paraId="5BABBD0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0.831</w:t>
            </w:r>
          </w:p>
        </w:tc>
        <w:tc>
          <w:tcPr>
            <w:tcW w:w="1182" w:type="dxa"/>
            <w:tcBorders>
              <w:top w:val="nil"/>
              <w:left w:val="nil"/>
              <w:bottom w:val="nil"/>
              <w:right w:val="nil"/>
            </w:tcBorders>
            <w:shd w:val="clear" w:color="auto" w:fill="auto"/>
            <w:noWrap/>
            <w:vAlign w:val="bottom"/>
            <w:hideMark/>
          </w:tcPr>
          <w:p w14:paraId="667E91F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0.047</w:t>
            </w:r>
          </w:p>
        </w:tc>
        <w:tc>
          <w:tcPr>
            <w:tcW w:w="262" w:type="dxa"/>
            <w:vMerge/>
            <w:tcBorders>
              <w:left w:val="nil"/>
              <w:right w:val="nil"/>
            </w:tcBorders>
            <w:shd w:val="clear" w:color="auto" w:fill="auto"/>
            <w:noWrap/>
            <w:vAlign w:val="bottom"/>
            <w:hideMark/>
          </w:tcPr>
          <w:p w14:paraId="20B2E9A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0ABA909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15 886</w:t>
            </w:r>
          </w:p>
        </w:tc>
        <w:tc>
          <w:tcPr>
            <w:tcW w:w="798" w:type="dxa"/>
            <w:tcBorders>
              <w:top w:val="nil"/>
              <w:left w:val="nil"/>
              <w:bottom w:val="nil"/>
              <w:right w:val="nil"/>
            </w:tcBorders>
            <w:shd w:val="clear" w:color="auto" w:fill="auto"/>
            <w:noWrap/>
            <w:vAlign w:val="bottom"/>
            <w:hideMark/>
          </w:tcPr>
          <w:p w14:paraId="324A0AC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0.129</w:t>
            </w:r>
          </w:p>
        </w:tc>
        <w:tc>
          <w:tcPr>
            <w:tcW w:w="789" w:type="dxa"/>
            <w:tcBorders>
              <w:top w:val="nil"/>
              <w:left w:val="nil"/>
              <w:bottom w:val="nil"/>
              <w:right w:val="nil"/>
            </w:tcBorders>
            <w:shd w:val="clear" w:color="auto" w:fill="auto"/>
            <w:noWrap/>
            <w:vAlign w:val="bottom"/>
            <w:hideMark/>
          </w:tcPr>
          <w:p w14:paraId="5D8B91C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0.818</w:t>
            </w:r>
          </w:p>
        </w:tc>
        <w:tc>
          <w:tcPr>
            <w:tcW w:w="1182" w:type="dxa"/>
            <w:tcBorders>
              <w:top w:val="nil"/>
              <w:left w:val="nil"/>
              <w:bottom w:val="nil"/>
              <w:right w:val="nil"/>
            </w:tcBorders>
            <w:shd w:val="clear" w:color="auto" w:fill="auto"/>
            <w:noWrap/>
            <w:vAlign w:val="bottom"/>
            <w:hideMark/>
          </w:tcPr>
          <w:p w14:paraId="4E63C52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0.053</w:t>
            </w:r>
          </w:p>
        </w:tc>
      </w:tr>
      <w:tr w:rsidR="00A8585C" w:rsidRPr="00A37CBC" w14:paraId="71149F78" w14:textId="77777777" w:rsidTr="00722837">
        <w:trPr>
          <w:cantSplit/>
          <w:trHeight w:val="300"/>
        </w:trPr>
        <w:tc>
          <w:tcPr>
            <w:tcW w:w="1134" w:type="dxa"/>
            <w:tcBorders>
              <w:top w:val="nil"/>
              <w:left w:val="nil"/>
              <w:bottom w:val="nil"/>
              <w:right w:val="nil"/>
            </w:tcBorders>
            <w:shd w:val="clear" w:color="auto" w:fill="auto"/>
            <w:noWrap/>
            <w:vAlign w:val="bottom"/>
            <w:hideMark/>
          </w:tcPr>
          <w:p w14:paraId="610CC8CD"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2017</w:t>
            </w:r>
          </w:p>
        </w:tc>
        <w:tc>
          <w:tcPr>
            <w:tcW w:w="929" w:type="dxa"/>
            <w:tcBorders>
              <w:top w:val="nil"/>
              <w:left w:val="nil"/>
              <w:bottom w:val="nil"/>
              <w:right w:val="nil"/>
            </w:tcBorders>
            <w:shd w:val="clear" w:color="auto" w:fill="auto"/>
            <w:noWrap/>
            <w:vAlign w:val="bottom"/>
            <w:hideMark/>
          </w:tcPr>
          <w:p w14:paraId="428037B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39 309</w:t>
            </w:r>
          </w:p>
        </w:tc>
        <w:tc>
          <w:tcPr>
            <w:tcW w:w="838" w:type="dxa"/>
            <w:tcBorders>
              <w:top w:val="nil"/>
              <w:left w:val="nil"/>
              <w:bottom w:val="nil"/>
              <w:right w:val="nil"/>
            </w:tcBorders>
            <w:shd w:val="clear" w:color="auto" w:fill="auto"/>
            <w:noWrap/>
            <w:vAlign w:val="bottom"/>
            <w:hideMark/>
          </w:tcPr>
          <w:p w14:paraId="4BE5454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0.107</w:t>
            </w:r>
          </w:p>
        </w:tc>
        <w:tc>
          <w:tcPr>
            <w:tcW w:w="828" w:type="dxa"/>
            <w:tcBorders>
              <w:top w:val="nil"/>
              <w:left w:val="nil"/>
              <w:bottom w:val="nil"/>
              <w:right w:val="nil"/>
            </w:tcBorders>
            <w:shd w:val="clear" w:color="auto" w:fill="auto"/>
            <w:noWrap/>
            <w:vAlign w:val="bottom"/>
            <w:hideMark/>
          </w:tcPr>
          <w:p w14:paraId="359EEB8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0.849</w:t>
            </w:r>
          </w:p>
        </w:tc>
        <w:tc>
          <w:tcPr>
            <w:tcW w:w="1188" w:type="dxa"/>
            <w:tcBorders>
              <w:top w:val="nil"/>
              <w:left w:val="nil"/>
              <w:bottom w:val="nil"/>
              <w:right w:val="nil"/>
            </w:tcBorders>
            <w:shd w:val="clear" w:color="auto" w:fill="auto"/>
            <w:noWrap/>
            <w:vAlign w:val="bottom"/>
            <w:hideMark/>
          </w:tcPr>
          <w:p w14:paraId="2CBDE81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0.044</w:t>
            </w:r>
          </w:p>
        </w:tc>
        <w:tc>
          <w:tcPr>
            <w:tcW w:w="262" w:type="dxa"/>
            <w:vMerge/>
            <w:tcBorders>
              <w:left w:val="nil"/>
              <w:right w:val="nil"/>
            </w:tcBorders>
            <w:shd w:val="clear" w:color="auto" w:fill="auto"/>
            <w:noWrap/>
            <w:vAlign w:val="bottom"/>
            <w:hideMark/>
          </w:tcPr>
          <w:p w14:paraId="0C7CA81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25498B5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21 420</w:t>
            </w:r>
          </w:p>
        </w:tc>
        <w:tc>
          <w:tcPr>
            <w:tcW w:w="821" w:type="dxa"/>
            <w:tcBorders>
              <w:top w:val="nil"/>
              <w:left w:val="nil"/>
              <w:bottom w:val="nil"/>
              <w:right w:val="nil"/>
            </w:tcBorders>
            <w:shd w:val="clear" w:color="auto" w:fill="auto"/>
            <w:noWrap/>
            <w:vAlign w:val="bottom"/>
            <w:hideMark/>
          </w:tcPr>
          <w:p w14:paraId="117374A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0.105</w:t>
            </w:r>
          </w:p>
        </w:tc>
        <w:tc>
          <w:tcPr>
            <w:tcW w:w="811" w:type="dxa"/>
            <w:tcBorders>
              <w:top w:val="nil"/>
              <w:left w:val="nil"/>
              <w:bottom w:val="nil"/>
              <w:right w:val="nil"/>
            </w:tcBorders>
            <w:shd w:val="clear" w:color="auto" w:fill="auto"/>
            <w:noWrap/>
            <w:vAlign w:val="bottom"/>
            <w:hideMark/>
          </w:tcPr>
          <w:p w14:paraId="154F01A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0.852</w:t>
            </w:r>
          </w:p>
        </w:tc>
        <w:tc>
          <w:tcPr>
            <w:tcW w:w="1182" w:type="dxa"/>
            <w:tcBorders>
              <w:top w:val="nil"/>
              <w:left w:val="nil"/>
              <w:bottom w:val="nil"/>
              <w:right w:val="nil"/>
            </w:tcBorders>
            <w:shd w:val="clear" w:color="auto" w:fill="auto"/>
            <w:noWrap/>
            <w:vAlign w:val="bottom"/>
            <w:hideMark/>
          </w:tcPr>
          <w:p w14:paraId="12FF85D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0.043</w:t>
            </w:r>
          </w:p>
        </w:tc>
        <w:tc>
          <w:tcPr>
            <w:tcW w:w="262" w:type="dxa"/>
            <w:vMerge/>
            <w:tcBorders>
              <w:left w:val="nil"/>
              <w:right w:val="nil"/>
            </w:tcBorders>
            <w:shd w:val="clear" w:color="auto" w:fill="auto"/>
            <w:noWrap/>
            <w:vAlign w:val="bottom"/>
            <w:hideMark/>
          </w:tcPr>
          <w:p w14:paraId="6FBD591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4E0FFA6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17 889</w:t>
            </w:r>
          </w:p>
        </w:tc>
        <w:tc>
          <w:tcPr>
            <w:tcW w:w="798" w:type="dxa"/>
            <w:tcBorders>
              <w:top w:val="nil"/>
              <w:left w:val="nil"/>
              <w:bottom w:val="nil"/>
              <w:right w:val="nil"/>
            </w:tcBorders>
            <w:shd w:val="clear" w:color="auto" w:fill="auto"/>
            <w:noWrap/>
            <w:vAlign w:val="bottom"/>
            <w:hideMark/>
          </w:tcPr>
          <w:p w14:paraId="560752F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0.109</w:t>
            </w:r>
          </w:p>
        </w:tc>
        <w:tc>
          <w:tcPr>
            <w:tcW w:w="789" w:type="dxa"/>
            <w:tcBorders>
              <w:top w:val="nil"/>
              <w:left w:val="nil"/>
              <w:bottom w:val="nil"/>
              <w:right w:val="nil"/>
            </w:tcBorders>
            <w:shd w:val="clear" w:color="auto" w:fill="auto"/>
            <w:noWrap/>
            <w:vAlign w:val="bottom"/>
            <w:hideMark/>
          </w:tcPr>
          <w:p w14:paraId="72066AA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0.846</w:t>
            </w:r>
          </w:p>
        </w:tc>
        <w:tc>
          <w:tcPr>
            <w:tcW w:w="1182" w:type="dxa"/>
            <w:tcBorders>
              <w:top w:val="nil"/>
              <w:left w:val="nil"/>
              <w:bottom w:val="nil"/>
              <w:right w:val="nil"/>
            </w:tcBorders>
            <w:shd w:val="clear" w:color="auto" w:fill="auto"/>
            <w:noWrap/>
            <w:vAlign w:val="bottom"/>
            <w:hideMark/>
          </w:tcPr>
          <w:p w14:paraId="7B3666D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0.045</w:t>
            </w:r>
          </w:p>
        </w:tc>
      </w:tr>
      <w:tr w:rsidR="00A8585C" w:rsidRPr="00A37CBC" w14:paraId="44C1962F" w14:textId="77777777" w:rsidTr="00722837">
        <w:trPr>
          <w:cantSplit/>
          <w:trHeight w:val="300"/>
        </w:trPr>
        <w:tc>
          <w:tcPr>
            <w:tcW w:w="1134" w:type="dxa"/>
            <w:tcBorders>
              <w:top w:val="nil"/>
              <w:left w:val="nil"/>
              <w:bottom w:val="nil"/>
              <w:right w:val="nil"/>
            </w:tcBorders>
            <w:shd w:val="clear" w:color="auto" w:fill="auto"/>
            <w:noWrap/>
            <w:vAlign w:val="bottom"/>
            <w:hideMark/>
          </w:tcPr>
          <w:p w14:paraId="31EC2DBD"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2018</w:t>
            </w:r>
          </w:p>
        </w:tc>
        <w:tc>
          <w:tcPr>
            <w:tcW w:w="929" w:type="dxa"/>
            <w:tcBorders>
              <w:top w:val="nil"/>
              <w:left w:val="nil"/>
              <w:bottom w:val="nil"/>
              <w:right w:val="nil"/>
            </w:tcBorders>
            <w:shd w:val="clear" w:color="auto" w:fill="auto"/>
            <w:noWrap/>
            <w:vAlign w:val="bottom"/>
            <w:hideMark/>
          </w:tcPr>
          <w:p w14:paraId="4CA36E3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44 832</w:t>
            </w:r>
          </w:p>
        </w:tc>
        <w:tc>
          <w:tcPr>
            <w:tcW w:w="838" w:type="dxa"/>
            <w:tcBorders>
              <w:top w:val="nil"/>
              <w:left w:val="nil"/>
              <w:bottom w:val="nil"/>
              <w:right w:val="nil"/>
            </w:tcBorders>
            <w:shd w:val="clear" w:color="auto" w:fill="auto"/>
            <w:noWrap/>
            <w:vAlign w:val="bottom"/>
            <w:hideMark/>
          </w:tcPr>
          <w:p w14:paraId="34C7596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0.094</w:t>
            </w:r>
          </w:p>
        </w:tc>
        <w:tc>
          <w:tcPr>
            <w:tcW w:w="828" w:type="dxa"/>
            <w:tcBorders>
              <w:top w:val="nil"/>
              <w:left w:val="nil"/>
              <w:bottom w:val="nil"/>
              <w:right w:val="nil"/>
            </w:tcBorders>
            <w:shd w:val="clear" w:color="auto" w:fill="auto"/>
            <w:noWrap/>
            <w:vAlign w:val="bottom"/>
            <w:hideMark/>
          </w:tcPr>
          <w:p w14:paraId="5EBD3A6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0.867</w:t>
            </w:r>
          </w:p>
        </w:tc>
        <w:tc>
          <w:tcPr>
            <w:tcW w:w="1188" w:type="dxa"/>
            <w:tcBorders>
              <w:top w:val="nil"/>
              <w:left w:val="nil"/>
              <w:bottom w:val="nil"/>
              <w:right w:val="nil"/>
            </w:tcBorders>
            <w:shd w:val="clear" w:color="auto" w:fill="auto"/>
            <w:noWrap/>
            <w:vAlign w:val="bottom"/>
            <w:hideMark/>
          </w:tcPr>
          <w:p w14:paraId="1C75680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0.039</w:t>
            </w:r>
          </w:p>
        </w:tc>
        <w:tc>
          <w:tcPr>
            <w:tcW w:w="262" w:type="dxa"/>
            <w:vMerge/>
            <w:tcBorders>
              <w:left w:val="nil"/>
              <w:right w:val="nil"/>
            </w:tcBorders>
            <w:shd w:val="clear" w:color="auto" w:fill="auto"/>
            <w:noWrap/>
            <w:vAlign w:val="bottom"/>
            <w:hideMark/>
          </w:tcPr>
          <w:p w14:paraId="5F25287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2F8D449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24 328</w:t>
            </w:r>
          </w:p>
        </w:tc>
        <w:tc>
          <w:tcPr>
            <w:tcW w:w="821" w:type="dxa"/>
            <w:tcBorders>
              <w:top w:val="nil"/>
              <w:left w:val="nil"/>
              <w:bottom w:val="nil"/>
              <w:right w:val="nil"/>
            </w:tcBorders>
            <w:shd w:val="clear" w:color="auto" w:fill="auto"/>
            <w:noWrap/>
            <w:vAlign w:val="bottom"/>
            <w:hideMark/>
          </w:tcPr>
          <w:p w14:paraId="598DA1B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0.095</w:t>
            </w:r>
          </w:p>
        </w:tc>
        <w:tc>
          <w:tcPr>
            <w:tcW w:w="811" w:type="dxa"/>
            <w:tcBorders>
              <w:top w:val="nil"/>
              <w:left w:val="nil"/>
              <w:bottom w:val="nil"/>
              <w:right w:val="nil"/>
            </w:tcBorders>
            <w:shd w:val="clear" w:color="auto" w:fill="auto"/>
            <w:noWrap/>
            <w:vAlign w:val="bottom"/>
            <w:hideMark/>
          </w:tcPr>
          <w:p w14:paraId="29818DD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0.869</w:t>
            </w:r>
          </w:p>
        </w:tc>
        <w:tc>
          <w:tcPr>
            <w:tcW w:w="1182" w:type="dxa"/>
            <w:tcBorders>
              <w:top w:val="nil"/>
              <w:left w:val="nil"/>
              <w:bottom w:val="nil"/>
              <w:right w:val="nil"/>
            </w:tcBorders>
            <w:shd w:val="clear" w:color="auto" w:fill="auto"/>
            <w:noWrap/>
            <w:vAlign w:val="bottom"/>
            <w:hideMark/>
          </w:tcPr>
          <w:p w14:paraId="6A2A8EC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0.036</w:t>
            </w:r>
          </w:p>
        </w:tc>
        <w:tc>
          <w:tcPr>
            <w:tcW w:w="262" w:type="dxa"/>
            <w:vMerge/>
            <w:tcBorders>
              <w:left w:val="nil"/>
              <w:right w:val="nil"/>
            </w:tcBorders>
            <w:shd w:val="clear" w:color="auto" w:fill="auto"/>
            <w:noWrap/>
            <w:vAlign w:val="bottom"/>
            <w:hideMark/>
          </w:tcPr>
          <w:p w14:paraId="7DB51C5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280C6B6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20 504</w:t>
            </w:r>
          </w:p>
        </w:tc>
        <w:tc>
          <w:tcPr>
            <w:tcW w:w="798" w:type="dxa"/>
            <w:tcBorders>
              <w:top w:val="nil"/>
              <w:left w:val="nil"/>
              <w:bottom w:val="nil"/>
              <w:right w:val="nil"/>
            </w:tcBorders>
            <w:shd w:val="clear" w:color="auto" w:fill="auto"/>
            <w:noWrap/>
            <w:vAlign w:val="bottom"/>
            <w:hideMark/>
          </w:tcPr>
          <w:p w14:paraId="7F82155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0.092</w:t>
            </w:r>
          </w:p>
        </w:tc>
        <w:tc>
          <w:tcPr>
            <w:tcW w:w="789" w:type="dxa"/>
            <w:tcBorders>
              <w:top w:val="nil"/>
              <w:left w:val="nil"/>
              <w:bottom w:val="nil"/>
              <w:right w:val="nil"/>
            </w:tcBorders>
            <w:shd w:val="clear" w:color="auto" w:fill="auto"/>
            <w:noWrap/>
            <w:vAlign w:val="bottom"/>
            <w:hideMark/>
          </w:tcPr>
          <w:p w14:paraId="3C79247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0.866</w:t>
            </w:r>
          </w:p>
        </w:tc>
        <w:tc>
          <w:tcPr>
            <w:tcW w:w="1182" w:type="dxa"/>
            <w:tcBorders>
              <w:top w:val="nil"/>
              <w:left w:val="nil"/>
              <w:bottom w:val="nil"/>
              <w:right w:val="nil"/>
            </w:tcBorders>
            <w:shd w:val="clear" w:color="auto" w:fill="auto"/>
            <w:noWrap/>
            <w:vAlign w:val="bottom"/>
            <w:hideMark/>
          </w:tcPr>
          <w:p w14:paraId="0E78A0E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0.042</w:t>
            </w:r>
          </w:p>
        </w:tc>
      </w:tr>
      <w:tr w:rsidR="00A8585C" w:rsidRPr="00A37CBC" w14:paraId="1D8CE171" w14:textId="77777777" w:rsidTr="00722837">
        <w:trPr>
          <w:cantSplit/>
          <w:trHeight w:val="300"/>
        </w:trPr>
        <w:tc>
          <w:tcPr>
            <w:tcW w:w="1134" w:type="dxa"/>
            <w:tcBorders>
              <w:top w:val="nil"/>
              <w:left w:val="nil"/>
              <w:bottom w:val="nil"/>
              <w:right w:val="nil"/>
            </w:tcBorders>
            <w:shd w:val="clear" w:color="auto" w:fill="auto"/>
            <w:noWrap/>
            <w:vAlign w:val="bottom"/>
            <w:hideMark/>
          </w:tcPr>
          <w:p w14:paraId="36D63E7E"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2019</w:t>
            </w:r>
          </w:p>
        </w:tc>
        <w:tc>
          <w:tcPr>
            <w:tcW w:w="929" w:type="dxa"/>
            <w:tcBorders>
              <w:top w:val="nil"/>
              <w:left w:val="nil"/>
              <w:bottom w:val="nil"/>
              <w:right w:val="nil"/>
            </w:tcBorders>
            <w:shd w:val="clear" w:color="auto" w:fill="auto"/>
            <w:noWrap/>
            <w:vAlign w:val="bottom"/>
            <w:hideMark/>
          </w:tcPr>
          <w:p w14:paraId="54282E2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50 134</w:t>
            </w:r>
          </w:p>
        </w:tc>
        <w:tc>
          <w:tcPr>
            <w:tcW w:w="838" w:type="dxa"/>
            <w:tcBorders>
              <w:top w:val="nil"/>
              <w:left w:val="nil"/>
              <w:bottom w:val="nil"/>
              <w:right w:val="nil"/>
            </w:tcBorders>
            <w:shd w:val="clear" w:color="auto" w:fill="auto"/>
            <w:noWrap/>
            <w:vAlign w:val="bottom"/>
            <w:hideMark/>
          </w:tcPr>
          <w:p w14:paraId="247E975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0.085</w:t>
            </w:r>
          </w:p>
        </w:tc>
        <w:tc>
          <w:tcPr>
            <w:tcW w:w="828" w:type="dxa"/>
            <w:tcBorders>
              <w:top w:val="nil"/>
              <w:left w:val="nil"/>
              <w:bottom w:val="nil"/>
              <w:right w:val="nil"/>
            </w:tcBorders>
            <w:shd w:val="clear" w:color="auto" w:fill="auto"/>
            <w:noWrap/>
            <w:vAlign w:val="bottom"/>
            <w:hideMark/>
          </w:tcPr>
          <w:p w14:paraId="27806E9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0.879</w:t>
            </w:r>
          </w:p>
        </w:tc>
        <w:tc>
          <w:tcPr>
            <w:tcW w:w="1188" w:type="dxa"/>
            <w:tcBorders>
              <w:top w:val="nil"/>
              <w:left w:val="nil"/>
              <w:bottom w:val="nil"/>
              <w:right w:val="nil"/>
            </w:tcBorders>
            <w:shd w:val="clear" w:color="auto" w:fill="auto"/>
            <w:noWrap/>
            <w:vAlign w:val="bottom"/>
            <w:hideMark/>
          </w:tcPr>
          <w:p w14:paraId="051EB6F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0.036</w:t>
            </w:r>
          </w:p>
        </w:tc>
        <w:tc>
          <w:tcPr>
            <w:tcW w:w="262" w:type="dxa"/>
            <w:vMerge/>
            <w:tcBorders>
              <w:left w:val="nil"/>
              <w:bottom w:val="nil"/>
              <w:right w:val="nil"/>
            </w:tcBorders>
            <w:shd w:val="clear" w:color="auto" w:fill="auto"/>
            <w:noWrap/>
            <w:vAlign w:val="bottom"/>
            <w:hideMark/>
          </w:tcPr>
          <w:p w14:paraId="065D4EF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44AA0BA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26 917</w:t>
            </w:r>
          </w:p>
        </w:tc>
        <w:tc>
          <w:tcPr>
            <w:tcW w:w="821" w:type="dxa"/>
            <w:tcBorders>
              <w:top w:val="nil"/>
              <w:left w:val="nil"/>
              <w:bottom w:val="nil"/>
              <w:right w:val="nil"/>
            </w:tcBorders>
            <w:shd w:val="clear" w:color="auto" w:fill="auto"/>
            <w:noWrap/>
            <w:vAlign w:val="bottom"/>
            <w:hideMark/>
          </w:tcPr>
          <w:p w14:paraId="4A8ED86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0.086</w:t>
            </w:r>
          </w:p>
        </w:tc>
        <w:tc>
          <w:tcPr>
            <w:tcW w:w="811" w:type="dxa"/>
            <w:tcBorders>
              <w:top w:val="nil"/>
              <w:left w:val="nil"/>
              <w:bottom w:val="nil"/>
              <w:right w:val="nil"/>
            </w:tcBorders>
            <w:shd w:val="clear" w:color="auto" w:fill="auto"/>
            <w:noWrap/>
            <w:vAlign w:val="bottom"/>
            <w:hideMark/>
          </w:tcPr>
          <w:p w14:paraId="6511624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0.879</w:t>
            </w:r>
          </w:p>
        </w:tc>
        <w:tc>
          <w:tcPr>
            <w:tcW w:w="1182" w:type="dxa"/>
            <w:tcBorders>
              <w:top w:val="nil"/>
              <w:left w:val="nil"/>
              <w:bottom w:val="nil"/>
              <w:right w:val="nil"/>
            </w:tcBorders>
            <w:shd w:val="clear" w:color="auto" w:fill="auto"/>
            <w:noWrap/>
            <w:vAlign w:val="bottom"/>
            <w:hideMark/>
          </w:tcPr>
          <w:p w14:paraId="66F41CB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0.034</w:t>
            </w:r>
          </w:p>
        </w:tc>
        <w:tc>
          <w:tcPr>
            <w:tcW w:w="262" w:type="dxa"/>
            <w:vMerge/>
            <w:tcBorders>
              <w:left w:val="nil"/>
              <w:bottom w:val="nil"/>
              <w:right w:val="nil"/>
            </w:tcBorders>
            <w:shd w:val="clear" w:color="auto" w:fill="auto"/>
            <w:noWrap/>
            <w:vAlign w:val="bottom"/>
            <w:hideMark/>
          </w:tcPr>
          <w:p w14:paraId="3DFEEAB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777FD5A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23 217</w:t>
            </w:r>
          </w:p>
        </w:tc>
        <w:tc>
          <w:tcPr>
            <w:tcW w:w="798" w:type="dxa"/>
            <w:tcBorders>
              <w:top w:val="nil"/>
              <w:left w:val="nil"/>
              <w:bottom w:val="nil"/>
              <w:right w:val="nil"/>
            </w:tcBorders>
            <w:shd w:val="clear" w:color="auto" w:fill="auto"/>
            <w:noWrap/>
            <w:vAlign w:val="bottom"/>
            <w:hideMark/>
          </w:tcPr>
          <w:p w14:paraId="7E338F8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0.085</w:t>
            </w:r>
          </w:p>
        </w:tc>
        <w:tc>
          <w:tcPr>
            <w:tcW w:w="789" w:type="dxa"/>
            <w:tcBorders>
              <w:top w:val="nil"/>
              <w:left w:val="nil"/>
              <w:bottom w:val="nil"/>
              <w:right w:val="nil"/>
            </w:tcBorders>
            <w:shd w:val="clear" w:color="auto" w:fill="auto"/>
            <w:noWrap/>
            <w:vAlign w:val="bottom"/>
            <w:hideMark/>
          </w:tcPr>
          <w:p w14:paraId="1B16FD0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0.879</w:t>
            </w:r>
          </w:p>
        </w:tc>
        <w:tc>
          <w:tcPr>
            <w:tcW w:w="1182" w:type="dxa"/>
            <w:tcBorders>
              <w:top w:val="nil"/>
              <w:left w:val="nil"/>
              <w:bottom w:val="nil"/>
              <w:right w:val="nil"/>
            </w:tcBorders>
            <w:shd w:val="clear" w:color="auto" w:fill="auto"/>
            <w:noWrap/>
            <w:vAlign w:val="bottom"/>
            <w:hideMark/>
          </w:tcPr>
          <w:p w14:paraId="5BF693B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0.037</w:t>
            </w:r>
          </w:p>
        </w:tc>
      </w:tr>
      <w:tr w:rsidR="00A8585C" w:rsidRPr="00A37CBC" w14:paraId="31BA3B2D" w14:textId="77777777" w:rsidTr="00966F9A">
        <w:trPr>
          <w:cantSplit/>
          <w:trHeight w:val="300"/>
        </w:trPr>
        <w:tc>
          <w:tcPr>
            <w:tcW w:w="13146" w:type="dxa"/>
            <w:gridSpan w:val="15"/>
            <w:tcBorders>
              <w:top w:val="nil"/>
              <w:left w:val="nil"/>
              <w:bottom w:val="nil"/>
              <w:right w:val="nil"/>
            </w:tcBorders>
            <w:shd w:val="clear" w:color="auto" w:fill="auto"/>
            <w:noWrap/>
            <w:vAlign w:val="bottom"/>
            <w:hideMark/>
          </w:tcPr>
          <w:p w14:paraId="32423A10" w14:textId="77777777" w:rsidR="00A8585C" w:rsidRPr="00A37CBC" w:rsidRDefault="00A8585C" w:rsidP="00A61F03">
            <w:pPr>
              <w:spacing w:before="0" w:after="0" w:line="240" w:lineRule="auto"/>
              <w:rPr>
                <w:rFonts w:ascii="Times New Roman" w:eastAsia="Times New Roman" w:hAnsi="Times New Roman"/>
                <w:sz w:val="20"/>
                <w:lang w:eastAsia="en-AU"/>
              </w:rPr>
            </w:pPr>
          </w:p>
        </w:tc>
      </w:tr>
      <w:tr w:rsidR="00A8585C" w:rsidRPr="00A37CBC" w14:paraId="0EE11810" w14:textId="77777777" w:rsidTr="00B33D54">
        <w:trPr>
          <w:cantSplit/>
          <w:trHeight w:val="300"/>
        </w:trPr>
        <w:tc>
          <w:tcPr>
            <w:tcW w:w="13146" w:type="dxa"/>
            <w:gridSpan w:val="15"/>
            <w:tcBorders>
              <w:top w:val="nil"/>
              <w:left w:val="nil"/>
              <w:bottom w:val="nil"/>
              <w:right w:val="nil"/>
            </w:tcBorders>
            <w:shd w:val="clear" w:color="auto" w:fill="C6D4E9"/>
            <w:noWrap/>
            <w:vAlign w:val="bottom"/>
            <w:hideMark/>
          </w:tcPr>
          <w:p w14:paraId="386ED4A9" w14:textId="670D59E1" w:rsidR="00A8585C" w:rsidRPr="00B33D54" w:rsidRDefault="00A8585C" w:rsidP="00A61F03">
            <w:pPr>
              <w:spacing w:before="0" w:after="0" w:line="240" w:lineRule="auto"/>
              <w:rPr>
                <w:rFonts w:ascii="Times New Roman" w:eastAsia="Times New Roman" w:hAnsi="Times New Roman"/>
                <w:b/>
                <w:sz w:val="20"/>
                <w:lang w:eastAsia="en-AU"/>
              </w:rPr>
            </w:pPr>
            <w:r w:rsidRPr="00B33D54">
              <w:rPr>
                <w:rFonts w:ascii="Calibri" w:eastAsia="Times New Roman" w:hAnsi="Calibri" w:cs="Calibri"/>
                <w:b/>
                <w:color w:val="000000"/>
                <w:sz w:val="20"/>
                <w:lang w:eastAsia="en-AU"/>
              </w:rPr>
              <w:t>Aged 15-19</w:t>
            </w:r>
          </w:p>
        </w:tc>
      </w:tr>
      <w:tr w:rsidR="00A8585C" w:rsidRPr="00A37CBC" w14:paraId="6310F28F" w14:textId="77777777" w:rsidTr="008262C6">
        <w:trPr>
          <w:cantSplit/>
          <w:trHeight w:val="300"/>
        </w:trPr>
        <w:tc>
          <w:tcPr>
            <w:tcW w:w="1134" w:type="dxa"/>
            <w:tcBorders>
              <w:top w:val="nil"/>
              <w:left w:val="nil"/>
              <w:bottom w:val="nil"/>
              <w:right w:val="nil"/>
            </w:tcBorders>
            <w:shd w:val="clear" w:color="auto" w:fill="auto"/>
            <w:noWrap/>
            <w:vAlign w:val="bottom"/>
            <w:hideMark/>
          </w:tcPr>
          <w:p w14:paraId="715685B8"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2013</w:t>
            </w:r>
          </w:p>
        </w:tc>
        <w:tc>
          <w:tcPr>
            <w:tcW w:w="929" w:type="dxa"/>
            <w:tcBorders>
              <w:top w:val="nil"/>
              <w:left w:val="nil"/>
              <w:bottom w:val="nil"/>
              <w:right w:val="nil"/>
            </w:tcBorders>
            <w:shd w:val="clear" w:color="auto" w:fill="auto"/>
            <w:noWrap/>
            <w:vAlign w:val="bottom"/>
            <w:hideMark/>
          </w:tcPr>
          <w:p w14:paraId="1F54CDB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87 062</w:t>
            </w:r>
          </w:p>
        </w:tc>
        <w:tc>
          <w:tcPr>
            <w:tcW w:w="838" w:type="dxa"/>
            <w:tcBorders>
              <w:top w:val="nil"/>
              <w:left w:val="nil"/>
              <w:bottom w:val="nil"/>
              <w:right w:val="nil"/>
            </w:tcBorders>
            <w:shd w:val="clear" w:color="auto" w:fill="auto"/>
            <w:noWrap/>
            <w:vAlign w:val="bottom"/>
            <w:hideMark/>
          </w:tcPr>
          <w:p w14:paraId="1364D8A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0.073</w:t>
            </w:r>
          </w:p>
        </w:tc>
        <w:tc>
          <w:tcPr>
            <w:tcW w:w="828" w:type="dxa"/>
            <w:tcBorders>
              <w:top w:val="nil"/>
              <w:left w:val="nil"/>
              <w:bottom w:val="nil"/>
              <w:right w:val="nil"/>
            </w:tcBorders>
            <w:shd w:val="clear" w:color="auto" w:fill="auto"/>
            <w:noWrap/>
            <w:vAlign w:val="bottom"/>
            <w:hideMark/>
          </w:tcPr>
          <w:p w14:paraId="1ED812C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0.722</w:t>
            </w:r>
          </w:p>
        </w:tc>
        <w:tc>
          <w:tcPr>
            <w:tcW w:w="1188" w:type="dxa"/>
            <w:tcBorders>
              <w:top w:val="nil"/>
              <w:left w:val="nil"/>
              <w:bottom w:val="nil"/>
              <w:right w:val="nil"/>
            </w:tcBorders>
            <w:shd w:val="clear" w:color="auto" w:fill="auto"/>
            <w:noWrap/>
            <w:vAlign w:val="bottom"/>
            <w:hideMark/>
          </w:tcPr>
          <w:p w14:paraId="62541D4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0.205</w:t>
            </w:r>
          </w:p>
        </w:tc>
        <w:tc>
          <w:tcPr>
            <w:tcW w:w="262" w:type="dxa"/>
            <w:vMerge w:val="restart"/>
            <w:tcBorders>
              <w:top w:val="nil"/>
              <w:left w:val="nil"/>
              <w:right w:val="nil"/>
            </w:tcBorders>
            <w:shd w:val="clear" w:color="auto" w:fill="auto"/>
            <w:noWrap/>
            <w:vAlign w:val="bottom"/>
            <w:hideMark/>
          </w:tcPr>
          <w:p w14:paraId="4FF4ECB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022AD95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29 158</w:t>
            </w:r>
          </w:p>
        </w:tc>
        <w:tc>
          <w:tcPr>
            <w:tcW w:w="821" w:type="dxa"/>
            <w:tcBorders>
              <w:top w:val="nil"/>
              <w:left w:val="nil"/>
              <w:bottom w:val="nil"/>
              <w:right w:val="nil"/>
            </w:tcBorders>
            <w:shd w:val="clear" w:color="auto" w:fill="auto"/>
            <w:noWrap/>
            <w:vAlign w:val="bottom"/>
            <w:hideMark/>
          </w:tcPr>
          <w:p w14:paraId="40E1A24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0.076</w:t>
            </w:r>
          </w:p>
        </w:tc>
        <w:tc>
          <w:tcPr>
            <w:tcW w:w="811" w:type="dxa"/>
            <w:tcBorders>
              <w:top w:val="nil"/>
              <w:left w:val="nil"/>
              <w:bottom w:val="nil"/>
              <w:right w:val="nil"/>
            </w:tcBorders>
            <w:shd w:val="clear" w:color="auto" w:fill="auto"/>
            <w:noWrap/>
            <w:vAlign w:val="bottom"/>
            <w:hideMark/>
          </w:tcPr>
          <w:p w14:paraId="2B1C0B7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0.704</w:t>
            </w:r>
          </w:p>
        </w:tc>
        <w:tc>
          <w:tcPr>
            <w:tcW w:w="1182" w:type="dxa"/>
            <w:tcBorders>
              <w:top w:val="nil"/>
              <w:left w:val="nil"/>
              <w:bottom w:val="nil"/>
              <w:right w:val="nil"/>
            </w:tcBorders>
            <w:shd w:val="clear" w:color="auto" w:fill="auto"/>
            <w:noWrap/>
            <w:vAlign w:val="bottom"/>
            <w:hideMark/>
          </w:tcPr>
          <w:p w14:paraId="6DF0942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0.220</w:t>
            </w:r>
          </w:p>
        </w:tc>
        <w:tc>
          <w:tcPr>
            <w:tcW w:w="262" w:type="dxa"/>
            <w:vMerge w:val="restart"/>
            <w:tcBorders>
              <w:top w:val="nil"/>
              <w:left w:val="nil"/>
              <w:right w:val="nil"/>
            </w:tcBorders>
            <w:shd w:val="clear" w:color="auto" w:fill="auto"/>
            <w:noWrap/>
            <w:vAlign w:val="bottom"/>
            <w:hideMark/>
          </w:tcPr>
          <w:p w14:paraId="417026F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069364D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57 904</w:t>
            </w:r>
          </w:p>
        </w:tc>
        <w:tc>
          <w:tcPr>
            <w:tcW w:w="798" w:type="dxa"/>
            <w:tcBorders>
              <w:top w:val="nil"/>
              <w:left w:val="nil"/>
              <w:bottom w:val="nil"/>
              <w:right w:val="nil"/>
            </w:tcBorders>
            <w:shd w:val="clear" w:color="auto" w:fill="auto"/>
            <w:noWrap/>
            <w:vAlign w:val="bottom"/>
            <w:hideMark/>
          </w:tcPr>
          <w:p w14:paraId="5F904BC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0.072</w:t>
            </w:r>
          </w:p>
        </w:tc>
        <w:tc>
          <w:tcPr>
            <w:tcW w:w="789" w:type="dxa"/>
            <w:tcBorders>
              <w:top w:val="nil"/>
              <w:left w:val="nil"/>
              <w:bottom w:val="nil"/>
              <w:right w:val="nil"/>
            </w:tcBorders>
            <w:shd w:val="clear" w:color="auto" w:fill="auto"/>
            <w:noWrap/>
            <w:vAlign w:val="bottom"/>
            <w:hideMark/>
          </w:tcPr>
          <w:p w14:paraId="3DB893B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0.731</w:t>
            </w:r>
          </w:p>
        </w:tc>
        <w:tc>
          <w:tcPr>
            <w:tcW w:w="1182" w:type="dxa"/>
            <w:tcBorders>
              <w:top w:val="nil"/>
              <w:left w:val="nil"/>
              <w:bottom w:val="nil"/>
              <w:right w:val="nil"/>
            </w:tcBorders>
            <w:shd w:val="clear" w:color="auto" w:fill="auto"/>
            <w:noWrap/>
            <w:vAlign w:val="bottom"/>
            <w:hideMark/>
          </w:tcPr>
          <w:p w14:paraId="6D07E60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0.197</w:t>
            </w:r>
          </w:p>
        </w:tc>
      </w:tr>
      <w:tr w:rsidR="00A8585C" w:rsidRPr="00A37CBC" w14:paraId="67EC349C" w14:textId="77777777" w:rsidTr="008262C6">
        <w:trPr>
          <w:cantSplit/>
          <w:trHeight w:val="300"/>
        </w:trPr>
        <w:tc>
          <w:tcPr>
            <w:tcW w:w="1134" w:type="dxa"/>
            <w:tcBorders>
              <w:top w:val="nil"/>
              <w:left w:val="nil"/>
              <w:bottom w:val="nil"/>
              <w:right w:val="nil"/>
            </w:tcBorders>
            <w:shd w:val="clear" w:color="auto" w:fill="auto"/>
            <w:noWrap/>
            <w:vAlign w:val="bottom"/>
            <w:hideMark/>
          </w:tcPr>
          <w:p w14:paraId="69FDB790"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2014</w:t>
            </w:r>
          </w:p>
        </w:tc>
        <w:tc>
          <w:tcPr>
            <w:tcW w:w="929" w:type="dxa"/>
            <w:tcBorders>
              <w:top w:val="nil"/>
              <w:left w:val="nil"/>
              <w:bottom w:val="nil"/>
              <w:right w:val="nil"/>
            </w:tcBorders>
            <w:shd w:val="clear" w:color="auto" w:fill="auto"/>
            <w:noWrap/>
            <w:vAlign w:val="bottom"/>
            <w:hideMark/>
          </w:tcPr>
          <w:p w14:paraId="457810D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91 360</w:t>
            </w:r>
          </w:p>
        </w:tc>
        <w:tc>
          <w:tcPr>
            <w:tcW w:w="838" w:type="dxa"/>
            <w:tcBorders>
              <w:top w:val="nil"/>
              <w:left w:val="nil"/>
              <w:bottom w:val="nil"/>
              <w:right w:val="nil"/>
            </w:tcBorders>
            <w:shd w:val="clear" w:color="auto" w:fill="auto"/>
            <w:noWrap/>
            <w:vAlign w:val="bottom"/>
            <w:hideMark/>
          </w:tcPr>
          <w:p w14:paraId="2A2BCA4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0.070</w:t>
            </w:r>
          </w:p>
        </w:tc>
        <w:tc>
          <w:tcPr>
            <w:tcW w:w="828" w:type="dxa"/>
            <w:tcBorders>
              <w:top w:val="nil"/>
              <w:left w:val="nil"/>
              <w:bottom w:val="nil"/>
              <w:right w:val="nil"/>
            </w:tcBorders>
            <w:shd w:val="clear" w:color="auto" w:fill="auto"/>
            <w:noWrap/>
            <w:vAlign w:val="bottom"/>
            <w:hideMark/>
          </w:tcPr>
          <w:p w14:paraId="6CFCA18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0.733</w:t>
            </w:r>
          </w:p>
        </w:tc>
        <w:tc>
          <w:tcPr>
            <w:tcW w:w="1188" w:type="dxa"/>
            <w:tcBorders>
              <w:top w:val="nil"/>
              <w:left w:val="nil"/>
              <w:bottom w:val="nil"/>
              <w:right w:val="nil"/>
            </w:tcBorders>
            <w:shd w:val="clear" w:color="auto" w:fill="auto"/>
            <w:noWrap/>
            <w:vAlign w:val="bottom"/>
            <w:hideMark/>
          </w:tcPr>
          <w:p w14:paraId="32CE4CD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0.197</w:t>
            </w:r>
          </w:p>
        </w:tc>
        <w:tc>
          <w:tcPr>
            <w:tcW w:w="262" w:type="dxa"/>
            <w:vMerge/>
            <w:tcBorders>
              <w:left w:val="nil"/>
              <w:right w:val="nil"/>
            </w:tcBorders>
            <w:shd w:val="clear" w:color="auto" w:fill="auto"/>
            <w:noWrap/>
            <w:vAlign w:val="bottom"/>
            <w:hideMark/>
          </w:tcPr>
          <w:p w14:paraId="2F663A4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7FD5B64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30 637</w:t>
            </w:r>
          </w:p>
        </w:tc>
        <w:tc>
          <w:tcPr>
            <w:tcW w:w="821" w:type="dxa"/>
            <w:tcBorders>
              <w:top w:val="nil"/>
              <w:left w:val="nil"/>
              <w:bottom w:val="nil"/>
              <w:right w:val="nil"/>
            </w:tcBorders>
            <w:shd w:val="clear" w:color="auto" w:fill="auto"/>
            <w:noWrap/>
            <w:vAlign w:val="bottom"/>
            <w:hideMark/>
          </w:tcPr>
          <w:p w14:paraId="44BE22B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0.068</w:t>
            </w:r>
          </w:p>
        </w:tc>
        <w:tc>
          <w:tcPr>
            <w:tcW w:w="811" w:type="dxa"/>
            <w:tcBorders>
              <w:top w:val="nil"/>
              <w:left w:val="nil"/>
              <w:bottom w:val="nil"/>
              <w:right w:val="nil"/>
            </w:tcBorders>
            <w:shd w:val="clear" w:color="auto" w:fill="auto"/>
            <w:noWrap/>
            <w:vAlign w:val="bottom"/>
            <w:hideMark/>
          </w:tcPr>
          <w:p w14:paraId="4D45F85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0.723</w:t>
            </w:r>
          </w:p>
        </w:tc>
        <w:tc>
          <w:tcPr>
            <w:tcW w:w="1182" w:type="dxa"/>
            <w:tcBorders>
              <w:top w:val="nil"/>
              <w:left w:val="nil"/>
              <w:bottom w:val="nil"/>
              <w:right w:val="nil"/>
            </w:tcBorders>
            <w:shd w:val="clear" w:color="auto" w:fill="auto"/>
            <w:noWrap/>
            <w:vAlign w:val="bottom"/>
            <w:hideMark/>
          </w:tcPr>
          <w:p w14:paraId="10549D6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0.209</w:t>
            </w:r>
          </w:p>
        </w:tc>
        <w:tc>
          <w:tcPr>
            <w:tcW w:w="262" w:type="dxa"/>
            <w:vMerge/>
            <w:tcBorders>
              <w:left w:val="nil"/>
              <w:right w:val="nil"/>
            </w:tcBorders>
            <w:shd w:val="clear" w:color="auto" w:fill="auto"/>
            <w:noWrap/>
            <w:vAlign w:val="bottom"/>
            <w:hideMark/>
          </w:tcPr>
          <w:p w14:paraId="1927986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1F0E069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60 723</w:t>
            </w:r>
          </w:p>
        </w:tc>
        <w:tc>
          <w:tcPr>
            <w:tcW w:w="798" w:type="dxa"/>
            <w:tcBorders>
              <w:top w:val="nil"/>
              <w:left w:val="nil"/>
              <w:bottom w:val="nil"/>
              <w:right w:val="nil"/>
            </w:tcBorders>
            <w:shd w:val="clear" w:color="auto" w:fill="auto"/>
            <w:noWrap/>
            <w:vAlign w:val="bottom"/>
            <w:hideMark/>
          </w:tcPr>
          <w:p w14:paraId="7820065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0.071</w:t>
            </w:r>
          </w:p>
        </w:tc>
        <w:tc>
          <w:tcPr>
            <w:tcW w:w="789" w:type="dxa"/>
            <w:tcBorders>
              <w:top w:val="nil"/>
              <w:left w:val="nil"/>
              <w:bottom w:val="nil"/>
              <w:right w:val="nil"/>
            </w:tcBorders>
            <w:shd w:val="clear" w:color="auto" w:fill="auto"/>
            <w:noWrap/>
            <w:vAlign w:val="bottom"/>
            <w:hideMark/>
          </w:tcPr>
          <w:p w14:paraId="7FA0A4A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0.738</w:t>
            </w:r>
          </w:p>
        </w:tc>
        <w:tc>
          <w:tcPr>
            <w:tcW w:w="1182" w:type="dxa"/>
            <w:tcBorders>
              <w:top w:val="nil"/>
              <w:left w:val="nil"/>
              <w:bottom w:val="nil"/>
              <w:right w:val="nil"/>
            </w:tcBorders>
            <w:shd w:val="clear" w:color="auto" w:fill="auto"/>
            <w:noWrap/>
            <w:vAlign w:val="bottom"/>
            <w:hideMark/>
          </w:tcPr>
          <w:p w14:paraId="50DA75F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0.191</w:t>
            </w:r>
          </w:p>
        </w:tc>
      </w:tr>
      <w:tr w:rsidR="00A8585C" w:rsidRPr="00A37CBC" w14:paraId="02A90234" w14:textId="77777777" w:rsidTr="008262C6">
        <w:trPr>
          <w:cantSplit/>
          <w:trHeight w:val="300"/>
        </w:trPr>
        <w:tc>
          <w:tcPr>
            <w:tcW w:w="1134" w:type="dxa"/>
            <w:tcBorders>
              <w:top w:val="nil"/>
              <w:left w:val="nil"/>
              <w:bottom w:val="nil"/>
              <w:right w:val="nil"/>
            </w:tcBorders>
            <w:shd w:val="clear" w:color="auto" w:fill="auto"/>
            <w:noWrap/>
            <w:vAlign w:val="bottom"/>
            <w:hideMark/>
          </w:tcPr>
          <w:p w14:paraId="1F22F4BD"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2015</w:t>
            </w:r>
          </w:p>
        </w:tc>
        <w:tc>
          <w:tcPr>
            <w:tcW w:w="929" w:type="dxa"/>
            <w:tcBorders>
              <w:top w:val="nil"/>
              <w:left w:val="nil"/>
              <w:bottom w:val="nil"/>
              <w:right w:val="nil"/>
            </w:tcBorders>
            <w:shd w:val="clear" w:color="auto" w:fill="auto"/>
            <w:noWrap/>
            <w:vAlign w:val="bottom"/>
            <w:hideMark/>
          </w:tcPr>
          <w:p w14:paraId="1B13B2F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98 275</w:t>
            </w:r>
          </w:p>
        </w:tc>
        <w:tc>
          <w:tcPr>
            <w:tcW w:w="838" w:type="dxa"/>
            <w:tcBorders>
              <w:top w:val="nil"/>
              <w:left w:val="nil"/>
              <w:bottom w:val="nil"/>
              <w:right w:val="nil"/>
            </w:tcBorders>
            <w:shd w:val="clear" w:color="auto" w:fill="auto"/>
            <w:noWrap/>
            <w:vAlign w:val="bottom"/>
            <w:hideMark/>
          </w:tcPr>
          <w:p w14:paraId="5DC6032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0.066</w:t>
            </w:r>
          </w:p>
        </w:tc>
        <w:tc>
          <w:tcPr>
            <w:tcW w:w="828" w:type="dxa"/>
            <w:tcBorders>
              <w:top w:val="nil"/>
              <w:left w:val="nil"/>
              <w:bottom w:val="nil"/>
              <w:right w:val="nil"/>
            </w:tcBorders>
            <w:shd w:val="clear" w:color="auto" w:fill="auto"/>
            <w:noWrap/>
            <w:vAlign w:val="bottom"/>
            <w:hideMark/>
          </w:tcPr>
          <w:p w14:paraId="1072C87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0.749</w:t>
            </w:r>
          </w:p>
        </w:tc>
        <w:tc>
          <w:tcPr>
            <w:tcW w:w="1188" w:type="dxa"/>
            <w:tcBorders>
              <w:top w:val="nil"/>
              <w:left w:val="nil"/>
              <w:bottom w:val="nil"/>
              <w:right w:val="nil"/>
            </w:tcBorders>
            <w:shd w:val="clear" w:color="auto" w:fill="auto"/>
            <w:noWrap/>
            <w:vAlign w:val="bottom"/>
            <w:hideMark/>
          </w:tcPr>
          <w:p w14:paraId="1E80DE3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0.185</w:t>
            </w:r>
          </w:p>
        </w:tc>
        <w:tc>
          <w:tcPr>
            <w:tcW w:w="262" w:type="dxa"/>
            <w:vMerge/>
            <w:tcBorders>
              <w:left w:val="nil"/>
              <w:right w:val="nil"/>
            </w:tcBorders>
            <w:shd w:val="clear" w:color="auto" w:fill="auto"/>
            <w:noWrap/>
            <w:vAlign w:val="bottom"/>
            <w:hideMark/>
          </w:tcPr>
          <w:p w14:paraId="50D98FD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456F025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32 883</w:t>
            </w:r>
          </w:p>
        </w:tc>
        <w:tc>
          <w:tcPr>
            <w:tcW w:w="821" w:type="dxa"/>
            <w:tcBorders>
              <w:top w:val="nil"/>
              <w:left w:val="nil"/>
              <w:bottom w:val="nil"/>
              <w:right w:val="nil"/>
            </w:tcBorders>
            <w:shd w:val="clear" w:color="auto" w:fill="auto"/>
            <w:noWrap/>
            <w:vAlign w:val="bottom"/>
            <w:hideMark/>
          </w:tcPr>
          <w:p w14:paraId="4EBAA7E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0.061</w:t>
            </w:r>
          </w:p>
        </w:tc>
        <w:tc>
          <w:tcPr>
            <w:tcW w:w="811" w:type="dxa"/>
            <w:tcBorders>
              <w:top w:val="nil"/>
              <w:left w:val="nil"/>
              <w:bottom w:val="nil"/>
              <w:right w:val="nil"/>
            </w:tcBorders>
            <w:shd w:val="clear" w:color="auto" w:fill="auto"/>
            <w:noWrap/>
            <w:vAlign w:val="bottom"/>
            <w:hideMark/>
          </w:tcPr>
          <w:p w14:paraId="69C7A43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0.740</w:t>
            </w:r>
          </w:p>
        </w:tc>
        <w:tc>
          <w:tcPr>
            <w:tcW w:w="1182" w:type="dxa"/>
            <w:tcBorders>
              <w:top w:val="nil"/>
              <w:left w:val="nil"/>
              <w:bottom w:val="nil"/>
              <w:right w:val="nil"/>
            </w:tcBorders>
            <w:shd w:val="clear" w:color="auto" w:fill="auto"/>
            <w:noWrap/>
            <w:vAlign w:val="bottom"/>
            <w:hideMark/>
          </w:tcPr>
          <w:p w14:paraId="2AF3389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0.199</w:t>
            </w:r>
          </w:p>
        </w:tc>
        <w:tc>
          <w:tcPr>
            <w:tcW w:w="262" w:type="dxa"/>
            <w:vMerge/>
            <w:tcBorders>
              <w:left w:val="nil"/>
              <w:right w:val="nil"/>
            </w:tcBorders>
            <w:shd w:val="clear" w:color="auto" w:fill="auto"/>
            <w:noWrap/>
            <w:vAlign w:val="bottom"/>
            <w:hideMark/>
          </w:tcPr>
          <w:p w14:paraId="4FCE6FD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3DA652E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65 392</w:t>
            </w:r>
          </w:p>
        </w:tc>
        <w:tc>
          <w:tcPr>
            <w:tcW w:w="798" w:type="dxa"/>
            <w:tcBorders>
              <w:top w:val="nil"/>
              <w:left w:val="nil"/>
              <w:bottom w:val="nil"/>
              <w:right w:val="nil"/>
            </w:tcBorders>
            <w:shd w:val="clear" w:color="auto" w:fill="auto"/>
            <w:noWrap/>
            <w:vAlign w:val="bottom"/>
            <w:hideMark/>
          </w:tcPr>
          <w:p w14:paraId="30C7CED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0.069</w:t>
            </w:r>
          </w:p>
        </w:tc>
        <w:tc>
          <w:tcPr>
            <w:tcW w:w="789" w:type="dxa"/>
            <w:tcBorders>
              <w:top w:val="nil"/>
              <w:left w:val="nil"/>
              <w:bottom w:val="nil"/>
              <w:right w:val="nil"/>
            </w:tcBorders>
            <w:shd w:val="clear" w:color="auto" w:fill="auto"/>
            <w:noWrap/>
            <w:vAlign w:val="bottom"/>
            <w:hideMark/>
          </w:tcPr>
          <w:p w14:paraId="7C572DA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0.753</w:t>
            </w:r>
          </w:p>
        </w:tc>
        <w:tc>
          <w:tcPr>
            <w:tcW w:w="1182" w:type="dxa"/>
            <w:tcBorders>
              <w:top w:val="nil"/>
              <w:left w:val="nil"/>
              <w:bottom w:val="nil"/>
              <w:right w:val="nil"/>
            </w:tcBorders>
            <w:shd w:val="clear" w:color="auto" w:fill="auto"/>
            <w:noWrap/>
            <w:vAlign w:val="bottom"/>
            <w:hideMark/>
          </w:tcPr>
          <w:p w14:paraId="377E485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0.178</w:t>
            </w:r>
          </w:p>
        </w:tc>
      </w:tr>
      <w:tr w:rsidR="00A8585C" w:rsidRPr="00A37CBC" w14:paraId="5B11B1C7" w14:textId="77777777" w:rsidTr="008262C6">
        <w:trPr>
          <w:cantSplit/>
          <w:trHeight w:val="300"/>
        </w:trPr>
        <w:tc>
          <w:tcPr>
            <w:tcW w:w="1134" w:type="dxa"/>
            <w:tcBorders>
              <w:top w:val="nil"/>
              <w:left w:val="nil"/>
              <w:bottom w:val="nil"/>
              <w:right w:val="nil"/>
            </w:tcBorders>
            <w:shd w:val="clear" w:color="auto" w:fill="auto"/>
            <w:noWrap/>
            <w:vAlign w:val="bottom"/>
            <w:hideMark/>
          </w:tcPr>
          <w:p w14:paraId="56286E6F"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2016</w:t>
            </w:r>
          </w:p>
        </w:tc>
        <w:tc>
          <w:tcPr>
            <w:tcW w:w="929" w:type="dxa"/>
            <w:tcBorders>
              <w:top w:val="nil"/>
              <w:left w:val="nil"/>
              <w:bottom w:val="nil"/>
              <w:right w:val="nil"/>
            </w:tcBorders>
            <w:shd w:val="clear" w:color="auto" w:fill="auto"/>
            <w:noWrap/>
            <w:vAlign w:val="bottom"/>
            <w:hideMark/>
          </w:tcPr>
          <w:p w14:paraId="68218E0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103 918</w:t>
            </w:r>
          </w:p>
        </w:tc>
        <w:tc>
          <w:tcPr>
            <w:tcW w:w="838" w:type="dxa"/>
            <w:tcBorders>
              <w:top w:val="nil"/>
              <w:left w:val="nil"/>
              <w:bottom w:val="nil"/>
              <w:right w:val="nil"/>
            </w:tcBorders>
            <w:shd w:val="clear" w:color="auto" w:fill="auto"/>
            <w:noWrap/>
            <w:vAlign w:val="bottom"/>
            <w:hideMark/>
          </w:tcPr>
          <w:p w14:paraId="6A52D6D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0.066</w:t>
            </w:r>
          </w:p>
        </w:tc>
        <w:tc>
          <w:tcPr>
            <w:tcW w:w="828" w:type="dxa"/>
            <w:tcBorders>
              <w:top w:val="nil"/>
              <w:left w:val="nil"/>
              <w:bottom w:val="nil"/>
              <w:right w:val="nil"/>
            </w:tcBorders>
            <w:shd w:val="clear" w:color="auto" w:fill="auto"/>
            <w:noWrap/>
            <w:vAlign w:val="bottom"/>
            <w:hideMark/>
          </w:tcPr>
          <w:p w14:paraId="0708112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0.762</w:t>
            </w:r>
          </w:p>
        </w:tc>
        <w:tc>
          <w:tcPr>
            <w:tcW w:w="1188" w:type="dxa"/>
            <w:tcBorders>
              <w:top w:val="nil"/>
              <w:left w:val="nil"/>
              <w:bottom w:val="nil"/>
              <w:right w:val="nil"/>
            </w:tcBorders>
            <w:shd w:val="clear" w:color="auto" w:fill="auto"/>
            <w:noWrap/>
            <w:vAlign w:val="bottom"/>
            <w:hideMark/>
          </w:tcPr>
          <w:p w14:paraId="5B87D1D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0.172</w:t>
            </w:r>
          </w:p>
        </w:tc>
        <w:tc>
          <w:tcPr>
            <w:tcW w:w="262" w:type="dxa"/>
            <w:vMerge/>
            <w:tcBorders>
              <w:left w:val="nil"/>
              <w:right w:val="nil"/>
            </w:tcBorders>
            <w:shd w:val="clear" w:color="auto" w:fill="auto"/>
            <w:noWrap/>
            <w:vAlign w:val="bottom"/>
            <w:hideMark/>
          </w:tcPr>
          <w:p w14:paraId="048A5E4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4B4EB71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35 092</w:t>
            </w:r>
          </w:p>
        </w:tc>
        <w:tc>
          <w:tcPr>
            <w:tcW w:w="821" w:type="dxa"/>
            <w:tcBorders>
              <w:top w:val="nil"/>
              <w:left w:val="nil"/>
              <w:bottom w:val="nil"/>
              <w:right w:val="nil"/>
            </w:tcBorders>
            <w:shd w:val="clear" w:color="auto" w:fill="auto"/>
            <w:noWrap/>
            <w:vAlign w:val="bottom"/>
            <w:hideMark/>
          </w:tcPr>
          <w:p w14:paraId="25D287C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0.059</w:t>
            </w:r>
          </w:p>
        </w:tc>
        <w:tc>
          <w:tcPr>
            <w:tcW w:w="811" w:type="dxa"/>
            <w:tcBorders>
              <w:top w:val="nil"/>
              <w:left w:val="nil"/>
              <w:bottom w:val="nil"/>
              <w:right w:val="nil"/>
            </w:tcBorders>
            <w:shd w:val="clear" w:color="auto" w:fill="auto"/>
            <w:noWrap/>
            <w:vAlign w:val="bottom"/>
            <w:hideMark/>
          </w:tcPr>
          <w:p w14:paraId="18B0C84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0.755</w:t>
            </w:r>
          </w:p>
        </w:tc>
        <w:tc>
          <w:tcPr>
            <w:tcW w:w="1182" w:type="dxa"/>
            <w:tcBorders>
              <w:top w:val="nil"/>
              <w:left w:val="nil"/>
              <w:bottom w:val="nil"/>
              <w:right w:val="nil"/>
            </w:tcBorders>
            <w:shd w:val="clear" w:color="auto" w:fill="auto"/>
            <w:noWrap/>
            <w:vAlign w:val="bottom"/>
            <w:hideMark/>
          </w:tcPr>
          <w:p w14:paraId="50FEEDA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0.185</w:t>
            </w:r>
          </w:p>
        </w:tc>
        <w:tc>
          <w:tcPr>
            <w:tcW w:w="262" w:type="dxa"/>
            <w:vMerge/>
            <w:tcBorders>
              <w:left w:val="nil"/>
              <w:right w:val="nil"/>
            </w:tcBorders>
            <w:shd w:val="clear" w:color="auto" w:fill="auto"/>
            <w:noWrap/>
            <w:vAlign w:val="bottom"/>
            <w:hideMark/>
          </w:tcPr>
          <w:p w14:paraId="5EEF240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1746525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68 826</w:t>
            </w:r>
          </w:p>
        </w:tc>
        <w:tc>
          <w:tcPr>
            <w:tcW w:w="798" w:type="dxa"/>
            <w:tcBorders>
              <w:top w:val="nil"/>
              <w:left w:val="nil"/>
              <w:bottom w:val="nil"/>
              <w:right w:val="nil"/>
            </w:tcBorders>
            <w:shd w:val="clear" w:color="auto" w:fill="auto"/>
            <w:noWrap/>
            <w:vAlign w:val="bottom"/>
            <w:hideMark/>
          </w:tcPr>
          <w:p w14:paraId="7FD1FB7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0.069</w:t>
            </w:r>
          </w:p>
        </w:tc>
        <w:tc>
          <w:tcPr>
            <w:tcW w:w="789" w:type="dxa"/>
            <w:tcBorders>
              <w:top w:val="nil"/>
              <w:left w:val="nil"/>
              <w:bottom w:val="nil"/>
              <w:right w:val="nil"/>
            </w:tcBorders>
            <w:shd w:val="clear" w:color="auto" w:fill="auto"/>
            <w:noWrap/>
            <w:vAlign w:val="bottom"/>
            <w:hideMark/>
          </w:tcPr>
          <w:p w14:paraId="35A8197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0.766</w:t>
            </w:r>
          </w:p>
        </w:tc>
        <w:tc>
          <w:tcPr>
            <w:tcW w:w="1182" w:type="dxa"/>
            <w:tcBorders>
              <w:top w:val="nil"/>
              <w:left w:val="nil"/>
              <w:bottom w:val="nil"/>
              <w:right w:val="nil"/>
            </w:tcBorders>
            <w:shd w:val="clear" w:color="auto" w:fill="auto"/>
            <w:noWrap/>
            <w:vAlign w:val="bottom"/>
            <w:hideMark/>
          </w:tcPr>
          <w:p w14:paraId="0CE57DA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0.165</w:t>
            </w:r>
          </w:p>
        </w:tc>
      </w:tr>
      <w:tr w:rsidR="00A8585C" w:rsidRPr="00A37CBC" w14:paraId="39E44B21" w14:textId="77777777" w:rsidTr="008262C6">
        <w:trPr>
          <w:cantSplit/>
          <w:trHeight w:val="300"/>
        </w:trPr>
        <w:tc>
          <w:tcPr>
            <w:tcW w:w="1134" w:type="dxa"/>
            <w:tcBorders>
              <w:top w:val="nil"/>
              <w:left w:val="nil"/>
              <w:bottom w:val="nil"/>
              <w:right w:val="nil"/>
            </w:tcBorders>
            <w:shd w:val="clear" w:color="auto" w:fill="auto"/>
            <w:noWrap/>
            <w:vAlign w:val="bottom"/>
            <w:hideMark/>
          </w:tcPr>
          <w:p w14:paraId="6E77A159"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2017</w:t>
            </w:r>
          </w:p>
        </w:tc>
        <w:tc>
          <w:tcPr>
            <w:tcW w:w="929" w:type="dxa"/>
            <w:tcBorders>
              <w:top w:val="nil"/>
              <w:left w:val="nil"/>
              <w:bottom w:val="nil"/>
              <w:right w:val="nil"/>
            </w:tcBorders>
            <w:shd w:val="clear" w:color="auto" w:fill="auto"/>
            <w:noWrap/>
            <w:vAlign w:val="bottom"/>
            <w:hideMark/>
          </w:tcPr>
          <w:p w14:paraId="7E75D08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109 889</w:t>
            </w:r>
          </w:p>
        </w:tc>
        <w:tc>
          <w:tcPr>
            <w:tcW w:w="838" w:type="dxa"/>
            <w:tcBorders>
              <w:top w:val="nil"/>
              <w:left w:val="nil"/>
              <w:bottom w:val="nil"/>
              <w:right w:val="nil"/>
            </w:tcBorders>
            <w:shd w:val="clear" w:color="auto" w:fill="auto"/>
            <w:noWrap/>
            <w:vAlign w:val="bottom"/>
            <w:hideMark/>
          </w:tcPr>
          <w:p w14:paraId="08CE05B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0.061</w:t>
            </w:r>
          </w:p>
        </w:tc>
        <w:tc>
          <w:tcPr>
            <w:tcW w:w="828" w:type="dxa"/>
            <w:tcBorders>
              <w:top w:val="nil"/>
              <w:left w:val="nil"/>
              <w:bottom w:val="nil"/>
              <w:right w:val="nil"/>
            </w:tcBorders>
            <w:shd w:val="clear" w:color="auto" w:fill="auto"/>
            <w:noWrap/>
            <w:vAlign w:val="bottom"/>
            <w:hideMark/>
          </w:tcPr>
          <w:p w14:paraId="62BD1CC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0.783</w:t>
            </w:r>
          </w:p>
        </w:tc>
        <w:tc>
          <w:tcPr>
            <w:tcW w:w="1188" w:type="dxa"/>
            <w:tcBorders>
              <w:top w:val="nil"/>
              <w:left w:val="nil"/>
              <w:bottom w:val="nil"/>
              <w:right w:val="nil"/>
            </w:tcBorders>
            <w:shd w:val="clear" w:color="auto" w:fill="auto"/>
            <w:noWrap/>
            <w:vAlign w:val="bottom"/>
            <w:hideMark/>
          </w:tcPr>
          <w:p w14:paraId="0C0526E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0.157</w:t>
            </w:r>
          </w:p>
        </w:tc>
        <w:tc>
          <w:tcPr>
            <w:tcW w:w="262" w:type="dxa"/>
            <w:vMerge/>
            <w:tcBorders>
              <w:left w:val="nil"/>
              <w:right w:val="nil"/>
            </w:tcBorders>
            <w:shd w:val="clear" w:color="auto" w:fill="auto"/>
            <w:noWrap/>
            <w:vAlign w:val="bottom"/>
            <w:hideMark/>
          </w:tcPr>
          <w:p w14:paraId="3CB333E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41DA1A2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37 536</w:t>
            </w:r>
          </w:p>
        </w:tc>
        <w:tc>
          <w:tcPr>
            <w:tcW w:w="821" w:type="dxa"/>
            <w:tcBorders>
              <w:top w:val="nil"/>
              <w:left w:val="nil"/>
              <w:bottom w:val="nil"/>
              <w:right w:val="nil"/>
            </w:tcBorders>
            <w:shd w:val="clear" w:color="auto" w:fill="auto"/>
            <w:noWrap/>
            <w:vAlign w:val="bottom"/>
            <w:hideMark/>
          </w:tcPr>
          <w:p w14:paraId="672A14B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0.054</w:t>
            </w:r>
          </w:p>
        </w:tc>
        <w:tc>
          <w:tcPr>
            <w:tcW w:w="811" w:type="dxa"/>
            <w:tcBorders>
              <w:top w:val="nil"/>
              <w:left w:val="nil"/>
              <w:bottom w:val="nil"/>
              <w:right w:val="nil"/>
            </w:tcBorders>
            <w:shd w:val="clear" w:color="auto" w:fill="auto"/>
            <w:noWrap/>
            <w:vAlign w:val="bottom"/>
            <w:hideMark/>
          </w:tcPr>
          <w:p w14:paraId="5469CCC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0.773</w:t>
            </w:r>
          </w:p>
        </w:tc>
        <w:tc>
          <w:tcPr>
            <w:tcW w:w="1182" w:type="dxa"/>
            <w:tcBorders>
              <w:top w:val="nil"/>
              <w:left w:val="nil"/>
              <w:bottom w:val="nil"/>
              <w:right w:val="nil"/>
            </w:tcBorders>
            <w:shd w:val="clear" w:color="auto" w:fill="auto"/>
            <w:noWrap/>
            <w:vAlign w:val="bottom"/>
            <w:hideMark/>
          </w:tcPr>
          <w:p w14:paraId="79E1EAB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0.173</w:t>
            </w:r>
          </w:p>
        </w:tc>
        <w:tc>
          <w:tcPr>
            <w:tcW w:w="262" w:type="dxa"/>
            <w:vMerge/>
            <w:tcBorders>
              <w:left w:val="nil"/>
              <w:right w:val="nil"/>
            </w:tcBorders>
            <w:shd w:val="clear" w:color="auto" w:fill="auto"/>
            <w:noWrap/>
            <w:vAlign w:val="bottom"/>
            <w:hideMark/>
          </w:tcPr>
          <w:p w14:paraId="6AF7964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374CE30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72 353</w:t>
            </w:r>
          </w:p>
        </w:tc>
        <w:tc>
          <w:tcPr>
            <w:tcW w:w="798" w:type="dxa"/>
            <w:tcBorders>
              <w:top w:val="nil"/>
              <w:left w:val="nil"/>
              <w:bottom w:val="nil"/>
              <w:right w:val="nil"/>
            </w:tcBorders>
            <w:shd w:val="clear" w:color="auto" w:fill="auto"/>
            <w:noWrap/>
            <w:vAlign w:val="bottom"/>
            <w:hideMark/>
          </w:tcPr>
          <w:p w14:paraId="1BAF720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0.064</w:t>
            </w:r>
          </w:p>
        </w:tc>
        <w:tc>
          <w:tcPr>
            <w:tcW w:w="789" w:type="dxa"/>
            <w:tcBorders>
              <w:top w:val="nil"/>
              <w:left w:val="nil"/>
              <w:bottom w:val="nil"/>
              <w:right w:val="nil"/>
            </w:tcBorders>
            <w:shd w:val="clear" w:color="auto" w:fill="auto"/>
            <w:noWrap/>
            <w:vAlign w:val="bottom"/>
            <w:hideMark/>
          </w:tcPr>
          <w:p w14:paraId="34B5ECC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0.788</w:t>
            </w:r>
          </w:p>
        </w:tc>
        <w:tc>
          <w:tcPr>
            <w:tcW w:w="1182" w:type="dxa"/>
            <w:tcBorders>
              <w:top w:val="nil"/>
              <w:left w:val="nil"/>
              <w:bottom w:val="nil"/>
              <w:right w:val="nil"/>
            </w:tcBorders>
            <w:shd w:val="clear" w:color="auto" w:fill="auto"/>
            <w:noWrap/>
            <w:vAlign w:val="bottom"/>
            <w:hideMark/>
          </w:tcPr>
          <w:p w14:paraId="424A5D2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0.148</w:t>
            </w:r>
          </w:p>
        </w:tc>
      </w:tr>
      <w:tr w:rsidR="00A8585C" w:rsidRPr="00A37CBC" w14:paraId="653354F5" w14:textId="77777777" w:rsidTr="008262C6">
        <w:trPr>
          <w:cantSplit/>
          <w:trHeight w:val="300"/>
        </w:trPr>
        <w:tc>
          <w:tcPr>
            <w:tcW w:w="1134" w:type="dxa"/>
            <w:tcBorders>
              <w:top w:val="nil"/>
              <w:left w:val="nil"/>
              <w:bottom w:val="nil"/>
              <w:right w:val="nil"/>
            </w:tcBorders>
            <w:shd w:val="clear" w:color="auto" w:fill="auto"/>
            <w:noWrap/>
            <w:vAlign w:val="bottom"/>
            <w:hideMark/>
          </w:tcPr>
          <w:p w14:paraId="07C54B50"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2018</w:t>
            </w:r>
          </w:p>
        </w:tc>
        <w:tc>
          <w:tcPr>
            <w:tcW w:w="929" w:type="dxa"/>
            <w:tcBorders>
              <w:top w:val="nil"/>
              <w:left w:val="nil"/>
              <w:bottom w:val="nil"/>
              <w:right w:val="nil"/>
            </w:tcBorders>
            <w:shd w:val="clear" w:color="auto" w:fill="auto"/>
            <w:noWrap/>
            <w:vAlign w:val="bottom"/>
            <w:hideMark/>
          </w:tcPr>
          <w:p w14:paraId="36E7011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116 828</w:t>
            </w:r>
          </w:p>
        </w:tc>
        <w:tc>
          <w:tcPr>
            <w:tcW w:w="838" w:type="dxa"/>
            <w:tcBorders>
              <w:top w:val="nil"/>
              <w:left w:val="nil"/>
              <w:bottom w:val="nil"/>
              <w:right w:val="nil"/>
            </w:tcBorders>
            <w:shd w:val="clear" w:color="auto" w:fill="auto"/>
            <w:noWrap/>
            <w:vAlign w:val="bottom"/>
            <w:hideMark/>
          </w:tcPr>
          <w:p w14:paraId="5720F48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0.058</w:t>
            </w:r>
          </w:p>
        </w:tc>
        <w:tc>
          <w:tcPr>
            <w:tcW w:w="828" w:type="dxa"/>
            <w:tcBorders>
              <w:top w:val="nil"/>
              <w:left w:val="nil"/>
              <w:bottom w:val="nil"/>
              <w:right w:val="nil"/>
            </w:tcBorders>
            <w:shd w:val="clear" w:color="auto" w:fill="auto"/>
            <w:noWrap/>
            <w:vAlign w:val="bottom"/>
            <w:hideMark/>
          </w:tcPr>
          <w:p w14:paraId="26524CA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0.795</w:t>
            </w:r>
          </w:p>
        </w:tc>
        <w:tc>
          <w:tcPr>
            <w:tcW w:w="1188" w:type="dxa"/>
            <w:tcBorders>
              <w:top w:val="nil"/>
              <w:left w:val="nil"/>
              <w:bottom w:val="nil"/>
              <w:right w:val="nil"/>
            </w:tcBorders>
            <w:shd w:val="clear" w:color="auto" w:fill="auto"/>
            <w:noWrap/>
            <w:vAlign w:val="bottom"/>
            <w:hideMark/>
          </w:tcPr>
          <w:p w14:paraId="3E5308B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0.146</w:t>
            </w:r>
          </w:p>
        </w:tc>
        <w:tc>
          <w:tcPr>
            <w:tcW w:w="262" w:type="dxa"/>
            <w:vMerge/>
            <w:tcBorders>
              <w:left w:val="nil"/>
              <w:right w:val="nil"/>
            </w:tcBorders>
            <w:shd w:val="clear" w:color="auto" w:fill="auto"/>
            <w:noWrap/>
            <w:vAlign w:val="bottom"/>
            <w:hideMark/>
          </w:tcPr>
          <w:p w14:paraId="128340B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505637D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40 350</w:t>
            </w:r>
          </w:p>
        </w:tc>
        <w:tc>
          <w:tcPr>
            <w:tcW w:w="821" w:type="dxa"/>
            <w:tcBorders>
              <w:top w:val="nil"/>
              <w:left w:val="nil"/>
              <w:bottom w:val="nil"/>
              <w:right w:val="nil"/>
            </w:tcBorders>
            <w:shd w:val="clear" w:color="auto" w:fill="auto"/>
            <w:noWrap/>
            <w:vAlign w:val="bottom"/>
            <w:hideMark/>
          </w:tcPr>
          <w:p w14:paraId="16AA30D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0.051</w:t>
            </w:r>
          </w:p>
        </w:tc>
        <w:tc>
          <w:tcPr>
            <w:tcW w:w="811" w:type="dxa"/>
            <w:tcBorders>
              <w:top w:val="nil"/>
              <w:left w:val="nil"/>
              <w:bottom w:val="nil"/>
              <w:right w:val="nil"/>
            </w:tcBorders>
            <w:shd w:val="clear" w:color="auto" w:fill="auto"/>
            <w:noWrap/>
            <w:vAlign w:val="bottom"/>
            <w:hideMark/>
          </w:tcPr>
          <w:p w14:paraId="1A2179B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0.787</w:t>
            </w:r>
          </w:p>
        </w:tc>
        <w:tc>
          <w:tcPr>
            <w:tcW w:w="1182" w:type="dxa"/>
            <w:tcBorders>
              <w:top w:val="nil"/>
              <w:left w:val="nil"/>
              <w:bottom w:val="nil"/>
              <w:right w:val="nil"/>
            </w:tcBorders>
            <w:shd w:val="clear" w:color="auto" w:fill="auto"/>
            <w:noWrap/>
            <w:vAlign w:val="bottom"/>
            <w:hideMark/>
          </w:tcPr>
          <w:p w14:paraId="1147E6E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0.162</w:t>
            </w:r>
          </w:p>
        </w:tc>
        <w:tc>
          <w:tcPr>
            <w:tcW w:w="262" w:type="dxa"/>
            <w:vMerge/>
            <w:tcBorders>
              <w:left w:val="nil"/>
              <w:right w:val="nil"/>
            </w:tcBorders>
            <w:shd w:val="clear" w:color="auto" w:fill="auto"/>
            <w:noWrap/>
            <w:vAlign w:val="bottom"/>
            <w:hideMark/>
          </w:tcPr>
          <w:p w14:paraId="0E72224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4B9AE3E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76 478</w:t>
            </w:r>
          </w:p>
        </w:tc>
        <w:tc>
          <w:tcPr>
            <w:tcW w:w="798" w:type="dxa"/>
            <w:tcBorders>
              <w:top w:val="nil"/>
              <w:left w:val="nil"/>
              <w:bottom w:val="nil"/>
              <w:right w:val="nil"/>
            </w:tcBorders>
            <w:shd w:val="clear" w:color="auto" w:fill="auto"/>
            <w:noWrap/>
            <w:vAlign w:val="bottom"/>
            <w:hideMark/>
          </w:tcPr>
          <w:p w14:paraId="1024E48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0.062</w:t>
            </w:r>
          </w:p>
        </w:tc>
        <w:tc>
          <w:tcPr>
            <w:tcW w:w="789" w:type="dxa"/>
            <w:tcBorders>
              <w:top w:val="nil"/>
              <w:left w:val="nil"/>
              <w:bottom w:val="nil"/>
              <w:right w:val="nil"/>
            </w:tcBorders>
            <w:shd w:val="clear" w:color="auto" w:fill="auto"/>
            <w:noWrap/>
            <w:vAlign w:val="bottom"/>
            <w:hideMark/>
          </w:tcPr>
          <w:p w14:paraId="726045A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0.800</w:t>
            </w:r>
          </w:p>
        </w:tc>
        <w:tc>
          <w:tcPr>
            <w:tcW w:w="1182" w:type="dxa"/>
            <w:tcBorders>
              <w:top w:val="nil"/>
              <w:left w:val="nil"/>
              <w:bottom w:val="nil"/>
              <w:right w:val="nil"/>
            </w:tcBorders>
            <w:shd w:val="clear" w:color="auto" w:fill="auto"/>
            <w:noWrap/>
            <w:vAlign w:val="bottom"/>
            <w:hideMark/>
          </w:tcPr>
          <w:p w14:paraId="725C97A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0.138</w:t>
            </w:r>
          </w:p>
        </w:tc>
      </w:tr>
      <w:tr w:rsidR="00A8585C" w:rsidRPr="00A37CBC" w14:paraId="6070EDCA" w14:textId="77777777" w:rsidTr="008262C6">
        <w:trPr>
          <w:cantSplit/>
          <w:trHeight w:val="300"/>
        </w:trPr>
        <w:tc>
          <w:tcPr>
            <w:tcW w:w="1134" w:type="dxa"/>
            <w:tcBorders>
              <w:top w:val="nil"/>
              <w:left w:val="nil"/>
              <w:bottom w:val="nil"/>
              <w:right w:val="nil"/>
            </w:tcBorders>
            <w:shd w:val="clear" w:color="auto" w:fill="auto"/>
            <w:noWrap/>
            <w:vAlign w:val="bottom"/>
            <w:hideMark/>
          </w:tcPr>
          <w:p w14:paraId="6268BFE4"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2019</w:t>
            </w:r>
          </w:p>
        </w:tc>
        <w:tc>
          <w:tcPr>
            <w:tcW w:w="929" w:type="dxa"/>
            <w:tcBorders>
              <w:top w:val="nil"/>
              <w:left w:val="nil"/>
              <w:bottom w:val="nil"/>
              <w:right w:val="nil"/>
            </w:tcBorders>
            <w:shd w:val="clear" w:color="auto" w:fill="auto"/>
            <w:noWrap/>
            <w:vAlign w:val="bottom"/>
            <w:hideMark/>
          </w:tcPr>
          <w:p w14:paraId="67967E7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125 515</w:t>
            </w:r>
          </w:p>
        </w:tc>
        <w:tc>
          <w:tcPr>
            <w:tcW w:w="838" w:type="dxa"/>
            <w:tcBorders>
              <w:top w:val="nil"/>
              <w:left w:val="nil"/>
              <w:bottom w:val="nil"/>
              <w:right w:val="nil"/>
            </w:tcBorders>
            <w:shd w:val="clear" w:color="auto" w:fill="auto"/>
            <w:noWrap/>
            <w:vAlign w:val="bottom"/>
            <w:hideMark/>
          </w:tcPr>
          <w:p w14:paraId="137DB57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0.056</w:t>
            </w:r>
          </w:p>
        </w:tc>
        <w:tc>
          <w:tcPr>
            <w:tcW w:w="828" w:type="dxa"/>
            <w:tcBorders>
              <w:top w:val="nil"/>
              <w:left w:val="nil"/>
              <w:bottom w:val="nil"/>
              <w:right w:val="nil"/>
            </w:tcBorders>
            <w:shd w:val="clear" w:color="auto" w:fill="auto"/>
            <w:noWrap/>
            <w:vAlign w:val="bottom"/>
            <w:hideMark/>
          </w:tcPr>
          <w:p w14:paraId="58A7EFE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0.805</w:t>
            </w:r>
          </w:p>
        </w:tc>
        <w:tc>
          <w:tcPr>
            <w:tcW w:w="1188" w:type="dxa"/>
            <w:tcBorders>
              <w:top w:val="nil"/>
              <w:left w:val="nil"/>
              <w:bottom w:val="nil"/>
              <w:right w:val="nil"/>
            </w:tcBorders>
            <w:shd w:val="clear" w:color="auto" w:fill="auto"/>
            <w:noWrap/>
            <w:vAlign w:val="bottom"/>
            <w:hideMark/>
          </w:tcPr>
          <w:p w14:paraId="3DAB179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0.139</w:t>
            </w:r>
          </w:p>
        </w:tc>
        <w:tc>
          <w:tcPr>
            <w:tcW w:w="262" w:type="dxa"/>
            <w:vMerge/>
            <w:tcBorders>
              <w:left w:val="nil"/>
              <w:bottom w:val="nil"/>
              <w:right w:val="nil"/>
            </w:tcBorders>
            <w:shd w:val="clear" w:color="auto" w:fill="auto"/>
            <w:noWrap/>
            <w:vAlign w:val="bottom"/>
            <w:hideMark/>
          </w:tcPr>
          <w:p w14:paraId="67B47E7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1264F5E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44 020</w:t>
            </w:r>
          </w:p>
        </w:tc>
        <w:tc>
          <w:tcPr>
            <w:tcW w:w="821" w:type="dxa"/>
            <w:tcBorders>
              <w:top w:val="nil"/>
              <w:left w:val="nil"/>
              <w:bottom w:val="nil"/>
              <w:right w:val="nil"/>
            </w:tcBorders>
            <w:shd w:val="clear" w:color="auto" w:fill="auto"/>
            <w:noWrap/>
            <w:vAlign w:val="bottom"/>
            <w:hideMark/>
          </w:tcPr>
          <w:p w14:paraId="463946E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0.047</w:t>
            </w:r>
          </w:p>
        </w:tc>
        <w:tc>
          <w:tcPr>
            <w:tcW w:w="811" w:type="dxa"/>
            <w:tcBorders>
              <w:top w:val="nil"/>
              <w:left w:val="nil"/>
              <w:bottom w:val="nil"/>
              <w:right w:val="nil"/>
            </w:tcBorders>
            <w:shd w:val="clear" w:color="auto" w:fill="auto"/>
            <w:noWrap/>
            <w:vAlign w:val="bottom"/>
            <w:hideMark/>
          </w:tcPr>
          <w:p w14:paraId="1E61CC0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0.797</w:t>
            </w:r>
          </w:p>
        </w:tc>
        <w:tc>
          <w:tcPr>
            <w:tcW w:w="1182" w:type="dxa"/>
            <w:tcBorders>
              <w:top w:val="nil"/>
              <w:left w:val="nil"/>
              <w:bottom w:val="nil"/>
              <w:right w:val="nil"/>
            </w:tcBorders>
            <w:shd w:val="clear" w:color="auto" w:fill="auto"/>
            <w:noWrap/>
            <w:vAlign w:val="bottom"/>
            <w:hideMark/>
          </w:tcPr>
          <w:p w14:paraId="28DE218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0.156</w:t>
            </w:r>
          </w:p>
        </w:tc>
        <w:tc>
          <w:tcPr>
            <w:tcW w:w="262" w:type="dxa"/>
            <w:vMerge/>
            <w:tcBorders>
              <w:left w:val="nil"/>
              <w:bottom w:val="nil"/>
              <w:right w:val="nil"/>
            </w:tcBorders>
            <w:shd w:val="clear" w:color="auto" w:fill="auto"/>
            <w:noWrap/>
            <w:vAlign w:val="bottom"/>
            <w:hideMark/>
          </w:tcPr>
          <w:p w14:paraId="6CB84BB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753CD2D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81 495</w:t>
            </w:r>
          </w:p>
        </w:tc>
        <w:tc>
          <w:tcPr>
            <w:tcW w:w="798" w:type="dxa"/>
            <w:tcBorders>
              <w:top w:val="nil"/>
              <w:left w:val="nil"/>
              <w:bottom w:val="nil"/>
              <w:right w:val="nil"/>
            </w:tcBorders>
            <w:shd w:val="clear" w:color="auto" w:fill="auto"/>
            <w:noWrap/>
            <w:vAlign w:val="bottom"/>
            <w:hideMark/>
          </w:tcPr>
          <w:p w14:paraId="3971609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0.060</w:t>
            </w:r>
          </w:p>
        </w:tc>
        <w:tc>
          <w:tcPr>
            <w:tcW w:w="789" w:type="dxa"/>
            <w:tcBorders>
              <w:top w:val="nil"/>
              <w:left w:val="nil"/>
              <w:bottom w:val="nil"/>
              <w:right w:val="nil"/>
            </w:tcBorders>
            <w:shd w:val="clear" w:color="auto" w:fill="auto"/>
            <w:noWrap/>
            <w:vAlign w:val="bottom"/>
            <w:hideMark/>
          </w:tcPr>
          <w:p w14:paraId="4D935CA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0.810</w:t>
            </w:r>
          </w:p>
        </w:tc>
        <w:tc>
          <w:tcPr>
            <w:tcW w:w="1182" w:type="dxa"/>
            <w:tcBorders>
              <w:top w:val="nil"/>
              <w:left w:val="nil"/>
              <w:bottom w:val="nil"/>
              <w:right w:val="nil"/>
            </w:tcBorders>
            <w:shd w:val="clear" w:color="auto" w:fill="auto"/>
            <w:noWrap/>
            <w:vAlign w:val="bottom"/>
            <w:hideMark/>
          </w:tcPr>
          <w:p w14:paraId="2955ECF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0.130</w:t>
            </w:r>
          </w:p>
        </w:tc>
      </w:tr>
      <w:tr w:rsidR="00A8585C" w:rsidRPr="00A37CBC" w14:paraId="588312FA" w14:textId="77777777" w:rsidTr="004A323B">
        <w:trPr>
          <w:cantSplit/>
          <w:trHeight w:val="300"/>
        </w:trPr>
        <w:tc>
          <w:tcPr>
            <w:tcW w:w="13146" w:type="dxa"/>
            <w:gridSpan w:val="15"/>
            <w:tcBorders>
              <w:top w:val="nil"/>
              <w:left w:val="nil"/>
              <w:bottom w:val="nil"/>
              <w:right w:val="nil"/>
            </w:tcBorders>
            <w:shd w:val="clear" w:color="auto" w:fill="auto"/>
            <w:noWrap/>
            <w:vAlign w:val="bottom"/>
            <w:hideMark/>
          </w:tcPr>
          <w:p w14:paraId="31244BF7" w14:textId="77777777" w:rsidR="00A8585C" w:rsidRPr="00A37CBC" w:rsidRDefault="00A8585C" w:rsidP="00A61F03">
            <w:pPr>
              <w:spacing w:before="0" w:after="0" w:line="240" w:lineRule="auto"/>
              <w:rPr>
                <w:rFonts w:ascii="Times New Roman" w:eastAsia="Times New Roman" w:hAnsi="Times New Roman"/>
                <w:sz w:val="20"/>
                <w:lang w:eastAsia="en-AU"/>
              </w:rPr>
            </w:pPr>
          </w:p>
        </w:tc>
      </w:tr>
      <w:tr w:rsidR="00A8585C" w:rsidRPr="00A37CBC" w14:paraId="2025440A" w14:textId="77777777" w:rsidTr="00B33D54">
        <w:trPr>
          <w:cantSplit/>
          <w:trHeight w:val="300"/>
        </w:trPr>
        <w:tc>
          <w:tcPr>
            <w:tcW w:w="13146" w:type="dxa"/>
            <w:gridSpan w:val="15"/>
            <w:tcBorders>
              <w:top w:val="nil"/>
              <w:left w:val="nil"/>
              <w:bottom w:val="nil"/>
              <w:right w:val="nil"/>
            </w:tcBorders>
            <w:shd w:val="clear" w:color="auto" w:fill="C6D4E9"/>
            <w:noWrap/>
            <w:vAlign w:val="bottom"/>
            <w:hideMark/>
          </w:tcPr>
          <w:p w14:paraId="394B7DC8" w14:textId="1B5C663F" w:rsidR="00A8585C" w:rsidRPr="00B33D54" w:rsidRDefault="00A8585C" w:rsidP="00A61F03">
            <w:pPr>
              <w:spacing w:before="0" w:after="0" w:line="240" w:lineRule="auto"/>
              <w:rPr>
                <w:rFonts w:ascii="Times New Roman" w:eastAsia="Times New Roman" w:hAnsi="Times New Roman"/>
                <w:b/>
                <w:sz w:val="20"/>
                <w:lang w:eastAsia="en-AU"/>
              </w:rPr>
            </w:pPr>
            <w:r w:rsidRPr="00B33D54">
              <w:rPr>
                <w:rFonts w:ascii="Calibri" w:eastAsia="Times New Roman" w:hAnsi="Calibri" w:cs="Calibri"/>
                <w:b/>
                <w:color w:val="000000"/>
                <w:sz w:val="20"/>
                <w:lang w:eastAsia="en-AU"/>
              </w:rPr>
              <w:t>Aged 20-24</w:t>
            </w:r>
          </w:p>
        </w:tc>
      </w:tr>
      <w:tr w:rsidR="00A8585C" w:rsidRPr="00A37CBC" w14:paraId="1D3CA938" w14:textId="77777777" w:rsidTr="00B81608">
        <w:trPr>
          <w:cantSplit/>
          <w:trHeight w:val="300"/>
        </w:trPr>
        <w:tc>
          <w:tcPr>
            <w:tcW w:w="1134" w:type="dxa"/>
            <w:tcBorders>
              <w:top w:val="nil"/>
              <w:left w:val="nil"/>
              <w:bottom w:val="nil"/>
              <w:right w:val="nil"/>
            </w:tcBorders>
            <w:shd w:val="clear" w:color="auto" w:fill="auto"/>
            <w:noWrap/>
            <w:vAlign w:val="bottom"/>
            <w:hideMark/>
          </w:tcPr>
          <w:p w14:paraId="0A192E21"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2013</w:t>
            </w:r>
          </w:p>
        </w:tc>
        <w:tc>
          <w:tcPr>
            <w:tcW w:w="929" w:type="dxa"/>
            <w:tcBorders>
              <w:top w:val="nil"/>
              <w:left w:val="nil"/>
              <w:bottom w:val="nil"/>
              <w:right w:val="nil"/>
            </w:tcBorders>
            <w:shd w:val="clear" w:color="auto" w:fill="auto"/>
            <w:noWrap/>
            <w:vAlign w:val="bottom"/>
            <w:hideMark/>
          </w:tcPr>
          <w:p w14:paraId="030B543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130 342</w:t>
            </w:r>
          </w:p>
        </w:tc>
        <w:tc>
          <w:tcPr>
            <w:tcW w:w="838" w:type="dxa"/>
            <w:tcBorders>
              <w:top w:val="nil"/>
              <w:left w:val="nil"/>
              <w:bottom w:val="nil"/>
              <w:right w:val="nil"/>
            </w:tcBorders>
            <w:shd w:val="clear" w:color="auto" w:fill="auto"/>
            <w:noWrap/>
            <w:vAlign w:val="bottom"/>
            <w:hideMark/>
          </w:tcPr>
          <w:p w14:paraId="64A9E27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0.081</w:t>
            </w:r>
          </w:p>
        </w:tc>
        <w:tc>
          <w:tcPr>
            <w:tcW w:w="828" w:type="dxa"/>
            <w:tcBorders>
              <w:top w:val="nil"/>
              <w:left w:val="nil"/>
              <w:bottom w:val="nil"/>
              <w:right w:val="nil"/>
            </w:tcBorders>
            <w:shd w:val="clear" w:color="auto" w:fill="auto"/>
            <w:noWrap/>
            <w:vAlign w:val="bottom"/>
            <w:hideMark/>
          </w:tcPr>
          <w:p w14:paraId="646118E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0.609</w:t>
            </w:r>
          </w:p>
        </w:tc>
        <w:tc>
          <w:tcPr>
            <w:tcW w:w="1188" w:type="dxa"/>
            <w:tcBorders>
              <w:top w:val="nil"/>
              <w:left w:val="nil"/>
              <w:bottom w:val="nil"/>
              <w:right w:val="nil"/>
            </w:tcBorders>
            <w:shd w:val="clear" w:color="auto" w:fill="auto"/>
            <w:noWrap/>
            <w:vAlign w:val="bottom"/>
            <w:hideMark/>
          </w:tcPr>
          <w:p w14:paraId="7C05B04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0.310</w:t>
            </w:r>
          </w:p>
        </w:tc>
        <w:tc>
          <w:tcPr>
            <w:tcW w:w="262" w:type="dxa"/>
            <w:vMerge w:val="restart"/>
            <w:tcBorders>
              <w:top w:val="nil"/>
              <w:left w:val="nil"/>
              <w:right w:val="nil"/>
            </w:tcBorders>
            <w:shd w:val="clear" w:color="auto" w:fill="auto"/>
            <w:noWrap/>
            <w:vAlign w:val="bottom"/>
            <w:hideMark/>
          </w:tcPr>
          <w:p w14:paraId="0147B95C" w14:textId="3835F4B9"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 </w:t>
            </w:r>
          </w:p>
        </w:tc>
        <w:tc>
          <w:tcPr>
            <w:tcW w:w="1116" w:type="dxa"/>
            <w:tcBorders>
              <w:top w:val="nil"/>
              <w:left w:val="nil"/>
              <w:bottom w:val="nil"/>
              <w:right w:val="nil"/>
            </w:tcBorders>
            <w:shd w:val="clear" w:color="auto" w:fill="auto"/>
            <w:noWrap/>
            <w:vAlign w:val="bottom"/>
            <w:hideMark/>
          </w:tcPr>
          <w:p w14:paraId="379EA8C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46 291</w:t>
            </w:r>
          </w:p>
        </w:tc>
        <w:tc>
          <w:tcPr>
            <w:tcW w:w="821" w:type="dxa"/>
            <w:tcBorders>
              <w:top w:val="nil"/>
              <w:left w:val="nil"/>
              <w:bottom w:val="nil"/>
              <w:right w:val="nil"/>
            </w:tcBorders>
            <w:shd w:val="clear" w:color="auto" w:fill="auto"/>
            <w:noWrap/>
            <w:vAlign w:val="bottom"/>
            <w:hideMark/>
          </w:tcPr>
          <w:p w14:paraId="5CBCE60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0.079</w:t>
            </w:r>
          </w:p>
        </w:tc>
        <w:tc>
          <w:tcPr>
            <w:tcW w:w="811" w:type="dxa"/>
            <w:tcBorders>
              <w:top w:val="nil"/>
              <w:left w:val="nil"/>
              <w:bottom w:val="nil"/>
              <w:right w:val="nil"/>
            </w:tcBorders>
            <w:shd w:val="clear" w:color="auto" w:fill="auto"/>
            <w:noWrap/>
            <w:vAlign w:val="bottom"/>
            <w:hideMark/>
          </w:tcPr>
          <w:p w14:paraId="55D09D4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0.587</w:t>
            </w:r>
          </w:p>
        </w:tc>
        <w:tc>
          <w:tcPr>
            <w:tcW w:w="1182" w:type="dxa"/>
            <w:tcBorders>
              <w:top w:val="nil"/>
              <w:left w:val="nil"/>
              <w:bottom w:val="nil"/>
              <w:right w:val="nil"/>
            </w:tcBorders>
            <w:shd w:val="clear" w:color="auto" w:fill="auto"/>
            <w:noWrap/>
            <w:vAlign w:val="bottom"/>
            <w:hideMark/>
          </w:tcPr>
          <w:p w14:paraId="3F2DF89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0.334</w:t>
            </w:r>
          </w:p>
        </w:tc>
        <w:tc>
          <w:tcPr>
            <w:tcW w:w="262" w:type="dxa"/>
            <w:vMerge w:val="restart"/>
            <w:tcBorders>
              <w:top w:val="nil"/>
              <w:left w:val="nil"/>
              <w:right w:val="nil"/>
            </w:tcBorders>
            <w:shd w:val="clear" w:color="auto" w:fill="auto"/>
            <w:noWrap/>
            <w:vAlign w:val="bottom"/>
            <w:hideMark/>
          </w:tcPr>
          <w:p w14:paraId="61A5BBB9" w14:textId="0473E411"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 </w:t>
            </w:r>
          </w:p>
        </w:tc>
        <w:tc>
          <w:tcPr>
            <w:tcW w:w="1006" w:type="dxa"/>
            <w:tcBorders>
              <w:top w:val="nil"/>
              <w:left w:val="nil"/>
              <w:bottom w:val="nil"/>
              <w:right w:val="nil"/>
            </w:tcBorders>
            <w:shd w:val="clear" w:color="auto" w:fill="auto"/>
            <w:noWrap/>
            <w:vAlign w:val="bottom"/>
            <w:hideMark/>
          </w:tcPr>
          <w:p w14:paraId="2E1F9B6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84 051</w:t>
            </w:r>
          </w:p>
        </w:tc>
        <w:tc>
          <w:tcPr>
            <w:tcW w:w="798" w:type="dxa"/>
            <w:tcBorders>
              <w:top w:val="nil"/>
              <w:left w:val="nil"/>
              <w:bottom w:val="nil"/>
              <w:right w:val="nil"/>
            </w:tcBorders>
            <w:shd w:val="clear" w:color="auto" w:fill="auto"/>
            <w:noWrap/>
            <w:vAlign w:val="bottom"/>
            <w:hideMark/>
          </w:tcPr>
          <w:p w14:paraId="0D986C5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0.082</w:t>
            </w:r>
          </w:p>
        </w:tc>
        <w:tc>
          <w:tcPr>
            <w:tcW w:w="789" w:type="dxa"/>
            <w:tcBorders>
              <w:top w:val="nil"/>
              <w:left w:val="nil"/>
              <w:bottom w:val="nil"/>
              <w:right w:val="nil"/>
            </w:tcBorders>
            <w:shd w:val="clear" w:color="auto" w:fill="auto"/>
            <w:noWrap/>
            <w:vAlign w:val="bottom"/>
            <w:hideMark/>
          </w:tcPr>
          <w:p w14:paraId="2B80535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0.621</w:t>
            </w:r>
          </w:p>
        </w:tc>
        <w:tc>
          <w:tcPr>
            <w:tcW w:w="1182" w:type="dxa"/>
            <w:tcBorders>
              <w:top w:val="nil"/>
              <w:left w:val="nil"/>
              <w:bottom w:val="nil"/>
              <w:right w:val="nil"/>
            </w:tcBorders>
            <w:shd w:val="clear" w:color="auto" w:fill="auto"/>
            <w:noWrap/>
            <w:vAlign w:val="bottom"/>
            <w:hideMark/>
          </w:tcPr>
          <w:p w14:paraId="750A0A5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0.297</w:t>
            </w:r>
          </w:p>
        </w:tc>
      </w:tr>
      <w:tr w:rsidR="00A8585C" w:rsidRPr="00A37CBC" w14:paraId="5FB50C35" w14:textId="77777777" w:rsidTr="00B81608">
        <w:trPr>
          <w:cantSplit/>
          <w:trHeight w:val="300"/>
        </w:trPr>
        <w:tc>
          <w:tcPr>
            <w:tcW w:w="1134" w:type="dxa"/>
            <w:tcBorders>
              <w:top w:val="nil"/>
              <w:left w:val="nil"/>
              <w:bottom w:val="nil"/>
              <w:right w:val="nil"/>
            </w:tcBorders>
            <w:shd w:val="clear" w:color="auto" w:fill="auto"/>
            <w:noWrap/>
            <w:vAlign w:val="bottom"/>
            <w:hideMark/>
          </w:tcPr>
          <w:p w14:paraId="68350F7E"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2014</w:t>
            </w:r>
          </w:p>
        </w:tc>
        <w:tc>
          <w:tcPr>
            <w:tcW w:w="929" w:type="dxa"/>
            <w:tcBorders>
              <w:top w:val="nil"/>
              <w:left w:val="nil"/>
              <w:bottom w:val="nil"/>
              <w:right w:val="nil"/>
            </w:tcBorders>
            <w:shd w:val="clear" w:color="auto" w:fill="auto"/>
            <w:noWrap/>
            <w:vAlign w:val="bottom"/>
            <w:hideMark/>
          </w:tcPr>
          <w:p w14:paraId="56A0464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138 995</w:t>
            </w:r>
          </w:p>
        </w:tc>
        <w:tc>
          <w:tcPr>
            <w:tcW w:w="838" w:type="dxa"/>
            <w:tcBorders>
              <w:top w:val="nil"/>
              <w:left w:val="nil"/>
              <w:bottom w:val="nil"/>
              <w:right w:val="nil"/>
            </w:tcBorders>
            <w:shd w:val="clear" w:color="auto" w:fill="auto"/>
            <w:noWrap/>
            <w:vAlign w:val="bottom"/>
            <w:hideMark/>
          </w:tcPr>
          <w:p w14:paraId="5DB565D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0.078</w:t>
            </w:r>
          </w:p>
        </w:tc>
        <w:tc>
          <w:tcPr>
            <w:tcW w:w="828" w:type="dxa"/>
            <w:tcBorders>
              <w:top w:val="nil"/>
              <w:left w:val="nil"/>
              <w:bottom w:val="nil"/>
              <w:right w:val="nil"/>
            </w:tcBorders>
            <w:shd w:val="clear" w:color="auto" w:fill="auto"/>
            <w:noWrap/>
            <w:vAlign w:val="bottom"/>
            <w:hideMark/>
          </w:tcPr>
          <w:p w14:paraId="1310C49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0.617</w:t>
            </w:r>
          </w:p>
        </w:tc>
        <w:tc>
          <w:tcPr>
            <w:tcW w:w="1188" w:type="dxa"/>
            <w:tcBorders>
              <w:top w:val="nil"/>
              <w:left w:val="nil"/>
              <w:bottom w:val="nil"/>
              <w:right w:val="nil"/>
            </w:tcBorders>
            <w:shd w:val="clear" w:color="auto" w:fill="auto"/>
            <w:noWrap/>
            <w:vAlign w:val="bottom"/>
            <w:hideMark/>
          </w:tcPr>
          <w:p w14:paraId="0552CCB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0.304</w:t>
            </w:r>
          </w:p>
        </w:tc>
        <w:tc>
          <w:tcPr>
            <w:tcW w:w="262" w:type="dxa"/>
            <w:vMerge/>
            <w:tcBorders>
              <w:left w:val="nil"/>
              <w:right w:val="nil"/>
            </w:tcBorders>
            <w:shd w:val="clear" w:color="auto" w:fill="auto"/>
            <w:noWrap/>
            <w:vAlign w:val="bottom"/>
            <w:hideMark/>
          </w:tcPr>
          <w:p w14:paraId="5485607A" w14:textId="0FE0A566"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1BD2FEC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49 764</w:t>
            </w:r>
          </w:p>
        </w:tc>
        <w:tc>
          <w:tcPr>
            <w:tcW w:w="821" w:type="dxa"/>
            <w:tcBorders>
              <w:top w:val="nil"/>
              <w:left w:val="nil"/>
              <w:bottom w:val="nil"/>
              <w:right w:val="nil"/>
            </w:tcBorders>
            <w:shd w:val="clear" w:color="auto" w:fill="auto"/>
            <w:noWrap/>
            <w:vAlign w:val="bottom"/>
            <w:hideMark/>
          </w:tcPr>
          <w:p w14:paraId="0885566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0.073</w:t>
            </w:r>
          </w:p>
        </w:tc>
        <w:tc>
          <w:tcPr>
            <w:tcW w:w="811" w:type="dxa"/>
            <w:tcBorders>
              <w:top w:val="nil"/>
              <w:left w:val="nil"/>
              <w:bottom w:val="nil"/>
              <w:right w:val="nil"/>
            </w:tcBorders>
            <w:shd w:val="clear" w:color="auto" w:fill="auto"/>
            <w:noWrap/>
            <w:vAlign w:val="bottom"/>
            <w:hideMark/>
          </w:tcPr>
          <w:p w14:paraId="7E4FE6F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0.596</w:t>
            </w:r>
          </w:p>
        </w:tc>
        <w:tc>
          <w:tcPr>
            <w:tcW w:w="1182" w:type="dxa"/>
            <w:tcBorders>
              <w:top w:val="nil"/>
              <w:left w:val="nil"/>
              <w:bottom w:val="nil"/>
              <w:right w:val="nil"/>
            </w:tcBorders>
            <w:shd w:val="clear" w:color="auto" w:fill="auto"/>
            <w:noWrap/>
            <w:vAlign w:val="bottom"/>
            <w:hideMark/>
          </w:tcPr>
          <w:p w14:paraId="5A5D354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0.331</w:t>
            </w:r>
          </w:p>
        </w:tc>
        <w:tc>
          <w:tcPr>
            <w:tcW w:w="262" w:type="dxa"/>
            <w:vMerge/>
            <w:tcBorders>
              <w:left w:val="nil"/>
              <w:right w:val="nil"/>
            </w:tcBorders>
            <w:shd w:val="clear" w:color="auto" w:fill="auto"/>
            <w:noWrap/>
            <w:vAlign w:val="bottom"/>
            <w:hideMark/>
          </w:tcPr>
          <w:p w14:paraId="44D1B5A4" w14:textId="24344626"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3C322E0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89 231</w:t>
            </w:r>
          </w:p>
        </w:tc>
        <w:tc>
          <w:tcPr>
            <w:tcW w:w="798" w:type="dxa"/>
            <w:tcBorders>
              <w:top w:val="nil"/>
              <w:left w:val="nil"/>
              <w:bottom w:val="nil"/>
              <w:right w:val="nil"/>
            </w:tcBorders>
            <w:shd w:val="clear" w:color="auto" w:fill="auto"/>
            <w:noWrap/>
            <w:vAlign w:val="bottom"/>
            <w:hideMark/>
          </w:tcPr>
          <w:p w14:paraId="6C1D313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0.081</w:t>
            </w:r>
          </w:p>
        </w:tc>
        <w:tc>
          <w:tcPr>
            <w:tcW w:w="789" w:type="dxa"/>
            <w:tcBorders>
              <w:top w:val="nil"/>
              <w:left w:val="nil"/>
              <w:bottom w:val="nil"/>
              <w:right w:val="nil"/>
            </w:tcBorders>
            <w:shd w:val="clear" w:color="auto" w:fill="auto"/>
            <w:noWrap/>
            <w:vAlign w:val="bottom"/>
            <w:hideMark/>
          </w:tcPr>
          <w:p w14:paraId="36F4EC6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0.629</w:t>
            </w:r>
          </w:p>
        </w:tc>
        <w:tc>
          <w:tcPr>
            <w:tcW w:w="1182" w:type="dxa"/>
            <w:tcBorders>
              <w:top w:val="nil"/>
              <w:left w:val="nil"/>
              <w:bottom w:val="nil"/>
              <w:right w:val="nil"/>
            </w:tcBorders>
            <w:shd w:val="clear" w:color="auto" w:fill="auto"/>
            <w:noWrap/>
            <w:vAlign w:val="bottom"/>
            <w:hideMark/>
          </w:tcPr>
          <w:p w14:paraId="6D1F2AAC"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0.289</w:t>
            </w:r>
          </w:p>
        </w:tc>
      </w:tr>
      <w:tr w:rsidR="00A8585C" w:rsidRPr="00A37CBC" w14:paraId="4F4C5762" w14:textId="77777777" w:rsidTr="00B81608">
        <w:trPr>
          <w:cantSplit/>
          <w:trHeight w:val="300"/>
        </w:trPr>
        <w:tc>
          <w:tcPr>
            <w:tcW w:w="1134" w:type="dxa"/>
            <w:tcBorders>
              <w:top w:val="nil"/>
              <w:left w:val="nil"/>
              <w:bottom w:val="nil"/>
              <w:right w:val="nil"/>
            </w:tcBorders>
            <w:shd w:val="clear" w:color="auto" w:fill="auto"/>
            <w:noWrap/>
            <w:vAlign w:val="bottom"/>
            <w:hideMark/>
          </w:tcPr>
          <w:p w14:paraId="4CA57FAA"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2015</w:t>
            </w:r>
          </w:p>
        </w:tc>
        <w:tc>
          <w:tcPr>
            <w:tcW w:w="929" w:type="dxa"/>
            <w:tcBorders>
              <w:top w:val="nil"/>
              <w:left w:val="nil"/>
              <w:bottom w:val="nil"/>
              <w:right w:val="nil"/>
            </w:tcBorders>
            <w:shd w:val="clear" w:color="auto" w:fill="auto"/>
            <w:noWrap/>
            <w:vAlign w:val="bottom"/>
            <w:hideMark/>
          </w:tcPr>
          <w:p w14:paraId="041F745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148 639</w:t>
            </w:r>
          </w:p>
        </w:tc>
        <w:tc>
          <w:tcPr>
            <w:tcW w:w="838" w:type="dxa"/>
            <w:tcBorders>
              <w:top w:val="nil"/>
              <w:left w:val="nil"/>
              <w:bottom w:val="nil"/>
              <w:right w:val="nil"/>
            </w:tcBorders>
            <w:shd w:val="clear" w:color="auto" w:fill="auto"/>
            <w:noWrap/>
            <w:vAlign w:val="bottom"/>
            <w:hideMark/>
          </w:tcPr>
          <w:p w14:paraId="45BF612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0.076</w:t>
            </w:r>
          </w:p>
        </w:tc>
        <w:tc>
          <w:tcPr>
            <w:tcW w:w="828" w:type="dxa"/>
            <w:tcBorders>
              <w:top w:val="nil"/>
              <w:left w:val="nil"/>
              <w:bottom w:val="nil"/>
              <w:right w:val="nil"/>
            </w:tcBorders>
            <w:shd w:val="clear" w:color="auto" w:fill="auto"/>
            <w:noWrap/>
            <w:vAlign w:val="bottom"/>
            <w:hideMark/>
          </w:tcPr>
          <w:p w14:paraId="59FE374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0.626</w:t>
            </w:r>
          </w:p>
        </w:tc>
        <w:tc>
          <w:tcPr>
            <w:tcW w:w="1188" w:type="dxa"/>
            <w:tcBorders>
              <w:top w:val="nil"/>
              <w:left w:val="nil"/>
              <w:bottom w:val="nil"/>
              <w:right w:val="nil"/>
            </w:tcBorders>
            <w:shd w:val="clear" w:color="auto" w:fill="auto"/>
            <w:noWrap/>
            <w:vAlign w:val="bottom"/>
            <w:hideMark/>
          </w:tcPr>
          <w:p w14:paraId="089BAE8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0.298</w:t>
            </w:r>
          </w:p>
        </w:tc>
        <w:tc>
          <w:tcPr>
            <w:tcW w:w="262" w:type="dxa"/>
            <w:vMerge/>
            <w:tcBorders>
              <w:left w:val="nil"/>
              <w:right w:val="nil"/>
            </w:tcBorders>
            <w:shd w:val="clear" w:color="auto" w:fill="auto"/>
            <w:noWrap/>
            <w:vAlign w:val="bottom"/>
            <w:hideMark/>
          </w:tcPr>
          <w:p w14:paraId="57827389" w14:textId="1F0AAB5A"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4297457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53 983</w:t>
            </w:r>
          </w:p>
        </w:tc>
        <w:tc>
          <w:tcPr>
            <w:tcW w:w="821" w:type="dxa"/>
            <w:tcBorders>
              <w:top w:val="nil"/>
              <w:left w:val="nil"/>
              <w:bottom w:val="nil"/>
              <w:right w:val="nil"/>
            </w:tcBorders>
            <w:shd w:val="clear" w:color="auto" w:fill="auto"/>
            <w:noWrap/>
            <w:vAlign w:val="bottom"/>
            <w:hideMark/>
          </w:tcPr>
          <w:p w14:paraId="4050688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0.070</w:t>
            </w:r>
          </w:p>
        </w:tc>
        <w:tc>
          <w:tcPr>
            <w:tcW w:w="811" w:type="dxa"/>
            <w:tcBorders>
              <w:top w:val="nil"/>
              <w:left w:val="nil"/>
              <w:bottom w:val="nil"/>
              <w:right w:val="nil"/>
            </w:tcBorders>
            <w:shd w:val="clear" w:color="auto" w:fill="auto"/>
            <w:noWrap/>
            <w:vAlign w:val="bottom"/>
            <w:hideMark/>
          </w:tcPr>
          <w:p w14:paraId="67C7DB4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0.603</w:t>
            </w:r>
          </w:p>
        </w:tc>
        <w:tc>
          <w:tcPr>
            <w:tcW w:w="1182" w:type="dxa"/>
            <w:tcBorders>
              <w:top w:val="nil"/>
              <w:left w:val="nil"/>
              <w:bottom w:val="nil"/>
              <w:right w:val="nil"/>
            </w:tcBorders>
            <w:shd w:val="clear" w:color="auto" w:fill="auto"/>
            <w:noWrap/>
            <w:vAlign w:val="bottom"/>
            <w:hideMark/>
          </w:tcPr>
          <w:p w14:paraId="793384B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0.327</w:t>
            </w:r>
          </w:p>
        </w:tc>
        <w:tc>
          <w:tcPr>
            <w:tcW w:w="262" w:type="dxa"/>
            <w:vMerge/>
            <w:tcBorders>
              <w:left w:val="nil"/>
              <w:right w:val="nil"/>
            </w:tcBorders>
            <w:shd w:val="clear" w:color="auto" w:fill="auto"/>
            <w:noWrap/>
            <w:vAlign w:val="bottom"/>
            <w:hideMark/>
          </w:tcPr>
          <w:p w14:paraId="48771F1F" w14:textId="4CCE952D"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1CF1BC6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94 656</w:t>
            </w:r>
          </w:p>
        </w:tc>
        <w:tc>
          <w:tcPr>
            <w:tcW w:w="798" w:type="dxa"/>
            <w:tcBorders>
              <w:top w:val="nil"/>
              <w:left w:val="nil"/>
              <w:bottom w:val="nil"/>
              <w:right w:val="nil"/>
            </w:tcBorders>
            <w:shd w:val="clear" w:color="auto" w:fill="auto"/>
            <w:noWrap/>
            <w:vAlign w:val="bottom"/>
            <w:hideMark/>
          </w:tcPr>
          <w:p w14:paraId="00D5BAF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0.080</w:t>
            </w:r>
          </w:p>
        </w:tc>
        <w:tc>
          <w:tcPr>
            <w:tcW w:w="789" w:type="dxa"/>
            <w:tcBorders>
              <w:top w:val="nil"/>
              <w:left w:val="nil"/>
              <w:bottom w:val="nil"/>
              <w:right w:val="nil"/>
            </w:tcBorders>
            <w:shd w:val="clear" w:color="auto" w:fill="auto"/>
            <w:noWrap/>
            <w:vAlign w:val="bottom"/>
            <w:hideMark/>
          </w:tcPr>
          <w:p w14:paraId="2271B59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0.639</w:t>
            </w:r>
          </w:p>
        </w:tc>
        <w:tc>
          <w:tcPr>
            <w:tcW w:w="1182" w:type="dxa"/>
            <w:tcBorders>
              <w:top w:val="nil"/>
              <w:left w:val="nil"/>
              <w:bottom w:val="nil"/>
              <w:right w:val="nil"/>
            </w:tcBorders>
            <w:shd w:val="clear" w:color="auto" w:fill="auto"/>
            <w:noWrap/>
            <w:vAlign w:val="bottom"/>
            <w:hideMark/>
          </w:tcPr>
          <w:p w14:paraId="7F5086B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0.281</w:t>
            </w:r>
          </w:p>
        </w:tc>
      </w:tr>
      <w:tr w:rsidR="00A8585C" w:rsidRPr="00A37CBC" w14:paraId="6B46F99D" w14:textId="77777777" w:rsidTr="00B81608">
        <w:trPr>
          <w:cantSplit/>
          <w:trHeight w:val="300"/>
        </w:trPr>
        <w:tc>
          <w:tcPr>
            <w:tcW w:w="1134" w:type="dxa"/>
            <w:tcBorders>
              <w:top w:val="nil"/>
              <w:left w:val="nil"/>
              <w:bottom w:val="nil"/>
              <w:right w:val="nil"/>
            </w:tcBorders>
            <w:shd w:val="clear" w:color="auto" w:fill="auto"/>
            <w:noWrap/>
            <w:vAlign w:val="bottom"/>
            <w:hideMark/>
          </w:tcPr>
          <w:p w14:paraId="11B9DF12"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lastRenderedPageBreak/>
              <w:t>2016</w:t>
            </w:r>
          </w:p>
        </w:tc>
        <w:tc>
          <w:tcPr>
            <w:tcW w:w="929" w:type="dxa"/>
            <w:tcBorders>
              <w:top w:val="nil"/>
              <w:left w:val="nil"/>
              <w:bottom w:val="nil"/>
              <w:right w:val="nil"/>
            </w:tcBorders>
            <w:shd w:val="clear" w:color="auto" w:fill="auto"/>
            <w:noWrap/>
            <w:vAlign w:val="bottom"/>
            <w:hideMark/>
          </w:tcPr>
          <w:p w14:paraId="22AF7F5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156 496</w:t>
            </w:r>
          </w:p>
        </w:tc>
        <w:tc>
          <w:tcPr>
            <w:tcW w:w="838" w:type="dxa"/>
            <w:tcBorders>
              <w:top w:val="nil"/>
              <w:left w:val="nil"/>
              <w:bottom w:val="nil"/>
              <w:right w:val="nil"/>
            </w:tcBorders>
            <w:shd w:val="clear" w:color="auto" w:fill="auto"/>
            <w:noWrap/>
            <w:vAlign w:val="bottom"/>
            <w:hideMark/>
          </w:tcPr>
          <w:p w14:paraId="41B5299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0.074</w:t>
            </w:r>
          </w:p>
        </w:tc>
        <w:tc>
          <w:tcPr>
            <w:tcW w:w="828" w:type="dxa"/>
            <w:tcBorders>
              <w:top w:val="nil"/>
              <w:left w:val="nil"/>
              <w:bottom w:val="nil"/>
              <w:right w:val="nil"/>
            </w:tcBorders>
            <w:shd w:val="clear" w:color="auto" w:fill="auto"/>
            <w:noWrap/>
            <w:vAlign w:val="bottom"/>
            <w:hideMark/>
          </w:tcPr>
          <w:p w14:paraId="5E09386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0.643</w:t>
            </w:r>
          </w:p>
        </w:tc>
        <w:tc>
          <w:tcPr>
            <w:tcW w:w="1188" w:type="dxa"/>
            <w:tcBorders>
              <w:top w:val="nil"/>
              <w:left w:val="nil"/>
              <w:bottom w:val="nil"/>
              <w:right w:val="nil"/>
            </w:tcBorders>
            <w:shd w:val="clear" w:color="auto" w:fill="auto"/>
            <w:noWrap/>
            <w:vAlign w:val="bottom"/>
            <w:hideMark/>
          </w:tcPr>
          <w:p w14:paraId="22C6C51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0.283</w:t>
            </w:r>
          </w:p>
        </w:tc>
        <w:tc>
          <w:tcPr>
            <w:tcW w:w="262" w:type="dxa"/>
            <w:vMerge/>
            <w:tcBorders>
              <w:left w:val="nil"/>
              <w:right w:val="nil"/>
            </w:tcBorders>
            <w:shd w:val="clear" w:color="auto" w:fill="auto"/>
            <w:noWrap/>
            <w:vAlign w:val="bottom"/>
            <w:hideMark/>
          </w:tcPr>
          <w:p w14:paraId="3E845AED" w14:textId="485CD247"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76A0FFD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56 638</w:t>
            </w:r>
          </w:p>
        </w:tc>
        <w:tc>
          <w:tcPr>
            <w:tcW w:w="821" w:type="dxa"/>
            <w:tcBorders>
              <w:top w:val="nil"/>
              <w:left w:val="nil"/>
              <w:bottom w:val="nil"/>
              <w:right w:val="nil"/>
            </w:tcBorders>
            <w:shd w:val="clear" w:color="auto" w:fill="auto"/>
            <w:noWrap/>
            <w:vAlign w:val="bottom"/>
            <w:hideMark/>
          </w:tcPr>
          <w:p w14:paraId="198337A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0.067</w:t>
            </w:r>
          </w:p>
        </w:tc>
        <w:tc>
          <w:tcPr>
            <w:tcW w:w="811" w:type="dxa"/>
            <w:tcBorders>
              <w:top w:val="nil"/>
              <w:left w:val="nil"/>
              <w:bottom w:val="nil"/>
              <w:right w:val="nil"/>
            </w:tcBorders>
            <w:shd w:val="clear" w:color="auto" w:fill="auto"/>
            <w:noWrap/>
            <w:vAlign w:val="bottom"/>
            <w:hideMark/>
          </w:tcPr>
          <w:p w14:paraId="59FB51E4"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0.617</w:t>
            </w:r>
          </w:p>
        </w:tc>
        <w:tc>
          <w:tcPr>
            <w:tcW w:w="1182" w:type="dxa"/>
            <w:tcBorders>
              <w:top w:val="nil"/>
              <w:left w:val="nil"/>
              <w:bottom w:val="nil"/>
              <w:right w:val="nil"/>
            </w:tcBorders>
            <w:shd w:val="clear" w:color="auto" w:fill="auto"/>
            <w:noWrap/>
            <w:vAlign w:val="bottom"/>
            <w:hideMark/>
          </w:tcPr>
          <w:p w14:paraId="19818F91"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0.316</w:t>
            </w:r>
          </w:p>
        </w:tc>
        <w:tc>
          <w:tcPr>
            <w:tcW w:w="262" w:type="dxa"/>
            <w:vMerge/>
            <w:tcBorders>
              <w:left w:val="nil"/>
              <w:right w:val="nil"/>
            </w:tcBorders>
            <w:shd w:val="clear" w:color="auto" w:fill="auto"/>
            <w:noWrap/>
            <w:vAlign w:val="bottom"/>
            <w:hideMark/>
          </w:tcPr>
          <w:p w14:paraId="1A6D6B32" w14:textId="3BEEB56B"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72B6158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99 858</w:t>
            </w:r>
          </w:p>
        </w:tc>
        <w:tc>
          <w:tcPr>
            <w:tcW w:w="798" w:type="dxa"/>
            <w:tcBorders>
              <w:top w:val="nil"/>
              <w:left w:val="nil"/>
              <w:bottom w:val="nil"/>
              <w:right w:val="nil"/>
            </w:tcBorders>
            <w:shd w:val="clear" w:color="auto" w:fill="auto"/>
            <w:noWrap/>
            <w:vAlign w:val="bottom"/>
            <w:hideMark/>
          </w:tcPr>
          <w:p w14:paraId="4E640CD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0.077</w:t>
            </w:r>
          </w:p>
        </w:tc>
        <w:tc>
          <w:tcPr>
            <w:tcW w:w="789" w:type="dxa"/>
            <w:tcBorders>
              <w:top w:val="nil"/>
              <w:left w:val="nil"/>
              <w:bottom w:val="nil"/>
              <w:right w:val="nil"/>
            </w:tcBorders>
            <w:shd w:val="clear" w:color="auto" w:fill="auto"/>
            <w:noWrap/>
            <w:vAlign w:val="bottom"/>
            <w:hideMark/>
          </w:tcPr>
          <w:p w14:paraId="6F4D949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0.658</w:t>
            </w:r>
          </w:p>
        </w:tc>
        <w:tc>
          <w:tcPr>
            <w:tcW w:w="1182" w:type="dxa"/>
            <w:tcBorders>
              <w:top w:val="nil"/>
              <w:left w:val="nil"/>
              <w:bottom w:val="nil"/>
              <w:right w:val="nil"/>
            </w:tcBorders>
            <w:shd w:val="clear" w:color="auto" w:fill="auto"/>
            <w:noWrap/>
            <w:vAlign w:val="bottom"/>
            <w:hideMark/>
          </w:tcPr>
          <w:p w14:paraId="0E4AEBD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0.265</w:t>
            </w:r>
          </w:p>
        </w:tc>
      </w:tr>
      <w:tr w:rsidR="00A8585C" w:rsidRPr="00A37CBC" w14:paraId="0EB3B427" w14:textId="77777777" w:rsidTr="00B81608">
        <w:trPr>
          <w:cantSplit/>
          <w:trHeight w:val="300"/>
        </w:trPr>
        <w:tc>
          <w:tcPr>
            <w:tcW w:w="1134" w:type="dxa"/>
            <w:tcBorders>
              <w:top w:val="nil"/>
              <w:left w:val="nil"/>
              <w:bottom w:val="nil"/>
              <w:right w:val="nil"/>
            </w:tcBorders>
            <w:shd w:val="clear" w:color="auto" w:fill="auto"/>
            <w:noWrap/>
            <w:vAlign w:val="bottom"/>
            <w:hideMark/>
          </w:tcPr>
          <w:p w14:paraId="45C65D9A"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2017</w:t>
            </w:r>
          </w:p>
        </w:tc>
        <w:tc>
          <w:tcPr>
            <w:tcW w:w="929" w:type="dxa"/>
            <w:tcBorders>
              <w:top w:val="nil"/>
              <w:left w:val="nil"/>
              <w:bottom w:val="nil"/>
              <w:right w:val="nil"/>
            </w:tcBorders>
            <w:shd w:val="clear" w:color="auto" w:fill="auto"/>
            <w:noWrap/>
            <w:vAlign w:val="bottom"/>
            <w:hideMark/>
          </w:tcPr>
          <w:p w14:paraId="6601B1E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162 272</w:t>
            </w:r>
          </w:p>
        </w:tc>
        <w:tc>
          <w:tcPr>
            <w:tcW w:w="838" w:type="dxa"/>
            <w:tcBorders>
              <w:top w:val="nil"/>
              <w:left w:val="nil"/>
              <w:bottom w:val="nil"/>
              <w:right w:val="nil"/>
            </w:tcBorders>
            <w:shd w:val="clear" w:color="auto" w:fill="auto"/>
            <w:noWrap/>
            <w:vAlign w:val="bottom"/>
            <w:hideMark/>
          </w:tcPr>
          <w:p w14:paraId="6A13371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0.071</w:t>
            </w:r>
          </w:p>
        </w:tc>
        <w:tc>
          <w:tcPr>
            <w:tcW w:w="828" w:type="dxa"/>
            <w:tcBorders>
              <w:top w:val="nil"/>
              <w:left w:val="nil"/>
              <w:bottom w:val="nil"/>
              <w:right w:val="nil"/>
            </w:tcBorders>
            <w:shd w:val="clear" w:color="auto" w:fill="auto"/>
            <w:noWrap/>
            <w:vAlign w:val="bottom"/>
            <w:hideMark/>
          </w:tcPr>
          <w:p w14:paraId="7E3592CB"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0.658</w:t>
            </w:r>
          </w:p>
        </w:tc>
        <w:tc>
          <w:tcPr>
            <w:tcW w:w="1188" w:type="dxa"/>
            <w:tcBorders>
              <w:top w:val="nil"/>
              <w:left w:val="nil"/>
              <w:bottom w:val="nil"/>
              <w:right w:val="nil"/>
            </w:tcBorders>
            <w:shd w:val="clear" w:color="auto" w:fill="auto"/>
            <w:noWrap/>
            <w:vAlign w:val="bottom"/>
            <w:hideMark/>
          </w:tcPr>
          <w:p w14:paraId="684D785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0.271</w:t>
            </w:r>
          </w:p>
        </w:tc>
        <w:tc>
          <w:tcPr>
            <w:tcW w:w="262" w:type="dxa"/>
            <w:vMerge/>
            <w:tcBorders>
              <w:left w:val="nil"/>
              <w:right w:val="nil"/>
            </w:tcBorders>
            <w:shd w:val="clear" w:color="auto" w:fill="auto"/>
            <w:noWrap/>
            <w:vAlign w:val="bottom"/>
            <w:hideMark/>
          </w:tcPr>
          <w:p w14:paraId="7F0EB8E2" w14:textId="52CC8117"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72D7AC0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58 460</w:t>
            </w:r>
          </w:p>
        </w:tc>
        <w:tc>
          <w:tcPr>
            <w:tcW w:w="821" w:type="dxa"/>
            <w:tcBorders>
              <w:top w:val="nil"/>
              <w:left w:val="nil"/>
              <w:bottom w:val="nil"/>
              <w:right w:val="nil"/>
            </w:tcBorders>
            <w:shd w:val="clear" w:color="auto" w:fill="auto"/>
            <w:noWrap/>
            <w:vAlign w:val="bottom"/>
            <w:hideMark/>
          </w:tcPr>
          <w:p w14:paraId="56EFD1E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0.065</w:t>
            </w:r>
          </w:p>
        </w:tc>
        <w:tc>
          <w:tcPr>
            <w:tcW w:w="811" w:type="dxa"/>
            <w:tcBorders>
              <w:top w:val="nil"/>
              <w:left w:val="nil"/>
              <w:bottom w:val="nil"/>
              <w:right w:val="nil"/>
            </w:tcBorders>
            <w:shd w:val="clear" w:color="auto" w:fill="auto"/>
            <w:noWrap/>
            <w:vAlign w:val="bottom"/>
            <w:hideMark/>
          </w:tcPr>
          <w:p w14:paraId="49535AE9"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0.634</w:t>
            </w:r>
          </w:p>
        </w:tc>
        <w:tc>
          <w:tcPr>
            <w:tcW w:w="1182" w:type="dxa"/>
            <w:tcBorders>
              <w:top w:val="nil"/>
              <w:left w:val="nil"/>
              <w:bottom w:val="nil"/>
              <w:right w:val="nil"/>
            </w:tcBorders>
            <w:shd w:val="clear" w:color="auto" w:fill="auto"/>
            <w:noWrap/>
            <w:vAlign w:val="bottom"/>
            <w:hideMark/>
          </w:tcPr>
          <w:p w14:paraId="1DD38300"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0.302</w:t>
            </w:r>
          </w:p>
        </w:tc>
        <w:tc>
          <w:tcPr>
            <w:tcW w:w="262" w:type="dxa"/>
            <w:vMerge/>
            <w:tcBorders>
              <w:left w:val="nil"/>
              <w:right w:val="nil"/>
            </w:tcBorders>
            <w:shd w:val="clear" w:color="auto" w:fill="auto"/>
            <w:noWrap/>
            <w:vAlign w:val="bottom"/>
            <w:hideMark/>
          </w:tcPr>
          <w:p w14:paraId="56554F1F" w14:textId="5F0541FE"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21C933FA"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103 812</w:t>
            </w:r>
          </w:p>
        </w:tc>
        <w:tc>
          <w:tcPr>
            <w:tcW w:w="798" w:type="dxa"/>
            <w:tcBorders>
              <w:top w:val="nil"/>
              <w:left w:val="nil"/>
              <w:bottom w:val="nil"/>
              <w:right w:val="nil"/>
            </w:tcBorders>
            <w:shd w:val="clear" w:color="auto" w:fill="auto"/>
            <w:noWrap/>
            <w:vAlign w:val="bottom"/>
            <w:hideMark/>
          </w:tcPr>
          <w:p w14:paraId="3EDBBDE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0.075</w:t>
            </w:r>
          </w:p>
        </w:tc>
        <w:tc>
          <w:tcPr>
            <w:tcW w:w="789" w:type="dxa"/>
            <w:tcBorders>
              <w:top w:val="nil"/>
              <w:left w:val="nil"/>
              <w:bottom w:val="nil"/>
              <w:right w:val="nil"/>
            </w:tcBorders>
            <w:shd w:val="clear" w:color="auto" w:fill="auto"/>
            <w:noWrap/>
            <w:vAlign w:val="bottom"/>
            <w:hideMark/>
          </w:tcPr>
          <w:p w14:paraId="0F106C8F"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0.672</w:t>
            </w:r>
          </w:p>
        </w:tc>
        <w:tc>
          <w:tcPr>
            <w:tcW w:w="1182" w:type="dxa"/>
            <w:tcBorders>
              <w:top w:val="nil"/>
              <w:left w:val="nil"/>
              <w:bottom w:val="nil"/>
              <w:right w:val="nil"/>
            </w:tcBorders>
            <w:shd w:val="clear" w:color="auto" w:fill="auto"/>
            <w:noWrap/>
            <w:vAlign w:val="bottom"/>
            <w:hideMark/>
          </w:tcPr>
          <w:p w14:paraId="04215B2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0.253</w:t>
            </w:r>
          </w:p>
        </w:tc>
      </w:tr>
      <w:tr w:rsidR="00A8585C" w:rsidRPr="00A37CBC" w14:paraId="000DED8B" w14:textId="77777777" w:rsidTr="00B81608">
        <w:trPr>
          <w:cantSplit/>
          <w:trHeight w:val="300"/>
        </w:trPr>
        <w:tc>
          <w:tcPr>
            <w:tcW w:w="1134" w:type="dxa"/>
            <w:tcBorders>
              <w:top w:val="nil"/>
              <w:left w:val="nil"/>
              <w:bottom w:val="nil"/>
              <w:right w:val="nil"/>
            </w:tcBorders>
            <w:shd w:val="clear" w:color="auto" w:fill="auto"/>
            <w:noWrap/>
            <w:vAlign w:val="bottom"/>
            <w:hideMark/>
          </w:tcPr>
          <w:p w14:paraId="35B6D0A6" w14:textId="77777777" w:rsidR="00A8585C" w:rsidRPr="00A37CBC" w:rsidRDefault="00A8585C"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2018</w:t>
            </w:r>
          </w:p>
        </w:tc>
        <w:tc>
          <w:tcPr>
            <w:tcW w:w="929" w:type="dxa"/>
            <w:tcBorders>
              <w:top w:val="nil"/>
              <w:left w:val="nil"/>
              <w:bottom w:val="nil"/>
              <w:right w:val="nil"/>
            </w:tcBorders>
            <w:shd w:val="clear" w:color="auto" w:fill="auto"/>
            <w:noWrap/>
            <w:vAlign w:val="bottom"/>
            <w:hideMark/>
          </w:tcPr>
          <w:p w14:paraId="416F329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169 415</w:t>
            </w:r>
          </w:p>
        </w:tc>
        <w:tc>
          <w:tcPr>
            <w:tcW w:w="838" w:type="dxa"/>
            <w:tcBorders>
              <w:top w:val="nil"/>
              <w:left w:val="nil"/>
              <w:bottom w:val="nil"/>
              <w:right w:val="nil"/>
            </w:tcBorders>
            <w:shd w:val="clear" w:color="auto" w:fill="auto"/>
            <w:noWrap/>
            <w:vAlign w:val="bottom"/>
            <w:hideMark/>
          </w:tcPr>
          <w:p w14:paraId="61F5A7B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0.073</w:t>
            </w:r>
          </w:p>
        </w:tc>
        <w:tc>
          <w:tcPr>
            <w:tcW w:w="828" w:type="dxa"/>
            <w:tcBorders>
              <w:top w:val="nil"/>
              <w:left w:val="nil"/>
              <w:bottom w:val="nil"/>
              <w:right w:val="nil"/>
            </w:tcBorders>
            <w:shd w:val="clear" w:color="auto" w:fill="auto"/>
            <w:noWrap/>
            <w:vAlign w:val="bottom"/>
            <w:hideMark/>
          </w:tcPr>
          <w:p w14:paraId="28303342"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0.669</w:t>
            </w:r>
          </w:p>
        </w:tc>
        <w:tc>
          <w:tcPr>
            <w:tcW w:w="1188" w:type="dxa"/>
            <w:tcBorders>
              <w:top w:val="nil"/>
              <w:left w:val="nil"/>
              <w:bottom w:val="nil"/>
              <w:right w:val="nil"/>
            </w:tcBorders>
            <w:shd w:val="clear" w:color="auto" w:fill="auto"/>
            <w:noWrap/>
            <w:vAlign w:val="bottom"/>
            <w:hideMark/>
          </w:tcPr>
          <w:p w14:paraId="5C2B36A7"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0.258</w:t>
            </w:r>
          </w:p>
        </w:tc>
        <w:tc>
          <w:tcPr>
            <w:tcW w:w="262" w:type="dxa"/>
            <w:vMerge/>
            <w:tcBorders>
              <w:left w:val="nil"/>
              <w:right w:val="nil"/>
            </w:tcBorders>
            <w:shd w:val="clear" w:color="auto" w:fill="auto"/>
            <w:noWrap/>
            <w:vAlign w:val="bottom"/>
            <w:hideMark/>
          </w:tcPr>
          <w:p w14:paraId="00DC900B" w14:textId="666A3E9B"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116" w:type="dxa"/>
            <w:tcBorders>
              <w:top w:val="nil"/>
              <w:left w:val="nil"/>
              <w:bottom w:val="nil"/>
              <w:right w:val="nil"/>
            </w:tcBorders>
            <w:shd w:val="clear" w:color="auto" w:fill="auto"/>
            <w:noWrap/>
            <w:vAlign w:val="bottom"/>
            <w:hideMark/>
          </w:tcPr>
          <w:p w14:paraId="288EB4A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61 106</w:t>
            </w:r>
          </w:p>
        </w:tc>
        <w:tc>
          <w:tcPr>
            <w:tcW w:w="821" w:type="dxa"/>
            <w:tcBorders>
              <w:top w:val="nil"/>
              <w:left w:val="nil"/>
              <w:bottom w:val="nil"/>
              <w:right w:val="nil"/>
            </w:tcBorders>
            <w:shd w:val="clear" w:color="auto" w:fill="auto"/>
            <w:noWrap/>
            <w:vAlign w:val="bottom"/>
            <w:hideMark/>
          </w:tcPr>
          <w:p w14:paraId="05B4A55D"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0.065</w:t>
            </w:r>
          </w:p>
        </w:tc>
        <w:tc>
          <w:tcPr>
            <w:tcW w:w="811" w:type="dxa"/>
            <w:tcBorders>
              <w:top w:val="nil"/>
              <w:left w:val="nil"/>
              <w:bottom w:val="nil"/>
              <w:right w:val="nil"/>
            </w:tcBorders>
            <w:shd w:val="clear" w:color="auto" w:fill="auto"/>
            <w:noWrap/>
            <w:vAlign w:val="bottom"/>
            <w:hideMark/>
          </w:tcPr>
          <w:p w14:paraId="7E389F16"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0.643</w:t>
            </w:r>
          </w:p>
        </w:tc>
        <w:tc>
          <w:tcPr>
            <w:tcW w:w="1182" w:type="dxa"/>
            <w:tcBorders>
              <w:top w:val="nil"/>
              <w:left w:val="nil"/>
              <w:bottom w:val="nil"/>
              <w:right w:val="nil"/>
            </w:tcBorders>
            <w:shd w:val="clear" w:color="auto" w:fill="auto"/>
            <w:noWrap/>
            <w:vAlign w:val="bottom"/>
            <w:hideMark/>
          </w:tcPr>
          <w:p w14:paraId="5D3BFD5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0.292</w:t>
            </w:r>
          </w:p>
        </w:tc>
        <w:tc>
          <w:tcPr>
            <w:tcW w:w="262" w:type="dxa"/>
            <w:vMerge/>
            <w:tcBorders>
              <w:left w:val="nil"/>
              <w:right w:val="nil"/>
            </w:tcBorders>
            <w:shd w:val="clear" w:color="auto" w:fill="auto"/>
            <w:noWrap/>
            <w:vAlign w:val="bottom"/>
            <w:hideMark/>
          </w:tcPr>
          <w:p w14:paraId="617231CA" w14:textId="28B37C60" w:rsidR="00A8585C" w:rsidRPr="00A37CBC" w:rsidRDefault="00A8585C" w:rsidP="00A61F03">
            <w:pPr>
              <w:spacing w:before="0" w:after="0" w:line="240" w:lineRule="auto"/>
              <w:rPr>
                <w:rFonts w:ascii="Calibri" w:eastAsia="Times New Roman" w:hAnsi="Calibri" w:cs="Calibri"/>
                <w:color w:val="000000"/>
                <w:sz w:val="20"/>
                <w:lang w:eastAsia="en-AU"/>
              </w:rPr>
            </w:pPr>
          </w:p>
        </w:tc>
        <w:tc>
          <w:tcPr>
            <w:tcW w:w="1006" w:type="dxa"/>
            <w:tcBorders>
              <w:top w:val="nil"/>
              <w:left w:val="nil"/>
              <w:bottom w:val="nil"/>
              <w:right w:val="nil"/>
            </w:tcBorders>
            <w:shd w:val="clear" w:color="auto" w:fill="auto"/>
            <w:noWrap/>
            <w:vAlign w:val="bottom"/>
            <w:hideMark/>
          </w:tcPr>
          <w:p w14:paraId="74ED0E03"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108 309</w:t>
            </w:r>
          </w:p>
        </w:tc>
        <w:tc>
          <w:tcPr>
            <w:tcW w:w="798" w:type="dxa"/>
            <w:tcBorders>
              <w:top w:val="nil"/>
              <w:left w:val="nil"/>
              <w:bottom w:val="nil"/>
              <w:right w:val="nil"/>
            </w:tcBorders>
            <w:shd w:val="clear" w:color="auto" w:fill="auto"/>
            <w:noWrap/>
            <w:vAlign w:val="bottom"/>
            <w:hideMark/>
          </w:tcPr>
          <w:p w14:paraId="453F7E0E"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0.077</w:t>
            </w:r>
          </w:p>
        </w:tc>
        <w:tc>
          <w:tcPr>
            <w:tcW w:w="789" w:type="dxa"/>
            <w:tcBorders>
              <w:top w:val="nil"/>
              <w:left w:val="nil"/>
              <w:bottom w:val="nil"/>
              <w:right w:val="nil"/>
            </w:tcBorders>
            <w:shd w:val="clear" w:color="auto" w:fill="auto"/>
            <w:noWrap/>
            <w:vAlign w:val="bottom"/>
            <w:hideMark/>
          </w:tcPr>
          <w:p w14:paraId="2FD3A765"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0.683</w:t>
            </w:r>
          </w:p>
        </w:tc>
        <w:tc>
          <w:tcPr>
            <w:tcW w:w="1182" w:type="dxa"/>
            <w:tcBorders>
              <w:top w:val="nil"/>
              <w:left w:val="nil"/>
              <w:bottom w:val="nil"/>
              <w:right w:val="nil"/>
            </w:tcBorders>
            <w:shd w:val="clear" w:color="auto" w:fill="auto"/>
            <w:noWrap/>
            <w:vAlign w:val="bottom"/>
            <w:hideMark/>
          </w:tcPr>
          <w:p w14:paraId="65C98C08" w14:textId="77777777" w:rsidR="00A8585C" w:rsidRPr="00A37CBC" w:rsidRDefault="00A8585C"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0.240</w:t>
            </w:r>
          </w:p>
        </w:tc>
      </w:tr>
      <w:tr w:rsidR="00B33D54" w:rsidRPr="00A37CBC" w14:paraId="136D4394" w14:textId="77777777" w:rsidTr="009853D2">
        <w:trPr>
          <w:cantSplit/>
          <w:trHeight w:val="300"/>
        </w:trPr>
        <w:tc>
          <w:tcPr>
            <w:tcW w:w="1134" w:type="dxa"/>
            <w:tcBorders>
              <w:top w:val="nil"/>
              <w:left w:val="nil"/>
              <w:bottom w:val="single" w:sz="4" w:space="0" w:color="auto"/>
              <w:right w:val="nil"/>
            </w:tcBorders>
            <w:shd w:val="clear" w:color="auto" w:fill="auto"/>
            <w:noWrap/>
            <w:vAlign w:val="bottom"/>
            <w:hideMark/>
          </w:tcPr>
          <w:p w14:paraId="18B0C6D8" w14:textId="563E66B1" w:rsidR="00B33D54" w:rsidRPr="00A37CBC" w:rsidRDefault="00B33D54" w:rsidP="00A61F03">
            <w:pPr>
              <w:spacing w:before="0" w:after="0" w:line="240" w:lineRule="auto"/>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2019</w:t>
            </w:r>
          </w:p>
        </w:tc>
        <w:tc>
          <w:tcPr>
            <w:tcW w:w="929" w:type="dxa"/>
            <w:tcBorders>
              <w:top w:val="nil"/>
              <w:left w:val="nil"/>
              <w:bottom w:val="single" w:sz="4" w:space="0" w:color="auto"/>
              <w:right w:val="nil"/>
            </w:tcBorders>
            <w:shd w:val="clear" w:color="auto" w:fill="auto"/>
            <w:noWrap/>
            <w:vAlign w:val="bottom"/>
            <w:hideMark/>
          </w:tcPr>
          <w:p w14:paraId="50C919F2"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181 388</w:t>
            </w:r>
          </w:p>
        </w:tc>
        <w:tc>
          <w:tcPr>
            <w:tcW w:w="838" w:type="dxa"/>
            <w:tcBorders>
              <w:top w:val="nil"/>
              <w:left w:val="nil"/>
              <w:bottom w:val="single" w:sz="4" w:space="0" w:color="auto"/>
              <w:right w:val="nil"/>
            </w:tcBorders>
            <w:shd w:val="clear" w:color="auto" w:fill="auto"/>
            <w:noWrap/>
            <w:vAlign w:val="bottom"/>
            <w:hideMark/>
          </w:tcPr>
          <w:p w14:paraId="4DF52BB6"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0.071</w:t>
            </w:r>
          </w:p>
        </w:tc>
        <w:tc>
          <w:tcPr>
            <w:tcW w:w="828" w:type="dxa"/>
            <w:tcBorders>
              <w:top w:val="nil"/>
              <w:left w:val="nil"/>
              <w:bottom w:val="single" w:sz="4" w:space="0" w:color="auto"/>
              <w:right w:val="nil"/>
            </w:tcBorders>
            <w:shd w:val="clear" w:color="auto" w:fill="auto"/>
            <w:noWrap/>
            <w:vAlign w:val="bottom"/>
            <w:hideMark/>
          </w:tcPr>
          <w:p w14:paraId="519AB3F1"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0.682</w:t>
            </w:r>
          </w:p>
        </w:tc>
        <w:tc>
          <w:tcPr>
            <w:tcW w:w="1188" w:type="dxa"/>
            <w:tcBorders>
              <w:top w:val="nil"/>
              <w:left w:val="nil"/>
              <w:bottom w:val="single" w:sz="4" w:space="0" w:color="auto"/>
              <w:right w:val="nil"/>
            </w:tcBorders>
            <w:shd w:val="clear" w:color="auto" w:fill="auto"/>
            <w:noWrap/>
            <w:vAlign w:val="bottom"/>
            <w:hideMark/>
          </w:tcPr>
          <w:p w14:paraId="36F601B0"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0.246</w:t>
            </w:r>
          </w:p>
        </w:tc>
        <w:tc>
          <w:tcPr>
            <w:tcW w:w="262" w:type="dxa"/>
            <w:vMerge/>
            <w:tcBorders>
              <w:left w:val="nil"/>
              <w:bottom w:val="single" w:sz="4" w:space="0" w:color="auto"/>
              <w:right w:val="nil"/>
            </w:tcBorders>
            <w:shd w:val="clear" w:color="auto" w:fill="auto"/>
            <w:noWrap/>
            <w:vAlign w:val="bottom"/>
            <w:hideMark/>
          </w:tcPr>
          <w:p w14:paraId="16AB8E50" w14:textId="6427ADF8" w:rsidR="00B33D54" w:rsidRPr="00A37CBC" w:rsidRDefault="00B33D54" w:rsidP="00A61F03">
            <w:pPr>
              <w:spacing w:before="0" w:after="0" w:line="240" w:lineRule="auto"/>
              <w:rPr>
                <w:rFonts w:ascii="Calibri" w:eastAsia="Times New Roman" w:hAnsi="Calibri" w:cs="Calibri"/>
                <w:color w:val="000000"/>
                <w:sz w:val="20"/>
                <w:lang w:eastAsia="en-AU"/>
              </w:rPr>
            </w:pPr>
          </w:p>
        </w:tc>
        <w:tc>
          <w:tcPr>
            <w:tcW w:w="1116" w:type="dxa"/>
            <w:tcBorders>
              <w:top w:val="nil"/>
              <w:left w:val="nil"/>
              <w:bottom w:val="single" w:sz="4" w:space="0" w:color="auto"/>
              <w:right w:val="nil"/>
            </w:tcBorders>
            <w:shd w:val="clear" w:color="auto" w:fill="auto"/>
            <w:noWrap/>
            <w:vAlign w:val="bottom"/>
            <w:hideMark/>
          </w:tcPr>
          <w:p w14:paraId="4E7F5094"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65 449</w:t>
            </w:r>
          </w:p>
        </w:tc>
        <w:tc>
          <w:tcPr>
            <w:tcW w:w="821" w:type="dxa"/>
            <w:tcBorders>
              <w:top w:val="nil"/>
              <w:left w:val="nil"/>
              <w:bottom w:val="single" w:sz="4" w:space="0" w:color="auto"/>
              <w:right w:val="nil"/>
            </w:tcBorders>
            <w:shd w:val="clear" w:color="auto" w:fill="auto"/>
            <w:noWrap/>
            <w:vAlign w:val="bottom"/>
            <w:hideMark/>
          </w:tcPr>
          <w:p w14:paraId="05431C7B"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0.063</w:t>
            </w:r>
          </w:p>
        </w:tc>
        <w:tc>
          <w:tcPr>
            <w:tcW w:w="811" w:type="dxa"/>
            <w:tcBorders>
              <w:top w:val="nil"/>
              <w:left w:val="nil"/>
              <w:bottom w:val="single" w:sz="4" w:space="0" w:color="auto"/>
              <w:right w:val="nil"/>
            </w:tcBorders>
            <w:shd w:val="clear" w:color="auto" w:fill="auto"/>
            <w:noWrap/>
            <w:vAlign w:val="bottom"/>
            <w:hideMark/>
          </w:tcPr>
          <w:p w14:paraId="7AA83E92"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0.657</w:t>
            </w:r>
          </w:p>
        </w:tc>
        <w:tc>
          <w:tcPr>
            <w:tcW w:w="1182" w:type="dxa"/>
            <w:tcBorders>
              <w:top w:val="nil"/>
              <w:left w:val="nil"/>
              <w:bottom w:val="single" w:sz="4" w:space="0" w:color="auto"/>
              <w:right w:val="nil"/>
            </w:tcBorders>
            <w:shd w:val="clear" w:color="auto" w:fill="auto"/>
            <w:noWrap/>
            <w:vAlign w:val="bottom"/>
            <w:hideMark/>
          </w:tcPr>
          <w:p w14:paraId="23756778"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0.280</w:t>
            </w:r>
          </w:p>
        </w:tc>
        <w:tc>
          <w:tcPr>
            <w:tcW w:w="262" w:type="dxa"/>
            <w:vMerge/>
            <w:tcBorders>
              <w:left w:val="nil"/>
              <w:bottom w:val="single" w:sz="4" w:space="0" w:color="auto"/>
              <w:right w:val="nil"/>
            </w:tcBorders>
            <w:shd w:val="clear" w:color="auto" w:fill="auto"/>
            <w:noWrap/>
            <w:vAlign w:val="bottom"/>
            <w:hideMark/>
          </w:tcPr>
          <w:p w14:paraId="6A0F26F4" w14:textId="4C012142" w:rsidR="00B33D54" w:rsidRPr="00A37CBC" w:rsidRDefault="00B33D54" w:rsidP="00A61F03">
            <w:pPr>
              <w:spacing w:before="0" w:after="0" w:line="240" w:lineRule="auto"/>
              <w:rPr>
                <w:rFonts w:ascii="Calibri" w:eastAsia="Times New Roman" w:hAnsi="Calibri" w:cs="Calibri"/>
                <w:color w:val="000000"/>
                <w:sz w:val="20"/>
                <w:lang w:eastAsia="en-AU"/>
              </w:rPr>
            </w:pPr>
          </w:p>
        </w:tc>
        <w:tc>
          <w:tcPr>
            <w:tcW w:w="1006" w:type="dxa"/>
            <w:tcBorders>
              <w:top w:val="nil"/>
              <w:left w:val="nil"/>
              <w:bottom w:val="single" w:sz="4" w:space="0" w:color="auto"/>
              <w:right w:val="nil"/>
            </w:tcBorders>
            <w:shd w:val="clear" w:color="auto" w:fill="auto"/>
            <w:noWrap/>
            <w:vAlign w:val="bottom"/>
            <w:hideMark/>
          </w:tcPr>
          <w:p w14:paraId="62565FF7"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115 939</w:t>
            </w:r>
          </w:p>
        </w:tc>
        <w:tc>
          <w:tcPr>
            <w:tcW w:w="798" w:type="dxa"/>
            <w:tcBorders>
              <w:top w:val="nil"/>
              <w:left w:val="nil"/>
              <w:bottom w:val="single" w:sz="4" w:space="0" w:color="auto"/>
              <w:right w:val="nil"/>
            </w:tcBorders>
            <w:shd w:val="clear" w:color="auto" w:fill="auto"/>
            <w:noWrap/>
            <w:vAlign w:val="bottom"/>
            <w:hideMark/>
          </w:tcPr>
          <w:p w14:paraId="26AC7434"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0.076</w:t>
            </w:r>
          </w:p>
        </w:tc>
        <w:tc>
          <w:tcPr>
            <w:tcW w:w="789" w:type="dxa"/>
            <w:tcBorders>
              <w:top w:val="nil"/>
              <w:left w:val="nil"/>
              <w:bottom w:val="single" w:sz="4" w:space="0" w:color="auto"/>
              <w:right w:val="nil"/>
            </w:tcBorders>
            <w:shd w:val="clear" w:color="auto" w:fill="auto"/>
            <w:noWrap/>
            <w:vAlign w:val="bottom"/>
            <w:hideMark/>
          </w:tcPr>
          <w:p w14:paraId="40F2B0D4"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0.697</w:t>
            </w:r>
          </w:p>
        </w:tc>
        <w:tc>
          <w:tcPr>
            <w:tcW w:w="1182" w:type="dxa"/>
            <w:tcBorders>
              <w:top w:val="nil"/>
              <w:left w:val="nil"/>
              <w:bottom w:val="single" w:sz="4" w:space="0" w:color="auto"/>
              <w:right w:val="nil"/>
            </w:tcBorders>
            <w:shd w:val="clear" w:color="auto" w:fill="auto"/>
            <w:noWrap/>
            <w:vAlign w:val="bottom"/>
            <w:hideMark/>
          </w:tcPr>
          <w:p w14:paraId="397688DC" w14:textId="77777777" w:rsidR="00B33D54" w:rsidRPr="00A37CBC" w:rsidRDefault="00B33D54" w:rsidP="00A61F03">
            <w:pPr>
              <w:spacing w:before="0" w:after="0" w:line="240" w:lineRule="auto"/>
              <w:jc w:val="right"/>
              <w:rPr>
                <w:rFonts w:ascii="Calibri" w:eastAsia="Times New Roman" w:hAnsi="Calibri" w:cs="Calibri"/>
                <w:color w:val="000000"/>
                <w:sz w:val="20"/>
                <w:lang w:eastAsia="en-AU"/>
              </w:rPr>
            </w:pPr>
            <w:r w:rsidRPr="00A37CBC">
              <w:rPr>
                <w:rFonts w:ascii="Calibri" w:eastAsia="Times New Roman" w:hAnsi="Calibri" w:cs="Calibri"/>
                <w:color w:val="000000"/>
                <w:sz w:val="20"/>
                <w:lang w:eastAsia="en-AU"/>
              </w:rPr>
              <w:t>0.227</w:t>
            </w:r>
          </w:p>
        </w:tc>
      </w:tr>
    </w:tbl>
    <w:p w14:paraId="61C64E91" w14:textId="69BC55C4" w:rsidR="00DD1307" w:rsidRPr="00052F99" w:rsidRDefault="00DD1307" w:rsidP="00DD1307">
      <w:r w:rsidRPr="00052F99">
        <w:t>Source:</w:t>
      </w:r>
      <w:r w:rsidR="005E4E55">
        <w:t xml:space="preserve"> </w:t>
      </w:r>
      <w:r w:rsidRPr="00052F99">
        <w:t>PBS</w:t>
      </w:r>
    </w:p>
    <w:p w14:paraId="33E09EEE" w14:textId="0FC10DA9" w:rsidR="00DD1307" w:rsidRDefault="00DD1307" w:rsidP="00DD1307">
      <w:pPr>
        <w:sectPr w:rsidR="00DD1307" w:rsidSect="00DD1307">
          <w:footerReference w:type="default" r:id="rId74"/>
          <w:pgSz w:w="16838" w:h="11906" w:orient="landscape" w:code="9"/>
          <w:pgMar w:top="1418" w:right="1134" w:bottom="1418" w:left="1361" w:header="573" w:footer="567" w:gutter="0"/>
          <w:cols w:space="708"/>
          <w:docGrid w:linePitch="360"/>
        </w:sectPr>
      </w:pPr>
      <w:r w:rsidRPr="00052F99">
        <w:t>Note: N06AA for monoamine reuptake inhibitors, N06AB selective serotonin reuptake inhibitors, N06AF non-selective monoamine oxidase inhibitors, N06AG monoamine oxidase A inhibitors, N06AX other antidepressants; N06AF, N06AG, N06AX medications were grouped for small cell suppression.</w:t>
      </w:r>
    </w:p>
    <w:p w14:paraId="0D391AF6" w14:textId="64FCE79C" w:rsidR="00DD1307" w:rsidRPr="00DD1307" w:rsidRDefault="00DD1307" w:rsidP="00DD1307">
      <w:pPr>
        <w:pStyle w:val="Heading3"/>
      </w:pPr>
      <w:bookmarkStart w:id="88" w:name="_Toc57132551"/>
      <w:bookmarkStart w:id="89" w:name="_Toc70418968"/>
      <w:r w:rsidRPr="00DD1307">
        <w:lastRenderedPageBreak/>
        <w:t>Appendix 6 – Prescriber specialty, incident antidepressant use by paediatric patients, Australia</w:t>
      </w:r>
      <w:bookmarkEnd w:id="88"/>
      <w:bookmarkEnd w:id="89"/>
    </w:p>
    <w:tbl>
      <w:tblPr>
        <w:tblW w:w="8212" w:type="dxa"/>
        <w:tblLook w:val="04A0" w:firstRow="1" w:lastRow="0" w:firstColumn="1" w:lastColumn="0" w:noHBand="0" w:noVBand="1"/>
      </w:tblPr>
      <w:tblGrid>
        <w:gridCol w:w="2040"/>
        <w:gridCol w:w="1080"/>
        <w:gridCol w:w="266"/>
        <w:gridCol w:w="901"/>
        <w:gridCol w:w="962"/>
        <w:gridCol w:w="1299"/>
        <w:gridCol w:w="749"/>
        <w:gridCol w:w="915"/>
      </w:tblGrid>
      <w:tr w:rsidR="00B33D54" w:rsidRPr="00A37CBC" w14:paraId="58F4477D" w14:textId="77777777" w:rsidTr="00B33D54">
        <w:trPr>
          <w:trHeight w:val="300"/>
          <w:tblHeader/>
        </w:trPr>
        <w:tc>
          <w:tcPr>
            <w:tcW w:w="2040" w:type="dxa"/>
            <w:vMerge w:val="restart"/>
            <w:tcBorders>
              <w:top w:val="single" w:sz="4" w:space="0" w:color="auto"/>
              <w:left w:val="nil"/>
              <w:bottom w:val="single" w:sz="4" w:space="0" w:color="000000"/>
              <w:right w:val="nil"/>
            </w:tcBorders>
            <w:shd w:val="clear" w:color="auto" w:fill="006DA7"/>
            <w:vAlign w:val="bottom"/>
            <w:hideMark/>
          </w:tcPr>
          <w:p w14:paraId="62CBF893" w14:textId="77777777" w:rsidR="00B33D54" w:rsidRPr="00B33D54" w:rsidRDefault="00B33D54" w:rsidP="00A61F03">
            <w:pPr>
              <w:spacing w:before="0" w:after="0" w:line="240" w:lineRule="auto"/>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Patient characteristics</w:t>
            </w:r>
          </w:p>
        </w:tc>
        <w:tc>
          <w:tcPr>
            <w:tcW w:w="1080" w:type="dxa"/>
            <w:vMerge w:val="restart"/>
            <w:tcBorders>
              <w:top w:val="single" w:sz="4" w:space="0" w:color="auto"/>
              <w:left w:val="nil"/>
              <w:right w:val="nil"/>
            </w:tcBorders>
            <w:shd w:val="clear" w:color="auto" w:fill="006DA7"/>
            <w:noWrap/>
            <w:vAlign w:val="bottom"/>
            <w:hideMark/>
          </w:tcPr>
          <w:p w14:paraId="460C1BDC" w14:textId="6D7E6408" w:rsidR="00B33D54" w:rsidRPr="00B33D54" w:rsidRDefault="00B33D54" w:rsidP="00A61F03">
            <w:pPr>
              <w:spacing w:before="0" w:after="0" w:line="240" w:lineRule="auto"/>
              <w:jc w:val="right"/>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N</w:t>
            </w:r>
          </w:p>
        </w:tc>
        <w:tc>
          <w:tcPr>
            <w:tcW w:w="266" w:type="dxa"/>
            <w:vMerge w:val="restart"/>
            <w:tcBorders>
              <w:top w:val="single" w:sz="4" w:space="0" w:color="auto"/>
              <w:left w:val="nil"/>
              <w:right w:val="nil"/>
            </w:tcBorders>
            <w:shd w:val="clear" w:color="auto" w:fill="006DA7"/>
            <w:noWrap/>
            <w:vAlign w:val="bottom"/>
            <w:hideMark/>
          </w:tcPr>
          <w:p w14:paraId="59959572" w14:textId="21A729D6" w:rsidR="00B33D54" w:rsidRPr="00B33D54" w:rsidRDefault="00B33D54" w:rsidP="00B33D54">
            <w:pPr>
              <w:spacing w:before="0" w:after="0" w:line="240" w:lineRule="auto"/>
              <w:rPr>
                <w:rFonts w:ascii="Calibri" w:eastAsia="Times New Roman" w:hAnsi="Calibri" w:cs="Calibri"/>
                <w:b/>
                <w:color w:val="FFFFFF" w:themeColor="background1"/>
                <w:szCs w:val="22"/>
                <w:lang w:eastAsia="en-AU"/>
              </w:rPr>
            </w:pPr>
          </w:p>
        </w:tc>
        <w:tc>
          <w:tcPr>
            <w:tcW w:w="4826" w:type="dxa"/>
            <w:gridSpan w:val="5"/>
            <w:tcBorders>
              <w:top w:val="single" w:sz="4" w:space="0" w:color="auto"/>
              <w:left w:val="nil"/>
              <w:bottom w:val="single" w:sz="4" w:space="0" w:color="auto"/>
              <w:right w:val="nil"/>
            </w:tcBorders>
            <w:shd w:val="clear" w:color="auto" w:fill="006DA7"/>
            <w:noWrap/>
            <w:vAlign w:val="bottom"/>
            <w:hideMark/>
          </w:tcPr>
          <w:p w14:paraId="5A931E0A" w14:textId="77777777" w:rsidR="00B33D54" w:rsidRPr="00B33D54" w:rsidRDefault="00B33D54" w:rsidP="00A61F03">
            <w:pPr>
              <w:spacing w:before="0"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Prescribing clinician (proportion)</w:t>
            </w:r>
          </w:p>
        </w:tc>
      </w:tr>
      <w:tr w:rsidR="00B33D54" w:rsidRPr="00A37CBC" w14:paraId="65E2A1A1" w14:textId="77777777" w:rsidTr="00B33D54">
        <w:trPr>
          <w:trHeight w:val="600"/>
          <w:tblHeader/>
        </w:trPr>
        <w:tc>
          <w:tcPr>
            <w:tcW w:w="2040" w:type="dxa"/>
            <w:vMerge/>
            <w:tcBorders>
              <w:top w:val="single" w:sz="4" w:space="0" w:color="auto"/>
              <w:left w:val="nil"/>
              <w:bottom w:val="single" w:sz="4" w:space="0" w:color="000000"/>
              <w:right w:val="nil"/>
            </w:tcBorders>
            <w:shd w:val="clear" w:color="auto" w:fill="006DA7"/>
            <w:vAlign w:val="center"/>
            <w:hideMark/>
          </w:tcPr>
          <w:p w14:paraId="2E6768CB" w14:textId="77777777" w:rsidR="00B33D54" w:rsidRPr="00B33D54" w:rsidRDefault="00B33D54" w:rsidP="00A61F03">
            <w:pPr>
              <w:spacing w:before="0" w:after="0" w:line="240" w:lineRule="auto"/>
              <w:rPr>
                <w:rFonts w:ascii="Calibri" w:eastAsia="Times New Roman" w:hAnsi="Calibri" w:cs="Calibri"/>
                <w:b/>
                <w:color w:val="FFFFFF" w:themeColor="background1"/>
                <w:szCs w:val="22"/>
                <w:lang w:eastAsia="en-AU"/>
              </w:rPr>
            </w:pPr>
          </w:p>
        </w:tc>
        <w:tc>
          <w:tcPr>
            <w:tcW w:w="1080" w:type="dxa"/>
            <w:vMerge/>
            <w:tcBorders>
              <w:left w:val="nil"/>
              <w:bottom w:val="single" w:sz="4" w:space="0" w:color="auto"/>
              <w:right w:val="nil"/>
            </w:tcBorders>
            <w:shd w:val="clear" w:color="auto" w:fill="006DA7"/>
            <w:noWrap/>
            <w:vAlign w:val="bottom"/>
            <w:hideMark/>
          </w:tcPr>
          <w:p w14:paraId="502BFA2E" w14:textId="623C5637" w:rsidR="00B33D54" w:rsidRPr="00B33D54" w:rsidRDefault="00B33D54" w:rsidP="00A61F03">
            <w:pPr>
              <w:spacing w:before="0" w:after="0" w:line="240" w:lineRule="auto"/>
              <w:jc w:val="right"/>
              <w:rPr>
                <w:rFonts w:ascii="Calibri" w:eastAsia="Times New Roman" w:hAnsi="Calibri" w:cs="Calibri"/>
                <w:b/>
                <w:color w:val="FFFFFF" w:themeColor="background1"/>
                <w:szCs w:val="22"/>
                <w:lang w:eastAsia="en-AU"/>
              </w:rPr>
            </w:pPr>
          </w:p>
        </w:tc>
        <w:tc>
          <w:tcPr>
            <w:tcW w:w="266" w:type="dxa"/>
            <w:vMerge/>
            <w:tcBorders>
              <w:left w:val="nil"/>
              <w:bottom w:val="single" w:sz="4" w:space="0" w:color="auto"/>
              <w:right w:val="nil"/>
            </w:tcBorders>
            <w:shd w:val="clear" w:color="auto" w:fill="006DA7"/>
            <w:noWrap/>
            <w:vAlign w:val="bottom"/>
            <w:hideMark/>
          </w:tcPr>
          <w:p w14:paraId="422986A9" w14:textId="58E84555" w:rsidR="00B33D54" w:rsidRPr="00B33D54" w:rsidRDefault="00B33D54" w:rsidP="00A61F03">
            <w:pPr>
              <w:spacing w:before="0" w:after="0" w:line="240" w:lineRule="auto"/>
              <w:jc w:val="right"/>
              <w:rPr>
                <w:rFonts w:ascii="Calibri" w:eastAsia="Times New Roman" w:hAnsi="Calibri" w:cs="Calibri"/>
                <w:b/>
                <w:color w:val="FFFFFF" w:themeColor="background1"/>
                <w:szCs w:val="22"/>
                <w:lang w:eastAsia="en-AU"/>
              </w:rPr>
            </w:pPr>
          </w:p>
        </w:tc>
        <w:tc>
          <w:tcPr>
            <w:tcW w:w="901" w:type="dxa"/>
            <w:tcBorders>
              <w:top w:val="nil"/>
              <w:left w:val="nil"/>
              <w:bottom w:val="single" w:sz="4" w:space="0" w:color="auto"/>
              <w:right w:val="nil"/>
            </w:tcBorders>
            <w:shd w:val="clear" w:color="auto" w:fill="006DA7"/>
            <w:vAlign w:val="bottom"/>
            <w:hideMark/>
          </w:tcPr>
          <w:p w14:paraId="4E1FD3F7" w14:textId="77777777" w:rsidR="00B33D54" w:rsidRPr="00B33D54" w:rsidRDefault="00B33D54" w:rsidP="00A61F03">
            <w:pPr>
              <w:spacing w:before="0"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Paedia-trician</w:t>
            </w:r>
          </w:p>
        </w:tc>
        <w:tc>
          <w:tcPr>
            <w:tcW w:w="962" w:type="dxa"/>
            <w:tcBorders>
              <w:top w:val="nil"/>
              <w:left w:val="nil"/>
              <w:bottom w:val="single" w:sz="4" w:space="0" w:color="auto"/>
              <w:right w:val="nil"/>
            </w:tcBorders>
            <w:shd w:val="clear" w:color="auto" w:fill="006DA7"/>
            <w:vAlign w:val="bottom"/>
            <w:hideMark/>
          </w:tcPr>
          <w:p w14:paraId="36138B04" w14:textId="77777777" w:rsidR="00B33D54" w:rsidRPr="00B33D54" w:rsidRDefault="00B33D54" w:rsidP="00A61F03">
            <w:pPr>
              <w:spacing w:before="0"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Psy-chiatrist</w:t>
            </w:r>
          </w:p>
        </w:tc>
        <w:tc>
          <w:tcPr>
            <w:tcW w:w="1299" w:type="dxa"/>
            <w:tcBorders>
              <w:top w:val="nil"/>
              <w:left w:val="nil"/>
              <w:bottom w:val="single" w:sz="4" w:space="0" w:color="auto"/>
              <w:right w:val="nil"/>
            </w:tcBorders>
            <w:shd w:val="clear" w:color="auto" w:fill="006DA7"/>
            <w:vAlign w:val="bottom"/>
            <w:hideMark/>
          </w:tcPr>
          <w:p w14:paraId="26C8DB97" w14:textId="77777777" w:rsidR="00B33D54" w:rsidRPr="00B33D54" w:rsidRDefault="00B33D54" w:rsidP="00A61F03">
            <w:pPr>
              <w:spacing w:before="0"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General practitioner</w:t>
            </w:r>
          </w:p>
        </w:tc>
        <w:tc>
          <w:tcPr>
            <w:tcW w:w="749" w:type="dxa"/>
            <w:tcBorders>
              <w:top w:val="nil"/>
              <w:left w:val="nil"/>
              <w:bottom w:val="single" w:sz="4" w:space="0" w:color="auto"/>
              <w:right w:val="nil"/>
            </w:tcBorders>
            <w:shd w:val="clear" w:color="auto" w:fill="006DA7"/>
            <w:vAlign w:val="bottom"/>
            <w:hideMark/>
          </w:tcPr>
          <w:p w14:paraId="029D001C" w14:textId="77777777" w:rsidR="00B33D54" w:rsidRPr="00B33D54" w:rsidRDefault="00B33D54" w:rsidP="00A61F03">
            <w:pPr>
              <w:spacing w:before="0"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Other</w:t>
            </w:r>
          </w:p>
        </w:tc>
        <w:tc>
          <w:tcPr>
            <w:tcW w:w="915" w:type="dxa"/>
            <w:tcBorders>
              <w:top w:val="nil"/>
              <w:left w:val="nil"/>
              <w:bottom w:val="single" w:sz="4" w:space="0" w:color="auto"/>
              <w:right w:val="nil"/>
            </w:tcBorders>
            <w:shd w:val="clear" w:color="auto" w:fill="006DA7"/>
            <w:vAlign w:val="bottom"/>
            <w:hideMark/>
          </w:tcPr>
          <w:p w14:paraId="5C19D3E3" w14:textId="77777777" w:rsidR="00B33D54" w:rsidRPr="00B33D54" w:rsidRDefault="00B33D54" w:rsidP="00A61F03">
            <w:pPr>
              <w:spacing w:before="0"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Missing</w:t>
            </w:r>
          </w:p>
        </w:tc>
      </w:tr>
      <w:tr w:rsidR="00DD1307" w:rsidRPr="00A37CBC" w14:paraId="29AD3B67" w14:textId="77777777" w:rsidTr="00B33D54">
        <w:trPr>
          <w:trHeight w:val="300"/>
        </w:trPr>
        <w:tc>
          <w:tcPr>
            <w:tcW w:w="2040" w:type="dxa"/>
            <w:tcBorders>
              <w:top w:val="nil"/>
              <w:left w:val="nil"/>
              <w:bottom w:val="nil"/>
              <w:right w:val="nil"/>
            </w:tcBorders>
            <w:shd w:val="clear" w:color="auto" w:fill="auto"/>
            <w:noWrap/>
            <w:vAlign w:val="bottom"/>
            <w:hideMark/>
          </w:tcPr>
          <w:p w14:paraId="425F7920"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Total</w:t>
            </w:r>
          </w:p>
        </w:tc>
        <w:tc>
          <w:tcPr>
            <w:tcW w:w="1080" w:type="dxa"/>
            <w:tcBorders>
              <w:top w:val="nil"/>
              <w:left w:val="nil"/>
              <w:bottom w:val="nil"/>
              <w:right w:val="nil"/>
            </w:tcBorders>
            <w:shd w:val="clear" w:color="auto" w:fill="auto"/>
            <w:noWrap/>
            <w:vAlign w:val="bottom"/>
            <w:hideMark/>
          </w:tcPr>
          <w:p w14:paraId="63B6A01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211 534</w:t>
            </w:r>
          </w:p>
        </w:tc>
        <w:tc>
          <w:tcPr>
            <w:tcW w:w="266" w:type="dxa"/>
            <w:tcBorders>
              <w:top w:val="nil"/>
              <w:left w:val="nil"/>
              <w:bottom w:val="nil"/>
              <w:right w:val="nil"/>
            </w:tcBorders>
            <w:shd w:val="clear" w:color="auto" w:fill="auto"/>
            <w:noWrap/>
            <w:vAlign w:val="bottom"/>
            <w:hideMark/>
          </w:tcPr>
          <w:p w14:paraId="70282F3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50A7B51B"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0.147</w:t>
            </w:r>
          </w:p>
        </w:tc>
        <w:tc>
          <w:tcPr>
            <w:tcW w:w="962" w:type="dxa"/>
            <w:tcBorders>
              <w:top w:val="nil"/>
              <w:left w:val="nil"/>
              <w:bottom w:val="nil"/>
              <w:right w:val="nil"/>
            </w:tcBorders>
            <w:shd w:val="clear" w:color="auto" w:fill="auto"/>
            <w:noWrap/>
            <w:vAlign w:val="bottom"/>
            <w:hideMark/>
          </w:tcPr>
          <w:p w14:paraId="4CDBB72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0.178</w:t>
            </w:r>
          </w:p>
        </w:tc>
        <w:tc>
          <w:tcPr>
            <w:tcW w:w="1299" w:type="dxa"/>
            <w:tcBorders>
              <w:top w:val="nil"/>
              <w:left w:val="nil"/>
              <w:bottom w:val="nil"/>
              <w:right w:val="nil"/>
            </w:tcBorders>
            <w:shd w:val="clear" w:color="auto" w:fill="auto"/>
            <w:noWrap/>
            <w:vAlign w:val="bottom"/>
            <w:hideMark/>
          </w:tcPr>
          <w:p w14:paraId="240D638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0.630</w:t>
            </w:r>
          </w:p>
        </w:tc>
        <w:tc>
          <w:tcPr>
            <w:tcW w:w="749" w:type="dxa"/>
            <w:tcBorders>
              <w:top w:val="nil"/>
              <w:left w:val="nil"/>
              <w:bottom w:val="nil"/>
              <w:right w:val="nil"/>
            </w:tcBorders>
            <w:shd w:val="clear" w:color="auto" w:fill="auto"/>
            <w:noWrap/>
            <w:vAlign w:val="bottom"/>
            <w:hideMark/>
          </w:tcPr>
          <w:p w14:paraId="30AFF32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0.029</w:t>
            </w:r>
          </w:p>
        </w:tc>
        <w:tc>
          <w:tcPr>
            <w:tcW w:w="915" w:type="dxa"/>
            <w:tcBorders>
              <w:top w:val="nil"/>
              <w:left w:val="nil"/>
              <w:bottom w:val="nil"/>
              <w:right w:val="nil"/>
            </w:tcBorders>
            <w:shd w:val="clear" w:color="auto" w:fill="auto"/>
            <w:noWrap/>
            <w:vAlign w:val="bottom"/>
            <w:hideMark/>
          </w:tcPr>
          <w:p w14:paraId="6910197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0.016</w:t>
            </w:r>
          </w:p>
        </w:tc>
      </w:tr>
      <w:tr w:rsidR="00B33D54" w:rsidRPr="00A37CBC" w14:paraId="0A387241"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4C8AF727" w14:textId="77777777" w:rsidR="00B33D54" w:rsidRPr="00A37CBC" w:rsidRDefault="00B33D54" w:rsidP="00B33D54">
            <w:pPr>
              <w:spacing w:before="0" w:after="0" w:line="240" w:lineRule="auto"/>
              <w:rPr>
                <w:rFonts w:ascii="Times New Roman" w:eastAsia="Times New Roman" w:hAnsi="Times New Roman"/>
                <w:sz w:val="20"/>
                <w:lang w:eastAsia="en-AU"/>
              </w:rPr>
            </w:pPr>
          </w:p>
        </w:tc>
      </w:tr>
      <w:tr w:rsidR="00B33D54" w:rsidRPr="00A37CBC" w14:paraId="47E628BC"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61C46F13" w14:textId="76FFD2D2" w:rsidR="00B33D54" w:rsidRPr="00B33D54" w:rsidRDefault="00B33D54" w:rsidP="00B33D54">
            <w:pPr>
              <w:spacing w:before="0" w:after="0" w:line="240" w:lineRule="auto"/>
              <w:rPr>
                <w:rFonts w:ascii="Times New Roman" w:eastAsia="Times New Roman" w:hAnsi="Times New Roman"/>
                <w:sz w:val="20"/>
                <w:lang w:eastAsia="en-AU"/>
              </w:rPr>
            </w:pPr>
            <w:r w:rsidRPr="00B33D54">
              <w:rPr>
                <w:rFonts w:ascii="Calibri" w:eastAsia="Times New Roman" w:hAnsi="Calibri" w:cs="Calibri"/>
                <w:color w:val="000000"/>
                <w:szCs w:val="22"/>
                <w:lang w:eastAsia="en-AU"/>
              </w:rPr>
              <w:t>Calendar year</w:t>
            </w:r>
          </w:p>
        </w:tc>
      </w:tr>
      <w:tr w:rsidR="00DD1307" w:rsidRPr="00A37CBC" w14:paraId="22780002" w14:textId="77777777" w:rsidTr="00B33D54">
        <w:trPr>
          <w:trHeight w:val="300"/>
        </w:trPr>
        <w:tc>
          <w:tcPr>
            <w:tcW w:w="2040" w:type="dxa"/>
            <w:tcBorders>
              <w:top w:val="nil"/>
              <w:left w:val="nil"/>
              <w:bottom w:val="nil"/>
              <w:right w:val="nil"/>
            </w:tcBorders>
            <w:shd w:val="clear" w:color="auto" w:fill="auto"/>
            <w:noWrap/>
            <w:vAlign w:val="bottom"/>
            <w:hideMark/>
          </w:tcPr>
          <w:p w14:paraId="63B57F4C"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2015</w:t>
            </w:r>
          </w:p>
        </w:tc>
        <w:tc>
          <w:tcPr>
            <w:tcW w:w="1080" w:type="dxa"/>
            <w:tcBorders>
              <w:top w:val="nil"/>
              <w:left w:val="nil"/>
              <w:bottom w:val="nil"/>
              <w:right w:val="nil"/>
            </w:tcBorders>
            <w:shd w:val="clear" w:color="auto" w:fill="auto"/>
            <w:noWrap/>
            <w:vAlign w:val="bottom"/>
            <w:hideMark/>
          </w:tcPr>
          <w:p w14:paraId="44E17FF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37 711</w:t>
            </w:r>
          </w:p>
        </w:tc>
        <w:tc>
          <w:tcPr>
            <w:tcW w:w="266" w:type="dxa"/>
            <w:tcBorders>
              <w:top w:val="nil"/>
              <w:left w:val="nil"/>
              <w:bottom w:val="nil"/>
              <w:right w:val="nil"/>
            </w:tcBorders>
            <w:shd w:val="clear" w:color="auto" w:fill="auto"/>
            <w:noWrap/>
            <w:vAlign w:val="bottom"/>
            <w:hideMark/>
          </w:tcPr>
          <w:p w14:paraId="19F8170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5D97522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0.156</w:t>
            </w:r>
          </w:p>
        </w:tc>
        <w:tc>
          <w:tcPr>
            <w:tcW w:w="962" w:type="dxa"/>
            <w:tcBorders>
              <w:top w:val="nil"/>
              <w:left w:val="nil"/>
              <w:bottom w:val="nil"/>
              <w:right w:val="nil"/>
            </w:tcBorders>
            <w:shd w:val="clear" w:color="auto" w:fill="auto"/>
            <w:noWrap/>
            <w:vAlign w:val="bottom"/>
            <w:hideMark/>
          </w:tcPr>
          <w:p w14:paraId="1136DB3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0.145</w:t>
            </w:r>
          </w:p>
        </w:tc>
        <w:tc>
          <w:tcPr>
            <w:tcW w:w="1299" w:type="dxa"/>
            <w:tcBorders>
              <w:top w:val="nil"/>
              <w:left w:val="nil"/>
              <w:bottom w:val="nil"/>
              <w:right w:val="nil"/>
            </w:tcBorders>
            <w:shd w:val="clear" w:color="auto" w:fill="auto"/>
            <w:noWrap/>
            <w:vAlign w:val="bottom"/>
            <w:hideMark/>
          </w:tcPr>
          <w:p w14:paraId="00847FF0"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0.664</w:t>
            </w:r>
          </w:p>
        </w:tc>
        <w:tc>
          <w:tcPr>
            <w:tcW w:w="749" w:type="dxa"/>
            <w:tcBorders>
              <w:top w:val="nil"/>
              <w:left w:val="nil"/>
              <w:bottom w:val="nil"/>
              <w:right w:val="nil"/>
            </w:tcBorders>
            <w:shd w:val="clear" w:color="auto" w:fill="auto"/>
            <w:noWrap/>
            <w:vAlign w:val="bottom"/>
            <w:hideMark/>
          </w:tcPr>
          <w:p w14:paraId="762CBB14"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0.031</w:t>
            </w:r>
          </w:p>
        </w:tc>
        <w:tc>
          <w:tcPr>
            <w:tcW w:w="915" w:type="dxa"/>
            <w:tcBorders>
              <w:top w:val="nil"/>
              <w:left w:val="nil"/>
              <w:bottom w:val="nil"/>
              <w:right w:val="nil"/>
            </w:tcBorders>
            <w:shd w:val="clear" w:color="auto" w:fill="auto"/>
            <w:noWrap/>
            <w:vAlign w:val="bottom"/>
            <w:hideMark/>
          </w:tcPr>
          <w:p w14:paraId="2D11E48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0.004</w:t>
            </w:r>
          </w:p>
        </w:tc>
      </w:tr>
      <w:tr w:rsidR="00DD1307" w:rsidRPr="00A37CBC" w14:paraId="6D3A859B" w14:textId="77777777" w:rsidTr="00B33D54">
        <w:trPr>
          <w:trHeight w:val="300"/>
        </w:trPr>
        <w:tc>
          <w:tcPr>
            <w:tcW w:w="2040" w:type="dxa"/>
            <w:tcBorders>
              <w:top w:val="nil"/>
              <w:left w:val="nil"/>
              <w:bottom w:val="nil"/>
              <w:right w:val="nil"/>
            </w:tcBorders>
            <w:shd w:val="clear" w:color="auto" w:fill="auto"/>
            <w:noWrap/>
            <w:vAlign w:val="bottom"/>
            <w:hideMark/>
          </w:tcPr>
          <w:p w14:paraId="70A509B7"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2016</w:t>
            </w:r>
          </w:p>
        </w:tc>
        <w:tc>
          <w:tcPr>
            <w:tcW w:w="1080" w:type="dxa"/>
            <w:tcBorders>
              <w:top w:val="nil"/>
              <w:left w:val="nil"/>
              <w:bottom w:val="nil"/>
              <w:right w:val="nil"/>
            </w:tcBorders>
            <w:shd w:val="clear" w:color="auto" w:fill="auto"/>
            <w:noWrap/>
            <w:vAlign w:val="bottom"/>
            <w:hideMark/>
          </w:tcPr>
          <w:p w14:paraId="0672AC2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38 859</w:t>
            </w:r>
          </w:p>
        </w:tc>
        <w:tc>
          <w:tcPr>
            <w:tcW w:w="266" w:type="dxa"/>
            <w:tcBorders>
              <w:top w:val="nil"/>
              <w:left w:val="nil"/>
              <w:bottom w:val="nil"/>
              <w:right w:val="nil"/>
            </w:tcBorders>
            <w:shd w:val="clear" w:color="auto" w:fill="auto"/>
            <w:noWrap/>
            <w:vAlign w:val="bottom"/>
            <w:hideMark/>
          </w:tcPr>
          <w:p w14:paraId="7842A1E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2F49863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0.153</w:t>
            </w:r>
          </w:p>
        </w:tc>
        <w:tc>
          <w:tcPr>
            <w:tcW w:w="962" w:type="dxa"/>
            <w:tcBorders>
              <w:top w:val="nil"/>
              <w:left w:val="nil"/>
              <w:bottom w:val="nil"/>
              <w:right w:val="nil"/>
            </w:tcBorders>
            <w:shd w:val="clear" w:color="auto" w:fill="auto"/>
            <w:noWrap/>
            <w:vAlign w:val="bottom"/>
            <w:hideMark/>
          </w:tcPr>
          <w:p w14:paraId="32AFA6E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0.161</w:t>
            </w:r>
          </w:p>
        </w:tc>
        <w:tc>
          <w:tcPr>
            <w:tcW w:w="1299" w:type="dxa"/>
            <w:tcBorders>
              <w:top w:val="nil"/>
              <w:left w:val="nil"/>
              <w:bottom w:val="nil"/>
              <w:right w:val="nil"/>
            </w:tcBorders>
            <w:shd w:val="clear" w:color="auto" w:fill="auto"/>
            <w:noWrap/>
            <w:vAlign w:val="bottom"/>
            <w:hideMark/>
          </w:tcPr>
          <w:p w14:paraId="17A2D67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0.653</w:t>
            </w:r>
          </w:p>
        </w:tc>
        <w:tc>
          <w:tcPr>
            <w:tcW w:w="749" w:type="dxa"/>
            <w:tcBorders>
              <w:top w:val="nil"/>
              <w:left w:val="nil"/>
              <w:bottom w:val="nil"/>
              <w:right w:val="nil"/>
            </w:tcBorders>
            <w:shd w:val="clear" w:color="auto" w:fill="auto"/>
            <w:noWrap/>
            <w:vAlign w:val="bottom"/>
            <w:hideMark/>
          </w:tcPr>
          <w:p w14:paraId="5D0A784F"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0.030</w:t>
            </w:r>
          </w:p>
        </w:tc>
        <w:tc>
          <w:tcPr>
            <w:tcW w:w="915" w:type="dxa"/>
            <w:tcBorders>
              <w:top w:val="nil"/>
              <w:left w:val="nil"/>
              <w:bottom w:val="nil"/>
              <w:right w:val="nil"/>
            </w:tcBorders>
            <w:shd w:val="clear" w:color="auto" w:fill="auto"/>
            <w:noWrap/>
            <w:vAlign w:val="bottom"/>
            <w:hideMark/>
          </w:tcPr>
          <w:p w14:paraId="75B649CF"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0.004</w:t>
            </w:r>
          </w:p>
        </w:tc>
      </w:tr>
      <w:tr w:rsidR="00DD1307" w:rsidRPr="00A37CBC" w14:paraId="5C1F254A" w14:textId="77777777" w:rsidTr="00B33D54">
        <w:trPr>
          <w:trHeight w:val="300"/>
        </w:trPr>
        <w:tc>
          <w:tcPr>
            <w:tcW w:w="2040" w:type="dxa"/>
            <w:tcBorders>
              <w:top w:val="nil"/>
              <w:left w:val="nil"/>
              <w:bottom w:val="nil"/>
              <w:right w:val="nil"/>
            </w:tcBorders>
            <w:shd w:val="clear" w:color="auto" w:fill="auto"/>
            <w:noWrap/>
            <w:vAlign w:val="bottom"/>
            <w:hideMark/>
          </w:tcPr>
          <w:p w14:paraId="79246B70"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2017</w:t>
            </w:r>
          </w:p>
        </w:tc>
        <w:tc>
          <w:tcPr>
            <w:tcW w:w="1080" w:type="dxa"/>
            <w:tcBorders>
              <w:top w:val="nil"/>
              <w:left w:val="nil"/>
              <w:bottom w:val="nil"/>
              <w:right w:val="nil"/>
            </w:tcBorders>
            <w:shd w:val="clear" w:color="auto" w:fill="auto"/>
            <w:noWrap/>
            <w:vAlign w:val="bottom"/>
            <w:hideMark/>
          </w:tcPr>
          <w:p w14:paraId="053AA9B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42 398</w:t>
            </w:r>
          </w:p>
        </w:tc>
        <w:tc>
          <w:tcPr>
            <w:tcW w:w="266" w:type="dxa"/>
            <w:tcBorders>
              <w:top w:val="nil"/>
              <w:left w:val="nil"/>
              <w:bottom w:val="nil"/>
              <w:right w:val="nil"/>
            </w:tcBorders>
            <w:shd w:val="clear" w:color="auto" w:fill="auto"/>
            <w:noWrap/>
            <w:vAlign w:val="bottom"/>
            <w:hideMark/>
          </w:tcPr>
          <w:p w14:paraId="368CA47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4C8E802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0.149</w:t>
            </w:r>
          </w:p>
        </w:tc>
        <w:tc>
          <w:tcPr>
            <w:tcW w:w="962" w:type="dxa"/>
            <w:tcBorders>
              <w:top w:val="nil"/>
              <w:left w:val="nil"/>
              <w:bottom w:val="nil"/>
              <w:right w:val="nil"/>
            </w:tcBorders>
            <w:shd w:val="clear" w:color="auto" w:fill="auto"/>
            <w:noWrap/>
            <w:vAlign w:val="bottom"/>
            <w:hideMark/>
          </w:tcPr>
          <w:p w14:paraId="11D691D0"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0.179</w:t>
            </w:r>
          </w:p>
        </w:tc>
        <w:tc>
          <w:tcPr>
            <w:tcW w:w="1299" w:type="dxa"/>
            <w:tcBorders>
              <w:top w:val="nil"/>
              <w:left w:val="nil"/>
              <w:bottom w:val="nil"/>
              <w:right w:val="nil"/>
            </w:tcBorders>
            <w:shd w:val="clear" w:color="auto" w:fill="auto"/>
            <w:noWrap/>
            <w:vAlign w:val="bottom"/>
            <w:hideMark/>
          </w:tcPr>
          <w:p w14:paraId="6FA49CE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0.635</w:t>
            </w:r>
          </w:p>
        </w:tc>
        <w:tc>
          <w:tcPr>
            <w:tcW w:w="749" w:type="dxa"/>
            <w:tcBorders>
              <w:top w:val="nil"/>
              <w:left w:val="nil"/>
              <w:bottom w:val="nil"/>
              <w:right w:val="nil"/>
            </w:tcBorders>
            <w:shd w:val="clear" w:color="auto" w:fill="auto"/>
            <w:noWrap/>
            <w:vAlign w:val="bottom"/>
            <w:hideMark/>
          </w:tcPr>
          <w:p w14:paraId="1923F03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0.028</w:t>
            </w:r>
          </w:p>
        </w:tc>
        <w:tc>
          <w:tcPr>
            <w:tcW w:w="915" w:type="dxa"/>
            <w:tcBorders>
              <w:top w:val="nil"/>
              <w:left w:val="nil"/>
              <w:bottom w:val="nil"/>
              <w:right w:val="nil"/>
            </w:tcBorders>
            <w:shd w:val="clear" w:color="auto" w:fill="auto"/>
            <w:noWrap/>
            <w:vAlign w:val="bottom"/>
            <w:hideMark/>
          </w:tcPr>
          <w:p w14:paraId="12C2F434"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0.008</w:t>
            </w:r>
          </w:p>
        </w:tc>
      </w:tr>
      <w:tr w:rsidR="00DD1307" w:rsidRPr="00A37CBC" w14:paraId="13265606" w14:textId="77777777" w:rsidTr="00B33D54">
        <w:trPr>
          <w:trHeight w:val="300"/>
        </w:trPr>
        <w:tc>
          <w:tcPr>
            <w:tcW w:w="2040" w:type="dxa"/>
            <w:tcBorders>
              <w:top w:val="nil"/>
              <w:left w:val="nil"/>
              <w:bottom w:val="nil"/>
              <w:right w:val="nil"/>
            </w:tcBorders>
            <w:shd w:val="clear" w:color="auto" w:fill="auto"/>
            <w:noWrap/>
            <w:vAlign w:val="bottom"/>
            <w:hideMark/>
          </w:tcPr>
          <w:p w14:paraId="31E65CC7"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2018</w:t>
            </w:r>
          </w:p>
        </w:tc>
        <w:tc>
          <w:tcPr>
            <w:tcW w:w="1080" w:type="dxa"/>
            <w:tcBorders>
              <w:top w:val="nil"/>
              <w:left w:val="nil"/>
              <w:bottom w:val="nil"/>
              <w:right w:val="nil"/>
            </w:tcBorders>
            <w:shd w:val="clear" w:color="auto" w:fill="auto"/>
            <w:noWrap/>
            <w:vAlign w:val="bottom"/>
            <w:hideMark/>
          </w:tcPr>
          <w:p w14:paraId="6D82106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45 035</w:t>
            </w:r>
          </w:p>
        </w:tc>
        <w:tc>
          <w:tcPr>
            <w:tcW w:w="266" w:type="dxa"/>
            <w:tcBorders>
              <w:top w:val="nil"/>
              <w:left w:val="nil"/>
              <w:bottom w:val="nil"/>
              <w:right w:val="nil"/>
            </w:tcBorders>
            <w:shd w:val="clear" w:color="auto" w:fill="auto"/>
            <w:noWrap/>
            <w:vAlign w:val="bottom"/>
            <w:hideMark/>
          </w:tcPr>
          <w:p w14:paraId="31BC8F5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29D3FEE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0.149</w:t>
            </w:r>
          </w:p>
        </w:tc>
        <w:tc>
          <w:tcPr>
            <w:tcW w:w="962" w:type="dxa"/>
            <w:tcBorders>
              <w:top w:val="nil"/>
              <w:left w:val="nil"/>
              <w:bottom w:val="nil"/>
              <w:right w:val="nil"/>
            </w:tcBorders>
            <w:shd w:val="clear" w:color="auto" w:fill="auto"/>
            <w:noWrap/>
            <w:vAlign w:val="bottom"/>
            <w:hideMark/>
          </w:tcPr>
          <w:p w14:paraId="44E6DF40"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0.195</w:t>
            </w:r>
          </w:p>
        </w:tc>
        <w:tc>
          <w:tcPr>
            <w:tcW w:w="1299" w:type="dxa"/>
            <w:tcBorders>
              <w:top w:val="nil"/>
              <w:left w:val="nil"/>
              <w:bottom w:val="nil"/>
              <w:right w:val="nil"/>
            </w:tcBorders>
            <w:shd w:val="clear" w:color="auto" w:fill="auto"/>
            <w:noWrap/>
            <w:vAlign w:val="bottom"/>
            <w:hideMark/>
          </w:tcPr>
          <w:p w14:paraId="680F735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0.620</w:t>
            </w:r>
          </w:p>
        </w:tc>
        <w:tc>
          <w:tcPr>
            <w:tcW w:w="749" w:type="dxa"/>
            <w:tcBorders>
              <w:top w:val="nil"/>
              <w:left w:val="nil"/>
              <w:bottom w:val="nil"/>
              <w:right w:val="nil"/>
            </w:tcBorders>
            <w:shd w:val="clear" w:color="auto" w:fill="auto"/>
            <w:noWrap/>
            <w:vAlign w:val="bottom"/>
            <w:hideMark/>
          </w:tcPr>
          <w:p w14:paraId="33C8A95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0.028</w:t>
            </w:r>
          </w:p>
        </w:tc>
        <w:tc>
          <w:tcPr>
            <w:tcW w:w="915" w:type="dxa"/>
            <w:tcBorders>
              <w:top w:val="nil"/>
              <w:left w:val="nil"/>
              <w:bottom w:val="nil"/>
              <w:right w:val="nil"/>
            </w:tcBorders>
            <w:shd w:val="clear" w:color="auto" w:fill="auto"/>
            <w:noWrap/>
            <w:vAlign w:val="bottom"/>
            <w:hideMark/>
          </w:tcPr>
          <w:p w14:paraId="34148B0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0.009</w:t>
            </w:r>
          </w:p>
        </w:tc>
      </w:tr>
      <w:tr w:rsidR="00DD1307" w:rsidRPr="00A37CBC" w14:paraId="22C22B62" w14:textId="77777777" w:rsidTr="00B33D54">
        <w:trPr>
          <w:trHeight w:val="300"/>
        </w:trPr>
        <w:tc>
          <w:tcPr>
            <w:tcW w:w="2040" w:type="dxa"/>
            <w:tcBorders>
              <w:top w:val="nil"/>
              <w:left w:val="nil"/>
              <w:bottom w:val="nil"/>
              <w:right w:val="nil"/>
            </w:tcBorders>
            <w:shd w:val="clear" w:color="auto" w:fill="auto"/>
            <w:noWrap/>
            <w:vAlign w:val="bottom"/>
            <w:hideMark/>
          </w:tcPr>
          <w:p w14:paraId="40BEECC9"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2019</w:t>
            </w:r>
          </w:p>
        </w:tc>
        <w:tc>
          <w:tcPr>
            <w:tcW w:w="1080" w:type="dxa"/>
            <w:tcBorders>
              <w:top w:val="nil"/>
              <w:left w:val="nil"/>
              <w:bottom w:val="nil"/>
              <w:right w:val="nil"/>
            </w:tcBorders>
            <w:shd w:val="clear" w:color="auto" w:fill="auto"/>
            <w:noWrap/>
            <w:vAlign w:val="bottom"/>
            <w:hideMark/>
          </w:tcPr>
          <w:p w14:paraId="778EB53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47 531</w:t>
            </w:r>
          </w:p>
        </w:tc>
        <w:tc>
          <w:tcPr>
            <w:tcW w:w="266" w:type="dxa"/>
            <w:tcBorders>
              <w:top w:val="nil"/>
              <w:left w:val="nil"/>
              <w:bottom w:val="nil"/>
              <w:right w:val="nil"/>
            </w:tcBorders>
            <w:shd w:val="clear" w:color="auto" w:fill="auto"/>
            <w:noWrap/>
            <w:vAlign w:val="bottom"/>
            <w:hideMark/>
          </w:tcPr>
          <w:p w14:paraId="38CB8CF3"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73EB0B2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0.132</w:t>
            </w:r>
          </w:p>
        </w:tc>
        <w:tc>
          <w:tcPr>
            <w:tcW w:w="962" w:type="dxa"/>
            <w:tcBorders>
              <w:top w:val="nil"/>
              <w:left w:val="nil"/>
              <w:bottom w:val="nil"/>
              <w:right w:val="nil"/>
            </w:tcBorders>
            <w:shd w:val="clear" w:color="auto" w:fill="auto"/>
            <w:noWrap/>
            <w:vAlign w:val="bottom"/>
            <w:hideMark/>
          </w:tcPr>
          <w:p w14:paraId="1B1714C9"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0.201</w:t>
            </w:r>
          </w:p>
        </w:tc>
        <w:tc>
          <w:tcPr>
            <w:tcW w:w="1299" w:type="dxa"/>
            <w:tcBorders>
              <w:top w:val="nil"/>
              <w:left w:val="nil"/>
              <w:bottom w:val="nil"/>
              <w:right w:val="nil"/>
            </w:tcBorders>
            <w:shd w:val="clear" w:color="auto" w:fill="auto"/>
            <w:noWrap/>
            <w:vAlign w:val="bottom"/>
            <w:hideMark/>
          </w:tcPr>
          <w:p w14:paraId="5F85193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0.591</w:t>
            </w:r>
          </w:p>
        </w:tc>
        <w:tc>
          <w:tcPr>
            <w:tcW w:w="749" w:type="dxa"/>
            <w:tcBorders>
              <w:top w:val="nil"/>
              <w:left w:val="nil"/>
              <w:bottom w:val="nil"/>
              <w:right w:val="nil"/>
            </w:tcBorders>
            <w:shd w:val="clear" w:color="auto" w:fill="auto"/>
            <w:noWrap/>
            <w:vAlign w:val="bottom"/>
            <w:hideMark/>
          </w:tcPr>
          <w:p w14:paraId="1024532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0.028</w:t>
            </w:r>
          </w:p>
        </w:tc>
        <w:tc>
          <w:tcPr>
            <w:tcW w:w="915" w:type="dxa"/>
            <w:tcBorders>
              <w:top w:val="nil"/>
              <w:left w:val="nil"/>
              <w:bottom w:val="nil"/>
              <w:right w:val="nil"/>
            </w:tcBorders>
            <w:shd w:val="clear" w:color="auto" w:fill="auto"/>
            <w:noWrap/>
            <w:vAlign w:val="bottom"/>
            <w:hideMark/>
          </w:tcPr>
          <w:p w14:paraId="5C96DDA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0.049</w:t>
            </w:r>
          </w:p>
        </w:tc>
      </w:tr>
      <w:tr w:rsidR="00B33D54" w:rsidRPr="00A37CBC" w14:paraId="28ABA27A"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2A76BFDF" w14:textId="77777777" w:rsidR="00B33D54" w:rsidRPr="00A37CBC" w:rsidRDefault="00B33D54" w:rsidP="00B33D54">
            <w:pPr>
              <w:spacing w:before="0" w:after="0" w:line="240" w:lineRule="auto"/>
              <w:rPr>
                <w:rFonts w:ascii="Times New Roman" w:eastAsia="Times New Roman" w:hAnsi="Times New Roman"/>
                <w:sz w:val="20"/>
                <w:lang w:eastAsia="en-AU"/>
              </w:rPr>
            </w:pPr>
          </w:p>
        </w:tc>
      </w:tr>
      <w:tr w:rsidR="00B33D54" w:rsidRPr="00A37CBC" w14:paraId="0E9A3AD6"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1353BD84" w14:textId="3BEE67C6" w:rsidR="00B33D54" w:rsidRPr="00B33D54" w:rsidRDefault="00B33D54" w:rsidP="00B33D54">
            <w:pPr>
              <w:spacing w:before="0" w:after="0" w:line="240" w:lineRule="auto"/>
              <w:rPr>
                <w:rFonts w:ascii="Times New Roman" w:eastAsia="Times New Roman" w:hAnsi="Times New Roman"/>
                <w:sz w:val="20"/>
                <w:lang w:eastAsia="en-AU"/>
              </w:rPr>
            </w:pPr>
            <w:r w:rsidRPr="00B33D54">
              <w:rPr>
                <w:rFonts w:ascii="Calibri" w:eastAsia="Times New Roman" w:hAnsi="Calibri" w:cs="Calibri"/>
                <w:color w:val="000000"/>
                <w:szCs w:val="22"/>
                <w:lang w:eastAsia="en-AU"/>
              </w:rPr>
              <w:t>Age in years</w:t>
            </w:r>
          </w:p>
        </w:tc>
      </w:tr>
      <w:tr w:rsidR="00DD1307" w:rsidRPr="00A37CBC" w14:paraId="17F5408A" w14:textId="77777777" w:rsidTr="00B33D54">
        <w:trPr>
          <w:trHeight w:val="300"/>
        </w:trPr>
        <w:tc>
          <w:tcPr>
            <w:tcW w:w="2040" w:type="dxa"/>
            <w:tcBorders>
              <w:top w:val="nil"/>
              <w:left w:val="nil"/>
              <w:bottom w:val="nil"/>
              <w:right w:val="nil"/>
            </w:tcBorders>
            <w:shd w:val="clear" w:color="auto" w:fill="auto"/>
            <w:noWrap/>
            <w:vAlign w:val="bottom"/>
            <w:hideMark/>
          </w:tcPr>
          <w:p w14:paraId="4DCFDAF7"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 xml:space="preserve">5-11 </w:t>
            </w:r>
          </w:p>
        </w:tc>
        <w:tc>
          <w:tcPr>
            <w:tcW w:w="1080" w:type="dxa"/>
            <w:tcBorders>
              <w:top w:val="nil"/>
              <w:left w:val="nil"/>
              <w:bottom w:val="nil"/>
              <w:right w:val="nil"/>
            </w:tcBorders>
            <w:shd w:val="clear" w:color="auto" w:fill="auto"/>
            <w:noWrap/>
            <w:vAlign w:val="bottom"/>
            <w:hideMark/>
          </w:tcPr>
          <w:p w14:paraId="3A100A8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39 948</w:t>
            </w:r>
          </w:p>
        </w:tc>
        <w:tc>
          <w:tcPr>
            <w:tcW w:w="266" w:type="dxa"/>
            <w:tcBorders>
              <w:top w:val="nil"/>
              <w:left w:val="nil"/>
              <w:bottom w:val="nil"/>
              <w:right w:val="nil"/>
            </w:tcBorders>
            <w:shd w:val="clear" w:color="auto" w:fill="auto"/>
            <w:noWrap/>
            <w:vAlign w:val="bottom"/>
            <w:hideMark/>
          </w:tcPr>
          <w:p w14:paraId="14718E6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636FD9D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0.142</w:t>
            </w:r>
          </w:p>
        </w:tc>
        <w:tc>
          <w:tcPr>
            <w:tcW w:w="962" w:type="dxa"/>
            <w:tcBorders>
              <w:top w:val="nil"/>
              <w:left w:val="nil"/>
              <w:bottom w:val="nil"/>
              <w:right w:val="nil"/>
            </w:tcBorders>
            <w:shd w:val="clear" w:color="auto" w:fill="auto"/>
            <w:noWrap/>
            <w:vAlign w:val="bottom"/>
            <w:hideMark/>
          </w:tcPr>
          <w:p w14:paraId="55049BDE"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0.555</w:t>
            </w:r>
          </w:p>
        </w:tc>
        <w:tc>
          <w:tcPr>
            <w:tcW w:w="1299" w:type="dxa"/>
            <w:tcBorders>
              <w:top w:val="nil"/>
              <w:left w:val="nil"/>
              <w:bottom w:val="nil"/>
              <w:right w:val="nil"/>
            </w:tcBorders>
            <w:shd w:val="clear" w:color="auto" w:fill="auto"/>
            <w:noWrap/>
            <w:vAlign w:val="bottom"/>
            <w:hideMark/>
          </w:tcPr>
          <w:p w14:paraId="2CDC652C"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0.262</w:t>
            </w:r>
          </w:p>
        </w:tc>
        <w:tc>
          <w:tcPr>
            <w:tcW w:w="749" w:type="dxa"/>
            <w:tcBorders>
              <w:top w:val="nil"/>
              <w:left w:val="nil"/>
              <w:bottom w:val="nil"/>
              <w:right w:val="nil"/>
            </w:tcBorders>
            <w:shd w:val="clear" w:color="auto" w:fill="auto"/>
            <w:noWrap/>
            <w:vAlign w:val="bottom"/>
            <w:hideMark/>
          </w:tcPr>
          <w:p w14:paraId="1E22147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0.029</w:t>
            </w:r>
          </w:p>
        </w:tc>
        <w:tc>
          <w:tcPr>
            <w:tcW w:w="915" w:type="dxa"/>
            <w:tcBorders>
              <w:top w:val="nil"/>
              <w:left w:val="nil"/>
              <w:bottom w:val="nil"/>
              <w:right w:val="nil"/>
            </w:tcBorders>
            <w:shd w:val="clear" w:color="auto" w:fill="auto"/>
            <w:noWrap/>
            <w:vAlign w:val="bottom"/>
            <w:hideMark/>
          </w:tcPr>
          <w:p w14:paraId="1C76E32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0.012</w:t>
            </w:r>
          </w:p>
        </w:tc>
      </w:tr>
      <w:tr w:rsidR="00DD1307" w:rsidRPr="00A37CBC" w14:paraId="635B57EE" w14:textId="77777777" w:rsidTr="00B33D54">
        <w:trPr>
          <w:trHeight w:val="300"/>
        </w:trPr>
        <w:tc>
          <w:tcPr>
            <w:tcW w:w="2040" w:type="dxa"/>
            <w:tcBorders>
              <w:top w:val="nil"/>
              <w:left w:val="nil"/>
              <w:bottom w:val="nil"/>
              <w:right w:val="nil"/>
            </w:tcBorders>
            <w:shd w:val="clear" w:color="auto" w:fill="auto"/>
            <w:noWrap/>
            <w:vAlign w:val="bottom"/>
            <w:hideMark/>
          </w:tcPr>
          <w:p w14:paraId="36B99ACA"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12-14</w:t>
            </w:r>
          </w:p>
        </w:tc>
        <w:tc>
          <w:tcPr>
            <w:tcW w:w="1080" w:type="dxa"/>
            <w:tcBorders>
              <w:top w:val="nil"/>
              <w:left w:val="nil"/>
              <w:bottom w:val="nil"/>
              <w:right w:val="nil"/>
            </w:tcBorders>
            <w:shd w:val="clear" w:color="auto" w:fill="auto"/>
            <w:noWrap/>
            <w:vAlign w:val="bottom"/>
            <w:hideMark/>
          </w:tcPr>
          <w:p w14:paraId="09741B1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49 993</w:t>
            </w:r>
          </w:p>
        </w:tc>
        <w:tc>
          <w:tcPr>
            <w:tcW w:w="266" w:type="dxa"/>
            <w:tcBorders>
              <w:top w:val="nil"/>
              <w:left w:val="nil"/>
              <w:bottom w:val="nil"/>
              <w:right w:val="nil"/>
            </w:tcBorders>
            <w:shd w:val="clear" w:color="auto" w:fill="auto"/>
            <w:noWrap/>
            <w:vAlign w:val="bottom"/>
            <w:hideMark/>
          </w:tcPr>
          <w:p w14:paraId="4640F84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4582C13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0.198</w:t>
            </w:r>
          </w:p>
        </w:tc>
        <w:tc>
          <w:tcPr>
            <w:tcW w:w="962" w:type="dxa"/>
            <w:tcBorders>
              <w:top w:val="nil"/>
              <w:left w:val="nil"/>
              <w:bottom w:val="nil"/>
              <w:right w:val="nil"/>
            </w:tcBorders>
            <w:shd w:val="clear" w:color="auto" w:fill="auto"/>
            <w:noWrap/>
            <w:vAlign w:val="bottom"/>
            <w:hideMark/>
          </w:tcPr>
          <w:p w14:paraId="443A747B"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0.200</w:t>
            </w:r>
          </w:p>
        </w:tc>
        <w:tc>
          <w:tcPr>
            <w:tcW w:w="1299" w:type="dxa"/>
            <w:tcBorders>
              <w:top w:val="nil"/>
              <w:left w:val="nil"/>
              <w:bottom w:val="nil"/>
              <w:right w:val="nil"/>
            </w:tcBorders>
            <w:shd w:val="clear" w:color="auto" w:fill="auto"/>
            <w:noWrap/>
            <w:vAlign w:val="bottom"/>
            <w:hideMark/>
          </w:tcPr>
          <w:p w14:paraId="119359F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0.552</w:t>
            </w:r>
          </w:p>
        </w:tc>
        <w:tc>
          <w:tcPr>
            <w:tcW w:w="749" w:type="dxa"/>
            <w:tcBorders>
              <w:top w:val="nil"/>
              <w:left w:val="nil"/>
              <w:bottom w:val="nil"/>
              <w:right w:val="nil"/>
            </w:tcBorders>
            <w:shd w:val="clear" w:color="auto" w:fill="auto"/>
            <w:noWrap/>
            <w:vAlign w:val="bottom"/>
            <w:hideMark/>
          </w:tcPr>
          <w:p w14:paraId="5CEE426C"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0.028</w:t>
            </w:r>
          </w:p>
        </w:tc>
        <w:tc>
          <w:tcPr>
            <w:tcW w:w="915" w:type="dxa"/>
            <w:tcBorders>
              <w:top w:val="nil"/>
              <w:left w:val="nil"/>
              <w:bottom w:val="nil"/>
              <w:right w:val="nil"/>
            </w:tcBorders>
            <w:shd w:val="clear" w:color="auto" w:fill="auto"/>
            <w:noWrap/>
            <w:vAlign w:val="bottom"/>
            <w:hideMark/>
          </w:tcPr>
          <w:p w14:paraId="3B771B3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0.023</w:t>
            </w:r>
          </w:p>
        </w:tc>
      </w:tr>
      <w:tr w:rsidR="00DD1307" w:rsidRPr="00A37CBC" w14:paraId="6F3F6A7A" w14:textId="77777777" w:rsidTr="00B33D54">
        <w:trPr>
          <w:trHeight w:val="300"/>
        </w:trPr>
        <w:tc>
          <w:tcPr>
            <w:tcW w:w="2040" w:type="dxa"/>
            <w:tcBorders>
              <w:top w:val="nil"/>
              <w:left w:val="nil"/>
              <w:bottom w:val="nil"/>
              <w:right w:val="nil"/>
            </w:tcBorders>
            <w:shd w:val="clear" w:color="auto" w:fill="auto"/>
            <w:noWrap/>
            <w:vAlign w:val="bottom"/>
            <w:hideMark/>
          </w:tcPr>
          <w:p w14:paraId="42492E96"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15-17</w:t>
            </w:r>
          </w:p>
        </w:tc>
        <w:tc>
          <w:tcPr>
            <w:tcW w:w="1080" w:type="dxa"/>
            <w:tcBorders>
              <w:top w:val="nil"/>
              <w:left w:val="nil"/>
              <w:bottom w:val="nil"/>
              <w:right w:val="nil"/>
            </w:tcBorders>
            <w:shd w:val="clear" w:color="auto" w:fill="auto"/>
            <w:noWrap/>
            <w:vAlign w:val="bottom"/>
            <w:hideMark/>
          </w:tcPr>
          <w:p w14:paraId="0C8D044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121 593</w:t>
            </w:r>
          </w:p>
        </w:tc>
        <w:tc>
          <w:tcPr>
            <w:tcW w:w="266" w:type="dxa"/>
            <w:tcBorders>
              <w:top w:val="nil"/>
              <w:left w:val="nil"/>
              <w:bottom w:val="nil"/>
              <w:right w:val="nil"/>
            </w:tcBorders>
            <w:shd w:val="clear" w:color="auto" w:fill="auto"/>
            <w:noWrap/>
            <w:vAlign w:val="bottom"/>
            <w:hideMark/>
          </w:tcPr>
          <w:p w14:paraId="18E95B0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4B55E97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0.128</w:t>
            </w:r>
          </w:p>
        </w:tc>
        <w:tc>
          <w:tcPr>
            <w:tcW w:w="962" w:type="dxa"/>
            <w:tcBorders>
              <w:top w:val="nil"/>
              <w:left w:val="nil"/>
              <w:bottom w:val="nil"/>
              <w:right w:val="nil"/>
            </w:tcBorders>
            <w:shd w:val="clear" w:color="auto" w:fill="auto"/>
            <w:noWrap/>
            <w:vAlign w:val="bottom"/>
            <w:hideMark/>
          </w:tcPr>
          <w:p w14:paraId="39EA76D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0.045</w:t>
            </w:r>
          </w:p>
        </w:tc>
        <w:tc>
          <w:tcPr>
            <w:tcW w:w="1299" w:type="dxa"/>
            <w:tcBorders>
              <w:top w:val="nil"/>
              <w:left w:val="nil"/>
              <w:bottom w:val="nil"/>
              <w:right w:val="nil"/>
            </w:tcBorders>
            <w:shd w:val="clear" w:color="auto" w:fill="auto"/>
            <w:noWrap/>
            <w:vAlign w:val="bottom"/>
            <w:hideMark/>
          </w:tcPr>
          <w:p w14:paraId="72DDCC3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0.784</w:t>
            </w:r>
          </w:p>
        </w:tc>
        <w:tc>
          <w:tcPr>
            <w:tcW w:w="749" w:type="dxa"/>
            <w:tcBorders>
              <w:top w:val="nil"/>
              <w:left w:val="nil"/>
              <w:bottom w:val="nil"/>
              <w:right w:val="nil"/>
            </w:tcBorders>
            <w:shd w:val="clear" w:color="auto" w:fill="auto"/>
            <w:noWrap/>
            <w:vAlign w:val="bottom"/>
            <w:hideMark/>
          </w:tcPr>
          <w:p w14:paraId="41EFC64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0.029</w:t>
            </w:r>
          </w:p>
        </w:tc>
        <w:tc>
          <w:tcPr>
            <w:tcW w:w="915" w:type="dxa"/>
            <w:tcBorders>
              <w:top w:val="nil"/>
              <w:left w:val="nil"/>
              <w:bottom w:val="nil"/>
              <w:right w:val="nil"/>
            </w:tcBorders>
            <w:shd w:val="clear" w:color="auto" w:fill="auto"/>
            <w:noWrap/>
            <w:vAlign w:val="bottom"/>
            <w:hideMark/>
          </w:tcPr>
          <w:p w14:paraId="26964E1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0.015</w:t>
            </w:r>
          </w:p>
        </w:tc>
      </w:tr>
      <w:tr w:rsidR="00B33D54" w:rsidRPr="00A37CBC" w14:paraId="1FCDA717"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54216287" w14:textId="77777777" w:rsidR="00B33D54" w:rsidRPr="00A37CBC" w:rsidRDefault="00B33D54" w:rsidP="00B33D54">
            <w:pPr>
              <w:spacing w:before="0" w:after="0" w:line="240" w:lineRule="auto"/>
              <w:rPr>
                <w:rFonts w:ascii="Times New Roman" w:eastAsia="Times New Roman" w:hAnsi="Times New Roman"/>
                <w:sz w:val="20"/>
                <w:lang w:eastAsia="en-AU"/>
              </w:rPr>
            </w:pPr>
          </w:p>
        </w:tc>
      </w:tr>
      <w:tr w:rsidR="00B33D54" w:rsidRPr="00A37CBC" w14:paraId="434DD796"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3EC91595" w14:textId="273E3D8E" w:rsidR="00B33D54" w:rsidRPr="00B33D54" w:rsidRDefault="00B33D54" w:rsidP="00B33D54">
            <w:pPr>
              <w:spacing w:before="0" w:after="0" w:line="240" w:lineRule="auto"/>
              <w:rPr>
                <w:rFonts w:ascii="Times New Roman" w:eastAsia="Times New Roman" w:hAnsi="Times New Roman"/>
                <w:sz w:val="20"/>
                <w:lang w:eastAsia="en-AU"/>
              </w:rPr>
            </w:pPr>
            <w:r w:rsidRPr="00B33D54">
              <w:rPr>
                <w:rFonts w:ascii="Calibri" w:eastAsia="Times New Roman" w:hAnsi="Calibri" w:cs="Calibri"/>
                <w:color w:val="000000"/>
                <w:szCs w:val="22"/>
                <w:lang w:eastAsia="en-AU"/>
              </w:rPr>
              <w:t>Sex</w:t>
            </w:r>
          </w:p>
        </w:tc>
      </w:tr>
      <w:tr w:rsidR="00DD1307" w:rsidRPr="00A37CBC" w14:paraId="6DA9CBA4" w14:textId="77777777" w:rsidTr="00B33D54">
        <w:trPr>
          <w:trHeight w:val="300"/>
        </w:trPr>
        <w:tc>
          <w:tcPr>
            <w:tcW w:w="2040" w:type="dxa"/>
            <w:tcBorders>
              <w:top w:val="nil"/>
              <w:left w:val="nil"/>
              <w:bottom w:val="nil"/>
              <w:right w:val="nil"/>
            </w:tcBorders>
            <w:shd w:val="clear" w:color="auto" w:fill="auto"/>
            <w:noWrap/>
            <w:vAlign w:val="bottom"/>
            <w:hideMark/>
          </w:tcPr>
          <w:p w14:paraId="1C5462E5"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Female</w:t>
            </w:r>
          </w:p>
        </w:tc>
        <w:tc>
          <w:tcPr>
            <w:tcW w:w="1080" w:type="dxa"/>
            <w:tcBorders>
              <w:top w:val="nil"/>
              <w:left w:val="nil"/>
              <w:bottom w:val="nil"/>
              <w:right w:val="nil"/>
            </w:tcBorders>
            <w:shd w:val="clear" w:color="auto" w:fill="auto"/>
            <w:noWrap/>
            <w:vAlign w:val="bottom"/>
            <w:hideMark/>
          </w:tcPr>
          <w:p w14:paraId="6C62B70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125 273</w:t>
            </w:r>
          </w:p>
        </w:tc>
        <w:tc>
          <w:tcPr>
            <w:tcW w:w="266" w:type="dxa"/>
            <w:tcBorders>
              <w:top w:val="nil"/>
              <w:left w:val="nil"/>
              <w:bottom w:val="nil"/>
              <w:right w:val="nil"/>
            </w:tcBorders>
            <w:shd w:val="clear" w:color="auto" w:fill="auto"/>
            <w:noWrap/>
            <w:vAlign w:val="bottom"/>
            <w:hideMark/>
          </w:tcPr>
          <w:p w14:paraId="22140DC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7660CEAC"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0.141</w:t>
            </w:r>
          </w:p>
        </w:tc>
        <w:tc>
          <w:tcPr>
            <w:tcW w:w="962" w:type="dxa"/>
            <w:tcBorders>
              <w:top w:val="nil"/>
              <w:left w:val="nil"/>
              <w:bottom w:val="nil"/>
              <w:right w:val="nil"/>
            </w:tcBorders>
            <w:shd w:val="clear" w:color="auto" w:fill="auto"/>
            <w:noWrap/>
            <w:vAlign w:val="bottom"/>
            <w:hideMark/>
          </w:tcPr>
          <w:p w14:paraId="7AE59EB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0.111</w:t>
            </w:r>
          </w:p>
        </w:tc>
        <w:tc>
          <w:tcPr>
            <w:tcW w:w="1299" w:type="dxa"/>
            <w:tcBorders>
              <w:top w:val="nil"/>
              <w:left w:val="nil"/>
              <w:bottom w:val="nil"/>
              <w:right w:val="nil"/>
            </w:tcBorders>
            <w:shd w:val="clear" w:color="auto" w:fill="auto"/>
            <w:noWrap/>
            <w:vAlign w:val="bottom"/>
            <w:hideMark/>
          </w:tcPr>
          <w:p w14:paraId="56067A44"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0.699</w:t>
            </w:r>
          </w:p>
        </w:tc>
        <w:tc>
          <w:tcPr>
            <w:tcW w:w="749" w:type="dxa"/>
            <w:tcBorders>
              <w:top w:val="nil"/>
              <w:left w:val="nil"/>
              <w:bottom w:val="nil"/>
              <w:right w:val="nil"/>
            </w:tcBorders>
            <w:shd w:val="clear" w:color="auto" w:fill="auto"/>
            <w:noWrap/>
            <w:vAlign w:val="bottom"/>
            <w:hideMark/>
          </w:tcPr>
          <w:p w14:paraId="518D6DE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0.032</w:t>
            </w:r>
          </w:p>
        </w:tc>
        <w:tc>
          <w:tcPr>
            <w:tcW w:w="915" w:type="dxa"/>
            <w:tcBorders>
              <w:top w:val="nil"/>
              <w:left w:val="nil"/>
              <w:bottom w:val="nil"/>
              <w:right w:val="nil"/>
            </w:tcBorders>
            <w:shd w:val="clear" w:color="auto" w:fill="auto"/>
            <w:noWrap/>
            <w:vAlign w:val="bottom"/>
            <w:hideMark/>
          </w:tcPr>
          <w:p w14:paraId="39BEF42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0.017</w:t>
            </w:r>
          </w:p>
        </w:tc>
      </w:tr>
      <w:tr w:rsidR="00DD1307" w:rsidRPr="00A37CBC" w14:paraId="6BE0C319" w14:textId="77777777" w:rsidTr="00B33D54">
        <w:trPr>
          <w:trHeight w:val="300"/>
        </w:trPr>
        <w:tc>
          <w:tcPr>
            <w:tcW w:w="2040" w:type="dxa"/>
            <w:tcBorders>
              <w:top w:val="nil"/>
              <w:left w:val="nil"/>
              <w:bottom w:val="nil"/>
              <w:right w:val="nil"/>
            </w:tcBorders>
            <w:shd w:val="clear" w:color="auto" w:fill="auto"/>
            <w:noWrap/>
            <w:vAlign w:val="bottom"/>
            <w:hideMark/>
          </w:tcPr>
          <w:p w14:paraId="25F6515C"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Male</w:t>
            </w:r>
          </w:p>
        </w:tc>
        <w:tc>
          <w:tcPr>
            <w:tcW w:w="1080" w:type="dxa"/>
            <w:tcBorders>
              <w:top w:val="nil"/>
              <w:left w:val="nil"/>
              <w:bottom w:val="nil"/>
              <w:right w:val="nil"/>
            </w:tcBorders>
            <w:shd w:val="clear" w:color="auto" w:fill="auto"/>
            <w:noWrap/>
            <w:vAlign w:val="bottom"/>
            <w:hideMark/>
          </w:tcPr>
          <w:p w14:paraId="759BF6C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86 261</w:t>
            </w:r>
          </w:p>
        </w:tc>
        <w:tc>
          <w:tcPr>
            <w:tcW w:w="266" w:type="dxa"/>
            <w:tcBorders>
              <w:top w:val="nil"/>
              <w:left w:val="nil"/>
              <w:bottom w:val="nil"/>
              <w:right w:val="nil"/>
            </w:tcBorders>
            <w:shd w:val="clear" w:color="auto" w:fill="auto"/>
            <w:noWrap/>
            <w:vAlign w:val="bottom"/>
            <w:hideMark/>
          </w:tcPr>
          <w:p w14:paraId="7B5757F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60D725C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0.156</w:t>
            </w:r>
          </w:p>
        </w:tc>
        <w:tc>
          <w:tcPr>
            <w:tcW w:w="962" w:type="dxa"/>
            <w:tcBorders>
              <w:top w:val="nil"/>
              <w:left w:val="nil"/>
              <w:bottom w:val="nil"/>
              <w:right w:val="nil"/>
            </w:tcBorders>
            <w:shd w:val="clear" w:color="auto" w:fill="auto"/>
            <w:noWrap/>
            <w:vAlign w:val="bottom"/>
            <w:hideMark/>
          </w:tcPr>
          <w:p w14:paraId="38D21FC9"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0.274</w:t>
            </w:r>
          </w:p>
        </w:tc>
        <w:tc>
          <w:tcPr>
            <w:tcW w:w="1299" w:type="dxa"/>
            <w:tcBorders>
              <w:top w:val="nil"/>
              <w:left w:val="nil"/>
              <w:bottom w:val="nil"/>
              <w:right w:val="nil"/>
            </w:tcBorders>
            <w:shd w:val="clear" w:color="auto" w:fill="auto"/>
            <w:noWrap/>
            <w:vAlign w:val="bottom"/>
            <w:hideMark/>
          </w:tcPr>
          <w:p w14:paraId="701A349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0.530</w:t>
            </w:r>
          </w:p>
        </w:tc>
        <w:tc>
          <w:tcPr>
            <w:tcW w:w="749" w:type="dxa"/>
            <w:tcBorders>
              <w:top w:val="nil"/>
              <w:left w:val="nil"/>
              <w:bottom w:val="nil"/>
              <w:right w:val="nil"/>
            </w:tcBorders>
            <w:shd w:val="clear" w:color="auto" w:fill="auto"/>
            <w:noWrap/>
            <w:vAlign w:val="bottom"/>
            <w:hideMark/>
          </w:tcPr>
          <w:p w14:paraId="38606524"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0.025</w:t>
            </w:r>
          </w:p>
        </w:tc>
        <w:tc>
          <w:tcPr>
            <w:tcW w:w="915" w:type="dxa"/>
            <w:tcBorders>
              <w:top w:val="nil"/>
              <w:left w:val="nil"/>
              <w:bottom w:val="nil"/>
              <w:right w:val="nil"/>
            </w:tcBorders>
            <w:shd w:val="clear" w:color="auto" w:fill="auto"/>
            <w:noWrap/>
            <w:vAlign w:val="bottom"/>
            <w:hideMark/>
          </w:tcPr>
          <w:p w14:paraId="6514D949"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0.014</w:t>
            </w:r>
          </w:p>
        </w:tc>
      </w:tr>
      <w:tr w:rsidR="00B33D54" w:rsidRPr="00A37CBC" w14:paraId="2EFA704B"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37ED8B01" w14:textId="77777777" w:rsidR="00B33D54" w:rsidRPr="00A37CBC" w:rsidRDefault="00B33D54" w:rsidP="00B33D54">
            <w:pPr>
              <w:spacing w:before="0" w:after="0" w:line="240" w:lineRule="auto"/>
              <w:rPr>
                <w:rFonts w:ascii="Times New Roman" w:eastAsia="Times New Roman" w:hAnsi="Times New Roman"/>
                <w:sz w:val="20"/>
                <w:lang w:eastAsia="en-AU"/>
              </w:rPr>
            </w:pPr>
          </w:p>
        </w:tc>
      </w:tr>
      <w:tr w:rsidR="00B33D54" w:rsidRPr="00A37CBC" w14:paraId="580C6C40" w14:textId="77777777" w:rsidTr="00B33D54">
        <w:trPr>
          <w:trHeight w:val="300"/>
        </w:trPr>
        <w:tc>
          <w:tcPr>
            <w:tcW w:w="8212" w:type="dxa"/>
            <w:gridSpan w:val="8"/>
            <w:tcBorders>
              <w:top w:val="nil"/>
              <w:left w:val="nil"/>
              <w:bottom w:val="nil"/>
              <w:right w:val="nil"/>
            </w:tcBorders>
            <w:shd w:val="clear" w:color="auto" w:fill="auto"/>
            <w:vAlign w:val="bottom"/>
            <w:hideMark/>
          </w:tcPr>
          <w:p w14:paraId="16911CD9" w14:textId="4DC3DB81" w:rsidR="00B33D54" w:rsidRPr="00B33D54" w:rsidRDefault="00B33D54" w:rsidP="00B33D54">
            <w:pPr>
              <w:spacing w:before="0" w:after="0" w:line="240" w:lineRule="auto"/>
              <w:rPr>
                <w:rFonts w:ascii="Times New Roman" w:eastAsia="Times New Roman" w:hAnsi="Times New Roman"/>
                <w:sz w:val="20"/>
                <w:lang w:eastAsia="en-AU"/>
              </w:rPr>
            </w:pPr>
            <w:r w:rsidRPr="00B33D54">
              <w:rPr>
                <w:rFonts w:ascii="Calibri" w:eastAsia="Times New Roman" w:hAnsi="Calibri" w:cs="Calibri"/>
                <w:color w:val="000000"/>
                <w:szCs w:val="22"/>
                <w:lang w:eastAsia="en-AU"/>
              </w:rPr>
              <w:t>Socioeconomic status (IRSAD)</w:t>
            </w:r>
          </w:p>
        </w:tc>
      </w:tr>
      <w:tr w:rsidR="00DD1307" w:rsidRPr="00A37CBC" w14:paraId="0AB8508A" w14:textId="77777777" w:rsidTr="00B33D54">
        <w:trPr>
          <w:trHeight w:val="300"/>
        </w:trPr>
        <w:tc>
          <w:tcPr>
            <w:tcW w:w="2040" w:type="dxa"/>
            <w:tcBorders>
              <w:top w:val="nil"/>
              <w:left w:val="nil"/>
              <w:bottom w:val="nil"/>
              <w:right w:val="nil"/>
            </w:tcBorders>
            <w:shd w:val="clear" w:color="auto" w:fill="auto"/>
            <w:noWrap/>
            <w:vAlign w:val="bottom"/>
            <w:hideMark/>
          </w:tcPr>
          <w:p w14:paraId="6FA1AEA9"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Bottom decile</w:t>
            </w:r>
          </w:p>
        </w:tc>
        <w:tc>
          <w:tcPr>
            <w:tcW w:w="1080" w:type="dxa"/>
            <w:tcBorders>
              <w:top w:val="nil"/>
              <w:left w:val="nil"/>
              <w:bottom w:val="nil"/>
              <w:right w:val="nil"/>
            </w:tcBorders>
            <w:shd w:val="clear" w:color="auto" w:fill="auto"/>
            <w:noWrap/>
            <w:vAlign w:val="bottom"/>
            <w:hideMark/>
          </w:tcPr>
          <w:p w14:paraId="28B67A5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18 288</w:t>
            </w:r>
          </w:p>
        </w:tc>
        <w:tc>
          <w:tcPr>
            <w:tcW w:w="266" w:type="dxa"/>
            <w:tcBorders>
              <w:top w:val="nil"/>
              <w:left w:val="nil"/>
              <w:bottom w:val="nil"/>
              <w:right w:val="nil"/>
            </w:tcBorders>
            <w:shd w:val="clear" w:color="auto" w:fill="auto"/>
            <w:noWrap/>
            <w:vAlign w:val="bottom"/>
            <w:hideMark/>
          </w:tcPr>
          <w:p w14:paraId="7B7F1EB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56CA092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0.105</w:t>
            </w:r>
          </w:p>
        </w:tc>
        <w:tc>
          <w:tcPr>
            <w:tcW w:w="962" w:type="dxa"/>
            <w:tcBorders>
              <w:top w:val="nil"/>
              <w:left w:val="nil"/>
              <w:bottom w:val="nil"/>
              <w:right w:val="nil"/>
            </w:tcBorders>
            <w:shd w:val="clear" w:color="auto" w:fill="auto"/>
            <w:noWrap/>
            <w:vAlign w:val="bottom"/>
            <w:hideMark/>
          </w:tcPr>
          <w:p w14:paraId="1FCEF444"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0.170</w:t>
            </w:r>
          </w:p>
        </w:tc>
        <w:tc>
          <w:tcPr>
            <w:tcW w:w="1299" w:type="dxa"/>
            <w:tcBorders>
              <w:top w:val="nil"/>
              <w:left w:val="nil"/>
              <w:bottom w:val="nil"/>
              <w:right w:val="nil"/>
            </w:tcBorders>
            <w:shd w:val="clear" w:color="auto" w:fill="auto"/>
            <w:noWrap/>
            <w:vAlign w:val="bottom"/>
            <w:hideMark/>
          </w:tcPr>
          <w:p w14:paraId="617DA44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0.682</w:t>
            </w:r>
          </w:p>
        </w:tc>
        <w:tc>
          <w:tcPr>
            <w:tcW w:w="749" w:type="dxa"/>
            <w:tcBorders>
              <w:top w:val="nil"/>
              <w:left w:val="nil"/>
              <w:bottom w:val="nil"/>
              <w:right w:val="nil"/>
            </w:tcBorders>
            <w:shd w:val="clear" w:color="auto" w:fill="auto"/>
            <w:noWrap/>
            <w:vAlign w:val="bottom"/>
            <w:hideMark/>
          </w:tcPr>
          <w:p w14:paraId="2C140DE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0.025</w:t>
            </w:r>
          </w:p>
        </w:tc>
        <w:tc>
          <w:tcPr>
            <w:tcW w:w="915" w:type="dxa"/>
            <w:tcBorders>
              <w:top w:val="nil"/>
              <w:left w:val="nil"/>
              <w:bottom w:val="nil"/>
              <w:right w:val="nil"/>
            </w:tcBorders>
            <w:shd w:val="clear" w:color="auto" w:fill="auto"/>
            <w:noWrap/>
            <w:vAlign w:val="bottom"/>
            <w:hideMark/>
          </w:tcPr>
          <w:p w14:paraId="18658BFE"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0.017</w:t>
            </w:r>
          </w:p>
        </w:tc>
      </w:tr>
      <w:tr w:rsidR="00DD1307" w:rsidRPr="00A37CBC" w14:paraId="4C8C844E" w14:textId="77777777" w:rsidTr="00B33D54">
        <w:trPr>
          <w:trHeight w:val="300"/>
        </w:trPr>
        <w:tc>
          <w:tcPr>
            <w:tcW w:w="2040" w:type="dxa"/>
            <w:tcBorders>
              <w:top w:val="nil"/>
              <w:left w:val="nil"/>
              <w:bottom w:val="nil"/>
              <w:right w:val="nil"/>
            </w:tcBorders>
            <w:shd w:val="clear" w:color="auto" w:fill="auto"/>
            <w:noWrap/>
            <w:vAlign w:val="bottom"/>
            <w:hideMark/>
          </w:tcPr>
          <w:p w14:paraId="5BF679A0"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w:t>
            </w:r>
          </w:p>
        </w:tc>
        <w:tc>
          <w:tcPr>
            <w:tcW w:w="1080" w:type="dxa"/>
            <w:tcBorders>
              <w:top w:val="nil"/>
              <w:left w:val="nil"/>
              <w:bottom w:val="nil"/>
              <w:right w:val="nil"/>
            </w:tcBorders>
            <w:shd w:val="clear" w:color="auto" w:fill="auto"/>
            <w:noWrap/>
            <w:vAlign w:val="bottom"/>
            <w:hideMark/>
          </w:tcPr>
          <w:p w14:paraId="19A4D18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18 546</w:t>
            </w:r>
          </w:p>
        </w:tc>
        <w:tc>
          <w:tcPr>
            <w:tcW w:w="266" w:type="dxa"/>
            <w:tcBorders>
              <w:top w:val="nil"/>
              <w:left w:val="nil"/>
              <w:bottom w:val="nil"/>
              <w:right w:val="nil"/>
            </w:tcBorders>
            <w:shd w:val="clear" w:color="auto" w:fill="auto"/>
            <w:noWrap/>
            <w:vAlign w:val="bottom"/>
            <w:hideMark/>
          </w:tcPr>
          <w:p w14:paraId="63062EA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7F38D95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0.109</w:t>
            </w:r>
          </w:p>
        </w:tc>
        <w:tc>
          <w:tcPr>
            <w:tcW w:w="962" w:type="dxa"/>
            <w:tcBorders>
              <w:top w:val="nil"/>
              <w:left w:val="nil"/>
              <w:bottom w:val="nil"/>
              <w:right w:val="nil"/>
            </w:tcBorders>
            <w:shd w:val="clear" w:color="auto" w:fill="auto"/>
            <w:noWrap/>
            <w:vAlign w:val="bottom"/>
            <w:hideMark/>
          </w:tcPr>
          <w:p w14:paraId="42F6D78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0.157</w:t>
            </w:r>
          </w:p>
        </w:tc>
        <w:tc>
          <w:tcPr>
            <w:tcW w:w="1299" w:type="dxa"/>
            <w:tcBorders>
              <w:top w:val="nil"/>
              <w:left w:val="nil"/>
              <w:bottom w:val="nil"/>
              <w:right w:val="nil"/>
            </w:tcBorders>
            <w:shd w:val="clear" w:color="auto" w:fill="auto"/>
            <w:noWrap/>
            <w:vAlign w:val="bottom"/>
            <w:hideMark/>
          </w:tcPr>
          <w:p w14:paraId="12B7A99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0.693</w:t>
            </w:r>
          </w:p>
        </w:tc>
        <w:tc>
          <w:tcPr>
            <w:tcW w:w="749" w:type="dxa"/>
            <w:tcBorders>
              <w:top w:val="nil"/>
              <w:left w:val="nil"/>
              <w:bottom w:val="nil"/>
              <w:right w:val="nil"/>
            </w:tcBorders>
            <w:shd w:val="clear" w:color="auto" w:fill="auto"/>
            <w:noWrap/>
            <w:vAlign w:val="bottom"/>
            <w:hideMark/>
          </w:tcPr>
          <w:p w14:paraId="2AF0F0C0"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0.025</w:t>
            </w:r>
          </w:p>
        </w:tc>
        <w:tc>
          <w:tcPr>
            <w:tcW w:w="915" w:type="dxa"/>
            <w:tcBorders>
              <w:top w:val="nil"/>
              <w:left w:val="nil"/>
              <w:bottom w:val="nil"/>
              <w:right w:val="nil"/>
            </w:tcBorders>
            <w:shd w:val="clear" w:color="auto" w:fill="auto"/>
            <w:noWrap/>
            <w:vAlign w:val="bottom"/>
            <w:hideMark/>
          </w:tcPr>
          <w:p w14:paraId="7850BDC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0.016</w:t>
            </w:r>
          </w:p>
        </w:tc>
      </w:tr>
      <w:tr w:rsidR="00DD1307" w:rsidRPr="00A37CBC" w14:paraId="74264836" w14:textId="77777777" w:rsidTr="00B33D54">
        <w:trPr>
          <w:trHeight w:val="300"/>
        </w:trPr>
        <w:tc>
          <w:tcPr>
            <w:tcW w:w="2040" w:type="dxa"/>
            <w:tcBorders>
              <w:top w:val="nil"/>
              <w:left w:val="nil"/>
              <w:bottom w:val="nil"/>
              <w:right w:val="nil"/>
            </w:tcBorders>
            <w:shd w:val="clear" w:color="auto" w:fill="auto"/>
            <w:noWrap/>
            <w:vAlign w:val="bottom"/>
            <w:hideMark/>
          </w:tcPr>
          <w:p w14:paraId="45BC9374"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3</w:t>
            </w:r>
          </w:p>
        </w:tc>
        <w:tc>
          <w:tcPr>
            <w:tcW w:w="1080" w:type="dxa"/>
            <w:tcBorders>
              <w:top w:val="nil"/>
              <w:left w:val="nil"/>
              <w:bottom w:val="nil"/>
              <w:right w:val="nil"/>
            </w:tcBorders>
            <w:shd w:val="clear" w:color="auto" w:fill="auto"/>
            <w:noWrap/>
            <w:vAlign w:val="bottom"/>
            <w:hideMark/>
          </w:tcPr>
          <w:p w14:paraId="6E71B14A"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15 938</w:t>
            </w:r>
          </w:p>
        </w:tc>
        <w:tc>
          <w:tcPr>
            <w:tcW w:w="266" w:type="dxa"/>
            <w:tcBorders>
              <w:top w:val="nil"/>
              <w:left w:val="nil"/>
              <w:bottom w:val="nil"/>
              <w:right w:val="nil"/>
            </w:tcBorders>
            <w:shd w:val="clear" w:color="auto" w:fill="auto"/>
            <w:noWrap/>
            <w:vAlign w:val="bottom"/>
            <w:hideMark/>
          </w:tcPr>
          <w:p w14:paraId="1AAB502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392ED424"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0.109</w:t>
            </w:r>
          </w:p>
        </w:tc>
        <w:tc>
          <w:tcPr>
            <w:tcW w:w="962" w:type="dxa"/>
            <w:tcBorders>
              <w:top w:val="nil"/>
              <w:left w:val="nil"/>
              <w:bottom w:val="nil"/>
              <w:right w:val="nil"/>
            </w:tcBorders>
            <w:shd w:val="clear" w:color="auto" w:fill="auto"/>
            <w:noWrap/>
            <w:vAlign w:val="bottom"/>
            <w:hideMark/>
          </w:tcPr>
          <w:p w14:paraId="548D391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0.183</w:t>
            </w:r>
          </w:p>
        </w:tc>
        <w:tc>
          <w:tcPr>
            <w:tcW w:w="1299" w:type="dxa"/>
            <w:tcBorders>
              <w:top w:val="nil"/>
              <w:left w:val="nil"/>
              <w:bottom w:val="nil"/>
              <w:right w:val="nil"/>
            </w:tcBorders>
            <w:shd w:val="clear" w:color="auto" w:fill="auto"/>
            <w:noWrap/>
            <w:vAlign w:val="bottom"/>
            <w:hideMark/>
          </w:tcPr>
          <w:p w14:paraId="48D473FC"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0.670</w:t>
            </w:r>
          </w:p>
        </w:tc>
        <w:tc>
          <w:tcPr>
            <w:tcW w:w="749" w:type="dxa"/>
            <w:tcBorders>
              <w:top w:val="nil"/>
              <w:left w:val="nil"/>
              <w:bottom w:val="nil"/>
              <w:right w:val="nil"/>
            </w:tcBorders>
            <w:shd w:val="clear" w:color="auto" w:fill="auto"/>
            <w:noWrap/>
            <w:vAlign w:val="bottom"/>
            <w:hideMark/>
          </w:tcPr>
          <w:p w14:paraId="197266B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0.021</w:t>
            </w:r>
          </w:p>
        </w:tc>
        <w:tc>
          <w:tcPr>
            <w:tcW w:w="915" w:type="dxa"/>
            <w:tcBorders>
              <w:top w:val="nil"/>
              <w:left w:val="nil"/>
              <w:bottom w:val="nil"/>
              <w:right w:val="nil"/>
            </w:tcBorders>
            <w:shd w:val="clear" w:color="auto" w:fill="auto"/>
            <w:noWrap/>
            <w:vAlign w:val="bottom"/>
            <w:hideMark/>
          </w:tcPr>
          <w:p w14:paraId="54DB17A0"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0.016</w:t>
            </w:r>
          </w:p>
        </w:tc>
      </w:tr>
      <w:tr w:rsidR="00DD1307" w:rsidRPr="00A37CBC" w14:paraId="4B4BD4C6" w14:textId="77777777" w:rsidTr="00B33D54">
        <w:trPr>
          <w:trHeight w:val="300"/>
        </w:trPr>
        <w:tc>
          <w:tcPr>
            <w:tcW w:w="2040" w:type="dxa"/>
            <w:tcBorders>
              <w:top w:val="nil"/>
              <w:left w:val="nil"/>
              <w:bottom w:val="nil"/>
              <w:right w:val="nil"/>
            </w:tcBorders>
            <w:shd w:val="clear" w:color="auto" w:fill="auto"/>
            <w:noWrap/>
            <w:vAlign w:val="bottom"/>
            <w:hideMark/>
          </w:tcPr>
          <w:p w14:paraId="7BAD3FD1"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4</w:t>
            </w:r>
          </w:p>
        </w:tc>
        <w:tc>
          <w:tcPr>
            <w:tcW w:w="1080" w:type="dxa"/>
            <w:tcBorders>
              <w:top w:val="nil"/>
              <w:left w:val="nil"/>
              <w:bottom w:val="nil"/>
              <w:right w:val="nil"/>
            </w:tcBorders>
            <w:shd w:val="clear" w:color="auto" w:fill="auto"/>
            <w:noWrap/>
            <w:vAlign w:val="bottom"/>
            <w:hideMark/>
          </w:tcPr>
          <w:p w14:paraId="40762D0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22 746</w:t>
            </w:r>
          </w:p>
        </w:tc>
        <w:tc>
          <w:tcPr>
            <w:tcW w:w="266" w:type="dxa"/>
            <w:tcBorders>
              <w:top w:val="nil"/>
              <w:left w:val="nil"/>
              <w:bottom w:val="nil"/>
              <w:right w:val="nil"/>
            </w:tcBorders>
            <w:shd w:val="clear" w:color="auto" w:fill="auto"/>
            <w:noWrap/>
            <w:vAlign w:val="bottom"/>
            <w:hideMark/>
          </w:tcPr>
          <w:p w14:paraId="10AA92B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7ACAD47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0.113</w:t>
            </w:r>
          </w:p>
        </w:tc>
        <w:tc>
          <w:tcPr>
            <w:tcW w:w="962" w:type="dxa"/>
            <w:tcBorders>
              <w:top w:val="nil"/>
              <w:left w:val="nil"/>
              <w:bottom w:val="nil"/>
              <w:right w:val="nil"/>
            </w:tcBorders>
            <w:shd w:val="clear" w:color="auto" w:fill="auto"/>
            <w:noWrap/>
            <w:vAlign w:val="bottom"/>
            <w:hideMark/>
          </w:tcPr>
          <w:p w14:paraId="5245A13C"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0.169</w:t>
            </w:r>
          </w:p>
        </w:tc>
        <w:tc>
          <w:tcPr>
            <w:tcW w:w="1299" w:type="dxa"/>
            <w:tcBorders>
              <w:top w:val="nil"/>
              <w:left w:val="nil"/>
              <w:bottom w:val="nil"/>
              <w:right w:val="nil"/>
            </w:tcBorders>
            <w:shd w:val="clear" w:color="auto" w:fill="auto"/>
            <w:noWrap/>
            <w:vAlign w:val="bottom"/>
            <w:hideMark/>
          </w:tcPr>
          <w:p w14:paraId="54476A1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0.678</w:t>
            </w:r>
          </w:p>
        </w:tc>
        <w:tc>
          <w:tcPr>
            <w:tcW w:w="749" w:type="dxa"/>
            <w:tcBorders>
              <w:top w:val="nil"/>
              <w:left w:val="nil"/>
              <w:bottom w:val="nil"/>
              <w:right w:val="nil"/>
            </w:tcBorders>
            <w:shd w:val="clear" w:color="auto" w:fill="auto"/>
            <w:noWrap/>
            <w:vAlign w:val="bottom"/>
            <w:hideMark/>
          </w:tcPr>
          <w:p w14:paraId="52BCDDE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0.023</w:t>
            </w:r>
          </w:p>
        </w:tc>
        <w:tc>
          <w:tcPr>
            <w:tcW w:w="915" w:type="dxa"/>
            <w:tcBorders>
              <w:top w:val="nil"/>
              <w:left w:val="nil"/>
              <w:bottom w:val="nil"/>
              <w:right w:val="nil"/>
            </w:tcBorders>
            <w:shd w:val="clear" w:color="auto" w:fill="auto"/>
            <w:noWrap/>
            <w:vAlign w:val="bottom"/>
            <w:hideMark/>
          </w:tcPr>
          <w:p w14:paraId="3299A49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0.017</w:t>
            </w:r>
          </w:p>
        </w:tc>
      </w:tr>
      <w:tr w:rsidR="00DD1307" w:rsidRPr="00A37CBC" w14:paraId="1D70C61A" w14:textId="77777777" w:rsidTr="00B33D54">
        <w:trPr>
          <w:trHeight w:val="300"/>
        </w:trPr>
        <w:tc>
          <w:tcPr>
            <w:tcW w:w="2040" w:type="dxa"/>
            <w:tcBorders>
              <w:top w:val="nil"/>
              <w:left w:val="nil"/>
              <w:bottom w:val="nil"/>
              <w:right w:val="nil"/>
            </w:tcBorders>
            <w:shd w:val="clear" w:color="auto" w:fill="auto"/>
            <w:noWrap/>
            <w:vAlign w:val="bottom"/>
            <w:hideMark/>
          </w:tcPr>
          <w:p w14:paraId="372E984E"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5</w:t>
            </w:r>
          </w:p>
        </w:tc>
        <w:tc>
          <w:tcPr>
            <w:tcW w:w="1080" w:type="dxa"/>
            <w:tcBorders>
              <w:top w:val="nil"/>
              <w:left w:val="nil"/>
              <w:bottom w:val="nil"/>
              <w:right w:val="nil"/>
            </w:tcBorders>
            <w:shd w:val="clear" w:color="auto" w:fill="auto"/>
            <w:noWrap/>
            <w:vAlign w:val="bottom"/>
            <w:hideMark/>
          </w:tcPr>
          <w:p w14:paraId="1195C32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21 883</w:t>
            </w:r>
          </w:p>
        </w:tc>
        <w:tc>
          <w:tcPr>
            <w:tcW w:w="266" w:type="dxa"/>
            <w:tcBorders>
              <w:top w:val="nil"/>
              <w:left w:val="nil"/>
              <w:bottom w:val="nil"/>
              <w:right w:val="nil"/>
            </w:tcBorders>
            <w:shd w:val="clear" w:color="auto" w:fill="auto"/>
            <w:noWrap/>
            <w:vAlign w:val="bottom"/>
            <w:hideMark/>
          </w:tcPr>
          <w:p w14:paraId="396C6857"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0EEB9BC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0.116</w:t>
            </w:r>
          </w:p>
        </w:tc>
        <w:tc>
          <w:tcPr>
            <w:tcW w:w="962" w:type="dxa"/>
            <w:tcBorders>
              <w:top w:val="nil"/>
              <w:left w:val="nil"/>
              <w:bottom w:val="nil"/>
              <w:right w:val="nil"/>
            </w:tcBorders>
            <w:shd w:val="clear" w:color="auto" w:fill="auto"/>
            <w:noWrap/>
            <w:vAlign w:val="bottom"/>
            <w:hideMark/>
          </w:tcPr>
          <w:p w14:paraId="7FC4411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0.166</w:t>
            </w:r>
          </w:p>
        </w:tc>
        <w:tc>
          <w:tcPr>
            <w:tcW w:w="1299" w:type="dxa"/>
            <w:tcBorders>
              <w:top w:val="nil"/>
              <w:left w:val="nil"/>
              <w:bottom w:val="nil"/>
              <w:right w:val="nil"/>
            </w:tcBorders>
            <w:shd w:val="clear" w:color="auto" w:fill="auto"/>
            <w:noWrap/>
            <w:vAlign w:val="bottom"/>
            <w:hideMark/>
          </w:tcPr>
          <w:p w14:paraId="2702E03C"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0.679</w:t>
            </w:r>
          </w:p>
        </w:tc>
        <w:tc>
          <w:tcPr>
            <w:tcW w:w="749" w:type="dxa"/>
            <w:tcBorders>
              <w:top w:val="nil"/>
              <w:left w:val="nil"/>
              <w:bottom w:val="nil"/>
              <w:right w:val="nil"/>
            </w:tcBorders>
            <w:shd w:val="clear" w:color="auto" w:fill="auto"/>
            <w:noWrap/>
            <w:vAlign w:val="bottom"/>
            <w:hideMark/>
          </w:tcPr>
          <w:p w14:paraId="34612A7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0.024</w:t>
            </w:r>
          </w:p>
        </w:tc>
        <w:tc>
          <w:tcPr>
            <w:tcW w:w="915" w:type="dxa"/>
            <w:tcBorders>
              <w:top w:val="nil"/>
              <w:left w:val="nil"/>
              <w:bottom w:val="nil"/>
              <w:right w:val="nil"/>
            </w:tcBorders>
            <w:shd w:val="clear" w:color="auto" w:fill="auto"/>
            <w:noWrap/>
            <w:vAlign w:val="bottom"/>
            <w:hideMark/>
          </w:tcPr>
          <w:p w14:paraId="0EA650A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0.016</w:t>
            </w:r>
          </w:p>
        </w:tc>
      </w:tr>
      <w:tr w:rsidR="00DD1307" w:rsidRPr="00A37CBC" w14:paraId="6518CFF5" w14:textId="77777777" w:rsidTr="00B33D54">
        <w:trPr>
          <w:trHeight w:val="300"/>
        </w:trPr>
        <w:tc>
          <w:tcPr>
            <w:tcW w:w="2040" w:type="dxa"/>
            <w:tcBorders>
              <w:top w:val="nil"/>
              <w:left w:val="nil"/>
              <w:bottom w:val="nil"/>
              <w:right w:val="nil"/>
            </w:tcBorders>
            <w:shd w:val="clear" w:color="auto" w:fill="auto"/>
            <w:noWrap/>
            <w:vAlign w:val="bottom"/>
            <w:hideMark/>
          </w:tcPr>
          <w:p w14:paraId="0A6C861A"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w:t>
            </w:r>
          </w:p>
        </w:tc>
        <w:tc>
          <w:tcPr>
            <w:tcW w:w="1080" w:type="dxa"/>
            <w:tcBorders>
              <w:top w:val="nil"/>
              <w:left w:val="nil"/>
              <w:bottom w:val="nil"/>
              <w:right w:val="nil"/>
            </w:tcBorders>
            <w:shd w:val="clear" w:color="auto" w:fill="auto"/>
            <w:noWrap/>
            <w:vAlign w:val="bottom"/>
            <w:hideMark/>
          </w:tcPr>
          <w:p w14:paraId="00613ED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22 587</w:t>
            </w:r>
          </w:p>
        </w:tc>
        <w:tc>
          <w:tcPr>
            <w:tcW w:w="266" w:type="dxa"/>
            <w:tcBorders>
              <w:top w:val="nil"/>
              <w:left w:val="nil"/>
              <w:bottom w:val="nil"/>
              <w:right w:val="nil"/>
            </w:tcBorders>
            <w:shd w:val="clear" w:color="auto" w:fill="auto"/>
            <w:noWrap/>
            <w:vAlign w:val="bottom"/>
            <w:hideMark/>
          </w:tcPr>
          <w:p w14:paraId="2DB42B60"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73F0CBF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0.137</w:t>
            </w:r>
          </w:p>
        </w:tc>
        <w:tc>
          <w:tcPr>
            <w:tcW w:w="962" w:type="dxa"/>
            <w:tcBorders>
              <w:top w:val="nil"/>
              <w:left w:val="nil"/>
              <w:bottom w:val="nil"/>
              <w:right w:val="nil"/>
            </w:tcBorders>
            <w:shd w:val="clear" w:color="auto" w:fill="auto"/>
            <w:noWrap/>
            <w:vAlign w:val="bottom"/>
            <w:hideMark/>
          </w:tcPr>
          <w:p w14:paraId="77CE36B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0.188</w:t>
            </w:r>
          </w:p>
        </w:tc>
        <w:tc>
          <w:tcPr>
            <w:tcW w:w="1299" w:type="dxa"/>
            <w:tcBorders>
              <w:top w:val="nil"/>
              <w:left w:val="nil"/>
              <w:bottom w:val="nil"/>
              <w:right w:val="nil"/>
            </w:tcBorders>
            <w:shd w:val="clear" w:color="auto" w:fill="auto"/>
            <w:noWrap/>
            <w:vAlign w:val="bottom"/>
            <w:hideMark/>
          </w:tcPr>
          <w:p w14:paraId="3D1534B0"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0.633</w:t>
            </w:r>
          </w:p>
        </w:tc>
        <w:tc>
          <w:tcPr>
            <w:tcW w:w="749" w:type="dxa"/>
            <w:tcBorders>
              <w:top w:val="nil"/>
              <w:left w:val="nil"/>
              <w:bottom w:val="nil"/>
              <w:right w:val="nil"/>
            </w:tcBorders>
            <w:shd w:val="clear" w:color="auto" w:fill="auto"/>
            <w:noWrap/>
            <w:vAlign w:val="bottom"/>
            <w:hideMark/>
          </w:tcPr>
          <w:p w14:paraId="71931EAC"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0.026</w:t>
            </w:r>
          </w:p>
        </w:tc>
        <w:tc>
          <w:tcPr>
            <w:tcW w:w="915" w:type="dxa"/>
            <w:tcBorders>
              <w:top w:val="nil"/>
              <w:left w:val="nil"/>
              <w:bottom w:val="nil"/>
              <w:right w:val="nil"/>
            </w:tcBorders>
            <w:shd w:val="clear" w:color="auto" w:fill="auto"/>
            <w:noWrap/>
            <w:vAlign w:val="bottom"/>
            <w:hideMark/>
          </w:tcPr>
          <w:p w14:paraId="340CAB6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0.016</w:t>
            </w:r>
          </w:p>
        </w:tc>
      </w:tr>
      <w:tr w:rsidR="00DD1307" w:rsidRPr="00A37CBC" w14:paraId="438FDEDF" w14:textId="77777777" w:rsidTr="00B33D54">
        <w:trPr>
          <w:trHeight w:val="300"/>
        </w:trPr>
        <w:tc>
          <w:tcPr>
            <w:tcW w:w="2040" w:type="dxa"/>
            <w:tcBorders>
              <w:top w:val="nil"/>
              <w:left w:val="nil"/>
              <w:bottom w:val="nil"/>
              <w:right w:val="nil"/>
            </w:tcBorders>
            <w:shd w:val="clear" w:color="auto" w:fill="auto"/>
            <w:noWrap/>
            <w:vAlign w:val="bottom"/>
            <w:hideMark/>
          </w:tcPr>
          <w:p w14:paraId="03EECAAA"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7</w:t>
            </w:r>
          </w:p>
        </w:tc>
        <w:tc>
          <w:tcPr>
            <w:tcW w:w="1080" w:type="dxa"/>
            <w:tcBorders>
              <w:top w:val="nil"/>
              <w:left w:val="nil"/>
              <w:bottom w:val="nil"/>
              <w:right w:val="nil"/>
            </w:tcBorders>
            <w:shd w:val="clear" w:color="auto" w:fill="auto"/>
            <w:noWrap/>
            <w:vAlign w:val="bottom"/>
            <w:hideMark/>
          </w:tcPr>
          <w:p w14:paraId="7AE19B5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17 931</w:t>
            </w:r>
          </w:p>
        </w:tc>
        <w:tc>
          <w:tcPr>
            <w:tcW w:w="266" w:type="dxa"/>
            <w:tcBorders>
              <w:top w:val="nil"/>
              <w:left w:val="nil"/>
              <w:bottom w:val="nil"/>
              <w:right w:val="nil"/>
            </w:tcBorders>
            <w:shd w:val="clear" w:color="auto" w:fill="auto"/>
            <w:noWrap/>
            <w:vAlign w:val="bottom"/>
            <w:hideMark/>
          </w:tcPr>
          <w:p w14:paraId="3C126D8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2A00514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0.154</w:t>
            </w:r>
          </w:p>
        </w:tc>
        <w:tc>
          <w:tcPr>
            <w:tcW w:w="962" w:type="dxa"/>
            <w:tcBorders>
              <w:top w:val="nil"/>
              <w:left w:val="nil"/>
              <w:bottom w:val="nil"/>
              <w:right w:val="nil"/>
            </w:tcBorders>
            <w:shd w:val="clear" w:color="auto" w:fill="auto"/>
            <w:noWrap/>
            <w:vAlign w:val="bottom"/>
            <w:hideMark/>
          </w:tcPr>
          <w:p w14:paraId="693AA89E"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0.189</w:t>
            </w:r>
          </w:p>
        </w:tc>
        <w:tc>
          <w:tcPr>
            <w:tcW w:w="1299" w:type="dxa"/>
            <w:tcBorders>
              <w:top w:val="nil"/>
              <w:left w:val="nil"/>
              <w:bottom w:val="nil"/>
              <w:right w:val="nil"/>
            </w:tcBorders>
            <w:shd w:val="clear" w:color="auto" w:fill="auto"/>
            <w:noWrap/>
            <w:vAlign w:val="bottom"/>
            <w:hideMark/>
          </w:tcPr>
          <w:p w14:paraId="0A63AC7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0.613</w:t>
            </w:r>
          </w:p>
        </w:tc>
        <w:tc>
          <w:tcPr>
            <w:tcW w:w="749" w:type="dxa"/>
            <w:tcBorders>
              <w:top w:val="nil"/>
              <w:left w:val="nil"/>
              <w:bottom w:val="nil"/>
              <w:right w:val="nil"/>
            </w:tcBorders>
            <w:shd w:val="clear" w:color="auto" w:fill="auto"/>
            <w:noWrap/>
            <w:vAlign w:val="bottom"/>
            <w:hideMark/>
          </w:tcPr>
          <w:p w14:paraId="2CDBF66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0.029</w:t>
            </w:r>
          </w:p>
        </w:tc>
        <w:tc>
          <w:tcPr>
            <w:tcW w:w="915" w:type="dxa"/>
            <w:tcBorders>
              <w:top w:val="nil"/>
              <w:left w:val="nil"/>
              <w:bottom w:val="nil"/>
              <w:right w:val="nil"/>
            </w:tcBorders>
            <w:shd w:val="clear" w:color="auto" w:fill="auto"/>
            <w:noWrap/>
            <w:vAlign w:val="bottom"/>
            <w:hideMark/>
          </w:tcPr>
          <w:p w14:paraId="0D885E2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0.015</w:t>
            </w:r>
          </w:p>
        </w:tc>
      </w:tr>
      <w:tr w:rsidR="00DD1307" w:rsidRPr="00A37CBC" w14:paraId="6EFE31AC" w14:textId="77777777" w:rsidTr="00B33D54">
        <w:trPr>
          <w:trHeight w:val="300"/>
        </w:trPr>
        <w:tc>
          <w:tcPr>
            <w:tcW w:w="2040" w:type="dxa"/>
            <w:tcBorders>
              <w:top w:val="nil"/>
              <w:left w:val="nil"/>
              <w:bottom w:val="nil"/>
              <w:right w:val="nil"/>
            </w:tcBorders>
            <w:shd w:val="clear" w:color="auto" w:fill="auto"/>
            <w:noWrap/>
            <w:vAlign w:val="bottom"/>
            <w:hideMark/>
          </w:tcPr>
          <w:p w14:paraId="0165E469"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8</w:t>
            </w:r>
          </w:p>
        </w:tc>
        <w:tc>
          <w:tcPr>
            <w:tcW w:w="1080" w:type="dxa"/>
            <w:tcBorders>
              <w:top w:val="nil"/>
              <w:left w:val="nil"/>
              <w:bottom w:val="nil"/>
              <w:right w:val="nil"/>
            </w:tcBorders>
            <w:shd w:val="clear" w:color="auto" w:fill="auto"/>
            <w:noWrap/>
            <w:vAlign w:val="bottom"/>
            <w:hideMark/>
          </w:tcPr>
          <w:p w14:paraId="3CF849F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21 350</w:t>
            </w:r>
          </w:p>
        </w:tc>
        <w:tc>
          <w:tcPr>
            <w:tcW w:w="266" w:type="dxa"/>
            <w:tcBorders>
              <w:top w:val="nil"/>
              <w:left w:val="nil"/>
              <w:bottom w:val="nil"/>
              <w:right w:val="nil"/>
            </w:tcBorders>
            <w:shd w:val="clear" w:color="auto" w:fill="auto"/>
            <w:noWrap/>
            <w:vAlign w:val="bottom"/>
            <w:hideMark/>
          </w:tcPr>
          <w:p w14:paraId="1C3B5172"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2AB03BE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0.164</w:t>
            </w:r>
          </w:p>
        </w:tc>
        <w:tc>
          <w:tcPr>
            <w:tcW w:w="962" w:type="dxa"/>
            <w:tcBorders>
              <w:top w:val="nil"/>
              <w:left w:val="nil"/>
              <w:bottom w:val="nil"/>
              <w:right w:val="nil"/>
            </w:tcBorders>
            <w:shd w:val="clear" w:color="auto" w:fill="auto"/>
            <w:noWrap/>
            <w:vAlign w:val="bottom"/>
            <w:hideMark/>
          </w:tcPr>
          <w:p w14:paraId="45F6332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0.189</w:t>
            </w:r>
          </w:p>
        </w:tc>
        <w:tc>
          <w:tcPr>
            <w:tcW w:w="1299" w:type="dxa"/>
            <w:tcBorders>
              <w:top w:val="nil"/>
              <w:left w:val="nil"/>
              <w:bottom w:val="nil"/>
              <w:right w:val="nil"/>
            </w:tcBorders>
            <w:shd w:val="clear" w:color="auto" w:fill="auto"/>
            <w:noWrap/>
            <w:vAlign w:val="bottom"/>
            <w:hideMark/>
          </w:tcPr>
          <w:p w14:paraId="1115482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0.601</w:t>
            </w:r>
          </w:p>
        </w:tc>
        <w:tc>
          <w:tcPr>
            <w:tcW w:w="749" w:type="dxa"/>
            <w:tcBorders>
              <w:top w:val="nil"/>
              <w:left w:val="nil"/>
              <w:bottom w:val="nil"/>
              <w:right w:val="nil"/>
            </w:tcBorders>
            <w:shd w:val="clear" w:color="auto" w:fill="auto"/>
            <w:noWrap/>
            <w:vAlign w:val="bottom"/>
            <w:hideMark/>
          </w:tcPr>
          <w:p w14:paraId="787D794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0.030</w:t>
            </w:r>
          </w:p>
        </w:tc>
        <w:tc>
          <w:tcPr>
            <w:tcW w:w="915" w:type="dxa"/>
            <w:tcBorders>
              <w:top w:val="nil"/>
              <w:left w:val="nil"/>
              <w:bottom w:val="nil"/>
              <w:right w:val="nil"/>
            </w:tcBorders>
            <w:shd w:val="clear" w:color="auto" w:fill="auto"/>
            <w:noWrap/>
            <w:vAlign w:val="bottom"/>
            <w:hideMark/>
          </w:tcPr>
          <w:p w14:paraId="00A2575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0.015</w:t>
            </w:r>
          </w:p>
        </w:tc>
      </w:tr>
      <w:tr w:rsidR="00DD1307" w:rsidRPr="00A37CBC" w14:paraId="452C310D" w14:textId="77777777" w:rsidTr="00B33D54">
        <w:trPr>
          <w:trHeight w:val="300"/>
        </w:trPr>
        <w:tc>
          <w:tcPr>
            <w:tcW w:w="2040" w:type="dxa"/>
            <w:tcBorders>
              <w:top w:val="nil"/>
              <w:left w:val="nil"/>
              <w:bottom w:val="nil"/>
              <w:right w:val="nil"/>
            </w:tcBorders>
            <w:shd w:val="clear" w:color="auto" w:fill="auto"/>
            <w:noWrap/>
            <w:vAlign w:val="bottom"/>
            <w:hideMark/>
          </w:tcPr>
          <w:p w14:paraId="28C477BE"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9</w:t>
            </w:r>
          </w:p>
        </w:tc>
        <w:tc>
          <w:tcPr>
            <w:tcW w:w="1080" w:type="dxa"/>
            <w:tcBorders>
              <w:top w:val="nil"/>
              <w:left w:val="nil"/>
              <w:bottom w:val="nil"/>
              <w:right w:val="nil"/>
            </w:tcBorders>
            <w:shd w:val="clear" w:color="auto" w:fill="auto"/>
            <w:noWrap/>
            <w:vAlign w:val="bottom"/>
            <w:hideMark/>
          </w:tcPr>
          <w:p w14:paraId="1432746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24 387</w:t>
            </w:r>
          </w:p>
        </w:tc>
        <w:tc>
          <w:tcPr>
            <w:tcW w:w="266" w:type="dxa"/>
            <w:tcBorders>
              <w:top w:val="nil"/>
              <w:left w:val="nil"/>
              <w:bottom w:val="nil"/>
              <w:right w:val="nil"/>
            </w:tcBorders>
            <w:shd w:val="clear" w:color="auto" w:fill="auto"/>
            <w:noWrap/>
            <w:vAlign w:val="bottom"/>
            <w:hideMark/>
          </w:tcPr>
          <w:p w14:paraId="6EA7D4ED"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37A07592"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0.174</w:t>
            </w:r>
          </w:p>
        </w:tc>
        <w:tc>
          <w:tcPr>
            <w:tcW w:w="962" w:type="dxa"/>
            <w:tcBorders>
              <w:top w:val="nil"/>
              <w:left w:val="nil"/>
              <w:bottom w:val="nil"/>
              <w:right w:val="nil"/>
            </w:tcBorders>
            <w:shd w:val="clear" w:color="auto" w:fill="auto"/>
            <w:noWrap/>
            <w:vAlign w:val="bottom"/>
            <w:hideMark/>
          </w:tcPr>
          <w:p w14:paraId="21CB240E"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0.187</w:t>
            </w:r>
          </w:p>
        </w:tc>
        <w:tc>
          <w:tcPr>
            <w:tcW w:w="1299" w:type="dxa"/>
            <w:tcBorders>
              <w:top w:val="nil"/>
              <w:left w:val="nil"/>
              <w:bottom w:val="nil"/>
              <w:right w:val="nil"/>
            </w:tcBorders>
            <w:shd w:val="clear" w:color="auto" w:fill="auto"/>
            <w:noWrap/>
            <w:vAlign w:val="bottom"/>
            <w:hideMark/>
          </w:tcPr>
          <w:p w14:paraId="0932E18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0.587</w:t>
            </w:r>
          </w:p>
        </w:tc>
        <w:tc>
          <w:tcPr>
            <w:tcW w:w="749" w:type="dxa"/>
            <w:tcBorders>
              <w:top w:val="nil"/>
              <w:left w:val="nil"/>
              <w:bottom w:val="nil"/>
              <w:right w:val="nil"/>
            </w:tcBorders>
            <w:shd w:val="clear" w:color="auto" w:fill="auto"/>
            <w:noWrap/>
            <w:vAlign w:val="bottom"/>
            <w:hideMark/>
          </w:tcPr>
          <w:p w14:paraId="0003244F"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0.036</w:t>
            </w:r>
          </w:p>
        </w:tc>
        <w:tc>
          <w:tcPr>
            <w:tcW w:w="915" w:type="dxa"/>
            <w:tcBorders>
              <w:top w:val="nil"/>
              <w:left w:val="nil"/>
              <w:bottom w:val="nil"/>
              <w:right w:val="nil"/>
            </w:tcBorders>
            <w:shd w:val="clear" w:color="auto" w:fill="auto"/>
            <w:noWrap/>
            <w:vAlign w:val="bottom"/>
            <w:hideMark/>
          </w:tcPr>
          <w:p w14:paraId="13948E8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0.016</w:t>
            </w:r>
          </w:p>
        </w:tc>
      </w:tr>
      <w:tr w:rsidR="00DD1307" w:rsidRPr="00A37CBC" w14:paraId="5C917FF3" w14:textId="77777777" w:rsidTr="00B33D54">
        <w:trPr>
          <w:trHeight w:val="300"/>
        </w:trPr>
        <w:tc>
          <w:tcPr>
            <w:tcW w:w="2040" w:type="dxa"/>
            <w:tcBorders>
              <w:top w:val="nil"/>
              <w:left w:val="nil"/>
              <w:bottom w:val="nil"/>
              <w:right w:val="nil"/>
            </w:tcBorders>
            <w:shd w:val="clear" w:color="auto" w:fill="auto"/>
            <w:noWrap/>
            <w:vAlign w:val="bottom"/>
            <w:hideMark/>
          </w:tcPr>
          <w:p w14:paraId="4B6291E2"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Top decile</w:t>
            </w:r>
          </w:p>
        </w:tc>
        <w:tc>
          <w:tcPr>
            <w:tcW w:w="1080" w:type="dxa"/>
            <w:tcBorders>
              <w:top w:val="nil"/>
              <w:left w:val="nil"/>
              <w:bottom w:val="nil"/>
              <w:right w:val="nil"/>
            </w:tcBorders>
            <w:shd w:val="clear" w:color="auto" w:fill="auto"/>
            <w:noWrap/>
            <w:vAlign w:val="bottom"/>
            <w:hideMark/>
          </w:tcPr>
          <w:p w14:paraId="1F83584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25 533</w:t>
            </w:r>
          </w:p>
        </w:tc>
        <w:tc>
          <w:tcPr>
            <w:tcW w:w="266" w:type="dxa"/>
            <w:tcBorders>
              <w:top w:val="nil"/>
              <w:left w:val="nil"/>
              <w:bottom w:val="nil"/>
              <w:right w:val="nil"/>
            </w:tcBorders>
            <w:shd w:val="clear" w:color="auto" w:fill="auto"/>
            <w:noWrap/>
            <w:vAlign w:val="bottom"/>
            <w:hideMark/>
          </w:tcPr>
          <w:p w14:paraId="0CDE791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4DD7D39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0.249</w:t>
            </w:r>
          </w:p>
        </w:tc>
        <w:tc>
          <w:tcPr>
            <w:tcW w:w="962" w:type="dxa"/>
            <w:tcBorders>
              <w:top w:val="nil"/>
              <w:left w:val="nil"/>
              <w:bottom w:val="nil"/>
              <w:right w:val="nil"/>
            </w:tcBorders>
            <w:shd w:val="clear" w:color="auto" w:fill="auto"/>
            <w:noWrap/>
            <w:vAlign w:val="bottom"/>
            <w:hideMark/>
          </w:tcPr>
          <w:p w14:paraId="6BDC8A0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0.179</w:t>
            </w:r>
          </w:p>
        </w:tc>
        <w:tc>
          <w:tcPr>
            <w:tcW w:w="1299" w:type="dxa"/>
            <w:tcBorders>
              <w:top w:val="nil"/>
              <w:left w:val="nil"/>
              <w:bottom w:val="nil"/>
              <w:right w:val="nil"/>
            </w:tcBorders>
            <w:shd w:val="clear" w:color="auto" w:fill="auto"/>
            <w:noWrap/>
            <w:vAlign w:val="bottom"/>
            <w:hideMark/>
          </w:tcPr>
          <w:p w14:paraId="06A8811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0.517</w:t>
            </w:r>
          </w:p>
        </w:tc>
        <w:tc>
          <w:tcPr>
            <w:tcW w:w="749" w:type="dxa"/>
            <w:tcBorders>
              <w:top w:val="nil"/>
              <w:left w:val="nil"/>
              <w:bottom w:val="nil"/>
              <w:right w:val="nil"/>
            </w:tcBorders>
            <w:shd w:val="clear" w:color="auto" w:fill="auto"/>
            <w:noWrap/>
            <w:vAlign w:val="bottom"/>
            <w:hideMark/>
          </w:tcPr>
          <w:p w14:paraId="096D391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0.042</w:t>
            </w:r>
          </w:p>
        </w:tc>
        <w:tc>
          <w:tcPr>
            <w:tcW w:w="915" w:type="dxa"/>
            <w:tcBorders>
              <w:top w:val="nil"/>
              <w:left w:val="nil"/>
              <w:bottom w:val="nil"/>
              <w:right w:val="nil"/>
            </w:tcBorders>
            <w:shd w:val="clear" w:color="auto" w:fill="auto"/>
            <w:noWrap/>
            <w:vAlign w:val="bottom"/>
            <w:hideMark/>
          </w:tcPr>
          <w:p w14:paraId="3E33996B"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0.014</w:t>
            </w:r>
          </w:p>
        </w:tc>
      </w:tr>
      <w:tr w:rsidR="00DD1307" w:rsidRPr="00A37CBC" w14:paraId="1BFDB4D7" w14:textId="77777777" w:rsidTr="00B33D54">
        <w:trPr>
          <w:trHeight w:val="300"/>
        </w:trPr>
        <w:tc>
          <w:tcPr>
            <w:tcW w:w="2040" w:type="dxa"/>
            <w:tcBorders>
              <w:top w:val="nil"/>
              <w:left w:val="nil"/>
              <w:bottom w:val="nil"/>
              <w:right w:val="nil"/>
            </w:tcBorders>
            <w:shd w:val="clear" w:color="auto" w:fill="auto"/>
            <w:noWrap/>
            <w:vAlign w:val="bottom"/>
            <w:hideMark/>
          </w:tcPr>
          <w:p w14:paraId="54E68490"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Missing</w:t>
            </w:r>
          </w:p>
        </w:tc>
        <w:tc>
          <w:tcPr>
            <w:tcW w:w="1080" w:type="dxa"/>
            <w:tcBorders>
              <w:top w:val="nil"/>
              <w:left w:val="nil"/>
              <w:bottom w:val="nil"/>
              <w:right w:val="nil"/>
            </w:tcBorders>
            <w:shd w:val="clear" w:color="auto" w:fill="auto"/>
            <w:noWrap/>
            <w:vAlign w:val="bottom"/>
            <w:hideMark/>
          </w:tcPr>
          <w:p w14:paraId="2A7868B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2 345</w:t>
            </w:r>
          </w:p>
        </w:tc>
        <w:tc>
          <w:tcPr>
            <w:tcW w:w="266" w:type="dxa"/>
            <w:tcBorders>
              <w:top w:val="nil"/>
              <w:left w:val="nil"/>
              <w:bottom w:val="nil"/>
              <w:right w:val="nil"/>
            </w:tcBorders>
            <w:shd w:val="clear" w:color="auto" w:fill="auto"/>
            <w:noWrap/>
            <w:vAlign w:val="bottom"/>
            <w:hideMark/>
          </w:tcPr>
          <w:p w14:paraId="68573875"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751DCEDF"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0.162</w:t>
            </w:r>
          </w:p>
        </w:tc>
        <w:tc>
          <w:tcPr>
            <w:tcW w:w="962" w:type="dxa"/>
            <w:tcBorders>
              <w:top w:val="nil"/>
              <w:left w:val="nil"/>
              <w:bottom w:val="nil"/>
              <w:right w:val="nil"/>
            </w:tcBorders>
            <w:shd w:val="clear" w:color="auto" w:fill="auto"/>
            <w:noWrap/>
            <w:vAlign w:val="bottom"/>
            <w:hideMark/>
          </w:tcPr>
          <w:p w14:paraId="1396303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0.171</w:t>
            </w:r>
          </w:p>
        </w:tc>
        <w:tc>
          <w:tcPr>
            <w:tcW w:w="1299" w:type="dxa"/>
            <w:tcBorders>
              <w:top w:val="nil"/>
              <w:left w:val="nil"/>
              <w:bottom w:val="nil"/>
              <w:right w:val="nil"/>
            </w:tcBorders>
            <w:shd w:val="clear" w:color="auto" w:fill="auto"/>
            <w:noWrap/>
            <w:vAlign w:val="bottom"/>
            <w:hideMark/>
          </w:tcPr>
          <w:p w14:paraId="03C42A0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0.606</w:t>
            </w:r>
          </w:p>
        </w:tc>
        <w:tc>
          <w:tcPr>
            <w:tcW w:w="749" w:type="dxa"/>
            <w:tcBorders>
              <w:top w:val="nil"/>
              <w:left w:val="nil"/>
              <w:bottom w:val="nil"/>
              <w:right w:val="nil"/>
            </w:tcBorders>
            <w:shd w:val="clear" w:color="auto" w:fill="auto"/>
            <w:noWrap/>
            <w:vAlign w:val="bottom"/>
            <w:hideMark/>
          </w:tcPr>
          <w:p w14:paraId="178C76E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0.035</w:t>
            </w:r>
          </w:p>
        </w:tc>
        <w:tc>
          <w:tcPr>
            <w:tcW w:w="915" w:type="dxa"/>
            <w:tcBorders>
              <w:top w:val="nil"/>
              <w:left w:val="nil"/>
              <w:bottom w:val="nil"/>
              <w:right w:val="nil"/>
            </w:tcBorders>
            <w:shd w:val="clear" w:color="auto" w:fill="auto"/>
            <w:noWrap/>
            <w:vAlign w:val="bottom"/>
            <w:hideMark/>
          </w:tcPr>
          <w:p w14:paraId="02B95BA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0.026</w:t>
            </w:r>
          </w:p>
        </w:tc>
      </w:tr>
      <w:tr w:rsidR="00B33D54" w:rsidRPr="00A37CBC" w14:paraId="55C0F6F4"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19726CB4" w14:textId="77777777" w:rsidR="00B33D54" w:rsidRPr="00A37CBC" w:rsidRDefault="00B33D54" w:rsidP="00B33D54">
            <w:pPr>
              <w:spacing w:before="0" w:after="0" w:line="240" w:lineRule="auto"/>
              <w:rPr>
                <w:rFonts w:ascii="Times New Roman" w:eastAsia="Times New Roman" w:hAnsi="Times New Roman"/>
                <w:sz w:val="20"/>
                <w:lang w:eastAsia="en-AU"/>
              </w:rPr>
            </w:pPr>
          </w:p>
        </w:tc>
      </w:tr>
      <w:tr w:rsidR="00B33D54" w:rsidRPr="00A37CBC" w14:paraId="4DD20420" w14:textId="77777777" w:rsidTr="00B33D54">
        <w:trPr>
          <w:trHeight w:val="300"/>
        </w:trPr>
        <w:tc>
          <w:tcPr>
            <w:tcW w:w="8212" w:type="dxa"/>
            <w:gridSpan w:val="8"/>
            <w:tcBorders>
              <w:top w:val="nil"/>
              <w:left w:val="nil"/>
              <w:bottom w:val="nil"/>
              <w:right w:val="nil"/>
            </w:tcBorders>
            <w:shd w:val="clear" w:color="auto" w:fill="auto"/>
            <w:noWrap/>
            <w:vAlign w:val="bottom"/>
            <w:hideMark/>
          </w:tcPr>
          <w:p w14:paraId="756C10EB" w14:textId="07287117" w:rsidR="00B33D54" w:rsidRPr="00B33D54" w:rsidRDefault="00B33D54" w:rsidP="00B33D54">
            <w:pPr>
              <w:spacing w:before="0" w:after="0" w:line="240" w:lineRule="auto"/>
              <w:rPr>
                <w:rFonts w:ascii="Times New Roman" w:eastAsia="Times New Roman" w:hAnsi="Times New Roman"/>
                <w:sz w:val="20"/>
                <w:lang w:eastAsia="en-AU"/>
              </w:rPr>
            </w:pPr>
            <w:r w:rsidRPr="00B33D54">
              <w:rPr>
                <w:rFonts w:ascii="Calibri" w:eastAsia="Times New Roman" w:hAnsi="Calibri" w:cs="Calibri"/>
                <w:color w:val="000000"/>
                <w:szCs w:val="22"/>
                <w:lang w:eastAsia="en-AU"/>
              </w:rPr>
              <w:t>Geographic remoteness</w:t>
            </w:r>
          </w:p>
        </w:tc>
      </w:tr>
      <w:tr w:rsidR="00DD1307" w:rsidRPr="00A37CBC" w14:paraId="7A69E263" w14:textId="77777777" w:rsidTr="00B33D54">
        <w:trPr>
          <w:trHeight w:val="300"/>
        </w:trPr>
        <w:tc>
          <w:tcPr>
            <w:tcW w:w="2040" w:type="dxa"/>
            <w:tcBorders>
              <w:top w:val="nil"/>
              <w:left w:val="nil"/>
              <w:bottom w:val="nil"/>
              <w:right w:val="nil"/>
            </w:tcBorders>
            <w:shd w:val="clear" w:color="auto" w:fill="auto"/>
            <w:noWrap/>
            <w:vAlign w:val="bottom"/>
            <w:hideMark/>
          </w:tcPr>
          <w:p w14:paraId="0CF52A1A"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Major cities</w:t>
            </w:r>
          </w:p>
        </w:tc>
        <w:tc>
          <w:tcPr>
            <w:tcW w:w="1080" w:type="dxa"/>
            <w:tcBorders>
              <w:top w:val="nil"/>
              <w:left w:val="nil"/>
              <w:bottom w:val="nil"/>
              <w:right w:val="nil"/>
            </w:tcBorders>
            <w:shd w:val="clear" w:color="auto" w:fill="auto"/>
            <w:noWrap/>
            <w:vAlign w:val="bottom"/>
            <w:hideMark/>
          </w:tcPr>
          <w:p w14:paraId="345CDF31"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136 934</w:t>
            </w:r>
          </w:p>
        </w:tc>
        <w:tc>
          <w:tcPr>
            <w:tcW w:w="266" w:type="dxa"/>
            <w:tcBorders>
              <w:top w:val="nil"/>
              <w:left w:val="nil"/>
              <w:bottom w:val="nil"/>
              <w:right w:val="nil"/>
            </w:tcBorders>
            <w:shd w:val="clear" w:color="auto" w:fill="auto"/>
            <w:noWrap/>
            <w:vAlign w:val="bottom"/>
            <w:hideMark/>
          </w:tcPr>
          <w:p w14:paraId="69EB3A08"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001E3FF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0.169</w:t>
            </w:r>
          </w:p>
        </w:tc>
        <w:tc>
          <w:tcPr>
            <w:tcW w:w="962" w:type="dxa"/>
            <w:tcBorders>
              <w:top w:val="nil"/>
              <w:left w:val="nil"/>
              <w:bottom w:val="nil"/>
              <w:right w:val="nil"/>
            </w:tcBorders>
            <w:shd w:val="clear" w:color="auto" w:fill="auto"/>
            <w:noWrap/>
            <w:vAlign w:val="bottom"/>
            <w:hideMark/>
          </w:tcPr>
          <w:p w14:paraId="2387BDC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0.187</w:t>
            </w:r>
          </w:p>
        </w:tc>
        <w:tc>
          <w:tcPr>
            <w:tcW w:w="1299" w:type="dxa"/>
            <w:tcBorders>
              <w:top w:val="nil"/>
              <w:left w:val="nil"/>
              <w:bottom w:val="nil"/>
              <w:right w:val="nil"/>
            </w:tcBorders>
            <w:shd w:val="clear" w:color="auto" w:fill="auto"/>
            <w:noWrap/>
            <w:vAlign w:val="bottom"/>
            <w:hideMark/>
          </w:tcPr>
          <w:p w14:paraId="2987F16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0.596</w:t>
            </w:r>
          </w:p>
        </w:tc>
        <w:tc>
          <w:tcPr>
            <w:tcW w:w="749" w:type="dxa"/>
            <w:tcBorders>
              <w:top w:val="nil"/>
              <w:left w:val="nil"/>
              <w:bottom w:val="nil"/>
              <w:right w:val="nil"/>
            </w:tcBorders>
            <w:shd w:val="clear" w:color="auto" w:fill="auto"/>
            <w:noWrap/>
            <w:vAlign w:val="bottom"/>
            <w:hideMark/>
          </w:tcPr>
          <w:p w14:paraId="5F44E58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0.031</w:t>
            </w:r>
          </w:p>
        </w:tc>
        <w:tc>
          <w:tcPr>
            <w:tcW w:w="915" w:type="dxa"/>
            <w:tcBorders>
              <w:top w:val="nil"/>
              <w:left w:val="nil"/>
              <w:bottom w:val="nil"/>
              <w:right w:val="nil"/>
            </w:tcBorders>
            <w:shd w:val="clear" w:color="auto" w:fill="auto"/>
            <w:noWrap/>
            <w:vAlign w:val="bottom"/>
            <w:hideMark/>
          </w:tcPr>
          <w:p w14:paraId="7126D94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0.017</w:t>
            </w:r>
          </w:p>
        </w:tc>
      </w:tr>
      <w:tr w:rsidR="00DD1307" w:rsidRPr="00A37CBC" w14:paraId="2B175A3A" w14:textId="77777777" w:rsidTr="00B33D54">
        <w:trPr>
          <w:trHeight w:val="300"/>
        </w:trPr>
        <w:tc>
          <w:tcPr>
            <w:tcW w:w="2040" w:type="dxa"/>
            <w:tcBorders>
              <w:top w:val="nil"/>
              <w:left w:val="nil"/>
              <w:bottom w:val="nil"/>
              <w:right w:val="nil"/>
            </w:tcBorders>
            <w:shd w:val="clear" w:color="auto" w:fill="auto"/>
            <w:noWrap/>
            <w:vAlign w:val="bottom"/>
            <w:hideMark/>
          </w:tcPr>
          <w:p w14:paraId="4B1EE454"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Inner regional</w:t>
            </w:r>
          </w:p>
        </w:tc>
        <w:tc>
          <w:tcPr>
            <w:tcW w:w="1080" w:type="dxa"/>
            <w:tcBorders>
              <w:top w:val="nil"/>
              <w:left w:val="nil"/>
              <w:bottom w:val="nil"/>
              <w:right w:val="nil"/>
            </w:tcBorders>
            <w:shd w:val="clear" w:color="auto" w:fill="auto"/>
            <w:noWrap/>
            <w:vAlign w:val="bottom"/>
            <w:hideMark/>
          </w:tcPr>
          <w:p w14:paraId="7B2A47C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51 096</w:t>
            </w:r>
          </w:p>
        </w:tc>
        <w:tc>
          <w:tcPr>
            <w:tcW w:w="266" w:type="dxa"/>
            <w:tcBorders>
              <w:top w:val="nil"/>
              <w:left w:val="nil"/>
              <w:bottom w:val="nil"/>
              <w:right w:val="nil"/>
            </w:tcBorders>
            <w:shd w:val="clear" w:color="auto" w:fill="auto"/>
            <w:noWrap/>
            <w:vAlign w:val="bottom"/>
            <w:hideMark/>
          </w:tcPr>
          <w:p w14:paraId="201162C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56076E4B"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0.104</w:t>
            </w:r>
          </w:p>
        </w:tc>
        <w:tc>
          <w:tcPr>
            <w:tcW w:w="962" w:type="dxa"/>
            <w:tcBorders>
              <w:top w:val="nil"/>
              <w:left w:val="nil"/>
              <w:bottom w:val="nil"/>
              <w:right w:val="nil"/>
            </w:tcBorders>
            <w:shd w:val="clear" w:color="auto" w:fill="auto"/>
            <w:noWrap/>
            <w:vAlign w:val="bottom"/>
            <w:hideMark/>
          </w:tcPr>
          <w:p w14:paraId="761F12B4"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0.175</w:t>
            </w:r>
          </w:p>
        </w:tc>
        <w:tc>
          <w:tcPr>
            <w:tcW w:w="1299" w:type="dxa"/>
            <w:tcBorders>
              <w:top w:val="nil"/>
              <w:left w:val="nil"/>
              <w:bottom w:val="nil"/>
              <w:right w:val="nil"/>
            </w:tcBorders>
            <w:shd w:val="clear" w:color="auto" w:fill="auto"/>
            <w:noWrap/>
            <w:vAlign w:val="bottom"/>
            <w:hideMark/>
          </w:tcPr>
          <w:p w14:paraId="211D6CF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0.682</w:t>
            </w:r>
          </w:p>
        </w:tc>
        <w:tc>
          <w:tcPr>
            <w:tcW w:w="749" w:type="dxa"/>
            <w:tcBorders>
              <w:top w:val="nil"/>
              <w:left w:val="nil"/>
              <w:bottom w:val="nil"/>
              <w:right w:val="nil"/>
            </w:tcBorders>
            <w:shd w:val="clear" w:color="auto" w:fill="auto"/>
            <w:noWrap/>
            <w:vAlign w:val="bottom"/>
            <w:hideMark/>
          </w:tcPr>
          <w:p w14:paraId="00EA1707"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0.025</w:t>
            </w:r>
          </w:p>
        </w:tc>
        <w:tc>
          <w:tcPr>
            <w:tcW w:w="915" w:type="dxa"/>
            <w:tcBorders>
              <w:top w:val="nil"/>
              <w:left w:val="nil"/>
              <w:bottom w:val="nil"/>
              <w:right w:val="nil"/>
            </w:tcBorders>
            <w:shd w:val="clear" w:color="auto" w:fill="auto"/>
            <w:noWrap/>
            <w:vAlign w:val="bottom"/>
            <w:hideMark/>
          </w:tcPr>
          <w:p w14:paraId="2F820C1C"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0.014</w:t>
            </w:r>
          </w:p>
        </w:tc>
      </w:tr>
      <w:tr w:rsidR="00DD1307" w:rsidRPr="00A37CBC" w14:paraId="56F218C8" w14:textId="77777777" w:rsidTr="00B33D54">
        <w:trPr>
          <w:trHeight w:val="300"/>
        </w:trPr>
        <w:tc>
          <w:tcPr>
            <w:tcW w:w="2040" w:type="dxa"/>
            <w:tcBorders>
              <w:top w:val="nil"/>
              <w:left w:val="nil"/>
              <w:bottom w:val="nil"/>
              <w:right w:val="nil"/>
            </w:tcBorders>
            <w:shd w:val="clear" w:color="auto" w:fill="auto"/>
            <w:noWrap/>
            <w:vAlign w:val="bottom"/>
            <w:hideMark/>
          </w:tcPr>
          <w:p w14:paraId="39ED300F"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Outer regional</w:t>
            </w:r>
          </w:p>
        </w:tc>
        <w:tc>
          <w:tcPr>
            <w:tcW w:w="1080" w:type="dxa"/>
            <w:tcBorders>
              <w:top w:val="nil"/>
              <w:left w:val="nil"/>
              <w:bottom w:val="nil"/>
              <w:right w:val="nil"/>
            </w:tcBorders>
            <w:shd w:val="clear" w:color="auto" w:fill="auto"/>
            <w:noWrap/>
            <w:vAlign w:val="bottom"/>
            <w:hideMark/>
          </w:tcPr>
          <w:p w14:paraId="5B598E7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18 642</w:t>
            </w:r>
          </w:p>
        </w:tc>
        <w:tc>
          <w:tcPr>
            <w:tcW w:w="266" w:type="dxa"/>
            <w:tcBorders>
              <w:top w:val="nil"/>
              <w:left w:val="nil"/>
              <w:bottom w:val="nil"/>
              <w:right w:val="nil"/>
            </w:tcBorders>
            <w:shd w:val="clear" w:color="auto" w:fill="auto"/>
            <w:noWrap/>
            <w:vAlign w:val="bottom"/>
            <w:hideMark/>
          </w:tcPr>
          <w:p w14:paraId="15BC749B"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79D2294F"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0.106</w:t>
            </w:r>
          </w:p>
        </w:tc>
        <w:tc>
          <w:tcPr>
            <w:tcW w:w="962" w:type="dxa"/>
            <w:tcBorders>
              <w:top w:val="nil"/>
              <w:left w:val="nil"/>
              <w:bottom w:val="nil"/>
              <w:right w:val="nil"/>
            </w:tcBorders>
            <w:shd w:val="clear" w:color="auto" w:fill="auto"/>
            <w:noWrap/>
            <w:vAlign w:val="bottom"/>
            <w:hideMark/>
          </w:tcPr>
          <w:p w14:paraId="0E87B51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0.125</w:t>
            </w:r>
          </w:p>
        </w:tc>
        <w:tc>
          <w:tcPr>
            <w:tcW w:w="1299" w:type="dxa"/>
            <w:tcBorders>
              <w:top w:val="nil"/>
              <w:left w:val="nil"/>
              <w:bottom w:val="nil"/>
              <w:right w:val="nil"/>
            </w:tcBorders>
            <w:shd w:val="clear" w:color="auto" w:fill="auto"/>
            <w:noWrap/>
            <w:vAlign w:val="bottom"/>
            <w:hideMark/>
          </w:tcPr>
          <w:p w14:paraId="073ACA5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0.730</w:t>
            </w:r>
          </w:p>
        </w:tc>
        <w:tc>
          <w:tcPr>
            <w:tcW w:w="749" w:type="dxa"/>
            <w:tcBorders>
              <w:top w:val="nil"/>
              <w:left w:val="nil"/>
              <w:bottom w:val="nil"/>
              <w:right w:val="nil"/>
            </w:tcBorders>
            <w:shd w:val="clear" w:color="auto" w:fill="auto"/>
            <w:noWrap/>
            <w:vAlign w:val="bottom"/>
            <w:hideMark/>
          </w:tcPr>
          <w:p w14:paraId="7571FC31"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0.024</w:t>
            </w:r>
          </w:p>
        </w:tc>
        <w:tc>
          <w:tcPr>
            <w:tcW w:w="915" w:type="dxa"/>
            <w:tcBorders>
              <w:top w:val="nil"/>
              <w:left w:val="nil"/>
              <w:bottom w:val="nil"/>
              <w:right w:val="nil"/>
            </w:tcBorders>
            <w:shd w:val="clear" w:color="auto" w:fill="auto"/>
            <w:noWrap/>
            <w:vAlign w:val="bottom"/>
            <w:hideMark/>
          </w:tcPr>
          <w:p w14:paraId="30E4DCA9"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0.016</w:t>
            </w:r>
          </w:p>
        </w:tc>
      </w:tr>
      <w:tr w:rsidR="00DD1307" w:rsidRPr="00A37CBC" w14:paraId="68BD7C1E" w14:textId="77777777" w:rsidTr="00B33D54">
        <w:trPr>
          <w:trHeight w:val="300"/>
        </w:trPr>
        <w:tc>
          <w:tcPr>
            <w:tcW w:w="2040" w:type="dxa"/>
            <w:tcBorders>
              <w:top w:val="nil"/>
              <w:left w:val="nil"/>
              <w:bottom w:val="nil"/>
              <w:right w:val="nil"/>
            </w:tcBorders>
            <w:shd w:val="clear" w:color="auto" w:fill="auto"/>
            <w:noWrap/>
            <w:vAlign w:val="bottom"/>
            <w:hideMark/>
          </w:tcPr>
          <w:p w14:paraId="20ADA53F"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Remote</w:t>
            </w:r>
          </w:p>
        </w:tc>
        <w:tc>
          <w:tcPr>
            <w:tcW w:w="1080" w:type="dxa"/>
            <w:tcBorders>
              <w:top w:val="nil"/>
              <w:left w:val="nil"/>
              <w:bottom w:val="nil"/>
              <w:right w:val="nil"/>
            </w:tcBorders>
            <w:shd w:val="clear" w:color="auto" w:fill="auto"/>
            <w:noWrap/>
            <w:vAlign w:val="bottom"/>
            <w:hideMark/>
          </w:tcPr>
          <w:p w14:paraId="40A92DA4"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1 867</w:t>
            </w:r>
          </w:p>
        </w:tc>
        <w:tc>
          <w:tcPr>
            <w:tcW w:w="266" w:type="dxa"/>
            <w:tcBorders>
              <w:top w:val="nil"/>
              <w:left w:val="nil"/>
              <w:bottom w:val="nil"/>
              <w:right w:val="nil"/>
            </w:tcBorders>
            <w:shd w:val="clear" w:color="auto" w:fill="auto"/>
            <w:noWrap/>
            <w:vAlign w:val="bottom"/>
            <w:hideMark/>
          </w:tcPr>
          <w:p w14:paraId="3548B88E"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41DD0078"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0.144</w:t>
            </w:r>
          </w:p>
        </w:tc>
        <w:tc>
          <w:tcPr>
            <w:tcW w:w="962" w:type="dxa"/>
            <w:tcBorders>
              <w:top w:val="nil"/>
              <w:left w:val="nil"/>
              <w:bottom w:val="nil"/>
              <w:right w:val="nil"/>
            </w:tcBorders>
            <w:shd w:val="clear" w:color="auto" w:fill="auto"/>
            <w:noWrap/>
            <w:vAlign w:val="bottom"/>
            <w:hideMark/>
          </w:tcPr>
          <w:p w14:paraId="5667D01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0.095</w:t>
            </w:r>
          </w:p>
        </w:tc>
        <w:tc>
          <w:tcPr>
            <w:tcW w:w="1299" w:type="dxa"/>
            <w:tcBorders>
              <w:top w:val="nil"/>
              <w:left w:val="nil"/>
              <w:bottom w:val="nil"/>
              <w:right w:val="nil"/>
            </w:tcBorders>
            <w:shd w:val="clear" w:color="auto" w:fill="auto"/>
            <w:noWrap/>
            <w:vAlign w:val="bottom"/>
            <w:hideMark/>
          </w:tcPr>
          <w:p w14:paraId="67A7BE2D"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0.724</w:t>
            </w:r>
          </w:p>
        </w:tc>
        <w:tc>
          <w:tcPr>
            <w:tcW w:w="749" w:type="dxa"/>
            <w:tcBorders>
              <w:top w:val="nil"/>
              <w:left w:val="nil"/>
              <w:bottom w:val="nil"/>
              <w:right w:val="nil"/>
            </w:tcBorders>
            <w:shd w:val="clear" w:color="auto" w:fill="auto"/>
            <w:noWrap/>
            <w:vAlign w:val="bottom"/>
            <w:hideMark/>
          </w:tcPr>
          <w:p w14:paraId="2937B5C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0.020</w:t>
            </w:r>
          </w:p>
        </w:tc>
        <w:tc>
          <w:tcPr>
            <w:tcW w:w="915" w:type="dxa"/>
            <w:tcBorders>
              <w:top w:val="nil"/>
              <w:left w:val="nil"/>
              <w:bottom w:val="nil"/>
              <w:right w:val="nil"/>
            </w:tcBorders>
            <w:shd w:val="clear" w:color="auto" w:fill="auto"/>
            <w:noWrap/>
            <w:vAlign w:val="bottom"/>
            <w:hideMark/>
          </w:tcPr>
          <w:p w14:paraId="5945E05F"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0.017</w:t>
            </w:r>
          </w:p>
        </w:tc>
      </w:tr>
      <w:tr w:rsidR="00DD1307" w:rsidRPr="00A37CBC" w14:paraId="7D610F39" w14:textId="77777777" w:rsidTr="00B33D54">
        <w:trPr>
          <w:trHeight w:val="300"/>
        </w:trPr>
        <w:tc>
          <w:tcPr>
            <w:tcW w:w="2040" w:type="dxa"/>
            <w:tcBorders>
              <w:top w:val="nil"/>
              <w:left w:val="nil"/>
              <w:bottom w:val="nil"/>
              <w:right w:val="nil"/>
            </w:tcBorders>
            <w:shd w:val="clear" w:color="auto" w:fill="auto"/>
            <w:noWrap/>
            <w:vAlign w:val="bottom"/>
            <w:hideMark/>
          </w:tcPr>
          <w:p w14:paraId="484F8269"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Very remote</w:t>
            </w:r>
          </w:p>
        </w:tc>
        <w:tc>
          <w:tcPr>
            <w:tcW w:w="1080" w:type="dxa"/>
            <w:tcBorders>
              <w:top w:val="nil"/>
              <w:left w:val="nil"/>
              <w:bottom w:val="nil"/>
              <w:right w:val="nil"/>
            </w:tcBorders>
            <w:shd w:val="clear" w:color="auto" w:fill="auto"/>
            <w:noWrap/>
            <w:vAlign w:val="bottom"/>
            <w:hideMark/>
          </w:tcPr>
          <w:p w14:paraId="2D4AC51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698</w:t>
            </w:r>
          </w:p>
        </w:tc>
        <w:tc>
          <w:tcPr>
            <w:tcW w:w="266" w:type="dxa"/>
            <w:tcBorders>
              <w:top w:val="nil"/>
              <w:left w:val="nil"/>
              <w:bottom w:val="nil"/>
              <w:right w:val="nil"/>
            </w:tcBorders>
            <w:shd w:val="clear" w:color="auto" w:fill="auto"/>
            <w:noWrap/>
            <w:vAlign w:val="bottom"/>
            <w:hideMark/>
          </w:tcPr>
          <w:p w14:paraId="2878FAF9"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p>
        </w:tc>
        <w:tc>
          <w:tcPr>
            <w:tcW w:w="901" w:type="dxa"/>
            <w:tcBorders>
              <w:top w:val="nil"/>
              <w:left w:val="nil"/>
              <w:bottom w:val="nil"/>
              <w:right w:val="nil"/>
            </w:tcBorders>
            <w:shd w:val="clear" w:color="auto" w:fill="auto"/>
            <w:noWrap/>
            <w:vAlign w:val="bottom"/>
            <w:hideMark/>
          </w:tcPr>
          <w:p w14:paraId="4440EB9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0.095</w:t>
            </w:r>
          </w:p>
        </w:tc>
        <w:tc>
          <w:tcPr>
            <w:tcW w:w="962" w:type="dxa"/>
            <w:tcBorders>
              <w:top w:val="nil"/>
              <w:left w:val="nil"/>
              <w:bottom w:val="nil"/>
              <w:right w:val="nil"/>
            </w:tcBorders>
            <w:shd w:val="clear" w:color="auto" w:fill="auto"/>
            <w:noWrap/>
            <w:vAlign w:val="bottom"/>
            <w:hideMark/>
          </w:tcPr>
          <w:p w14:paraId="099ABE20"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0.095</w:t>
            </w:r>
          </w:p>
        </w:tc>
        <w:tc>
          <w:tcPr>
            <w:tcW w:w="1299" w:type="dxa"/>
            <w:tcBorders>
              <w:top w:val="nil"/>
              <w:left w:val="nil"/>
              <w:bottom w:val="nil"/>
              <w:right w:val="nil"/>
            </w:tcBorders>
            <w:shd w:val="clear" w:color="auto" w:fill="auto"/>
            <w:noWrap/>
            <w:vAlign w:val="bottom"/>
            <w:hideMark/>
          </w:tcPr>
          <w:p w14:paraId="107C82EE"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0.751</w:t>
            </w:r>
          </w:p>
        </w:tc>
        <w:tc>
          <w:tcPr>
            <w:tcW w:w="749" w:type="dxa"/>
            <w:tcBorders>
              <w:top w:val="nil"/>
              <w:left w:val="nil"/>
              <w:bottom w:val="nil"/>
              <w:right w:val="nil"/>
            </w:tcBorders>
            <w:shd w:val="clear" w:color="auto" w:fill="auto"/>
            <w:noWrap/>
            <w:vAlign w:val="bottom"/>
            <w:hideMark/>
          </w:tcPr>
          <w:p w14:paraId="13B7ABDF"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0.043</w:t>
            </w:r>
          </w:p>
        </w:tc>
        <w:tc>
          <w:tcPr>
            <w:tcW w:w="915" w:type="dxa"/>
            <w:tcBorders>
              <w:top w:val="nil"/>
              <w:left w:val="nil"/>
              <w:bottom w:val="nil"/>
              <w:right w:val="nil"/>
            </w:tcBorders>
            <w:shd w:val="clear" w:color="auto" w:fill="auto"/>
            <w:noWrap/>
            <w:vAlign w:val="bottom"/>
            <w:hideMark/>
          </w:tcPr>
          <w:p w14:paraId="08494176"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0.017</w:t>
            </w:r>
          </w:p>
        </w:tc>
      </w:tr>
      <w:tr w:rsidR="00DD1307" w:rsidRPr="00A37CBC" w14:paraId="69D07717" w14:textId="77777777" w:rsidTr="00B33D54">
        <w:trPr>
          <w:trHeight w:val="300"/>
        </w:trPr>
        <w:tc>
          <w:tcPr>
            <w:tcW w:w="2040" w:type="dxa"/>
            <w:tcBorders>
              <w:top w:val="nil"/>
              <w:left w:val="nil"/>
              <w:bottom w:val="single" w:sz="4" w:space="0" w:color="auto"/>
              <w:right w:val="nil"/>
            </w:tcBorders>
            <w:shd w:val="clear" w:color="auto" w:fill="auto"/>
            <w:noWrap/>
            <w:vAlign w:val="bottom"/>
            <w:hideMark/>
          </w:tcPr>
          <w:p w14:paraId="0F92093A" w14:textId="77777777" w:rsidR="00DD1307" w:rsidRPr="00A37CBC" w:rsidRDefault="00DD1307" w:rsidP="00A61F03">
            <w:pPr>
              <w:spacing w:before="0" w:after="0" w:line="240" w:lineRule="auto"/>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Missing</w:t>
            </w:r>
          </w:p>
        </w:tc>
        <w:tc>
          <w:tcPr>
            <w:tcW w:w="1080" w:type="dxa"/>
            <w:tcBorders>
              <w:top w:val="nil"/>
              <w:left w:val="nil"/>
              <w:bottom w:val="single" w:sz="4" w:space="0" w:color="auto"/>
              <w:right w:val="nil"/>
            </w:tcBorders>
            <w:shd w:val="clear" w:color="auto" w:fill="auto"/>
            <w:noWrap/>
            <w:vAlign w:val="bottom"/>
            <w:hideMark/>
          </w:tcPr>
          <w:p w14:paraId="7078B1EF"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2 297</w:t>
            </w:r>
          </w:p>
        </w:tc>
        <w:tc>
          <w:tcPr>
            <w:tcW w:w="266" w:type="dxa"/>
            <w:tcBorders>
              <w:top w:val="nil"/>
              <w:left w:val="nil"/>
              <w:bottom w:val="single" w:sz="4" w:space="0" w:color="auto"/>
              <w:right w:val="nil"/>
            </w:tcBorders>
            <w:shd w:val="clear" w:color="auto" w:fill="auto"/>
            <w:noWrap/>
            <w:vAlign w:val="bottom"/>
            <w:hideMark/>
          </w:tcPr>
          <w:p w14:paraId="614F230C" w14:textId="77777777" w:rsidR="00DD1307" w:rsidRPr="00A37CBC" w:rsidRDefault="00DD1307" w:rsidP="00A61F03">
            <w:pPr>
              <w:spacing w:before="0" w:after="0" w:line="240" w:lineRule="auto"/>
              <w:jc w:val="right"/>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 </w:t>
            </w:r>
          </w:p>
        </w:tc>
        <w:tc>
          <w:tcPr>
            <w:tcW w:w="901" w:type="dxa"/>
            <w:tcBorders>
              <w:top w:val="nil"/>
              <w:left w:val="nil"/>
              <w:bottom w:val="single" w:sz="4" w:space="0" w:color="auto"/>
              <w:right w:val="nil"/>
            </w:tcBorders>
            <w:shd w:val="clear" w:color="auto" w:fill="auto"/>
            <w:noWrap/>
            <w:vAlign w:val="bottom"/>
            <w:hideMark/>
          </w:tcPr>
          <w:p w14:paraId="34005BB3"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0.162</w:t>
            </w:r>
          </w:p>
        </w:tc>
        <w:tc>
          <w:tcPr>
            <w:tcW w:w="962" w:type="dxa"/>
            <w:tcBorders>
              <w:top w:val="nil"/>
              <w:left w:val="nil"/>
              <w:bottom w:val="single" w:sz="4" w:space="0" w:color="auto"/>
              <w:right w:val="nil"/>
            </w:tcBorders>
            <w:shd w:val="clear" w:color="auto" w:fill="auto"/>
            <w:noWrap/>
            <w:vAlign w:val="bottom"/>
            <w:hideMark/>
          </w:tcPr>
          <w:p w14:paraId="0CCAC1C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0.173</w:t>
            </w:r>
          </w:p>
        </w:tc>
        <w:tc>
          <w:tcPr>
            <w:tcW w:w="1299" w:type="dxa"/>
            <w:tcBorders>
              <w:top w:val="nil"/>
              <w:left w:val="nil"/>
              <w:bottom w:val="single" w:sz="4" w:space="0" w:color="auto"/>
              <w:right w:val="nil"/>
            </w:tcBorders>
            <w:shd w:val="clear" w:color="auto" w:fill="auto"/>
            <w:noWrap/>
            <w:vAlign w:val="bottom"/>
            <w:hideMark/>
          </w:tcPr>
          <w:p w14:paraId="59791B1A"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0.606</w:t>
            </w:r>
          </w:p>
        </w:tc>
        <w:tc>
          <w:tcPr>
            <w:tcW w:w="749" w:type="dxa"/>
            <w:tcBorders>
              <w:top w:val="nil"/>
              <w:left w:val="nil"/>
              <w:bottom w:val="single" w:sz="4" w:space="0" w:color="auto"/>
              <w:right w:val="nil"/>
            </w:tcBorders>
            <w:shd w:val="clear" w:color="auto" w:fill="auto"/>
            <w:noWrap/>
            <w:vAlign w:val="bottom"/>
            <w:hideMark/>
          </w:tcPr>
          <w:p w14:paraId="1611A18B"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0.034</w:t>
            </w:r>
          </w:p>
        </w:tc>
        <w:tc>
          <w:tcPr>
            <w:tcW w:w="915" w:type="dxa"/>
            <w:tcBorders>
              <w:top w:val="nil"/>
              <w:left w:val="nil"/>
              <w:bottom w:val="single" w:sz="4" w:space="0" w:color="auto"/>
              <w:right w:val="nil"/>
            </w:tcBorders>
            <w:shd w:val="clear" w:color="auto" w:fill="auto"/>
            <w:noWrap/>
            <w:vAlign w:val="bottom"/>
            <w:hideMark/>
          </w:tcPr>
          <w:p w14:paraId="3D6F16F5" w14:textId="77777777" w:rsidR="00DD1307" w:rsidRPr="00A37CBC" w:rsidRDefault="00DD1307" w:rsidP="00A61F03">
            <w:pPr>
              <w:spacing w:before="0" w:after="0" w:line="240" w:lineRule="auto"/>
              <w:jc w:val="center"/>
              <w:rPr>
                <w:rFonts w:ascii="Calibri" w:eastAsia="Times New Roman" w:hAnsi="Calibri" w:cs="Calibri"/>
                <w:color w:val="000000"/>
                <w:szCs w:val="22"/>
                <w:lang w:eastAsia="en-AU"/>
              </w:rPr>
            </w:pPr>
            <w:r w:rsidRPr="00A37CBC">
              <w:rPr>
                <w:rFonts w:ascii="Calibri" w:eastAsia="Times New Roman" w:hAnsi="Calibri" w:cs="Calibri"/>
                <w:color w:val="000000"/>
                <w:szCs w:val="22"/>
                <w:lang w:eastAsia="en-AU"/>
              </w:rPr>
              <w:t>0.025</w:t>
            </w:r>
          </w:p>
        </w:tc>
      </w:tr>
    </w:tbl>
    <w:p w14:paraId="7D758F22" w14:textId="77777777" w:rsidR="00DD1307" w:rsidRPr="00052F99" w:rsidRDefault="00DD1307" w:rsidP="00DD1307">
      <w:r w:rsidRPr="00052F99">
        <w:t>Source: PBS</w:t>
      </w:r>
    </w:p>
    <w:p w14:paraId="1D61758B" w14:textId="4C12B131" w:rsidR="00DD1307" w:rsidRPr="00DD1307" w:rsidRDefault="00DD1307" w:rsidP="00DD1307">
      <w:pPr>
        <w:pStyle w:val="Heading3"/>
      </w:pPr>
      <w:bookmarkStart w:id="90" w:name="_Toc57132552"/>
      <w:bookmarkStart w:id="91" w:name="_Toc70418969"/>
      <w:r w:rsidRPr="00DD1307">
        <w:lastRenderedPageBreak/>
        <w:t>Appendix 7 – Results from linear probability models of paediatrician/psychiatrist prescribers vs. others, first antidepressant use by children and adolescents, Australia 2015-2019</w:t>
      </w:r>
      <w:bookmarkEnd w:id="90"/>
      <w:bookmarkEnd w:id="91"/>
    </w:p>
    <w:tbl>
      <w:tblPr>
        <w:tblW w:w="9006" w:type="dxa"/>
        <w:tblLook w:val="04A0" w:firstRow="1" w:lastRow="0" w:firstColumn="1" w:lastColumn="0" w:noHBand="0" w:noVBand="1"/>
      </w:tblPr>
      <w:tblGrid>
        <w:gridCol w:w="2268"/>
        <w:gridCol w:w="1292"/>
        <w:gridCol w:w="1960"/>
        <w:gridCol w:w="266"/>
        <w:gridCol w:w="1200"/>
        <w:gridCol w:w="2020"/>
      </w:tblGrid>
      <w:tr w:rsidR="00B33D54" w:rsidRPr="00E01888" w14:paraId="18CA4C5C" w14:textId="77777777" w:rsidTr="00B33D54">
        <w:trPr>
          <w:cantSplit/>
          <w:trHeight w:val="300"/>
        </w:trPr>
        <w:tc>
          <w:tcPr>
            <w:tcW w:w="2268" w:type="dxa"/>
            <w:vMerge w:val="restart"/>
            <w:tcBorders>
              <w:top w:val="single" w:sz="4" w:space="0" w:color="auto"/>
              <w:left w:val="nil"/>
              <w:right w:val="nil"/>
            </w:tcBorders>
            <w:shd w:val="clear" w:color="auto" w:fill="006DA7"/>
            <w:noWrap/>
            <w:vAlign w:val="bottom"/>
            <w:hideMark/>
          </w:tcPr>
          <w:p w14:paraId="3EE72512" w14:textId="523CDA66" w:rsidR="00B33D54" w:rsidRPr="00B33D54" w:rsidRDefault="00B33D54" w:rsidP="00A61F03">
            <w:pPr>
              <w:spacing w:after="0" w:line="240" w:lineRule="auto"/>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Parameter</w:t>
            </w:r>
          </w:p>
        </w:tc>
        <w:tc>
          <w:tcPr>
            <w:tcW w:w="3252" w:type="dxa"/>
            <w:gridSpan w:val="2"/>
            <w:tcBorders>
              <w:top w:val="single" w:sz="4" w:space="0" w:color="auto"/>
              <w:left w:val="nil"/>
              <w:bottom w:val="single" w:sz="4" w:space="0" w:color="auto"/>
              <w:right w:val="nil"/>
            </w:tcBorders>
            <w:shd w:val="clear" w:color="auto" w:fill="006DA7"/>
            <w:vAlign w:val="bottom"/>
            <w:hideMark/>
          </w:tcPr>
          <w:p w14:paraId="4485F9A2" w14:textId="77777777" w:rsidR="00B33D54" w:rsidRPr="00B33D54" w:rsidRDefault="00B33D54" w:rsidP="00A61F03">
            <w:pPr>
              <w:spacing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Model 1</w:t>
            </w:r>
          </w:p>
        </w:tc>
        <w:tc>
          <w:tcPr>
            <w:tcW w:w="266" w:type="dxa"/>
            <w:vMerge w:val="restart"/>
            <w:tcBorders>
              <w:top w:val="single" w:sz="4" w:space="0" w:color="auto"/>
              <w:left w:val="nil"/>
              <w:right w:val="nil"/>
            </w:tcBorders>
            <w:shd w:val="clear" w:color="auto" w:fill="006DA7"/>
            <w:vAlign w:val="bottom"/>
            <w:hideMark/>
          </w:tcPr>
          <w:p w14:paraId="62C68A60" w14:textId="122F698E" w:rsidR="00B33D54" w:rsidRPr="00B33D54" w:rsidRDefault="00B33D54" w:rsidP="00B33D54">
            <w:pPr>
              <w:spacing w:after="0" w:line="240" w:lineRule="auto"/>
              <w:jc w:val="center"/>
              <w:rPr>
                <w:rFonts w:ascii="Calibri" w:eastAsia="Times New Roman" w:hAnsi="Calibri" w:cs="Calibri"/>
                <w:b/>
                <w:color w:val="FFFFFF" w:themeColor="background1"/>
                <w:szCs w:val="22"/>
                <w:lang w:eastAsia="en-AU"/>
              </w:rPr>
            </w:pPr>
          </w:p>
        </w:tc>
        <w:tc>
          <w:tcPr>
            <w:tcW w:w="3220" w:type="dxa"/>
            <w:gridSpan w:val="2"/>
            <w:tcBorders>
              <w:top w:val="single" w:sz="4" w:space="0" w:color="auto"/>
              <w:left w:val="nil"/>
              <w:bottom w:val="single" w:sz="4" w:space="0" w:color="auto"/>
              <w:right w:val="nil"/>
            </w:tcBorders>
            <w:shd w:val="clear" w:color="auto" w:fill="006DA7"/>
            <w:vAlign w:val="bottom"/>
            <w:hideMark/>
          </w:tcPr>
          <w:p w14:paraId="75B76C7F" w14:textId="77777777" w:rsidR="00B33D54" w:rsidRPr="00B33D54" w:rsidRDefault="00B33D54" w:rsidP="00A61F03">
            <w:pPr>
              <w:spacing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Model 2</w:t>
            </w:r>
          </w:p>
        </w:tc>
      </w:tr>
      <w:tr w:rsidR="00B33D54" w:rsidRPr="00E01888" w14:paraId="3DD568A0" w14:textId="77777777" w:rsidTr="00B33D54">
        <w:trPr>
          <w:cantSplit/>
          <w:trHeight w:val="600"/>
        </w:trPr>
        <w:tc>
          <w:tcPr>
            <w:tcW w:w="2268" w:type="dxa"/>
            <w:vMerge/>
            <w:tcBorders>
              <w:left w:val="nil"/>
              <w:bottom w:val="single" w:sz="4" w:space="0" w:color="auto"/>
              <w:right w:val="nil"/>
            </w:tcBorders>
            <w:shd w:val="clear" w:color="auto" w:fill="006DA7"/>
            <w:noWrap/>
            <w:vAlign w:val="bottom"/>
            <w:hideMark/>
          </w:tcPr>
          <w:p w14:paraId="23E02197" w14:textId="79D15FEF" w:rsidR="00B33D54" w:rsidRPr="00B33D54" w:rsidRDefault="00B33D54" w:rsidP="00A61F03">
            <w:pPr>
              <w:spacing w:after="0" w:line="240" w:lineRule="auto"/>
              <w:rPr>
                <w:rFonts w:ascii="Calibri" w:eastAsia="Times New Roman" w:hAnsi="Calibri" w:cs="Calibri"/>
                <w:b/>
                <w:color w:val="FFFFFF" w:themeColor="background1"/>
                <w:szCs w:val="22"/>
                <w:lang w:eastAsia="en-AU"/>
              </w:rPr>
            </w:pPr>
          </w:p>
        </w:tc>
        <w:tc>
          <w:tcPr>
            <w:tcW w:w="1292" w:type="dxa"/>
            <w:tcBorders>
              <w:top w:val="nil"/>
              <w:left w:val="nil"/>
              <w:bottom w:val="single" w:sz="4" w:space="0" w:color="auto"/>
              <w:right w:val="nil"/>
            </w:tcBorders>
            <w:shd w:val="clear" w:color="auto" w:fill="006DA7"/>
            <w:vAlign w:val="bottom"/>
            <w:hideMark/>
          </w:tcPr>
          <w:p w14:paraId="68757239" w14:textId="77777777" w:rsidR="00B33D54" w:rsidRPr="00B33D54" w:rsidRDefault="00B33D54" w:rsidP="00A61F03">
            <w:pPr>
              <w:spacing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Estimate</w:t>
            </w:r>
          </w:p>
        </w:tc>
        <w:tc>
          <w:tcPr>
            <w:tcW w:w="1960" w:type="dxa"/>
            <w:tcBorders>
              <w:top w:val="nil"/>
              <w:left w:val="nil"/>
              <w:bottom w:val="single" w:sz="4" w:space="0" w:color="auto"/>
              <w:right w:val="nil"/>
            </w:tcBorders>
            <w:shd w:val="clear" w:color="auto" w:fill="006DA7"/>
            <w:vAlign w:val="bottom"/>
            <w:hideMark/>
          </w:tcPr>
          <w:p w14:paraId="7CABE2C6" w14:textId="77777777" w:rsidR="00B33D54" w:rsidRPr="00B33D54" w:rsidRDefault="00B33D54" w:rsidP="00A61F03">
            <w:pPr>
              <w:spacing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95% confidence interval</w:t>
            </w:r>
          </w:p>
        </w:tc>
        <w:tc>
          <w:tcPr>
            <w:tcW w:w="266" w:type="dxa"/>
            <w:vMerge/>
            <w:tcBorders>
              <w:left w:val="nil"/>
              <w:bottom w:val="single" w:sz="4" w:space="0" w:color="auto"/>
              <w:right w:val="nil"/>
            </w:tcBorders>
            <w:shd w:val="clear" w:color="auto" w:fill="006DA7"/>
            <w:vAlign w:val="bottom"/>
            <w:hideMark/>
          </w:tcPr>
          <w:p w14:paraId="6927BF9C" w14:textId="0E7C95C7" w:rsidR="00B33D54" w:rsidRPr="00B33D54" w:rsidRDefault="00B33D54" w:rsidP="00A61F03">
            <w:pPr>
              <w:spacing w:after="0" w:line="240" w:lineRule="auto"/>
              <w:jc w:val="center"/>
              <w:rPr>
                <w:rFonts w:ascii="Calibri" w:eastAsia="Times New Roman" w:hAnsi="Calibri" w:cs="Calibri"/>
                <w:b/>
                <w:color w:val="FFFFFF" w:themeColor="background1"/>
                <w:szCs w:val="22"/>
                <w:lang w:eastAsia="en-AU"/>
              </w:rPr>
            </w:pPr>
          </w:p>
        </w:tc>
        <w:tc>
          <w:tcPr>
            <w:tcW w:w="1200" w:type="dxa"/>
            <w:tcBorders>
              <w:top w:val="nil"/>
              <w:left w:val="nil"/>
              <w:bottom w:val="single" w:sz="4" w:space="0" w:color="auto"/>
              <w:right w:val="nil"/>
            </w:tcBorders>
            <w:shd w:val="clear" w:color="auto" w:fill="006DA7"/>
            <w:vAlign w:val="bottom"/>
            <w:hideMark/>
          </w:tcPr>
          <w:p w14:paraId="34EEC347" w14:textId="77777777" w:rsidR="00B33D54" w:rsidRPr="00B33D54" w:rsidRDefault="00B33D54" w:rsidP="00A61F03">
            <w:pPr>
              <w:spacing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Estimate</w:t>
            </w:r>
          </w:p>
        </w:tc>
        <w:tc>
          <w:tcPr>
            <w:tcW w:w="2020" w:type="dxa"/>
            <w:tcBorders>
              <w:top w:val="nil"/>
              <w:left w:val="nil"/>
              <w:bottom w:val="single" w:sz="4" w:space="0" w:color="auto"/>
              <w:right w:val="nil"/>
            </w:tcBorders>
            <w:shd w:val="clear" w:color="auto" w:fill="006DA7"/>
            <w:vAlign w:val="bottom"/>
            <w:hideMark/>
          </w:tcPr>
          <w:p w14:paraId="46C63B15" w14:textId="77777777" w:rsidR="00B33D54" w:rsidRPr="00B33D54" w:rsidRDefault="00B33D54" w:rsidP="00A61F03">
            <w:pPr>
              <w:spacing w:after="0" w:line="240" w:lineRule="auto"/>
              <w:jc w:val="center"/>
              <w:rPr>
                <w:rFonts w:ascii="Calibri" w:eastAsia="Times New Roman" w:hAnsi="Calibri" w:cs="Calibri"/>
                <w:b/>
                <w:color w:val="FFFFFF" w:themeColor="background1"/>
                <w:szCs w:val="22"/>
                <w:lang w:eastAsia="en-AU"/>
              </w:rPr>
            </w:pPr>
            <w:r w:rsidRPr="00B33D54">
              <w:rPr>
                <w:rFonts w:ascii="Calibri" w:eastAsia="Times New Roman" w:hAnsi="Calibri" w:cs="Calibri"/>
                <w:b/>
                <w:color w:val="FFFFFF" w:themeColor="background1"/>
                <w:szCs w:val="22"/>
                <w:lang w:eastAsia="en-AU"/>
              </w:rPr>
              <w:t>95% confidence interval</w:t>
            </w:r>
          </w:p>
        </w:tc>
      </w:tr>
      <w:tr w:rsidR="00DD1307" w:rsidRPr="00E01888" w14:paraId="4D08FF23" w14:textId="77777777" w:rsidTr="002C3078">
        <w:trPr>
          <w:cantSplit/>
          <w:trHeight w:val="300"/>
        </w:trPr>
        <w:tc>
          <w:tcPr>
            <w:tcW w:w="2268" w:type="dxa"/>
            <w:tcBorders>
              <w:top w:val="nil"/>
              <w:left w:val="nil"/>
              <w:bottom w:val="nil"/>
              <w:right w:val="nil"/>
            </w:tcBorders>
            <w:shd w:val="clear" w:color="auto" w:fill="auto"/>
            <w:vAlign w:val="bottom"/>
            <w:hideMark/>
          </w:tcPr>
          <w:p w14:paraId="3F1B8D5A" w14:textId="77777777"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Intercept</w:t>
            </w:r>
          </w:p>
        </w:tc>
        <w:tc>
          <w:tcPr>
            <w:tcW w:w="1292" w:type="dxa"/>
            <w:tcBorders>
              <w:top w:val="nil"/>
              <w:left w:val="nil"/>
              <w:bottom w:val="nil"/>
              <w:right w:val="nil"/>
            </w:tcBorders>
            <w:shd w:val="clear" w:color="auto" w:fill="auto"/>
            <w:noWrap/>
            <w:vAlign w:val="bottom"/>
            <w:hideMark/>
          </w:tcPr>
          <w:p w14:paraId="1F0A9DA0"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0.666</w:t>
            </w:r>
          </w:p>
        </w:tc>
        <w:tc>
          <w:tcPr>
            <w:tcW w:w="1960" w:type="dxa"/>
            <w:tcBorders>
              <w:top w:val="nil"/>
              <w:left w:val="nil"/>
              <w:bottom w:val="nil"/>
              <w:right w:val="nil"/>
            </w:tcBorders>
            <w:shd w:val="clear" w:color="auto" w:fill="auto"/>
            <w:noWrap/>
            <w:vAlign w:val="bottom"/>
            <w:hideMark/>
          </w:tcPr>
          <w:p w14:paraId="754DB420"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(0.66, 0.671)</w:t>
            </w:r>
          </w:p>
        </w:tc>
        <w:tc>
          <w:tcPr>
            <w:tcW w:w="266" w:type="dxa"/>
            <w:tcBorders>
              <w:top w:val="nil"/>
              <w:left w:val="nil"/>
              <w:bottom w:val="nil"/>
              <w:right w:val="nil"/>
            </w:tcBorders>
            <w:shd w:val="clear" w:color="auto" w:fill="auto"/>
            <w:noWrap/>
            <w:vAlign w:val="bottom"/>
            <w:hideMark/>
          </w:tcPr>
          <w:p w14:paraId="410427E3"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577AF778"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0.749</w:t>
            </w:r>
          </w:p>
        </w:tc>
        <w:tc>
          <w:tcPr>
            <w:tcW w:w="2020" w:type="dxa"/>
            <w:tcBorders>
              <w:top w:val="nil"/>
              <w:left w:val="nil"/>
              <w:bottom w:val="nil"/>
              <w:right w:val="nil"/>
            </w:tcBorders>
            <w:shd w:val="clear" w:color="auto" w:fill="auto"/>
            <w:noWrap/>
            <w:vAlign w:val="bottom"/>
            <w:hideMark/>
          </w:tcPr>
          <w:p w14:paraId="2374A5CA"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(0.742, 0.757)</w:t>
            </w:r>
          </w:p>
        </w:tc>
      </w:tr>
      <w:tr w:rsidR="00B33D54" w:rsidRPr="00E01888" w14:paraId="61DAEDFB" w14:textId="77777777" w:rsidTr="00B33D54">
        <w:trPr>
          <w:cantSplit/>
          <w:trHeight w:val="300"/>
        </w:trPr>
        <w:tc>
          <w:tcPr>
            <w:tcW w:w="9006" w:type="dxa"/>
            <w:gridSpan w:val="6"/>
            <w:tcBorders>
              <w:top w:val="nil"/>
              <w:left w:val="nil"/>
              <w:bottom w:val="nil"/>
              <w:right w:val="nil"/>
            </w:tcBorders>
            <w:shd w:val="clear" w:color="auto" w:fill="auto"/>
            <w:vAlign w:val="bottom"/>
            <w:hideMark/>
          </w:tcPr>
          <w:p w14:paraId="4D521ACC" w14:textId="77777777" w:rsidR="00B33D54" w:rsidRPr="00E01888" w:rsidRDefault="00B33D54" w:rsidP="00B33D54">
            <w:pPr>
              <w:spacing w:after="0" w:line="240" w:lineRule="auto"/>
              <w:rPr>
                <w:rFonts w:eastAsia="Times New Roman"/>
                <w:sz w:val="20"/>
                <w:lang w:eastAsia="en-AU"/>
              </w:rPr>
            </w:pPr>
          </w:p>
        </w:tc>
      </w:tr>
      <w:tr w:rsidR="00B33D54" w:rsidRPr="00E01888" w14:paraId="0EFCECE3" w14:textId="77777777" w:rsidTr="00B33D54">
        <w:trPr>
          <w:cantSplit/>
        </w:trPr>
        <w:tc>
          <w:tcPr>
            <w:tcW w:w="9006" w:type="dxa"/>
            <w:gridSpan w:val="6"/>
            <w:tcBorders>
              <w:top w:val="nil"/>
              <w:left w:val="nil"/>
              <w:bottom w:val="nil"/>
              <w:right w:val="nil"/>
            </w:tcBorders>
            <w:shd w:val="clear" w:color="auto" w:fill="auto"/>
            <w:vAlign w:val="bottom"/>
            <w:hideMark/>
          </w:tcPr>
          <w:p w14:paraId="651FC607" w14:textId="61D51F7D" w:rsidR="00B33D54" w:rsidRPr="00B33D54" w:rsidRDefault="00B33D54" w:rsidP="00B33D54">
            <w:pPr>
              <w:spacing w:after="0" w:line="240" w:lineRule="auto"/>
              <w:rPr>
                <w:rFonts w:eastAsia="Times New Roman"/>
                <w:sz w:val="20"/>
                <w:lang w:eastAsia="en-AU"/>
              </w:rPr>
            </w:pPr>
            <w:r w:rsidRPr="00B33D54">
              <w:rPr>
                <w:rFonts w:ascii="Calibri" w:eastAsia="Times New Roman" w:hAnsi="Calibri" w:cs="Calibri"/>
                <w:color w:val="000000"/>
                <w:szCs w:val="22"/>
                <w:lang w:eastAsia="en-AU"/>
              </w:rPr>
              <w:t>Remoteness area (major cities as ref.)</w:t>
            </w:r>
          </w:p>
        </w:tc>
      </w:tr>
      <w:tr w:rsidR="00DD1307" w:rsidRPr="00E01888" w14:paraId="64FF61AB" w14:textId="77777777" w:rsidTr="002C3078">
        <w:trPr>
          <w:cantSplit/>
          <w:trHeight w:val="300"/>
        </w:trPr>
        <w:tc>
          <w:tcPr>
            <w:tcW w:w="2268" w:type="dxa"/>
            <w:tcBorders>
              <w:top w:val="nil"/>
              <w:left w:val="nil"/>
              <w:bottom w:val="nil"/>
              <w:right w:val="nil"/>
            </w:tcBorders>
            <w:shd w:val="clear" w:color="auto" w:fill="auto"/>
            <w:vAlign w:val="bottom"/>
            <w:hideMark/>
          </w:tcPr>
          <w:p w14:paraId="18187AFD" w14:textId="4B828EF4"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Inner regional</w:t>
            </w:r>
          </w:p>
        </w:tc>
        <w:tc>
          <w:tcPr>
            <w:tcW w:w="1292" w:type="dxa"/>
            <w:tcBorders>
              <w:top w:val="nil"/>
              <w:left w:val="nil"/>
              <w:bottom w:val="nil"/>
              <w:right w:val="nil"/>
            </w:tcBorders>
            <w:shd w:val="clear" w:color="auto" w:fill="auto"/>
            <w:noWrap/>
            <w:vAlign w:val="bottom"/>
            <w:hideMark/>
          </w:tcPr>
          <w:p w14:paraId="7E32EA10"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-0.065</w:t>
            </w:r>
          </w:p>
        </w:tc>
        <w:tc>
          <w:tcPr>
            <w:tcW w:w="1960" w:type="dxa"/>
            <w:tcBorders>
              <w:top w:val="nil"/>
              <w:left w:val="nil"/>
              <w:bottom w:val="nil"/>
              <w:right w:val="nil"/>
            </w:tcBorders>
            <w:shd w:val="clear" w:color="auto" w:fill="auto"/>
            <w:noWrap/>
            <w:vAlign w:val="bottom"/>
            <w:hideMark/>
          </w:tcPr>
          <w:p w14:paraId="024A63D3"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(-0.069, -0.061)</w:t>
            </w:r>
          </w:p>
        </w:tc>
        <w:tc>
          <w:tcPr>
            <w:tcW w:w="266" w:type="dxa"/>
            <w:tcBorders>
              <w:top w:val="nil"/>
              <w:left w:val="nil"/>
              <w:bottom w:val="nil"/>
              <w:right w:val="nil"/>
            </w:tcBorders>
            <w:shd w:val="clear" w:color="auto" w:fill="auto"/>
            <w:noWrap/>
            <w:vAlign w:val="bottom"/>
            <w:hideMark/>
          </w:tcPr>
          <w:p w14:paraId="7AE43A70"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20A2E203"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-0.027</w:t>
            </w:r>
          </w:p>
        </w:tc>
        <w:tc>
          <w:tcPr>
            <w:tcW w:w="2020" w:type="dxa"/>
            <w:tcBorders>
              <w:top w:val="nil"/>
              <w:left w:val="nil"/>
              <w:bottom w:val="nil"/>
              <w:right w:val="nil"/>
            </w:tcBorders>
            <w:shd w:val="clear" w:color="auto" w:fill="auto"/>
            <w:noWrap/>
            <w:vAlign w:val="bottom"/>
            <w:hideMark/>
          </w:tcPr>
          <w:p w14:paraId="23C5594B"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(-0.032, -0.022)</w:t>
            </w:r>
          </w:p>
        </w:tc>
      </w:tr>
      <w:tr w:rsidR="00DD1307" w:rsidRPr="00E01888" w14:paraId="44BBF0E6" w14:textId="77777777" w:rsidTr="002C3078">
        <w:trPr>
          <w:cantSplit/>
          <w:trHeight w:val="300"/>
        </w:trPr>
        <w:tc>
          <w:tcPr>
            <w:tcW w:w="2268" w:type="dxa"/>
            <w:tcBorders>
              <w:top w:val="nil"/>
              <w:left w:val="nil"/>
              <w:bottom w:val="nil"/>
              <w:right w:val="nil"/>
            </w:tcBorders>
            <w:shd w:val="clear" w:color="auto" w:fill="auto"/>
            <w:vAlign w:val="bottom"/>
            <w:hideMark/>
          </w:tcPr>
          <w:p w14:paraId="3452CBA4" w14:textId="58EE1878"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Outer regional</w:t>
            </w:r>
          </w:p>
        </w:tc>
        <w:tc>
          <w:tcPr>
            <w:tcW w:w="1292" w:type="dxa"/>
            <w:tcBorders>
              <w:top w:val="nil"/>
              <w:left w:val="nil"/>
              <w:bottom w:val="nil"/>
              <w:right w:val="nil"/>
            </w:tcBorders>
            <w:shd w:val="clear" w:color="auto" w:fill="auto"/>
            <w:noWrap/>
            <w:vAlign w:val="bottom"/>
            <w:hideMark/>
          </w:tcPr>
          <w:p w14:paraId="675B2958"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-0.096</w:t>
            </w:r>
          </w:p>
        </w:tc>
        <w:tc>
          <w:tcPr>
            <w:tcW w:w="1960" w:type="dxa"/>
            <w:tcBorders>
              <w:top w:val="nil"/>
              <w:left w:val="nil"/>
              <w:bottom w:val="nil"/>
              <w:right w:val="nil"/>
            </w:tcBorders>
            <w:shd w:val="clear" w:color="auto" w:fill="auto"/>
            <w:noWrap/>
            <w:vAlign w:val="bottom"/>
            <w:hideMark/>
          </w:tcPr>
          <w:p w14:paraId="2F4DFBD9"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(-0.102, -0.089)</w:t>
            </w:r>
          </w:p>
        </w:tc>
        <w:tc>
          <w:tcPr>
            <w:tcW w:w="266" w:type="dxa"/>
            <w:tcBorders>
              <w:top w:val="nil"/>
              <w:left w:val="nil"/>
              <w:bottom w:val="nil"/>
              <w:right w:val="nil"/>
            </w:tcBorders>
            <w:shd w:val="clear" w:color="auto" w:fill="auto"/>
            <w:noWrap/>
            <w:vAlign w:val="bottom"/>
            <w:hideMark/>
          </w:tcPr>
          <w:p w14:paraId="5DC3765E"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2EA0D961"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-0.057</w:t>
            </w:r>
          </w:p>
        </w:tc>
        <w:tc>
          <w:tcPr>
            <w:tcW w:w="2020" w:type="dxa"/>
            <w:tcBorders>
              <w:top w:val="nil"/>
              <w:left w:val="nil"/>
              <w:bottom w:val="nil"/>
              <w:right w:val="nil"/>
            </w:tcBorders>
            <w:shd w:val="clear" w:color="auto" w:fill="auto"/>
            <w:noWrap/>
            <w:vAlign w:val="bottom"/>
            <w:hideMark/>
          </w:tcPr>
          <w:p w14:paraId="6BC020EC"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(-0.063, -0.05)</w:t>
            </w:r>
          </w:p>
        </w:tc>
      </w:tr>
      <w:tr w:rsidR="00DD1307" w:rsidRPr="00E01888" w14:paraId="5F2649A0" w14:textId="77777777" w:rsidTr="002C3078">
        <w:trPr>
          <w:cantSplit/>
          <w:trHeight w:val="300"/>
        </w:trPr>
        <w:tc>
          <w:tcPr>
            <w:tcW w:w="2268" w:type="dxa"/>
            <w:tcBorders>
              <w:top w:val="nil"/>
              <w:left w:val="nil"/>
              <w:bottom w:val="nil"/>
              <w:right w:val="nil"/>
            </w:tcBorders>
            <w:shd w:val="clear" w:color="auto" w:fill="auto"/>
            <w:vAlign w:val="bottom"/>
            <w:hideMark/>
          </w:tcPr>
          <w:p w14:paraId="7915886F" w14:textId="2BF00605"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Remote</w:t>
            </w:r>
          </w:p>
        </w:tc>
        <w:tc>
          <w:tcPr>
            <w:tcW w:w="1292" w:type="dxa"/>
            <w:tcBorders>
              <w:top w:val="nil"/>
              <w:left w:val="nil"/>
              <w:bottom w:val="nil"/>
              <w:right w:val="nil"/>
            </w:tcBorders>
            <w:shd w:val="clear" w:color="auto" w:fill="auto"/>
            <w:noWrap/>
            <w:vAlign w:val="bottom"/>
            <w:hideMark/>
          </w:tcPr>
          <w:p w14:paraId="4A200535"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-0.083</w:t>
            </w:r>
          </w:p>
        </w:tc>
        <w:tc>
          <w:tcPr>
            <w:tcW w:w="1960" w:type="dxa"/>
            <w:tcBorders>
              <w:top w:val="nil"/>
              <w:left w:val="nil"/>
              <w:bottom w:val="nil"/>
              <w:right w:val="nil"/>
            </w:tcBorders>
            <w:shd w:val="clear" w:color="auto" w:fill="auto"/>
            <w:noWrap/>
            <w:vAlign w:val="bottom"/>
            <w:hideMark/>
          </w:tcPr>
          <w:p w14:paraId="497497E6"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(-0.102, -0.064)</w:t>
            </w:r>
          </w:p>
        </w:tc>
        <w:tc>
          <w:tcPr>
            <w:tcW w:w="266" w:type="dxa"/>
            <w:tcBorders>
              <w:top w:val="nil"/>
              <w:left w:val="nil"/>
              <w:bottom w:val="nil"/>
              <w:right w:val="nil"/>
            </w:tcBorders>
            <w:shd w:val="clear" w:color="auto" w:fill="auto"/>
            <w:noWrap/>
            <w:vAlign w:val="bottom"/>
            <w:hideMark/>
          </w:tcPr>
          <w:p w14:paraId="18F41DA3"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6821A9D7"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-0.051</w:t>
            </w:r>
          </w:p>
        </w:tc>
        <w:tc>
          <w:tcPr>
            <w:tcW w:w="2020" w:type="dxa"/>
            <w:tcBorders>
              <w:top w:val="nil"/>
              <w:left w:val="nil"/>
              <w:bottom w:val="nil"/>
              <w:right w:val="nil"/>
            </w:tcBorders>
            <w:shd w:val="clear" w:color="auto" w:fill="auto"/>
            <w:noWrap/>
            <w:vAlign w:val="bottom"/>
            <w:hideMark/>
          </w:tcPr>
          <w:p w14:paraId="6E7D7CB6"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(-0.07, -0.032)</w:t>
            </w:r>
          </w:p>
        </w:tc>
      </w:tr>
      <w:tr w:rsidR="00DD1307" w:rsidRPr="00E01888" w14:paraId="3E76A135" w14:textId="77777777" w:rsidTr="002C3078">
        <w:trPr>
          <w:cantSplit/>
          <w:trHeight w:val="300"/>
        </w:trPr>
        <w:tc>
          <w:tcPr>
            <w:tcW w:w="2268" w:type="dxa"/>
            <w:tcBorders>
              <w:top w:val="nil"/>
              <w:left w:val="nil"/>
              <w:bottom w:val="nil"/>
              <w:right w:val="nil"/>
            </w:tcBorders>
            <w:shd w:val="clear" w:color="auto" w:fill="auto"/>
            <w:vAlign w:val="bottom"/>
            <w:hideMark/>
          </w:tcPr>
          <w:p w14:paraId="5AE37489" w14:textId="12D6F8B1"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Very remote</w:t>
            </w:r>
          </w:p>
        </w:tc>
        <w:tc>
          <w:tcPr>
            <w:tcW w:w="1292" w:type="dxa"/>
            <w:tcBorders>
              <w:top w:val="nil"/>
              <w:left w:val="nil"/>
              <w:bottom w:val="nil"/>
              <w:right w:val="nil"/>
            </w:tcBorders>
            <w:shd w:val="clear" w:color="auto" w:fill="auto"/>
            <w:noWrap/>
            <w:vAlign w:val="bottom"/>
            <w:hideMark/>
          </w:tcPr>
          <w:p w14:paraId="62FA9DCF"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-0.144</w:t>
            </w:r>
          </w:p>
        </w:tc>
        <w:tc>
          <w:tcPr>
            <w:tcW w:w="1960" w:type="dxa"/>
            <w:tcBorders>
              <w:top w:val="nil"/>
              <w:left w:val="nil"/>
              <w:bottom w:val="nil"/>
              <w:right w:val="nil"/>
            </w:tcBorders>
            <w:shd w:val="clear" w:color="auto" w:fill="auto"/>
            <w:noWrap/>
            <w:vAlign w:val="bottom"/>
            <w:hideMark/>
          </w:tcPr>
          <w:p w14:paraId="4384F992"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(-0.176, -0.113)</w:t>
            </w:r>
          </w:p>
        </w:tc>
        <w:tc>
          <w:tcPr>
            <w:tcW w:w="266" w:type="dxa"/>
            <w:tcBorders>
              <w:top w:val="nil"/>
              <w:left w:val="nil"/>
              <w:bottom w:val="nil"/>
              <w:right w:val="nil"/>
            </w:tcBorders>
            <w:shd w:val="clear" w:color="auto" w:fill="auto"/>
            <w:noWrap/>
            <w:vAlign w:val="bottom"/>
            <w:hideMark/>
          </w:tcPr>
          <w:p w14:paraId="5F673B0A"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1650E925"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-0.104</w:t>
            </w:r>
          </w:p>
        </w:tc>
        <w:tc>
          <w:tcPr>
            <w:tcW w:w="2020" w:type="dxa"/>
            <w:tcBorders>
              <w:top w:val="nil"/>
              <w:left w:val="nil"/>
              <w:bottom w:val="nil"/>
              <w:right w:val="nil"/>
            </w:tcBorders>
            <w:shd w:val="clear" w:color="auto" w:fill="auto"/>
            <w:noWrap/>
            <w:vAlign w:val="bottom"/>
            <w:hideMark/>
          </w:tcPr>
          <w:p w14:paraId="390CE33E"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(-0.135, -0.073)</w:t>
            </w:r>
          </w:p>
        </w:tc>
      </w:tr>
      <w:tr w:rsidR="00DD1307" w:rsidRPr="00E01888" w14:paraId="05E34F0A" w14:textId="77777777" w:rsidTr="002C3078">
        <w:trPr>
          <w:cantSplit/>
          <w:trHeight w:val="300"/>
        </w:trPr>
        <w:tc>
          <w:tcPr>
            <w:tcW w:w="2268" w:type="dxa"/>
            <w:tcBorders>
              <w:top w:val="nil"/>
              <w:left w:val="nil"/>
              <w:bottom w:val="nil"/>
              <w:right w:val="nil"/>
            </w:tcBorders>
            <w:shd w:val="clear" w:color="auto" w:fill="auto"/>
            <w:vAlign w:val="bottom"/>
            <w:hideMark/>
          </w:tcPr>
          <w:p w14:paraId="6813465E" w14:textId="0F7ED126"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Missing</w:t>
            </w:r>
          </w:p>
        </w:tc>
        <w:tc>
          <w:tcPr>
            <w:tcW w:w="1292" w:type="dxa"/>
            <w:tcBorders>
              <w:top w:val="nil"/>
              <w:left w:val="nil"/>
              <w:bottom w:val="nil"/>
              <w:right w:val="nil"/>
            </w:tcBorders>
            <w:shd w:val="clear" w:color="auto" w:fill="auto"/>
            <w:noWrap/>
            <w:vAlign w:val="bottom"/>
            <w:hideMark/>
          </w:tcPr>
          <w:p w14:paraId="467F755D"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-0.011</w:t>
            </w:r>
          </w:p>
        </w:tc>
        <w:tc>
          <w:tcPr>
            <w:tcW w:w="1960" w:type="dxa"/>
            <w:tcBorders>
              <w:top w:val="nil"/>
              <w:left w:val="nil"/>
              <w:bottom w:val="nil"/>
              <w:right w:val="nil"/>
            </w:tcBorders>
            <w:shd w:val="clear" w:color="auto" w:fill="auto"/>
            <w:noWrap/>
            <w:vAlign w:val="bottom"/>
            <w:hideMark/>
          </w:tcPr>
          <w:p w14:paraId="22C65C3C"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(-0.028, 0.007)</w:t>
            </w:r>
          </w:p>
        </w:tc>
        <w:tc>
          <w:tcPr>
            <w:tcW w:w="266" w:type="dxa"/>
            <w:tcBorders>
              <w:top w:val="nil"/>
              <w:left w:val="nil"/>
              <w:bottom w:val="nil"/>
              <w:right w:val="nil"/>
            </w:tcBorders>
            <w:shd w:val="clear" w:color="auto" w:fill="auto"/>
            <w:noWrap/>
            <w:vAlign w:val="bottom"/>
            <w:hideMark/>
          </w:tcPr>
          <w:p w14:paraId="2ECD2F68"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10A078CF"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0.007</w:t>
            </w:r>
          </w:p>
        </w:tc>
        <w:tc>
          <w:tcPr>
            <w:tcW w:w="2020" w:type="dxa"/>
            <w:tcBorders>
              <w:top w:val="nil"/>
              <w:left w:val="nil"/>
              <w:bottom w:val="nil"/>
              <w:right w:val="nil"/>
            </w:tcBorders>
            <w:shd w:val="clear" w:color="auto" w:fill="auto"/>
            <w:noWrap/>
            <w:vAlign w:val="bottom"/>
            <w:hideMark/>
          </w:tcPr>
          <w:p w14:paraId="7747505F"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(-0.079, 0.094)</w:t>
            </w:r>
          </w:p>
        </w:tc>
      </w:tr>
      <w:tr w:rsidR="00B33D54" w:rsidRPr="00E01888" w14:paraId="425F6149" w14:textId="77777777" w:rsidTr="006A3EB3">
        <w:trPr>
          <w:cantSplit/>
          <w:trHeight w:val="300"/>
        </w:trPr>
        <w:tc>
          <w:tcPr>
            <w:tcW w:w="9006" w:type="dxa"/>
            <w:gridSpan w:val="6"/>
            <w:tcBorders>
              <w:top w:val="nil"/>
              <w:left w:val="nil"/>
              <w:bottom w:val="nil"/>
              <w:right w:val="nil"/>
            </w:tcBorders>
            <w:shd w:val="clear" w:color="auto" w:fill="auto"/>
            <w:vAlign w:val="bottom"/>
            <w:hideMark/>
          </w:tcPr>
          <w:p w14:paraId="099C0B04" w14:textId="77777777" w:rsidR="00B33D54" w:rsidRPr="00E01888" w:rsidRDefault="00B33D54" w:rsidP="00A61F03">
            <w:pPr>
              <w:spacing w:after="0" w:line="240" w:lineRule="auto"/>
              <w:jc w:val="center"/>
              <w:rPr>
                <w:rFonts w:eastAsia="Times New Roman"/>
                <w:sz w:val="20"/>
                <w:lang w:eastAsia="en-AU"/>
              </w:rPr>
            </w:pPr>
          </w:p>
        </w:tc>
      </w:tr>
      <w:tr w:rsidR="00B33D54" w:rsidRPr="00E01888" w14:paraId="59A35D2A" w14:textId="77777777" w:rsidTr="00B33D54">
        <w:trPr>
          <w:cantSplit/>
          <w:trHeight w:val="300"/>
        </w:trPr>
        <w:tc>
          <w:tcPr>
            <w:tcW w:w="9006" w:type="dxa"/>
            <w:gridSpan w:val="6"/>
            <w:tcBorders>
              <w:top w:val="nil"/>
              <w:left w:val="nil"/>
              <w:bottom w:val="nil"/>
              <w:right w:val="nil"/>
            </w:tcBorders>
            <w:shd w:val="clear" w:color="auto" w:fill="auto"/>
            <w:vAlign w:val="bottom"/>
            <w:hideMark/>
          </w:tcPr>
          <w:p w14:paraId="3592BE82" w14:textId="6E52CA7C" w:rsidR="00B33D54" w:rsidRPr="00B33D54" w:rsidRDefault="00B33D54" w:rsidP="00B33D54">
            <w:pPr>
              <w:spacing w:after="0" w:line="240" w:lineRule="auto"/>
              <w:rPr>
                <w:rFonts w:eastAsia="Times New Roman"/>
                <w:sz w:val="20"/>
                <w:lang w:eastAsia="en-AU"/>
              </w:rPr>
            </w:pPr>
            <w:r w:rsidRPr="00B33D54">
              <w:rPr>
                <w:rFonts w:ascii="Calibri" w:eastAsia="Times New Roman" w:hAnsi="Calibri" w:cs="Calibri"/>
                <w:color w:val="000000"/>
                <w:szCs w:val="22"/>
                <w:lang w:eastAsia="en-AU"/>
              </w:rPr>
              <w:t>Age (5-11 years as ref.)</w:t>
            </w:r>
          </w:p>
        </w:tc>
      </w:tr>
      <w:tr w:rsidR="00DD1307" w:rsidRPr="00E01888" w14:paraId="1B48A605" w14:textId="77777777" w:rsidTr="002C3078">
        <w:trPr>
          <w:cantSplit/>
          <w:trHeight w:val="300"/>
        </w:trPr>
        <w:tc>
          <w:tcPr>
            <w:tcW w:w="2268" w:type="dxa"/>
            <w:tcBorders>
              <w:top w:val="nil"/>
              <w:left w:val="nil"/>
              <w:bottom w:val="nil"/>
              <w:right w:val="nil"/>
            </w:tcBorders>
            <w:shd w:val="clear" w:color="auto" w:fill="auto"/>
            <w:vAlign w:val="bottom"/>
            <w:hideMark/>
          </w:tcPr>
          <w:p w14:paraId="6B39E939" w14:textId="75FFB275"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12-14 years</w:t>
            </w:r>
          </w:p>
        </w:tc>
        <w:tc>
          <w:tcPr>
            <w:tcW w:w="1292" w:type="dxa"/>
            <w:tcBorders>
              <w:top w:val="nil"/>
              <w:left w:val="nil"/>
              <w:bottom w:val="nil"/>
              <w:right w:val="nil"/>
            </w:tcBorders>
            <w:shd w:val="clear" w:color="auto" w:fill="auto"/>
            <w:noWrap/>
            <w:vAlign w:val="bottom"/>
            <w:hideMark/>
          </w:tcPr>
          <w:p w14:paraId="27B52F29"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-0.271</w:t>
            </w:r>
          </w:p>
        </w:tc>
        <w:tc>
          <w:tcPr>
            <w:tcW w:w="1960" w:type="dxa"/>
            <w:tcBorders>
              <w:top w:val="nil"/>
              <w:left w:val="nil"/>
              <w:bottom w:val="nil"/>
              <w:right w:val="nil"/>
            </w:tcBorders>
            <w:shd w:val="clear" w:color="auto" w:fill="auto"/>
            <w:noWrap/>
            <w:vAlign w:val="bottom"/>
            <w:hideMark/>
          </w:tcPr>
          <w:p w14:paraId="6CDF10AF"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(-0.277, -0.266)</w:t>
            </w:r>
          </w:p>
        </w:tc>
        <w:tc>
          <w:tcPr>
            <w:tcW w:w="266" w:type="dxa"/>
            <w:tcBorders>
              <w:top w:val="nil"/>
              <w:left w:val="nil"/>
              <w:bottom w:val="nil"/>
              <w:right w:val="nil"/>
            </w:tcBorders>
            <w:shd w:val="clear" w:color="auto" w:fill="auto"/>
            <w:noWrap/>
            <w:vAlign w:val="bottom"/>
            <w:hideMark/>
          </w:tcPr>
          <w:p w14:paraId="448FECC8"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607B7B03"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-0.274</w:t>
            </w:r>
          </w:p>
        </w:tc>
        <w:tc>
          <w:tcPr>
            <w:tcW w:w="2020" w:type="dxa"/>
            <w:tcBorders>
              <w:top w:val="nil"/>
              <w:left w:val="nil"/>
              <w:bottom w:val="nil"/>
              <w:right w:val="nil"/>
            </w:tcBorders>
            <w:shd w:val="clear" w:color="auto" w:fill="auto"/>
            <w:noWrap/>
            <w:vAlign w:val="bottom"/>
            <w:hideMark/>
          </w:tcPr>
          <w:p w14:paraId="7C2B116E"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(-0.28, -0.268)</w:t>
            </w:r>
          </w:p>
        </w:tc>
      </w:tr>
      <w:tr w:rsidR="00DD1307" w:rsidRPr="00E01888" w14:paraId="59293904" w14:textId="77777777" w:rsidTr="002C3078">
        <w:trPr>
          <w:cantSplit/>
          <w:trHeight w:val="300"/>
        </w:trPr>
        <w:tc>
          <w:tcPr>
            <w:tcW w:w="2268" w:type="dxa"/>
            <w:tcBorders>
              <w:top w:val="nil"/>
              <w:left w:val="nil"/>
              <w:bottom w:val="nil"/>
              <w:right w:val="nil"/>
            </w:tcBorders>
            <w:shd w:val="clear" w:color="auto" w:fill="auto"/>
            <w:vAlign w:val="bottom"/>
            <w:hideMark/>
          </w:tcPr>
          <w:p w14:paraId="4D15C770" w14:textId="525F4899"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15-17 years</w:t>
            </w:r>
          </w:p>
        </w:tc>
        <w:tc>
          <w:tcPr>
            <w:tcW w:w="1292" w:type="dxa"/>
            <w:tcBorders>
              <w:top w:val="nil"/>
              <w:left w:val="nil"/>
              <w:bottom w:val="nil"/>
              <w:right w:val="nil"/>
            </w:tcBorders>
            <w:shd w:val="clear" w:color="auto" w:fill="auto"/>
            <w:noWrap/>
            <w:vAlign w:val="bottom"/>
            <w:hideMark/>
          </w:tcPr>
          <w:p w14:paraId="5790E150"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-0.492</w:t>
            </w:r>
          </w:p>
        </w:tc>
        <w:tc>
          <w:tcPr>
            <w:tcW w:w="1960" w:type="dxa"/>
            <w:tcBorders>
              <w:top w:val="nil"/>
              <w:left w:val="nil"/>
              <w:bottom w:val="nil"/>
              <w:right w:val="nil"/>
            </w:tcBorders>
            <w:shd w:val="clear" w:color="auto" w:fill="auto"/>
            <w:noWrap/>
            <w:vAlign w:val="bottom"/>
            <w:hideMark/>
          </w:tcPr>
          <w:p w14:paraId="6C209ACB"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(-0.496, -0.487)</w:t>
            </w:r>
          </w:p>
        </w:tc>
        <w:tc>
          <w:tcPr>
            <w:tcW w:w="266" w:type="dxa"/>
            <w:tcBorders>
              <w:top w:val="nil"/>
              <w:left w:val="nil"/>
              <w:bottom w:val="nil"/>
              <w:right w:val="nil"/>
            </w:tcBorders>
            <w:shd w:val="clear" w:color="auto" w:fill="auto"/>
            <w:noWrap/>
            <w:vAlign w:val="bottom"/>
            <w:hideMark/>
          </w:tcPr>
          <w:p w14:paraId="39DF4AB1"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46414656"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-0.494</w:t>
            </w:r>
          </w:p>
        </w:tc>
        <w:tc>
          <w:tcPr>
            <w:tcW w:w="2020" w:type="dxa"/>
            <w:tcBorders>
              <w:top w:val="nil"/>
              <w:left w:val="nil"/>
              <w:bottom w:val="nil"/>
              <w:right w:val="nil"/>
            </w:tcBorders>
            <w:shd w:val="clear" w:color="auto" w:fill="auto"/>
            <w:noWrap/>
            <w:vAlign w:val="bottom"/>
            <w:hideMark/>
          </w:tcPr>
          <w:p w14:paraId="51342982"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(-0.499, -0.49)</w:t>
            </w:r>
          </w:p>
        </w:tc>
      </w:tr>
      <w:tr w:rsidR="00B33D54" w:rsidRPr="00E01888" w14:paraId="09E1BAE2" w14:textId="77777777" w:rsidTr="00B33D54">
        <w:trPr>
          <w:cantSplit/>
          <w:trHeight w:val="300"/>
        </w:trPr>
        <w:tc>
          <w:tcPr>
            <w:tcW w:w="9006" w:type="dxa"/>
            <w:gridSpan w:val="6"/>
            <w:tcBorders>
              <w:top w:val="nil"/>
              <w:left w:val="nil"/>
              <w:bottom w:val="nil"/>
              <w:right w:val="nil"/>
            </w:tcBorders>
            <w:shd w:val="clear" w:color="auto" w:fill="auto"/>
            <w:vAlign w:val="bottom"/>
            <w:hideMark/>
          </w:tcPr>
          <w:p w14:paraId="5BBA01BE" w14:textId="77777777" w:rsidR="00B33D54" w:rsidRPr="00E01888" w:rsidRDefault="00B33D54" w:rsidP="00B33D54">
            <w:pPr>
              <w:spacing w:after="0" w:line="240" w:lineRule="auto"/>
              <w:rPr>
                <w:rFonts w:eastAsia="Times New Roman"/>
                <w:sz w:val="20"/>
                <w:lang w:eastAsia="en-AU"/>
              </w:rPr>
            </w:pPr>
          </w:p>
        </w:tc>
      </w:tr>
      <w:tr w:rsidR="00DD1307" w:rsidRPr="00E01888" w14:paraId="561B88B9" w14:textId="77777777" w:rsidTr="002C3078">
        <w:trPr>
          <w:cantSplit/>
          <w:trHeight w:val="300"/>
        </w:trPr>
        <w:tc>
          <w:tcPr>
            <w:tcW w:w="2268" w:type="dxa"/>
            <w:tcBorders>
              <w:top w:val="nil"/>
              <w:left w:val="nil"/>
              <w:bottom w:val="nil"/>
              <w:right w:val="nil"/>
            </w:tcBorders>
            <w:shd w:val="clear" w:color="auto" w:fill="auto"/>
            <w:vAlign w:val="bottom"/>
            <w:hideMark/>
          </w:tcPr>
          <w:p w14:paraId="33CB26F3" w14:textId="77777777"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Male (female as ref.)</w:t>
            </w:r>
          </w:p>
        </w:tc>
        <w:tc>
          <w:tcPr>
            <w:tcW w:w="1292" w:type="dxa"/>
            <w:tcBorders>
              <w:top w:val="nil"/>
              <w:left w:val="nil"/>
              <w:bottom w:val="nil"/>
              <w:right w:val="nil"/>
            </w:tcBorders>
            <w:shd w:val="clear" w:color="auto" w:fill="auto"/>
            <w:noWrap/>
            <w:vAlign w:val="bottom"/>
            <w:hideMark/>
          </w:tcPr>
          <w:p w14:paraId="13A2109F"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0.097</w:t>
            </w:r>
          </w:p>
        </w:tc>
        <w:tc>
          <w:tcPr>
            <w:tcW w:w="1960" w:type="dxa"/>
            <w:tcBorders>
              <w:top w:val="nil"/>
              <w:left w:val="nil"/>
              <w:bottom w:val="nil"/>
              <w:right w:val="nil"/>
            </w:tcBorders>
            <w:shd w:val="clear" w:color="auto" w:fill="auto"/>
            <w:noWrap/>
            <w:vAlign w:val="bottom"/>
            <w:hideMark/>
          </w:tcPr>
          <w:p w14:paraId="4B645D28"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(0.093, 0.101)</w:t>
            </w:r>
          </w:p>
        </w:tc>
        <w:tc>
          <w:tcPr>
            <w:tcW w:w="266" w:type="dxa"/>
            <w:tcBorders>
              <w:top w:val="nil"/>
              <w:left w:val="nil"/>
              <w:bottom w:val="nil"/>
              <w:right w:val="nil"/>
            </w:tcBorders>
            <w:shd w:val="clear" w:color="auto" w:fill="auto"/>
            <w:noWrap/>
            <w:vAlign w:val="bottom"/>
            <w:hideMark/>
          </w:tcPr>
          <w:p w14:paraId="6456A69D"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6B42C221"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0.096</w:t>
            </w:r>
          </w:p>
        </w:tc>
        <w:tc>
          <w:tcPr>
            <w:tcW w:w="2020" w:type="dxa"/>
            <w:tcBorders>
              <w:top w:val="nil"/>
              <w:left w:val="nil"/>
              <w:bottom w:val="nil"/>
              <w:right w:val="nil"/>
            </w:tcBorders>
            <w:shd w:val="clear" w:color="auto" w:fill="auto"/>
            <w:noWrap/>
            <w:vAlign w:val="bottom"/>
            <w:hideMark/>
          </w:tcPr>
          <w:p w14:paraId="7B1E57CF"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(0.093, 0.1)</w:t>
            </w:r>
          </w:p>
        </w:tc>
      </w:tr>
      <w:tr w:rsidR="00B33D54" w:rsidRPr="00E01888" w14:paraId="60BDEDD4" w14:textId="77777777" w:rsidTr="00B33D54">
        <w:trPr>
          <w:cantSplit/>
          <w:trHeight w:val="300"/>
        </w:trPr>
        <w:tc>
          <w:tcPr>
            <w:tcW w:w="9006" w:type="dxa"/>
            <w:gridSpan w:val="6"/>
            <w:tcBorders>
              <w:top w:val="nil"/>
              <w:left w:val="nil"/>
              <w:bottom w:val="nil"/>
              <w:right w:val="nil"/>
            </w:tcBorders>
            <w:shd w:val="clear" w:color="auto" w:fill="auto"/>
            <w:vAlign w:val="bottom"/>
            <w:hideMark/>
          </w:tcPr>
          <w:p w14:paraId="51C3D48C" w14:textId="77777777" w:rsidR="00B33D54" w:rsidRPr="00E01888" w:rsidRDefault="00B33D54" w:rsidP="00B33D54">
            <w:pPr>
              <w:spacing w:after="0" w:line="240" w:lineRule="auto"/>
              <w:rPr>
                <w:rFonts w:eastAsia="Times New Roman"/>
                <w:sz w:val="20"/>
                <w:lang w:eastAsia="en-AU"/>
              </w:rPr>
            </w:pPr>
          </w:p>
        </w:tc>
      </w:tr>
      <w:tr w:rsidR="00DD1307" w:rsidRPr="00E01888" w14:paraId="19C79BC7" w14:textId="77777777" w:rsidTr="002C3078">
        <w:trPr>
          <w:cantSplit/>
          <w:trHeight w:val="600"/>
        </w:trPr>
        <w:tc>
          <w:tcPr>
            <w:tcW w:w="2268" w:type="dxa"/>
            <w:tcBorders>
              <w:top w:val="nil"/>
              <w:left w:val="nil"/>
              <w:bottom w:val="nil"/>
              <w:right w:val="nil"/>
            </w:tcBorders>
            <w:shd w:val="clear" w:color="auto" w:fill="auto"/>
            <w:vAlign w:val="bottom"/>
            <w:hideMark/>
          </w:tcPr>
          <w:p w14:paraId="7159B83A" w14:textId="77777777" w:rsidR="00DD1307" w:rsidRPr="00E01888" w:rsidRDefault="00DD1307" w:rsidP="00A61F03">
            <w:pPr>
              <w:spacing w:after="0" w:line="240" w:lineRule="auto"/>
              <w:rPr>
                <w:rFonts w:ascii="Calibri" w:eastAsia="Times New Roman" w:hAnsi="Calibri" w:cs="Calibri"/>
                <w:color w:val="000000"/>
                <w:szCs w:val="22"/>
                <w:lang w:eastAsia="en-AU"/>
              </w:rPr>
            </w:pPr>
            <w:r>
              <w:rPr>
                <w:rFonts w:ascii="Calibri" w:eastAsia="Times New Roman" w:hAnsi="Calibri" w:cs="Calibri"/>
                <w:color w:val="000000"/>
                <w:szCs w:val="22"/>
                <w:lang w:eastAsia="en-AU"/>
              </w:rPr>
              <w:t>Calendar year (cent</w:t>
            </w:r>
            <w:r w:rsidRPr="00E01888">
              <w:rPr>
                <w:rFonts w:ascii="Calibri" w:eastAsia="Times New Roman" w:hAnsi="Calibri" w:cs="Calibri"/>
                <w:color w:val="000000"/>
                <w:szCs w:val="22"/>
                <w:lang w:eastAsia="en-AU"/>
              </w:rPr>
              <w:t>red at 2019)</w:t>
            </w:r>
          </w:p>
        </w:tc>
        <w:tc>
          <w:tcPr>
            <w:tcW w:w="1292" w:type="dxa"/>
            <w:tcBorders>
              <w:top w:val="nil"/>
              <w:left w:val="nil"/>
              <w:bottom w:val="nil"/>
              <w:right w:val="nil"/>
            </w:tcBorders>
            <w:shd w:val="clear" w:color="auto" w:fill="auto"/>
            <w:noWrap/>
            <w:vAlign w:val="bottom"/>
            <w:hideMark/>
          </w:tcPr>
          <w:p w14:paraId="19FD7D96"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0.004</w:t>
            </w:r>
          </w:p>
        </w:tc>
        <w:tc>
          <w:tcPr>
            <w:tcW w:w="1960" w:type="dxa"/>
            <w:tcBorders>
              <w:top w:val="nil"/>
              <w:left w:val="nil"/>
              <w:bottom w:val="nil"/>
              <w:right w:val="nil"/>
            </w:tcBorders>
            <w:shd w:val="clear" w:color="auto" w:fill="auto"/>
            <w:noWrap/>
            <w:vAlign w:val="bottom"/>
            <w:hideMark/>
          </w:tcPr>
          <w:p w14:paraId="2CC7A85A"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(0.003, 0.005)</w:t>
            </w:r>
          </w:p>
        </w:tc>
        <w:tc>
          <w:tcPr>
            <w:tcW w:w="266" w:type="dxa"/>
            <w:tcBorders>
              <w:top w:val="nil"/>
              <w:left w:val="nil"/>
              <w:bottom w:val="nil"/>
              <w:right w:val="nil"/>
            </w:tcBorders>
            <w:shd w:val="clear" w:color="auto" w:fill="auto"/>
            <w:noWrap/>
            <w:vAlign w:val="bottom"/>
            <w:hideMark/>
          </w:tcPr>
          <w:p w14:paraId="02925BC4"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p>
        </w:tc>
        <w:tc>
          <w:tcPr>
            <w:tcW w:w="1200" w:type="dxa"/>
            <w:tcBorders>
              <w:top w:val="nil"/>
              <w:left w:val="nil"/>
              <w:bottom w:val="nil"/>
              <w:right w:val="nil"/>
            </w:tcBorders>
            <w:shd w:val="clear" w:color="auto" w:fill="auto"/>
            <w:noWrap/>
            <w:vAlign w:val="bottom"/>
            <w:hideMark/>
          </w:tcPr>
          <w:p w14:paraId="43D7243A"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0.004</w:t>
            </w:r>
          </w:p>
        </w:tc>
        <w:tc>
          <w:tcPr>
            <w:tcW w:w="2020" w:type="dxa"/>
            <w:tcBorders>
              <w:top w:val="nil"/>
              <w:left w:val="nil"/>
              <w:bottom w:val="nil"/>
              <w:right w:val="nil"/>
            </w:tcBorders>
            <w:shd w:val="clear" w:color="auto" w:fill="auto"/>
            <w:noWrap/>
            <w:vAlign w:val="bottom"/>
            <w:hideMark/>
          </w:tcPr>
          <w:p w14:paraId="2F959D7D"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(0.002, 0.005)</w:t>
            </w:r>
          </w:p>
        </w:tc>
      </w:tr>
      <w:tr w:rsidR="00B33D54" w:rsidRPr="00E01888" w14:paraId="44209E32" w14:textId="77777777" w:rsidTr="00B33D54">
        <w:trPr>
          <w:cantSplit/>
          <w:trHeight w:val="300"/>
        </w:trPr>
        <w:tc>
          <w:tcPr>
            <w:tcW w:w="9006" w:type="dxa"/>
            <w:gridSpan w:val="6"/>
            <w:tcBorders>
              <w:top w:val="nil"/>
              <w:left w:val="nil"/>
              <w:bottom w:val="nil"/>
              <w:right w:val="nil"/>
            </w:tcBorders>
            <w:shd w:val="clear" w:color="auto" w:fill="auto"/>
            <w:vAlign w:val="bottom"/>
            <w:hideMark/>
          </w:tcPr>
          <w:p w14:paraId="3A78B766" w14:textId="77777777" w:rsidR="00B33D54" w:rsidRPr="00E01888" w:rsidRDefault="00B33D54" w:rsidP="00B33D54">
            <w:pPr>
              <w:spacing w:after="0" w:line="240" w:lineRule="auto"/>
              <w:rPr>
                <w:rFonts w:eastAsia="Times New Roman"/>
                <w:sz w:val="20"/>
                <w:lang w:eastAsia="en-AU"/>
              </w:rPr>
            </w:pPr>
          </w:p>
        </w:tc>
      </w:tr>
      <w:tr w:rsidR="00B33D54" w:rsidRPr="00E01888" w14:paraId="4D157FF5" w14:textId="77777777" w:rsidTr="00B33D54">
        <w:trPr>
          <w:cantSplit/>
        </w:trPr>
        <w:tc>
          <w:tcPr>
            <w:tcW w:w="9006" w:type="dxa"/>
            <w:gridSpan w:val="6"/>
            <w:tcBorders>
              <w:top w:val="nil"/>
              <w:left w:val="nil"/>
              <w:bottom w:val="nil"/>
              <w:right w:val="nil"/>
            </w:tcBorders>
            <w:shd w:val="clear" w:color="auto" w:fill="auto"/>
            <w:vAlign w:val="bottom"/>
            <w:hideMark/>
          </w:tcPr>
          <w:p w14:paraId="4398843A" w14:textId="6D9C86A0" w:rsidR="00B33D54" w:rsidRPr="00E01888" w:rsidRDefault="00B33D54" w:rsidP="00B33D54">
            <w:pPr>
              <w:spacing w:after="0" w:line="240" w:lineRule="auto"/>
              <w:rPr>
                <w:rFonts w:eastAsia="Times New Roman"/>
                <w:sz w:val="20"/>
                <w:lang w:eastAsia="en-AU"/>
              </w:rPr>
            </w:pPr>
            <w:r w:rsidRPr="00E01888">
              <w:rPr>
                <w:rFonts w:ascii="Calibri" w:eastAsia="Times New Roman" w:hAnsi="Calibri" w:cs="Calibri"/>
                <w:color w:val="000000"/>
                <w:szCs w:val="22"/>
                <w:lang w:eastAsia="en-AU"/>
              </w:rPr>
              <w:t>Socioeconomic status (top decile as ref.)</w:t>
            </w:r>
          </w:p>
        </w:tc>
      </w:tr>
      <w:tr w:rsidR="00DD1307" w:rsidRPr="00E01888" w14:paraId="35D192D9" w14:textId="77777777" w:rsidTr="002C3078">
        <w:trPr>
          <w:cantSplit/>
          <w:trHeight w:val="300"/>
        </w:trPr>
        <w:tc>
          <w:tcPr>
            <w:tcW w:w="2268" w:type="dxa"/>
            <w:tcBorders>
              <w:top w:val="nil"/>
              <w:left w:val="nil"/>
              <w:bottom w:val="nil"/>
              <w:right w:val="nil"/>
            </w:tcBorders>
            <w:shd w:val="clear" w:color="auto" w:fill="auto"/>
            <w:vAlign w:val="bottom"/>
            <w:hideMark/>
          </w:tcPr>
          <w:p w14:paraId="4CDAC081" w14:textId="15390EC6"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9</w:t>
            </w:r>
          </w:p>
        </w:tc>
        <w:tc>
          <w:tcPr>
            <w:tcW w:w="1292" w:type="dxa"/>
            <w:tcBorders>
              <w:top w:val="nil"/>
              <w:left w:val="nil"/>
              <w:bottom w:val="nil"/>
              <w:right w:val="nil"/>
            </w:tcBorders>
            <w:shd w:val="clear" w:color="auto" w:fill="auto"/>
            <w:noWrap/>
            <w:vAlign w:val="bottom"/>
            <w:hideMark/>
          </w:tcPr>
          <w:p w14:paraId="7F180148"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56F620FD"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3B5C713D"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6470F724"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-0.067</w:t>
            </w:r>
          </w:p>
        </w:tc>
        <w:tc>
          <w:tcPr>
            <w:tcW w:w="2020" w:type="dxa"/>
            <w:tcBorders>
              <w:top w:val="nil"/>
              <w:left w:val="nil"/>
              <w:bottom w:val="nil"/>
              <w:right w:val="nil"/>
            </w:tcBorders>
            <w:shd w:val="clear" w:color="auto" w:fill="auto"/>
            <w:noWrap/>
            <w:vAlign w:val="bottom"/>
            <w:hideMark/>
          </w:tcPr>
          <w:p w14:paraId="5CC612F1"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(-0.074, -0.06)</w:t>
            </w:r>
          </w:p>
        </w:tc>
      </w:tr>
      <w:tr w:rsidR="00DD1307" w:rsidRPr="00E01888" w14:paraId="725209B0" w14:textId="77777777" w:rsidTr="002C3078">
        <w:trPr>
          <w:cantSplit/>
          <w:trHeight w:val="300"/>
        </w:trPr>
        <w:tc>
          <w:tcPr>
            <w:tcW w:w="2268" w:type="dxa"/>
            <w:tcBorders>
              <w:top w:val="nil"/>
              <w:left w:val="nil"/>
              <w:bottom w:val="nil"/>
              <w:right w:val="nil"/>
            </w:tcBorders>
            <w:shd w:val="clear" w:color="auto" w:fill="auto"/>
            <w:vAlign w:val="bottom"/>
            <w:hideMark/>
          </w:tcPr>
          <w:p w14:paraId="43FB6CDE" w14:textId="5BC1D6A4"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8</w:t>
            </w:r>
          </w:p>
        </w:tc>
        <w:tc>
          <w:tcPr>
            <w:tcW w:w="1292" w:type="dxa"/>
            <w:tcBorders>
              <w:top w:val="nil"/>
              <w:left w:val="nil"/>
              <w:bottom w:val="nil"/>
              <w:right w:val="nil"/>
            </w:tcBorders>
            <w:shd w:val="clear" w:color="auto" w:fill="auto"/>
            <w:noWrap/>
            <w:vAlign w:val="bottom"/>
            <w:hideMark/>
          </w:tcPr>
          <w:p w14:paraId="1F8C58EB"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663BE1CC"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22523251"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466113C9"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-0.081</w:t>
            </w:r>
          </w:p>
        </w:tc>
        <w:tc>
          <w:tcPr>
            <w:tcW w:w="2020" w:type="dxa"/>
            <w:tcBorders>
              <w:top w:val="nil"/>
              <w:left w:val="nil"/>
              <w:bottom w:val="nil"/>
              <w:right w:val="nil"/>
            </w:tcBorders>
            <w:shd w:val="clear" w:color="auto" w:fill="auto"/>
            <w:noWrap/>
            <w:vAlign w:val="bottom"/>
            <w:hideMark/>
          </w:tcPr>
          <w:p w14:paraId="1540CF01"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(-0.088, -0.073)</w:t>
            </w:r>
          </w:p>
        </w:tc>
      </w:tr>
      <w:tr w:rsidR="00DD1307" w:rsidRPr="00E01888" w14:paraId="168F3546" w14:textId="77777777" w:rsidTr="002C3078">
        <w:trPr>
          <w:cantSplit/>
          <w:trHeight w:val="300"/>
        </w:trPr>
        <w:tc>
          <w:tcPr>
            <w:tcW w:w="2268" w:type="dxa"/>
            <w:tcBorders>
              <w:top w:val="nil"/>
              <w:left w:val="nil"/>
              <w:bottom w:val="nil"/>
              <w:right w:val="nil"/>
            </w:tcBorders>
            <w:shd w:val="clear" w:color="auto" w:fill="auto"/>
            <w:vAlign w:val="bottom"/>
            <w:hideMark/>
          </w:tcPr>
          <w:p w14:paraId="504AAB35" w14:textId="26446FA5"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7</w:t>
            </w:r>
          </w:p>
        </w:tc>
        <w:tc>
          <w:tcPr>
            <w:tcW w:w="1292" w:type="dxa"/>
            <w:tcBorders>
              <w:top w:val="nil"/>
              <w:left w:val="nil"/>
              <w:bottom w:val="nil"/>
              <w:right w:val="nil"/>
            </w:tcBorders>
            <w:shd w:val="clear" w:color="auto" w:fill="auto"/>
            <w:noWrap/>
            <w:vAlign w:val="bottom"/>
            <w:hideMark/>
          </w:tcPr>
          <w:p w14:paraId="5B96FD46"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4A7F4B48"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1077F5BB"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651AC1FA"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-0.094</w:t>
            </w:r>
          </w:p>
        </w:tc>
        <w:tc>
          <w:tcPr>
            <w:tcW w:w="2020" w:type="dxa"/>
            <w:tcBorders>
              <w:top w:val="nil"/>
              <w:left w:val="nil"/>
              <w:bottom w:val="nil"/>
              <w:right w:val="nil"/>
            </w:tcBorders>
            <w:shd w:val="clear" w:color="auto" w:fill="auto"/>
            <w:noWrap/>
            <w:vAlign w:val="bottom"/>
            <w:hideMark/>
          </w:tcPr>
          <w:p w14:paraId="4E9072C1"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(-0.102, -0.086)</w:t>
            </w:r>
          </w:p>
        </w:tc>
      </w:tr>
      <w:tr w:rsidR="00DD1307" w:rsidRPr="00E01888" w14:paraId="42D45DF6" w14:textId="77777777" w:rsidTr="002C3078">
        <w:trPr>
          <w:cantSplit/>
          <w:trHeight w:val="300"/>
        </w:trPr>
        <w:tc>
          <w:tcPr>
            <w:tcW w:w="2268" w:type="dxa"/>
            <w:tcBorders>
              <w:top w:val="nil"/>
              <w:left w:val="nil"/>
              <w:bottom w:val="nil"/>
              <w:right w:val="nil"/>
            </w:tcBorders>
            <w:shd w:val="clear" w:color="auto" w:fill="auto"/>
            <w:vAlign w:val="bottom"/>
            <w:hideMark/>
          </w:tcPr>
          <w:p w14:paraId="0EFB8C22" w14:textId="703A6C7B"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6</w:t>
            </w:r>
          </w:p>
        </w:tc>
        <w:tc>
          <w:tcPr>
            <w:tcW w:w="1292" w:type="dxa"/>
            <w:tcBorders>
              <w:top w:val="nil"/>
              <w:left w:val="nil"/>
              <w:bottom w:val="nil"/>
              <w:right w:val="nil"/>
            </w:tcBorders>
            <w:shd w:val="clear" w:color="auto" w:fill="auto"/>
            <w:noWrap/>
            <w:vAlign w:val="bottom"/>
            <w:hideMark/>
          </w:tcPr>
          <w:p w14:paraId="633BB5B0"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04B609C4"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56A15C19"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07571842"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-0.099</w:t>
            </w:r>
          </w:p>
        </w:tc>
        <w:tc>
          <w:tcPr>
            <w:tcW w:w="2020" w:type="dxa"/>
            <w:tcBorders>
              <w:top w:val="nil"/>
              <w:left w:val="nil"/>
              <w:bottom w:val="nil"/>
              <w:right w:val="nil"/>
            </w:tcBorders>
            <w:shd w:val="clear" w:color="auto" w:fill="auto"/>
            <w:noWrap/>
            <w:vAlign w:val="bottom"/>
            <w:hideMark/>
          </w:tcPr>
          <w:p w14:paraId="334A420B"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(-0.107, -0.092)</w:t>
            </w:r>
          </w:p>
        </w:tc>
      </w:tr>
      <w:tr w:rsidR="00DD1307" w:rsidRPr="00E01888" w14:paraId="43A0EB00" w14:textId="77777777" w:rsidTr="002C3078">
        <w:trPr>
          <w:cantSplit/>
          <w:trHeight w:val="300"/>
        </w:trPr>
        <w:tc>
          <w:tcPr>
            <w:tcW w:w="2268" w:type="dxa"/>
            <w:tcBorders>
              <w:top w:val="nil"/>
              <w:left w:val="nil"/>
              <w:bottom w:val="nil"/>
              <w:right w:val="nil"/>
            </w:tcBorders>
            <w:shd w:val="clear" w:color="auto" w:fill="auto"/>
            <w:vAlign w:val="bottom"/>
            <w:hideMark/>
          </w:tcPr>
          <w:p w14:paraId="68258885" w14:textId="02F4B862"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5</w:t>
            </w:r>
          </w:p>
        </w:tc>
        <w:tc>
          <w:tcPr>
            <w:tcW w:w="1292" w:type="dxa"/>
            <w:tcBorders>
              <w:top w:val="nil"/>
              <w:left w:val="nil"/>
              <w:bottom w:val="nil"/>
              <w:right w:val="nil"/>
            </w:tcBorders>
            <w:shd w:val="clear" w:color="auto" w:fill="auto"/>
            <w:noWrap/>
            <w:vAlign w:val="bottom"/>
            <w:hideMark/>
          </w:tcPr>
          <w:p w14:paraId="02F35493"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4C00415A"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40D7EB25"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3664C5EE"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-0.134</w:t>
            </w:r>
          </w:p>
        </w:tc>
        <w:tc>
          <w:tcPr>
            <w:tcW w:w="2020" w:type="dxa"/>
            <w:tcBorders>
              <w:top w:val="nil"/>
              <w:left w:val="nil"/>
              <w:bottom w:val="nil"/>
              <w:right w:val="nil"/>
            </w:tcBorders>
            <w:shd w:val="clear" w:color="auto" w:fill="auto"/>
            <w:noWrap/>
            <w:vAlign w:val="bottom"/>
            <w:hideMark/>
          </w:tcPr>
          <w:p w14:paraId="530A0CFB"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(-0.142, -0.126)</w:t>
            </w:r>
          </w:p>
        </w:tc>
      </w:tr>
      <w:tr w:rsidR="00DD1307" w:rsidRPr="00E01888" w14:paraId="53D87E4A" w14:textId="77777777" w:rsidTr="002C3078">
        <w:trPr>
          <w:cantSplit/>
          <w:trHeight w:val="300"/>
        </w:trPr>
        <w:tc>
          <w:tcPr>
            <w:tcW w:w="2268" w:type="dxa"/>
            <w:tcBorders>
              <w:top w:val="nil"/>
              <w:left w:val="nil"/>
              <w:bottom w:val="nil"/>
              <w:right w:val="nil"/>
            </w:tcBorders>
            <w:shd w:val="clear" w:color="auto" w:fill="auto"/>
            <w:vAlign w:val="bottom"/>
            <w:hideMark/>
          </w:tcPr>
          <w:p w14:paraId="0F643578" w14:textId="423D8B42"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4</w:t>
            </w:r>
          </w:p>
        </w:tc>
        <w:tc>
          <w:tcPr>
            <w:tcW w:w="1292" w:type="dxa"/>
            <w:tcBorders>
              <w:top w:val="nil"/>
              <w:left w:val="nil"/>
              <w:bottom w:val="nil"/>
              <w:right w:val="nil"/>
            </w:tcBorders>
            <w:shd w:val="clear" w:color="auto" w:fill="auto"/>
            <w:noWrap/>
            <w:vAlign w:val="bottom"/>
            <w:hideMark/>
          </w:tcPr>
          <w:p w14:paraId="1264079A"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22844B9B"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485536AD"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081F5BA0"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-0.132</w:t>
            </w:r>
          </w:p>
        </w:tc>
        <w:tc>
          <w:tcPr>
            <w:tcW w:w="2020" w:type="dxa"/>
            <w:tcBorders>
              <w:top w:val="nil"/>
              <w:left w:val="nil"/>
              <w:bottom w:val="nil"/>
              <w:right w:val="nil"/>
            </w:tcBorders>
            <w:shd w:val="clear" w:color="auto" w:fill="auto"/>
            <w:noWrap/>
            <w:vAlign w:val="bottom"/>
            <w:hideMark/>
          </w:tcPr>
          <w:p w14:paraId="360AB542"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(-0.14, -0.124)</w:t>
            </w:r>
          </w:p>
        </w:tc>
      </w:tr>
      <w:tr w:rsidR="00DD1307" w:rsidRPr="00E01888" w14:paraId="5DE75916" w14:textId="77777777" w:rsidTr="002C3078">
        <w:trPr>
          <w:cantSplit/>
          <w:trHeight w:val="300"/>
        </w:trPr>
        <w:tc>
          <w:tcPr>
            <w:tcW w:w="2268" w:type="dxa"/>
            <w:tcBorders>
              <w:top w:val="nil"/>
              <w:left w:val="nil"/>
              <w:bottom w:val="nil"/>
              <w:right w:val="nil"/>
            </w:tcBorders>
            <w:shd w:val="clear" w:color="auto" w:fill="auto"/>
            <w:vAlign w:val="bottom"/>
            <w:hideMark/>
          </w:tcPr>
          <w:p w14:paraId="3371CA81" w14:textId="64EB48EE"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3</w:t>
            </w:r>
          </w:p>
        </w:tc>
        <w:tc>
          <w:tcPr>
            <w:tcW w:w="1292" w:type="dxa"/>
            <w:tcBorders>
              <w:top w:val="nil"/>
              <w:left w:val="nil"/>
              <w:bottom w:val="nil"/>
              <w:right w:val="nil"/>
            </w:tcBorders>
            <w:shd w:val="clear" w:color="auto" w:fill="auto"/>
            <w:noWrap/>
            <w:vAlign w:val="bottom"/>
            <w:hideMark/>
          </w:tcPr>
          <w:p w14:paraId="2F7286BD"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57A7CC43"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5B540ABE"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422D0426"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-0.12</w:t>
            </w:r>
          </w:p>
        </w:tc>
        <w:tc>
          <w:tcPr>
            <w:tcW w:w="2020" w:type="dxa"/>
            <w:tcBorders>
              <w:top w:val="nil"/>
              <w:left w:val="nil"/>
              <w:bottom w:val="nil"/>
              <w:right w:val="nil"/>
            </w:tcBorders>
            <w:shd w:val="clear" w:color="auto" w:fill="auto"/>
            <w:noWrap/>
            <w:vAlign w:val="bottom"/>
            <w:hideMark/>
          </w:tcPr>
          <w:p w14:paraId="5404F993"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(-0.129, -0.112)</w:t>
            </w:r>
          </w:p>
        </w:tc>
      </w:tr>
      <w:tr w:rsidR="00DD1307" w:rsidRPr="00E01888" w14:paraId="22DB0D92" w14:textId="77777777" w:rsidTr="002C3078">
        <w:trPr>
          <w:cantSplit/>
          <w:trHeight w:val="300"/>
        </w:trPr>
        <w:tc>
          <w:tcPr>
            <w:tcW w:w="2268" w:type="dxa"/>
            <w:tcBorders>
              <w:top w:val="nil"/>
              <w:left w:val="nil"/>
              <w:bottom w:val="nil"/>
              <w:right w:val="nil"/>
            </w:tcBorders>
            <w:shd w:val="clear" w:color="auto" w:fill="auto"/>
            <w:vAlign w:val="bottom"/>
            <w:hideMark/>
          </w:tcPr>
          <w:p w14:paraId="0F519549" w14:textId="651F8DC1"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2</w:t>
            </w:r>
          </w:p>
        </w:tc>
        <w:tc>
          <w:tcPr>
            <w:tcW w:w="1292" w:type="dxa"/>
            <w:tcBorders>
              <w:top w:val="nil"/>
              <w:left w:val="nil"/>
              <w:bottom w:val="nil"/>
              <w:right w:val="nil"/>
            </w:tcBorders>
            <w:shd w:val="clear" w:color="auto" w:fill="auto"/>
            <w:noWrap/>
            <w:vAlign w:val="bottom"/>
            <w:hideMark/>
          </w:tcPr>
          <w:p w14:paraId="47D8C166"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61804284"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1084A157"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4B2E42D9"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-0.134</w:t>
            </w:r>
          </w:p>
        </w:tc>
        <w:tc>
          <w:tcPr>
            <w:tcW w:w="2020" w:type="dxa"/>
            <w:tcBorders>
              <w:top w:val="nil"/>
              <w:left w:val="nil"/>
              <w:bottom w:val="nil"/>
              <w:right w:val="nil"/>
            </w:tcBorders>
            <w:shd w:val="clear" w:color="auto" w:fill="auto"/>
            <w:noWrap/>
            <w:vAlign w:val="bottom"/>
            <w:hideMark/>
          </w:tcPr>
          <w:p w14:paraId="48C75A2B"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(-0.142, -0.125)</w:t>
            </w:r>
          </w:p>
        </w:tc>
      </w:tr>
      <w:tr w:rsidR="00DD1307" w:rsidRPr="00E01888" w14:paraId="75489C8D" w14:textId="77777777" w:rsidTr="002C3078">
        <w:trPr>
          <w:cantSplit/>
          <w:trHeight w:val="300"/>
        </w:trPr>
        <w:tc>
          <w:tcPr>
            <w:tcW w:w="2268" w:type="dxa"/>
            <w:tcBorders>
              <w:top w:val="nil"/>
              <w:left w:val="nil"/>
              <w:bottom w:val="nil"/>
              <w:right w:val="nil"/>
            </w:tcBorders>
            <w:shd w:val="clear" w:color="auto" w:fill="auto"/>
            <w:vAlign w:val="bottom"/>
            <w:hideMark/>
          </w:tcPr>
          <w:p w14:paraId="48A46DBC" w14:textId="365289DD"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Bottom decile</w:t>
            </w:r>
          </w:p>
        </w:tc>
        <w:tc>
          <w:tcPr>
            <w:tcW w:w="1292" w:type="dxa"/>
            <w:tcBorders>
              <w:top w:val="nil"/>
              <w:left w:val="nil"/>
              <w:bottom w:val="nil"/>
              <w:right w:val="nil"/>
            </w:tcBorders>
            <w:shd w:val="clear" w:color="auto" w:fill="auto"/>
            <w:noWrap/>
            <w:vAlign w:val="bottom"/>
            <w:hideMark/>
          </w:tcPr>
          <w:p w14:paraId="67129B03" w14:textId="77777777" w:rsidR="00DD1307" w:rsidRPr="00E01888" w:rsidRDefault="00DD1307" w:rsidP="00A61F03">
            <w:pPr>
              <w:spacing w:after="0" w:line="240" w:lineRule="auto"/>
              <w:rPr>
                <w:rFonts w:ascii="Calibri" w:eastAsia="Times New Roman" w:hAnsi="Calibri" w:cs="Calibri"/>
                <w:color w:val="000000"/>
                <w:szCs w:val="22"/>
                <w:lang w:eastAsia="en-AU"/>
              </w:rPr>
            </w:pPr>
          </w:p>
        </w:tc>
        <w:tc>
          <w:tcPr>
            <w:tcW w:w="1960" w:type="dxa"/>
            <w:tcBorders>
              <w:top w:val="nil"/>
              <w:left w:val="nil"/>
              <w:bottom w:val="nil"/>
              <w:right w:val="nil"/>
            </w:tcBorders>
            <w:shd w:val="clear" w:color="auto" w:fill="auto"/>
            <w:noWrap/>
            <w:vAlign w:val="bottom"/>
            <w:hideMark/>
          </w:tcPr>
          <w:p w14:paraId="4FD1BA80" w14:textId="77777777" w:rsidR="00DD1307" w:rsidRPr="00E01888" w:rsidRDefault="00DD1307" w:rsidP="00A61F03">
            <w:pPr>
              <w:spacing w:after="0" w:line="240" w:lineRule="auto"/>
              <w:jc w:val="center"/>
              <w:rPr>
                <w:rFonts w:eastAsia="Times New Roman"/>
                <w:sz w:val="20"/>
                <w:lang w:eastAsia="en-AU"/>
              </w:rPr>
            </w:pPr>
          </w:p>
        </w:tc>
        <w:tc>
          <w:tcPr>
            <w:tcW w:w="266" w:type="dxa"/>
            <w:tcBorders>
              <w:top w:val="nil"/>
              <w:left w:val="nil"/>
              <w:bottom w:val="nil"/>
              <w:right w:val="nil"/>
            </w:tcBorders>
            <w:shd w:val="clear" w:color="auto" w:fill="auto"/>
            <w:noWrap/>
            <w:vAlign w:val="bottom"/>
            <w:hideMark/>
          </w:tcPr>
          <w:p w14:paraId="3BEC965E" w14:textId="77777777" w:rsidR="00DD1307" w:rsidRPr="00E01888" w:rsidRDefault="00DD1307" w:rsidP="00A61F03">
            <w:pPr>
              <w:spacing w:after="0" w:line="240" w:lineRule="auto"/>
              <w:jc w:val="center"/>
              <w:rPr>
                <w:rFonts w:eastAsia="Times New Roman"/>
                <w:sz w:val="20"/>
                <w:lang w:eastAsia="en-AU"/>
              </w:rPr>
            </w:pPr>
          </w:p>
        </w:tc>
        <w:tc>
          <w:tcPr>
            <w:tcW w:w="1200" w:type="dxa"/>
            <w:tcBorders>
              <w:top w:val="nil"/>
              <w:left w:val="nil"/>
              <w:bottom w:val="nil"/>
              <w:right w:val="nil"/>
            </w:tcBorders>
            <w:shd w:val="clear" w:color="auto" w:fill="auto"/>
            <w:noWrap/>
            <w:vAlign w:val="bottom"/>
            <w:hideMark/>
          </w:tcPr>
          <w:p w14:paraId="7E517421"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-0.133</w:t>
            </w:r>
          </w:p>
        </w:tc>
        <w:tc>
          <w:tcPr>
            <w:tcW w:w="2020" w:type="dxa"/>
            <w:tcBorders>
              <w:top w:val="nil"/>
              <w:left w:val="nil"/>
              <w:bottom w:val="nil"/>
              <w:right w:val="nil"/>
            </w:tcBorders>
            <w:shd w:val="clear" w:color="auto" w:fill="auto"/>
            <w:noWrap/>
            <w:vAlign w:val="bottom"/>
            <w:hideMark/>
          </w:tcPr>
          <w:p w14:paraId="15E109FB"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(-0.141, -0.124)</w:t>
            </w:r>
          </w:p>
        </w:tc>
      </w:tr>
      <w:tr w:rsidR="00DD1307" w:rsidRPr="00E01888" w14:paraId="55A31D60" w14:textId="77777777" w:rsidTr="002C3078">
        <w:trPr>
          <w:cantSplit/>
          <w:trHeight w:val="300"/>
        </w:trPr>
        <w:tc>
          <w:tcPr>
            <w:tcW w:w="2268" w:type="dxa"/>
            <w:tcBorders>
              <w:top w:val="nil"/>
              <w:left w:val="nil"/>
              <w:bottom w:val="single" w:sz="4" w:space="0" w:color="auto"/>
              <w:right w:val="nil"/>
            </w:tcBorders>
            <w:shd w:val="clear" w:color="auto" w:fill="auto"/>
            <w:vAlign w:val="bottom"/>
            <w:hideMark/>
          </w:tcPr>
          <w:p w14:paraId="7DAABA2A" w14:textId="468D31D4" w:rsidR="00DD1307" w:rsidRPr="00E01888" w:rsidRDefault="00DD1307" w:rsidP="00A61F03">
            <w:pPr>
              <w:spacing w:after="0" w:line="240" w:lineRule="auto"/>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Missing</w:t>
            </w:r>
          </w:p>
        </w:tc>
        <w:tc>
          <w:tcPr>
            <w:tcW w:w="1292" w:type="dxa"/>
            <w:tcBorders>
              <w:top w:val="nil"/>
              <w:left w:val="nil"/>
              <w:bottom w:val="single" w:sz="4" w:space="0" w:color="auto"/>
              <w:right w:val="nil"/>
            </w:tcBorders>
            <w:shd w:val="clear" w:color="auto" w:fill="auto"/>
            <w:noWrap/>
            <w:vAlign w:val="bottom"/>
            <w:hideMark/>
          </w:tcPr>
          <w:p w14:paraId="19B4E1A9"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 </w:t>
            </w:r>
          </w:p>
        </w:tc>
        <w:tc>
          <w:tcPr>
            <w:tcW w:w="1960" w:type="dxa"/>
            <w:tcBorders>
              <w:top w:val="nil"/>
              <w:left w:val="nil"/>
              <w:bottom w:val="single" w:sz="4" w:space="0" w:color="auto"/>
              <w:right w:val="nil"/>
            </w:tcBorders>
            <w:shd w:val="clear" w:color="auto" w:fill="auto"/>
            <w:noWrap/>
            <w:vAlign w:val="bottom"/>
            <w:hideMark/>
          </w:tcPr>
          <w:p w14:paraId="4B41C25F"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 </w:t>
            </w:r>
          </w:p>
        </w:tc>
        <w:tc>
          <w:tcPr>
            <w:tcW w:w="266" w:type="dxa"/>
            <w:tcBorders>
              <w:top w:val="nil"/>
              <w:left w:val="nil"/>
              <w:bottom w:val="single" w:sz="4" w:space="0" w:color="auto"/>
              <w:right w:val="nil"/>
            </w:tcBorders>
            <w:shd w:val="clear" w:color="auto" w:fill="auto"/>
            <w:noWrap/>
            <w:vAlign w:val="bottom"/>
            <w:hideMark/>
          </w:tcPr>
          <w:p w14:paraId="34CA9645"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 </w:t>
            </w:r>
          </w:p>
        </w:tc>
        <w:tc>
          <w:tcPr>
            <w:tcW w:w="1200" w:type="dxa"/>
            <w:tcBorders>
              <w:top w:val="nil"/>
              <w:left w:val="nil"/>
              <w:bottom w:val="single" w:sz="4" w:space="0" w:color="auto"/>
              <w:right w:val="nil"/>
            </w:tcBorders>
            <w:shd w:val="clear" w:color="auto" w:fill="auto"/>
            <w:noWrap/>
            <w:vAlign w:val="bottom"/>
            <w:hideMark/>
          </w:tcPr>
          <w:p w14:paraId="5AF3B426"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-0.101</w:t>
            </w:r>
          </w:p>
        </w:tc>
        <w:tc>
          <w:tcPr>
            <w:tcW w:w="2020" w:type="dxa"/>
            <w:tcBorders>
              <w:top w:val="nil"/>
              <w:left w:val="nil"/>
              <w:bottom w:val="single" w:sz="4" w:space="0" w:color="auto"/>
              <w:right w:val="nil"/>
            </w:tcBorders>
            <w:shd w:val="clear" w:color="auto" w:fill="auto"/>
            <w:noWrap/>
            <w:vAlign w:val="bottom"/>
            <w:hideMark/>
          </w:tcPr>
          <w:p w14:paraId="525302E6" w14:textId="77777777" w:rsidR="00DD1307" w:rsidRPr="00E01888" w:rsidRDefault="00DD1307" w:rsidP="00A61F03">
            <w:pPr>
              <w:spacing w:after="0" w:line="240" w:lineRule="auto"/>
              <w:jc w:val="center"/>
              <w:rPr>
                <w:rFonts w:ascii="Calibri" w:eastAsia="Times New Roman" w:hAnsi="Calibri" w:cs="Calibri"/>
                <w:color w:val="000000"/>
                <w:szCs w:val="22"/>
                <w:lang w:eastAsia="en-AU"/>
              </w:rPr>
            </w:pPr>
            <w:r w:rsidRPr="00E01888">
              <w:rPr>
                <w:rFonts w:ascii="Calibri" w:eastAsia="Times New Roman" w:hAnsi="Calibri" w:cs="Calibri"/>
                <w:color w:val="000000"/>
                <w:szCs w:val="22"/>
                <w:lang w:eastAsia="en-AU"/>
              </w:rPr>
              <w:t>(-0.186, -0.015)</w:t>
            </w:r>
          </w:p>
        </w:tc>
      </w:tr>
    </w:tbl>
    <w:p w14:paraId="4965A4AD" w14:textId="6DAAD453" w:rsidR="00DD1307" w:rsidRDefault="00DD1307" w:rsidP="00DD1307">
      <w:pPr>
        <w:sectPr w:rsidR="00DD1307" w:rsidSect="00960560">
          <w:footerReference w:type="default" r:id="rId75"/>
          <w:pgSz w:w="11906" w:h="16838" w:code="9"/>
          <w:pgMar w:top="1134" w:right="1418" w:bottom="1361" w:left="1418" w:header="573" w:footer="567" w:gutter="0"/>
          <w:cols w:space="708"/>
          <w:docGrid w:linePitch="360"/>
        </w:sectPr>
      </w:pPr>
      <w:r w:rsidRPr="00052F99">
        <w:t>Source: PBS</w:t>
      </w:r>
    </w:p>
    <w:p w14:paraId="0C95EBB4" w14:textId="0DF6A005"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33F23538" w14:textId="77777777" w:rsidTr="00B175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E801514" w14:textId="77777777" w:rsidR="001A3190" w:rsidRPr="00215D48" w:rsidRDefault="001A3190" w:rsidP="00B17515">
            <w:bookmarkStart w:id="92" w:name="ColumnTitle_4"/>
            <w:r w:rsidRPr="00215D48">
              <w:t>Version</w:t>
            </w:r>
          </w:p>
        </w:tc>
        <w:tc>
          <w:tcPr>
            <w:tcW w:w="3242" w:type="dxa"/>
          </w:tcPr>
          <w:p w14:paraId="42B5A56A" w14:textId="77777777" w:rsidR="001A3190" w:rsidRPr="00215D48" w:rsidRDefault="001A3190" w:rsidP="00B17515">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4D97A4CE" w14:textId="77777777" w:rsidR="001A3190" w:rsidRPr="00215D48" w:rsidRDefault="001A3190" w:rsidP="00B17515">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D9A4FBF" w14:textId="77777777" w:rsidR="001A3190" w:rsidRPr="00215D48" w:rsidRDefault="001A3190" w:rsidP="00B17515">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92"/>
      <w:tr w:rsidR="001A3190" w:rsidRPr="00215D48" w14:paraId="74AB455C" w14:textId="77777777" w:rsidTr="00B1751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DF06F38" w14:textId="77777777" w:rsidR="001A3190" w:rsidRPr="00215D48" w:rsidRDefault="001A3190" w:rsidP="00B17515">
            <w:r w:rsidRPr="00215D48">
              <w:t>V1.0</w:t>
            </w:r>
          </w:p>
        </w:tc>
        <w:tc>
          <w:tcPr>
            <w:tcW w:w="3242" w:type="dxa"/>
          </w:tcPr>
          <w:p w14:paraId="3BE7BB4B" w14:textId="77777777" w:rsidR="001A3190" w:rsidRPr="00215D48" w:rsidRDefault="001A3190" w:rsidP="00B17515">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44090124" w14:textId="5EEB9D12" w:rsidR="001A3190" w:rsidRPr="00215D48" w:rsidRDefault="00220A19" w:rsidP="00220A19">
            <w:pPr>
              <w:cnfStyle w:val="000000000000" w:firstRow="0" w:lastRow="0" w:firstColumn="0" w:lastColumn="0" w:oddVBand="0" w:evenVBand="0" w:oddHBand="0" w:evenHBand="0" w:firstRowFirstColumn="0" w:firstRowLastColumn="0" w:lastRowFirstColumn="0" w:lastRowLastColumn="0"/>
            </w:pPr>
            <w:r>
              <w:t>Signal Investigation Unit, Pharmacovigilance and Special Access Branch</w:t>
            </w:r>
          </w:p>
        </w:tc>
        <w:tc>
          <w:tcPr>
            <w:tcW w:w="1808" w:type="dxa"/>
          </w:tcPr>
          <w:p w14:paraId="287D9434" w14:textId="0A7BD482" w:rsidR="001A3190" w:rsidRPr="00215D48" w:rsidRDefault="005726C5" w:rsidP="00926B0E">
            <w:pPr>
              <w:cnfStyle w:val="000000000000" w:firstRow="0" w:lastRow="0" w:firstColumn="0" w:lastColumn="0" w:oddVBand="0" w:evenVBand="0" w:oddHBand="0" w:evenHBand="0" w:firstRowFirstColumn="0" w:firstRowLastColumn="0" w:lastRowFirstColumn="0" w:lastRowLastColumn="0"/>
            </w:pPr>
            <w:r>
              <w:t>December</w:t>
            </w:r>
            <w:r w:rsidR="00220A19">
              <w:t xml:space="preserve"> 2020</w:t>
            </w:r>
          </w:p>
        </w:tc>
      </w:tr>
      <w:tr w:rsidR="00CB6263" w:rsidRPr="00215D48" w14:paraId="642A4BE9" w14:textId="77777777" w:rsidTr="00B1751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2B56BA4" w14:textId="62844942" w:rsidR="00CB6263" w:rsidRPr="00215D48" w:rsidRDefault="00CB6263" w:rsidP="00B17515">
            <w:r>
              <w:t>V2.0</w:t>
            </w:r>
          </w:p>
        </w:tc>
        <w:tc>
          <w:tcPr>
            <w:tcW w:w="3242" w:type="dxa"/>
          </w:tcPr>
          <w:p w14:paraId="34EF75EE" w14:textId="7CA37424" w:rsidR="00CB6263" w:rsidRPr="00215D48" w:rsidRDefault="00CB6263" w:rsidP="00B17515">
            <w:pPr>
              <w:cnfStyle w:val="000000000000" w:firstRow="0" w:lastRow="0" w:firstColumn="0" w:lastColumn="0" w:oddVBand="0" w:evenVBand="0" w:oddHBand="0" w:evenHBand="0" w:firstRowFirstColumn="0" w:firstRowLastColumn="0" w:lastRowFirstColumn="0" w:lastRowLastColumn="0"/>
            </w:pPr>
            <w:r w:rsidRPr="00CB6263">
              <w:t>Updates to text to correct attribution, updated Figures 9 and 10.</w:t>
            </w:r>
          </w:p>
        </w:tc>
        <w:tc>
          <w:tcPr>
            <w:tcW w:w="2712" w:type="dxa"/>
          </w:tcPr>
          <w:p w14:paraId="618BEEF8" w14:textId="20954A48" w:rsidR="00CB6263" w:rsidRDefault="00CB6263" w:rsidP="00220A19">
            <w:pPr>
              <w:cnfStyle w:val="000000000000" w:firstRow="0" w:lastRow="0" w:firstColumn="0" w:lastColumn="0" w:oddVBand="0" w:evenVBand="0" w:oddHBand="0" w:evenHBand="0" w:firstRowFirstColumn="0" w:firstRowLastColumn="0" w:lastRowFirstColumn="0" w:lastRowLastColumn="0"/>
            </w:pPr>
            <w:r w:rsidRPr="00CB6263">
              <w:t>Medicines Surveillance Section (formerly known as the Signal Investigation Unit); Pharmacovigilance and Special Access Branch</w:t>
            </w:r>
          </w:p>
        </w:tc>
        <w:tc>
          <w:tcPr>
            <w:tcW w:w="1808" w:type="dxa"/>
          </w:tcPr>
          <w:p w14:paraId="505B932F" w14:textId="0A44C94D" w:rsidR="00CB6263" w:rsidRDefault="00CB6263" w:rsidP="00926B0E">
            <w:pPr>
              <w:cnfStyle w:val="000000000000" w:firstRow="0" w:lastRow="0" w:firstColumn="0" w:lastColumn="0" w:oddVBand="0" w:evenVBand="0" w:oddHBand="0" w:evenHBand="0" w:firstRowFirstColumn="0" w:firstRowLastColumn="0" w:lastRowFirstColumn="0" w:lastRowLastColumn="0"/>
            </w:pPr>
            <w:r>
              <w:t>April 2021</w:t>
            </w:r>
          </w:p>
        </w:tc>
      </w:tr>
    </w:tbl>
    <w:p w14:paraId="6990DCA5" w14:textId="77777777" w:rsidR="00F401EF" w:rsidRPr="00215D48" w:rsidRDefault="00F401EF" w:rsidP="00706634">
      <w:pPr>
        <w:spacing w:before="0" w:after="0" w:line="240" w:lineRule="auto"/>
        <w:rPr>
          <w:sz w:val="20"/>
        </w:rPr>
        <w:sectPr w:rsidR="00F401EF" w:rsidRPr="00215D48" w:rsidSect="0096056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08CB3F4B" w14:textId="77777777" w:rsidTr="00B17515">
        <w:trPr>
          <w:trHeight w:hRule="exact" w:val="565"/>
          <w:jc w:val="center"/>
        </w:trPr>
        <w:tc>
          <w:tcPr>
            <w:tcW w:w="9145" w:type="dxa"/>
          </w:tcPr>
          <w:p w14:paraId="756D9A74" w14:textId="77777777" w:rsidR="00C50E5C" w:rsidRPr="00215D48" w:rsidRDefault="00C50E5C" w:rsidP="00B17515">
            <w:pPr>
              <w:pStyle w:val="TGASignoff"/>
            </w:pPr>
            <w:r w:rsidRPr="00215D48">
              <w:lastRenderedPageBreak/>
              <w:t>Therapeutic Goods Administration</w:t>
            </w:r>
          </w:p>
        </w:tc>
      </w:tr>
      <w:tr w:rsidR="00C50E5C" w:rsidRPr="00215D48" w14:paraId="54558C13" w14:textId="77777777" w:rsidTr="00B17515">
        <w:trPr>
          <w:trHeight w:val="963"/>
          <w:jc w:val="center"/>
        </w:trPr>
        <w:tc>
          <w:tcPr>
            <w:tcW w:w="9145" w:type="dxa"/>
            <w:tcMar>
              <w:top w:w="28" w:type="dxa"/>
            </w:tcMar>
          </w:tcPr>
          <w:p w14:paraId="7847CA21" w14:textId="77777777" w:rsidR="00C50E5C" w:rsidRPr="00215D48" w:rsidRDefault="00C50E5C" w:rsidP="00EB5622">
            <w:pPr>
              <w:pStyle w:val="Address"/>
              <w:jc w:val="center"/>
            </w:pPr>
            <w:r w:rsidRPr="00215D48">
              <w:t>PO Box 100 Woden ACT 2606 Australia</w:t>
            </w:r>
          </w:p>
          <w:p w14:paraId="7522426E" w14:textId="4E615C93" w:rsidR="001A3190" w:rsidRDefault="00C50E5C">
            <w:pPr>
              <w:pStyle w:val="Address"/>
              <w:jc w:val="center"/>
              <w:rPr>
                <w:sz w:val="22"/>
                <w:szCs w:val="22"/>
              </w:rPr>
            </w:pPr>
            <w:r w:rsidRPr="00215D48">
              <w:t xml:space="preserve">Email: </w:t>
            </w:r>
            <w:hyperlink r:id="rId76" w:history="1">
              <w:r w:rsidRPr="00215D48">
                <w:rPr>
                  <w:rStyle w:val="Hyperlink"/>
                </w:rPr>
                <w:t>info@tga.gov.au</w:t>
              </w:r>
            </w:hyperlink>
            <w:r w:rsidR="005E4E55">
              <w:t xml:space="preserve"> </w:t>
            </w:r>
            <w:r w:rsidRPr="00215D48">
              <w:t>Phone: 1800 020 653</w:t>
            </w:r>
            <w:r w:rsidR="005E4E55">
              <w:t xml:space="preserve"> </w:t>
            </w:r>
            <w:r w:rsidRPr="00215D48">
              <w:t xml:space="preserve">Fax: </w:t>
            </w:r>
            <w:r w:rsidR="001A3190" w:rsidRPr="00BA0DFC">
              <w:t>02 6203 1605</w:t>
            </w:r>
          </w:p>
          <w:p w14:paraId="3E5B6C46" w14:textId="77777777" w:rsidR="00C50E5C" w:rsidRPr="00215D48" w:rsidRDefault="00512C76">
            <w:pPr>
              <w:pStyle w:val="Address"/>
              <w:jc w:val="center"/>
              <w:rPr>
                <w:rStyle w:val="Hyperlink"/>
                <w:b/>
                <w:color w:val="auto"/>
                <w:sz w:val="22"/>
                <w:u w:val="none"/>
              </w:rPr>
            </w:pPr>
            <w:hyperlink r:id="rId77" w:history="1">
              <w:r w:rsidR="00215D48" w:rsidRPr="00C4721A">
                <w:rPr>
                  <w:rStyle w:val="Hyperlink"/>
                  <w:b/>
                </w:rPr>
                <w:t>https://www.tga.gov.au</w:t>
              </w:r>
            </w:hyperlink>
          </w:p>
        </w:tc>
      </w:tr>
      <w:tr w:rsidR="00C50E5C" w:rsidRPr="00215D48" w14:paraId="19D2698C" w14:textId="77777777" w:rsidTr="00B17515">
        <w:trPr>
          <w:trHeight w:val="251"/>
          <w:jc w:val="center"/>
        </w:trPr>
        <w:tc>
          <w:tcPr>
            <w:tcW w:w="9145" w:type="dxa"/>
            <w:tcMar>
              <w:top w:w="28" w:type="dxa"/>
            </w:tcMar>
          </w:tcPr>
          <w:p w14:paraId="70EB9C27" w14:textId="77777777" w:rsidR="00C50E5C" w:rsidRPr="00215D48" w:rsidRDefault="00C50E5C" w:rsidP="00EB5622">
            <w:pPr>
              <w:pStyle w:val="Address"/>
              <w:jc w:val="center"/>
            </w:pPr>
            <w:r w:rsidRPr="00215D48">
              <w:t>Reference/Publication #</w:t>
            </w:r>
          </w:p>
        </w:tc>
      </w:tr>
    </w:tbl>
    <w:p w14:paraId="3827F08F" w14:textId="77777777" w:rsidR="00706634" w:rsidRPr="00215D48" w:rsidRDefault="00706634" w:rsidP="004A3084">
      <w:pPr>
        <w:rPr>
          <w:sz w:val="20"/>
        </w:rPr>
      </w:pPr>
    </w:p>
    <w:sectPr w:rsidR="00706634" w:rsidRPr="00215D48" w:rsidSect="0029069E">
      <w:headerReference w:type="first" r:id="rId78"/>
      <w:footerReference w:type="first" r:id="rId7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A82F2" w14:textId="77777777" w:rsidR="00847827" w:rsidRDefault="00847827" w:rsidP="00C40A36">
      <w:pPr>
        <w:spacing w:after="0"/>
      </w:pPr>
      <w:r>
        <w:separator/>
      </w:r>
    </w:p>
  </w:endnote>
  <w:endnote w:type="continuationSeparator" w:id="0">
    <w:p w14:paraId="5D6D22C2" w14:textId="77777777" w:rsidR="00847827" w:rsidRDefault="0084782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MT">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847827" w:rsidRPr="00257138" w14:paraId="48E87100" w14:textId="77777777" w:rsidTr="000B30E5">
      <w:trPr>
        <w:trHeight w:val="423"/>
      </w:trPr>
      <w:tc>
        <w:tcPr>
          <w:tcW w:w="4360" w:type="dxa"/>
          <w:tcBorders>
            <w:top w:val="single" w:sz="4" w:space="0" w:color="auto"/>
          </w:tcBorders>
        </w:tcPr>
        <w:p w14:paraId="7C557045" w14:textId="77777777" w:rsidR="00847827" w:rsidRDefault="00847827" w:rsidP="000B30E5">
          <w:pPr>
            <w:pStyle w:val="Footer"/>
          </w:pPr>
        </w:p>
        <w:p w14:paraId="74C0F19D" w14:textId="77777777" w:rsidR="00847827" w:rsidRPr="00257138" w:rsidRDefault="00847827"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901F944" w14:textId="77777777" w:rsidR="00847827" w:rsidRDefault="00847827" w:rsidP="000B30E5">
              <w:pPr>
                <w:pStyle w:val="Footer"/>
                <w:jc w:val="right"/>
              </w:pPr>
            </w:p>
            <w:p w14:paraId="4BC46877" w14:textId="3349B5F5" w:rsidR="00847827" w:rsidRPr="00257138" w:rsidRDefault="00847827" w:rsidP="000B30E5">
              <w:pPr>
                <w:pStyle w:val="Footer"/>
                <w:jc w:val="right"/>
              </w:pPr>
              <w:r w:rsidRPr="00257138">
                <w:t xml:space="preserve">Page </w:t>
              </w:r>
              <w:r>
                <w:fldChar w:fldCharType="begin"/>
              </w:r>
              <w:r>
                <w:instrText xml:space="preserve"> PAGE </w:instrText>
              </w:r>
              <w:r>
                <w:fldChar w:fldCharType="separate"/>
              </w:r>
              <w:r>
                <w:rPr>
                  <w:noProof/>
                </w:rPr>
                <w:t>18</w:t>
              </w:r>
              <w:r>
                <w:rPr>
                  <w:noProof/>
                </w:rPr>
                <w:fldChar w:fldCharType="end"/>
              </w:r>
              <w:r w:rsidRPr="00257138">
                <w:t xml:space="preserve"> of </w:t>
              </w:r>
              <w:r w:rsidR="00512C76">
                <w:fldChar w:fldCharType="begin"/>
              </w:r>
              <w:r w:rsidR="00512C76">
                <w:instrText xml:space="preserve"> NUMPAGES  </w:instrText>
              </w:r>
              <w:r w:rsidR="00512C76">
                <w:fldChar w:fldCharType="separate"/>
              </w:r>
              <w:r>
                <w:rPr>
                  <w:noProof/>
                </w:rPr>
                <w:t>60</w:t>
              </w:r>
              <w:r w:rsidR="00512C76">
                <w:rPr>
                  <w:noProof/>
                </w:rPr>
                <w:fldChar w:fldCharType="end"/>
              </w:r>
            </w:p>
          </w:sdtContent>
        </w:sdt>
      </w:tc>
    </w:tr>
    <w:tr w:rsidR="00847827" w:rsidRPr="00257138" w14:paraId="506E3E87" w14:textId="77777777" w:rsidTr="000B30E5">
      <w:trPr>
        <w:trHeight w:val="263"/>
      </w:trPr>
      <w:tc>
        <w:tcPr>
          <w:tcW w:w="4360" w:type="dxa"/>
        </w:tcPr>
        <w:p w14:paraId="1843E9B0" w14:textId="77777777" w:rsidR="00847827" w:rsidRPr="00257138" w:rsidRDefault="00847827" w:rsidP="000B30E5">
          <w:pPr>
            <w:pStyle w:val="Footer"/>
          </w:pPr>
          <w:r w:rsidRPr="00257138">
            <w:t xml:space="preserve">V1.0 </w:t>
          </w:r>
          <w:r>
            <w:t>Month</w:t>
          </w:r>
          <w:r w:rsidRPr="00257138">
            <w:t xml:space="preserve"> 201</w:t>
          </w:r>
          <w:r>
            <w:t>2</w:t>
          </w:r>
        </w:p>
      </w:tc>
      <w:tc>
        <w:tcPr>
          <w:tcW w:w="4360" w:type="dxa"/>
        </w:tcPr>
        <w:p w14:paraId="0068D2DE" w14:textId="77777777" w:rsidR="00847827" w:rsidRPr="00257138" w:rsidRDefault="00847827" w:rsidP="000B30E5">
          <w:pPr>
            <w:pStyle w:val="Footer"/>
            <w:jc w:val="right"/>
          </w:pPr>
        </w:p>
      </w:tc>
    </w:tr>
  </w:tbl>
  <w:p w14:paraId="30619D82" w14:textId="77777777" w:rsidR="00847827" w:rsidRPr="00826007" w:rsidRDefault="00847827" w:rsidP="000B30E5">
    <w:pPr>
      <w:pStyle w:val="Footer"/>
      <w:tabs>
        <w:tab w:val="left" w:pos="7620"/>
        <w:tab w:val="right" w:pos="8504"/>
      </w:tabs>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6979"/>
    </w:tblGrid>
    <w:tr w:rsidR="00A8585C" w:rsidRPr="004A3084" w14:paraId="041BB842" w14:textId="77777777" w:rsidTr="00A8585C">
      <w:trPr>
        <w:trHeight w:val="423"/>
      </w:trPr>
      <w:tc>
        <w:tcPr>
          <w:tcW w:w="7338" w:type="dxa"/>
          <w:tcBorders>
            <w:top w:val="single" w:sz="4" w:space="0" w:color="auto"/>
          </w:tcBorders>
        </w:tcPr>
        <w:p w14:paraId="5D257304" w14:textId="5E30B429" w:rsidR="00A8585C" w:rsidRPr="004A3084" w:rsidRDefault="00A8585C" w:rsidP="00BC0D3F">
          <w:pPr>
            <w:pStyle w:val="Footer"/>
          </w:pPr>
          <w:r>
            <w:t>TGA safety investigation: antidepressant utilisation and ri</w:t>
          </w:r>
          <w:r w:rsidR="00BC0D3F">
            <w:t>sk of suicide in young people</w:t>
          </w:r>
          <w:r w:rsidR="00BC0D3F">
            <w:br/>
            <w:t>V2</w:t>
          </w:r>
          <w:r>
            <w:t xml:space="preserve">.0 </w:t>
          </w:r>
          <w:r w:rsidR="00BC0D3F">
            <w:t xml:space="preserve">April </w:t>
          </w:r>
          <w:r>
            <w:t>202</w:t>
          </w:r>
          <w:r w:rsidR="00BC0D3F">
            <w:t>1</w:t>
          </w:r>
        </w:p>
      </w:tc>
      <w:tc>
        <w:tcPr>
          <w:tcW w:w="6979" w:type="dxa"/>
          <w:tcBorders>
            <w:top w:val="single" w:sz="4" w:space="0" w:color="auto"/>
          </w:tcBorders>
        </w:tcPr>
        <w:sdt>
          <w:sdtPr>
            <w:id w:val="382059601"/>
            <w:docPartObj>
              <w:docPartGallery w:val="Page Numbers (Top of Page)"/>
              <w:docPartUnique/>
            </w:docPartObj>
          </w:sdtPr>
          <w:sdtEndPr/>
          <w:sdtContent>
            <w:p w14:paraId="00BA3F51" w14:textId="673AF5B0" w:rsidR="00A8585C" w:rsidRPr="004A3084" w:rsidRDefault="00A8585C" w:rsidP="00231E8D">
              <w:pPr>
                <w:pStyle w:val="Footer"/>
                <w:jc w:val="right"/>
              </w:pPr>
              <w:r w:rsidRPr="004A3084">
                <w:t xml:space="preserve">Page </w:t>
              </w:r>
              <w:r>
                <w:fldChar w:fldCharType="begin"/>
              </w:r>
              <w:r>
                <w:instrText xml:space="preserve"> PAGE </w:instrText>
              </w:r>
              <w:r>
                <w:fldChar w:fldCharType="separate"/>
              </w:r>
              <w:r w:rsidR="00512C76">
                <w:rPr>
                  <w:noProof/>
                </w:rPr>
                <w:t>49</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52</w:t>
              </w:r>
              <w:r w:rsidR="00512C76">
                <w:rPr>
                  <w:noProof/>
                </w:rPr>
                <w:fldChar w:fldCharType="end"/>
              </w:r>
            </w:p>
          </w:sdtContent>
        </w:sdt>
      </w:tc>
    </w:tr>
  </w:tbl>
  <w:p w14:paraId="36786770" w14:textId="77777777" w:rsidR="00A8585C" w:rsidRPr="00826007" w:rsidRDefault="00A8585C" w:rsidP="004A3084">
    <w:pPr>
      <w:pStyle w:val="Footer"/>
      <w:tabs>
        <w:tab w:val="left" w:pos="7620"/>
        <w:tab w:val="right" w:pos="8504"/>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8585C" w:rsidRPr="004A3084" w14:paraId="64DDE333" w14:textId="77777777" w:rsidTr="00231E8D">
      <w:trPr>
        <w:trHeight w:val="423"/>
      </w:trPr>
      <w:tc>
        <w:tcPr>
          <w:tcW w:w="7338" w:type="dxa"/>
          <w:tcBorders>
            <w:top w:val="single" w:sz="4" w:space="0" w:color="auto"/>
          </w:tcBorders>
        </w:tcPr>
        <w:p w14:paraId="04403750" w14:textId="6E7C1EF4" w:rsidR="00A8585C" w:rsidRPr="004A3084" w:rsidRDefault="00A8585C" w:rsidP="00CB6263">
          <w:pPr>
            <w:pStyle w:val="Footer"/>
          </w:pPr>
          <w:r>
            <w:t>TGA safety investigation: antidepressant utilisation and risk of suicide in young people</w:t>
          </w:r>
          <w:r>
            <w:br/>
            <w:t>V</w:t>
          </w:r>
          <w:r w:rsidR="00CB6263">
            <w:t>2</w:t>
          </w:r>
          <w:r>
            <w:t xml:space="preserve">.0 </w:t>
          </w:r>
          <w:r w:rsidR="00CB6263">
            <w:t xml:space="preserve">April </w:t>
          </w:r>
          <w:r>
            <w:t>202</w:t>
          </w:r>
          <w:r w:rsidR="00CB6263">
            <w:t>1</w:t>
          </w:r>
        </w:p>
      </w:tc>
      <w:tc>
        <w:tcPr>
          <w:tcW w:w="1382" w:type="dxa"/>
          <w:tcBorders>
            <w:top w:val="single" w:sz="4" w:space="0" w:color="auto"/>
          </w:tcBorders>
        </w:tcPr>
        <w:sdt>
          <w:sdtPr>
            <w:id w:val="-1565867212"/>
            <w:docPartObj>
              <w:docPartGallery w:val="Page Numbers (Top of Page)"/>
              <w:docPartUnique/>
            </w:docPartObj>
          </w:sdtPr>
          <w:sdtEndPr/>
          <w:sdtContent>
            <w:p w14:paraId="2E96A8FE" w14:textId="6BC1189F" w:rsidR="00A8585C" w:rsidRPr="004A3084" w:rsidRDefault="00A8585C" w:rsidP="00231E8D">
              <w:pPr>
                <w:pStyle w:val="Footer"/>
                <w:jc w:val="right"/>
              </w:pPr>
              <w:r w:rsidRPr="004A3084">
                <w:t xml:space="preserve">Page </w:t>
              </w:r>
              <w:r>
                <w:fldChar w:fldCharType="begin"/>
              </w:r>
              <w:r>
                <w:instrText xml:space="preserve"> PAGE </w:instrText>
              </w:r>
              <w:r>
                <w:fldChar w:fldCharType="separate"/>
              </w:r>
              <w:r w:rsidR="00512C76">
                <w:rPr>
                  <w:noProof/>
                </w:rPr>
                <w:t>52</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52</w:t>
              </w:r>
              <w:r w:rsidR="00512C76">
                <w:rPr>
                  <w:noProof/>
                </w:rPr>
                <w:fldChar w:fldCharType="end"/>
              </w:r>
            </w:p>
          </w:sdtContent>
        </w:sdt>
      </w:tc>
    </w:tr>
  </w:tbl>
  <w:p w14:paraId="2F620DF2" w14:textId="77777777" w:rsidR="00A8585C" w:rsidRPr="00826007" w:rsidRDefault="00A8585C" w:rsidP="004A3084">
    <w:pPr>
      <w:pStyle w:val="Footer"/>
      <w:tabs>
        <w:tab w:val="left" w:pos="7620"/>
        <w:tab w:val="right" w:pos="8504"/>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A9DD" w14:textId="77777777" w:rsidR="00847827" w:rsidRPr="008E3C43" w:rsidRDefault="00847827" w:rsidP="008E3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8585" w14:textId="77777777" w:rsidR="00847827" w:rsidRDefault="00847827"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47827" w:rsidRPr="004A3084" w14:paraId="0B2B72E7" w14:textId="77777777" w:rsidTr="00231E8D">
      <w:trPr>
        <w:trHeight w:val="423"/>
      </w:trPr>
      <w:tc>
        <w:tcPr>
          <w:tcW w:w="7338" w:type="dxa"/>
          <w:tcBorders>
            <w:top w:val="single" w:sz="4" w:space="0" w:color="auto"/>
          </w:tcBorders>
        </w:tcPr>
        <w:p w14:paraId="5F9F8305" w14:textId="5B710D14" w:rsidR="00847827" w:rsidRPr="004A3084" w:rsidRDefault="00847827" w:rsidP="00A316FA">
          <w:pPr>
            <w:pStyle w:val="Footer"/>
          </w:pPr>
          <w:r>
            <w:t>TGA safety investigation: antidepressant utilisation and risk of suicide in young people</w:t>
          </w:r>
          <w:r>
            <w:br/>
            <w:t>V</w:t>
          </w:r>
          <w:r w:rsidR="00A316FA">
            <w:t>2</w:t>
          </w:r>
          <w:r>
            <w:t xml:space="preserve">.0 </w:t>
          </w:r>
          <w:r w:rsidR="00A316FA">
            <w:t xml:space="preserve">April </w:t>
          </w:r>
          <w:r>
            <w:t>202</w:t>
          </w:r>
          <w:r w:rsidR="00A316FA">
            <w:t>1</w:t>
          </w:r>
        </w:p>
      </w:tc>
      <w:tc>
        <w:tcPr>
          <w:tcW w:w="1382" w:type="dxa"/>
          <w:tcBorders>
            <w:top w:val="single" w:sz="4" w:space="0" w:color="auto"/>
          </w:tcBorders>
        </w:tcPr>
        <w:sdt>
          <w:sdtPr>
            <w:id w:val="11571659"/>
            <w:docPartObj>
              <w:docPartGallery w:val="Page Numbers (Top of Page)"/>
              <w:docPartUnique/>
            </w:docPartObj>
          </w:sdtPr>
          <w:sdtEndPr/>
          <w:sdtContent>
            <w:p w14:paraId="057240C5" w14:textId="63B7D5D5" w:rsidR="00847827" w:rsidRPr="004A3084" w:rsidRDefault="00847827" w:rsidP="00231E8D">
              <w:pPr>
                <w:pStyle w:val="Footer"/>
                <w:jc w:val="right"/>
              </w:pPr>
              <w:r w:rsidRPr="004A3084">
                <w:t xml:space="preserve">Page </w:t>
              </w:r>
              <w:r>
                <w:fldChar w:fldCharType="begin"/>
              </w:r>
              <w:r>
                <w:instrText xml:space="preserve"> PAGE </w:instrText>
              </w:r>
              <w:r>
                <w:fldChar w:fldCharType="separate"/>
              </w:r>
              <w:r w:rsidR="00512C76">
                <w:rPr>
                  <w:noProof/>
                </w:rPr>
                <w:t>17</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53</w:t>
              </w:r>
              <w:r w:rsidR="00512C76">
                <w:rPr>
                  <w:noProof/>
                </w:rPr>
                <w:fldChar w:fldCharType="end"/>
              </w:r>
            </w:p>
          </w:sdtContent>
        </w:sdt>
      </w:tc>
    </w:tr>
  </w:tbl>
  <w:p w14:paraId="1CE3B746" w14:textId="77777777" w:rsidR="00847827" w:rsidRPr="00826007" w:rsidRDefault="00847827"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6979"/>
    </w:tblGrid>
    <w:tr w:rsidR="00E410DC" w:rsidRPr="004A3084" w14:paraId="513E5F7E" w14:textId="77777777" w:rsidTr="00E410DC">
      <w:trPr>
        <w:trHeight w:val="423"/>
      </w:trPr>
      <w:tc>
        <w:tcPr>
          <w:tcW w:w="7338" w:type="dxa"/>
          <w:tcBorders>
            <w:top w:val="single" w:sz="4" w:space="0" w:color="auto"/>
          </w:tcBorders>
        </w:tcPr>
        <w:p w14:paraId="16003DE0" w14:textId="6BD01875" w:rsidR="00E410DC" w:rsidRPr="004A3084" w:rsidRDefault="00E410DC" w:rsidP="00806E1B">
          <w:pPr>
            <w:pStyle w:val="Footer"/>
          </w:pPr>
          <w:r>
            <w:t>TGA safety investigation: antidepressant utilisation and risk of suicide in young people</w:t>
          </w:r>
          <w:r>
            <w:br/>
            <w:t>V</w:t>
          </w:r>
          <w:r w:rsidR="00806E1B">
            <w:t>2</w:t>
          </w:r>
          <w:r>
            <w:t xml:space="preserve">.0 </w:t>
          </w:r>
          <w:r w:rsidR="00806E1B">
            <w:t xml:space="preserve">April </w:t>
          </w:r>
          <w:r>
            <w:t>202</w:t>
          </w:r>
          <w:r w:rsidR="00806E1B">
            <w:t>1</w:t>
          </w:r>
        </w:p>
      </w:tc>
      <w:tc>
        <w:tcPr>
          <w:tcW w:w="6979" w:type="dxa"/>
          <w:tcBorders>
            <w:top w:val="single" w:sz="4" w:space="0" w:color="auto"/>
          </w:tcBorders>
        </w:tcPr>
        <w:sdt>
          <w:sdtPr>
            <w:id w:val="478744330"/>
            <w:docPartObj>
              <w:docPartGallery w:val="Page Numbers (Top of Page)"/>
              <w:docPartUnique/>
            </w:docPartObj>
          </w:sdtPr>
          <w:sdtEndPr/>
          <w:sdtContent>
            <w:p w14:paraId="22527AD1" w14:textId="0058C204" w:rsidR="00E410DC" w:rsidRPr="004A3084" w:rsidRDefault="00E410DC" w:rsidP="00231E8D">
              <w:pPr>
                <w:pStyle w:val="Footer"/>
                <w:jc w:val="right"/>
              </w:pPr>
              <w:r w:rsidRPr="004A3084">
                <w:t xml:space="preserve">Page </w:t>
              </w:r>
              <w:r>
                <w:fldChar w:fldCharType="begin"/>
              </w:r>
              <w:r>
                <w:instrText xml:space="preserve"> PAGE </w:instrText>
              </w:r>
              <w:r>
                <w:fldChar w:fldCharType="separate"/>
              </w:r>
              <w:r w:rsidR="00512C76">
                <w:rPr>
                  <w:noProof/>
                </w:rPr>
                <w:t>18</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53</w:t>
              </w:r>
              <w:r w:rsidR="00512C76">
                <w:rPr>
                  <w:noProof/>
                </w:rPr>
                <w:fldChar w:fldCharType="end"/>
              </w:r>
            </w:p>
          </w:sdtContent>
        </w:sdt>
      </w:tc>
    </w:tr>
  </w:tbl>
  <w:p w14:paraId="60E24E1F" w14:textId="77777777" w:rsidR="00E410DC" w:rsidRPr="00826007" w:rsidRDefault="00E410DC"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E410DC" w:rsidRPr="004A3084" w14:paraId="186633AE" w14:textId="77777777" w:rsidTr="00231E8D">
      <w:trPr>
        <w:trHeight w:val="423"/>
      </w:trPr>
      <w:tc>
        <w:tcPr>
          <w:tcW w:w="7338" w:type="dxa"/>
          <w:tcBorders>
            <w:top w:val="single" w:sz="4" w:space="0" w:color="auto"/>
          </w:tcBorders>
        </w:tcPr>
        <w:p w14:paraId="0F277A62" w14:textId="7AE0B904" w:rsidR="00E410DC" w:rsidRPr="004A3084" w:rsidRDefault="00E410DC" w:rsidP="00211AA9">
          <w:pPr>
            <w:pStyle w:val="Footer"/>
          </w:pPr>
          <w:r>
            <w:t>TGA safety investigation: antidepressant utilisation and ri</w:t>
          </w:r>
          <w:r w:rsidR="007D7669">
            <w:t>sk of suicide in young people</w:t>
          </w:r>
          <w:r w:rsidR="007D7669">
            <w:br/>
            <w:t>V2</w:t>
          </w:r>
          <w:r>
            <w:t xml:space="preserve">.0 </w:t>
          </w:r>
          <w:r w:rsidR="00211AA9">
            <w:t xml:space="preserve">April </w:t>
          </w:r>
          <w:r>
            <w:t>202</w:t>
          </w:r>
          <w:r w:rsidR="007D7669">
            <w:t>1</w:t>
          </w:r>
        </w:p>
      </w:tc>
      <w:tc>
        <w:tcPr>
          <w:tcW w:w="1382" w:type="dxa"/>
          <w:tcBorders>
            <w:top w:val="single" w:sz="4" w:space="0" w:color="auto"/>
          </w:tcBorders>
        </w:tcPr>
        <w:sdt>
          <w:sdtPr>
            <w:id w:val="-800926008"/>
            <w:docPartObj>
              <w:docPartGallery w:val="Page Numbers (Top of Page)"/>
              <w:docPartUnique/>
            </w:docPartObj>
          </w:sdtPr>
          <w:sdtEndPr/>
          <w:sdtContent>
            <w:p w14:paraId="788EC69B" w14:textId="5192CE52" w:rsidR="00E410DC" w:rsidRPr="004A3084" w:rsidRDefault="00E410DC" w:rsidP="00231E8D">
              <w:pPr>
                <w:pStyle w:val="Footer"/>
                <w:jc w:val="right"/>
              </w:pPr>
              <w:r w:rsidRPr="004A3084">
                <w:t xml:space="preserve">Page </w:t>
              </w:r>
              <w:r>
                <w:fldChar w:fldCharType="begin"/>
              </w:r>
              <w:r>
                <w:instrText xml:space="preserve"> PAGE </w:instrText>
              </w:r>
              <w:r>
                <w:fldChar w:fldCharType="separate"/>
              </w:r>
              <w:r w:rsidR="00512C76">
                <w:rPr>
                  <w:noProof/>
                </w:rPr>
                <w:t>30</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53</w:t>
              </w:r>
              <w:r w:rsidR="00512C76">
                <w:rPr>
                  <w:noProof/>
                </w:rPr>
                <w:fldChar w:fldCharType="end"/>
              </w:r>
            </w:p>
          </w:sdtContent>
        </w:sdt>
      </w:tc>
    </w:tr>
  </w:tbl>
  <w:p w14:paraId="23D947FF" w14:textId="77777777" w:rsidR="00E410DC" w:rsidRPr="00826007" w:rsidRDefault="00E410DC" w:rsidP="004A3084">
    <w:pPr>
      <w:pStyle w:val="Footer"/>
      <w:tabs>
        <w:tab w:val="left" w:pos="7620"/>
        <w:tab w:val="right" w:pos="8504"/>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6979"/>
    </w:tblGrid>
    <w:tr w:rsidR="00AE3AB9" w:rsidRPr="004A3084" w14:paraId="71777C01" w14:textId="77777777" w:rsidTr="00AE3AB9">
      <w:trPr>
        <w:trHeight w:val="423"/>
      </w:trPr>
      <w:tc>
        <w:tcPr>
          <w:tcW w:w="7338" w:type="dxa"/>
          <w:tcBorders>
            <w:top w:val="single" w:sz="4" w:space="0" w:color="auto"/>
          </w:tcBorders>
        </w:tcPr>
        <w:p w14:paraId="4FDCAB3E" w14:textId="69243405" w:rsidR="00AE3AB9" w:rsidRPr="004A3084" w:rsidRDefault="00AE3AB9" w:rsidP="00211AA9">
          <w:pPr>
            <w:pStyle w:val="Footer"/>
          </w:pPr>
          <w:r>
            <w:t>TGA safety investigation: antidepressant utilisation and risk of suicide in young people</w:t>
          </w:r>
          <w:r>
            <w:br/>
            <w:t>V</w:t>
          </w:r>
          <w:r w:rsidR="00211AA9">
            <w:t>2</w:t>
          </w:r>
          <w:r>
            <w:t xml:space="preserve">.0 </w:t>
          </w:r>
          <w:r w:rsidR="00211AA9">
            <w:t xml:space="preserve">April </w:t>
          </w:r>
          <w:r>
            <w:t>202</w:t>
          </w:r>
          <w:r w:rsidR="00211AA9">
            <w:t>1</w:t>
          </w:r>
        </w:p>
      </w:tc>
      <w:tc>
        <w:tcPr>
          <w:tcW w:w="6979" w:type="dxa"/>
          <w:tcBorders>
            <w:top w:val="single" w:sz="4" w:space="0" w:color="auto"/>
          </w:tcBorders>
        </w:tcPr>
        <w:sdt>
          <w:sdtPr>
            <w:id w:val="376055853"/>
            <w:docPartObj>
              <w:docPartGallery w:val="Page Numbers (Top of Page)"/>
              <w:docPartUnique/>
            </w:docPartObj>
          </w:sdtPr>
          <w:sdtEndPr/>
          <w:sdtContent>
            <w:p w14:paraId="5FA253D8" w14:textId="15C09045" w:rsidR="00AE3AB9" w:rsidRPr="004A3084" w:rsidRDefault="00AE3AB9" w:rsidP="00231E8D">
              <w:pPr>
                <w:pStyle w:val="Footer"/>
                <w:jc w:val="right"/>
              </w:pPr>
              <w:r w:rsidRPr="004A3084">
                <w:t xml:space="preserve">Page </w:t>
              </w:r>
              <w:r>
                <w:fldChar w:fldCharType="begin"/>
              </w:r>
              <w:r>
                <w:instrText xml:space="preserve"> PAGE </w:instrText>
              </w:r>
              <w:r>
                <w:fldChar w:fldCharType="separate"/>
              </w:r>
              <w:r w:rsidR="00512C76">
                <w:rPr>
                  <w:noProof/>
                </w:rPr>
                <w:t>42</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52</w:t>
              </w:r>
              <w:r w:rsidR="00512C76">
                <w:rPr>
                  <w:noProof/>
                </w:rPr>
                <w:fldChar w:fldCharType="end"/>
              </w:r>
            </w:p>
          </w:sdtContent>
        </w:sdt>
      </w:tc>
    </w:tr>
  </w:tbl>
  <w:p w14:paraId="0FDD19D8" w14:textId="77777777" w:rsidR="00AE3AB9" w:rsidRPr="00826007" w:rsidRDefault="00AE3AB9" w:rsidP="004A3084">
    <w:pPr>
      <w:pStyle w:val="Footer"/>
      <w:tabs>
        <w:tab w:val="left" w:pos="7620"/>
        <w:tab w:val="right" w:pos="8504"/>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E3AB9" w:rsidRPr="004A3084" w14:paraId="443C5C43" w14:textId="77777777" w:rsidTr="00231E8D">
      <w:trPr>
        <w:trHeight w:val="423"/>
      </w:trPr>
      <w:tc>
        <w:tcPr>
          <w:tcW w:w="7338" w:type="dxa"/>
          <w:tcBorders>
            <w:top w:val="single" w:sz="4" w:space="0" w:color="auto"/>
          </w:tcBorders>
        </w:tcPr>
        <w:p w14:paraId="74152DF8" w14:textId="35500586" w:rsidR="00AE3AB9" w:rsidRPr="004A3084" w:rsidRDefault="00AE3AB9" w:rsidP="00531F91">
          <w:pPr>
            <w:pStyle w:val="Footer"/>
          </w:pPr>
          <w:r>
            <w:t>TGA safety investigation: antidepressant utilisation and risk of suicide in young people</w:t>
          </w:r>
          <w:r>
            <w:br/>
            <w:t>V</w:t>
          </w:r>
          <w:r w:rsidR="00531F91">
            <w:t>2</w:t>
          </w:r>
          <w:r>
            <w:t xml:space="preserve">.0 </w:t>
          </w:r>
          <w:r w:rsidR="00531F91">
            <w:t xml:space="preserve">April </w:t>
          </w:r>
          <w:r>
            <w:t>202</w:t>
          </w:r>
          <w:r w:rsidR="00531F91">
            <w:t>1</w:t>
          </w:r>
        </w:p>
      </w:tc>
      <w:tc>
        <w:tcPr>
          <w:tcW w:w="1382" w:type="dxa"/>
          <w:tcBorders>
            <w:top w:val="single" w:sz="4" w:space="0" w:color="auto"/>
          </w:tcBorders>
        </w:tcPr>
        <w:sdt>
          <w:sdtPr>
            <w:id w:val="-354500323"/>
            <w:docPartObj>
              <w:docPartGallery w:val="Page Numbers (Top of Page)"/>
              <w:docPartUnique/>
            </w:docPartObj>
          </w:sdtPr>
          <w:sdtEndPr/>
          <w:sdtContent>
            <w:p w14:paraId="6B91677F" w14:textId="217C6CA2" w:rsidR="00AE3AB9" w:rsidRPr="004A3084" w:rsidRDefault="00AE3AB9" w:rsidP="00231E8D">
              <w:pPr>
                <w:pStyle w:val="Footer"/>
                <w:jc w:val="right"/>
              </w:pPr>
              <w:r w:rsidRPr="004A3084">
                <w:t xml:space="preserve">Page </w:t>
              </w:r>
              <w:r>
                <w:fldChar w:fldCharType="begin"/>
              </w:r>
              <w:r>
                <w:instrText xml:space="preserve"> PAGE </w:instrText>
              </w:r>
              <w:r>
                <w:fldChar w:fldCharType="separate"/>
              </w:r>
              <w:r w:rsidR="00512C76">
                <w:rPr>
                  <w:noProof/>
                </w:rPr>
                <w:t>43</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52</w:t>
              </w:r>
              <w:r w:rsidR="00512C76">
                <w:rPr>
                  <w:noProof/>
                </w:rPr>
                <w:fldChar w:fldCharType="end"/>
              </w:r>
            </w:p>
          </w:sdtContent>
        </w:sdt>
      </w:tc>
    </w:tr>
  </w:tbl>
  <w:p w14:paraId="5AAC4A2F" w14:textId="77777777" w:rsidR="00AE3AB9" w:rsidRPr="00826007" w:rsidRDefault="00AE3AB9" w:rsidP="004A3084">
    <w:pPr>
      <w:pStyle w:val="Footer"/>
      <w:tabs>
        <w:tab w:val="left" w:pos="7620"/>
        <w:tab w:val="right" w:pos="8504"/>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6979"/>
    </w:tblGrid>
    <w:tr w:rsidR="00AE3AB9" w:rsidRPr="004A3084" w14:paraId="0D006216" w14:textId="77777777" w:rsidTr="00AE3AB9">
      <w:trPr>
        <w:trHeight w:val="423"/>
      </w:trPr>
      <w:tc>
        <w:tcPr>
          <w:tcW w:w="7338" w:type="dxa"/>
          <w:tcBorders>
            <w:top w:val="single" w:sz="4" w:space="0" w:color="auto"/>
          </w:tcBorders>
        </w:tcPr>
        <w:p w14:paraId="63C2BBA0" w14:textId="299BD1A0" w:rsidR="00AE3AB9" w:rsidRPr="004A3084" w:rsidRDefault="00AE3AB9" w:rsidP="00666BB7">
          <w:pPr>
            <w:pStyle w:val="Footer"/>
          </w:pPr>
          <w:r>
            <w:t>TGA safety investigation: antidepressant utilisation and risk of suicide in young people</w:t>
          </w:r>
          <w:r>
            <w:br/>
            <w:t>V</w:t>
          </w:r>
          <w:r w:rsidR="00666BB7">
            <w:t>2</w:t>
          </w:r>
          <w:r>
            <w:t xml:space="preserve">.0 </w:t>
          </w:r>
          <w:r w:rsidR="00666BB7">
            <w:t xml:space="preserve">April </w:t>
          </w:r>
          <w:r>
            <w:t>202</w:t>
          </w:r>
          <w:r w:rsidR="00666BB7">
            <w:t>1</w:t>
          </w:r>
        </w:p>
      </w:tc>
      <w:tc>
        <w:tcPr>
          <w:tcW w:w="6979" w:type="dxa"/>
          <w:tcBorders>
            <w:top w:val="single" w:sz="4" w:space="0" w:color="auto"/>
          </w:tcBorders>
        </w:tcPr>
        <w:sdt>
          <w:sdtPr>
            <w:id w:val="2030217919"/>
            <w:docPartObj>
              <w:docPartGallery w:val="Page Numbers (Top of Page)"/>
              <w:docPartUnique/>
            </w:docPartObj>
          </w:sdtPr>
          <w:sdtEndPr/>
          <w:sdtContent>
            <w:p w14:paraId="40A4CAAF" w14:textId="558587A6" w:rsidR="00AE3AB9" w:rsidRPr="004A3084" w:rsidRDefault="00AE3AB9" w:rsidP="00231E8D">
              <w:pPr>
                <w:pStyle w:val="Footer"/>
                <w:jc w:val="right"/>
              </w:pPr>
              <w:r w:rsidRPr="004A3084">
                <w:t xml:space="preserve">Page </w:t>
              </w:r>
              <w:r>
                <w:fldChar w:fldCharType="begin"/>
              </w:r>
              <w:r>
                <w:instrText xml:space="preserve"> PAGE </w:instrText>
              </w:r>
              <w:r>
                <w:fldChar w:fldCharType="separate"/>
              </w:r>
              <w:r w:rsidR="00512C76">
                <w:rPr>
                  <w:noProof/>
                </w:rPr>
                <w:t>46</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52</w:t>
              </w:r>
              <w:r w:rsidR="00512C76">
                <w:rPr>
                  <w:noProof/>
                </w:rPr>
                <w:fldChar w:fldCharType="end"/>
              </w:r>
            </w:p>
          </w:sdtContent>
        </w:sdt>
      </w:tc>
    </w:tr>
  </w:tbl>
  <w:p w14:paraId="62BF968B" w14:textId="77777777" w:rsidR="00AE3AB9" w:rsidRPr="00826007" w:rsidRDefault="00AE3AB9" w:rsidP="004A3084">
    <w:pPr>
      <w:pStyle w:val="Footer"/>
      <w:tabs>
        <w:tab w:val="left" w:pos="7620"/>
        <w:tab w:val="right" w:pos="8504"/>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E3AB9" w:rsidRPr="004A3084" w14:paraId="3DE5F087" w14:textId="77777777" w:rsidTr="00231E8D">
      <w:trPr>
        <w:trHeight w:val="423"/>
      </w:trPr>
      <w:tc>
        <w:tcPr>
          <w:tcW w:w="7338" w:type="dxa"/>
          <w:tcBorders>
            <w:top w:val="single" w:sz="4" w:space="0" w:color="auto"/>
          </w:tcBorders>
        </w:tcPr>
        <w:p w14:paraId="7436D737" w14:textId="11BD1AB3" w:rsidR="00AE3AB9" w:rsidRPr="004A3084" w:rsidRDefault="00AE3AB9" w:rsidP="00C15A59">
          <w:pPr>
            <w:pStyle w:val="Footer"/>
          </w:pPr>
          <w:r>
            <w:t>TGA safety investigation: antidepressant utilisation and risk of suicide in young people</w:t>
          </w:r>
          <w:r>
            <w:br/>
            <w:t>V</w:t>
          </w:r>
          <w:r w:rsidR="00C15A59">
            <w:t>2</w:t>
          </w:r>
          <w:r>
            <w:t xml:space="preserve">.0 </w:t>
          </w:r>
          <w:r w:rsidR="00C15A59">
            <w:t xml:space="preserve">April </w:t>
          </w:r>
          <w:r>
            <w:t>202</w:t>
          </w:r>
          <w:r w:rsidR="00C15A59">
            <w:t>1</w:t>
          </w:r>
        </w:p>
      </w:tc>
      <w:tc>
        <w:tcPr>
          <w:tcW w:w="1382" w:type="dxa"/>
          <w:tcBorders>
            <w:top w:val="single" w:sz="4" w:space="0" w:color="auto"/>
          </w:tcBorders>
        </w:tcPr>
        <w:sdt>
          <w:sdtPr>
            <w:id w:val="1278223704"/>
            <w:docPartObj>
              <w:docPartGallery w:val="Page Numbers (Top of Page)"/>
              <w:docPartUnique/>
            </w:docPartObj>
          </w:sdtPr>
          <w:sdtEndPr/>
          <w:sdtContent>
            <w:p w14:paraId="76EB59EE" w14:textId="7087EDA7" w:rsidR="00AE3AB9" w:rsidRPr="004A3084" w:rsidRDefault="00AE3AB9" w:rsidP="00231E8D">
              <w:pPr>
                <w:pStyle w:val="Footer"/>
                <w:jc w:val="right"/>
              </w:pPr>
              <w:r w:rsidRPr="004A3084">
                <w:t xml:space="preserve">Page </w:t>
              </w:r>
              <w:r>
                <w:fldChar w:fldCharType="begin"/>
              </w:r>
              <w:r>
                <w:instrText xml:space="preserve"> PAGE </w:instrText>
              </w:r>
              <w:r>
                <w:fldChar w:fldCharType="separate"/>
              </w:r>
              <w:r w:rsidR="00512C76">
                <w:rPr>
                  <w:noProof/>
                </w:rPr>
                <w:t>47</w:t>
              </w:r>
              <w:r>
                <w:rPr>
                  <w:noProof/>
                </w:rPr>
                <w:fldChar w:fldCharType="end"/>
              </w:r>
              <w:r w:rsidRPr="004A3084">
                <w:t xml:space="preserve"> of </w:t>
              </w:r>
              <w:r w:rsidR="00512C76">
                <w:fldChar w:fldCharType="begin"/>
              </w:r>
              <w:r w:rsidR="00512C76">
                <w:instrText xml:space="preserve"> NUMPAGES  </w:instrText>
              </w:r>
              <w:r w:rsidR="00512C76">
                <w:fldChar w:fldCharType="separate"/>
              </w:r>
              <w:r w:rsidR="00512C76">
                <w:rPr>
                  <w:noProof/>
                </w:rPr>
                <w:t>52</w:t>
              </w:r>
              <w:r w:rsidR="00512C76">
                <w:rPr>
                  <w:noProof/>
                </w:rPr>
                <w:fldChar w:fldCharType="end"/>
              </w:r>
            </w:p>
          </w:sdtContent>
        </w:sdt>
      </w:tc>
    </w:tr>
  </w:tbl>
  <w:p w14:paraId="394948A1" w14:textId="77777777" w:rsidR="00AE3AB9" w:rsidRPr="00826007" w:rsidRDefault="00AE3AB9" w:rsidP="004A3084">
    <w:pPr>
      <w:pStyle w:val="Footer"/>
      <w:tabs>
        <w:tab w:val="left" w:pos="7620"/>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0ED30" w14:textId="77777777" w:rsidR="00847827" w:rsidRDefault="00847827" w:rsidP="00C40A36">
      <w:pPr>
        <w:spacing w:after="0"/>
      </w:pPr>
      <w:r>
        <w:separator/>
      </w:r>
    </w:p>
  </w:footnote>
  <w:footnote w:type="continuationSeparator" w:id="0">
    <w:p w14:paraId="185478EA" w14:textId="77777777" w:rsidR="00847827" w:rsidRDefault="00847827" w:rsidP="00C40A36">
      <w:pPr>
        <w:spacing w:after="0"/>
      </w:pPr>
      <w:r>
        <w:continuationSeparator/>
      </w:r>
    </w:p>
  </w:footnote>
  <w:footnote w:id="1">
    <w:p w14:paraId="02FB1B0C" w14:textId="5203CAF3" w:rsidR="00847827" w:rsidRDefault="00847827">
      <w:pPr>
        <w:pStyle w:val="FootnoteText"/>
      </w:pPr>
      <w:r>
        <w:rPr>
          <w:rStyle w:val="FootnoteReference"/>
        </w:rPr>
        <w:footnoteRef/>
      </w:r>
      <w:r>
        <w:t xml:space="preserve"> </w:t>
      </w:r>
      <w:r w:rsidR="0095368F" w:rsidRPr="0095368F">
        <w:t xml:space="preserve">The Anatomical Therapeutic Chemical (ATC) classification is a hierarchy of drug classification that is used internationally to ensure consistency of research in drug utilisation. See: </w:t>
      </w:r>
      <w:hyperlink r:id="rId1" w:history="1">
        <w:r w:rsidRPr="00C902DB">
          <w:rPr>
            <w:rStyle w:val="Hyperlink"/>
          </w:rPr>
          <w:t>https://www.whocc.no/atc/structure_and_principles/</w:t>
        </w:r>
      </w:hyperlink>
    </w:p>
  </w:footnote>
  <w:footnote w:id="2">
    <w:p w14:paraId="47BEB556" w14:textId="29CCE75B" w:rsidR="00847827" w:rsidRDefault="00847827">
      <w:pPr>
        <w:pStyle w:val="FootnoteText"/>
      </w:pPr>
      <w:r>
        <w:rPr>
          <w:rStyle w:val="FootnoteReference"/>
        </w:rPr>
        <w:footnoteRef/>
      </w:r>
      <w:r>
        <w:t xml:space="preserve"> </w:t>
      </w:r>
      <w:r w:rsidR="00961E01" w:rsidRPr="00961E01">
        <w:t>Search terms included completed suicide, suicidal attempt, suicidal ideation and suicidal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38662" w14:textId="77777777" w:rsidR="00847827" w:rsidRDefault="00847827"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47827" w:rsidRPr="002B29B2" w14:paraId="719A341E" w14:textId="77777777" w:rsidTr="00F71E1E">
      <w:trPr>
        <w:trHeight w:hRule="exact" w:val="8845"/>
      </w:trPr>
      <w:tc>
        <w:tcPr>
          <w:tcW w:w="11964" w:type="dxa"/>
          <w:vAlign w:val="center"/>
        </w:tcPr>
        <w:p w14:paraId="703663A9" w14:textId="77777777" w:rsidR="00847827" w:rsidRPr="002B29B2" w:rsidRDefault="00512C76" w:rsidP="006A2426">
          <w:pPr>
            <w:ind w:left="-57"/>
            <w:rPr>
              <w:noProof/>
            </w:rPr>
          </w:pPr>
          <w:sdt>
            <w:sdtPr>
              <w:rPr>
                <w:noProof/>
              </w:rPr>
              <w:id w:val="1926993388"/>
              <w:showingPlcHdr/>
              <w:picture/>
            </w:sdtPr>
            <w:sdtEndPr/>
            <w:sdtContent>
              <w:r w:rsidR="00847827" w:rsidRPr="00F71E1E">
                <w:rPr>
                  <w:noProof/>
                  <w:lang w:eastAsia="en-AU"/>
                </w:rPr>
                <w:drawing>
                  <wp:inline distT="0" distB="0" distL="0" distR="0" wp14:anchorId="3E949C62" wp14:editId="6640446D">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43CE4820" w14:textId="77777777" w:rsidR="00847827" w:rsidRDefault="00847827" w:rsidP="006D03E5">
    <w:pPr>
      <w:rPr>
        <w:noProof/>
      </w:rPr>
    </w:pPr>
    <w:r>
      <w:rPr>
        <w:noProof/>
        <w:lang w:eastAsia="en-AU"/>
      </w:rPr>
      <w:drawing>
        <wp:anchor distT="0" distB="0" distL="114300" distR="114300" simplePos="0" relativeHeight="251664384" behindDoc="0" locked="0" layoutInCell="1" allowOverlap="1" wp14:anchorId="4A8DE7DB" wp14:editId="4104A9BB">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6AF0375C" wp14:editId="1C88A8C1">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E860" w14:textId="77777777" w:rsidR="00847827" w:rsidRDefault="00847827"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8030" w14:textId="77777777" w:rsidR="00847827" w:rsidRPr="00FE501F" w:rsidRDefault="00847827"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CAE"/>
    <w:multiLevelType w:val="hybridMultilevel"/>
    <w:tmpl w:val="C61E1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25801"/>
    <w:multiLevelType w:val="hybridMultilevel"/>
    <w:tmpl w:val="E382A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10299"/>
    <w:multiLevelType w:val="hybridMultilevel"/>
    <w:tmpl w:val="8832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8E4CD7"/>
    <w:multiLevelType w:val="multilevel"/>
    <w:tmpl w:val="3DA2BA28"/>
    <w:lvl w:ilvl="0">
      <w:start w:val="1"/>
      <w:numFmt w:val="decimal"/>
      <w:lvlText w:val="%1."/>
      <w:lvlJc w:val="left"/>
      <w:pPr>
        <w:ind w:left="720" w:hanging="360"/>
      </w:pPr>
      <w:rPr>
        <w:rFonts w:hint="default"/>
      </w:rPr>
    </w:lvl>
    <w:lvl w:ilvl="1">
      <w:start w:val="2"/>
      <w:numFmt w:val="decimal"/>
      <w:lvlText w:val="%2.3"/>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616CC0"/>
    <w:multiLevelType w:val="multilevel"/>
    <w:tmpl w:val="A00A131A"/>
    <w:lvl w:ilvl="0">
      <w:start w:val="3"/>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D0251"/>
    <w:multiLevelType w:val="hybridMultilevel"/>
    <w:tmpl w:val="F57AE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56B47"/>
    <w:multiLevelType w:val="hybridMultilevel"/>
    <w:tmpl w:val="89D435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18EE046">
      <w:start w:val="5"/>
      <w:numFmt w:val="bullet"/>
      <w:lvlText w:val="-"/>
      <w:lvlJc w:val="left"/>
      <w:pPr>
        <w:ind w:left="2160" w:hanging="360"/>
      </w:pPr>
      <w:rPr>
        <w:rFonts w:ascii="Cambria" w:eastAsia="Cambria" w:hAnsi="Cambria"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03F6C45"/>
    <w:multiLevelType w:val="hybridMultilevel"/>
    <w:tmpl w:val="B9E88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E2143E"/>
    <w:multiLevelType w:val="multilevel"/>
    <w:tmpl w:val="E800CC88"/>
    <w:lvl w:ilvl="0">
      <w:start w:val="1"/>
      <w:numFmt w:val="decimal"/>
      <w:lvlText w:val="%1."/>
      <w:lvlJc w:val="left"/>
      <w:pPr>
        <w:ind w:left="720" w:hanging="360"/>
      </w:pPr>
      <w:rPr>
        <w:rFonts w:hint="default"/>
      </w:rPr>
    </w:lvl>
    <w:lvl w:ilvl="1">
      <w:start w:val="2"/>
      <w:numFmt w:val="decimal"/>
      <w:lvlText w:val="%2.4"/>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C90F19"/>
    <w:multiLevelType w:val="hybridMultilevel"/>
    <w:tmpl w:val="E67E2DA6"/>
    <w:lvl w:ilvl="0" w:tplc="3ED274C4">
      <w:start w:val="1"/>
      <w:numFmt w:val="bullet"/>
      <w:lvlText w:val=""/>
      <w:lvlJc w:val="left"/>
      <w:pPr>
        <w:ind w:left="720" w:hanging="360"/>
      </w:pPr>
      <w:rPr>
        <w:rFonts w:ascii="Symbol" w:eastAsia="MS Mincho"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FC50A3A"/>
    <w:multiLevelType w:val="hybridMultilevel"/>
    <w:tmpl w:val="DA0C8CD2"/>
    <w:lvl w:ilvl="0" w:tplc="F6C0CF60">
      <w:start w:val="1"/>
      <w:numFmt w:val="bullet"/>
      <w:lvlText w:val=""/>
      <w:lvlJc w:val="left"/>
      <w:pPr>
        <w:ind w:left="720" w:hanging="360"/>
      </w:pPr>
      <w:rPr>
        <w:rFonts w:ascii="Symbol" w:eastAsia="MS Mincho"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B15260"/>
    <w:multiLevelType w:val="multilevel"/>
    <w:tmpl w:val="218ECB40"/>
    <w:lvl w:ilvl="0">
      <w:start w:val="1"/>
      <w:numFmt w:val="decimal"/>
      <w:lvlText w:val="%1."/>
      <w:lvlJc w:val="left"/>
      <w:pPr>
        <w:ind w:left="6" w:hanging="360"/>
      </w:pPr>
      <w:rPr>
        <w:rFonts w:hint="default"/>
      </w:rPr>
    </w:lvl>
    <w:lvl w:ilvl="1">
      <w:start w:val="1"/>
      <w:numFmt w:val="decimal"/>
      <w:isLgl/>
      <w:lvlText w:val="%1.%2"/>
      <w:lvlJc w:val="left"/>
      <w:pPr>
        <w:ind w:left="186" w:hanging="540"/>
      </w:pPr>
      <w:rPr>
        <w:rFonts w:hint="default"/>
      </w:rPr>
    </w:lvl>
    <w:lvl w:ilvl="2">
      <w:start w:val="1"/>
      <w:numFmt w:val="decimal"/>
      <w:isLgl/>
      <w:lvlText w:val="%1.%2.%3"/>
      <w:lvlJc w:val="left"/>
      <w:pPr>
        <w:ind w:left="366" w:hanging="720"/>
      </w:pPr>
      <w:rPr>
        <w:rFonts w:hint="default"/>
      </w:rPr>
    </w:lvl>
    <w:lvl w:ilvl="3">
      <w:start w:val="1"/>
      <w:numFmt w:val="decimal"/>
      <w:isLgl/>
      <w:lvlText w:val="%1.%2.%3.%4"/>
      <w:lvlJc w:val="left"/>
      <w:pPr>
        <w:ind w:left="366" w:hanging="720"/>
      </w:pPr>
      <w:rPr>
        <w:rFonts w:hint="default"/>
      </w:rPr>
    </w:lvl>
    <w:lvl w:ilvl="4">
      <w:start w:val="1"/>
      <w:numFmt w:val="decimal"/>
      <w:isLgl/>
      <w:lvlText w:val="%1.%2.%3.%4.%5"/>
      <w:lvlJc w:val="left"/>
      <w:pPr>
        <w:ind w:left="726" w:hanging="1080"/>
      </w:pPr>
      <w:rPr>
        <w:rFonts w:hint="default"/>
      </w:rPr>
    </w:lvl>
    <w:lvl w:ilvl="5">
      <w:start w:val="1"/>
      <w:numFmt w:val="decimal"/>
      <w:isLgl/>
      <w:lvlText w:val="%1.%2.%3.%4.%5.%6"/>
      <w:lvlJc w:val="left"/>
      <w:pPr>
        <w:ind w:left="726" w:hanging="1080"/>
      </w:pPr>
      <w:rPr>
        <w:rFonts w:hint="default"/>
      </w:rPr>
    </w:lvl>
    <w:lvl w:ilvl="6">
      <w:start w:val="1"/>
      <w:numFmt w:val="decimal"/>
      <w:isLgl/>
      <w:lvlText w:val="%1.%2.%3.%4.%5.%6.%7"/>
      <w:lvlJc w:val="left"/>
      <w:pPr>
        <w:ind w:left="1086" w:hanging="1440"/>
      </w:pPr>
      <w:rPr>
        <w:rFonts w:hint="default"/>
      </w:rPr>
    </w:lvl>
    <w:lvl w:ilvl="7">
      <w:start w:val="1"/>
      <w:numFmt w:val="decimal"/>
      <w:isLgl/>
      <w:lvlText w:val="%1.%2.%3.%4.%5.%6.%7.%8"/>
      <w:lvlJc w:val="left"/>
      <w:pPr>
        <w:ind w:left="1086" w:hanging="1440"/>
      </w:pPr>
      <w:rPr>
        <w:rFonts w:hint="default"/>
      </w:rPr>
    </w:lvl>
    <w:lvl w:ilvl="8">
      <w:start w:val="1"/>
      <w:numFmt w:val="decimal"/>
      <w:isLgl/>
      <w:lvlText w:val="%1.%2.%3.%4.%5.%6.%7.%8.%9"/>
      <w:lvlJc w:val="left"/>
      <w:pPr>
        <w:ind w:left="1446" w:hanging="1800"/>
      </w:pPr>
      <w:rPr>
        <w:rFonts w:hint="default"/>
      </w:rPr>
    </w:lvl>
  </w:abstractNum>
  <w:abstractNum w:abstractNumId="15" w15:restartNumberingAfterBreak="0">
    <w:nsid w:val="220015B1"/>
    <w:multiLevelType w:val="hybridMultilevel"/>
    <w:tmpl w:val="1C1A66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043469"/>
    <w:multiLevelType w:val="multilevel"/>
    <w:tmpl w:val="024C6B76"/>
    <w:lvl w:ilvl="0">
      <w:start w:val="1"/>
      <w:numFmt w:val="decimal"/>
      <w:lvlText w:val="%1."/>
      <w:lvlJc w:val="left"/>
      <w:pPr>
        <w:ind w:left="720" w:hanging="360"/>
      </w:pPr>
      <w:rPr>
        <w:rFonts w:hint="default"/>
      </w:rPr>
    </w:lvl>
    <w:lvl w:ilvl="1">
      <w:start w:val="2"/>
      <w:numFmt w:val="decimal"/>
      <w:lvlText w:val="%2.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D9199E"/>
    <w:multiLevelType w:val="multilevel"/>
    <w:tmpl w:val="0AD267B0"/>
    <w:lvl w:ilvl="0">
      <w:start w:val="1"/>
      <w:numFmt w:val="decimal"/>
      <w:lvlText w:val="%1."/>
      <w:lvlJc w:val="left"/>
      <w:pPr>
        <w:ind w:left="720" w:hanging="360"/>
      </w:pPr>
      <w:rPr>
        <w:rFonts w:hint="default"/>
      </w:rPr>
    </w:lvl>
    <w:lvl w:ilvl="1">
      <w:start w:val="2"/>
      <w:numFmt w:val="decimal"/>
      <w:lvlText w:val="%2.1"/>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342B5B"/>
    <w:multiLevelType w:val="hybridMultilevel"/>
    <w:tmpl w:val="083AD558"/>
    <w:lvl w:ilvl="0" w:tplc="04E4DAD8">
      <w:start w:val="2"/>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21D24"/>
    <w:multiLevelType w:val="hybridMultilevel"/>
    <w:tmpl w:val="2AC6794A"/>
    <w:lvl w:ilvl="0" w:tplc="04E4DAD8">
      <w:start w:val="2"/>
      <w:numFmt w:val="bullet"/>
      <w:lvlText w:val="-"/>
      <w:lvlJc w:val="left"/>
      <w:pPr>
        <w:ind w:left="836" w:hanging="360"/>
      </w:pPr>
      <w:rPr>
        <w:rFonts w:ascii="Cambria" w:eastAsia="Cambria" w:hAnsi="Cambria"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0" w15:restartNumberingAfterBreak="0">
    <w:nsid w:val="36A637D8"/>
    <w:multiLevelType w:val="hybridMultilevel"/>
    <w:tmpl w:val="236C45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3C71B3"/>
    <w:multiLevelType w:val="hybridMultilevel"/>
    <w:tmpl w:val="55BECBC6"/>
    <w:lvl w:ilvl="0" w:tplc="28ACB456">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F84A96"/>
    <w:multiLevelType w:val="hybridMultilevel"/>
    <w:tmpl w:val="44E69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B7567E"/>
    <w:multiLevelType w:val="hybridMultilevel"/>
    <w:tmpl w:val="8294D83E"/>
    <w:lvl w:ilvl="0" w:tplc="AEF6B558">
      <w:start w:val="1"/>
      <w:numFmt w:val="bullet"/>
      <w:lvlText w:val=""/>
      <w:lvlJc w:val="left"/>
      <w:pPr>
        <w:ind w:left="720" w:hanging="360"/>
      </w:pPr>
      <w:rPr>
        <w:rFonts w:ascii="Symbol" w:eastAsia="MS Mincho"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C6658B"/>
    <w:multiLevelType w:val="hybridMultilevel"/>
    <w:tmpl w:val="C5FA9064"/>
    <w:lvl w:ilvl="0" w:tplc="66DED040">
      <w:start w:val="3"/>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CE473A"/>
    <w:multiLevelType w:val="hybridMultilevel"/>
    <w:tmpl w:val="A4ACE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B5346E"/>
    <w:multiLevelType w:val="multilevel"/>
    <w:tmpl w:val="C382F61E"/>
    <w:lvl w:ilvl="0">
      <w:start w:val="1"/>
      <w:numFmt w:val="decimal"/>
      <w:lvlText w:val="%1."/>
      <w:lvlJc w:val="left"/>
      <w:pPr>
        <w:ind w:left="720" w:hanging="360"/>
      </w:pPr>
      <w:rPr>
        <w:rFonts w:hint="default"/>
      </w:rPr>
    </w:lvl>
    <w:lvl w:ilvl="1">
      <w:start w:val="2"/>
      <w:numFmt w:val="decimal"/>
      <w:lvlText w:val="%2.3"/>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801E1E"/>
    <w:multiLevelType w:val="hybridMultilevel"/>
    <w:tmpl w:val="38B4B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611988"/>
    <w:multiLevelType w:val="hybridMultilevel"/>
    <w:tmpl w:val="3368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040EB3"/>
    <w:multiLevelType w:val="hybridMultilevel"/>
    <w:tmpl w:val="4E0EF8C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600EAF"/>
    <w:multiLevelType w:val="hybridMultilevel"/>
    <w:tmpl w:val="11F2D110"/>
    <w:lvl w:ilvl="0" w:tplc="28ACB45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CC497A"/>
    <w:multiLevelType w:val="hybridMultilevel"/>
    <w:tmpl w:val="06F0623E"/>
    <w:lvl w:ilvl="0" w:tplc="04E4DAD8">
      <w:start w:val="2"/>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A76C2"/>
    <w:multiLevelType w:val="hybridMultilevel"/>
    <w:tmpl w:val="1450964E"/>
    <w:lvl w:ilvl="0" w:tplc="9356E5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E26E5F"/>
    <w:multiLevelType w:val="hybridMultilevel"/>
    <w:tmpl w:val="05EC6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2"/>
  </w:num>
  <w:num w:numId="4">
    <w:abstractNumId w:val="7"/>
  </w:num>
  <w:num w:numId="5">
    <w:abstractNumId w:val="11"/>
  </w:num>
  <w:num w:numId="6">
    <w:abstractNumId w:val="23"/>
  </w:num>
  <w:num w:numId="7">
    <w:abstractNumId w:val="14"/>
  </w:num>
  <w:num w:numId="8">
    <w:abstractNumId w:val="13"/>
  </w:num>
  <w:num w:numId="9">
    <w:abstractNumId w:val="24"/>
  </w:num>
  <w:num w:numId="10">
    <w:abstractNumId w:val="10"/>
  </w:num>
  <w:num w:numId="11">
    <w:abstractNumId w:val="33"/>
  </w:num>
  <w:num w:numId="12">
    <w:abstractNumId w:val="28"/>
  </w:num>
  <w:num w:numId="13">
    <w:abstractNumId w:val="26"/>
  </w:num>
  <w:num w:numId="14">
    <w:abstractNumId w:val="29"/>
  </w:num>
  <w:num w:numId="15">
    <w:abstractNumId w:val="22"/>
  </w:num>
  <w:num w:numId="16">
    <w:abstractNumId w:val="32"/>
  </w:num>
  <w:num w:numId="17">
    <w:abstractNumId w:val="18"/>
  </w:num>
  <w:num w:numId="18">
    <w:abstractNumId w:val="30"/>
  </w:num>
  <w:num w:numId="19">
    <w:abstractNumId w:val="8"/>
  </w:num>
  <w:num w:numId="20">
    <w:abstractNumId w:val="34"/>
  </w:num>
  <w:num w:numId="21">
    <w:abstractNumId w:val="1"/>
  </w:num>
  <w:num w:numId="22">
    <w:abstractNumId w:val="0"/>
  </w:num>
  <w:num w:numId="23">
    <w:abstractNumId w:val="2"/>
  </w:num>
  <w:num w:numId="24">
    <w:abstractNumId w:val="6"/>
  </w:num>
  <w:num w:numId="25">
    <w:abstractNumId w:val="20"/>
  </w:num>
  <w:num w:numId="26">
    <w:abstractNumId w:val="9"/>
  </w:num>
  <w:num w:numId="27">
    <w:abstractNumId w:val="19"/>
  </w:num>
  <w:num w:numId="28">
    <w:abstractNumId w:val="4"/>
  </w:num>
  <w:num w:numId="29">
    <w:abstractNumId w:val="3"/>
  </w:num>
  <w:num w:numId="30">
    <w:abstractNumId w:val="17"/>
  </w:num>
  <w:num w:numId="31">
    <w:abstractNumId w:val="16"/>
  </w:num>
  <w:num w:numId="32">
    <w:abstractNumId w:val="27"/>
  </w:num>
  <w:num w:numId="33">
    <w:abstractNumId w:val="15"/>
  </w:num>
  <w:num w:numId="34">
    <w:abstractNumId w:val="31"/>
  </w:num>
  <w:num w:numId="35">
    <w:abstractNumId w:val="21"/>
  </w:num>
  <w:num w:numId="36">
    <w:abstractNumId w:val="25"/>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9505"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F6"/>
    <w:rsid w:val="00002031"/>
    <w:rsid w:val="000027A2"/>
    <w:rsid w:val="000040BA"/>
    <w:rsid w:val="00004734"/>
    <w:rsid w:val="00006B22"/>
    <w:rsid w:val="00010C04"/>
    <w:rsid w:val="00010E4D"/>
    <w:rsid w:val="00011298"/>
    <w:rsid w:val="0001276A"/>
    <w:rsid w:val="00016BEB"/>
    <w:rsid w:val="00023F93"/>
    <w:rsid w:val="000246AE"/>
    <w:rsid w:val="00025B6D"/>
    <w:rsid w:val="00025C67"/>
    <w:rsid w:val="00026547"/>
    <w:rsid w:val="00032FFB"/>
    <w:rsid w:val="000334EC"/>
    <w:rsid w:val="00043B5A"/>
    <w:rsid w:val="00046729"/>
    <w:rsid w:val="00047EA2"/>
    <w:rsid w:val="00052F99"/>
    <w:rsid w:val="00052FCD"/>
    <w:rsid w:val="0005559E"/>
    <w:rsid w:val="00056B54"/>
    <w:rsid w:val="00061BF7"/>
    <w:rsid w:val="00062E1B"/>
    <w:rsid w:val="00063AB2"/>
    <w:rsid w:val="0006711D"/>
    <w:rsid w:val="000703AB"/>
    <w:rsid w:val="000709DB"/>
    <w:rsid w:val="000716DB"/>
    <w:rsid w:val="0007217C"/>
    <w:rsid w:val="00074927"/>
    <w:rsid w:val="00077578"/>
    <w:rsid w:val="00077775"/>
    <w:rsid w:val="000814B5"/>
    <w:rsid w:val="000824F5"/>
    <w:rsid w:val="00084247"/>
    <w:rsid w:val="00090471"/>
    <w:rsid w:val="000926F6"/>
    <w:rsid w:val="000933F3"/>
    <w:rsid w:val="000934A6"/>
    <w:rsid w:val="00097E20"/>
    <w:rsid w:val="000A18EA"/>
    <w:rsid w:val="000A218C"/>
    <w:rsid w:val="000A3543"/>
    <w:rsid w:val="000A4371"/>
    <w:rsid w:val="000B30E5"/>
    <w:rsid w:val="000B3532"/>
    <w:rsid w:val="000B3A75"/>
    <w:rsid w:val="000B574E"/>
    <w:rsid w:val="000B5E4E"/>
    <w:rsid w:val="000B6CAE"/>
    <w:rsid w:val="000B7084"/>
    <w:rsid w:val="000C296D"/>
    <w:rsid w:val="000C731F"/>
    <w:rsid w:val="000D0851"/>
    <w:rsid w:val="000D157F"/>
    <w:rsid w:val="000D38B4"/>
    <w:rsid w:val="000D391B"/>
    <w:rsid w:val="000D3D6D"/>
    <w:rsid w:val="000D4FC7"/>
    <w:rsid w:val="000E0E8B"/>
    <w:rsid w:val="000E3820"/>
    <w:rsid w:val="000E4F4F"/>
    <w:rsid w:val="000E7FA1"/>
    <w:rsid w:val="000F0241"/>
    <w:rsid w:val="000F1C73"/>
    <w:rsid w:val="000F1D3F"/>
    <w:rsid w:val="000F2E57"/>
    <w:rsid w:val="000F4562"/>
    <w:rsid w:val="000F4869"/>
    <w:rsid w:val="000F4ED9"/>
    <w:rsid w:val="000F5176"/>
    <w:rsid w:val="000F5978"/>
    <w:rsid w:val="000F5B42"/>
    <w:rsid w:val="000F6A5C"/>
    <w:rsid w:val="000F6E6F"/>
    <w:rsid w:val="001003F2"/>
    <w:rsid w:val="00100FA0"/>
    <w:rsid w:val="001027E4"/>
    <w:rsid w:val="00102BDA"/>
    <w:rsid w:val="0010591B"/>
    <w:rsid w:val="0010601F"/>
    <w:rsid w:val="00110DB4"/>
    <w:rsid w:val="00110EA5"/>
    <w:rsid w:val="001111FF"/>
    <w:rsid w:val="00115240"/>
    <w:rsid w:val="00115508"/>
    <w:rsid w:val="001210F1"/>
    <w:rsid w:val="00125091"/>
    <w:rsid w:val="00125318"/>
    <w:rsid w:val="00127B60"/>
    <w:rsid w:val="001305A2"/>
    <w:rsid w:val="0013150B"/>
    <w:rsid w:val="00133238"/>
    <w:rsid w:val="00140FE3"/>
    <w:rsid w:val="0014197B"/>
    <w:rsid w:val="001423DA"/>
    <w:rsid w:val="0014247A"/>
    <w:rsid w:val="001447CD"/>
    <w:rsid w:val="001500F7"/>
    <w:rsid w:val="001516B1"/>
    <w:rsid w:val="001525B4"/>
    <w:rsid w:val="0015294A"/>
    <w:rsid w:val="0015431B"/>
    <w:rsid w:val="001561EA"/>
    <w:rsid w:val="00156316"/>
    <w:rsid w:val="00160F88"/>
    <w:rsid w:val="00164CE2"/>
    <w:rsid w:val="00164DCF"/>
    <w:rsid w:val="00165389"/>
    <w:rsid w:val="00165DC3"/>
    <w:rsid w:val="00170EC2"/>
    <w:rsid w:val="001713A3"/>
    <w:rsid w:val="00172A15"/>
    <w:rsid w:val="001766D7"/>
    <w:rsid w:val="0017693F"/>
    <w:rsid w:val="00180F56"/>
    <w:rsid w:val="0018110E"/>
    <w:rsid w:val="00181684"/>
    <w:rsid w:val="001843C6"/>
    <w:rsid w:val="001850E0"/>
    <w:rsid w:val="0018660B"/>
    <w:rsid w:val="00192AAA"/>
    <w:rsid w:val="001A132B"/>
    <w:rsid w:val="001A2347"/>
    <w:rsid w:val="001A3190"/>
    <w:rsid w:val="001A525F"/>
    <w:rsid w:val="001B09F9"/>
    <w:rsid w:val="001B1D91"/>
    <w:rsid w:val="001B5DF8"/>
    <w:rsid w:val="001B6448"/>
    <w:rsid w:val="001B687F"/>
    <w:rsid w:val="001C0B3D"/>
    <w:rsid w:val="001C2299"/>
    <w:rsid w:val="001C2642"/>
    <w:rsid w:val="001C3116"/>
    <w:rsid w:val="001C3A9E"/>
    <w:rsid w:val="001C69DC"/>
    <w:rsid w:val="001C782A"/>
    <w:rsid w:val="001D674A"/>
    <w:rsid w:val="001D7157"/>
    <w:rsid w:val="001D7224"/>
    <w:rsid w:val="001E07CF"/>
    <w:rsid w:val="001E275A"/>
    <w:rsid w:val="001E59F1"/>
    <w:rsid w:val="001F124F"/>
    <w:rsid w:val="001F20F9"/>
    <w:rsid w:val="001F250D"/>
    <w:rsid w:val="001F3495"/>
    <w:rsid w:val="001F49EB"/>
    <w:rsid w:val="001F5F65"/>
    <w:rsid w:val="001F63EC"/>
    <w:rsid w:val="001F6CBA"/>
    <w:rsid w:val="00201D4E"/>
    <w:rsid w:val="00203BD3"/>
    <w:rsid w:val="002078BA"/>
    <w:rsid w:val="00211AA9"/>
    <w:rsid w:val="00215D48"/>
    <w:rsid w:val="00216A76"/>
    <w:rsid w:val="00217091"/>
    <w:rsid w:val="00217C85"/>
    <w:rsid w:val="00220A19"/>
    <w:rsid w:val="00220B8A"/>
    <w:rsid w:val="002257F3"/>
    <w:rsid w:val="00231E8D"/>
    <w:rsid w:val="00233456"/>
    <w:rsid w:val="002339A5"/>
    <w:rsid w:val="00235BC6"/>
    <w:rsid w:val="002370FD"/>
    <w:rsid w:val="00237691"/>
    <w:rsid w:val="002440AC"/>
    <w:rsid w:val="00246320"/>
    <w:rsid w:val="00247FB9"/>
    <w:rsid w:val="00257138"/>
    <w:rsid w:val="00257229"/>
    <w:rsid w:val="0025762C"/>
    <w:rsid w:val="00257848"/>
    <w:rsid w:val="0027084A"/>
    <w:rsid w:val="00275BA9"/>
    <w:rsid w:val="00277FA2"/>
    <w:rsid w:val="002804B2"/>
    <w:rsid w:val="00280E84"/>
    <w:rsid w:val="00281DC2"/>
    <w:rsid w:val="00282EFC"/>
    <w:rsid w:val="00285E71"/>
    <w:rsid w:val="00286345"/>
    <w:rsid w:val="00286434"/>
    <w:rsid w:val="00286C59"/>
    <w:rsid w:val="00287F5A"/>
    <w:rsid w:val="0029069E"/>
    <w:rsid w:val="00290795"/>
    <w:rsid w:val="002942D1"/>
    <w:rsid w:val="00296E37"/>
    <w:rsid w:val="002A0521"/>
    <w:rsid w:val="002A0556"/>
    <w:rsid w:val="002A592C"/>
    <w:rsid w:val="002A5B3A"/>
    <w:rsid w:val="002B04FD"/>
    <w:rsid w:val="002B1638"/>
    <w:rsid w:val="002B25CB"/>
    <w:rsid w:val="002B29B2"/>
    <w:rsid w:val="002C2AF5"/>
    <w:rsid w:val="002C2DDC"/>
    <w:rsid w:val="002C3078"/>
    <w:rsid w:val="002C376C"/>
    <w:rsid w:val="002C3E3F"/>
    <w:rsid w:val="002C5630"/>
    <w:rsid w:val="002C5A98"/>
    <w:rsid w:val="002C6E9C"/>
    <w:rsid w:val="002E193A"/>
    <w:rsid w:val="002E364F"/>
    <w:rsid w:val="002E3B92"/>
    <w:rsid w:val="002E4C9A"/>
    <w:rsid w:val="002F11F8"/>
    <w:rsid w:val="002F260A"/>
    <w:rsid w:val="002F3F56"/>
    <w:rsid w:val="002F44B5"/>
    <w:rsid w:val="00300350"/>
    <w:rsid w:val="00300A6B"/>
    <w:rsid w:val="00301FA3"/>
    <w:rsid w:val="003035D8"/>
    <w:rsid w:val="00303F0B"/>
    <w:rsid w:val="00306C0F"/>
    <w:rsid w:val="0031198F"/>
    <w:rsid w:val="00311AC0"/>
    <w:rsid w:val="00314349"/>
    <w:rsid w:val="0031547B"/>
    <w:rsid w:val="00321CE8"/>
    <w:rsid w:val="003238AE"/>
    <w:rsid w:val="00323F14"/>
    <w:rsid w:val="003252DE"/>
    <w:rsid w:val="00331DBB"/>
    <w:rsid w:val="00335C3B"/>
    <w:rsid w:val="003361D1"/>
    <w:rsid w:val="00342C83"/>
    <w:rsid w:val="0034307C"/>
    <w:rsid w:val="00343E86"/>
    <w:rsid w:val="00350236"/>
    <w:rsid w:val="0035146C"/>
    <w:rsid w:val="003521E8"/>
    <w:rsid w:val="003538C3"/>
    <w:rsid w:val="00357700"/>
    <w:rsid w:val="003617BA"/>
    <w:rsid w:val="0036361E"/>
    <w:rsid w:val="003642F2"/>
    <w:rsid w:val="00365504"/>
    <w:rsid w:val="003664BF"/>
    <w:rsid w:val="00367AB8"/>
    <w:rsid w:val="003714BB"/>
    <w:rsid w:val="0037260E"/>
    <w:rsid w:val="003728F3"/>
    <w:rsid w:val="00372F5E"/>
    <w:rsid w:val="00376793"/>
    <w:rsid w:val="00381212"/>
    <w:rsid w:val="00382143"/>
    <w:rsid w:val="00382C04"/>
    <w:rsid w:val="00382D4E"/>
    <w:rsid w:val="003843F6"/>
    <w:rsid w:val="00384417"/>
    <w:rsid w:val="00384594"/>
    <w:rsid w:val="00390532"/>
    <w:rsid w:val="00390900"/>
    <w:rsid w:val="003912C6"/>
    <w:rsid w:val="003924A9"/>
    <w:rsid w:val="00393398"/>
    <w:rsid w:val="0039560E"/>
    <w:rsid w:val="003A059D"/>
    <w:rsid w:val="003A2DDF"/>
    <w:rsid w:val="003A31BE"/>
    <w:rsid w:val="003A53A4"/>
    <w:rsid w:val="003A6772"/>
    <w:rsid w:val="003A7232"/>
    <w:rsid w:val="003A7C42"/>
    <w:rsid w:val="003B1A4B"/>
    <w:rsid w:val="003B362C"/>
    <w:rsid w:val="003B55AF"/>
    <w:rsid w:val="003B7E39"/>
    <w:rsid w:val="003C58DC"/>
    <w:rsid w:val="003C70DC"/>
    <w:rsid w:val="003D020F"/>
    <w:rsid w:val="003D124C"/>
    <w:rsid w:val="003D2DA6"/>
    <w:rsid w:val="003D3B63"/>
    <w:rsid w:val="003D430A"/>
    <w:rsid w:val="003D69BB"/>
    <w:rsid w:val="003D6B56"/>
    <w:rsid w:val="003E0A89"/>
    <w:rsid w:val="003E3208"/>
    <w:rsid w:val="003E65F9"/>
    <w:rsid w:val="003F0B04"/>
    <w:rsid w:val="003F2E95"/>
    <w:rsid w:val="003F4B5E"/>
    <w:rsid w:val="003F65A8"/>
    <w:rsid w:val="0040134E"/>
    <w:rsid w:val="00404B57"/>
    <w:rsid w:val="00406DB9"/>
    <w:rsid w:val="00412F66"/>
    <w:rsid w:val="004168C9"/>
    <w:rsid w:val="00416BCB"/>
    <w:rsid w:val="00426E97"/>
    <w:rsid w:val="00427629"/>
    <w:rsid w:val="0043635A"/>
    <w:rsid w:val="0043661B"/>
    <w:rsid w:val="004403AF"/>
    <w:rsid w:val="00440A2D"/>
    <w:rsid w:val="00440EB0"/>
    <w:rsid w:val="00442DA9"/>
    <w:rsid w:val="00443CCE"/>
    <w:rsid w:val="00445373"/>
    <w:rsid w:val="00447015"/>
    <w:rsid w:val="0045040C"/>
    <w:rsid w:val="004518D8"/>
    <w:rsid w:val="004526E0"/>
    <w:rsid w:val="00452DF7"/>
    <w:rsid w:val="00455741"/>
    <w:rsid w:val="004564A7"/>
    <w:rsid w:val="004617BF"/>
    <w:rsid w:val="00463A6B"/>
    <w:rsid w:val="00463F02"/>
    <w:rsid w:val="0046686B"/>
    <w:rsid w:val="00472A70"/>
    <w:rsid w:val="00472CB5"/>
    <w:rsid w:val="00472D6E"/>
    <w:rsid w:val="00473864"/>
    <w:rsid w:val="00476B5E"/>
    <w:rsid w:val="0048104B"/>
    <w:rsid w:val="0048117A"/>
    <w:rsid w:val="00483D37"/>
    <w:rsid w:val="00485482"/>
    <w:rsid w:val="00485B71"/>
    <w:rsid w:val="004923FF"/>
    <w:rsid w:val="004927EC"/>
    <w:rsid w:val="004928EC"/>
    <w:rsid w:val="00494CA4"/>
    <w:rsid w:val="00494E60"/>
    <w:rsid w:val="0049734C"/>
    <w:rsid w:val="004A3084"/>
    <w:rsid w:val="004A4D07"/>
    <w:rsid w:val="004A4E77"/>
    <w:rsid w:val="004B3CBE"/>
    <w:rsid w:val="004B5B6C"/>
    <w:rsid w:val="004B7B76"/>
    <w:rsid w:val="004C0070"/>
    <w:rsid w:val="004C100A"/>
    <w:rsid w:val="004C19BB"/>
    <w:rsid w:val="004C4096"/>
    <w:rsid w:val="004C6E9B"/>
    <w:rsid w:val="004D51A6"/>
    <w:rsid w:val="004D67BD"/>
    <w:rsid w:val="004E0CED"/>
    <w:rsid w:val="004E6F78"/>
    <w:rsid w:val="004E7792"/>
    <w:rsid w:val="004F0F38"/>
    <w:rsid w:val="004F1240"/>
    <w:rsid w:val="004F2D65"/>
    <w:rsid w:val="004F40D8"/>
    <w:rsid w:val="004F484B"/>
    <w:rsid w:val="004F550C"/>
    <w:rsid w:val="004F5C05"/>
    <w:rsid w:val="00501921"/>
    <w:rsid w:val="005021E2"/>
    <w:rsid w:val="00502BEE"/>
    <w:rsid w:val="00512C76"/>
    <w:rsid w:val="00512D38"/>
    <w:rsid w:val="0051521F"/>
    <w:rsid w:val="005155D8"/>
    <w:rsid w:val="00516A2F"/>
    <w:rsid w:val="00523FB1"/>
    <w:rsid w:val="00530354"/>
    <w:rsid w:val="005312A2"/>
    <w:rsid w:val="00531F91"/>
    <w:rsid w:val="00532DED"/>
    <w:rsid w:val="0053478F"/>
    <w:rsid w:val="00535D83"/>
    <w:rsid w:val="0054053C"/>
    <w:rsid w:val="00541FD8"/>
    <w:rsid w:val="005423EF"/>
    <w:rsid w:val="005434C6"/>
    <w:rsid w:val="00543B39"/>
    <w:rsid w:val="00547BF3"/>
    <w:rsid w:val="00550096"/>
    <w:rsid w:val="00554A81"/>
    <w:rsid w:val="00555584"/>
    <w:rsid w:val="0055653F"/>
    <w:rsid w:val="00557FF9"/>
    <w:rsid w:val="00560037"/>
    <w:rsid w:val="0056062F"/>
    <w:rsid w:val="005610C8"/>
    <w:rsid w:val="005614F5"/>
    <w:rsid w:val="00561CB4"/>
    <w:rsid w:val="005644CA"/>
    <w:rsid w:val="00567A2E"/>
    <w:rsid w:val="005726C5"/>
    <w:rsid w:val="0057537F"/>
    <w:rsid w:val="0057564C"/>
    <w:rsid w:val="00576378"/>
    <w:rsid w:val="00576419"/>
    <w:rsid w:val="00577E38"/>
    <w:rsid w:val="005807D9"/>
    <w:rsid w:val="005809BB"/>
    <w:rsid w:val="0058393F"/>
    <w:rsid w:val="00584285"/>
    <w:rsid w:val="00585322"/>
    <w:rsid w:val="0059345B"/>
    <w:rsid w:val="00593AD1"/>
    <w:rsid w:val="005967EF"/>
    <w:rsid w:val="00596D2A"/>
    <w:rsid w:val="005A1131"/>
    <w:rsid w:val="005A72C9"/>
    <w:rsid w:val="005B00AC"/>
    <w:rsid w:val="005B6B56"/>
    <w:rsid w:val="005B7E32"/>
    <w:rsid w:val="005C5570"/>
    <w:rsid w:val="005C5FD4"/>
    <w:rsid w:val="005C79A4"/>
    <w:rsid w:val="005D1689"/>
    <w:rsid w:val="005D248B"/>
    <w:rsid w:val="005D5442"/>
    <w:rsid w:val="005D55A3"/>
    <w:rsid w:val="005E0B08"/>
    <w:rsid w:val="005E4E55"/>
    <w:rsid w:val="005E5568"/>
    <w:rsid w:val="005F02D5"/>
    <w:rsid w:val="005F458A"/>
    <w:rsid w:val="005F5830"/>
    <w:rsid w:val="00610D73"/>
    <w:rsid w:val="00612717"/>
    <w:rsid w:val="006178DD"/>
    <w:rsid w:val="0062016C"/>
    <w:rsid w:val="006201E9"/>
    <w:rsid w:val="006219B0"/>
    <w:rsid w:val="00622385"/>
    <w:rsid w:val="00625015"/>
    <w:rsid w:val="00630970"/>
    <w:rsid w:val="006309A7"/>
    <w:rsid w:val="00631E1E"/>
    <w:rsid w:val="00632408"/>
    <w:rsid w:val="006369EF"/>
    <w:rsid w:val="00640EF9"/>
    <w:rsid w:val="00640FC3"/>
    <w:rsid w:val="00642020"/>
    <w:rsid w:val="006429A5"/>
    <w:rsid w:val="006457B9"/>
    <w:rsid w:val="00650498"/>
    <w:rsid w:val="0065200D"/>
    <w:rsid w:val="00652567"/>
    <w:rsid w:val="00652CC8"/>
    <w:rsid w:val="0065337B"/>
    <w:rsid w:val="0065419D"/>
    <w:rsid w:val="00654B83"/>
    <w:rsid w:val="006604D8"/>
    <w:rsid w:val="0066171B"/>
    <w:rsid w:val="00664A5B"/>
    <w:rsid w:val="00666BB7"/>
    <w:rsid w:val="00667942"/>
    <w:rsid w:val="006711E3"/>
    <w:rsid w:val="0067160F"/>
    <w:rsid w:val="00673F61"/>
    <w:rsid w:val="00680C08"/>
    <w:rsid w:val="006822EA"/>
    <w:rsid w:val="00684E96"/>
    <w:rsid w:val="0068741A"/>
    <w:rsid w:val="0069175F"/>
    <w:rsid w:val="0069281D"/>
    <w:rsid w:val="006931B1"/>
    <w:rsid w:val="006A15C0"/>
    <w:rsid w:val="006A1C36"/>
    <w:rsid w:val="006A2426"/>
    <w:rsid w:val="006A2A31"/>
    <w:rsid w:val="006A38E4"/>
    <w:rsid w:val="006A6C48"/>
    <w:rsid w:val="006B25A1"/>
    <w:rsid w:val="006B486C"/>
    <w:rsid w:val="006C1F3B"/>
    <w:rsid w:val="006C22A8"/>
    <w:rsid w:val="006C2CEA"/>
    <w:rsid w:val="006C3E2A"/>
    <w:rsid w:val="006C43B5"/>
    <w:rsid w:val="006C642F"/>
    <w:rsid w:val="006C7EE3"/>
    <w:rsid w:val="006D03E5"/>
    <w:rsid w:val="006D5D3E"/>
    <w:rsid w:val="006E08B3"/>
    <w:rsid w:val="006E4E00"/>
    <w:rsid w:val="006E51A9"/>
    <w:rsid w:val="006E717A"/>
    <w:rsid w:val="006F09C1"/>
    <w:rsid w:val="006F10E7"/>
    <w:rsid w:val="006F1604"/>
    <w:rsid w:val="006F28EE"/>
    <w:rsid w:val="006F3339"/>
    <w:rsid w:val="006F46EA"/>
    <w:rsid w:val="006F572E"/>
    <w:rsid w:val="006F6284"/>
    <w:rsid w:val="006F652C"/>
    <w:rsid w:val="006F6C81"/>
    <w:rsid w:val="00703B99"/>
    <w:rsid w:val="007046D6"/>
    <w:rsid w:val="007052DE"/>
    <w:rsid w:val="00705DB0"/>
    <w:rsid w:val="007060CD"/>
    <w:rsid w:val="00706246"/>
    <w:rsid w:val="00706634"/>
    <w:rsid w:val="00706AFE"/>
    <w:rsid w:val="007077E6"/>
    <w:rsid w:val="007110E5"/>
    <w:rsid w:val="007121E0"/>
    <w:rsid w:val="00722816"/>
    <w:rsid w:val="00723BF8"/>
    <w:rsid w:val="00724E0E"/>
    <w:rsid w:val="00732A2F"/>
    <w:rsid w:val="00732FEE"/>
    <w:rsid w:val="00734D08"/>
    <w:rsid w:val="0074253D"/>
    <w:rsid w:val="0074429B"/>
    <w:rsid w:val="007477F8"/>
    <w:rsid w:val="00751EBD"/>
    <w:rsid w:val="00753687"/>
    <w:rsid w:val="00753A56"/>
    <w:rsid w:val="00753ECF"/>
    <w:rsid w:val="0075524A"/>
    <w:rsid w:val="00756839"/>
    <w:rsid w:val="007615BC"/>
    <w:rsid w:val="007622D7"/>
    <w:rsid w:val="00762F05"/>
    <w:rsid w:val="00764438"/>
    <w:rsid w:val="00764FC4"/>
    <w:rsid w:val="007652FF"/>
    <w:rsid w:val="00771329"/>
    <w:rsid w:val="00773EF7"/>
    <w:rsid w:val="00774E1D"/>
    <w:rsid w:val="0077675A"/>
    <w:rsid w:val="00780355"/>
    <w:rsid w:val="00781E98"/>
    <w:rsid w:val="00783106"/>
    <w:rsid w:val="00785721"/>
    <w:rsid w:val="00785F3B"/>
    <w:rsid w:val="00790AA7"/>
    <w:rsid w:val="00792932"/>
    <w:rsid w:val="00793741"/>
    <w:rsid w:val="00793A59"/>
    <w:rsid w:val="00794B72"/>
    <w:rsid w:val="00795DC5"/>
    <w:rsid w:val="007A0E3C"/>
    <w:rsid w:val="007A2162"/>
    <w:rsid w:val="007A4ACE"/>
    <w:rsid w:val="007B1FA5"/>
    <w:rsid w:val="007B22AF"/>
    <w:rsid w:val="007B2E1E"/>
    <w:rsid w:val="007B3103"/>
    <w:rsid w:val="007B3C16"/>
    <w:rsid w:val="007C0F3D"/>
    <w:rsid w:val="007C1AF7"/>
    <w:rsid w:val="007C1EAB"/>
    <w:rsid w:val="007C29F8"/>
    <w:rsid w:val="007C414F"/>
    <w:rsid w:val="007C7870"/>
    <w:rsid w:val="007D1074"/>
    <w:rsid w:val="007D2AAF"/>
    <w:rsid w:val="007D2C61"/>
    <w:rsid w:val="007D46E2"/>
    <w:rsid w:val="007D7669"/>
    <w:rsid w:val="007E175B"/>
    <w:rsid w:val="007E6834"/>
    <w:rsid w:val="007F17AF"/>
    <w:rsid w:val="007F2054"/>
    <w:rsid w:val="00802742"/>
    <w:rsid w:val="00803622"/>
    <w:rsid w:val="00806E1B"/>
    <w:rsid w:val="00811AC5"/>
    <w:rsid w:val="00816164"/>
    <w:rsid w:val="00821776"/>
    <w:rsid w:val="00826007"/>
    <w:rsid w:val="008320C3"/>
    <w:rsid w:val="008321F5"/>
    <w:rsid w:val="00832369"/>
    <w:rsid w:val="00834660"/>
    <w:rsid w:val="00836BC2"/>
    <w:rsid w:val="008476A8"/>
    <w:rsid w:val="00847827"/>
    <w:rsid w:val="008509CE"/>
    <w:rsid w:val="00851EA1"/>
    <w:rsid w:val="00852520"/>
    <w:rsid w:val="0085641B"/>
    <w:rsid w:val="00857136"/>
    <w:rsid w:val="008607D1"/>
    <w:rsid w:val="008661E8"/>
    <w:rsid w:val="0086682A"/>
    <w:rsid w:val="0087457B"/>
    <w:rsid w:val="00896018"/>
    <w:rsid w:val="008A2B9D"/>
    <w:rsid w:val="008A42C0"/>
    <w:rsid w:val="008A5DB8"/>
    <w:rsid w:val="008A5E0B"/>
    <w:rsid w:val="008A6D59"/>
    <w:rsid w:val="008A7095"/>
    <w:rsid w:val="008A7F4A"/>
    <w:rsid w:val="008B1A25"/>
    <w:rsid w:val="008B2938"/>
    <w:rsid w:val="008B2E7B"/>
    <w:rsid w:val="008B4B03"/>
    <w:rsid w:val="008B553E"/>
    <w:rsid w:val="008B596F"/>
    <w:rsid w:val="008C159F"/>
    <w:rsid w:val="008C1623"/>
    <w:rsid w:val="008C33B5"/>
    <w:rsid w:val="008C4993"/>
    <w:rsid w:val="008C51A9"/>
    <w:rsid w:val="008C63C5"/>
    <w:rsid w:val="008C7541"/>
    <w:rsid w:val="008D05B1"/>
    <w:rsid w:val="008D0A1D"/>
    <w:rsid w:val="008D2132"/>
    <w:rsid w:val="008D47DC"/>
    <w:rsid w:val="008E3C43"/>
    <w:rsid w:val="008E3FF2"/>
    <w:rsid w:val="008F1CCC"/>
    <w:rsid w:val="008F1E14"/>
    <w:rsid w:val="008F274B"/>
    <w:rsid w:val="008F2967"/>
    <w:rsid w:val="008F4BF3"/>
    <w:rsid w:val="008F6EF7"/>
    <w:rsid w:val="00901D32"/>
    <w:rsid w:val="009074DB"/>
    <w:rsid w:val="00907951"/>
    <w:rsid w:val="009123E0"/>
    <w:rsid w:val="00915502"/>
    <w:rsid w:val="00915E7B"/>
    <w:rsid w:val="00920330"/>
    <w:rsid w:val="00920FF4"/>
    <w:rsid w:val="009216A0"/>
    <w:rsid w:val="009219D7"/>
    <w:rsid w:val="0092246A"/>
    <w:rsid w:val="00922D53"/>
    <w:rsid w:val="00923B70"/>
    <w:rsid w:val="00923B7D"/>
    <w:rsid w:val="0092600B"/>
    <w:rsid w:val="009266F3"/>
    <w:rsid w:val="00926B0E"/>
    <w:rsid w:val="00927E84"/>
    <w:rsid w:val="00930237"/>
    <w:rsid w:val="009323D7"/>
    <w:rsid w:val="00932BBB"/>
    <w:rsid w:val="00937102"/>
    <w:rsid w:val="00947BE9"/>
    <w:rsid w:val="0095368F"/>
    <w:rsid w:val="00960560"/>
    <w:rsid w:val="00961E01"/>
    <w:rsid w:val="00962202"/>
    <w:rsid w:val="00962BD8"/>
    <w:rsid w:val="0096319D"/>
    <w:rsid w:val="00963C08"/>
    <w:rsid w:val="009643EF"/>
    <w:rsid w:val="00964F68"/>
    <w:rsid w:val="009707B8"/>
    <w:rsid w:val="00971720"/>
    <w:rsid w:val="00974DBB"/>
    <w:rsid w:val="00983C1A"/>
    <w:rsid w:val="00985ADB"/>
    <w:rsid w:val="0099110E"/>
    <w:rsid w:val="00991B2D"/>
    <w:rsid w:val="00994189"/>
    <w:rsid w:val="0099622D"/>
    <w:rsid w:val="00997016"/>
    <w:rsid w:val="00997352"/>
    <w:rsid w:val="009A4CED"/>
    <w:rsid w:val="009A511D"/>
    <w:rsid w:val="009A5BC7"/>
    <w:rsid w:val="009A72F3"/>
    <w:rsid w:val="009B0FCA"/>
    <w:rsid w:val="009B1176"/>
    <w:rsid w:val="009B1D12"/>
    <w:rsid w:val="009B232A"/>
    <w:rsid w:val="009B3475"/>
    <w:rsid w:val="009B410E"/>
    <w:rsid w:val="009B416B"/>
    <w:rsid w:val="009B68A6"/>
    <w:rsid w:val="009C120B"/>
    <w:rsid w:val="009C4BD5"/>
    <w:rsid w:val="009D059A"/>
    <w:rsid w:val="009D1B9D"/>
    <w:rsid w:val="009D2E04"/>
    <w:rsid w:val="009D7B77"/>
    <w:rsid w:val="009D7C53"/>
    <w:rsid w:val="009E0BB0"/>
    <w:rsid w:val="009E3FBB"/>
    <w:rsid w:val="009E45E7"/>
    <w:rsid w:val="009E6B64"/>
    <w:rsid w:val="009F018D"/>
    <w:rsid w:val="009F0B33"/>
    <w:rsid w:val="009F2858"/>
    <w:rsid w:val="009F3BA5"/>
    <w:rsid w:val="009F6C66"/>
    <w:rsid w:val="00A00CBD"/>
    <w:rsid w:val="00A075E6"/>
    <w:rsid w:val="00A11B33"/>
    <w:rsid w:val="00A1235B"/>
    <w:rsid w:val="00A14DF7"/>
    <w:rsid w:val="00A2473F"/>
    <w:rsid w:val="00A24C86"/>
    <w:rsid w:val="00A26E24"/>
    <w:rsid w:val="00A300E2"/>
    <w:rsid w:val="00A316FA"/>
    <w:rsid w:val="00A3246D"/>
    <w:rsid w:val="00A36FA7"/>
    <w:rsid w:val="00A37CBC"/>
    <w:rsid w:val="00A408AF"/>
    <w:rsid w:val="00A4235C"/>
    <w:rsid w:val="00A475B7"/>
    <w:rsid w:val="00A47AF7"/>
    <w:rsid w:val="00A47C3E"/>
    <w:rsid w:val="00A50226"/>
    <w:rsid w:val="00A50E7E"/>
    <w:rsid w:val="00A51B7D"/>
    <w:rsid w:val="00A570E1"/>
    <w:rsid w:val="00A60AC9"/>
    <w:rsid w:val="00A60BAD"/>
    <w:rsid w:val="00A61F03"/>
    <w:rsid w:val="00A62B01"/>
    <w:rsid w:val="00A63A4F"/>
    <w:rsid w:val="00A644D1"/>
    <w:rsid w:val="00A70C90"/>
    <w:rsid w:val="00A73A8D"/>
    <w:rsid w:val="00A74062"/>
    <w:rsid w:val="00A745C8"/>
    <w:rsid w:val="00A76460"/>
    <w:rsid w:val="00A77452"/>
    <w:rsid w:val="00A8243D"/>
    <w:rsid w:val="00A826B3"/>
    <w:rsid w:val="00A8585C"/>
    <w:rsid w:val="00A87334"/>
    <w:rsid w:val="00A90400"/>
    <w:rsid w:val="00A93E0C"/>
    <w:rsid w:val="00A9718B"/>
    <w:rsid w:val="00A97A58"/>
    <w:rsid w:val="00AA0A95"/>
    <w:rsid w:val="00AA0D85"/>
    <w:rsid w:val="00AA223A"/>
    <w:rsid w:val="00AA3EB9"/>
    <w:rsid w:val="00AA603B"/>
    <w:rsid w:val="00AB0965"/>
    <w:rsid w:val="00AB4B3B"/>
    <w:rsid w:val="00AB6519"/>
    <w:rsid w:val="00AC2B40"/>
    <w:rsid w:val="00AC2BB2"/>
    <w:rsid w:val="00AC2C3C"/>
    <w:rsid w:val="00AC2E36"/>
    <w:rsid w:val="00AC3BD9"/>
    <w:rsid w:val="00AC3C8E"/>
    <w:rsid w:val="00AC3D45"/>
    <w:rsid w:val="00AC6EBE"/>
    <w:rsid w:val="00AD2A79"/>
    <w:rsid w:val="00AD5831"/>
    <w:rsid w:val="00AD77DB"/>
    <w:rsid w:val="00AE161F"/>
    <w:rsid w:val="00AE3AB9"/>
    <w:rsid w:val="00AE3E61"/>
    <w:rsid w:val="00AE5AB2"/>
    <w:rsid w:val="00AE65EB"/>
    <w:rsid w:val="00AF1D94"/>
    <w:rsid w:val="00AF60C5"/>
    <w:rsid w:val="00AF69CB"/>
    <w:rsid w:val="00AF71D0"/>
    <w:rsid w:val="00B009C6"/>
    <w:rsid w:val="00B00ACB"/>
    <w:rsid w:val="00B01548"/>
    <w:rsid w:val="00B01551"/>
    <w:rsid w:val="00B1068A"/>
    <w:rsid w:val="00B147DA"/>
    <w:rsid w:val="00B17515"/>
    <w:rsid w:val="00B21D29"/>
    <w:rsid w:val="00B21FC5"/>
    <w:rsid w:val="00B2273E"/>
    <w:rsid w:val="00B23323"/>
    <w:rsid w:val="00B23670"/>
    <w:rsid w:val="00B24FF5"/>
    <w:rsid w:val="00B25034"/>
    <w:rsid w:val="00B262E9"/>
    <w:rsid w:val="00B30FD4"/>
    <w:rsid w:val="00B33863"/>
    <w:rsid w:val="00B33D54"/>
    <w:rsid w:val="00B361AF"/>
    <w:rsid w:val="00B37D17"/>
    <w:rsid w:val="00B4175E"/>
    <w:rsid w:val="00B431BE"/>
    <w:rsid w:val="00B47AEE"/>
    <w:rsid w:val="00B510E1"/>
    <w:rsid w:val="00B54C25"/>
    <w:rsid w:val="00B6250A"/>
    <w:rsid w:val="00B635CD"/>
    <w:rsid w:val="00B65B8C"/>
    <w:rsid w:val="00B67562"/>
    <w:rsid w:val="00B67A36"/>
    <w:rsid w:val="00B71917"/>
    <w:rsid w:val="00B761FD"/>
    <w:rsid w:val="00B76B91"/>
    <w:rsid w:val="00B83E74"/>
    <w:rsid w:val="00B85832"/>
    <w:rsid w:val="00B8779E"/>
    <w:rsid w:val="00B87BB7"/>
    <w:rsid w:val="00B91046"/>
    <w:rsid w:val="00B946A9"/>
    <w:rsid w:val="00B9484C"/>
    <w:rsid w:val="00B94CFB"/>
    <w:rsid w:val="00B95B3D"/>
    <w:rsid w:val="00B97FEF"/>
    <w:rsid w:val="00BA0DFC"/>
    <w:rsid w:val="00BA2C80"/>
    <w:rsid w:val="00BA4D90"/>
    <w:rsid w:val="00BA7260"/>
    <w:rsid w:val="00BA7594"/>
    <w:rsid w:val="00BB0FE9"/>
    <w:rsid w:val="00BB12E3"/>
    <w:rsid w:val="00BB1E86"/>
    <w:rsid w:val="00BB2B68"/>
    <w:rsid w:val="00BB36C7"/>
    <w:rsid w:val="00BB4083"/>
    <w:rsid w:val="00BB6E7F"/>
    <w:rsid w:val="00BC0D3F"/>
    <w:rsid w:val="00BC11A8"/>
    <w:rsid w:val="00BC1CAB"/>
    <w:rsid w:val="00BC297A"/>
    <w:rsid w:val="00BC3A77"/>
    <w:rsid w:val="00BC622A"/>
    <w:rsid w:val="00BD06B7"/>
    <w:rsid w:val="00BD0B28"/>
    <w:rsid w:val="00BD3BC4"/>
    <w:rsid w:val="00BE0A78"/>
    <w:rsid w:val="00BE243C"/>
    <w:rsid w:val="00BE79F0"/>
    <w:rsid w:val="00BF046D"/>
    <w:rsid w:val="00BF43F2"/>
    <w:rsid w:val="00BF5D04"/>
    <w:rsid w:val="00C06B5B"/>
    <w:rsid w:val="00C12EEC"/>
    <w:rsid w:val="00C13563"/>
    <w:rsid w:val="00C136AB"/>
    <w:rsid w:val="00C14669"/>
    <w:rsid w:val="00C14835"/>
    <w:rsid w:val="00C15A59"/>
    <w:rsid w:val="00C1617C"/>
    <w:rsid w:val="00C23477"/>
    <w:rsid w:val="00C24898"/>
    <w:rsid w:val="00C24FC6"/>
    <w:rsid w:val="00C27BBF"/>
    <w:rsid w:val="00C32EDD"/>
    <w:rsid w:val="00C3408D"/>
    <w:rsid w:val="00C35B6F"/>
    <w:rsid w:val="00C36FEC"/>
    <w:rsid w:val="00C404A6"/>
    <w:rsid w:val="00C404E9"/>
    <w:rsid w:val="00C40A36"/>
    <w:rsid w:val="00C43107"/>
    <w:rsid w:val="00C44419"/>
    <w:rsid w:val="00C45E7B"/>
    <w:rsid w:val="00C471B1"/>
    <w:rsid w:val="00C4743E"/>
    <w:rsid w:val="00C4750B"/>
    <w:rsid w:val="00C50E5C"/>
    <w:rsid w:val="00C55BA9"/>
    <w:rsid w:val="00C6316B"/>
    <w:rsid w:val="00C634A9"/>
    <w:rsid w:val="00C652CA"/>
    <w:rsid w:val="00C6539C"/>
    <w:rsid w:val="00C65910"/>
    <w:rsid w:val="00C65E30"/>
    <w:rsid w:val="00C67316"/>
    <w:rsid w:val="00C71313"/>
    <w:rsid w:val="00C730F7"/>
    <w:rsid w:val="00C7475B"/>
    <w:rsid w:val="00C76805"/>
    <w:rsid w:val="00C772FF"/>
    <w:rsid w:val="00C77872"/>
    <w:rsid w:val="00C801AF"/>
    <w:rsid w:val="00C80256"/>
    <w:rsid w:val="00C809E5"/>
    <w:rsid w:val="00C80CA6"/>
    <w:rsid w:val="00C833F1"/>
    <w:rsid w:val="00C84A3F"/>
    <w:rsid w:val="00C85953"/>
    <w:rsid w:val="00C8665F"/>
    <w:rsid w:val="00C87DC4"/>
    <w:rsid w:val="00C946F5"/>
    <w:rsid w:val="00CA26F0"/>
    <w:rsid w:val="00CA4648"/>
    <w:rsid w:val="00CA7F9C"/>
    <w:rsid w:val="00CB1D47"/>
    <w:rsid w:val="00CB3A9A"/>
    <w:rsid w:val="00CB6263"/>
    <w:rsid w:val="00CB6BC0"/>
    <w:rsid w:val="00CB73C5"/>
    <w:rsid w:val="00CC1B7C"/>
    <w:rsid w:val="00CC3D50"/>
    <w:rsid w:val="00CC5483"/>
    <w:rsid w:val="00CC727F"/>
    <w:rsid w:val="00CC7C07"/>
    <w:rsid w:val="00CC7F6A"/>
    <w:rsid w:val="00CD1F02"/>
    <w:rsid w:val="00CD24F7"/>
    <w:rsid w:val="00CD30CC"/>
    <w:rsid w:val="00CD4D00"/>
    <w:rsid w:val="00CD5F32"/>
    <w:rsid w:val="00CD6FCC"/>
    <w:rsid w:val="00CE003A"/>
    <w:rsid w:val="00CE18A1"/>
    <w:rsid w:val="00CE5067"/>
    <w:rsid w:val="00CE5BB0"/>
    <w:rsid w:val="00CF0EC4"/>
    <w:rsid w:val="00CF15C3"/>
    <w:rsid w:val="00CF20C7"/>
    <w:rsid w:val="00CF2B6F"/>
    <w:rsid w:val="00CF356E"/>
    <w:rsid w:val="00CF4400"/>
    <w:rsid w:val="00CF4791"/>
    <w:rsid w:val="00CF7F8C"/>
    <w:rsid w:val="00D00D7B"/>
    <w:rsid w:val="00D017ED"/>
    <w:rsid w:val="00D03C2F"/>
    <w:rsid w:val="00D04D34"/>
    <w:rsid w:val="00D06987"/>
    <w:rsid w:val="00D0785D"/>
    <w:rsid w:val="00D11F5C"/>
    <w:rsid w:val="00D122CE"/>
    <w:rsid w:val="00D13358"/>
    <w:rsid w:val="00D153B1"/>
    <w:rsid w:val="00D20C54"/>
    <w:rsid w:val="00D224FE"/>
    <w:rsid w:val="00D229BA"/>
    <w:rsid w:val="00D24C90"/>
    <w:rsid w:val="00D25F22"/>
    <w:rsid w:val="00D27857"/>
    <w:rsid w:val="00D30526"/>
    <w:rsid w:val="00D3646E"/>
    <w:rsid w:val="00D376FC"/>
    <w:rsid w:val="00D43D04"/>
    <w:rsid w:val="00D43DE2"/>
    <w:rsid w:val="00D55652"/>
    <w:rsid w:val="00D576F1"/>
    <w:rsid w:val="00D62846"/>
    <w:rsid w:val="00D64401"/>
    <w:rsid w:val="00D6493E"/>
    <w:rsid w:val="00D65838"/>
    <w:rsid w:val="00D73B4E"/>
    <w:rsid w:val="00D76A7F"/>
    <w:rsid w:val="00D85417"/>
    <w:rsid w:val="00D9141E"/>
    <w:rsid w:val="00DA0D70"/>
    <w:rsid w:val="00DA1124"/>
    <w:rsid w:val="00DA24C7"/>
    <w:rsid w:val="00DA2C07"/>
    <w:rsid w:val="00DA381C"/>
    <w:rsid w:val="00DA4CD9"/>
    <w:rsid w:val="00DA6AE8"/>
    <w:rsid w:val="00DB26CE"/>
    <w:rsid w:val="00DC0E3E"/>
    <w:rsid w:val="00DC16E3"/>
    <w:rsid w:val="00DC30BF"/>
    <w:rsid w:val="00DC7B4A"/>
    <w:rsid w:val="00DD11D9"/>
    <w:rsid w:val="00DD1307"/>
    <w:rsid w:val="00DD312D"/>
    <w:rsid w:val="00DD5562"/>
    <w:rsid w:val="00DD75A3"/>
    <w:rsid w:val="00DD76DE"/>
    <w:rsid w:val="00DE02AE"/>
    <w:rsid w:val="00DE6058"/>
    <w:rsid w:val="00DE6A0C"/>
    <w:rsid w:val="00DE6C04"/>
    <w:rsid w:val="00DF1D7F"/>
    <w:rsid w:val="00DF2396"/>
    <w:rsid w:val="00DF3C30"/>
    <w:rsid w:val="00DF3C33"/>
    <w:rsid w:val="00DF45B9"/>
    <w:rsid w:val="00DF4692"/>
    <w:rsid w:val="00DF6BE8"/>
    <w:rsid w:val="00E02FB4"/>
    <w:rsid w:val="00E05052"/>
    <w:rsid w:val="00E07F95"/>
    <w:rsid w:val="00E1198B"/>
    <w:rsid w:val="00E11E4D"/>
    <w:rsid w:val="00E1340C"/>
    <w:rsid w:val="00E177F4"/>
    <w:rsid w:val="00E20571"/>
    <w:rsid w:val="00E21651"/>
    <w:rsid w:val="00E227EE"/>
    <w:rsid w:val="00E22953"/>
    <w:rsid w:val="00E235F7"/>
    <w:rsid w:val="00E239D4"/>
    <w:rsid w:val="00E2537E"/>
    <w:rsid w:val="00E26256"/>
    <w:rsid w:val="00E307DB"/>
    <w:rsid w:val="00E30C88"/>
    <w:rsid w:val="00E32A5C"/>
    <w:rsid w:val="00E40B22"/>
    <w:rsid w:val="00E410DC"/>
    <w:rsid w:val="00E412CF"/>
    <w:rsid w:val="00E41406"/>
    <w:rsid w:val="00E443A1"/>
    <w:rsid w:val="00E4588F"/>
    <w:rsid w:val="00E46DA3"/>
    <w:rsid w:val="00E47660"/>
    <w:rsid w:val="00E50085"/>
    <w:rsid w:val="00E51AC4"/>
    <w:rsid w:val="00E5521B"/>
    <w:rsid w:val="00E67774"/>
    <w:rsid w:val="00E75732"/>
    <w:rsid w:val="00E77198"/>
    <w:rsid w:val="00E83FF7"/>
    <w:rsid w:val="00E87DA4"/>
    <w:rsid w:val="00E94A52"/>
    <w:rsid w:val="00E94BBF"/>
    <w:rsid w:val="00EA0347"/>
    <w:rsid w:val="00EA16DE"/>
    <w:rsid w:val="00EA1F09"/>
    <w:rsid w:val="00EA406B"/>
    <w:rsid w:val="00EA5140"/>
    <w:rsid w:val="00EA621E"/>
    <w:rsid w:val="00EA7E1D"/>
    <w:rsid w:val="00EB0798"/>
    <w:rsid w:val="00EB40AD"/>
    <w:rsid w:val="00EB4D6B"/>
    <w:rsid w:val="00EB519C"/>
    <w:rsid w:val="00EB5622"/>
    <w:rsid w:val="00EB586E"/>
    <w:rsid w:val="00EB5FC8"/>
    <w:rsid w:val="00EB6CAF"/>
    <w:rsid w:val="00EB6E05"/>
    <w:rsid w:val="00ED5295"/>
    <w:rsid w:val="00ED555A"/>
    <w:rsid w:val="00ED5A41"/>
    <w:rsid w:val="00ED6A67"/>
    <w:rsid w:val="00ED7D6D"/>
    <w:rsid w:val="00EE1E31"/>
    <w:rsid w:val="00EE56A8"/>
    <w:rsid w:val="00EE756F"/>
    <w:rsid w:val="00EF0937"/>
    <w:rsid w:val="00EF2A86"/>
    <w:rsid w:val="00EF3F86"/>
    <w:rsid w:val="00EF578B"/>
    <w:rsid w:val="00EF6895"/>
    <w:rsid w:val="00F033EC"/>
    <w:rsid w:val="00F048C4"/>
    <w:rsid w:val="00F04F68"/>
    <w:rsid w:val="00F0622D"/>
    <w:rsid w:val="00F06DE2"/>
    <w:rsid w:val="00F10E98"/>
    <w:rsid w:val="00F12670"/>
    <w:rsid w:val="00F12F64"/>
    <w:rsid w:val="00F1391C"/>
    <w:rsid w:val="00F14B27"/>
    <w:rsid w:val="00F20353"/>
    <w:rsid w:val="00F2301F"/>
    <w:rsid w:val="00F27030"/>
    <w:rsid w:val="00F274A2"/>
    <w:rsid w:val="00F27E59"/>
    <w:rsid w:val="00F31011"/>
    <w:rsid w:val="00F3148D"/>
    <w:rsid w:val="00F33037"/>
    <w:rsid w:val="00F35298"/>
    <w:rsid w:val="00F3529E"/>
    <w:rsid w:val="00F401EF"/>
    <w:rsid w:val="00F40861"/>
    <w:rsid w:val="00F427F0"/>
    <w:rsid w:val="00F43E97"/>
    <w:rsid w:val="00F4503D"/>
    <w:rsid w:val="00F47E37"/>
    <w:rsid w:val="00F51A2D"/>
    <w:rsid w:val="00F52F18"/>
    <w:rsid w:val="00F5377A"/>
    <w:rsid w:val="00F54CA9"/>
    <w:rsid w:val="00F55948"/>
    <w:rsid w:val="00F56B9D"/>
    <w:rsid w:val="00F615E7"/>
    <w:rsid w:val="00F62927"/>
    <w:rsid w:val="00F640B6"/>
    <w:rsid w:val="00F646EF"/>
    <w:rsid w:val="00F70452"/>
    <w:rsid w:val="00F71E1E"/>
    <w:rsid w:val="00F753D4"/>
    <w:rsid w:val="00F80E40"/>
    <w:rsid w:val="00F84C3B"/>
    <w:rsid w:val="00F859D2"/>
    <w:rsid w:val="00F8709D"/>
    <w:rsid w:val="00F87589"/>
    <w:rsid w:val="00F87A57"/>
    <w:rsid w:val="00F9022D"/>
    <w:rsid w:val="00F94FCF"/>
    <w:rsid w:val="00FA207A"/>
    <w:rsid w:val="00FA2B8E"/>
    <w:rsid w:val="00FA43E5"/>
    <w:rsid w:val="00FA5B82"/>
    <w:rsid w:val="00FA639E"/>
    <w:rsid w:val="00FB19E1"/>
    <w:rsid w:val="00FB6947"/>
    <w:rsid w:val="00FC03C8"/>
    <w:rsid w:val="00FC0999"/>
    <w:rsid w:val="00FC1750"/>
    <w:rsid w:val="00FC25E4"/>
    <w:rsid w:val="00FC4EF7"/>
    <w:rsid w:val="00FC5B0B"/>
    <w:rsid w:val="00FD25ED"/>
    <w:rsid w:val="00FD6844"/>
    <w:rsid w:val="00FE1DEE"/>
    <w:rsid w:val="00FE206C"/>
    <w:rsid w:val="00FE501F"/>
    <w:rsid w:val="00FE53BA"/>
    <w:rsid w:val="00FE59FB"/>
    <w:rsid w:val="00FE6716"/>
    <w:rsid w:val="00FE79C9"/>
    <w:rsid w:val="00FF2126"/>
    <w:rsid w:val="00FF2993"/>
    <w:rsid w:val="00FF4B72"/>
    <w:rsid w:val="00FF54A8"/>
    <w:rsid w:val="00FF69BE"/>
    <w:rsid w:val="00FF79F6"/>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9505" fill="f" fillcolor="#c6d4e9" strokecolor="#002c47">
      <v:fill color="#c6d4e9" on="f"/>
      <v:stroke color="#002c47"/>
    </o:shapedefaults>
    <o:shapelayout v:ext="edit">
      <o:idmap v:ext="edit" data="1"/>
    </o:shapelayout>
  </w:shapeDefaults>
  <w:decimalSymbol w:val="."/>
  <w:listSeparator w:val=","/>
  <w14:docId w14:val="6A3F222B"/>
  <w15:docId w15:val="{ECE9667B-A216-4F1F-89EA-87658791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uiPriority w:val="9"/>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uiPriority w:val="9"/>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2"/>
    <w:qFormat/>
    <w:rsid w:val="00FA2B8E"/>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3"/>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qFormat/>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qFormat/>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qFormat/>
    <w:rsid w:val="00F401E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E443A1"/>
    <w:pPr>
      <w:keepNext/>
    </w:pPr>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uiPriority w:val="99"/>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uiPriority w:val="99"/>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basedOn w:val="Normal"/>
    <w:uiPriority w:val="34"/>
    <w:qFormat/>
    <w:rsid w:val="000F4ED9"/>
    <w:pPr>
      <w:ind w:left="720"/>
      <w:contextualSpacing/>
    </w:pPr>
  </w:style>
  <w:style w:type="paragraph" w:customStyle="1" w:styleId="Default">
    <w:name w:val="Default"/>
    <w:rsid w:val="000F4ED9"/>
    <w:pPr>
      <w:autoSpaceDE w:val="0"/>
      <w:autoSpaceDN w:val="0"/>
      <w:adjustRightInd w:val="0"/>
    </w:pPr>
    <w:rPr>
      <w:rFonts w:ascii="Arial" w:hAnsi="Arial" w:cs="Arial"/>
      <w:color w:val="000000"/>
      <w:sz w:val="24"/>
      <w:szCs w:val="24"/>
    </w:rPr>
  </w:style>
  <w:style w:type="character" w:customStyle="1" w:styleId="docsum-authors2">
    <w:name w:val="docsum-authors2"/>
    <w:basedOn w:val="DefaultParagraphFont"/>
    <w:rsid w:val="000F4ED9"/>
  </w:style>
  <w:style w:type="character" w:customStyle="1" w:styleId="docsum-journal-citation">
    <w:name w:val="docsum-journal-citation"/>
    <w:basedOn w:val="DefaultParagraphFont"/>
    <w:rsid w:val="00B17515"/>
  </w:style>
  <w:style w:type="paragraph" w:styleId="NormalWeb">
    <w:name w:val="Normal (Web)"/>
    <w:basedOn w:val="Normal"/>
    <w:uiPriority w:val="99"/>
    <w:semiHidden/>
    <w:unhideWhenUsed/>
    <w:rsid w:val="00B1751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EndNoteBibliographyTitle">
    <w:name w:val="EndNote Bibliography Title"/>
    <w:basedOn w:val="Normal"/>
    <w:link w:val="EndNoteBibliographyTitleChar"/>
    <w:rsid w:val="00B17515"/>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17515"/>
    <w:rPr>
      <w:noProof/>
      <w:sz w:val="22"/>
      <w:lang w:val="en-US" w:eastAsia="en-US"/>
    </w:rPr>
  </w:style>
  <w:style w:type="paragraph" w:customStyle="1" w:styleId="EndNoteBibliography">
    <w:name w:val="EndNote Bibliography"/>
    <w:basedOn w:val="Normal"/>
    <w:link w:val="EndNoteBibliographyChar"/>
    <w:rsid w:val="00B17515"/>
    <w:rPr>
      <w:noProof/>
      <w:lang w:val="en-US"/>
    </w:rPr>
  </w:style>
  <w:style w:type="character" w:customStyle="1" w:styleId="EndNoteBibliographyChar">
    <w:name w:val="EndNote Bibliography Char"/>
    <w:basedOn w:val="DefaultParagraphFont"/>
    <w:link w:val="EndNoteBibliography"/>
    <w:rsid w:val="00B17515"/>
    <w:rPr>
      <w:noProof/>
      <w:sz w:val="22"/>
      <w:lang w:val="en-US" w:eastAsia="en-US"/>
    </w:rPr>
  </w:style>
  <w:style w:type="character" w:customStyle="1" w:styleId="apple-converted-space">
    <w:name w:val="apple-converted-space"/>
    <w:basedOn w:val="DefaultParagraphFont"/>
    <w:rsid w:val="00B17515"/>
  </w:style>
  <w:style w:type="character" w:styleId="Emphasis">
    <w:name w:val="Emphasis"/>
    <w:basedOn w:val="DefaultParagraphFont"/>
    <w:uiPriority w:val="20"/>
    <w:qFormat/>
    <w:rsid w:val="00B17515"/>
    <w:rPr>
      <w:i/>
      <w:iCs/>
    </w:rPr>
  </w:style>
  <w:style w:type="paragraph" w:styleId="Revision">
    <w:name w:val="Revision"/>
    <w:hidden/>
    <w:uiPriority w:val="99"/>
    <w:semiHidden/>
    <w:rsid w:val="00B17515"/>
    <w:rPr>
      <w:sz w:val="22"/>
      <w:lang w:eastAsia="en-US"/>
    </w:rPr>
  </w:style>
  <w:style w:type="character" w:styleId="EndnoteReference">
    <w:name w:val="endnote reference"/>
    <w:basedOn w:val="DefaultParagraphFont"/>
    <w:uiPriority w:val="99"/>
    <w:semiHidden/>
    <w:unhideWhenUsed/>
    <w:rsid w:val="00B17515"/>
    <w:rPr>
      <w:vertAlign w:val="superscript"/>
    </w:rPr>
  </w:style>
  <w:style w:type="table" w:styleId="GridTable4-Accent6">
    <w:name w:val="Grid Table 4 Accent 6"/>
    <w:basedOn w:val="TableNormal"/>
    <w:uiPriority w:val="49"/>
    <w:rsid w:val="00B17515"/>
    <w:rPr>
      <w:rFonts w:ascii="Times New Roman" w:eastAsiaTheme="minorHAnsi" w:hAnsi="Times New Roman"/>
      <w:sz w:val="24"/>
      <w:szCs w:val="24"/>
      <w:lang w:eastAsia="en-US"/>
    </w:rPr>
    <w:tblPr>
      <w:tblStyleRowBandSize w:val="1"/>
      <w:tblStyleColBandSize w:val="1"/>
      <w:tblBorders>
        <w:top w:val="single" w:sz="4" w:space="0" w:color="C2B6D3" w:themeColor="accent6" w:themeTint="99"/>
        <w:left w:val="single" w:sz="4" w:space="0" w:color="C2B6D3" w:themeColor="accent6" w:themeTint="99"/>
        <w:bottom w:val="single" w:sz="4" w:space="0" w:color="C2B6D3" w:themeColor="accent6" w:themeTint="99"/>
        <w:right w:val="single" w:sz="4" w:space="0" w:color="C2B6D3" w:themeColor="accent6" w:themeTint="99"/>
        <w:insideH w:val="single" w:sz="4" w:space="0" w:color="C2B6D3" w:themeColor="accent6" w:themeTint="99"/>
        <w:insideV w:val="single" w:sz="4" w:space="0" w:color="C2B6D3" w:themeColor="accent6" w:themeTint="99"/>
      </w:tblBorders>
    </w:tblPr>
    <w:tblStylePr w:type="firstRow">
      <w:rPr>
        <w:b/>
        <w:bCs/>
        <w:color w:val="FFFFFF" w:themeColor="background1"/>
      </w:rPr>
      <w:tblPr/>
      <w:tcPr>
        <w:tcBorders>
          <w:top w:val="single" w:sz="4" w:space="0" w:color="9A86B7" w:themeColor="accent6"/>
          <w:left w:val="single" w:sz="4" w:space="0" w:color="9A86B7" w:themeColor="accent6"/>
          <w:bottom w:val="single" w:sz="4" w:space="0" w:color="9A86B7" w:themeColor="accent6"/>
          <w:right w:val="single" w:sz="4" w:space="0" w:color="9A86B7" w:themeColor="accent6"/>
          <w:insideH w:val="nil"/>
          <w:insideV w:val="nil"/>
        </w:tcBorders>
        <w:shd w:val="clear" w:color="auto" w:fill="9A86B7" w:themeFill="accent6"/>
      </w:tcPr>
    </w:tblStylePr>
    <w:tblStylePr w:type="lastRow">
      <w:rPr>
        <w:b/>
        <w:bCs/>
      </w:rPr>
      <w:tblPr/>
      <w:tcPr>
        <w:tcBorders>
          <w:top w:val="double" w:sz="4" w:space="0" w:color="9A86B7" w:themeColor="accent6"/>
        </w:tcBorders>
      </w:tcPr>
    </w:tblStylePr>
    <w:tblStylePr w:type="firstCol">
      <w:rPr>
        <w:b/>
        <w:bCs/>
      </w:rPr>
    </w:tblStylePr>
    <w:tblStylePr w:type="lastCol">
      <w:rPr>
        <w:b/>
        <w:bCs/>
      </w:rPr>
    </w:tblStylePr>
    <w:tblStylePr w:type="band1Vert">
      <w:tblPr/>
      <w:tcPr>
        <w:shd w:val="clear" w:color="auto" w:fill="EAE6F0" w:themeFill="accent6" w:themeFillTint="33"/>
      </w:tcPr>
    </w:tblStylePr>
    <w:tblStylePr w:type="band1Horz">
      <w:tblPr/>
      <w:tcPr>
        <w:shd w:val="clear" w:color="auto" w:fill="EAE6F0" w:themeFill="accent6" w:themeFillTint="33"/>
      </w:tcPr>
    </w:tblStylePr>
  </w:style>
  <w:style w:type="paragraph" w:styleId="HTMLPreformatted">
    <w:name w:val="HTML Preformatted"/>
    <w:basedOn w:val="Normal"/>
    <w:link w:val="HTMLPreformattedChar"/>
    <w:uiPriority w:val="99"/>
    <w:semiHidden/>
    <w:unhideWhenUsed/>
    <w:rsid w:val="00B17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lang w:eastAsia="en-AU"/>
    </w:rPr>
  </w:style>
  <w:style w:type="character" w:customStyle="1" w:styleId="HTMLPreformattedChar">
    <w:name w:val="HTML Preformatted Char"/>
    <w:basedOn w:val="DefaultParagraphFont"/>
    <w:link w:val="HTMLPreformatted"/>
    <w:uiPriority w:val="99"/>
    <w:semiHidden/>
    <w:rsid w:val="00B17515"/>
    <w:rPr>
      <w:rFonts w:ascii="Courier New" w:eastAsia="Times New Roman" w:hAnsi="Courier New" w:cs="Courier New"/>
    </w:rPr>
  </w:style>
  <w:style w:type="character" w:customStyle="1" w:styleId="gfypqt5nyb">
    <w:name w:val="gfypqt5nyb"/>
    <w:basedOn w:val="DefaultParagraphFont"/>
    <w:rsid w:val="00B17515"/>
  </w:style>
  <w:style w:type="character" w:customStyle="1" w:styleId="gfypqt5d-b">
    <w:name w:val="gfypqt5d-b"/>
    <w:basedOn w:val="DefaultParagraphFont"/>
    <w:rsid w:val="00B17515"/>
  </w:style>
  <w:style w:type="character" w:customStyle="1" w:styleId="gfypqt5dyb">
    <w:name w:val="gfypqt5dyb"/>
    <w:basedOn w:val="DefaultParagraphFont"/>
    <w:rsid w:val="00B17515"/>
  </w:style>
  <w:style w:type="paragraph" w:styleId="NoSpacing">
    <w:name w:val="No Spacing"/>
    <w:uiPriority w:val="1"/>
    <w:qFormat/>
    <w:rsid w:val="00B17515"/>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68591200">
      <w:bodyDiv w:val="1"/>
      <w:marLeft w:val="0"/>
      <w:marRight w:val="0"/>
      <w:marTop w:val="0"/>
      <w:marBottom w:val="0"/>
      <w:divBdr>
        <w:top w:val="none" w:sz="0" w:space="0" w:color="auto"/>
        <w:left w:val="none" w:sz="0" w:space="0" w:color="auto"/>
        <w:bottom w:val="none" w:sz="0" w:space="0" w:color="auto"/>
        <w:right w:val="none" w:sz="0" w:space="0" w:color="auto"/>
      </w:divBdr>
    </w:div>
    <w:div w:id="1529567622">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image" Target="media/image7.png"/><Relationship Id="rId39" Type="http://schemas.openxmlformats.org/officeDocument/2006/relationships/hyperlink" Target="https://www.accessdata.fda.gov/drugsatfda_docs/label/2020/018936s109lbl.pdf" TargetMode="External"/><Relationship Id="rId21" Type="http://schemas.openxmlformats.org/officeDocument/2006/relationships/chart" Target="charts/chart5.xml"/><Relationship Id="rId34" Type="http://schemas.openxmlformats.org/officeDocument/2006/relationships/hyperlink" Target="https://www.tga.gov.au/use-ssri-antidepressants-children-and-adolescents-october-2004" TargetMode="External"/><Relationship Id="rId42" Type="http://schemas.openxmlformats.org/officeDocument/2006/relationships/hyperlink" Target="https://www.fda.gov/media/77404/download" TargetMode="External"/><Relationship Id="rId47" Type="http://schemas.openxmlformats.org/officeDocument/2006/relationships/hyperlink" Target="https://doi.org/10.1038/s41572-019-0121-0" TargetMode="External"/><Relationship Id="rId50" Type="http://schemas.openxmlformats.org/officeDocument/2006/relationships/hyperlink" Target="https://doi.org/10.1016/s0140-6736(12)60322-5" TargetMode="External"/><Relationship Id="rId55" Type="http://schemas.openxmlformats.org/officeDocument/2006/relationships/hyperlink" Target="https://doi.org/10.1089/cap.2017.0174" TargetMode="External"/><Relationship Id="rId63" Type="http://schemas.openxmlformats.org/officeDocument/2006/relationships/hyperlink" Target="https://dx.doi.org/10.1111%2Facps.12633" TargetMode="External"/><Relationship Id="rId68" Type="http://schemas.openxmlformats.org/officeDocument/2006/relationships/hyperlink" Target="https://doi.org/10.1176/appi.prcp.20200012" TargetMode="External"/><Relationship Id="rId76" Type="http://schemas.openxmlformats.org/officeDocument/2006/relationships/hyperlink" Target="mailto:info@tga.gov.au" TargetMode="External"/><Relationship Id="rId7" Type="http://schemas.openxmlformats.org/officeDocument/2006/relationships/endnotes" Target="endnotes.xml"/><Relationship Id="rId71"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footer" Target="footer5.xml"/><Relationship Id="rId11" Type="http://schemas.openxmlformats.org/officeDocument/2006/relationships/footer" Target="footer2.xml"/><Relationship Id="rId24" Type="http://schemas.openxmlformats.org/officeDocument/2006/relationships/chart" Target="charts/chart7.xml"/><Relationship Id="rId32" Type="http://schemas.openxmlformats.org/officeDocument/2006/relationships/hyperlink" Target="https://www.semanticscholar.org/paper/Report-of-the-CSM-Expert-Working-Group-on-the-of-Ivd.-Ashby/9f66a4029a30bd86bfc1d942ab72960bf12a124e" TargetMode="External"/><Relationship Id="rId37" Type="http://schemas.openxmlformats.org/officeDocument/2006/relationships/hyperlink" Target="https://mhraproducts4853.blob.core.windows.net/docs/c26d5f52a461b728c2b854adb89f9616943ec504" TargetMode="External"/><Relationship Id="rId40" Type="http://schemas.openxmlformats.org/officeDocument/2006/relationships/hyperlink" Target="https://www.accessdata.fda.gov/drugsatfda_docs/label/2019/021519s012lbl.pdf" TargetMode="External"/><Relationship Id="rId45" Type="http://schemas.openxmlformats.org/officeDocument/2006/relationships/hyperlink" Target="https://www1.health.gov.au/internet/main/publishing.nsf/Content/9DA8CA21306FE6EDCA257E2700016945/$File/child2.pdf" TargetMode="External"/><Relationship Id="rId53" Type="http://schemas.openxmlformats.org/officeDocument/2006/relationships/hyperlink" Target="https://doi.org/10.1002/da.20438" TargetMode="External"/><Relationship Id="rId58" Type="http://schemas.openxmlformats.org/officeDocument/2006/relationships/hyperlink" Target="https://www.abs.gov.au/AUSSTATS/abs@.nsf/DetailsPage/3303.02018?OpenDocument" TargetMode="External"/><Relationship Id="rId66" Type="http://schemas.openxmlformats.org/officeDocument/2006/relationships/hyperlink" Target="https://www.abs.gov.au/AUSSTATS/abs@.nsf/DetailsPage/2033.0.55.0012016?OpenDocument" TargetMode="External"/><Relationship Id="rId74" Type="http://schemas.openxmlformats.org/officeDocument/2006/relationships/footer" Target="footer10.xml"/><Relationship Id="rId79"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yperlink" Target="https://www.aihw.gov.au/reports/injury/a-review-of-suicide-statistics-in-australia/contents/table-of-contents" TargetMode="Externa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yperlink" Target="https://doi.org/10.3389/fpsyt.2019.00294" TargetMode="External"/><Relationship Id="rId44" Type="http://schemas.openxmlformats.org/officeDocument/2006/relationships/hyperlink" Target="https://www.ema.europa.eu/en/news/european-medicines-agency-finalises-review-antidepressants-childrenand-adolescents" TargetMode="External"/><Relationship Id="rId52" Type="http://schemas.openxmlformats.org/officeDocument/2006/relationships/hyperlink" Target="https://doi.org/10.1016/j.jpsychires.2015.10.006" TargetMode="External"/><Relationship Id="rId60" Type="http://schemas.openxmlformats.org/officeDocument/2006/relationships/hyperlink" Target="https://www.abs.gov.au/AUSSTATS/abs@.nsf/DetailsPage/3101.0Dec%202019?OpenDocument" TargetMode="External"/><Relationship Id="rId65" Type="http://schemas.openxmlformats.org/officeDocument/2006/relationships/hyperlink" Target="https://www.abs.gov.au/AUSSTATS/abs@.nsf/DetailsPage/1270.0.55.005July%202016?OpenDocument" TargetMode="External"/><Relationship Id="rId73" Type="http://schemas.openxmlformats.org/officeDocument/2006/relationships/footer" Target="footer9.xml"/><Relationship Id="rId78" Type="http://schemas.openxmlformats.org/officeDocument/2006/relationships/header" Target="header4.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chart" Target="charts/chart6.xml"/><Relationship Id="rId27" Type="http://schemas.openxmlformats.org/officeDocument/2006/relationships/image" Target="media/image8.png"/><Relationship Id="rId30" Type="http://schemas.openxmlformats.org/officeDocument/2006/relationships/hyperlink" Target="https://doi.org/10.3389/fpsyt.2020.00478" TargetMode="External"/><Relationship Id="rId35" Type="http://schemas.openxmlformats.org/officeDocument/2006/relationships/hyperlink" Target="https://www.tga.gov.au/alert/release-report-psychiatric-drug-safety-expert-advisory-panel" TargetMode="External"/><Relationship Id="rId43" Type="http://schemas.openxmlformats.org/officeDocument/2006/relationships/hyperlink" Target="https://www.fda.gov/drugs/postmarket-drug-safety-information-patients-and-providers/suicidality-children-and-adolescents-being-treated-antidepressant-medications" TargetMode="External"/><Relationship Id="rId48" Type="http://schemas.openxmlformats.org/officeDocument/2006/relationships/hyperlink" Target="https://doi.org/10.1007/s00787-018-01270-9" TargetMode="External"/><Relationship Id="rId56" Type="http://schemas.openxmlformats.org/officeDocument/2006/relationships/hyperlink" Target="https://doi.org/10.1590/1414-431x20164806" TargetMode="External"/><Relationship Id="rId64" Type="http://schemas.openxmlformats.org/officeDocument/2006/relationships/hyperlink" Target="https://www.ranzcp.org/files/resources/college_statements/clinician/cpg/mood-disorders-cpg.aspx" TargetMode="External"/><Relationship Id="rId69" Type="http://schemas.openxmlformats.org/officeDocument/2006/relationships/hyperlink" Target="https://doi.org/10.1097/mlr.0000000000000895" TargetMode="External"/><Relationship Id="rId77"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hyperlink" Target="https://doi.org/10.1016/j.cppeds.2017.12.001" TargetMode="External"/><Relationship Id="rId72" Type="http://schemas.openxmlformats.org/officeDocument/2006/relationships/footer" Target="footer8.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chart" Target="charts/chart3.xml"/><Relationship Id="rId25" Type="http://schemas.openxmlformats.org/officeDocument/2006/relationships/image" Target="media/image6.png"/><Relationship Id="rId33" Type="http://schemas.openxmlformats.org/officeDocument/2006/relationships/hyperlink" Target="https://doi.org/10.2165/00002018-200528120-00009" TargetMode="External"/><Relationship Id="rId38" Type="http://schemas.openxmlformats.org/officeDocument/2006/relationships/hyperlink" Target="https://www.accessdata.fda.gov/drugsatfda_docs/label/2020/018936s109lbl.pdf" TargetMode="External"/><Relationship Id="rId46" Type="http://schemas.openxmlformats.org/officeDocument/2006/relationships/hyperlink" Target="https://www.abs.gov.au/statistics/health/mental-health/national-survey-mental-health-and-wellbeing-summary-results/latest-release" TargetMode="External"/><Relationship Id="rId59" Type="http://schemas.openxmlformats.org/officeDocument/2006/relationships/hyperlink" Target="https://www.abs.gov.au/statistics/health/causes-death/causes-death-australia/latest-release" TargetMode="External"/><Relationship Id="rId67" Type="http://schemas.openxmlformats.org/officeDocument/2006/relationships/hyperlink" Target="https://www.tga.gov.au/committee/advisory-committee-medicines-acm" TargetMode="External"/><Relationship Id="rId20" Type="http://schemas.openxmlformats.org/officeDocument/2006/relationships/chart" Target="charts/chart4.xml"/><Relationship Id="rId41" Type="http://schemas.openxmlformats.org/officeDocument/2006/relationships/hyperlink" Target="https://www.accessdata.fda.gov/drugsatfda_docs/label/2019/019906s043lbl.pdf" TargetMode="External"/><Relationship Id="rId54" Type="http://schemas.openxmlformats.org/officeDocument/2006/relationships/hyperlink" Target="http://dx.doi.org/10.1136/bmjopen-2017-016608" TargetMode="External"/><Relationship Id="rId62" Type="http://schemas.openxmlformats.org/officeDocument/2006/relationships/hyperlink" Target="https://dx.doi.org/10.1007%2Fs00127-016-1306-4" TargetMode="External"/><Relationship Id="rId70" Type="http://schemas.openxmlformats.org/officeDocument/2006/relationships/footer" Target="footer6.xml"/><Relationship Id="rId75"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4.xml"/><Relationship Id="rId28" Type="http://schemas.openxmlformats.org/officeDocument/2006/relationships/image" Target="media/image9.png"/><Relationship Id="rId36" Type="http://schemas.openxmlformats.org/officeDocument/2006/relationships/hyperlink" Target="https://www.tga.gov.au/sites/default/files/alerts-medicine-ssri-pdseap-091224.pdf" TargetMode="External"/><Relationship Id="rId49" Type="http://schemas.openxmlformats.org/officeDocument/2006/relationships/hyperlink" Target="https://doi.org/10.1080%2Fj.1440-1614.2000.00691.x" TargetMode="External"/><Relationship Id="rId57" Type="http://schemas.openxmlformats.org/officeDocument/2006/relationships/hyperlink" Target="https://www.ncbi.nlm.nih.gov/pmc/articles/PMC431217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occ.no/atc/structure_and_principl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wlaa\AppData\Local\Microsoft\Windows\INetCache\IE\3CITZXAS\9e1d339d-6b86-4ddd-a528-dcf87a76ef9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entral.health\dfsuserenv\Users\User_15\GOWLAA\Desktop\Completed%20suicid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1870937598769"/>
          <c:y val="0.10847678522943253"/>
          <c:w val="0.65390526445974362"/>
          <c:h val="0.7830464295411349"/>
        </c:manualLayout>
      </c:layout>
      <c:pieChart>
        <c:varyColors val="1"/>
        <c:ser>
          <c:idx val="0"/>
          <c:order val="0"/>
          <c:tx>
            <c:strRef>
              <c:f>'[9e1d339d-6b86-4ddd-a528-dcf87a76ef91.xlsx]Sheet1'!$B$1</c:f>
              <c:strCache>
                <c:ptCount val="1"/>
                <c:pt idx="0">
                  <c:v>Case Count</c:v>
                </c:pt>
              </c:strCache>
            </c:strRef>
          </c:tx>
          <c:spPr>
            <a:solidFill>
              <a:srgbClr val="0070C0"/>
            </a:solidFill>
          </c:spPr>
          <c:dPt>
            <c:idx val="0"/>
            <c:bubble3D val="0"/>
            <c:spPr>
              <a:solidFill>
                <a:schemeClr val="tx1">
                  <a:lumMod val="90000"/>
                  <a:lumOff val="10000"/>
                </a:schemeClr>
              </a:solidFill>
              <a:ln w="19050">
                <a:solidFill>
                  <a:schemeClr val="lt1"/>
                </a:solidFill>
              </a:ln>
              <a:effectLst/>
            </c:spPr>
            <c:extLst>
              <c:ext xmlns:c16="http://schemas.microsoft.com/office/drawing/2014/chart" uri="{C3380CC4-5D6E-409C-BE32-E72D297353CC}">
                <c16:uniqueId val="{00000001-D3C1-4DED-8A5F-F36CD8D0C5CE}"/>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D3C1-4DED-8A5F-F36CD8D0C5CE}"/>
              </c:ext>
            </c:extLst>
          </c:dPt>
          <c:dLbls>
            <c:dLbl>
              <c:idx val="0"/>
              <c:layout>
                <c:manualLayout>
                  <c:x val="-0.20610264442751114"/>
                  <c:y val="-3.74968032842048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25881720430107524"/>
                      <c:h val="0.10299145299145299"/>
                    </c:manualLayout>
                  </c15:layout>
                </c:ext>
                <c:ext xmlns:c16="http://schemas.microsoft.com/office/drawing/2014/chart" uri="{C3380CC4-5D6E-409C-BE32-E72D297353CC}">
                  <c16:uniqueId val="{00000001-D3C1-4DED-8A5F-F36CD8D0C5CE}"/>
                </c:ext>
              </c:extLst>
            </c:dLbl>
            <c:dLbl>
              <c:idx val="1"/>
              <c:layout>
                <c:manualLayout>
                  <c:x val="0.18996429881748653"/>
                  <c:y val="6.11582206070395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Calibri" panose="020F0502020204030204" pitchFamily="34" charset="0"/>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29569892473118276"/>
                      <c:h val="0.10256410256410256"/>
                    </c:manualLayout>
                  </c15:layout>
                </c:ext>
                <c:ext xmlns:c16="http://schemas.microsoft.com/office/drawing/2014/chart" uri="{C3380CC4-5D6E-409C-BE32-E72D297353CC}">
                  <c16:uniqueId val="{00000003-D3C1-4DED-8A5F-F36CD8D0C5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'[9e1d339d-6b86-4ddd-a528-dcf87a76ef91.xlsx]Sheet1'!$A$2:$A$3</c:f>
              <c:strCache>
                <c:ptCount val="2"/>
                <c:pt idx="0">
                  <c:v>Male</c:v>
                </c:pt>
                <c:pt idx="1">
                  <c:v>Female</c:v>
                </c:pt>
              </c:strCache>
            </c:strRef>
          </c:cat>
          <c:val>
            <c:numRef>
              <c:f>'[9e1d339d-6b86-4ddd-a528-dcf87a76ef91.xlsx]Sheet1'!$B$2:$B$3</c:f>
              <c:numCache>
                <c:formatCode>###0</c:formatCode>
                <c:ptCount val="2"/>
                <c:pt idx="0">
                  <c:v>14</c:v>
                </c:pt>
                <c:pt idx="1">
                  <c:v>10</c:v>
                </c:pt>
              </c:numCache>
            </c:numRef>
          </c:val>
          <c:extLst>
            <c:ext xmlns:c16="http://schemas.microsoft.com/office/drawing/2014/chart" uri="{C3380CC4-5D6E-409C-BE32-E72D297353CC}">
              <c16:uniqueId val="{00000004-D3C1-4DED-8A5F-F36CD8D0C5C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solidFill>
              <a:srgbClr val="002C47">
                <a:lumMod val="90000"/>
                <a:lumOff val="10000"/>
              </a:srgbClr>
            </a:solidFill>
          </c:spPr>
          <c:dPt>
            <c:idx val="0"/>
            <c:bubble3D val="0"/>
            <c:spPr>
              <a:solidFill>
                <a:srgbClr val="002C47">
                  <a:lumMod val="90000"/>
                  <a:lumOff val="10000"/>
                </a:srgbClr>
              </a:solidFill>
              <a:ln w="19050">
                <a:solidFill>
                  <a:schemeClr val="lt1"/>
                </a:solidFill>
              </a:ln>
              <a:effectLst/>
            </c:spPr>
            <c:extLst>
              <c:ext xmlns:c16="http://schemas.microsoft.com/office/drawing/2014/chart" uri="{C3380CC4-5D6E-409C-BE32-E72D297353CC}">
                <c16:uniqueId val="{00000001-E8A2-4EBF-9C76-E033A9BAD106}"/>
              </c:ext>
            </c:extLst>
          </c:dPt>
          <c:dPt>
            <c:idx val="1"/>
            <c:bubble3D val="0"/>
            <c:spPr>
              <a:solidFill>
                <a:srgbClr val="0070C0"/>
              </a:solidFill>
              <a:ln w="19050">
                <a:solidFill>
                  <a:schemeClr val="lt1"/>
                </a:solidFill>
              </a:ln>
              <a:effectLst/>
            </c:spPr>
            <c:extLst>
              <c:ext xmlns:c16="http://schemas.microsoft.com/office/drawing/2014/chart" uri="{C3380CC4-5D6E-409C-BE32-E72D297353CC}">
                <c16:uniqueId val="{00000003-E8A2-4EBF-9C76-E033A9BAD106}"/>
              </c:ext>
            </c:extLst>
          </c:dPt>
          <c:dLbls>
            <c:dLbl>
              <c:idx val="0"/>
              <c:layout>
                <c:manualLayout>
                  <c:x val="-0.25722290269271902"/>
                  <c:y val="0.15252379395067631"/>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21227309549269302"/>
                      <c:h val="0.24060174586802849"/>
                    </c:manualLayout>
                  </c15:layout>
                </c:ext>
                <c:ext xmlns:c16="http://schemas.microsoft.com/office/drawing/2014/chart" uri="{C3380CC4-5D6E-409C-BE32-E72D297353CC}">
                  <c16:uniqueId val="{00000001-E8A2-4EBF-9C76-E033A9BAD106}"/>
                </c:ext>
              </c:extLst>
            </c:dLbl>
            <c:dLbl>
              <c:idx val="1"/>
              <c:layout>
                <c:manualLayout>
                  <c:x val="0.25613142801594241"/>
                  <c:y val="-0.150644595943079"/>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0.21214814814814814"/>
                      <c:h val="0.19569755058572946"/>
                    </c:manualLayout>
                  </c15:layout>
                </c:ext>
                <c:ext xmlns:c16="http://schemas.microsoft.com/office/drawing/2014/chart" uri="{C3380CC4-5D6E-409C-BE32-E72D297353CC}">
                  <c16:uniqueId val="{00000003-E8A2-4EBF-9C76-E033A9BAD1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Sheet2!$A$35:$B$35</c:f>
              <c:strCache>
                <c:ptCount val="2"/>
                <c:pt idx="0">
                  <c:v>Adolescents (10-17 years)</c:v>
                </c:pt>
                <c:pt idx="1">
                  <c:v>Early adulthood (18-24 years)</c:v>
                </c:pt>
              </c:strCache>
            </c:strRef>
          </c:cat>
          <c:val>
            <c:numRef>
              <c:f>Sheet2!$A$36:$B$36</c:f>
              <c:numCache>
                <c:formatCode>General</c:formatCode>
                <c:ptCount val="2"/>
                <c:pt idx="0">
                  <c:v>8</c:v>
                </c:pt>
                <c:pt idx="1">
                  <c:v>16</c:v>
                </c:pt>
              </c:numCache>
            </c:numRef>
          </c:val>
          <c:extLst>
            <c:ext xmlns:c16="http://schemas.microsoft.com/office/drawing/2014/chart" uri="{C3380CC4-5D6E-409C-BE32-E72D297353CC}">
              <c16:uniqueId val="{00000004-E8A2-4EBF-9C76-E033A9BAD10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Sheet2!$A$38:$D$38</c:f>
              <c:strCache>
                <c:ptCount val="4"/>
                <c:pt idx="0">
                  <c:v>≤ 1 month</c:v>
                </c:pt>
                <c:pt idx="1">
                  <c:v>≤ 2 months</c:v>
                </c:pt>
                <c:pt idx="2">
                  <c:v>≤ 12 months</c:v>
                </c:pt>
                <c:pt idx="3">
                  <c:v>Not reported</c:v>
                </c:pt>
              </c:strCache>
            </c:strRef>
          </c:cat>
          <c:val>
            <c:numRef>
              <c:f>Sheet2!$A$39:$D$39</c:f>
              <c:numCache>
                <c:formatCode>General</c:formatCode>
                <c:ptCount val="4"/>
                <c:pt idx="0">
                  <c:v>4</c:v>
                </c:pt>
                <c:pt idx="1">
                  <c:v>3</c:v>
                </c:pt>
                <c:pt idx="2">
                  <c:v>3</c:v>
                </c:pt>
                <c:pt idx="3">
                  <c:v>13</c:v>
                </c:pt>
              </c:numCache>
            </c:numRef>
          </c:val>
          <c:extLst>
            <c:ext xmlns:c16="http://schemas.microsoft.com/office/drawing/2014/chart" uri="{C3380CC4-5D6E-409C-BE32-E72D297353CC}">
              <c16:uniqueId val="{00000000-F0D6-4B05-8ABC-61592E69E10F}"/>
            </c:ext>
          </c:extLst>
        </c:ser>
        <c:dLbls>
          <c:showLegendKey val="0"/>
          <c:showVal val="0"/>
          <c:showCatName val="0"/>
          <c:showSerName val="0"/>
          <c:showPercent val="0"/>
          <c:showBubbleSize val="0"/>
        </c:dLbls>
        <c:gapWidth val="219"/>
        <c:overlap val="-27"/>
        <c:axId val="806401952"/>
        <c:axId val="806401296"/>
      </c:barChart>
      <c:catAx>
        <c:axId val="80640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6401296"/>
        <c:crosses val="autoZero"/>
        <c:auto val="1"/>
        <c:lblAlgn val="ctr"/>
        <c:lblOffset val="100"/>
        <c:noMultiLvlLbl val="0"/>
      </c:catAx>
      <c:valAx>
        <c:axId val="806401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cases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6401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2"/>
          <c:order val="0"/>
          <c:tx>
            <c:strRef>
              <c:f>Sheet2!$B$16</c:f>
              <c:strCache>
                <c:ptCount val="1"/>
                <c:pt idx="0">
                  <c:v>Suicidal ideation/behaviour</c:v>
                </c:pt>
              </c:strCache>
            </c:strRef>
          </c:tx>
          <c:spPr>
            <a:solidFill>
              <a:srgbClr val="002C47">
                <a:lumMod val="90000"/>
                <a:lumOff val="10000"/>
              </a:srgb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F5BA-4761-B6AD-65CA1269A5E1}"/>
                </c:ext>
              </c:extLst>
            </c:dLbl>
            <c:dLbl>
              <c:idx val="10"/>
              <c:delete val="1"/>
              <c:extLst>
                <c:ext xmlns:c15="http://schemas.microsoft.com/office/drawing/2012/chart" uri="{CE6537A1-D6FC-4f65-9D91-7224C49458BB}"/>
                <c:ext xmlns:c16="http://schemas.microsoft.com/office/drawing/2014/chart" uri="{C3380CC4-5D6E-409C-BE32-E72D297353CC}">
                  <c16:uniqueId val="{00000001-F5BA-4761-B6AD-65CA1269A5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Sheet2!$A$17:$A$32</c:f>
              <c:strCache>
                <c:ptCount val="16"/>
                <c:pt idx="0">
                  <c:v>Agomelatine</c:v>
                </c:pt>
                <c:pt idx="1">
                  <c:v>Amitriptyline</c:v>
                </c:pt>
                <c:pt idx="2">
                  <c:v>Citalopram</c:v>
                </c:pt>
                <c:pt idx="3">
                  <c:v>Desvenlafaxine</c:v>
                </c:pt>
                <c:pt idx="4">
                  <c:v>Dosulepin</c:v>
                </c:pt>
                <c:pt idx="5">
                  <c:v>Duloxetine</c:v>
                </c:pt>
                <c:pt idx="6">
                  <c:v>Escitalopram</c:v>
                </c:pt>
                <c:pt idx="7">
                  <c:v>Fluoxetine</c:v>
                </c:pt>
                <c:pt idx="8">
                  <c:v>Fluvoxamine</c:v>
                </c:pt>
                <c:pt idx="9">
                  <c:v>Mirtazapine</c:v>
                </c:pt>
                <c:pt idx="10">
                  <c:v>Moclobemide</c:v>
                </c:pt>
                <c:pt idx="11">
                  <c:v>Paroxetine</c:v>
                </c:pt>
                <c:pt idx="12">
                  <c:v>Reboxetine</c:v>
                </c:pt>
                <c:pt idx="13">
                  <c:v>Sertraline</c:v>
                </c:pt>
                <c:pt idx="14">
                  <c:v>Venlafaxine</c:v>
                </c:pt>
                <c:pt idx="15">
                  <c:v>Vortioxetine</c:v>
                </c:pt>
              </c:strCache>
            </c:strRef>
          </c:cat>
          <c:val>
            <c:numRef>
              <c:f>Sheet2!$B$17:$B$32</c:f>
              <c:numCache>
                <c:formatCode>###0</c:formatCode>
                <c:ptCount val="16"/>
                <c:pt idx="0">
                  <c:v>2</c:v>
                </c:pt>
                <c:pt idx="1">
                  <c:v>0</c:v>
                </c:pt>
                <c:pt idx="2">
                  <c:v>3</c:v>
                </c:pt>
                <c:pt idx="3">
                  <c:v>14</c:v>
                </c:pt>
                <c:pt idx="4">
                  <c:v>1</c:v>
                </c:pt>
                <c:pt idx="5">
                  <c:v>7</c:v>
                </c:pt>
                <c:pt idx="6">
                  <c:v>8</c:v>
                </c:pt>
                <c:pt idx="7">
                  <c:v>16</c:v>
                </c:pt>
                <c:pt idx="8">
                  <c:v>1</c:v>
                </c:pt>
                <c:pt idx="9">
                  <c:v>7</c:v>
                </c:pt>
                <c:pt idx="10">
                  <c:v>0</c:v>
                </c:pt>
                <c:pt idx="11">
                  <c:v>8</c:v>
                </c:pt>
                <c:pt idx="12">
                  <c:v>1</c:v>
                </c:pt>
                <c:pt idx="13">
                  <c:v>19</c:v>
                </c:pt>
                <c:pt idx="14">
                  <c:v>14</c:v>
                </c:pt>
                <c:pt idx="15">
                  <c:v>1</c:v>
                </c:pt>
              </c:numCache>
            </c:numRef>
          </c:val>
          <c:extLst>
            <c:ext xmlns:c16="http://schemas.microsoft.com/office/drawing/2014/chart" uri="{C3380CC4-5D6E-409C-BE32-E72D297353CC}">
              <c16:uniqueId val="{00000002-F5BA-4761-B6AD-65CA1269A5E1}"/>
            </c:ext>
          </c:extLst>
        </c:ser>
        <c:ser>
          <c:idx val="1"/>
          <c:order val="1"/>
          <c:tx>
            <c:strRef>
              <c:f>Sheet2!$C$16</c:f>
              <c:strCache>
                <c:ptCount val="1"/>
                <c:pt idx="0">
                  <c:v>Suicide attempt</c:v>
                </c:pt>
              </c:strCache>
            </c:strRef>
          </c:tx>
          <c:spPr>
            <a:solidFill>
              <a:srgbClr val="0070C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F5BA-4761-B6AD-65CA1269A5E1}"/>
                </c:ext>
              </c:extLst>
            </c:dLbl>
            <c:dLbl>
              <c:idx val="4"/>
              <c:delete val="1"/>
              <c:extLst>
                <c:ext xmlns:c15="http://schemas.microsoft.com/office/drawing/2012/chart" uri="{CE6537A1-D6FC-4f65-9D91-7224C49458BB}"/>
                <c:ext xmlns:c16="http://schemas.microsoft.com/office/drawing/2014/chart" uri="{C3380CC4-5D6E-409C-BE32-E72D297353CC}">
                  <c16:uniqueId val="{00000004-F5BA-4761-B6AD-65CA1269A5E1}"/>
                </c:ext>
              </c:extLst>
            </c:dLbl>
            <c:dLbl>
              <c:idx val="5"/>
              <c:delete val="1"/>
              <c:extLst>
                <c:ext xmlns:c15="http://schemas.microsoft.com/office/drawing/2012/chart" uri="{CE6537A1-D6FC-4f65-9D91-7224C49458BB}"/>
                <c:ext xmlns:c16="http://schemas.microsoft.com/office/drawing/2014/chart" uri="{C3380CC4-5D6E-409C-BE32-E72D297353CC}">
                  <c16:uniqueId val="{00000005-F5BA-4761-B6AD-65CA1269A5E1}"/>
                </c:ext>
              </c:extLst>
            </c:dLbl>
            <c:dLbl>
              <c:idx val="12"/>
              <c:delete val="1"/>
              <c:extLst>
                <c:ext xmlns:c15="http://schemas.microsoft.com/office/drawing/2012/chart" uri="{CE6537A1-D6FC-4f65-9D91-7224C49458BB}"/>
                <c:ext xmlns:c16="http://schemas.microsoft.com/office/drawing/2014/chart" uri="{C3380CC4-5D6E-409C-BE32-E72D297353CC}">
                  <c16:uniqueId val="{00000006-F5BA-4761-B6AD-65CA1269A5E1}"/>
                </c:ext>
              </c:extLst>
            </c:dLbl>
            <c:dLbl>
              <c:idx val="15"/>
              <c:delete val="1"/>
              <c:extLst>
                <c:ext xmlns:c15="http://schemas.microsoft.com/office/drawing/2012/chart" uri="{CE6537A1-D6FC-4f65-9D91-7224C49458BB}"/>
                <c:ext xmlns:c16="http://schemas.microsoft.com/office/drawing/2014/chart" uri="{C3380CC4-5D6E-409C-BE32-E72D297353CC}">
                  <c16:uniqueId val="{00000007-F5BA-4761-B6AD-65CA1269A5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Sheet2!$A$17:$A$32</c:f>
              <c:strCache>
                <c:ptCount val="16"/>
                <c:pt idx="0">
                  <c:v>Agomelatine</c:v>
                </c:pt>
                <c:pt idx="1">
                  <c:v>Amitriptyline</c:v>
                </c:pt>
                <c:pt idx="2">
                  <c:v>Citalopram</c:v>
                </c:pt>
                <c:pt idx="3">
                  <c:v>Desvenlafaxine</c:v>
                </c:pt>
                <c:pt idx="4">
                  <c:v>Dosulepin</c:v>
                </c:pt>
                <c:pt idx="5">
                  <c:v>Duloxetine</c:v>
                </c:pt>
                <c:pt idx="6">
                  <c:v>Escitalopram</c:v>
                </c:pt>
                <c:pt idx="7">
                  <c:v>Fluoxetine</c:v>
                </c:pt>
                <c:pt idx="8">
                  <c:v>Fluvoxamine</c:v>
                </c:pt>
                <c:pt idx="9">
                  <c:v>Mirtazapine</c:v>
                </c:pt>
                <c:pt idx="10">
                  <c:v>Moclobemide</c:v>
                </c:pt>
                <c:pt idx="11">
                  <c:v>Paroxetine</c:v>
                </c:pt>
                <c:pt idx="12">
                  <c:v>Reboxetine</c:v>
                </c:pt>
                <c:pt idx="13">
                  <c:v>Sertraline</c:v>
                </c:pt>
                <c:pt idx="14">
                  <c:v>Venlafaxine</c:v>
                </c:pt>
                <c:pt idx="15">
                  <c:v>Vortioxetine</c:v>
                </c:pt>
              </c:strCache>
            </c:strRef>
          </c:cat>
          <c:val>
            <c:numRef>
              <c:f>Sheet2!$C$17:$C$32</c:f>
              <c:numCache>
                <c:formatCode>###0</c:formatCode>
                <c:ptCount val="16"/>
                <c:pt idx="0">
                  <c:v>0</c:v>
                </c:pt>
                <c:pt idx="1">
                  <c:v>1</c:v>
                </c:pt>
                <c:pt idx="2">
                  <c:v>5</c:v>
                </c:pt>
                <c:pt idx="3">
                  <c:v>2</c:v>
                </c:pt>
                <c:pt idx="4">
                  <c:v>0</c:v>
                </c:pt>
                <c:pt idx="5">
                  <c:v>0</c:v>
                </c:pt>
                <c:pt idx="6">
                  <c:v>2</c:v>
                </c:pt>
                <c:pt idx="7">
                  <c:v>15</c:v>
                </c:pt>
                <c:pt idx="8">
                  <c:v>2</c:v>
                </c:pt>
                <c:pt idx="9">
                  <c:v>2</c:v>
                </c:pt>
                <c:pt idx="10">
                  <c:v>1</c:v>
                </c:pt>
                <c:pt idx="11">
                  <c:v>5</c:v>
                </c:pt>
                <c:pt idx="12">
                  <c:v>0</c:v>
                </c:pt>
                <c:pt idx="13">
                  <c:v>15</c:v>
                </c:pt>
                <c:pt idx="14">
                  <c:v>12</c:v>
                </c:pt>
                <c:pt idx="15">
                  <c:v>0</c:v>
                </c:pt>
              </c:numCache>
            </c:numRef>
          </c:val>
          <c:extLst>
            <c:ext xmlns:c16="http://schemas.microsoft.com/office/drawing/2014/chart" uri="{C3380CC4-5D6E-409C-BE32-E72D297353CC}">
              <c16:uniqueId val="{00000008-F5BA-4761-B6AD-65CA1269A5E1}"/>
            </c:ext>
          </c:extLst>
        </c:ser>
        <c:ser>
          <c:idx val="0"/>
          <c:order val="2"/>
          <c:tx>
            <c:strRef>
              <c:f>Sheet2!$D$16</c:f>
              <c:strCache>
                <c:ptCount val="1"/>
                <c:pt idx="0">
                  <c:v>Completed suicide</c:v>
                </c:pt>
              </c:strCache>
            </c:strRef>
          </c:tx>
          <c:spPr>
            <a:solidFill>
              <a:srgbClr val="C00000"/>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9-F5BA-4761-B6AD-65CA1269A5E1}"/>
                </c:ext>
              </c:extLst>
            </c:dLbl>
            <c:dLbl>
              <c:idx val="9"/>
              <c:delete val="1"/>
              <c:extLst>
                <c:ext xmlns:c15="http://schemas.microsoft.com/office/drawing/2012/chart" uri="{CE6537A1-D6FC-4f65-9D91-7224C49458BB}"/>
                <c:ext xmlns:c16="http://schemas.microsoft.com/office/drawing/2014/chart" uri="{C3380CC4-5D6E-409C-BE32-E72D297353CC}">
                  <c16:uniqueId val="{0000000A-F5BA-4761-B6AD-65CA1269A5E1}"/>
                </c:ext>
              </c:extLst>
            </c:dLbl>
            <c:dLbl>
              <c:idx val="10"/>
              <c:delete val="1"/>
              <c:extLst>
                <c:ext xmlns:c15="http://schemas.microsoft.com/office/drawing/2012/chart" uri="{CE6537A1-D6FC-4f65-9D91-7224C49458BB}"/>
                <c:ext xmlns:c16="http://schemas.microsoft.com/office/drawing/2014/chart" uri="{C3380CC4-5D6E-409C-BE32-E72D297353CC}">
                  <c16:uniqueId val="{0000000B-F5BA-4761-B6AD-65CA1269A5E1}"/>
                </c:ext>
              </c:extLst>
            </c:dLbl>
            <c:dLbl>
              <c:idx val="12"/>
              <c:delete val="1"/>
              <c:extLst>
                <c:ext xmlns:c15="http://schemas.microsoft.com/office/drawing/2012/chart" uri="{CE6537A1-D6FC-4f65-9D91-7224C49458BB}"/>
                <c:ext xmlns:c16="http://schemas.microsoft.com/office/drawing/2014/chart" uri="{C3380CC4-5D6E-409C-BE32-E72D297353CC}">
                  <c16:uniqueId val="{0000000C-F5BA-4761-B6AD-65CA1269A5E1}"/>
                </c:ext>
              </c:extLst>
            </c:dLbl>
            <c:dLbl>
              <c:idx val="15"/>
              <c:delete val="1"/>
              <c:extLst>
                <c:ext xmlns:c15="http://schemas.microsoft.com/office/drawing/2012/chart" uri="{CE6537A1-D6FC-4f65-9D91-7224C49458BB}"/>
                <c:ext xmlns:c16="http://schemas.microsoft.com/office/drawing/2014/chart" uri="{C3380CC4-5D6E-409C-BE32-E72D297353CC}">
                  <c16:uniqueId val="{0000000D-F5BA-4761-B6AD-65CA1269A5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Sheet2!$A$17:$A$32</c:f>
              <c:strCache>
                <c:ptCount val="16"/>
                <c:pt idx="0">
                  <c:v>Agomelatine</c:v>
                </c:pt>
                <c:pt idx="1">
                  <c:v>Amitriptyline</c:v>
                </c:pt>
                <c:pt idx="2">
                  <c:v>Citalopram</c:v>
                </c:pt>
                <c:pt idx="3">
                  <c:v>Desvenlafaxine</c:v>
                </c:pt>
                <c:pt idx="4">
                  <c:v>Dosulepin</c:v>
                </c:pt>
                <c:pt idx="5">
                  <c:v>Duloxetine</c:v>
                </c:pt>
                <c:pt idx="6">
                  <c:v>Escitalopram</c:v>
                </c:pt>
                <c:pt idx="7">
                  <c:v>Fluoxetine</c:v>
                </c:pt>
                <c:pt idx="8">
                  <c:v>Fluvoxamine</c:v>
                </c:pt>
                <c:pt idx="9">
                  <c:v>Mirtazapine</c:v>
                </c:pt>
                <c:pt idx="10">
                  <c:v>Moclobemide</c:v>
                </c:pt>
                <c:pt idx="11">
                  <c:v>Paroxetine</c:v>
                </c:pt>
                <c:pt idx="12">
                  <c:v>Reboxetine</c:v>
                </c:pt>
                <c:pt idx="13">
                  <c:v>Sertraline</c:v>
                </c:pt>
                <c:pt idx="14">
                  <c:v>Venlafaxine</c:v>
                </c:pt>
                <c:pt idx="15">
                  <c:v>Vortioxetine</c:v>
                </c:pt>
              </c:strCache>
            </c:strRef>
          </c:cat>
          <c:val>
            <c:numRef>
              <c:f>Sheet2!$D$17:$D$32</c:f>
              <c:numCache>
                <c:formatCode>###0</c:formatCode>
                <c:ptCount val="16"/>
                <c:pt idx="0">
                  <c:v>1</c:v>
                </c:pt>
                <c:pt idx="1">
                  <c:v>2</c:v>
                </c:pt>
                <c:pt idx="2">
                  <c:v>0</c:v>
                </c:pt>
                <c:pt idx="3">
                  <c:v>1</c:v>
                </c:pt>
                <c:pt idx="4">
                  <c:v>1</c:v>
                </c:pt>
                <c:pt idx="5">
                  <c:v>1</c:v>
                </c:pt>
                <c:pt idx="6">
                  <c:v>1</c:v>
                </c:pt>
                <c:pt idx="7">
                  <c:v>2</c:v>
                </c:pt>
                <c:pt idx="8">
                  <c:v>3</c:v>
                </c:pt>
                <c:pt idx="9">
                  <c:v>0</c:v>
                </c:pt>
                <c:pt idx="10">
                  <c:v>0</c:v>
                </c:pt>
                <c:pt idx="11">
                  <c:v>1</c:v>
                </c:pt>
                <c:pt idx="12">
                  <c:v>0</c:v>
                </c:pt>
                <c:pt idx="13">
                  <c:v>6</c:v>
                </c:pt>
                <c:pt idx="14">
                  <c:v>5</c:v>
                </c:pt>
                <c:pt idx="15">
                  <c:v>0</c:v>
                </c:pt>
              </c:numCache>
            </c:numRef>
          </c:val>
          <c:extLst>
            <c:ext xmlns:c16="http://schemas.microsoft.com/office/drawing/2014/chart" uri="{C3380CC4-5D6E-409C-BE32-E72D297353CC}">
              <c16:uniqueId val="{0000000E-F5BA-4761-B6AD-65CA1269A5E1}"/>
            </c:ext>
          </c:extLst>
        </c:ser>
        <c:dLbls>
          <c:dLblPos val="ctr"/>
          <c:showLegendKey val="0"/>
          <c:showVal val="1"/>
          <c:showCatName val="0"/>
          <c:showSerName val="0"/>
          <c:showPercent val="0"/>
          <c:showBubbleSize val="0"/>
        </c:dLbls>
        <c:gapWidth val="150"/>
        <c:overlap val="100"/>
        <c:axId val="806426224"/>
        <c:axId val="806426552"/>
      </c:barChart>
      <c:catAx>
        <c:axId val="806426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6426552"/>
        <c:crosses val="autoZero"/>
        <c:auto val="1"/>
        <c:lblAlgn val="ctr"/>
        <c:lblOffset val="100"/>
        <c:noMultiLvlLbl val="0"/>
      </c:catAx>
      <c:valAx>
        <c:axId val="806426552"/>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6426224"/>
        <c:crosses val="autoZero"/>
        <c:crossBetween val="between"/>
      </c:valAx>
      <c:spPr>
        <a:noFill/>
        <a:ln>
          <a:noFill/>
        </a:ln>
        <a:effectLst/>
      </c:spPr>
    </c:plotArea>
    <c:legend>
      <c:legendPos val="r"/>
      <c:layout>
        <c:manualLayout>
          <c:xMode val="edge"/>
          <c:yMode val="edge"/>
          <c:x val="0.82943330369205137"/>
          <c:y val="5.3934632175322773E-2"/>
          <c:w val="0.15022133135333485"/>
          <c:h val="0.176995254304290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'Age graphs'!$B$39</c:f>
              <c:strCache>
                <c:ptCount val="1"/>
                <c:pt idx="0">
                  <c:v>Suicide attempt</c:v>
                </c:pt>
              </c:strCache>
            </c:strRef>
          </c:tx>
          <c:spPr>
            <a:solidFill>
              <a:srgbClr val="002C47">
                <a:lumMod val="90000"/>
                <a:lumOff val="10000"/>
              </a:srgb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466C-4C8E-A17E-E933FC7857B3}"/>
                </c:ext>
              </c:extLst>
            </c:dLbl>
            <c:dLbl>
              <c:idx val="1"/>
              <c:delete val="1"/>
              <c:extLst>
                <c:ext xmlns:c15="http://schemas.microsoft.com/office/drawing/2012/chart" uri="{CE6537A1-D6FC-4f65-9D91-7224C49458BB}"/>
                <c:ext xmlns:c16="http://schemas.microsoft.com/office/drawing/2014/chart" uri="{C3380CC4-5D6E-409C-BE32-E72D297353CC}">
                  <c16:uniqueId val="{00000007-466C-4C8E-A17E-E933FC7857B3}"/>
                </c:ext>
              </c:extLst>
            </c:dLbl>
            <c:dLbl>
              <c:idx val="5"/>
              <c:delete val="1"/>
              <c:extLst>
                <c:ext xmlns:c15="http://schemas.microsoft.com/office/drawing/2012/chart" uri="{CE6537A1-D6FC-4f65-9D91-7224C49458BB}"/>
                <c:ext xmlns:c16="http://schemas.microsoft.com/office/drawing/2014/chart" uri="{C3380CC4-5D6E-409C-BE32-E72D297353CC}">
                  <c16:uniqueId val="{0000000B-466C-4C8E-A17E-E933FC7857B3}"/>
                </c:ext>
              </c:extLst>
            </c:dLbl>
            <c:dLbl>
              <c:idx val="6"/>
              <c:delete val="1"/>
              <c:extLst>
                <c:ext xmlns:c15="http://schemas.microsoft.com/office/drawing/2012/chart" uri="{CE6537A1-D6FC-4f65-9D91-7224C49458BB}"/>
                <c:ext xmlns:c16="http://schemas.microsoft.com/office/drawing/2014/chart" uri="{C3380CC4-5D6E-409C-BE32-E72D297353CC}">
                  <c16:uniqueId val="{0000000C-466C-4C8E-A17E-E933FC7857B3}"/>
                </c:ext>
              </c:extLst>
            </c:dLbl>
            <c:dLbl>
              <c:idx val="9"/>
              <c:delete val="1"/>
              <c:extLst>
                <c:ext xmlns:c15="http://schemas.microsoft.com/office/drawing/2012/chart" uri="{CE6537A1-D6FC-4f65-9D91-7224C49458BB}"/>
                <c:ext xmlns:c16="http://schemas.microsoft.com/office/drawing/2014/chart" uri="{C3380CC4-5D6E-409C-BE32-E72D297353CC}">
                  <c16:uniqueId val="{0000000D-466C-4C8E-A17E-E933FC7857B3}"/>
                </c:ext>
              </c:extLst>
            </c:dLbl>
            <c:dLbl>
              <c:idx val="14"/>
              <c:delete val="1"/>
              <c:extLst>
                <c:ext xmlns:c15="http://schemas.microsoft.com/office/drawing/2012/chart" uri="{CE6537A1-D6FC-4f65-9D91-7224C49458BB}"/>
                <c:ext xmlns:c16="http://schemas.microsoft.com/office/drawing/2014/chart" uri="{C3380CC4-5D6E-409C-BE32-E72D297353CC}">
                  <c16:uniqueId val="{0000000E-466C-4C8E-A17E-E933FC7857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 graphs'!$A$40:$A$54</c:f>
              <c:strCache>
                <c:ptCount val="15"/>
                <c:pt idx="0">
                  <c:v>Agomelatine</c:v>
                </c:pt>
                <c:pt idx="1">
                  <c:v>Amitriptyline</c:v>
                </c:pt>
                <c:pt idx="2">
                  <c:v>Amitriptyline</c:v>
                </c:pt>
                <c:pt idx="3">
                  <c:v>Citalopram</c:v>
                </c:pt>
                <c:pt idx="4">
                  <c:v>Desvenlafaxine</c:v>
                </c:pt>
                <c:pt idx="5">
                  <c:v>Dosulepin</c:v>
                </c:pt>
                <c:pt idx="6">
                  <c:v>Duloxetine</c:v>
                </c:pt>
                <c:pt idx="7">
                  <c:v>Escitalopram</c:v>
                </c:pt>
                <c:pt idx="8">
                  <c:v>Fluoxetine</c:v>
                </c:pt>
                <c:pt idx="9">
                  <c:v>Fluvoxamine</c:v>
                </c:pt>
                <c:pt idx="10">
                  <c:v>Mirtazapine</c:v>
                </c:pt>
                <c:pt idx="11">
                  <c:v>Paroxetine</c:v>
                </c:pt>
                <c:pt idx="12">
                  <c:v>Sertraline</c:v>
                </c:pt>
                <c:pt idx="13">
                  <c:v>Venlafaxine</c:v>
                </c:pt>
                <c:pt idx="14">
                  <c:v>Vortioxetine</c:v>
                </c:pt>
              </c:strCache>
            </c:strRef>
          </c:cat>
          <c:val>
            <c:numRef>
              <c:f>'Age graphs'!$B$40:$B$54</c:f>
              <c:numCache>
                <c:formatCode>###0</c:formatCode>
                <c:ptCount val="15"/>
                <c:pt idx="0">
                  <c:v>0</c:v>
                </c:pt>
                <c:pt idx="1">
                  <c:v>0</c:v>
                </c:pt>
                <c:pt idx="2">
                  <c:v>1</c:v>
                </c:pt>
                <c:pt idx="3">
                  <c:v>3</c:v>
                </c:pt>
                <c:pt idx="4">
                  <c:v>1</c:v>
                </c:pt>
                <c:pt idx="5">
                  <c:v>0</c:v>
                </c:pt>
                <c:pt idx="6">
                  <c:v>0</c:v>
                </c:pt>
                <c:pt idx="7">
                  <c:v>1</c:v>
                </c:pt>
                <c:pt idx="8">
                  <c:v>2</c:v>
                </c:pt>
                <c:pt idx="9">
                  <c:v>0</c:v>
                </c:pt>
                <c:pt idx="10">
                  <c:v>1</c:v>
                </c:pt>
                <c:pt idx="11">
                  <c:v>3</c:v>
                </c:pt>
                <c:pt idx="12">
                  <c:v>2</c:v>
                </c:pt>
                <c:pt idx="13">
                  <c:v>8</c:v>
                </c:pt>
                <c:pt idx="14">
                  <c:v>0</c:v>
                </c:pt>
              </c:numCache>
            </c:numRef>
          </c:val>
          <c:extLst>
            <c:ext xmlns:c16="http://schemas.microsoft.com/office/drawing/2014/chart" uri="{C3380CC4-5D6E-409C-BE32-E72D297353CC}">
              <c16:uniqueId val="{00000000-466C-4C8E-A17E-E933FC7857B3}"/>
            </c:ext>
          </c:extLst>
        </c:ser>
        <c:ser>
          <c:idx val="1"/>
          <c:order val="1"/>
          <c:tx>
            <c:strRef>
              <c:f>'Age graphs'!$C$39</c:f>
              <c:strCache>
                <c:ptCount val="1"/>
                <c:pt idx="0">
                  <c:v>Suicidal ideation</c:v>
                </c:pt>
              </c:strCache>
            </c:strRef>
          </c:tx>
          <c:spPr>
            <a:solidFill>
              <a:srgbClr val="0070C0"/>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8-466C-4C8E-A17E-E933FC7857B3}"/>
                </c:ext>
              </c:extLst>
            </c:dLbl>
            <c:dLbl>
              <c:idx val="2"/>
              <c:delete val="1"/>
              <c:extLst>
                <c:ext xmlns:c15="http://schemas.microsoft.com/office/drawing/2012/chart" uri="{CE6537A1-D6FC-4f65-9D91-7224C49458BB}"/>
                <c:ext xmlns:c16="http://schemas.microsoft.com/office/drawing/2014/chart" uri="{C3380CC4-5D6E-409C-BE32-E72D297353CC}">
                  <c16:uniqueId val="{00000009-466C-4C8E-A17E-E933FC7857B3}"/>
                </c:ext>
              </c:extLst>
            </c:dLbl>
            <c:dLbl>
              <c:idx val="9"/>
              <c:delete val="1"/>
              <c:extLst>
                <c:ext xmlns:c15="http://schemas.microsoft.com/office/drawing/2012/chart" uri="{CE6537A1-D6FC-4f65-9D91-7224C49458BB}"/>
                <c:ext xmlns:c16="http://schemas.microsoft.com/office/drawing/2014/chart" uri="{C3380CC4-5D6E-409C-BE32-E72D297353CC}">
                  <c16:uniqueId val="{00000010-466C-4C8E-A17E-E933FC7857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 graphs'!$A$40:$A$54</c:f>
              <c:strCache>
                <c:ptCount val="15"/>
                <c:pt idx="0">
                  <c:v>Agomelatine</c:v>
                </c:pt>
                <c:pt idx="1">
                  <c:v>Amitriptyline</c:v>
                </c:pt>
                <c:pt idx="2">
                  <c:v>Amitriptyline</c:v>
                </c:pt>
                <c:pt idx="3">
                  <c:v>Citalopram</c:v>
                </c:pt>
                <c:pt idx="4">
                  <c:v>Desvenlafaxine</c:v>
                </c:pt>
                <c:pt idx="5">
                  <c:v>Dosulepin</c:v>
                </c:pt>
                <c:pt idx="6">
                  <c:v>Duloxetine</c:v>
                </c:pt>
                <c:pt idx="7">
                  <c:v>Escitalopram</c:v>
                </c:pt>
                <c:pt idx="8">
                  <c:v>Fluoxetine</c:v>
                </c:pt>
                <c:pt idx="9">
                  <c:v>Fluvoxamine</c:v>
                </c:pt>
                <c:pt idx="10">
                  <c:v>Mirtazapine</c:v>
                </c:pt>
                <c:pt idx="11">
                  <c:v>Paroxetine</c:v>
                </c:pt>
                <c:pt idx="12">
                  <c:v>Sertraline</c:v>
                </c:pt>
                <c:pt idx="13">
                  <c:v>Venlafaxine</c:v>
                </c:pt>
                <c:pt idx="14">
                  <c:v>Vortioxetine</c:v>
                </c:pt>
              </c:strCache>
            </c:strRef>
          </c:cat>
          <c:val>
            <c:numRef>
              <c:f>'Age graphs'!$C$40:$C$54</c:f>
              <c:numCache>
                <c:formatCode>###0</c:formatCode>
                <c:ptCount val="15"/>
                <c:pt idx="0">
                  <c:v>1</c:v>
                </c:pt>
                <c:pt idx="1">
                  <c:v>0</c:v>
                </c:pt>
                <c:pt idx="2">
                  <c:v>0</c:v>
                </c:pt>
                <c:pt idx="3">
                  <c:v>2</c:v>
                </c:pt>
                <c:pt idx="4">
                  <c:v>12</c:v>
                </c:pt>
                <c:pt idx="5">
                  <c:v>1</c:v>
                </c:pt>
                <c:pt idx="6">
                  <c:v>5</c:v>
                </c:pt>
                <c:pt idx="7">
                  <c:v>4</c:v>
                </c:pt>
                <c:pt idx="8">
                  <c:v>4</c:v>
                </c:pt>
                <c:pt idx="9">
                  <c:v>0</c:v>
                </c:pt>
                <c:pt idx="10">
                  <c:v>6</c:v>
                </c:pt>
                <c:pt idx="11">
                  <c:v>3</c:v>
                </c:pt>
                <c:pt idx="12">
                  <c:v>8</c:v>
                </c:pt>
                <c:pt idx="13">
                  <c:v>13</c:v>
                </c:pt>
                <c:pt idx="14">
                  <c:v>1</c:v>
                </c:pt>
              </c:numCache>
            </c:numRef>
          </c:val>
          <c:extLst>
            <c:ext xmlns:c16="http://schemas.microsoft.com/office/drawing/2014/chart" uri="{C3380CC4-5D6E-409C-BE32-E72D297353CC}">
              <c16:uniqueId val="{00000001-466C-4C8E-A17E-E933FC7857B3}"/>
            </c:ext>
          </c:extLst>
        </c:ser>
        <c:ser>
          <c:idx val="2"/>
          <c:order val="2"/>
          <c:tx>
            <c:strRef>
              <c:f>'Age graphs'!$D$39</c:f>
              <c:strCache>
                <c:ptCount val="1"/>
                <c:pt idx="0">
                  <c:v>Completed suicide</c:v>
                </c:pt>
              </c:strCache>
            </c:strRef>
          </c:tx>
          <c:spPr>
            <a:solidFill>
              <a:srgbClr val="C00000"/>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A-466C-4C8E-A17E-E933FC7857B3}"/>
                </c:ext>
              </c:extLst>
            </c:dLbl>
            <c:dLbl>
              <c:idx val="3"/>
              <c:delete val="1"/>
              <c:extLst>
                <c:ext xmlns:c15="http://schemas.microsoft.com/office/drawing/2012/chart" uri="{CE6537A1-D6FC-4f65-9D91-7224C49458BB}"/>
                <c:ext xmlns:c16="http://schemas.microsoft.com/office/drawing/2014/chart" uri="{C3380CC4-5D6E-409C-BE32-E72D297353CC}">
                  <c16:uniqueId val="{00000005-466C-4C8E-A17E-E933FC7857B3}"/>
                </c:ext>
              </c:extLst>
            </c:dLbl>
            <c:dLbl>
              <c:idx val="7"/>
              <c:delete val="1"/>
              <c:extLst>
                <c:ext xmlns:c15="http://schemas.microsoft.com/office/drawing/2012/chart" uri="{CE6537A1-D6FC-4f65-9D91-7224C49458BB}"/>
                <c:ext xmlns:c16="http://schemas.microsoft.com/office/drawing/2014/chart" uri="{C3380CC4-5D6E-409C-BE32-E72D297353CC}">
                  <c16:uniqueId val="{00000004-466C-4C8E-A17E-E933FC7857B3}"/>
                </c:ext>
              </c:extLst>
            </c:dLbl>
            <c:dLbl>
              <c:idx val="10"/>
              <c:delete val="1"/>
              <c:extLst>
                <c:ext xmlns:c15="http://schemas.microsoft.com/office/drawing/2012/chart" uri="{CE6537A1-D6FC-4f65-9D91-7224C49458BB}"/>
                <c:ext xmlns:c16="http://schemas.microsoft.com/office/drawing/2014/chart" uri="{C3380CC4-5D6E-409C-BE32-E72D297353CC}">
                  <c16:uniqueId val="{00000003-466C-4C8E-A17E-E933FC7857B3}"/>
                </c:ext>
              </c:extLst>
            </c:dLbl>
            <c:dLbl>
              <c:idx val="14"/>
              <c:delete val="1"/>
              <c:extLst>
                <c:ext xmlns:c15="http://schemas.microsoft.com/office/drawing/2012/chart" uri="{CE6537A1-D6FC-4f65-9D91-7224C49458BB}"/>
                <c:ext xmlns:c16="http://schemas.microsoft.com/office/drawing/2014/chart" uri="{C3380CC4-5D6E-409C-BE32-E72D297353CC}">
                  <c16:uniqueId val="{0000000F-466C-4C8E-A17E-E933FC7857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 graphs'!$A$40:$A$54</c:f>
              <c:strCache>
                <c:ptCount val="15"/>
                <c:pt idx="0">
                  <c:v>Agomelatine</c:v>
                </c:pt>
                <c:pt idx="1">
                  <c:v>Amitriptyline</c:v>
                </c:pt>
                <c:pt idx="2">
                  <c:v>Amitriptyline</c:v>
                </c:pt>
                <c:pt idx="3">
                  <c:v>Citalopram</c:v>
                </c:pt>
                <c:pt idx="4">
                  <c:v>Desvenlafaxine</c:v>
                </c:pt>
                <c:pt idx="5">
                  <c:v>Dosulepin</c:v>
                </c:pt>
                <c:pt idx="6">
                  <c:v>Duloxetine</c:v>
                </c:pt>
                <c:pt idx="7">
                  <c:v>Escitalopram</c:v>
                </c:pt>
                <c:pt idx="8">
                  <c:v>Fluoxetine</c:v>
                </c:pt>
                <c:pt idx="9">
                  <c:v>Fluvoxamine</c:v>
                </c:pt>
                <c:pt idx="10">
                  <c:v>Mirtazapine</c:v>
                </c:pt>
                <c:pt idx="11">
                  <c:v>Paroxetine</c:v>
                </c:pt>
                <c:pt idx="12">
                  <c:v>Sertraline</c:v>
                </c:pt>
                <c:pt idx="13">
                  <c:v>Venlafaxine</c:v>
                </c:pt>
                <c:pt idx="14">
                  <c:v>Vortioxetine</c:v>
                </c:pt>
              </c:strCache>
            </c:strRef>
          </c:cat>
          <c:val>
            <c:numRef>
              <c:f>'Age graphs'!$D$40:$D$54</c:f>
              <c:numCache>
                <c:formatCode>###0</c:formatCode>
                <c:ptCount val="15"/>
                <c:pt idx="0">
                  <c:v>1</c:v>
                </c:pt>
                <c:pt idx="1">
                  <c:v>1</c:v>
                </c:pt>
                <c:pt idx="2">
                  <c:v>0</c:v>
                </c:pt>
                <c:pt idx="3">
                  <c:v>0</c:v>
                </c:pt>
                <c:pt idx="4">
                  <c:v>1</c:v>
                </c:pt>
                <c:pt idx="5">
                  <c:v>1</c:v>
                </c:pt>
                <c:pt idx="6">
                  <c:v>1</c:v>
                </c:pt>
                <c:pt idx="7">
                  <c:v>0</c:v>
                </c:pt>
                <c:pt idx="8">
                  <c:v>1</c:v>
                </c:pt>
                <c:pt idx="9">
                  <c:v>2</c:v>
                </c:pt>
                <c:pt idx="10">
                  <c:v>0</c:v>
                </c:pt>
                <c:pt idx="11">
                  <c:v>1</c:v>
                </c:pt>
                <c:pt idx="12">
                  <c:v>4</c:v>
                </c:pt>
                <c:pt idx="13">
                  <c:v>3</c:v>
                </c:pt>
                <c:pt idx="14">
                  <c:v>0</c:v>
                </c:pt>
              </c:numCache>
            </c:numRef>
          </c:val>
          <c:extLst>
            <c:ext xmlns:c16="http://schemas.microsoft.com/office/drawing/2014/chart" uri="{C3380CC4-5D6E-409C-BE32-E72D297353CC}">
              <c16:uniqueId val="{00000002-466C-4C8E-A17E-E933FC7857B3}"/>
            </c:ext>
          </c:extLst>
        </c:ser>
        <c:dLbls>
          <c:showLegendKey val="0"/>
          <c:showVal val="0"/>
          <c:showCatName val="0"/>
          <c:showSerName val="0"/>
          <c:showPercent val="0"/>
          <c:showBubbleSize val="0"/>
        </c:dLbls>
        <c:gapWidth val="150"/>
        <c:overlap val="100"/>
        <c:axId val="504796840"/>
        <c:axId val="504798480"/>
      </c:barChart>
      <c:catAx>
        <c:axId val="504796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798480"/>
        <c:crosses val="autoZero"/>
        <c:auto val="1"/>
        <c:lblAlgn val="ctr"/>
        <c:lblOffset val="100"/>
        <c:noMultiLvlLbl val="0"/>
      </c:catAx>
      <c:valAx>
        <c:axId val="504798480"/>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7968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'Age graphs'!$B$22</c:f>
              <c:strCache>
                <c:ptCount val="1"/>
                <c:pt idx="0">
                  <c:v>Suicidal ideation/behaviour</c:v>
                </c:pt>
              </c:strCache>
            </c:strRef>
          </c:tx>
          <c:spPr>
            <a:solidFill>
              <a:srgbClr val="002C47">
                <a:lumMod val="90000"/>
                <a:lumOff val="10000"/>
              </a:srgb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766C-4A5C-828B-3B744F5D55DE}"/>
                </c:ext>
              </c:extLst>
            </c:dLbl>
            <c:dLbl>
              <c:idx val="9"/>
              <c:delete val="1"/>
              <c:extLst>
                <c:ext xmlns:c15="http://schemas.microsoft.com/office/drawing/2012/chart" uri="{CE6537A1-D6FC-4f65-9D91-7224C49458BB}"/>
                <c:ext xmlns:c16="http://schemas.microsoft.com/office/drawing/2014/chart" uri="{C3380CC4-5D6E-409C-BE32-E72D297353CC}">
                  <c16:uniqueId val="{00000001-766C-4A5C-828B-3B744F5D55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 graphs'!$A$23:$A$36</c:f>
              <c:strCache>
                <c:ptCount val="14"/>
                <c:pt idx="0">
                  <c:v>Agomelatine</c:v>
                </c:pt>
                <c:pt idx="1">
                  <c:v>Amitriptyline</c:v>
                </c:pt>
                <c:pt idx="2">
                  <c:v>Citalopram</c:v>
                </c:pt>
                <c:pt idx="3">
                  <c:v>Desvenlafaxine</c:v>
                </c:pt>
                <c:pt idx="4">
                  <c:v>Duloxetine</c:v>
                </c:pt>
                <c:pt idx="5">
                  <c:v>Escitalopram</c:v>
                </c:pt>
                <c:pt idx="6">
                  <c:v>Fluoxetine</c:v>
                </c:pt>
                <c:pt idx="7">
                  <c:v>Fluvoxamine</c:v>
                </c:pt>
                <c:pt idx="8">
                  <c:v>Mirtazapine</c:v>
                </c:pt>
                <c:pt idx="9">
                  <c:v>Moclobemide</c:v>
                </c:pt>
                <c:pt idx="10">
                  <c:v>Paroxetine</c:v>
                </c:pt>
                <c:pt idx="11">
                  <c:v>Reboxetine</c:v>
                </c:pt>
                <c:pt idx="12">
                  <c:v>Sertraline</c:v>
                </c:pt>
                <c:pt idx="13">
                  <c:v>Venlafaxine</c:v>
                </c:pt>
              </c:strCache>
            </c:strRef>
          </c:cat>
          <c:val>
            <c:numRef>
              <c:f>'Age graphs'!$B$23:$B$36</c:f>
              <c:numCache>
                <c:formatCode>###0</c:formatCode>
                <c:ptCount val="14"/>
                <c:pt idx="0">
                  <c:v>1</c:v>
                </c:pt>
                <c:pt idx="1">
                  <c:v>0</c:v>
                </c:pt>
                <c:pt idx="2">
                  <c:v>1</c:v>
                </c:pt>
                <c:pt idx="3">
                  <c:v>2</c:v>
                </c:pt>
                <c:pt idx="4">
                  <c:v>1</c:v>
                </c:pt>
                <c:pt idx="5">
                  <c:v>3</c:v>
                </c:pt>
                <c:pt idx="6">
                  <c:v>9</c:v>
                </c:pt>
                <c:pt idx="7">
                  <c:v>1</c:v>
                </c:pt>
                <c:pt idx="8">
                  <c:v>1</c:v>
                </c:pt>
                <c:pt idx="9">
                  <c:v>0</c:v>
                </c:pt>
                <c:pt idx="10">
                  <c:v>4</c:v>
                </c:pt>
                <c:pt idx="11">
                  <c:v>1</c:v>
                </c:pt>
                <c:pt idx="12">
                  <c:v>8</c:v>
                </c:pt>
                <c:pt idx="13">
                  <c:v>1</c:v>
                </c:pt>
              </c:numCache>
            </c:numRef>
          </c:val>
          <c:extLst>
            <c:ext xmlns:c16="http://schemas.microsoft.com/office/drawing/2014/chart" uri="{C3380CC4-5D6E-409C-BE32-E72D297353CC}">
              <c16:uniqueId val="{00000002-766C-4A5C-828B-3B744F5D55DE}"/>
            </c:ext>
          </c:extLst>
        </c:ser>
        <c:ser>
          <c:idx val="1"/>
          <c:order val="1"/>
          <c:tx>
            <c:strRef>
              <c:f>'Age graphs'!$C$22</c:f>
              <c:strCache>
                <c:ptCount val="1"/>
                <c:pt idx="0">
                  <c:v>Suicide attempt</c:v>
                </c:pt>
              </c:strCache>
            </c:strRef>
          </c:tx>
          <c:spPr>
            <a:solidFill>
              <a:srgbClr val="0070C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766C-4A5C-828B-3B744F5D55DE}"/>
                </c:ext>
              </c:extLst>
            </c:dLbl>
            <c:dLbl>
              <c:idx val="1"/>
              <c:delete val="1"/>
              <c:extLst>
                <c:ext xmlns:c15="http://schemas.microsoft.com/office/drawing/2012/chart" uri="{CE6537A1-D6FC-4f65-9D91-7224C49458BB}"/>
                <c:ext xmlns:c16="http://schemas.microsoft.com/office/drawing/2014/chart" uri="{C3380CC4-5D6E-409C-BE32-E72D297353CC}">
                  <c16:uniqueId val="{00000004-766C-4A5C-828B-3B744F5D55DE}"/>
                </c:ext>
              </c:extLst>
            </c:dLbl>
            <c:dLbl>
              <c:idx val="4"/>
              <c:delete val="1"/>
              <c:extLst>
                <c:ext xmlns:c15="http://schemas.microsoft.com/office/drawing/2012/chart" uri="{CE6537A1-D6FC-4f65-9D91-7224C49458BB}"/>
                <c:ext xmlns:c16="http://schemas.microsoft.com/office/drawing/2014/chart" uri="{C3380CC4-5D6E-409C-BE32-E72D297353CC}">
                  <c16:uniqueId val="{00000005-766C-4A5C-828B-3B744F5D55DE}"/>
                </c:ext>
              </c:extLst>
            </c:dLbl>
            <c:dLbl>
              <c:idx val="11"/>
              <c:delete val="1"/>
              <c:extLst>
                <c:ext xmlns:c15="http://schemas.microsoft.com/office/drawing/2012/chart" uri="{CE6537A1-D6FC-4f65-9D91-7224C49458BB}"/>
                <c:ext xmlns:c16="http://schemas.microsoft.com/office/drawing/2014/chart" uri="{C3380CC4-5D6E-409C-BE32-E72D297353CC}">
                  <c16:uniqueId val="{00000006-766C-4A5C-828B-3B744F5D55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 graphs'!$A$23:$A$36</c:f>
              <c:strCache>
                <c:ptCount val="14"/>
                <c:pt idx="0">
                  <c:v>Agomelatine</c:v>
                </c:pt>
                <c:pt idx="1">
                  <c:v>Amitriptyline</c:v>
                </c:pt>
                <c:pt idx="2">
                  <c:v>Citalopram</c:v>
                </c:pt>
                <c:pt idx="3">
                  <c:v>Desvenlafaxine</c:v>
                </c:pt>
                <c:pt idx="4">
                  <c:v>Duloxetine</c:v>
                </c:pt>
                <c:pt idx="5">
                  <c:v>Escitalopram</c:v>
                </c:pt>
                <c:pt idx="6">
                  <c:v>Fluoxetine</c:v>
                </c:pt>
                <c:pt idx="7">
                  <c:v>Fluvoxamine</c:v>
                </c:pt>
                <c:pt idx="8">
                  <c:v>Mirtazapine</c:v>
                </c:pt>
                <c:pt idx="9">
                  <c:v>Moclobemide</c:v>
                </c:pt>
                <c:pt idx="10">
                  <c:v>Paroxetine</c:v>
                </c:pt>
                <c:pt idx="11">
                  <c:v>Reboxetine</c:v>
                </c:pt>
                <c:pt idx="12">
                  <c:v>Sertraline</c:v>
                </c:pt>
                <c:pt idx="13">
                  <c:v>Venlafaxine</c:v>
                </c:pt>
              </c:strCache>
            </c:strRef>
          </c:cat>
          <c:val>
            <c:numRef>
              <c:f>'Age graphs'!$C$23:$C$36</c:f>
              <c:numCache>
                <c:formatCode>###0</c:formatCode>
                <c:ptCount val="14"/>
                <c:pt idx="0">
                  <c:v>0</c:v>
                </c:pt>
                <c:pt idx="1">
                  <c:v>0</c:v>
                </c:pt>
                <c:pt idx="2">
                  <c:v>2</c:v>
                </c:pt>
                <c:pt idx="3">
                  <c:v>1</c:v>
                </c:pt>
                <c:pt idx="4">
                  <c:v>0</c:v>
                </c:pt>
                <c:pt idx="5">
                  <c:v>1</c:v>
                </c:pt>
                <c:pt idx="6">
                  <c:v>13</c:v>
                </c:pt>
                <c:pt idx="7">
                  <c:v>2</c:v>
                </c:pt>
                <c:pt idx="8">
                  <c:v>1</c:v>
                </c:pt>
                <c:pt idx="9">
                  <c:v>1</c:v>
                </c:pt>
                <c:pt idx="10">
                  <c:v>2</c:v>
                </c:pt>
                <c:pt idx="11">
                  <c:v>0</c:v>
                </c:pt>
                <c:pt idx="12">
                  <c:v>13</c:v>
                </c:pt>
                <c:pt idx="13">
                  <c:v>4</c:v>
                </c:pt>
              </c:numCache>
            </c:numRef>
          </c:val>
          <c:extLst>
            <c:ext xmlns:c16="http://schemas.microsoft.com/office/drawing/2014/chart" uri="{C3380CC4-5D6E-409C-BE32-E72D297353CC}">
              <c16:uniqueId val="{00000007-766C-4A5C-828B-3B744F5D55DE}"/>
            </c:ext>
          </c:extLst>
        </c:ser>
        <c:ser>
          <c:idx val="2"/>
          <c:order val="2"/>
          <c:tx>
            <c:strRef>
              <c:f>'Age graphs'!$D$22</c:f>
              <c:strCache>
                <c:ptCount val="1"/>
                <c:pt idx="0">
                  <c:v>Completed suicide</c:v>
                </c:pt>
              </c:strCache>
            </c:strRef>
          </c:tx>
          <c:spPr>
            <a:solidFill>
              <a:srgbClr val="C0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766C-4A5C-828B-3B744F5D55DE}"/>
                </c:ext>
              </c:extLst>
            </c:dLbl>
            <c:dLbl>
              <c:idx val="2"/>
              <c:delete val="1"/>
              <c:extLst>
                <c:ext xmlns:c15="http://schemas.microsoft.com/office/drawing/2012/chart" uri="{CE6537A1-D6FC-4f65-9D91-7224C49458BB}"/>
                <c:ext xmlns:c16="http://schemas.microsoft.com/office/drawing/2014/chart" uri="{C3380CC4-5D6E-409C-BE32-E72D297353CC}">
                  <c16:uniqueId val="{00000009-766C-4A5C-828B-3B744F5D55DE}"/>
                </c:ext>
              </c:extLst>
            </c:dLbl>
            <c:dLbl>
              <c:idx val="3"/>
              <c:delete val="1"/>
              <c:extLst>
                <c:ext xmlns:c15="http://schemas.microsoft.com/office/drawing/2012/chart" uri="{CE6537A1-D6FC-4f65-9D91-7224C49458BB}"/>
                <c:ext xmlns:c16="http://schemas.microsoft.com/office/drawing/2014/chart" uri="{C3380CC4-5D6E-409C-BE32-E72D297353CC}">
                  <c16:uniqueId val="{0000000A-766C-4A5C-828B-3B744F5D55DE}"/>
                </c:ext>
              </c:extLst>
            </c:dLbl>
            <c:dLbl>
              <c:idx val="4"/>
              <c:delete val="1"/>
              <c:extLst>
                <c:ext xmlns:c15="http://schemas.microsoft.com/office/drawing/2012/chart" uri="{CE6537A1-D6FC-4f65-9D91-7224C49458BB}"/>
                <c:ext xmlns:c16="http://schemas.microsoft.com/office/drawing/2014/chart" uri="{C3380CC4-5D6E-409C-BE32-E72D297353CC}">
                  <c16:uniqueId val="{0000000B-766C-4A5C-828B-3B744F5D55DE}"/>
                </c:ext>
              </c:extLst>
            </c:dLbl>
            <c:dLbl>
              <c:idx val="8"/>
              <c:delete val="1"/>
              <c:extLst>
                <c:ext xmlns:c15="http://schemas.microsoft.com/office/drawing/2012/chart" uri="{CE6537A1-D6FC-4f65-9D91-7224C49458BB}"/>
                <c:ext xmlns:c16="http://schemas.microsoft.com/office/drawing/2014/chart" uri="{C3380CC4-5D6E-409C-BE32-E72D297353CC}">
                  <c16:uniqueId val="{0000000C-766C-4A5C-828B-3B744F5D55DE}"/>
                </c:ext>
              </c:extLst>
            </c:dLbl>
            <c:dLbl>
              <c:idx val="9"/>
              <c:delete val="1"/>
              <c:extLst>
                <c:ext xmlns:c15="http://schemas.microsoft.com/office/drawing/2012/chart" uri="{CE6537A1-D6FC-4f65-9D91-7224C49458BB}"/>
                <c:ext xmlns:c16="http://schemas.microsoft.com/office/drawing/2014/chart" uri="{C3380CC4-5D6E-409C-BE32-E72D297353CC}">
                  <c16:uniqueId val="{0000000D-766C-4A5C-828B-3B744F5D55DE}"/>
                </c:ext>
              </c:extLst>
            </c:dLbl>
            <c:dLbl>
              <c:idx val="10"/>
              <c:delete val="1"/>
              <c:extLst>
                <c:ext xmlns:c15="http://schemas.microsoft.com/office/drawing/2012/chart" uri="{CE6537A1-D6FC-4f65-9D91-7224C49458BB}"/>
                <c:ext xmlns:c16="http://schemas.microsoft.com/office/drawing/2014/chart" uri="{C3380CC4-5D6E-409C-BE32-E72D297353CC}">
                  <c16:uniqueId val="{0000000E-766C-4A5C-828B-3B744F5D55DE}"/>
                </c:ext>
              </c:extLst>
            </c:dLbl>
            <c:dLbl>
              <c:idx val="11"/>
              <c:delete val="1"/>
              <c:extLst>
                <c:ext xmlns:c15="http://schemas.microsoft.com/office/drawing/2012/chart" uri="{CE6537A1-D6FC-4f65-9D91-7224C49458BB}"/>
                <c:ext xmlns:c16="http://schemas.microsoft.com/office/drawing/2014/chart" uri="{C3380CC4-5D6E-409C-BE32-E72D297353CC}">
                  <c16:uniqueId val="{0000000F-766C-4A5C-828B-3B744F5D55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 graphs'!$A$23:$A$36</c:f>
              <c:strCache>
                <c:ptCount val="14"/>
                <c:pt idx="0">
                  <c:v>Agomelatine</c:v>
                </c:pt>
                <c:pt idx="1">
                  <c:v>Amitriptyline</c:v>
                </c:pt>
                <c:pt idx="2">
                  <c:v>Citalopram</c:v>
                </c:pt>
                <c:pt idx="3">
                  <c:v>Desvenlafaxine</c:v>
                </c:pt>
                <c:pt idx="4">
                  <c:v>Duloxetine</c:v>
                </c:pt>
                <c:pt idx="5">
                  <c:v>Escitalopram</c:v>
                </c:pt>
                <c:pt idx="6">
                  <c:v>Fluoxetine</c:v>
                </c:pt>
                <c:pt idx="7">
                  <c:v>Fluvoxamine</c:v>
                </c:pt>
                <c:pt idx="8">
                  <c:v>Mirtazapine</c:v>
                </c:pt>
                <c:pt idx="9">
                  <c:v>Moclobemide</c:v>
                </c:pt>
                <c:pt idx="10">
                  <c:v>Paroxetine</c:v>
                </c:pt>
                <c:pt idx="11">
                  <c:v>Reboxetine</c:v>
                </c:pt>
                <c:pt idx="12">
                  <c:v>Sertraline</c:v>
                </c:pt>
                <c:pt idx="13">
                  <c:v>Venlafaxine</c:v>
                </c:pt>
              </c:strCache>
            </c:strRef>
          </c:cat>
          <c:val>
            <c:numRef>
              <c:f>'Age graphs'!$D$23:$D$36</c:f>
              <c:numCache>
                <c:formatCode>###0</c:formatCode>
                <c:ptCount val="14"/>
                <c:pt idx="0">
                  <c:v>0</c:v>
                </c:pt>
                <c:pt idx="1">
                  <c:v>1</c:v>
                </c:pt>
                <c:pt idx="2">
                  <c:v>0</c:v>
                </c:pt>
                <c:pt idx="3">
                  <c:v>0</c:v>
                </c:pt>
                <c:pt idx="4">
                  <c:v>0</c:v>
                </c:pt>
                <c:pt idx="5">
                  <c:v>1</c:v>
                </c:pt>
                <c:pt idx="6">
                  <c:v>1</c:v>
                </c:pt>
                <c:pt idx="7">
                  <c:v>1</c:v>
                </c:pt>
                <c:pt idx="8">
                  <c:v>0</c:v>
                </c:pt>
                <c:pt idx="9">
                  <c:v>0</c:v>
                </c:pt>
                <c:pt idx="10">
                  <c:v>0</c:v>
                </c:pt>
                <c:pt idx="11">
                  <c:v>0</c:v>
                </c:pt>
                <c:pt idx="12">
                  <c:v>2</c:v>
                </c:pt>
                <c:pt idx="13">
                  <c:v>2</c:v>
                </c:pt>
              </c:numCache>
            </c:numRef>
          </c:val>
          <c:extLst>
            <c:ext xmlns:c16="http://schemas.microsoft.com/office/drawing/2014/chart" uri="{C3380CC4-5D6E-409C-BE32-E72D297353CC}">
              <c16:uniqueId val="{00000010-766C-4A5C-828B-3B744F5D55DE}"/>
            </c:ext>
          </c:extLst>
        </c:ser>
        <c:dLbls>
          <c:showLegendKey val="0"/>
          <c:showVal val="0"/>
          <c:showCatName val="0"/>
          <c:showSerName val="0"/>
          <c:showPercent val="0"/>
          <c:showBubbleSize val="0"/>
        </c:dLbls>
        <c:gapWidth val="150"/>
        <c:overlap val="100"/>
        <c:axId val="694473664"/>
        <c:axId val="694470384"/>
      </c:barChart>
      <c:catAx>
        <c:axId val="69447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470384"/>
        <c:crosses val="autoZero"/>
        <c:auto val="1"/>
        <c:lblAlgn val="ctr"/>
        <c:lblOffset val="100"/>
        <c:noMultiLvlLbl val="0"/>
      </c:catAx>
      <c:valAx>
        <c:axId val="694470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47366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'Age graphs'!$B$2</c:f>
              <c:strCache>
                <c:ptCount val="1"/>
                <c:pt idx="0">
                  <c:v>Suicidal ideation/behaviour</c:v>
                </c:pt>
              </c:strCache>
            </c:strRef>
          </c:tx>
          <c:spPr>
            <a:solidFill>
              <a:srgbClr val="002C47">
                <a:lumMod val="90000"/>
                <a:lumOff val="10000"/>
              </a:srgbClr>
            </a:solidFill>
            <a:ln>
              <a:solidFill>
                <a:srgbClr val="006EA8">
                  <a:lumMod val="75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'Age graphs'!$A$3:$A$7</c:f>
              <c:strCache>
                <c:ptCount val="5"/>
                <c:pt idx="0">
                  <c:v>Duloxetine</c:v>
                </c:pt>
                <c:pt idx="1">
                  <c:v>Escitalopram</c:v>
                </c:pt>
                <c:pt idx="2">
                  <c:v>Fluoxetine</c:v>
                </c:pt>
                <c:pt idx="3">
                  <c:v>Paroxetine</c:v>
                </c:pt>
                <c:pt idx="4">
                  <c:v>Sertraline</c:v>
                </c:pt>
              </c:strCache>
            </c:strRef>
          </c:cat>
          <c:val>
            <c:numRef>
              <c:f>'Age graphs'!$B$3:$B$7</c:f>
              <c:numCache>
                <c:formatCode>General</c:formatCode>
                <c:ptCount val="5"/>
                <c:pt idx="0">
                  <c:v>1</c:v>
                </c:pt>
                <c:pt idx="1">
                  <c:v>1</c:v>
                </c:pt>
                <c:pt idx="2">
                  <c:v>3</c:v>
                </c:pt>
                <c:pt idx="3">
                  <c:v>1</c:v>
                </c:pt>
                <c:pt idx="4">
                  <c:v>3</c:v>
                </c:pt>
              </c:numCache>
            </c:numRef>
          </c:val>
          <c:extLst>
            <c:ext xmlns:c16="http://schemas.microsoft.com/office/drawing/2014/chart" uri="{C3380CC4-5D6E-409C-BE32-E72D297353CC}">
              <c16:uniqueId val="{00000000-9649-430F-8739-DF8C76A2D98D}"/>
            </c:ext>
          </c:extLst>
        </c:ser>
        <c:ser>
          <c:idx val="1"/>
          <c:order val="1"/>
          <c:tx>
            <c:strRef>
              <c:f>'Age graphs'!$C$2</c:f>
              <c:strCache>
                <c:ptCount val="1"/>
                <c:pt idx="0">
                  <c:v>Suicide attempt</c:v>
                </c:pt>
              </c:strCache>
            </c:strRef>
          </c:tx>
          <c:spPr>
            <a:solidFill>
              <a:srgbClr val="0070C0"/>
            </a:solidFill>
            <a:ln>
              <a:noFill/>
            </a:ln>
            <a:effectLst/>
          </c:spPr>
          <c:invertIfNegative val="0"/>
          <c:cat>
            <c:strRef>
              <c:f>'Age graphs'!$A$3:$A$7</c:f>
              <c:strCache>
                <c:ptCount val="5"/>
                <c:pt idx="0">
                  <c:v>Duloxetine</c:v>
                </c:pt>
                <c:pt idx="1">
                  <c:v>Escitalopram</c:v>
                </c:pt>
                <c:pt idx="2">
                  <c:v>Fluoxetine</c:v>
                </c:pt>
                <c:pt idx="3">
                  <c:v>Paroxetine</c:v>
                </c:pt>
                <c:pt idx="4">
                  <c:v>Sertraline</c:v>
                </c:pt>
              </c:strCache>
            </c:strRef>
          </c:cat>
          <c:val>
            <c:numRef>
              <c:f>'Age graphs'!$C$3:$C$7</c:f>
              <c:numCache>
                <c:formatCode>General</c:formatCode>
                <c:ptCount val="5"/>
              </c:numCache>
            </c:numRef>
          </c:val>
          <c:extLst>
            <c:ext xmlns:c16="http://schemas.microsoft.com/office/drawing/2014/chart" uri="{C3380CC4-5D6E-409C-BE32-E72D297353CC}">
              <c16:uniqueId val="{00000001-9649-430F-8739-DF8C76A2D98D}"/>
            </c:ext>
          </c:extLst>
        </c:ser>
        <c:ser>
          <c:idx val="2"/>
          <c:order val="2"/>
          <c:tx>
            <c:strRef>
              <c:f>'Age graphs'!$D$2</c:f>
              <c:strCache>
                <c:ptCount val="1"/>
                <c:pt idx="0">
                  <c:v>Completed suicide</c:v>
                </c:pt>
              </c:strCache>
            </c:strRef>
          </c:tx>
          <c:spPr>
            <a:solidFill>
              <a:srgbClr val="C00000"/>
            </a:solidFill>
            <a:ln>
              <a:noFill/>
            </a:ln>
            <a:effectLst/>
          </c:spPr>
          <c:invertIfNegative val="0"/>
          <c:cat>
            <c:strRef>
              <c:f>'Age graphs'!$A$3:$A$7</c:f>
              <c:strCache>
                <c:ptCount val="5"/>
                <c:pt idx="0">
                  <c:v>Duloxetine</c:v>
                </c:pt>
                <c:pt idx="1">
                  <c:v>Escitalopram</c:v>
                </c:pt>
                <c:pt idx="2">
                  <c:v>Fluoxetine</c:v>
                </c:pt>
                <c:pt idx="3">
                  <c:v>Paroxetine</c:v>
                </c:pt>
                <c:pt idx="4">
                  <c:v>Sertraline</c:v>
                </c:pt>
              </c:strCache>
            </c:strRef>
          </c:cat>
          <c:val>
            <c:numRef>
              <c:f>'Age graphs'!$D$3:$D$7</c:f>
              <c:numCache>
                <c:formatCode>General</c:formatCode>
                <c:ptCount val="5"/>
              </c:numCache>
            </c:numRef>
          </c:val>
          <c:extLst>
            <c:ext xmlns:c16="http://schemas.microsoft.com/office/drawing/2014/chart" uri="{C3380CC4-5D6E-409C-BE32-E72D297353CC}">
              <c16:uniqueId val="{00000002-9649-430F-8739-DF8C76A2D98D}"/>
            </c:ext>
          </c:extLst>
        </c:ser>
        <c:dLbls>
          <c:showLegendKey val="0"/>
          <c:showVal val="0"/>
          <c:showCatName val="0"/>
          <c:showSerName val="0"/>
          <c:showPercent val="0"/>
          <c:showBubbleSize val="0"/>
        </c:dLbls>
        <c:gapWidth val="150"/>
        <c:overlap val="100"/>
        <c:axId val="623785840"/>
        <c:axId val="623779936"/>
      </c:barChart>
      <c:catAx>
        <c:axId val="62378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779936"/>
        <c:crosses val="autoZero"/>
        <c:auto val="1"/>
        <c:lblAlgn val="ctr"/>
        <c:lblOffset val="100"/>
        <c:noMultiLvlLbl val="0"/>
      </c:catAx>
      <c:valAx>
        <c:axId val="623779936"/>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3785840"/>
        <c:crosses val="autoZero"/>
        <c:crossBetween val="between"/>
        <c:majorUnit val="1"/>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D287-A5AE-4EBF-A37D-1A2C7467E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1013</TotalTime>
  <Pages>53</Pages>
  <Words>15363</Words>
  <Characters>91567</Characters>
  <Application>Microsoft Office Word</Application>
  <DocSecurity>0</DocSecurity>
  <Lines>2861</Lines>
  <Paragraphs>1980</Paragraphs>
  <ScaleCrop>false</ScaleCrop>
  <HeadingPairs>
    <vt:vector size="2" baseType="variant">
      <vt:variant>
        <vt:lpstr>Title</vt:lpstr>
      </vt:variant>
      <vt:variant>
        <vt:i4>1</vt:i4>
      </vt:variant>
    </vt:vector>
  </HeadingPairs>
  <TitlesOfParts>
    <vt:vector size="1" baseType="lpstr">
      <vt:lpstr>Antidepressant utilisation and risk of suicide in young people: Safety investigation</vt:lpstr>
    </vt:vector>
  </TitlesOfParts>
  <Company>TGA</Company>
  <LinksUpToDate>false</LinksUpToDate>
  <CharactersWithSpaces>104950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Antidepressant utilisation and risk of suicide in young people: Safety investigation</dc:title>
  <dc:subject>antidepressants</dc:subject>
  <dc:creator>Therapeutic Goods Administration</dc:creator>
  <cp:lastPrinted>2020-10-30T02:42:00Z</cp:lastPrinted>
  <dcterms:created xsi:type="dcterms:W3CDTF">2020-12-02T01:27:00Z</dcterms:created>
  <dcterms:modified xsi:type="dcterms:W3CDTF">2021-04-28T01:25:00Z</dcterms:modified>
</cp:coreProperties>
</file>