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31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F02AEC" w:rsidRPr="00215D48" w14:paraId="08AE1D54" w14:textId="77777777" w:rsidTr="00346EC2">
        <w:trPr>
          <w:trHeight w:val="1558"/>
        </w:trPr>
        <w:tc>
          <w:tcPr>
            <w:tcW w:w="8720" w:type="dxa"/>
          </w:tcPr>
          <w:p w14:paraId="2538A211" w14:textId="4CC472EA" w:rsidR="00F02AEC" w:rsidRPr="00215D48" w:rsidRDefault="00346EC2" w:rsidP="00532E25">
            <w:pPr>
              <w:pStyle w:val="Title"/>
            </w:pPr>
            <w:r w:rsidRPr="00346EC2">
              <w:t xml:space="preserve">Australian Public Assessment Report for </w:t>
            </w:r>
            <w:r w:rsidR="00A606FB">
              <w:t>Wainua</w:t>
            </w:r>
          </w:p>
        </w:tc>
      </w:tr>
      <w:tr w:rsidR="00F02AEC" w:rsidRPr="00215D48" w14:paraId="318A40A3" w14:textId="77777777" w:rsidTr="00346EC2">
        <w:trPr>
          <w:trHeight w:val="995"/>
        </w:trPr>
        <w:tc>
          <w:tcPr>
            <w:tcW w:w="8720" w:type="dxa"/>
          </w:tcPr>
          <w:p w14:paraId="1AA7C701" w14:textId="398FE8A7" w:rsidR="00F02AEC" w:rsidRPr="00215D48" w:rsidRDefault="00346EC2" w:rsidP="007452E8">
            <w:pPr>
              <w:pStyle w:val="Subtitle"/>
              <w:ind w:left="0"/>
            </w:pPr>
            <w:r w:rsidRPr="00346EC2">
              <w:t>Active ingredient:</w:t>
            </w:r>
            <w:r w:rsidR="002D6421">
              <w:t xml:space="preserve"> </w:t>
            </w:r>
            <w:r w:rsidR="008A0159">
              <w:t>E</w:t>
            </w:r>
            <w:r w:rsidR="00AB0BA1" w:rsidRPr="00AB0BA1">
              <w:t>plontersen</w:t>
            </w:r>
          </w:p>
        </w:tc>
      </w:tr>
      <w:tr w:rsidR="00346EC2" w:rsidRPr="00215D48" w14:paraId="362CCAE4" w14:textId="77777777" w:rsidTr="007452E8">
        <w:trPr>
          <w:trHeight w:val="1916"/>
        </w:trPr>
        <w:tc>
          <w:tcPr>
            <w:tcW w:w="8720" w:type="dxa"/>
          </w:tcPr>
          <w:p w14:paraId="709C45C0" w14:textId="670BF369" w:rsidR="00346EC2" w:rsidRPr="00215D48" w:rsidRDefault="00A606FB" w:rsidP="007452E8">
            <w:pPr>
              <w:pStyle w:val="Subtitle"/>
              <w:ind w:left="0"/>
            </w:pPr>
            <w:r>
              <w:t>Sponsor</w:t>
            </w:r>
            <w:r w:rsidR="00346EC2" w:rsidRPr="00346EC2">
              <w:t>:</w:t>
            </w:r>
            <w:r w:rsidR="00AB0BA1">
              <w:t xml:space="preserve"> </w:t>
            </w:r>
            <w:r w:rsidR="00AB0BA1" w:rsidRPr="00AB0BA1">
              <w:t>AstraZeneca Pty Ltd</w:t>
            </w:r>
          </w:p>
        </w:tc>
      </w:tr>
      <w:tr w:rsidR="00F02AEC" w:rsidRPr="00215D48" w14:paraId="37F2AA1F" w14:textId="77777777" w:rsidTr="007452E8">
        <w:tc>
          <w:tcPr>
            <w:tcW w:w="8720" w:type="dxa"/>
          </w:tcPr>
          <w:p w14:paraId="1FDE8DCD" w14:textId="55278C17" w:rsidR="00F02AEC" w:rsidRPr="00215D48" w:rsidRDefault="00AB0BA1" w:rsidP="007452E8">
            <w:pPr>
              <w:pStyle w:val="Date"/>
            </w:pPr>
            <w:r>
              <w:t>October 2026</w:t>
            </w:r>
          </w:p>
        </w:tc>
      </w:tr>
    </w:tbl>
    <w:p w14:paraId="73752706" w14:textId="77777777" w:rsidR="00F02AEC" w:rsidRPr="00215D48" w:rsidRDefault="00F02AEC" w:rsidP="007452E8">
      <w:pPr>
        <w:pStyle w:val="ListBullet"/>
        <w:numPr>
          <w:ilvl w:val="0"/>
          <w:numId w:val="0"/>
        </w:numPr>
        <w:sectPr w:rsidR="00F02AEC" w:rsidRPr="00215D48" w:rsidSect="00CB055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pPr>
    </w:p>
    <w:p w14:paraId="2170A423" w14:textId="77777777" w:rsidR="00346EC2" w:rsidRPr="001F6CBA" w:rsidRDefault="00346EC2" w:rsidP="00346EC2">
      <w:pPr>
        <w:pStyle w:val="NonTOCHeading20"/>
      </w:pPr>
      <w:r w:rsidRPr="001F6CBA">
        <w:lastRenderedPageBreak/>
        <w:t>About the Therapeutic Goods Administration (TGA)</w:t>
      </w:r>
    </w:p>
    <w:p w14:paraId="79558AE9" w14:textId="038D0DA4" w:rsidR="00346EC2" w:rsidRPr="00391B0C" w:rsidRDefault="00346EC2" w:rsidP="0056766D">
      <w:pPr>
        <w:pStyle w:val="ListBullet"/>
      </w:pPr>
      <w:r w:rsidRPr="00391B0C">
        <w:t xml:space="preserve">The Therapeutic Goods Administration (TGA) is part of the Australian Government </w:t>
      </w:r>
      <w:r w:rsidRPr="00C22214">
        <w:t>Department of Health</w:t>
      </w:r>
      <w:r w:rsidR="0006693A">
        <w:t>, Disability</w:t>
      </w:r>
      <w:r w:rsidRPr="00C22214">
        <w:t xml:space="preserve"> and Ag</w:t>
      </w:r>
      <w:r w:rsidR="0006693A">
        <w:t>eing</w:t>
      </w:r>
      <w:r>
        <w:t xml:space="preserve"> </w:t>
      </w:r>
      <w:r w:rsidRPr="00391B0C">
        <w:t>and is responsible for regulating therapeutic goods, including medicines, medical devices, and biologicals.</w:t>
      </w:r>
    </w:p>
    <w:p w14:paraId="61BEFDB6" w14:textId="77777777" w:rsidR="00346EC2" w:rsidRPr="00391B0C" w:rsidRDefault="00346EC2" w:rsidP="00346EC2">
      <w:pPr>
        <w:pStyle w:val="ListBullet"/>
      </w:pPr>
      <w:r w:rsidRPr="00391B0C">
        <w:t xml:space="preserve">The TGA administers the </w:t>
      </w:r>
      <w:r w:rsidRPr="00822FCB">
        <w:rPr>
          <w:i/>
          <w:iCs/>
        </w:rPr>
        <w:t>Therapeutic Goods Act 1989</w:t>
      </w:r>
      <w:r w:rsidRPr="00391B0C">
        <w:t xml:space="preserve"> (the Act), applying a risk management approach designed to ensure therapeutic goods supplied in Australia meet acceptable standards of quality, safety, and efficacy.</w:t>
      </w:r>
    </w:p>
    <w:p w14:paraId="77180CB3" w14:textId="77777777" w:rsidR="00346EC2" w:rsidRPr="003C6D1F" w:rsidRDefault="00346EC2" w:rsidP="00346EC2">
      <w:pPr>
        <w:pStyle w:val="ListBullet"/>
      </w:pPr>
      <w:r w:rsidRPr="003C6D1F">
        <w:t xml:space="preserve">The work of the TGA is based on applying scientific and clinical expertise to decision-making, to ensure that the benefits to </w:t>
      </w:r>
      <w:r>
        <w:t>the Australian public</w:t>
      </w:r>
      <w:r w:rsidRPr="003C6D1F">
        <w:t xml:space="preserve"> outweigh any risks associated with the use of </w:t>
      </w:r>
      <w:r>
        <w:t>therapeutic goods</w:t>
      </w:r>
      <w:r w:rsidRPr="003C6D1F">
        <w:t>.</w:t>
      </w:r>
    </w:p>
    <w:p w14:paraId="70AC2A35" w14:textId="77777777" w:rsidR="00346EC2" w:rsidRPr="003C6D1F" w:rsidRDefault="00346EC2" w:rsidP="00346EC2">
      <w:pPr>
        <w:pStyle w:val="ListBullet"/>
      </w:pPr>
      <w:r w:rsidRPr="003C6D1F">
        <w:t xml:space="preserve">The TGA relies on the public, healthcare professionals and industry to report problems with </w:t>
      </w:r>
      <w:r>
        <w:t>therapeutic goods</w:t>
      </w:r>
      <w:r w:rsidRPr="003C6D1F">
        <w:t>.</w:t>
      </w:r>
      <w:r>
        <w:t xml:space="preserve"> The</w:t>
      </w:r>
      <w:r w:rsidRPr="003C6D1F">
        <w:t xml:space="preserve"> TGA investigates reports received to determine any necessary regulatory action.</w:t>
      </w:r>
    </w:p>
    <w:p w14:paraId="17DC24C6" w14:textId="1C976CB8" w:rsidR="00346EC2" w:rsidRDefault="00346EC2" w:rsidP="00346EC2">
      <w:pPr>
        <w:pStyle w:val="ListBullet"/>
      </w:pPr>
      <w:r w:rsidRPr="003C6D1F">
        <w:t xml:space="preserve">To report a problem with a </w:t>
      </w:r>
      <w:r>
        <w:t>therapeutic good</w:t>
      </w:r>
      <w:r w:rsidRPr="003C6D1F">
        <w:t xml:space="preserve">, please see the information on the </w:t>
      </w:r>
      <w:hyperlink r:id="rId14" w:history="1">
        <w:r w:rsidRPr="00A63C07">
          <w:rPr>
            <w:rStyle w:val="Hyperlink"/>
          </w:rPr>
          <w:t>TGA website</w:t>
        </w:r>
      </w:hyperlink>
      <w:r w:rsidRPr="003C6D1F">
        <w:t>.</w:t>
      </w:r>
    </w:p>
    <w:p w14:paraId="737B7A99" w14:textId="77777777" w:rsidR="00346EC2" w:rsidRDefault="00346EC2" w:rsidP="00346EC2">
      <w:pPr>
        <w:pStyle w:val="NonTOCHeading20"/>
      </w:pPr>
      <w:r>
        <w:t>About AusPARs</w:t>
      </w:r>
    </w:p>
    <w:p w14:paraId="631B2209" w14:textId="010FE2EE" w:rsidR="00346EC2" w:rsidRPr="003C6D1F" w:rsidRDefault="00346EC2" w:rsidP="00346EC2">
      <w:pPr>
        <w:pStyle w:val="ListBullet"/>
      </w:pPr>
      <w:r>
        <w:t>The</w:t>
      </w:r>
      <w:r w:rsidRPr="003C6D1F">
        <w:t xml:space="preserve"> Australian Public Assessment Report (AusPAR) provides information about the evaluation of a prescription medicine and the considerations that led the TGA to approve or not approve a prescription medicine submission.</w:t>
      </w:r>
      <w:r>
        <w:t xml:space="preserve"> Further information can be found in </w:t>
      </w:r>
      <w:hyperlink r:id="rId15" w:history="1">
        <w:r w:rsidRPr="005A2EB8">
          <w:rPr>
            <w:rStyle w:val="Hyperlink"/>
          </w:rPr>
          <w:t>Australian Public Assessment Report (AusPAR) guidance</w:t>
        </w:r>
      </w:hyperlink>
      <w:r>
        <w:t>.</w:t>
      </w:r>
    </w:p>
    <w:p w14:paraId="22F5A730" w14:textId="77777777" w:rsidR="00346EC2" w:rsidRPr="003C6D1F" w:rsidRDefault="00346EC2" w:rsidP="00346EC2">
      <w:pPr>
        <w:pStyle w:val="ListBullet"/>
      </w:pPr>
      <w:r w:rsidRPr="003C6D1F">
        <w:t>AusPARs are prepared and published by the TGA.</w:t>
      </w:r>
    </w:p>
    <w:p w14:paraId="451B8FD7" w14:textId="77777777" w:rsidR="00346EC2" w:rsidRPr="003C6D1F" w:rsidRDefault="00346EC2" w:rsidP="00346EC2">
      <w:pPr>
        <w:pStyle w:val="ListBullet"/>
      </w:pPr>
      <w:r w:rsidRPr="003C6D1F">
        <w:t>AusPAR</w:t>
      </w:r>
      <w:r>
        <w:t xml:space="preserve">s are </w:t>
      </w:r>
      <w:r w:rsidRPr="003C6D1F">
        <w:t>static document</w:t>
      </w:r>
      <w:r>
        <w:t xml:space="preserve">s that </w:t>
      </w:r>
      <w:r w:rsidRPr="003C6D1F">
        <w:t>provide information that relates to a submission at a particular point in time.</w:t>
      </w:r>
      <w:r>
        <w:t xml:space="preserve"> The publication of an AusPAR is an important part of the transparency of the TGA’s decision-making process.</w:t>
      </w:r>
    </w:p>
    <w:p w14:paraId="4D69F5CF" w14:textId="77777777" w:rsidR="00346EC2" w:rsidRPr="003C6D1F" w:rsidRDefault="00346EC2" w:rsidP="00346EC2">
      <w:pPr>
        <w:pStyle w:val="ListBullet"/>
      </w:pPr>
      <w:r w:rsidRPr="003C6D1F">
        <w:t xml:space="preserve">A new AusPAR </w:t>
      </w:r>
      <w:r>
        <w:t xml:space="preserve">may be provided </w:t>
      </w:r>
      <w:r w:rsidRPr="003C6D1F">
        <w:t>to reflect changes to indications or major variations to a prescription medicine subject to evaluation by the TGA.</w:t>
      </w:r>
    </w:p>
    <w:p w14:paraId="7067011F" w14:textId="510D5C5C" w:rsidR="00F02AEC" w:rsidRPr="00E1198B" w:rsidRDefault="00F02AEC" w:rsidP="00FE087C">
      <w:pPr>
        <w:pStyle w:val="LegalSubheading"/>
        <w:spacing w:before="3600"/>
      </w:pPr>
      <w:r w:rsidRPr="00BA0DFC">
        <w:t>Copyright</w:t>
      </w:r>
    </w:p>
    <w:p w14:paraId="170A8A5D" w14:textId="70D16D24" w:rsidR="00175CD8" w:rsidRPr="00346EC2" w:rsidRDefault="00F02AEC" w:rsidP="00346EC2">
      <w:pPr>
        <w:pStyle w:val="LegalCopy"/>
        <w:rPr>
          <w:rFonts w:cs="Arial"/>
        </w:rPr>
      </w:pPr>
      <w:r w:rsidRPr="00215D48">
        <w:rPr>
          <w:rFonts w:cs="Arial"/>
        </w:rPr>
        <w:t>© Commonwealth of Australia 20</w:t>
      </w:r>
      <w:r>
        <w:rPr>
          <w:rFonts w:cs="Arial"/>
        </w:rPr>
        <w:t>2</w:t>
      </w:r>
      <w:r w:rsidR="0009023D">
        <w:rPr>
          <w:rFonts w:cs="Arial"/>
        </w:rPr>
        <w:t>6</w:t>
      </w:r>
      <w:r w:rsidRPr="00215D48">
        <w:rPr>
          <w:rFonts w:cs="Arial"/>
        </w:rPr>
        <w:br/>
        <w:t xml:space="preserve">This work is copyright. You may reproduce the whole or part of this work in unaltered form for your own personal use or, if you are part of an organisation, for internal use within your organisation, but only if you or your organisation do not use the reproduction for any commercial purpose and retain this copyright notice and all disclaimer notices as part of that reproduction. Apart from rights to use as permitted by the </w:t>
      </w:r>
      <w:r w:rsidRPr="00215D48">
        <w:rPr>
          <w:rFonts w:cs="Arial"/>
          <w:i/>
        </w:rPr>
        <w:t>Copyright Act 1968</w:t>
      </w:r>
      <w:r w:rsidRPr="00215D48">
        <w:rPr>
          <w:rFonts w:cs="Arial"/>
        </w:rPr>
        <w:t xml:space="preserve"> or allowed by this copyright notice, all other rights are reserved and you are not allowed to reproduce the whole or any part of this work in any way (electronic or otherwise) without first being given specific written permission from the Commonwealth to do so. Requests and inquiries concerning reproduction and rights are to be sent to the TGA Copyright Officer, Therapeutic Goods Administration, PO Box 100, Woden ACT 2606 or emailed to &lt;</w:t>
      </w:r>
      <w:hyperlink r:id="rId16" w:history="1">
        <w:r w:rsidRPr="00215D48">
          <w:rPr>
            <w:rStyle w:val="Hyperlink"/>
            <w:rFonts w:cs="Arial"/>
          </w:rPr>
          <w:t>tga.copyright@tga.gov.au</w:t>
        </w:r>
      </w:hyperlink>
      <w:r w:rsidRPr="00215D48">
        <w:rPr>
          <w:rFonts w:cs="Arial"/>
        </w:rPr>
        <w:t>&gt;.</w:t>
      </w:r>
    </w:p>
    <w:sdt>
      <w:sdtPr>
        <w:rPr>
          <w:rFonts w:ascii="Cambria" w:eastAsiaTheme="minorHAnsi" w:hAnsi="Cambria" w:cstheme="minorBidi"/>
          <w:b w:val="0"/>
          <w:color w:val="auto"/>
          <w:sz w:val="22"/>
          <w:szCs w:val="22"/>
        </w:rPr>
        <w:id w:val="21514769"/>
        <w:docPartObj>
          <w:docPartGallery w:val="Table of Contents"/>
          <w:docPartUnique/>
        </w:docPartObj>
      </w:sdtPr>
      <w:sdtEndPr>
        <w:rPr>
          <w:szCs w:val="20"/>
        </w:rPr>
      </w:sdtEndPr>
      <w:sdtContent>
        <w:p w14:paraId="0A6ADA2B" w14:textId="77777777" w:rsidR="00F02AEC" w:rsidRPr="00215D48" w:rsidRDefault="00F02AEC" w:rsidP="007452E8">
          <w:pPr>
            <w:pStyle w:val="NonTOCheading2"/>
          </w:pPr>
          <w:r w:rsidRPr="00215D48">
            <w:t>Contents</w:t>
          </w:r>
        </w:p>
        <w:p w14:paraId="621BD7A3" w14:textId="71DE61AF" w:rsidR="00911198" w:rsidRDefault="00F02AEC">
          <w:pPr>
            <w:pStyle w:val="TOC1"/>
            <w:rPr>
              <w:rFonts w:asciiTheme="minorHAnsi" w:eastAsiaTheme="minorEastAsia" w:hAnsiTheme="minorHAnsi" w:cstheme="minorBidi"/>
              <w:b w:val="0"/>
              <w:noProof/>
              <w:color w:val="auto"/>
              <w:kern w:val="2"/>
              <w:sz w:val="24"/>
              <w:szCs w:val="24"/>
              <w:lang w:eastAsia="en-AU"/>
              <w14:ligatures w14:val="standardContextual"/>
            </w:rPr>
          </w:pPr>
          <w:r w:rsidRPr="00215D48">
            <w:fldChar w:fldCharType="begin"/>
          </w:r>
          <w:r w:rsidRPr="00215D48">
            <w:instrText xml:space="preserve"> TOC \h \z \u \t "Heading 2,1,Heading 3,2,Heading 4,3" </w:instrText>
          </w:r>
          <w:r w:rsidRPr="00215D48">
            <w:fldChar w:fldCharType="separate"/>
          </w:r>
          <w:hyperlink w:anchor="_Toc242958187" w:history="1">
            <w:r w:rsidR="00911198" w:rsidRPr="00DD3ABA">
              <w:rPr>
                <w:rStyle w:val="Hyperlink"/>
                <w:noProof/>
              </w:rPr>
              <w:t>List of abbreviations</w:t>
            </w:r>
            <w:r w:rsidR="00911198">
              <w:rPr>
                <w:noProof/>
                <w:webHidden/>
              </w:rPr>
              <w:tab/>
            </w:r>
            <w:r w:rsidR="00911198">
              <w:rPr>
                <w:noProof/>
                <w:webHidden/>
              </w:rPr>
              <w:fldChar w:fldCharType="begin"/>
            </w:r>
            <w:r w:rsidR="00911198">
              <w:rPr>
                <w:noProof/>
                <w:webHidden/>
              </w:rPr>
              <w:instrText xml:space="preserve"> PAGEREF _Toc242958187 \h </w:instrText>
            </w:r>
            <w:r w:rsidR="00911198">
              <w:rPr>
                <w:noProof/>
                <w:webHidden/>
              </w:rPr>
            </w:r>
            <w:r w:rsidR="00911198">
              <w:rPr>
                <w:noProof/>
                <w:webHidden/>
              </w:rPr>
              <w:fldChar w:fldCharType="separate"/>
            </w:r>
            <w:r w:rsidR="00911198">
              <w:rPr>
                <w:noProof/>
                <w:webHidden/>
              </w:rPr>
              <w:t>4</w:t>
            </w:r>
            <w:r w:rsidR="00911198">
              <w:rPr>
                <w:noProof/>
                <w:webHidden/>
              </w:rPr>
              <w:fldChar w:fldCharType="end"/>
            </w:r>
          </w:hyperlink>
        </w:p>
        <w:p w14:paraId="612C705D" w14:textId="3BF2A640" w:rsidR="00911198" w:rsidRDefault="00911198">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2958188" w:history="1">
            <w:r w:rsidRPr="00DD3ABA">
              <w:rPr>
                <w:rStyle w:val="Hyperlink"/>
                <w:noProof/>
              </w:rPr>
              <w:t>Product submission</w:t>
            </w:r>
            <w:r>
              <w:rPr>
                <w:noProof/>
                <w:webHidden/>
              </w:rPr>
              <w:tab/>
            </w:r>
            <w:r>
              <w:rPr>
                <w:noProof/>
                <w:webHidden/>
              </w:rPr>
              <w:fldChar w:fldCharType="begin"/>
            </w:r>
            <w:r>
              <w:rPr>
                <w:noProof/>
                <w:webHidden/>
              </w:rPr>
              <w:instrText xml:space="preserve"> PAGEREF _Toc242958188 \h </w:instrText>
            </w:r>
            <w:r>
              <w:rPr>
                <w:noProof/>
                <w:webHidden/>
              </w:rPr>
            </w:r>
            <w:r>
              <w:rPr>
                <w:noProof/>
                <w:webHidden/>
              </w:rPr>
              <w:fldChar w:fldCharType="separate"/>
            </w:r>
            <w:r>
              <w:rPr>
                <w:noProof/>
                <w:webHidden/>
              </w:rPr>
              <w:t>6</w:t>
            </w:r>
            <w:r>
              <w:rPr>
                <w:noProof/>
                <w:webHidden/>
              </w:rPr>
              <w:fldChar w:fldCharType="end"/>
            </w:r>
          </w:hyperlink>
        </w:p>
        <w:p w14:paraId="00DF8C10" w14:textId="587F9679" w:rsidR="00911198" w:rsidRDefault="00911198">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2958189" w:history="1">
            <w:r w:rsidRPr="00DD3ABA">
              <w:rPr>
                <w:rStyle w:val="Hyperlink"/>
                <w:noProof/>
                <w:lang w:eastAsia="en-AU"/>
              </w:rPr>
              <w:t>Submission details</w:t>
            </w:r>
            <w:r>
              <w:rPr>
                <w:noProof/>
                <w:webHidden/>
              </w:rPr>
              <w:tab/>
            </w:r>
            <w:r>
              <w:rPr>
                <w:noProof/>
                <w:webHidden/>
              </w:rPr>
              <w:fldChar w:fldCharType="begin"/>
            </w:r>
            <w:r>
              <w:rPr>
                <w:noProof/>
                <w:webHidden/>
              </w:rPr>
              <w:instrText xml:space="preserve"> PAGEREF _Toc242958189 \h </w:instrText>
            </w:r>
            <w:r>
              <w:rPr>
                <w:noProof/>
                <w:webHidden/>
              </w:rPr>
            </w:r>
            <w:r>
              <w:rPr>
                <w:noProof/>
                <w:webHidden/>
              </w:rPr>
              <w:fldChar w:fldCharType="separate"/>
            </w:r>
            <w:r>
              <w:rPr>
                <w:noProof/>
                <w:webHidden/>
              </w:rPr>
              <w:t>6</w:t>
            </w:r>
            <w:r>
              <w:rPr>
                <w:noProof/>
                <w:webHidden/>
              </w:rPr>
              <w:fldChar w:fldCharType="end"/>
            </w:r>
          </w:hyperlink>
        </w:p>
        <w:p w14:paraId="1B0CE0FC" w14:textId="27F80901" w:rsidR="00911198" w:rsidRDefault="00911198">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2958190" w:history="1">
            <w:r w:rsidRPr="00DD3ABA">
              <w:rPr>
                <w:rStyle w:val="Hyperlink"/>
                <w:noProof/>
              </w:rPr>
              <w:t>Product background</w:t>
            </w:r>
            <w:r>
              <w:rPr>
                <w:noProof/>
                <w:webHidden/>
              </w:rPr>
              <w:tab/>
            </w:r>
            <w:r>
              <w:rPr>
                <w:noProof/>
                <w:webHidden/>
              </w:rPr>
              <w:fldChar w:fldCharType="begin"/>
            </w:r>
            <w:r>
              <w:rPr>
                <w:noProof/>
                <w:webHidden/>
              </w:rPr>
              <w:instrText xml:space="preserve"> PAGEREF _Toc242958190 \h </w:instrText>
            </w:r>
            <w:r>
              <w:rPr>
                <w:noProof/>
                <w:webHidden/>
              </w:rPr>
            </w:r>
            <w:r>
              <w:rPr>
                <w:noProof/>
                <w:webHidden/>
              </w:rPr>
              <w:fldChar w:fldCharType="separate"/>
            </w:r>
            <w:r>
              <w:rPr>
                <w:noProof/>
                <w:webHidden/>
              </w:rPr>
              <w:t>7</w:t>
            </w:r>
            <w:r>
              <w:rPr>
                <w:noProof/>
                <w:webHidden/>
              </w:rPr>
              <w:fldChar w:fldCharType="end"/>
            </w:r>
          </w:hyperlink>
        </w:p>
        <w:p w14:paraId="581FEC9A" w14:textId="13853553" w:rsidR="00911198" w:rsidRDefault="0091119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958191" w:history="1">
            <w:r w:rsidRPr="00DD3ABA">
              <w:rPr>
                <w:rStyle w:val="Hyperlink"/>
                <w:noProof/>
              </w:rPr>
              <w:t>Disease or condition</w:t>
            </w:r>
            <w:r>
              <w:rPr>
                <w:noProof/>
                <w:webHidden/>
              </w:rPr>
              <w:tab/>
            </w:r>
            <w:r>
              <w:rPr>
                <w:noProof/>
                <w:webHidden/>
              </w:rPr>
              <w:fldChar w:fldCharType="begin"/>
            </w:r>
            <w:r>
              <w:rPr>
                <w:noProof/>
                <w:webHidden/>
              </w:rPr>
              <w:instrText xml:space="preserve"> PAGEREF _Toc242958191 \h </w:instrText>
            </w:r>
            <w:r>
              <w:rPr>
                <w:noProof/>
                <w:webHidden/>
              </w:rPr>
            </w:r>
            <w:r>
              <w:rPr>
                <w:noProof/>
                <w:webHidden/>
              </w:rPr>
              <w:fldChar w:fldCharType="separate"/>
            </w:r>
            <w:r>
              <w:rPr>
                <w:noProof/>
                <w:webHidden/>
              </w:rPr>
              <w:t>7</w:t>
            </w:r>
            <w:r>
              <w:rPr>
                <w:noProof/>
                <w:webHidden/>
              </w:rPr>
              <w:fldChar w:fldCharType="end"/>
            </w:r>
          </w:hyperlink>
        </w:p>
        <w:p w14:paraId="5BC4B91B" w14:textId="67B42930" w:rsidR="00911198" w:rsidRDefault="0091119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958192" w:history="1">
            <w:r w:rsidRPr="00DD3ABA">
              <w:rPr>
                <w:rStyle w:val="Hyperlink"/>
                <w:noProof/>
              </w:rPr>
              <w:t>Current treatment options</w:t>
            </w:r>
            <w:r>
              <w:rPr>
                <w:noProof/>
                <w:webHidden/>
              </w:rPr>
              <w:tab/>
            </w:r>
            <w:r>
              <w:rPr>
                <w:noProof/>
                <w:webHidden/>
              </w:rPr>
              <w:fldChar w:fldCharType="begin"/>
            </w:r>
            <w:r>
              <w:rPr>
                <w:noProof/>
                <w:webHidden/>
              </w:rPr>
              <w:instrText xml:space="preserve"> PAGEREF _Toc242958192 \h </w:instrText>
            </w:r>
            <w:r>
              <w:rPr>
                <w:noProof/>
                <w:webHidden/>
              </w:rPr>
            </w:r>
            <w:r>
              <w:rPr>
                <w:noProof/>
                <w:webHidden/>
              </w:rPr>
              <w:fldChar w:fldCharType="separate"/>
            </w:r>
            <w:r>
              <w:rPr>
                <w:noProof/>
                <w:webHidden/>
              </w:rPr>
              <w:t>8</w:t>
            </w:r>
            <w:r>
              <w:rPr>
                <w:noProof/>
                <w:webHidden/>
              </w:rPr>
              <w:fldChar w:fldCharType="end"/>
            </w:r>
          </w:hyperlink>
        </w:p>
        <w:p w14:paraId="24FE2B35" w14:textId="7612E7E7" w:rsidR="00911198" w:rsidRDefault="0091119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958193" w:history="1">
            <w:r w:rsidRPr="00DD3ABA">
              <w:rPr>
                <w:rStyle w:val="Hyperlink"/>
                <w:noProof/>
              </w:rPr>
              <w:t>Clinical rationale</w:t>
            </w:r>
            <w:r>
              <w:rPr>
                <w:noProof/>
                <w:webHidden/>
              </w:rPr>
              <w:tab/>
            </w:r>
            <w:r>
              <w:rPr>
                <w:noProof/>
                <w:webHidden/>
              </w:rPr>
              <w:fldChar w:fldCharType="begin"/>
            </w:r>
            <w:r>
              <w:rPr>
                <w:noProof/>
                <w:webHidden/>
              </w:rPr>
              <w:instrText xml:space="preserve"> PAGEREF _Toc242958193 \h </w:instrText>
            </w:r>
            <w:r>
              <w:rPr>
                <w:noProof/>
                <w:webHidden/>
              </w:rPr>
            </w:r>
            <w:r>
              <w:rPr>
                <w:noProof/>
                <w:webHidden/>
              </w:rPr>
              <w:fldChar w:fldCharType="separate"/>
            </w:r>
            <w:r>
              <w:rPr>
                <w:noProof/>
                <w:webHidden/>
              </w:rPr>
              <w:t>8</w:t>
            </w:r>
            <w:r>
              <w:rPr>
                <w:noProof/>
                <w:webHidden/>
              </w:rPr>
              <w:fldChar w:fldCharType="end"/>
            </w:r>
          </w:hyperlink>
        </w:p>
        <w:p w14:paraId="45CC6765" w14:textId="0E5F8595" w:rsidR="00911198" w:rsidRDefault="0091119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958194" w:history="1">
            <w:r w:rsidRPr="00DD3ABA">
              <w:rPr>
                <w:rStyle w:val="Hyperlink"/>
                <w:noProof/>
                <w:lang w:val="en-US"/>
              </w:rPr>
              <w:t>Australian regulatory status</w:t>
            </w:r>
            <w:r>
              <w:rPr>
                <w:noProof/>
                <w:webHidden/>
              </w:rPr>
              <w:tab/>
            </w:r>
            <w:r>
              <w:rPr>
                <w:noProof/>
                <w:webHidden/>
              </w:rPr>
              <w:fldChar w:fldCharType="begin"/>
            </w:r>
            <w:r>
              <w:rPr>
                <w:noProof/>
                <w:webHidden/>
              </w:rPr>
              <w:instrText xml:space="preserve"> PAGEREF _Toc242958194 \h </w:instrText>
            </w:r>
            <w:r>
              <w:rPr>
                <w:noProof/>
                <w:webHidden/>
              </w:rPr>
            </w:r>
            <w:r>
              <w:rPr>
                <w:noProof/>
                <w:webHidden/>
              </w:rPr>
              <w:fldChar w:fldCharType="separate"/>
            </w:r>
            <w:r>
              <w:rPr>
                <w:noProof/>
                <w:webHidden/>
              </w:rPr>
              <w:t>9</w:t>
            </w:r>
            <w:r>
              <w:rPr>
                <w:noProof/>
                <w:webHidden/>
              </w:rPr>
              <w:fldChar w:fldCharType="end"/>
            </w:r>
          </w:hyperlink>
        </w:p>
        <w:p w14:paraId="4DA7710C" w14:textId="33C75C18" w:rsidR="00911198" w:rsidRDefault="0091119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958195" w:history="1">
            <w:r w:rsidRPr="00DD3ABA">
              <w:rPr>
                <w:rStyle w:val="Hyperlink"/>
                <w:noProof/>
              </w:rPr>
              <w:t>International regulatory status</w:t>
            </w:r>
            <w:r>
              <w:rPr>
                <w:noProof/>
                <w:webHidden/>
              </w:rPr>
              <w:tab/>
            </w:r>
            <w:r>
              <w:rPr>
                <w:noProof/>
                <w:webHidden/>
              </w:rPr>
              <w:fldChar w:fldCharType="begin"/>
            </w:r>
            <w:r>
              <w:rPr>
                <w:noProof/>
                <w:webHidden/>
              </w:rPr>
              <w:instrText xml:space="preserve"> PAGEREF _Toc242958195 \h </w:instrText>
            </w:r>
            <w:r>
              <w:rPr>
                <w:noProof/>
                <w:webHidden/>
              </w:rPr>
            </w:r>
            <w:r>
              <w:rPr>
                <w:noProof/>
                <w:webHidden/>
              </w:rPr>
              <w:fldChar w:fldCharType="separate"/>
            </w:r>
            <w:r>
              <w:rPr>
                <w:noProof/>
                <w:webHidden/>
              </w:rPr>
              <w:t>9</w:t>
            </w:r>
            <w:r>
              <w:rPr>
                <w:noProof/>
                <w:webHidden/>
              </w:rPr>
              <w:fldChar w:fldCharType="end"/>
            </w:r>
          </w:hyperlink>
        </w:p>
        <w:p w14:paraId="2BA8ADA8" w14:textId="583C367F" w:rsidR="00911198" w:rsidRDefault="00911198">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2958196" w:history="1">
            <w:r w:rsidRPr="00DD3ABA">
              <w:rPr>
                <w:rStyle w:val="Hyperlink"/>
                <w:noProof/>
              </w:rPr>
              <w:t>Registration timeline</w:t>
            </w:r>
            <w:r>
              <w:rPr>
                <w:noProof/>
                <w:webHidden/>
              </w:rPr>
              <w:tab/>
            </w:r>
            <w:r>
              <w:rPr>
                <w:noProof/>
                <w:webHidden/>
              </w:rPr>
              <w:fldChar w:fldCharType="begin"/>
            </w:r>
            <w:r>
              <w:rPr>
                <w:noProof/>
                <w:webHidden/>
              </w:rPr>
              <w:instrText xml:space="preserve"> PAGEREF _Toc242958196 \h </w:instrText>
            </w:r>
            <w:r>
              <w:rPr>
                <w:noProof/>
                <w:webHidden/>
              </w:rPr>
            </w:r>
            <w:r>
              <w:rPr>
                <w:noProof/>
                <w:webHidden/>
              </w:rPr>
              <w:fldChar w:fldCharType="separate"/>
            </w:r>
            <w:r>
              <w:rPr>
                <w:noProof/>
                <w:webHidden/>
              </w:rPr>
              <w:t>9</w:t>
            </w:r>
            <w:r>
              <w:rPr>
                <w:noProof/>
                <w:webHidden/>
              </w:rPr>
              <w:fldChar w:fldCharType="end"/>
            </w:r>
          </w:hyperlink>
        </w:p>
        <w:p w14:paraId="011AC6C6" w14:textId="38B456FA" w:rsidR="00911198" w:rsidRDefault="00911198">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2958197" w:history="1">
            <w:r w:rsidRPr="00DD3ABA">
              <w:rPr>
                <w:rStyle w:val="Hyperlink"/>
                <w:noProof/>
              </w:rPr>
              <w:t>Assessment overview</w:t>
            </w:r>
            <w:r>
              <w:rPr>
                <w:noProof/>
                <w:webHidden/>
              </w:rPr>
              <w:tab/>
            </w:r>
            <w:r>
              <w:rPr>
                <w:noProof/>
                <w:webHidden/>
              </w:rPr>
              <w:fldChar w:fldCharType="begin"/>
            </w:r>
            <w:r>
              <w:rPr>
                <w:noProof/>
                <w:webHidden/>
              </w:rPr>
              <w:instrText xml:space="preserve"> PAGEREF _Toc242958197 \h </w:instrText>
            </w:r>
            <w:r>
              <w:rPr>
                <w:noProof/>
                <w:webHidden/>
              </w:rPr>
            </w:r>
            <w:r>
              <w:rPr>
                <w:noProof/>
                <w:webHidden/>
              </w:rPr>
              <w:fldChar w:fldCharType="separate"/>
            </w:r>
            <w:r>
              <w:rPr>
                <w:noProof/>
                <w:webHidden/>
              </w:rPr>
              <w:t>10</w:t>
            </w:r>
            <w:r>
              <w:rPr>
                <w:noProof/>
                <w:webHidden/>
              </w:rPr>
              <w:fldChar w:fldCharType="end"/>
            </w:r>
          </w:hyperlink>
        </w:p>
        <w:p w14:paraId="7B484B01" w14:textId="466E660F" w:rsidR="00911198" w:rsidRDefault="00911198">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2958198" w:history="1">
            <w:r w:rsidRPr="00DD3ABA">
              <w:rPr>
                <w:rStyle w:val="Hyperlink"/>
                <w:noProof/>
              </w:rPr>
              <w:t>Quality evaluation summary</w:t>
            </w:r>
            <w:r>
              <w:rPr>
                <w:noProof/>
                <w:webHidden/>
              </w:rPr>
              <w:tab/>
            </w:r>
            <w:r>
              <w:rPr>
                <w:noProof/>
                <w:webHidden/>
              </w:rPr>
              <w:fldChar w:fldCharType="begin"/>
            </w:r>
            <w:r>
              <w:rPr>
                <w:noProof/>
                <w:webHidden/>
              </w:rPr>
              <w:instrText xml:space="preserve"> PAGEREF _Toc242958198 \h </w:instrText>
            </w:r>
            <w:r>
              <w:rPr>
                <w:noProof/>
                <w:webHidden/>
              </w:rPr>
            </w:r>
            <w:r>
              <w:rPr>
                <w:noProof/>
                <w:webHidden/>
              </w:rPr>
              <w:fldChar w:fldCharType="separate"/>
            </w:r>
            <w:r>
              <w:rPr>
                <w:noProof/>
                <w:webHidden/>
              </w:rPr>
              <w:t>10</w:t>
            </w:r>
            <w:r>
              <w:rPr>
                <w:noProof/>
                <w:webHidden/>
              </w:rPr>
              <w:fldChar w:fldCharType="end"/>
            </w:r>
          </w:hyperlink>
        </w:p>
        <w:p w14:paraId="1F726498" w14:textId="15F84B8A" w:rsidR="00911198" w:rsidRDefault="00911198">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2958199" w:history="1">
            <w:r w:rsidRPr="00DD3ABA">
              <w:rPr>
                <w:rStyle w:val="Hyperlink"/>
                <w:noProof/>
              </w:rPr>
              <w:t>Nonclinical evaluation summary</w:t>
            </w:r>
            <w:r>
              <w:rPr>
                <w:noProof/>
                <w:webHidden/>
              </w:rPr>
              <w:tab/>
            </w:r>
            <w:r>
              <w:rPr>
                <w:noProof/>
                <w:webHidden/>
              </w:rPr>
              <w:fldChar w:fldCharType="begin"/>
            </w:r>
            <w:r>
              <w:rPr>
                <w:noProof/>
                <w:webHidden/>
              </w:rPr>
              <w:instrText xml:space="preserve"> PAGEREF _Toc242958199 \h </w:instrText>
            </w:r>
            <w:r>
              <w:rPr>
                <w:noProof/>
                <w:webHidden/>
              </w:rPr>
            </w:r>
            <w:r>
              <w:rPr>
                <w:noProof/>
                <w:webHidden/>
              </w:rPr>
              <w:fldChar w:fldCharType="separate"/>
            </w:r>
            <w:r>
              <w:rPr>
                <w:noProof/>
                <w:webHidden/>
              </w:rPr>
              <w:t>12</w:t>
            </w:r>
            <w:r>
              <w:rPr>
                <w:noProof/>
                <w:webHidden/>
              </w:rPr>
              <w:fldChar w:fldCharType="end"/>
            </w:r>
          </w:hyperlink>
        </w:p>
        <w:p w14:paraId="0289EA92" w14:textId="70DF3C9D" w:rsidR="00911198" w:rsidRDefault="00911198">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2958200" w:history="1">
            <w:r w:rsidRPr="00DD3ABA">
              <w:rPr>
                <w:rStyle w:val="Hyperlink"/>
                <w:noProof/>
              </w:rPr>
              <w:t>Clinical evaluation summary</w:t>
            </w:r>
            <w:r>
              <w:rPr>
                <w:noProof/>
                <w:webHidden/>
              </w:rPr>
              <w:tab/>
            </w:r>
            <w:r>
              <w:rPr>
                <w:noProof/>
                <w:webHidden/>
              </w:rPr>
              <w:fldChar w:fldCharType="begin"/>
            </w:r>
            <w:r>
              <w:rPr>
                <w:noProof/>
                <w:webHidden/>
              </w:rPr>
              <w:instrText xml:space="preserve"> PAGEREF _Toc242958200 \h </w:instrText>
            </w:r>
            <w:r>
              <w:rPr>
                <w:noProof/>
                <w:webHidden/>
              </w:rPr>
            </w:r>
            <w:r>
              <w:rPr>
                <w:noProof/>
                <w:webHidden/>
              </w:rPr>
              <w:fldChar w:fldCharType="separate"/>
            </w:r>
            <w:r>
              <w:rPr>
                <w:noProof/>
                <w:webHidden/>
              </w:rPr>
              <w:t>13</w:t>
            </w:r>
            <w:r>
              <w:rPr>
                <w:noProof/>
                <w:webHidden/>
              </w:rPr>
              <w:fldChar w:fldCharType="end"/>
            </w:r>
          </w:hyperlink>
        </w:p>
        <w:p w14:paraId="7FF8A439" w14:textId="15A6A088" w:rsidR="00911198" w:rsidRDefault="0091119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958201" w:history="1">
            <w:r w:rsidRPr="00DD3ABA">
              <w:rPr>
                <w:rStyle w:val="Hyperlink"/>
                <w:noProof/>
              </w:rPr>
              <w:t>Pharmacology</w:t>
            </w:r>
            <w:r>
              <w:rPr>
                <w:noProof/>
                <w:webHidden/>
              </w:rPr>
              <w:tab/>
            </w:r>
            <w:r>
              <w:rPr>
                <w:noProof/>
                <w:webHidden/>
              </w:rPr>
              <w:fldChar w:fldCharType="begin"/>
            </w:r>
            <w:r>
              <w:rPr>
                <w:noProof/>
                <w:webHidden/>
              </w:rPr>
              <w:instrText xml:space="preserve"> PAGEREF _Toc242958201 \h </w:instrText>
            </w:r>
            <w:r>
              <w:rPr>
                <w:noProof/>
                <w:webHidden/>
              </w:rPr>
            </w:r>
            <w:r>
              <w:rPr>
                <w:noProof/>
                <w:webHidden/>
              </w:rPr>
              <w:fldChar w:fldCharType="separate"/>
            </w:r>
            <w:r>
              <w:rPr>
                <w:noProof/>
                <w:webHidden/>
              </w:rPr>
              <w:t>13</w:t>
            </w:r>
            <w:r>
              <w:rPr>
                <w:noProof/>
                <w:webHidden/>
              </w:rPr>
              <w:fldChar w:fldCharType="end"/>
            </w:r>
          </w:hyperlink>
        </w:p>
        <w:p w14:paraId="00C11FF7" w14:textId="44242801" w:rsidR="00911198" w:rsidRDefault="0091119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958202" w:history="1">
            <w:r w:rsidRPr="00DD3ABA">
              <w:rPr>
                <w:rStyle w:val="Hyperlink"/>
                <w:noProof/>
              </w:rPr>
              <w:t>Efficacy</w:t>
            </w:r>
            <w:r>
              <w:rPr>
                <w:noProof/>
                <w:webHidden/>
              </w:rPr>
              <w:tab/>
            </w:r>
            <w:r>
              <w:rPr>
                <w:noProof/>
                <w:webHidden/>
              </w:rPr>
              <w:fldChar w:fldCharType="begin"/>
            </w:r>
            <w:r>
              <w:rPr>
                <w:noProof/>
                <w:webHidden/>
              </w:rPr>
              <w:instrText xml:space="preserve"> PAGEREF _Toc242958202 \h </w:instrText>
            </w:r>
            <w:r>
              <w:rPr>
                <w:noProof/>
                <w:webHidden/>
              </w:rPr>
            </w:r>
            <w:r>
              <w:rPr>
                <w:noProof/>
                <w:webHidden/>
              </w:rPr>
              <w:fldChar w:fldCharType="separate"/>
            </w:r>
            <w:r>
              <w:rPr>
                <w:noProof/>
                <w:webHidden/>
              </w:rPr>
              <w:t>18</w:t>
            </w:r>
            <w:r>
              <w:rPr>
                <w:noProof/>
                <w:webHidden/>
              </w:rPr>
              <w:fldChar w:fldCharType="end"/>
            </w:r>
          </w:hyperlink>
        </w:p>
        <w:p w14:paraId="0BF3F783" w14:textId="67F25677" w:rsidR="00911198" w:rsidRDefault="0091119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958203" w:history="1">
            <w:r w:rsidRPr="00DD3ABA">
              <w:rPr>
                <w:rStyle w:val="Hyperlink"/>
                <w:noProof/>
              </w:rPr>
              <w:t>Safety</w:t>
            </w:r>
            <w:r>
              <w:rPr>
                <w:noProof/>
                <w:webHidden/>
              </w:rPr>
              <w:tab/>
            </w:r>
            <w:r>
              <w:rPr>
                <w:noProof/>
                <w:webHidden/>
              </w:rPr>
              <w:fldChar w:fldCharType="begin"/>
            </w:r>
            <w:r>
              <w:rPr>
                <w:noProof/>
                <w:webHidden/>
              </w:rPr>
              <w:instrText xml:space="preserve"> PAGEREF _Toc242958203 \h </w:instrText>
            </w:r>
            <w:r>
              <w:rPr>
                <w:noProof/>
                <w:webHidden/>
              </w:rPr>
            </w:r>
            <w:r>
              <w:rPr>
                <w:noProof/>
                <w:webHidden/>
              </w:rPr>
              <w:fldChar w:fldCharType="separate"/>
            </w:r>
            <w:r>
              <w:rPr>
                <w:noProof/>
                <w:webHidden/>
              </w:rPr>
              <w:t>23</w:t>
            </w:r>
            <w:r>
              <w:rPr>
                <w:noProof/>
                <w:webHidden/>
              </w:rPr>
              <w:fldChar w:fldCharType="end"/>
            </w:r>
          </w:hyperlink>
        </w:p>
        <w:p w14:paraId="296B1996" w14:textId="358DAAB8" w:rsidR="00911198" w:rsidRDefault="00911198">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2958204" w:history="1">
            <w:r w:rsidRPr="00DD3ABA">
              <w:rPr>
                <w:rStyle w:val="Hyperlink"/>
                <w:noProof/>
                <w:lang w:eastAsia="en-AU"/>
              </w:rPr>
              <w:t>Risk management plan</w:t>
            </w:r>
            <w:r>
              <w:rPr>
                <w:noProof/>
                <w:webHidden/>
              </w:rPr>
              <w:tab/>
            </w:r>
            <w:r>
              <w:rPr>
                <w:noProof/>
                <w:webHidden/>
              </w:rPr>
              <w:fldChar w:fldCharType="begin"/>
            </w:r>
            <w:r>
              <w:rPr>
                <w:noProof/>
                <w:webHidden/>
              </w:rPr>
              <w:instrText xml:space="preserve"> PAGEREF _Toc242958204 \h </w:instrText>
            </w:r>
            <w:r>
              <w:rPr>
                <w:noProof/>
                <w:webHidden/>
              </w:rPr>
            </w:r>
            <w:r>
              <w:rPr>
                <w:noProof/>
                <w:webHidden/>
              </w:rPr>
              <w:fldChar w:fldCharType="separate"/>
            </w:r>
            <w:r>
              <w:rPr>
                <w:noProof/>
                <w:webHidden/>
              </w:rPr>
              <w:t>28</w:t>
            </w:r>
            <w:r>
              <w:rPr>
                <w:noProof/>
                <w:webHidden/>
              </w:rPr>
              <w:fldChar w:fldCharType="end"/>
            </w:r>
          </w:hyperlink>
        </w:p>
        <w:p w14:paraId="0CC148EE" w14:textId="6F75B9F2" w:rsidR="00911198" w:rsidRDefault="00911198">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2958205" w:history="1">
            <w:r w:rsidRPr="00DD3ABA">
              <w:rPr>
                <w:rStyle w:val="Hyperlink"/>
                <w:noProof/>
              </w:rPr>
              <w:t>Risk-benefit analysis</w:t>
            </w:r>
            <w:r>
              <w:rPr>
                <w:noProof/>
                <w:webHidden/>
              </w:rPr>
              <w:tab/>
            </w:r>
            <w:r>
              <w:rPr>
                <w:noProof/>
                <w:webHidden/>
              </w:rPr>
              <w:fldChar w:fldCharType="begin"/>
            </w:r>
            <w:r>
              <w:rPr>
                <w:noProof/>
                <w:webHidden/>
              </w:rPr>
              <w:instrText xml:space="preserve"> PAGEREF _Toc242958205 \h </w:instrText>
            </w:r>
            <w:r>
              <w:rPr>
                <w:noProof/>
                <w:webHidden/>
              </w:rPr>
            </w:r>
            <w:r>
              <w:rPr>
                <w:noProof/>
                <w:webHidden/>
              </w:rPr>
              <w:fldChar w:fldCharType="separate"/>
            </w:r>
            <w:r>
              <w:rPr>
                <w:noProof/>
                <w:webHidden/>
              </w:rPr>
              <w:t>29</w:t>
            </w:r>
            <w:r>
              <w:rPr>
                <w:noProof/>
                <w:webHidden/>
              </w:rPr>
              <w:fldChar w:fldCharType="end"/>
            </w:r>
          </w:hyperlink>
        </w:p>
        <w:p w14:paraId="6E177B7B" w14:textId="3D3B0671" w:rsidR="00911198" w:rsidRDefault="0091119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958206" w:history="1">
            <w:r w:rsidRPr="00DD3ABA">
              <w:rPr>
                <w:rStyle w:val="Hyperlink"/>
                <w:noProof/>
              </w:rPr>
              <w:t>Proposed Indication</w:t>
            </w:r>
            <w:r>
              <w:rPr>
                <w:noProof/>
                <w:webHidden/>
              </w:rPr>
              <w:tab/>
            </w:r>
            <w:r>
              <w:rPr>
                <w:noProof/>
                <w:webHidden/>
              </w:rPr>
              <w:fldChar w:fldCharType="begin"/>
            </w:r>
            <w:r>
              <w:rPr>
                <w:noProof/>
                <w:webHidden/>
              </w:rPr>
              <w:instrText xml:space="preserve"> PAGEREF _Toc242958206 \h </w:instrText>
            </w:r>
            <w:r>
              <w:rPr>
                <w:noProof/>
                <w:webHidden/>
              </w:rPr>
            </w:r>
            <w:r>
              <w:rPr>
                <w:noProof/>
                <w:webHidden/>
              </w:rPr>
              <w:fldChar w:fldCharType="separate"/>
            </w:r>
            <w:r>
              <w:rPr>
                <w:noProof/>
                <w:webHidden/>
              </w:rPr>
              <w:t>29</w:t>
            </w:r>
            <w:r>
              <w:rPr>
                <w:noProof/>
                <w:webHidden/>
              </w:rPr>
              <w:fldChar w:fldCharType="end"/>
            </w:r>
          </w:hyperlink>
        </w:p>
        <w:p w14:paraId="15E91BE7" w14:textId="7EC199AA" w:rsidR="00911198" w:rsidRDefault="0091119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958207" w:history="1">
            <w:r w:rsidRPr="00DD3ABA">
              <w:rPr>
                <w:rStyle w:val="Hyperlink"/>
                <w:noProof/>
              </w:rPr>
              <w:t>Pharmacokinetics and pharmacodynamics</w:t>
            </w:r>
            <w:r>
              <w:rPr>
                <w:noProof/>
                <w:webHidden/>
              </w:rPr>
              <w:tab/>
            </w:r>
            <w:r>
              <w:rPr>
                <w:noProof/>
                <w:webHidden/>
              </w:rPr>
              <w:fldChar w:fldCharType="begin"/>
            </w:r>
            <w:r>
              <w:rPr>
                <w:noProof/>
                <w:webHidden/>
              </w:rPr>
              <w:instrText xml:space="preserve"> PAGEREF _Toc242958207 \h </w:instrText>
            </w:r>
            <w:r>
              <w:rPr>
                <w:noProof/>
                <w:webHidden/>
              </w:rPr>
            </w:r>
            <w:r>
              <w:rPr>
                <w:noProof/>
                <w:webHidden/>
              </w:rPr>
              <w:fldChar w:fldCharType="separate"/>
            </w:r>
            <w:r>
              <w:rPr>
                <w:noProof/>
                <w:webHidden/>
              </w:rPr>
              <w:t>30</w:t>
            </w:r>
            <w:r>
              <w:rPr>
                <w:noProof/>
                <w:webHidden/>
              </w:rPr>
              <w:fldChar w:fldCharType="end"/>
            </w:r>
          </w:hyperlink>
        </w:p>
        <w:p w14:paraId="2AE032AE" w14:textId="4862AD30" w:rsidR="00911198" w:rsidRDefault="0091119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958208" w:history="1">
            <w:r w:rsidRPr="00DD3ABA">
              <w:rPr>
                <w:rStyle w:val="Hyperlink"/>
                <w:noProof/>
              </w:rPr>
              <w:t>Efficacy</w:t>
            </w:r>
            <w:r>
              <w:rPr>
                <w:noProof/>
                <w:webHidden/>
              </w:rPr>
              <w:tab/>
            </w:r>
            <w:r>
              <w:rPr>
                <w:noProof/>
                <w:webHidden/>
              </w:rPr>
              <w:fldChar w:fldCharType="begin"/>
            </w:r>
            <w:r>
              <w:rPr>
                <w:noProof/>
                <w:webHidden/>
              </w:rPr>
              <w:instrText xml:space="preserve"> PAGEREF _Toc242958208 \h </w:instrText>
            </w:r>
            <w:r>
              <w:rPr>
                <w:noProof/>
                <w:webHidden/>
              </w:rPr>
            </w:r>
            <w:r>
              <w:rPr>
                <w:noProof/>
                <w:webHidden/>
              </w:rPr>
              <w:fldChar w:fldCharType="separate"/>
            </w:r>
            <w:r>
              <w:rPr>
                <w:noProof/>
                <w:webHidden/>
              </w:rPr>
              <w:t>30</w:t>
            </w:r>
            <w:r>
              <w:rPr>
                <w:noProof/>
                <w:webHidden/>
              </w:rPr>
              <w:fldChar w:fldCharType="end"/>
            </w:r>
          </w:hyperlink>
        </w:p>
        <w:p w14:paraId="7604F4CE" w14:textId="2BCCF9A2" w:rsidR="00911198" w:rsidRDefault="0091119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958209" w:history="1">
            <w:r w:rsidRPr="00DD3ABA">
              <w:rPr>
                <w:rStyle w:val="Hyperlink"/>
                <w:noProof/>
              </w:rPr>
              <w:t>Safety</w:t>
            </w:r>
            <w:r>
              <w:rPr>
                <w:noProof/>
                <w:webHidden/>
              </w:rPr>
              <w:tab/>
            </w:r>
            <w:r>
              <w:rPr>
                <w:noProof/>
                <w:webHidden/>
              </w:rPr>
              <w:fldChar w:fldCharType="begin"/>
            </w:r>
            <w:r>
              <w:rPr>
                <w:noProof/>
                <w:webHidden/>
              </w:rPr>
              <w:instrText xml:space="preserve"> PAGEREF _Toc242958209 \h </w:instrText>
            </w:r>
            <w:r>
              <w:rPr>
                <w:noProof/>
                <w:webHidden/>
              </w:rPr>
            </w:r>
            <w:r>
              <w:rPr>
                <w:noProof/>
                <w:webHidden/>
              </w:rPr>
              <w:fldChar w:fldCharType="separate"/>
            </w:r>
            <w:r>
              <w:rPr>
                <w:noProof/>
                <w:webHidden/>
              </w:rPr>
              <w:t>31</w:t>
            </w:r>
            <w:r>
              <w:rPr>
                <w:noProof/>
                <w:webHidden/>
              </w:rPr>
              <w:fldChar w:fldCharType="end"/>
            </w:r>
          </w:hyperlink>
        </w:p>
        <w:p w14:paraId="37307A7F" w14:textId="75CCFFA3" w:rsidR="00911198" w:rsidRDefault="0091119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958210" w:history="1">
            <w:r w:rsidRPr="00DD3ABA">
              <w:rPr>
                <w:rStyle w:val="Hyperlink"/>
                <w:noProof/>
              </w:rPr>
              <w:t>Other considerations</w:t>
            </w:r>
            <w:r>
              <w:rPr>
                <w:noProof/>
                <w:webHidden/>
              </w:rPr>
              <w:tab/>
            </w:r>
            <w:r>
              <w:rPr>
                <w:noProof/>
                <w:webHidden/>
              </w:rPr>
              <w:fldChar w:fldCharType="begin"/>
            </w:r>
            <w:r>
              <w:rPr>
                <w:noProof/>
                <w:webHidden/>
              </w:rPr>
              <w:instrText xml:space="preserve"> PAGEREF _Toc242958210 \h </w:instrText>
            </w:r>
            <w:r>
              <w:rPr>
                <w:noProof/>
                <w:webHidden/>
              </w:rPr>
            </w:r>
            <w:r>
              <w:rPr>
                <w:noProof/>
                <w:webHidden/>
              </w:rPr>
              <w:fldChar w:fldCharType="separate"/>
            </w:r>
            <w:r>
              <w:rPr>
                <w:noProof/>
                <w:webHidden/>
              </w:rPr>
              <w:t>32</w:t>
            </w:r>
            <w:r>
              <w:rPr>
                <w:noProof/>
                <w:webHidden/>
              </w:rPr>
              <w:fldChar w:fldCharType="end"/>
            </w:r>
          </w:hyperlink>
        </w:p>
        <w:p w14:paraId="59D8371F" w14:textId="1DBBA361" w:rsidR="00911198" w:rsidRDefault="0091119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958211" w:history="1">
            <w:r w:rsidRPr="00DD3ABA">
              <w:rPr>
                <w:rStyle w:val="Hyperlink"/>
                <w:noProof/>
              </w:rPr>
              <w:t>Conclusions</w:t>
            </w:r>
            <w:r>
              <w:rPr>
                <w:noProof/>
                <w:webHidden/>
              </w:rPr>
              <w:tab/>
            </w:r>
            <w:r>
              <w:rPr>
                <w:noProof/>
                <w:webHidden/>
              </w:rPr>
              <w:fldChar w:fldCharType="begin"/>
            </w:r>
            <w:r>
              <w:rPr>
                <w:noProof/>
                <w:webHidden/>
              </w:rPr>
              <w:instrText xml:space="preserve"> PAGEREF _Toc242958211 \h </w:instrText>
            </w:r>
            <w:r>
              <w:rPr>
                <w:noProof/>
                <w:webHidden/>
              </w:rPr>
            </w:r>
            <w:r>
              <w:rPr>
                <w:noProof/>
                <w:webHidden/>
              </w:rPr>
              <w:fldChar w:fldCharType="separate"/>
            </w:r>
            <w:r>
              <w:rPr>
                <w:noProof/>
                <w:webHidden/>
              </w:rPr>
              <w:t>33</w:t>
            </w:r>
            <w:r>
              <w:rPr>
                <w:noProof/>
                <w:webHidden/>
              </w:rPr>
              <w:fldChar w:fldCharType="end"/>
            </w:r>
          </w:hyperlink>
        </w:p>
        <w:p w14:paraId="56C78A0F" w14:textId="7C821AEF" w:rsidR="00911198" w:rsidRDefault="00911198">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2958212" w:history="1">
            <w:r w:rsidRPr="00DD3ABA">
              <w:rPr>
                <w:rStyle w:val="Hyperlink"/>
                <w:noProof/>
              </w:rPr>
              <w:t>Assessment outcome</w:t>
            </w:r>
            <w:r>
              <w:rPr>
                <w:noProof/>
                <w:webHidden/>
              </w:rPr>
              <w:tab/>
            </w:r>
            <w:r>
              <w:rPr>
                <w:noProof/>
                <w:webHidden/>
              </w:rPr>
              <w:fldChar w:fldCharType="begin"/>
            </w:r>
            <w:r>
              <w:rPr>
                <w:noProof/>
                <w:webHidden/>
              </w:rPr>
              <w:instrText xml:space="preserve"> PAGEREF _Toc242958212 \h </w:instrText>
            </w:r>
            <w:r>
              <w:rPr>
                <w:noProof/>
                <w:webHidden/>
              </w:rPr>
            </w:r>
            <w:r>
              <w:rPr>
                <w:noProof/>
                <w:webHidden/>
              </w:rPr>
              <w:fldChar w:fldCharType="separate"/>
            </w:r>
            <w:r>
              <w:rPr>
                <w:noProof/>
                <w:webHidden/>
              </w:rPr>
              <w:t>33</w:t>
            </w:r>
            <w:r>
              <w:rPr>
                <w:noProof/>
                <w:webHidden/>
              </w:rPr>
              <w:fldChar w:fldCharType="end"/>
            </w:r>
          </w:hyperlink>
        </w:p>
        <w:p w14:paraId="40084D92" w14:textId="6D4B3631" w:rsidR="00911198" w:rsidRDefault="0091119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958213" w:history="1">
            <w:r w:rsidRPr="00DD3ABA">
              <w:rPr>
                <w:rStyle w:val="Hyperlink"/>
                <w:noProof/>
              </w:rPr>
              <w:t>Specific conditions of registration</w:t>
            </w:r>
            <w:r>
              <w:rPr>
                <w:noProof/>
                <w:webHidden/>
              </w:rPr>
              <w:tab/>
            </w:r>
            <w:r>
              <w:rPr>
                <w:noProof/>
                <w:webHidden/>
              </w:rPr>
              <w:fldChar w:fldCharType="begin"/>
            </w:r>
            <w:r>
              <w:rPr>
                <w:noProof/>
                <w:webHidden/>
              </w:rPr>
              <w:instrText xml:space="preserve"> PAGEREF _Toc242958213 \h </w:instrText>
            </w:r>
            <w:r>
              <w:rPr>
                <w:noProof/>
                <w:webHidden/>
              </w:rPr>
            </w:r>
            <w:r>
              <w:rPr>
                <w:noProof/>
                <w:webHidden/>
              </w:rPr>
              <w:fldChar w:fldCharType="separate"/>
            </w:r>
            <w:r>
              <w:rPr>
                <w:noProof/>
                <w:webHidden/>
              </w:rPr>
              <w:t>33</w:t>
            </w:r>
            <w:r>
              <w:rPr>
                <w:noProof/>
                <w:webHidden/>
              </w:rPr>
              <w:fldChar w:fldCharType="end"/>
            </w:r>
          </w:hyperlink>
        </w:p>
        <w:p w14:paraId="1994B800" w14:textId="13DD1F2F" w:rsidR="00911198" w:rsidRDefault="00911198">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2958214" w:history="1">
            <w:r w:rsidRPr="00DD3ABA">
              <w:rPr>
                <w:rStyle w:val="Hyperlink"/>
                <w:noProof/>
              </w:rPr>
              <w:t>Product Information and Consumer Medicine Information</w:t>
            </w:r>
            <w:r>
              <w:rPr>
                <w:noProof/>
                <w:webHidden/>
              </w:rPr>
              <w:tab/>
            </w:r>
            <w:r>
              <w:rPr>
                <w:noProof/>
                <w:webHidden/>
              </w:rPr>
              <w:fldChar w:fldCharType="begin"/>
            </w:r>
            <w:r>
              <w:rPr>
                <w:noProof/>
                <w:webHidden/>
              </w:rPr>
              <w:instrText xml:space="preserve"> PAGEREF _Toc242958214 \h </w:instrText>
            </w:r>
            <w:r>
              <w:rPr>
                <w:noProof/>
                <w:webHidden/>
              </w:rPr>
            </w:r>
            <w:r>
              <w:rPr>
                <w:noProof/>
                <w:webHidden/>
              </w:rPr>
              <w:fldChar w:fldCharType="separate"/>
            </w:r>
            <w:r>
              <w:rPr>
                <w:noProof/>
                <w:webHidden/>
              </w:rPr>
              <w:t>33</w:t>
            </w:r>
            <w:r>
              <w:rPr>
                <w:noProof/>
                <w:webHidden/>
              </w:rPr>
              <w:fldChar w:fldCharType="end"/>
            </w:r>
          </w:hyperlink>
        </w:p>
        <w:p w14:paraId="77659F2D" w14:textId="7963A94B" w:rsidR="00F02AEC" w:rsidRPr="00215D48" w:rsidRDefault="00F02AEC" w:rsidP="007452E8">
          <w:r w:rsidRPr="00215D48">
            <w:fldChar w:fldCharType="end"/>
          </w:r>
        </w:p>
      </w:sdtContent>
    </w:sdt>
    <w:p w14:paraId="10987AE2" w14:textId="77777777" w:rsidR="00F02AEC" w:rsidRPr="00215D48" w:rsidRDefault="00F02AEC" w:rsidP="007452E8">
      <w:r w:rsidRPr="00215D48">
        <w:br w:type="page"/>
      </w:r>
    </w:p>
    <w:p w14:paraId="1E73AB93" w14:textId="77777777" w:rsidR="00324B33" w:rsidRDefault="00324B33" w:rsidP="00324B33">
      <w:pPr>
        <w:pStyle w:val="Heading2"/>
      </w:pPr>
      <w:bookmarkStart w:id="0" w:name="_Toc98931917"/>
      <w:bookmarkStart w:id="1" w:name="_Toc103679287"/>
      <w:bookmarkStart w:id="2" w:name="_Toc242958187"/>
      <w:bookmarkStart w:id="3" w:name="_Toc323739589"/>
      <w:bookmarkStart w:id="4" w:name="_Toc356305216"/>
      <w:r>
        <w:lastRenderedPageBreak/>
        <w:t>List of abbreviations</w:t>
      </w:r>
      <w:bookmarkEnd w:id="0"/>
      <w:bookmarkEnd w:id="1"/>
      <w:bookmarkEnd w:id="2"/>
    </w:p>
    <w:tbl>
      <w:tblPr>
        <w:tblStyle w:val="TableTGAblue2023"/>
        <w:tblW w:w="5000" w:type="pct"/>
        <w:tblLook w:val="04A0" w:firstRow="1" w:lastRow="0" w:firstColumn="1" w:lastColumn="0" w:noHBand="0" w:noVBand="1"/>
      </w:tblPr>
      <w:tblGrid>
        <w:gridCol w:w="2245"/>
        <w:gridCol w:w="6815"/>
      </w:tblGrid>
      <w:tr w:rsidR="009E17D3" w:rsidRPr="00D01DDB" w14:paraId="0832891C" w14:textId="77777777" w:rsidTr="00D517B3">
        <w:trPr>
          <w:cnfStyle w:val="100000000000" w:firstRow="1" w:lastRow="0" w:firstColumn="0" w:lastColumn="0" w:oddVBand="0" w:evenVBand="0" w:oddHBand="0"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239" w:type="pct"/>
          </w:tcPr>
          <w:p w14:paraId="56B74951" w14:textId="77777777" w:rsidR="009E17D3" w:rsidRPr="00D01DDB" w:rsidRDefault="009E17D3" w:rsidP="00D517B3">
            <w:pPr>
              <w:rPr>
                <w:szCs w:val="22"/>
              </w:rPr>
            </w:pPr>
            <w:bookmarkStart w:id="5" w:name="_Toc103679288"/>
            <w:r w:rsidRPr="00D01DDB">
              <w:rPr>
                <w:szCs w:val="22"/>
              </w:rPr>
              <w:t>Abbreviation</w:t>
            </w:r>
          </w:p>
        </w:tc>
        <w:tc>
          <w:tcPr>
            <w:tcW w:w="3761" w:type="pct"/>
          </w:tcPr>
          <w:p w14:paraId="50848D6E" w14:textId="77777777" w:rsidR="009E17D3" w:rsidRPr="00D01DDB" w:rsidRDefault="009E17D3" w:rsidP="00D517B3">
            <w:pPr>
              <w:cnfStyle w:val="100000000000" w:firstRow="1" w:lastRow="0" w:firstColumn="0" w:lastColumn="0" w:oddVBand="0" w:evenVBand="0" w:oddHBand="0" w:evenHBand="0" w:firstRowFirstColumn="0" w:firstRowLastColumn="0" w:lastRowFirstColumn="0" w:lastRowLastColumn="0"/>
              <w:rPr>
                <w:szCs w:val="22"/>
              </w:rPr>
            </w:pPr>
            <w:r w:rsidRPr="00D01DDB">
              <w:rPr>
                <w:szCs w:val="22"/>
              </w:rPr>
              <w:t>Meaning</w:t>
            </w:r>
          </w:p>
        </w:tc>
      </w:tr>
      <w:tr w:rsidR="009E17D3" w:rsidRPr="00D01DDB" w14:paraId="53095E31"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15C2A9FA" w14:textId="77777777" w:rsidR="009E17D3" w:rsidRPr="00D01DDB" w:rsidRDefault="009E17D3" w:rsidP="00D517B3">
            <w:pPr>
              <w:rPr>
                <w:szCs w:val="22"/>
              </w:rPr>
            </w:pPr>
            <w:r w:rsidRPr="000F495B">
              <w:t>ADA</w:t>
            </w:r>
          </w:p>
        </w:tc>
        <w:tc>
          <w:tcPr>
            <w:tcW w:w="3761" w:type="pct"/>
          </w:tcPr>
          <w:p w14:paraId="67FF9523" w14:textId="77777777" w:rsidR="009E17D3" w:rsidRPr="00D01DDB" w:rsidRDefault="009E17D3" w:rsidP="00D517B3">
            <w:pPr>
              <w:cnfStyle w:val="000000000000" w:firstRow="0" w:lastRow="0" w:firstColumn="0" w:lastColumn="0" w:oddVBand="0" w:evenVBand="0" w:oddHBand="0" w:evenHBand="0" w:firstRowFirstColumn="0" w:firstRowLastColumn="0" w:lastRowFirstColumn="0" w:lastRowLastColumn="0"/>
              <w:rPr>
                <w:szCs w:val="22"/>
              </w:rPr>
            </w:pPr>
            <w:r>
              <w:t>A</w:t>
            </w:r>
            <w:r w:rsidRPr="007E5028">
              <w:t>nti-drug antibodies</w:t>
            </w:r>
          </w:p>
        </w:tc>
      </w:tr>
      <w:tr w:rsidR="009E17D3" w:rsidRPr="00D01DDB" w14:paraId="0F217E88"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296F6F05" w14:textId="77777777" w:rsidR="009E17D3" w:rsidRPr="00D01DDB" w:rsidRDefault="009E17D3" w:rsidP="00D517B3">
            <w:pPr>
              <w:rPr>
                <w:szCs w:val="22"/>
              </w:rPr>
            </w:pPr>
            <w:r w:rsidRPr="000F495B">
              <w:t>AEs</w:t>
            </w:r>
          </w:p>
        </w:tc>
        <w:tc>
          <w:tcPr>
            <w:tcW w:w="3761" w:type="pct"/>
          </w:tcPr>
          <w:p w14:paraId="3302D7E7" w14:textId="77777777" w:rsidR="009E17D3" w:rsidRPr="00D01DDB" w:rsidRDefault="009E17D3" w:rsidP="00D517B3">
            <w:pPr>
              <w:cnfStyle w:val="000000000000" w:firstRow="0" w:lastRow="0" w:firstColumn="0" w:lastColumn="0" w:oddVBand="0" w:evenVBand="0" w:oddHBand="0" w:evenHBand="0" w:firstRowFirstColumn="0" w:firstRowLastColumn="0" w:lastRowFirstColumn="0" w:lastRowLastColumn="0"/>
              <w:rPr>
                <w:szCs w:val="22"/>
              </w:rPr>
            </w:pPr>
            <w:r>
              <w:t>A</w:t>
            </w:r>
            <w:r w:rsidRPr="000F495B">
              <w:t>dverse event</w:t>
            </w:r>
            <w:r>
              <w:t>(</w:t>
            </w:r>
            <w:r w:rsidRPr="000F495B">
              <w:t>s</w:t>
            </w:r>
            <w:r>
              <w:t>)</w:t>
            </w:r>
            <w:r w:rsidRPr="000F495B">
              <w:t xml:space="preserve"> </w:t>
            </w:r>
            <w:r>
              <w:tab/>
            </w:r>
          </w:p>
        </w:tc>
      </w:tr>
      <w:tr w:rsidR="009E17D3" w:rsidRPr="00D01DDB" w14:paraId="6FE612A4"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12FFD112" w14:textId="77777777" w:rsidR="009E17D3" w:rsidRPr="00D01DDB" w:rsidRDefault="009E17D3" w:rsidP="00D517B3">
            <w:pPr>
              <w:rPr>
                <w:szCs w:val="22"/>
              </w:rPr>
            </w:pPr>
            <w:r w:rsidRPr="009D3687">
              <w:t>AESI</w:t>
            </w:r>
          </w:p>
        </w:tc>
        <w:tc>
          <w:tcPr>
            <w:tcW w:w="3761" w:type="pct"/>
          </w:tcPr>
          <w:p w14:paraId="7B0452B6" w14:textId="77777777" w:rsidR="009E17D3" w:rsidRPr="00D01DDB" w:rsidRDefault="009E17D3" w:rsidP="00D517B3">
            <w:pPr>
              <w:cnfStyle w:val="000000000000" w:firstRow="0" w:lastRow="0" w:firstColumn="0" w:lastColumn="0" w:oddVBand="0" w:evenVBand="0" w:oddHBand="0" w:evenHBand="0" w:firstRowFirstColumn="0" w:firstRowLastColumn="0" w:lastRowFirstColumn="0" w:lastRowLastColumn="0"/>
              <w:rPr>
                <w:szCs w:val="22"/>
              </w:rPr>
            </w:pPr>
            <w:r>
              <w:t>A</w:t>
            </w:r>
            <w:r w:rsidRPr="009D3687">
              <w:t>dverse event</w:t>
            </w:r>
            <w:r>
              <w:t>(</w:t>
            </w:r>
            <w:r w:rsidRPr="009D3687">
              <w:t>s</w:t>
            </w:r>
            <w:r>
              <w:t>)</w:t>
            </w:r>
            <w:r w:rsidRPr="009D3687">
              <w:t xml:space="preserve"> of special interest</w:t>
            </w:r>
          </w:p>
        </w:tc>
      </w:tr>
      <w:tr w:rsidR="009E17D3" w:rsidRPr="00D01DDB" w14:paraId="50CF0724"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68660799" w14:textId="77777777" w:rsidR="009E17D3" w:rsidRPr="00D01DDB" w:rsidRDefault="009E17D3" w:rsidP="00D517B3">
            <w:pPr>
              <w:rPr>
                <w:szCs w:val="22"/>
              </w:rPr>
            </w:pPr>
            <w:r w:rsidRPr="00DA0772">
              <w:t>AI</w:t>
            </w:r>
          </w:p>
        </w:tc>
        <w:tc>
          <w:tcPr>
            <w:tcW w:w="3761" w:type="pct"/>
          </w:tcPr>
          <w:p w14:paraId="2D3E79AF" w14:textId="77777777" w:rsidR="009E17D3" w:rsidRPr="00D01DDB" w:rsidRDefault="009E17D3" w:rsidP="00D517B3">
            <w:pPr>
              <w:tabs>
                <w:tab w:val="left" w:pos="2411"/>
              </w:tabs>
              <w:cnfStyle w:val="000000000000" w:firstRow="0" w:lastRow="0" w:firstColumn="0" w:lastColumn="0" w:oddVBand="0" w:evenVBand="0" w:oddHBand="0" w:evenHBand="0" w:firstRowFirstColumn="0" w:firstRowLastColumn="0" w:lastRowFirstColumn="0" w:lastRowLastColumn="0"/>
              <w:rPr>
                <w:szCs w:val="22"/>
              </w:rPr>
            </w:pPr>
            <w:r>
              <w:t>A</w:t>
            </w:r>
            <w:r w:rsidRPr="00DA0772">
              <w:t>utomatic injector</w:t>
            </w:r>
          </w:p>
        </w:tc>
      </w:tr>
      <w:tr w:rsidR="009E17D3" w:rsidRPr="00D01DDB" w14:paraId="5817E239"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3151BE61" w14:textId="77777777" w:rsidR="009E17D3" w:rsidRPr="000F495B" w:rsidRDefault="009E17D3" w:rsidP="00D517B3">
            <w:r w:rsidRPr="00D01DDB">
              <w:rPr>
                <w:szCs w:val="22"/>
              </w:rPr>
              <w:t>ARTG</w:t>
            </w:r>
          </w:p>
        </w:tc>
        <w:tc>
          <w:tcPr>
            <w:tcW w:w="3761" w:type="pct"/>
          </w:tcPr>
          <w:p w14:paraId="280161F6" w14:textId="77777777" w:rsidR="009E17D3" w:rsidRDefault="009E17D3" w:rsidP="00D517B3">
            <w:pPr>
              <w:tabs>
                <w:tab w:val="left" w:pos="2411"/>
              </w:tabs>
              <w:cnfStyle w:val="000000000000" w:firstRow="0" w:lastRow="0" w:firstColumn="0" w:lastColumn="0" w:oddVBand="0" w:evenVBand="0" w:oddHBand="0" w:evenHBand="0" w:firstRowFirstColumn="0" w:firstRowLastColumn="0" w:lastRowFirstColumn="0" w:lastRowLastColumn="0"/>
            </w:pPr>
            <w:r w:rsidRPr="00D01DDB">
              <w:rPr>
                <w:szCs w:val="22"/>
              </w:rPr>
              <w:t>Australian Register of Therapeutic Goods</w:t>
            </w:r>
          </w:p>
        </w:tc>
      </w:tr>
      <w:tr w:rsidR="009E17D3" w:rsidRPr="00D01DDB" w14:paraId="719237F8"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274E85F7" w14:textId="77777777" w:rsidR="009E17D3" w:rsidRPr="000F495B" w:rsidRDefault="009E17D3" w:rsidP="00D517B3">
            <w:r w:rsidRPr="001134CA">
              <w:t>ASO</w:t>
            </w:r>
          </w:p>
        </w:tc>
        <w:tc>
          <w:tcPr>
            <w:tcW w:w="3761" w:type="pct"/>
          </w:tcPr>
          <w:p w14:paraId="0A7625BB" w14:textId="77777777" w:rsidR="009E17D3" w:rsidRDefault="009E17D3" w:rsidP="00D517B3">
            <w:pPr>
              <w:cnfStyle w:val="000000000000" w:firstRow="0" w:lastRow="0" w:firstColumn="0" w:lastColumn="0" w:oddVBand="0" w:evenVBand="0" w:oddHBand="0" w:evenHBand="0" w:firstRowFirstColumn="0" w:firstRowLastColumn="0" w:lastRowFirstColumn="0" w:lastRowLastColumn="0"/>
            </w:pPr>
            <w:r>
              <w:t>A</w:t>
            </w:r>
            <w:r w:rsidRPr="001134CA">
              <w:t>ntisense oligonucleotide</w:t>
            </w:r>
          </w:p>
        </w:tc>
      </w:tr>
      <w:tr w:rsidR="009E17D3" w:rsidRPr="00D01DDB" w14:paraId="74ACAC38"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117A1869" w14:textId="77777777" w:rsidR="009E17D3" w:rsidRPr="00D01DDB" w:rsidRDefault="009E17D3" w:rsidP="00D517B3">
            <w:pPr>
              <w:rPr>
                <w:szCs w:val="22"/>
              </w:rPr>
            </w:pPr>
            <w:r w:rsidRPr="001A24B5">
              <w:rPr>
                <w:szCs w:val="22"/>
              </w:rPr>
              <w:t>ATTRv</w:t>
            </w:r>
          </w:p>
        </w:tc>
        <w:tc>
          <w:tcPr>
            <w:tcW w:w="3761" w:type="pct"/>
          </w:tcPr>
          <w:p w14:paraId="14073C9A" w14:textId="77777777" w:rsidR="009E17D3" w:rsidRPr="00D01DDB" w:rsidRDefault="009E17D3" w:rsidP="00D517B3">
            <w:pPr>
              <w:cnfStyle w:val="000000000000" w:firstRow="0" w:lastRow="0" w:firstColumn="0" w:lastColumn="0" w:oddVBand="0" w:evenVBand="0" w:oddHBand="0" w:evenHBand="0" w:firstRowFirstColumn="0" w:firstRowLastColumn="0" w:lastRowFirstColumn="0" w:lastRowLastColumn="0"/>
              <w:rPr>
                <w:szCs w:val="22"/>
              </w:rPr>
            </w:pPr>
            <w:r>
              <w:rPr>
                <w:szCs w:val="22"/>
              </w:rPr>
              <w:t>H</w:t>
            </w:r>
            <w:r w:rsidRPr="003827EE">
              <w:rPr>
                <w:szCs w:val="22"/>
              </w:rPr>
              <w:t>ereditary transthyretin-mediated amyloidos</w:t>
            </w:r>
            <w:r>
              <w:rPr>
                <w:szCs w:val="22"/>
              </w:rPr>
              <w:t>is</w:t>
            </w:r>
          </w:p>
        </w:tc>
      </w:tr>
      <w:tr w:rsidR="009E17D3" w:rsidRPr="00D01DDB" w14:paraId="466B0FB2"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1F57DD1A" w14:textId="77777777" w:rsidR="009E17D3" w:rsidRDefault="009E17D3" w:rsidP="00D517B3">
            <w:pPr>
              <w:rPr>
                <w:szCs w:val="22"/>
              </w:rPr>
            </w:pPr>
            <w:r>
              <w:rPr>
                <w:szCs w:val="22"/>
              </w:rPr>
              <w:t>AUC</w:t>
            </w:r>
          </w:p>
        </w:tc>
        <w:tc>
          <w:tcPr>
            <w:tcW w:w="3761" w:type="pct"/>
          </w:tcPr>
          <w:p w14:paraId="08C9F28F" w14:textId="77777777" w:rsidR="009E17D3" w:rsidRDefault="009E17D3" w:rsidP="00D517B3">
            <w:pPr>
              <w:cnfStyle w:val="000000000000" w:firstRow="0" w:lastRow="0" w:firstColumn="0" w:lastColumn="0" w:oddVBand="0" w:evenVBand="0" w:oddHBand="0" w:evenHBand="0" w:firstRowFirstColumn="0" w:firstRowLastColumn="0" w:lastRowFirstColumn="0" w:lastRowLastColumn="0"/>
              <w:rPr>
                <w:szCs w:val="22"/>
              </w:rPr>
            </w:pPr>
            <w:r>
              <w:rPr>
                <w:szCs w:val="22"/>
              </w:rPr>
              <w:t>A</w:t>
            </w:r>
            <w:r w:rsidRPr="001F449A">
              <w:rPr>
                <w:szCs w:val="22"/>
              </w:rPr>
              <w:t>rea under the concentration-time curve</w:t>
            </w:r>
          </w:p>
        </w:tc>
      </w:tr>
      <w:tr w:rsidR="009E17D3" w:rsidRPr="00D01DDB" w14:paraId="1A06784A"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1445FEE7" w14:textId="77777777" w:rsidR="009E17D3" w:rsidRDefault="009E17D3" w:rsidP="00D517B3">
            <w:pPr>
              <w:ind w:left="0"/>
              <w:rPr>
                <w:szCs w:val="22"/>
              </w:rPr>
            </w:pPr>
            <w:r>
              <w:t xml:space="preserve">   </w:t>
            </w:r>
            <w:r w:rsidRPr="00F220E7">
              <w:t>CIs</w:t>
            </w:r>
          </w:p>
        </w:tc>
        <w:tc>
          <w:tcPr>
            <w:tcW w:w="3761" w:type="pct"/>
          </w:tcPr>
          <w:p w14:paraId="5C509239" w14:textId="77777777" w:rsidR="009E17D3" w:rsidRDefault="009E17D3" w:rsidP="00D517B3">
            <w:pPr>
              <w:cnfStyle w:val="000000000000" w:firstRow="0" w:lastRow="0" w:firstColumn="0" w:lastColumn="0" w:oddVBand="0" w:evenVBand="0" w:oddHBand="0" w:evenHBand="0" w:firstRowFirstColumn="0" w:firstRowLastColumn="0" w:lastRowFirstColumn="0" w:lastRowLastColumn="0"/>
              <w:rPr>
                <w:szCs w:val="22"/>
              </w:rPr>
            </w:pPr>
            <w:r>
              <w:t>C</w:t>
            </w:r>
            <w:r w:rsidRPr="00F220E7">
              <w:t>onfidence interval</w:t>
            </w:r>
            <w:r>
              <w:t>(</w:t>
            </w:r>
            <w:r w:rsidRPr="00F220E7">
              <w:t>s</w:t>
            </w:r>
            <w:r>
              <w:t>)</w:t>
            </w:r>
          </w:p>
        </w:tc>
      </w:tr>
      <w:tr w:rsidR="009E17D3" w:rsidRPr="00D01DDB" w14:paraId="38CF7EB2"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054171B9" w14:textId="77777777" w:rsidR="009E17D3" w:rsidRPr="00D01DDB" w:rsidRDefault="009E17D3" w:rsidP="00D517B3">
            <w:pPr>
              <w:rPr>
                <w:szCs w:val="22"/>
              </w:rPr>
            </w:pPr>
            <w:r w:rsidRPr="00D01DDB">
              <w:rPr>
                <w:szCs w:val="22"/>
              </w:rPr>
              <w:t>CMI</w:t>
            </w:r>
          </w:p>
        </w:tc>
        <w:tc>
          <w:tcPr>
            <w:tcW w:w="3761" w:type="pct"/>
          </w:tcPr>
          <w:p w14:paraId="3AB47A95" w14:textId="77777777" w:rsidR="009E17D3" w:rsidRPr="00D01DDB" w:rsidRDefault="009E17D3" w:rsidP="00D517B3">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Consumer Medicines Information</w:t>
            </w:r>
          </w:p>
        </w:tc>
      </w:tr>
      <w:tr w:rsidR="009E17D3" w:rsidRPr="00D01DDB" w14:paraId="6F8B27FF"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0B3C40F8" w14:textId="77777777" w:rsidR="009E17D3" w:rsidRPr="00D01DDB" w:rsidRDefault="009E17D3" w:rsidP="00D517B3">
            <w:pPr>
              <w:rPr>
                <w:szCs w:val="22"/>
              </w:rPr>
            </w:pPr>
            <w:proofErr w:type="spellStart"/>
            <w:r w:rsidRPr="007339F2">
              <w:rPr>
                <w:lang w:val="en-US"/>
              </w:rPr>
              <w:t>C</w:t>
            </w:r>
            <w:r w:rsidRPr="007339F2">
              <w:rPr>
                <w:vertAlign w:val="subscript"/>
                <w:lang w:val="en-US"/>
              </w:rPr>
              <w:t>max</w:t>
            </w:r>
            <w:proofErr w:type="spellEnd"/>
          </w:p>
        </w:tc>
        <w:tc>
          <w:tcPr>
            <w:tcW w:w="3761" w:type="pct"/>
          </w:tcPr>
          <w:p w14:paraId="21951674" w14:textId="77777777" w:rsidR="009E17D3" w:rsidRPr="00D01DDB" w:rsidRDefault="009E17D3" w:rsidP="00D517B3">
            <w:pPr>
              <w:cnfStyle w:val="000000000000" w:firstRow="0" w:lastRow="0" w:firstColumn="0" w:lastColumn="0" w:oddVBand="0" w:evenVBand="0" w:oddHBand="0" w:evenHBand="0" w:firstRowFirstColumn="0" w:firstRowLastColumn="0" w:lastRowFirstColumn="0" w:lastRowLastColumn="0"/>
              <w:rPr>
                <w:szCs w:val="22"/>
              </w:rPr>
            </w:pPr>
            <w:r>
              <w:rPr>
                <w:lang w:val="en-US"/>
              </w:rPr>
              <w:t>M</w:t>
            </w:r>
            <w:r w:rsidRPr="00882D34">
              <w:rPr>
                <w:lang w:val="en-US"/>
              </w:rPr>
              <w:t xml:space="preserve">aximum </w:t>
            </w:r>
            <w:r>
              <w:rPr>
                <w:lang w:val="en-US"/>
              </w:rPr>
              <w:t xml:space="preserve">plasma </w:t>
            </w:r>
            <w:r w:rsidRPr="00882D34">
              <w:rPr>
                <w:lang w:val="en-US"/>
              </w:rPr>
              <w:t>concentration</w:t>
            </w:r>
          </w:p>
        </w:tc>
      </w:tr>
      <w:tr w:rsidR="009E17D3" w:rsidRPr="00D01DDB" w14:paraId="3F8D0495"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488A42E5" w14:textId="77777777" w:rsidR="009E17D3" w:rsidRPr="007339F2" w:rsidRDefault="009E17D3" w:rsidP="00D517B3">
            <w:pPr>
              <w:rPr>
                <w:lang w:val="en-US"/>
              </w:rPr>
            </w:pPr>
            <w:proofErr w:type="spellStart"/>
            <w:r w:rsidRPr="00994845">
              <w:t>C</w:t>
            </w:r>
            <w:r w:rsidRPr="00994845">
              <w:rPr>
                <w:vertAlign w:val="subscript"/>
              </w:rPr>
              <w:t>trough</w:t>
            </w:r>
            <w:proofErr w:type="spellEnd"/>
          </w:p>
        </w:tc>
        <w:tc>
          <w:tcPr>
            <w:tcW w:w="3761" w:type="pct"/>
          </w:tcPr>
          <w:p w14:paraId="7B351C56" w14:textId="77777777" w:rsidR="009E17D3" w:rsidRDefault="009E17D3" w:rsidP="00D517B3">
            <w:pPr>
              <w:cnfStyle w:val="000000000000" w:firstRow="0" w:lastRow="0" w:firstColumn="0" w:lastColumn="0" w:oddVBand="0" w:evenVBand="0" w:oddHBand="0" w:evenHBand="0" w:firstRowFirstColumn="0" w:firstRowLastColumn="0" w:lastRowFirstColumn="0" w:lastRowLastColumn="0"/>
              <w:rPr>
                <w:lang w:val="en-US"/>
              </w:rPr>
            </w:pPr>
            <w:r>
              <w:rPr>
                <w:lang w:val="en-US"/>
              </w:rPr>
              <w:t>T</w:t>
            </w:r>
            <w:r w:rsidRPr="00D74BA6">
              <w:rPr>
                <w:lang w:val="en-US"/>
              </w:rPr>
              <w:t>rough plasma concentration</w:t>
            </w:r>
            <w:r>
              <w:rPr>
                <w:lang w:val="en-US"/>
              </w:rPr>
              <w:t xml:space="preserve">; the </w:t>
            </w:r>
            <w:r w:rsidRPr="00D74BA6">
              <w:rPr>
                <w:lang w:val="en-US"/>
              </w:rPr>
              <w:t xml:space="preserve">lowest concentration of a </w:t>
            </w:r>
            <w:r>
              <w:rPr>
                <w:lang w:val="en-US"/>
              </w:rPr>
              <w:t>drug</w:t>
            </w:r>
            <w:r w:rsidRPr="00D74BA6">
              <w:rPr>
                <w:lang w:val="en-US"/>
              </w:rPr>
              <w:t xml:space="preserve"> in the blood plasma between doses</w:t>
            </w:r>
          </w:p>
        </w:tc>
      </w:tr>
      <w:tr w:rsidR="009E17D3" w:rsidRPr="00D01DDB" w14:paraId="5948FF35"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1FF58CFE" w14:textId="77777777" w:rsidR="009E17D3" w:rsidRPr="00994845" w:rsidRDefault="009E17D3" w:rsidP="00D517B3">
            <w:r>
              <w:t>CV</w:t>
            </w:r>
          </w:p>
        </w:tc>
        <w:tc>
          <w:tcPr>
            <w:tcW w:w="3761" w:type="pct"/>
          </w:tcPr>
          <w:p w14:paraId="2A2E9CFA" w14:textId="77777777" w:rsidR="009E17D3" w:rsidRDefault="009E17D3" w:rsidP="00D517B3">
            <w:pPr>
              <w:cnfStyle w:val="000000000000" w:firstRow="0" w:lastRow="0" w:firstColumn="0" w:lastColumn="0" w:oddVBand="0" w:evenVBand="0" w:oddHBand="0" w:evenHBand="0" w:firstRowFirstColumn="0" w:firstRowLastColumn="0" w:lastRowFirstColumn="0" w:lastRowLastColumn="0"/>
              <w:rPr>
                <w:lang w:val="en-US"/>
              </w:rPr>
            </w:pPr>
            <w:r>
              <w:rPr>
                <w:lang w:val="en-US"/>
              </w:rPr>
              <w:t>C</w:t>
            </w:r>
            <w:r w:rsidRPr="00D74BA6">
              <w:rPr>
                <w:lang w:val="en-US"/>
              </w:rPr>
              <w:t>oefficient of variation</w:t>
            </w:r>
          </w:p>
        </w:tc>
      </w:tr>
      <w:tr w:rsidR="009E17D3" w:rsidRPr="00D01DDB" w14:paraId="356BD9CC"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60736CAB" w14:textId="77777777" w:rsidR="009E17D3" w:rsidRDefault="009E17D3" w:rsidP="00D517B3">
            <w:r w:rsidRPr="00D74BA6">
              <w:t>eGFR</w:t>
            </w:r>
          </w:p>
        </w:tc>
        <w:tc>
          <w:tcPr>
            <w:tcW w:w="3761" w:type="pct"/>
          </w:tcPr>
          <w:p w14:paraId="471CC2D9" w14:textId="77777777" w:rsidR="009E17D3" w:rsidRDefault="009E17D3" w:rsidP="00D517B3">
            <w:pPr>
              <w:cnfStyle w:val="000000000000" w:firstRow="0" w:lastRow="0" w:firstColumn="0" w:lastColumn="0" w:oddVBand="0" w:evenVBand="0" w:oddHBand="0" w:evenHBand="0" w:firstRowFirstColumn="0" w:firstRowLastColumn="0" w:lastRowFirstColumn="0" w:lastRowLastColumn="0"/>
              <w:rPr>
                <w:lang w:val="en-US"/>
              </w:rPr>
            </w:pPr>
            <w:r>
              <w:rPr>
                <w:lang w:val="en-US"/>
              </w:rPr>
              <w:t>E</w:t>
            </w:r>
            <w:r w:rsidRPr="00D74BA6">
              <w:rPr>
                <w:lang w:val="en-US"/>
              </w:rPr>
              <w:t>stimated glomerular filtration rate</w:t>
            </w:r>
          </w:p>
        </w:tc>
      </w:tr>
      <w:tr w:rsidR="009E17D3" w:rsidRPr="00D01DDB" w14:paraId="79CB89FF"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058F2E38" w14:textId="77777777" w:rsidR="009E17D3" w:rsidRPr="00CC6927" w:rsidRDefault="009E17D3" w:rsidP="00D517B3">
            <w:r w:rsidRPr="00593489">
              <w:t>GalNAc</w:t>
            </w:r>
          </w:p>
        </w:tc>
        <w:tc>
          <w:tcPr>
            <w:tcW w:w="3761" w:type="pct"/>
          </w:tcPr>
          <w:p w14:paraId="60ECDC47" w14:textId="77777777" w:rsidR="009E17D3" w:rsidRDefault="009E17D3" w:rsidP="00D517B3">
            <w:pPr>
              <w:cnfStyle w:val="000000000000" w:firstRow="0" w:lastRow="0" w:firstColumn="0" w:lastColumn="0" w:oddVBand="0" w:evenVBand="0" w:oddHBand="0" w:evenHBand="0" w:firstRowFirstColumn="0" w:firstRowLastColumn="0" w:lastRowFirstColumn="0" w:lastRowLastColumn="0"/>
            </w:pPr>
            <w:r w:rsidRPr="00593489">
              <w:t>N-</w:t>
            </w:r>
            <w:proofErr w:type="spellStart"/>
            <w:r w:rsidRPr="00593489">
              <w:t>acetylgalactosamine</w:t>
            </w:r>
            <w:proofErr w:type="spellEnd"/>
          </w:p>
        </w:tc>
      </w:tr>
      <w:tr w:rsidR="009E17D3" w:rsidRPr="00D01DDB" w14:paraId="5AFFF319"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107A05A8" w14:textId="77777777" w:rsidR="009E17D3" w:rsidRPr="00D74BA6" w:rsidRDefault="009E17D3" w:rsidP="00D517B3">
            <w:r w:rsidRPr="00CC6927">
              <w:t>ISRs</w:t>
            </w:r>
          </w:p>
        </w:tc>
        <w:tc>
          <w:tcPr>
            <w:tcW w:w="3761" w:type="pct"/>
          </w:tcPr>
          <w:p w14:paraId="3437C7FD" w14:textId="77777777" w:rsidR="009E17D3" w:rsidRPr="00D74BA6" w:rsidRDefault="009E17D3" w:rsidP="00D517B3">
            <w:pPr>
              <w:cnfStyle w:val="000000000000" w:firstRow="0" w:lastRow="0" w:firstColumn="0" w:lastColumn="0" w:oddVBand="0" w:evenVBand="0" w:oddHBand="0" w:evenHBand="0" w:firstRowFirstColumn="0" w:firstRowLastColumn="0" w:lastRowFirstColumn="0" w:lastRowLastColumn="0"/>
              <w:rPr>
                <w:lang w:val="en-US"/>
              </w:rPr>
            </w:pPr>
            <w:r>
              <w:t>I</w:t>
            </w:r>
            <w:r w:rsidRPr="00CC6927">
              <w:t>njection site reaction</w:t>
            </w:r>
            <w:r>
              <w:t>(</w:t>
            </w:r>
            <w:r w:rsidRPr="00CC6927">
              <w:t>s</w:t>
            </w:r>
            <w:r>
              <w:t>)</w:t>
            </w:r>
          </w:p>
        </w:tc>
      </w:tr>
      <w:tr w:rsidR="009E17D3" w:rsidRPr="00D01DDB" w14:paraId="0FF3EA88"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281DFD25" w14:textId="77777777" w:rsidR="009E17D3" w:rsidRPr="00A64A70" w:rsidRDefault="009E17D3" w:rsidP="00D517B3">
            <w:r w:rsidRPr="008B7600">
              <w:t>LLN</w:t>
            </w:r>
          </w:p>
        </w:tc>
        <w:tc>
          <w:tcPr>
            <w:tcW w:w="3761" w:type="pct"/>
          </w:tcPr>
          <w:p w14:paraId="21853FF9" w14:textId="77777777" w:rsidR="009E17D3" w:rsidRDefault="009E17D3" w:rsidP="00D517B3">
            <w:pPr>
              <w:tabs>
                <w:tab w:val="left" w:pos="2596"/>
              </w:tabs>
              <w:cnfStyle w:val="000000000000" w:firstRow="0" w:lastRow="0" w:firstColumn="0" w:lastColumn="0" w:oddVBand="0" w:evenVBand="0" w:oddHBand="0" w:evenHBand="0" w:firstRowFirstColumn="0" w:firstRowLastColumn="0" w:lastRowFirstColumn="0" w:lastRowLastColumn="0"/>
            </w:pPr>
            <w:r>
              <w:t>L</w:t>
            </w:r>
            <w:r w:rsidRPr="008B7600">
              <w:t>ower limit of normal</w:t>
            </w:r>
          </w:p>
        </w:tc>
      </w:tr>
      <w:tr w:rsidR="009E17D3" w:rsidRPr="00D01DDB" w14:paraId="5BA78000"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1B792A4A" w14:textId="77777777" w:rsidR="009E17D3" w:rsidRPr="008B7600" w:rsidRDefault="009E17D3" w:rsidP="00D517B3">
            <w:r w:rsidRPr="002474DB">
              <w:t>mNIS+7</w:t>
            </w:r>
          </w:p>
        </w:tc>
        <w:tc>
          <w:tcPr>
            <w:tcW w:w="3761" w:type="pct"/>
          </w:tcPr>
          <w:p w14:paraId="12582C48" w14:textId="77777777" w:rsidR="009E17D3" w:rsidRPr="008B7600" w:rsidRDefault="009E17D3" w:rsidP="00D517B3">
            <w:pPr>
              <w:tabs>
                <w:tab w:val="left" w:pos="2596"/>
              </w:tabs>
              <w:cnfStyle w:val="000000000000" w:firstRow="0" w:lastRow="0" w:firstColumn="0" w:lastColumn="0" w:oddVBand="0" w:evenVBand="0" w:oddHBand="0" w:evenHBand="0" w:firstRowFirstColumn="0" w:firstRowLastColumn="0" w:lastRowFirstColumn="0" w:lastRowLastColumn="0"/>
            </w:pPr>
            <w:r>
              <w:t>M</w:t>
            </w:r>
            <w:r w:rsidRPr="002474DB">
              <w:t>odified Neuropathy Impairment Score + 7</w:t>
            </w:r>
          </w:p>
        </w:tc>
      </w:tr>
      <w:tr w:rsidR="009E17D3" w:rsidRPr="00D01DDB" w14:paraId="6855CCFF"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43E66288" w14:textId="77777777" w:rsidR="009E17D3" w:rsidRPr="007B2DA1" w:rsidRDefault="009E17D3" w:rsidP="00D517B3">
            <w:r w:rsidRPr="007B2DA1">
              <w:t>PD</w:t>
            </w:r>
          </w:p>
        </w:tc>
        <w:tc>
          <w:tcPr>
            <w:tcW w:w="3761" w:type="pct"/>
          </w:tcPr>
          <w:p w14:paraId="785ECFC6" w14:textId="77777777" w:rsidR="009E17D3" w:rsidRDefault="009E17D3" w:rsidP="00D517B3">
            <w:pPr>
              <w:cnfStyle w:val="000000000000" w:firstRow="0" w:lastRow="0" w:firstColumn="0" w:lastColumn="0" w:oddVBand="0" w:evenVBand="0" w:oddHBand="0" w:evenHBand="0" w:firstRowFirstColumn="0" w:firstRowLastColumn="0" w:lastRowFirstColumn="0" w:lastRowLastColumn="0"/>
            </w:pPr>
            <w:r>
              <w:t>Pharmacodynamic(s)</w:t>
            </w:r>
          </w:p>
        </w:tc>
      </w:tr>
      <w:tr w:rsidR="009E17D3" w:rsidRPr="00D01DDB" w14:paraId="4755C016"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3EA64C65" w14:textId="77777777" w:rsidR="009E17D3" w:rsidRPr="00D01DDB" w:rsidRDefault="009E17D3" w:rsidP="00D517B3">
            <w:pPr>
              <w:rPr>
                <w:szCs w:val="22"/>
              </w:rPr>
            </w:pPr>
            <w:r w:rsidRPr="00D01DDB">
              <w:rPr>
                <w:szCs w:val="22"/>
              </w:rPr>
              <w:t>PI</w:t>
            </w:r>
          </w:p>
        </w:tc>
        <w:tc>
          <w:tcPr>
            <w:tcW w:w="3761" w:type="pct"/>
          </w:tcPr>
          <w:p w14:paraId="0CCD9EE7" w14:textId="77777777" w:rsidR="009E17D3" w:rsidRPr="00D01DDB" w:rsidRDefault="009E17D3" w:rsidP="00D517B3">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Product Information</w:t>
            </w:r>
          </w:p>
        </w:tc>
      </w:tr>
      <w:tr w:rsidR="009E17D3" w:rsidRPr="00D01DDB" w14:paraId="14F41019"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3FB6E05D" w14:textId="77777777" w:rsidR="009E17D3" w:rsidRPr="00D01DDB" w:rsidRDefault="009E17D3" w:rsidP="00D517B3">
            <w:pPr>
              <w:rPr>
                <w:szCs w:val="22"/>
              </w:rPr>
            </w:pPr>
            <w:r w:rsidRPr="000E0F25">
              <w:t>PK</w:t>
            </w:r>
          </w:p>
        </w:tc>
        <w:tc>
          <w:tcPr>
            <w:tcW w:w="3761" w:type="pct"/>
          </w:tcPr>
          <w:p w14:paraId="65CA177D" w14:textId="77777777" w:rsidR="009E17D3" w:rsidRPr="00D01DDB" w:rsidRDefault="009E17D3" w:rsidP="00D517B3">
            <w:pPr>
              <w:cnfStyle w:val="000000000000" w:firstRow="0" w:lastRow="0" w:firstColumn="0" w:lastColumn="0" w:oddVBand="0" w:evenVBand="0" w:oddHBand="0" w:evenHBand="0" w:firstRowFirstColumn="0" w:firstRowLastColumn="0" w:lastRowFirstColumn="0" w:lastRowLastColumn="0"/>
              <w:rPr>
                <w:szCs w:val="22"/>
              </w:rPr>
            </w:pPr>
            <w:r>
              <w:t>P</w:t>
            </w:r>
            <w:r w:rsidRPr="000E0F25">
              <w:t>harmacokinetic</w:t>
            </w:r>
            <w:r>
              <w:t>(</w:t>
            </w:r>
            <w:r w:rsidRPr="000E0F25">
              <w:t>s</w:t>
            </w:r>
            <w:r>
              <w:t>)</w:t>
            </w:r>
          </w:p>
        </w:tc>
      </w:tr>
      <w:tr w:rsidR="009E17D3" w:rsidRPr="00D01DDB" w14:paraId="5114132D"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721A41F5" w14:textId="77777777" w:rsidR="009E17D3" w:rsidRPr="000E0F25" w:rsidRDefault="009E17D3" w:rsidP="00D517B3">
            <w:proofErr w:type="spellStart"/>
            <w:r w:rsidRPr="00CE44BD">
              <w:t>popPK</w:t>
            </w:r>
            <w:proofErr w:type="spellEnd"/>
          </w:p>
        </w:tc>
        <w:tc>
          <w:tcPr>
            <w:tcW w:w="3761" w:type="pct"/>
          </w:tcPr>
          <w:p w14:paraId="74613AA7" w14:textId="77777777" w:rsidR="009E17D3" w:rsidRDefault="009E17D3" w:rsidP="00D517B3">
            <w:pPr>
              <w:cnfStyle w:val="000000000000" w:firstRow="0" w:lastRow="0" w:firstColumn="0" w:lastColumn="0" w:oddVBand="0" w:evenVBand="0" w:oddHBand="0" w:evenHBand="0" w:firstRowFirstColumn="0" w:firstRowLastColumn="0" w:lastRowFirstColumn="0" w:lastRowLastColumn="0"/>
            </w:pPr>
            <w:r>
              <w:t>P</w:t>
            </w:r>
            <w:r w:rsidRPr="00CE44BD">
              <w:t xml:space="preserve">opulation </w:t>
            </w:r>
            <w:r>
              <w:t>pharmacokinetics</w:t>
            </w:r>
          </w:p>
        </w:tc>
      </w:tr>
      <w:tr w:rsidR="009E17D3" w:rsidRPr="00D01DDB" w14:paraId="066B8A71"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0A307E97" w14:textId="77777777" w:rsidR="009E17D3" w:rsidRDefault="009E17D3" w:rsidP="00D517B3">
            <w:proofErr w:type="spellStart"/>
            <w:r w:rsidRPr="006C3802">
              <w:t>popPK</w:t>
            </w:r>
            <w:proofErr w:type="spellEnd"/>
            <w:r w:rsidRPr="006C3802">
              <w:t>/ PD</w:t>
            </w:r>
          </w:p>
        </w:tc>
        <w:tc>
          <w:tcPr>
            <w:tcW w:w="3761" w:type="pct"/>
          </w:tcPr>
          <w:p w14:paraId="01752726" w14:textId="77777777" w:rsidR="009E17D3" w:rsidRDefault="009E17D3" w:rsidP="00D517B3">
            <w:pPr>
              <w:cnfStyle w:val="000000000000" w:firstRow="0" w:lastRow="0" w:firstColumn="0" w:lastColumn="0" w:oddVBand="0" w:evenVBand="0" w:oddHBand="0" w:evenHBand="0" w:firstRowFirstColumn="0" w:firstRowLastColumn="0" w:lastRowFirstColumn="0" w:lastRowLastColumn="0"/>
            </w:pPr>
            <w:r>
              <w:t>P</w:t>
            </w:r>
            <w:r w:rsidRPr="006C3802">
              <w:t xml:space="preserve">opulation </w:t>
            </w:r>
            <w:r>
              <w:t>p</w:t>
            </w:r>
            <w:r w:rsidRPr="007B2DA1">
              <w:t>harmacokinetics</w:t>
            </w:r>
            <w:r w:rsidRPr="006C3802">
              <w:t>/pharmacodynamics</w:t>
            </w:r>
          </w:p>
        </w:tc>
      </w:tr>
      <w:tr w:rsidR="009E17D3" w:rsidRPr="00D01DDB" w14:paraId="4ACFEB5F"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66AAB5EA" w14:textId="77777777" w:rsidR="009E17D3" w:rsidRPr="00CE44BD" w:rsidRDefault="009E17D3" w:rsidP="00D517B3">
            <w:r w:rsidRPr="009B43C4">
              <w:t>PN</w:t>
            </w:r>
          </w:p>
        </w:tc>
        <w:tc>
          <w:tcPr>
            <w:tcW w:w="3761" w:type="pct"/>
          </w:tcPr>
          <w:p w14:paraId="3E11C56E" w14:textId="77777777" w:rsidR="009E17D3" w:rsidRPr="00CE44BD" w:rsidRDefault="009E17D3" w:rsidP="00D517B3">
            <w:pPr>
              <w:cnfStyle w:val="000000000000" w:firstRow="0" w:lastRow="0" w:firstColumn="0" w:lastColumn="0" w:oddVBand="0" w:evenVBand="0" w:oddHBand="0" w:evenHBand="0" w:firstRowFirstColumn="0" w:firstRowLastColumn="0" w:lastRowFirstColumn="0" w:lastRowLastColumn="0"/>
            </w:pPr>
            <w:r>
              <w:t>P</w:t>
            </w:r>
            <w:r w:rsidRPr="00F653E1">
              <w:t>eripheral neuropathy</w:t>
            </w:r>
          </w:p>
        </w:tc>
      </w:tr>
      <w:tr w:rsidR="009E17D3" w:rsidRPr="00D01DDB" w14:paraId="58B301F9"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25857042" w14:textId="77777777" w:rsidR="009E17D3" w:rsidRPr="00D01DDB" w:rsidRDefault="009E17D3" w:rsidP="00D517B3">
            <w:pPr>
              <w:rPr>
                <w:szCs w:val="22"/>
              </w:rPr>
            </w:pPr>
            <w:r w:rsidRPr="00D01DDB">
              <w:rPr>
                <w:szCs w:val="22"/>
              </w:rPr>
              <w:t>PSUR</w:t>
            </w:r>
          </w:p>
        </w:tc>
        <w:tc>
          <w:tcPr>
            <w:tcW w:w="3761" w:type="pct"/>
          </w:tcPr>
          <w:p w14:paraId="0B30582A" w14:textId="77777777" w:rsidR="009E17D3" w:rsidRPr="00D01DDB" w:rsidRDefault="009E17D3" w:rsidP="00D517B3">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Periodic safety update report</w:t>
            </w:r>
          </w:p>
        </w:tc>
      </w:tr>
      <w:tr w:rsidR="009E17D3" w:rsidRPr="00D01DDB" w14:paraId="7E19EBAF"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665F8891" w14:textId="77777777" w:rsidR="009E17D3" w:rsidRPr="00D01DDB" w:rsidRDefault="009E17D3" w:rsidP="00D517B3">
            <w:pPr>
              <w:rPr>
                <w:szCs w:val="22"/>
              </w:rPr>
            </w:pPr>
            <w:r>
              <w:rPr>
                <w:szCs w:val="22"/>
              </w:rPr>
              <w:t>Q4W</w:t>
            </w:r>
          </w:p>
        </w:tc>
        <w:tc>
          <w:tcPr>
            <w:tcW w:w="3761" w:type="pct"/>
          </w:tcPr>
          <w:p w14:paraId="7A071E14" w14:textId="77777777" w:rsidR="009E17D3" w:rsidRPr="00D01DDB" w:rsidRDefault="009E17D3" w:rsidP="00D517B3">
            <w:pPr>
              <w:cnfStyle w:val="000000000000" w:firstRow="0" w:lastRow="0" w:firstColumn="0" w:lastColumn="0" w:oddVBand="0" w:evenVBand="0" w:oddHBand="0" w:evenHBand="0" w:firstRowFirstColumn="0" w:firstRowLastColumn="0" w:lastRowFirstColumn="0" w:lastRowLastColumn="0"/>
              <w:rPr>
                <w:szCs w:val="22"/>
              </w:rPr>
            </w:pPr>
            <w:r>
              <w:rPr>
                <w:szCs w:val="22"/>
              </w:rPr>
              <w:t>D</w:t>
            </w:r>
            <w:r w:rsidRPr="00D74BA6">
              <w:rPr>
                <w:szCs w:val="22"/>
              </w:rPr>
              <w:t>os</w:t>
            </w:r>
            <w:r>
              <w:rPr>
                <w:szCs w:val="22"/>
              </w:rPr>
              <w:t>e</w:t>
            </w:r>
            <w:r w:rsidRPr="00D74BA6">
              <w:rPr>
                <w:szCs w:val="22"/>
              </w:rPr>
              <w:t xml:space="preserve"> once every 4 weeks</w:t>
            </w:r>
          </w:p>
        </w:tc>
      </w:tr>
      <w:tr w:rsidR="009E17D3" w:rsidRPr="00D01DDB" w14:paraId="382A2B6D"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437393AE" w14:textId="77777777" w:rsidR="009E17D3" w:rsidRDefault="009E17D3" w:rsidP="00D517B3">
            <w:pPr>
              <w:rPr>
                <w:szCs w:val="22"/>
              </w:rPr>
            </w:pPr>
            <w:r w:rsidRPr="007A5AA7">
              <w:t>QoL-DN</w:t>
            </w:r>
          </w:p>
        </w:tc>
        <w:tc>
          <w:tcPr>
            <w:tcW w:w="3761" w:type="pct"/>
          </w:tcPr>
          <w:p w14:paraId="43F564D5" w14:textId="77777777" w:rsidR="009E17D3" w:rsidRDefault="009E17D3" w:rsidP="00D517B3">
            <w:pPr>
              <w:cnfStyle w:val="000000000000" w:firstRow="0" w:lastRow="0" w:firstColumn="0" w:lastColumn="0" w:oddVBand="0" w:evenVBand="0" w:oddHBand="0" w:evenHBand="0" w:firstRowFirstColumn="0" w:firstRowLastColumn="0" w:lastRowFirstColumn="0" w:lastRowLastColumn="0"/>
              <w:rPr>
                <w:szCs w:val="22"/>
              </w:rPr>
            </w:pPr>
            <w:r w:rsidRPr="007A5AA7">
              <w:t>Norfolk Quality of Life – Diabetic Neuropathy</w:t>
            </w:r>
          </w:p>
        </w:tc>
      </w:tr>
      <w:tr w:rsidR="009E17D3" w:rsidRPr="00D01DDB" w14:paraId="5D4B9AF7"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44D0CB97" w14:textId="77777777" w:rsidR="009E17D3" w:rsidRPr="00D01DDB" w:rsidRDefault="009E17D3" w:rsidP="00D517B3">
            <w:pPr>
              <w:rPr>
                <w:szCs w:val="22"/>
              </w:rPr>
            </w:pPr>
            <w:r w:rsidRPr="00D01DDB">
              <w:rPr>
                <w:szCs w:val="22"/>
              </w:rPr>
              <w:t>RMP</w:t>
            </w:r>
          </w:p>
        </w:tc>
        <w:tc>
          <w:tcPr>
            <w:tcW w:w="3761" w:type="pct"/>
          </w:tcPr>
          <w:p w14:paraId="191F3547" w14:textId="77777777" w:rsidR="009E17D3" w:rsidRPr="00D01DDB" w:rsidRDefault="009E17D3" w:rsidP="00D517B3">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Risk management plan</w:t>
            </w:r>
          </w:p>
        </w:tc>
      </w:tr>
      <w:tr w:rsidR="009E17D3" w:rsidRPr="00D01DDB" w14:paraId="6B37643F"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3884DC15" w14:textId="77777777" w:rsidR="009E17D3" w:rsidRPr="00D01DDB" w:rsidRDefault="009E17D3" w:rsidP="00D517B3">
            <w:pPr>
              <w:rPr>
                <w:szCs w:val="22"/>
              </w:rPr>
            </w:pPr>
            <w:r w:rsidRPr="00842686">
              <w:t>SC</w:t>
            </w:r>
          </w:p>
        </w:tc>
        <w:tc>
          <w:tcPr>
            <w:tcW w:w="3761" w:type="pct"/>
          </w:tcPr>
          <w:p w14:paraId="5BFBF01D" w14:textId="77777777" w:rsidR="009E17D3" w:rsidRPr="00D01DDB" w:rsidRDefault="009E17D3" w:rsidP="00D517B3">
            <w:pPr>
              <w:cnfStyle w:val="000000000000" w:firstRow="0" w:lastRow="0" w:firstColumn="0" w:lastColumn="0" w:oddVBand="0" w:evenVBand="0" w:oddHBand="0" w:evenHBand="0" w:firstRowFirstColumn="0" w:firstRowLastColumn="0" w:lastRowFirstColumn="0" w:lastRowLastColumn="0"/>
              <w:rPr>
                <w:szCs w:val="22"/>
              </w:rPr>
            </w:pPr>
            <w:r>
              <w:t>S</w:t>
            </w:r>
            <w:r w:rsidRPr="00842686">
              <w:t>ubcutaneous</w:t>
            </w:r>
          </w:p>
        </w:tc>
      </w:tr>
      <w:tr w:rsidR="009E17D3" w:rsidRPr="00D01DDB" w14:paraId="1AB3DC6B"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470DAB50" w14:textId="77777777" w:rsidR="009E17D3" w:rsidRPr="00842686" w:rsidRDefault="009E17D3" w:rsidP="00D517B3">
            <w:r w:rsidRPr="00BB2A1D">
              <w:t>SD</w:t>
            </w:r>
          </w:p>
        </w:tc>
        <w:tc>
          <w:tcPr>
            <w:tcW w:w="3761" w:type="pct"/>
          </w:tcPr>
          <w:p w14:paraId="72720196" w14:textId="77777777" w:rsidR="009E17D3" w:rsidRPr="00842686" w:rsidRDefault="009E17D3" w:rsidP="00D517B3">
            <w:pPr>
              <w:cnfStyle w:val="000000000000" w:firstRow="0" w:lastRow="0" w:firstColumn="0" w:lastColumn="0" w:oddVBand="0" w:evenVBand="0" w:oddHBand="0" w:evenHBand="0" w:firstRowFirstColumn="0" w:firstRowLastColumn="0" w:lastRowFirstColumn="0" w:lastRowLastColumn="0"/>
            </w:pPr>
            <w:r>
              <w:t>S</w:t>
            </w:r>
            <w:r w:rsidRPr="00BB2A1D">
              <w:t>tandard deviation</w:t>
            </w:r>
          </w:p>
        </w:tc>
      </w:tr>
      <w:tr w:rsidR="009E17D3" w:rsidRPr="00D01DDB" w14:paraId="283E12A3"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011BB158" w14:textId="77777777" w:rsidR="009E17D3" w:rsidRPr="00D01DDB" w:rsidRDefault="009E17D3" w:rsidP="00D517B3">
            <w:pPr>
              <w:rPr>
                <w:szCs w:val="22"/>
              </w:rPr>
            </w:pPr>
            <w:r w:rsidRPr="00DA4ED5">
              <w:t>TEAEs</w:t>
            </w:r>
          </w:p>
        </w:tc>
        <w:tc>
          <w:tcPr>
            <w:tcW w:w="3761" w:type="pct"/>
          </w:tcPr>
          <w:p w14:paraId="1E6F207D" w14:textId="77777777" w:rsidR="009E17D3" w:rsidRPr="00D01DDB" w:rsidRDefault="009E17D3" w:rsidP="00D517B3">
            <w:pPr>
              <w:cnfStyle w:val="000000000000" w:firstRow="0" w:lastRow="0" w:firstColumn="0" w:lastColumn="0" w:oddVBand="0" w:evenVBand="0" w:oddHBand="0" w:evenHBand="0" w:firstRowFirstColumn="0" w:firstRowLastColumn="0" w:lastRowFirstColumn="0" w:lastRowLastColumn="0"/>
              <w:rPr>
                <w:szCs w:val="22"/>
              </w:rPr>
            </w:pPr>
            <w:r>
              <w:t>T</w:t>
            </w:r>
            <w:r w:rsidRPr="00DA4ED5">
              <w:t>reatment emergent adverse events</w:t>
            </w:r>
          </w:p>
        </w:tc>
      </w:tr>
      <w:tr w:rsidR="009E17D3" w:rsidRPr="00D01DDB" w14:paraId="483E0680"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705DB12B" w14:textId="77777777" w:rsidR="009E17D3" w:rsidRPr="00D01DDB" w:rsidRDefault="009E17D3" w:rsidP="00D517B3">
            <w:pPr>
              <w:rPr>
                <w:szCs w:val="22"/>
              </w:rPr>
            </w:pPr>
            <w:r w:rsidRPr="00D01DDB">
              <w:rPr>
                <w:szCs w:val="22"/>
              </w:rPr>
              <w:lastRenderedPageBreak/>
              <w:t>TGA</w:t>
            </w:r>
          </w:p>
        </w:tc>
        <w:tc>
          <w:tcPr>
            <w:tcW w:w="3761" w:type="pct"/>
          </w:tcPr>
          <w:p w14:paraId="5562BEC9" w14:textId="77777777" w:rsidR="009E17D3" w:rsidRPr="00D01DDB" w:rsidRDefault="009E17D3" w:rsidP="00D517B3">
            <w:pPr>
              <w:cnfStyle w:val="000000000000" w:firstRow="0" w:lastRow="0" w:firstColumn="0" w:lastColumn="0" w:oddVBand="0" w:evenVBand="0" w:oddHBand="0" w:evenHBand="0" w:firstRowFirstColumn="0" w:firstRowLastColumn="0" w:lastRowFirstColumn="0" w:lastRowLastColumn="0"/>
              <w:rPr>
                <w:szCs w:val="22"/>
              </w:rPr>
            </w:pPr>
            <w:r w:rsidRPr="00D01DDB">
              <w:rPr>
                <w:szCs w:val="22"/>
              </w:rPr>
              <w:t>Therapeutic Goods Administration</w:t>
            </w:r>
          </w:p>
        </w:tc>
      </w:tr>
      <w:tr w:rsidR="009E17D3" w:rsidRPr="00D01DDB" w14:paraId="5E3B0A94"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0E8C4268" w14:textId="77777777" w:rsidR="009E17D3" w:rsidRPr="00D01DDB" w:rsidRDefault="009E17D3" w:rsidP="00D517B3">
            <w:pPr>
              <w:rPr>
                <w:szCs w:val="22"/>
              </w:rPr>
            </w:pPr>
            <w:proofErr w:type="spellStart"/>
            <w:r>
              <w:t>T</w:t>
            </w:r>
            <w:r w:rsidRPr="006C011B">
              <w:rPr>
                <w:vertAlign w:val="subscript"/>
              </w:rPr>
              <w:t>max</w:t>
            </w:r>
            <w:proofErr w:type="spellEnd"/>
          </w:p>
        </w:tc>
        <w:tc>
          <w:tcPr>
            <w:tcW w:w="3761" w:type="pct"/>
          </w:tcPr>
          <w:p w14:paraId="35DC4475" w14:textId="77777777" w:rsidR="009E17D3" w:rsidRPr="00D01DDB" w:rsidRDefault="009E17D3" w:rsidP="00D517B3">
            <w:pPr>
              <w:cnfStyle w:val="000000000000" w:firstRow="0" w:lastRow="0" w:firstColumn="0" w:lastColumn="0" w:oddVBand="0" w:evenVBand="0" w:oddHBand="0" w:evenHBand="0" w:firstRowFirstColumn="0" w:firstRowLastColumn="0" w:lastRowFirstColumn="0" w:lastRowLastColumn="0"/>
              <w:rPr>
                <w:szCs w:val="22"/>
              </w:rPr>
            </w:pPr>
            <w:r>
              <w:t>T</w:t>
            </w:r>
            <w:r w:rsidRPr="002F3190">
              <w:t>ime to maximum concentration</w:t>
            </w:r>
          </w:p>
        </w:tc>
      </w:tr>
      <w:tr w:rsidR="009E17D3" w:rsidRPr="00D01DDB" w14:paraId="5B843B7C"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1A11B3F3" w14:textId="77777777" w:rsidR="009E17D3" w:rsidRDefault="009E17D3" w:rsidP="00D517B3">
            <w:r>
              <w:t>TTR</w:t>
            </w:r>
          </w:p>
        </w:tc>
        <w:tc>
          <w:tcPr>
            <w:tcW w:w="3761" w:type="pct"/>
          </w:tcPr>
          <w:p w14:paraId="34311F22" w14:textId="77777777" w:rsidR="009E17D3" w:rsidRDefault="009E17D3" w:rsidP="00D517B3">
            <w:pPr>
              <w:cnfStyle w:val="000000000000" w:firstRow="0" w:lastRow="0" w:firstColumn="0" w:lastColumn="0" w:oddVBand="0" w:evenVBand="0" w:oddHBand="0" w:evenHBand="0" w:firstRowFirstColumn="0" w:firstRowLastColumn="0" w:lastRowFirstColumn="0" w:lastRowLastColumn="0"/>
            </w:pPr>
            <w:r>
              <w:t>T</w:t>
            </w:r>
            <w:r w:rsidRPr="003827EE">
              <w:t>ransthyretin</w:t>
            </w:r>
          </w:p>
        </w:tc>
      </w:tr>
      <w:tr w:rsidR="009E17D3" w:rsidRPr="00D01DDB" w14:paraId="21BDDEAB" w14:textId="77777777" w:rsidTr="00D517B3">
        <w:trPr>
          <w:trHeight w:val="386"/>
        </w:trPr>
        <w:tc>
          <w:tcPr>
            <w:cnfStyle w:val="001000000000" w:firstRow="0" w:lastRow="0" w:firstColumn="1" w:lastColumn="0" w:oddVBand="0" w:evenVBand="0" w:oddHBand="0" w:evenHBand="0" w:firstRowFirstColumn="0" w:firstRowLastColumn="0" w:lastRowFirstColumn="0" w:lastRowLastColumn="0"/>
            <w:tcW w:w="1239" w:type="pct"/>
          </w:tcPr>
          <w:p w14:paraId="7AEADF9B" w14:textId="77777777" w:rsidR="009E17D3" w:rsidRDefault="009E17D3" w:rsidP="00D517B3">
            <w:r w:rsidRPr="00FD5E9C">
              <w:t>ULN</w:t>
            </w:r>
          </w:p>
        </w:tc>
        <w:tc>
          <w:tcPr>
            <w:tcW w:w="3761" w:type="pct"/>
          </w:tcPr>
          <w:p w14:paraId="1F913C2A" w14:textId="77777777" w:rsidR="009E17D3" w:rsidRDefault="009E17D3" w:rsidP="00D517B3">
            <w:pPr>
              <w:cnfStyle w:val="000000000000" w:firstRow="0" w:lastRow="0" w:firstColumn="0" w:lastColumn="0" w:oddVBand="0" w:evenVBand="0" w:oddHBand="0" w:evenHBand="0" w:firstRowFirstColumn="0" w:firstRowLastColumn="0" w:lastRowFirstColumn="0" w:lastRowLastColumn="0"/>
            </w:pPr>
            <w:r>
              <w:t>U</w:t>
            </w:r>
            <w:r w:rsidRPr="00FD5E9C">
              <w:t>pper limit of normal</w:t>
            </w:r>
          </w:p>
        </w:tc>
      </w:tr>
    </w:tbl>
    <w:p w14:paraId="6F461CE1" w14:textId="77777777" w:rsidR="008B4302" w:rsidRDefault="008B4302" w:rsidP="009E17D3"/>
    <w:p w14:paraId="6B4B517D" w14:textId="77777777" w:rsidR="008B4302" w:rsidRDefault="008B4302">
      <w:pPr>
        <w:rPr>
          <w:rFonts w:ascii="Arial" w:eastAsia="Times New Roman" w:hAnsi="Arial" w:cs="Times New Roman"/>
          <w:b/>
          <w:bCs/>
          <w:color w:val="001871"/>
          <w:sz w:val="38"/>
          <w:szCs w:val="38"/>
        </w:rPr>
      </w:pPr>
      <w:r>
        <w:br w:type="page"/>
      </w:r>
    </w:p>
    <w:p w14:paraId="44C2A39C" w14:textId="6FCECAE9" w:rsidR="00324B33" w:rsidRDefault="00324B33" w:rsidP="00324B33">
      <w:pPr>
        <w:pStyle w:val="Heading2"/>
      </w:pPr>
      <w:bookmarkStart w:id="6" w:name="_Toc242958188"/>
      <w:r>
        <w:lastRenderedPageBreak/>
        <w:t>Product submission</w:t>
      </w:r>
      <w:bookmarkEnd w:id="5"/>
      <w:bookmarkEnd w:id="6"/>
    </w:p>
    <w:p w14:paraId="21D559DF" w14:textId="77777777" w:rsidR="00324B33" w:rsidRDefault="00324B33" w:rsidP="00324B33">
      <w:pPr>
        <w:pStyle w:val="Heading3"/>
        <w:rPr>
          <w:lang w:eastAsia="en-AU"/>
        </w:rPr>
      </w:pPr>
      <w:bookmarkStart w:id="7" w:name="_Toc247691502"/>
      <w:bookmarkStart w:id="8" w:name="_Toc314842483"/>
      <w:bookmarkStart w:id="9" w:name="_Toc103679289"/>
      <w:bookmarkStart w:id="10" w:name="_Toc242958189"/>
      <w:r>
        <w:rPr>
          <w:lang w:eastAsia="en-AU"/>
        </w:rPr>
        <w:t>Submission details</w:t>
      </w:r>
      <w:bookmarkEnd w:id="7"/>
      <w:bookmarkEnd w:id="8"/>
      <w:bookmarkEnd w:id="9"/>
      <w:bookmarkEnd w:id="10"/>
    </w:p>
    <w:tbl>
      <w:tblPr>
        <w:tblW w:w="5000" w:type="pct"/>
        <w:tblLook w:val="01E0" w:firstRow="1" w:lastRow="1" w:firstColumn="1" w:lastColumn="1" w:noHBand="0" w:noVBand="0"/>
      </w:tblPr>
      <w:tblGrid>
        <w:gridCol w:w="2861"/>
        <w:gridCol w:w="6209"/>
      </w:tblGrid>
      <w:tr w:rsidR="00324B33" w:rsidRPr="00BD5DBD" w14:paraId="77D11C95" w14:textId="77777777" w:rsidTr="00BD4A9B">
        <w:tc>
          <w:tcPr>
            <w:tcW w:w="1577" w:type="pct"/>
          </w:tcPr>
          <w:p w14:paraId="10E57D62" w14:textId="13728BD6" w:rsidR="00324B33" w:rsidRPr="00BD5DBD" w:rsidRDefault="00324B33" w:rsidP="007452E8">
            <w:pPr>
              <w:rPr>
                <w:i/>
                <w:szCs w:val="22"/>
              </w:rPr>
            </w:pPr>
            <w:r w:rsidRPr="00BD5DBD">
              <w:rPr>
                <w:i/>
                <w:szCs w:val="22"/>
              </w:rPr>
              <w:t>Type of submission:</w:t>
            </w:r>
          </w:p>
        </w:tc>
        <w:tc>
          <w:tcPr>
            <w:tcW w:w="3423" w:type="pct"/>
          </w:tcPr>
          <w:p w14:paraId="4F07C303" w14:textId="69363D3F" w:rsidR="00324B33" w:rsidRPr="00BD5DBD" w:rsidRDefault="00324B33" w:rsidP="007452E8">
            <w:pPr>
              <w:rPr>
                <w:szCs w:val="22"/>
              </w:rPr>
            </w:pPr>
            <w:r w:rsidRPr="00BD5DBD">
              <w:rPr>
                <w:szCs w:val="22"/>
              </w:rPr>
              <w:t>New chemical entity</w:t>
            </w:r>
          </w:p>
        </w:tc>
      </w:tr>
      <w:tr w:rsidR="00324B33" w:rsidRPr="00BD5DBD" w14:paraId="13482B61" w14:textId="77777777" w:rsidTr="00BD4A9B">
        <w:tc>
          <w:tcPr>
            <w:tcW w:w="1577" w:type="pct"/>
          </w:tcPr>
          <w:p w14:paraId="2C427FCF" w14:textId="65BFD728" w:rsidR="00324B33" w:rsidRPr="00BD5DBD" w:rsidRDefault="00324B33" w:rsidP="007452E8">
            <w:pPr>
              <w:rPr>
                <w:i/>
                <w:szCs w:val="22"/>
              </w:rPr>
            </w:pPr>
            <w:r w:rsidRPr="00BD5DBD">
              <w:rPr>
                <w:i/>
                <w:szCs w:val="22"/>
              </w:rPr>
              <w:t>Product name:</w:t>
            </w:r>
          </w:p>
        </w:tc>
        <w:tc>
          <w:tcPr>
            <w:tcW w:w="3423" w:type="pct"/>
          </w:tcPr>
          <w:p w14:paraId="0E2DEF76" w14:textId="77BB37D7" w:rsidR="00324B33" w:rsidRPr="00BD5DBD" w:rsidRDefault="00A606FB" w:rsidP="007452E8">
            <w:pPr>
              <w:rPr>
                <w:szCs w:val="22"/>
              </w:rPr>
            </w:pPr>
            <w:r>
              <w:rPr>
                <w:szCs w:val="22"/>
              </w:rPr>
              <w:t>Wainua</w:t>
            </w:r>
          </w:p>
        </w:tc>
      </w:tr>
      <w:tr w:rsidR="00324B33" w:rsidRPr="00BD5DBD" w14:paraId="01255B5B" w14:textId="77777777" w:rsidTr="00BD4A9B">
        <w:tc>
          <w:tcPr>
            <w:tcW w:w="1577" w:type="pct"/>
          </w:tcPr>
          <w:p w14:paraId="52B4F3D7" w14:textId="3F7DAA91" w:rsidR="00324B33" w:rsidRPr="00BD5DBD" w:rsidRDefault="00324B33" w:rsidP="007452E8">
            <w:pPr>
              <w:rPr>
                <w:i/>
                <w:szCs w:val="22"/>
              </w:rPr>
            </w:pPr>
            <w:r w:rsidRPr="00BD5DBD">
              <w:rPr>
                <w:i/>
                <w:szCs w:val="22"/>
              </w:rPr>
              <w:t>Active ingredient:</w:t>
            </w:r>
          </w:p>
        </w:tc>
        <w:tc>
          <w:tcPr>
            <w:tcW w:w="3423" w:type="pct"/>
          </w:tcPr>
          <w:p w14:paraId="02FB6383" w14:textId="726C4226" w:rsidR="00324B33" w:rsidRPr="00BD5DBD" w:rsidRDefault="001A24B5" w:rsidP="007452E8">
            <w:pPr>
              <w:rPr>
                <w:szCs w:val="22"/>
              </w:rPr>
            </w:pPr>
            <w:r w:rsidRPr="001A24B5">
              <w:rPr>
                <w:szCs w:val="22"/>
              </w:rPr>
              <w:t>eplontersen (as sodium)</w:t>
            </w:r>
          </w:p>
        </w:tc>
      </w:tr>
      <w:tr w:rsidR="00324B33" w:rsidRPr="00BD5DBD" w14:paraId="219A281B" w14:textId="77777777" w:rsidTr="00BD4A9B">
        <w:tc>
          <w:tcPr>
            <w:tcW w:w="1577" w:type="pct"/>
          </w:tcPr>
          <w:p w14:paraId="112E5F78" w14:textId="77777777" w:rsidR="00324B33" w:rsidRPr="00BD5DBD" w:rsidRDefault="00324B33" w:rsidP="007452E8">
            <w:pPr>
              <w:rPr>
                <w:i/>
                <w:szCs w:val="22"/>
              </w:rPr>
            </w:pPr>
            <w:r w:rsidRPr="00BD5DBD">
              <w:rPr>
                <w:i/>
                <w:szCs w:val="22"/>
              </w:rPr>
              <w:t>Decision:</w:t>
            </w:r>
          </w:p>
        </w:tc>
        <w:tc>
          <w:tcPr>
            <w:tcW w:w="3423" w:type="pct"/>
          </w:tcPr>
          <w:p w14:paraId="3B114BEA" w14:textId="3E32B333" w:rsidR="00324B33" w:rsidRPr="00BD5DBD" w:rsidRDefault="00324B33" w:rsidP="007452E8">
            <w:pPr>
              <w:rPr>
                <w:szCs w:val="22"/>
              </w:rPr>
            </w:pPr>
            <w:r w:rsidRPr="00BD5DBD">
              <w:rPr>
                <w:szCs w:val="22"/>
              </w:rPr>
              <w:t>Approved</w:t>
            </w:r>
          </w:p>
        </w:tc>
      </w:tr>
      <w:tr w:rsidR="00BD4A9B" w:rsidRPr="00BD5DBD" w14:paraId="28B88C8D" w14:textId="77777777" w:rsidTr="00BD4A9B">
        <w:tc>
          <w:tcPr>
            <w:tcW w:w="1577" w:type="pct"/>
          </w:tcPr>
          <w:p w14:paraId="4A25B2C7" w14:textId="74059A6C" w:rsidR="00BD4A9B" w:rsidRPr="00BD5DBD" w:rsidRDefault="00BD4A9B" w:rsidP="00BD4A9B">
            <w:pPr>
              <w:rPr>
                <w:i/>
                <w:szCs w:val="22"/>
              </w:rPr>
            </w:pPr>
            <w:r w:rsidRPr="004A20BC">
              <w:rPr>
                <w:i/>
                <w:szCs w:val="22"/>
              </w:rPr>
              <w:t>Approved therapeutic use for the current submission:</w:t>
            </w:r>
          </w:p>
        </w:tc>
        <w:tc>
          <w:tcPr>
            <w:tcW w:w="3423" w:type="pct"/>
          </w:tcPr>
          <w:p w14:paraId="23485383" w14:textId="74946240" w:rsidR="00BD4A9B" w:rsidRPr="00BD5DBD" w:rsidRDefault="00A606FB" w:rsidP="001A24B5">
            <w:pPr>
              <w:rPr>
                <w:szCs w:val="22"/>
              </w:rPr>
            </w:pPr>
            <w:r>
              <w:rPr>
                <w:szCs w:val="22"/>
              </w:rPr>
              <w:t>Wainua</w:t>
            </w:r>
            <w:r w:rsidR="001A24B5" w:rsidRPr="001A24B5">
              <w:rPr>
                <w:szCs w:val="22"/>
              </w:rPr>
              <w:t xml:space="preserve"> is indicated for the treatment of hereditary transthyretin-mediated</w:t>
            </w:r>
            <w:r w:rsidR="001A24B5">
              <w:rPr>
                <w:szCs w:val="22"/>
              </w:rPr>
              <w:t xml:space="preserve"> </w:t>
            </w:r>
            <w:r w:rsidR="001A24B5" w:rsidRPr="001A24B5">
              <w:rPr>
                <w:szCs w:val="22"/>
              </w:rPr>
              <w:t>amyloidosis (ATTRv) in adult patients with stage 1 or stage 2 polyneuropathy</w:t>
            </w:r>
          </w:p>
        </w:tc>
      </w:tr>
      <w:tr w:rsidR="00BD4A9B" w:rsidRPr="00BD5DBD" w14:paraId="32B72632" w14:textId="77777777" w:rsidTr="00BD4A9B">
        <w:tc>
          <w:tcPr>
            <w:tcW w:w="1577" w:type="pct"/>
          </w:tcPr>
          <w:p w14:paraId="332A5CD5" w14:textId="65682B5F" w:rsidR="00BD4A9B" w:rsidRPr="00BD5DBD" w:rsidRDefault="00BD4A9B" w:rsidP="00BD4A9B">
            <w:r w:rsidRPr="00BD5DBD">
              <w:rPr>
                <w:i/>
                <w:szCs w:val="22"/>
              </w:rPr>
              <w:t>Date of decision:</w:t>
            </w:r>
          </w:p>
        </w:tc>
        <w:tc>
          <w:tcPr>
            <w:tcW w:w="3423" w:type="pct"/>
          </w:tcPr>
          <w:p w14:paraId="7B381CD6" w14:textId="1F99E4B9" w:rsidR="00BD4A9B" w:rsidRPr="00BD5DBD" w:rsidRDefault="00C46C63" w:rsidP="00BD4A9B">
            <w:pPr>
              <w:rPr>
                <w:szCs w:val="22"/>
              </w:rPr>
            </w:pPr>
            <w:r>
              <w:rPr>
                <w:szCs w:val="22"/>
              </w:rPr>
              <w:t>2 June 2026</w:t>
            </w:r>
          </w:p>
        </w:tc>
      </w:tr>
      <w:tr w:rsidR="00BD4A9B" w:rsidRPr="00BD5DBD" w14:paraId="1BD35D08" w14:textId="77777777" w:rsidTr="00BD4A9B">
        <w:tc>
          <w:tcPr>
            <w:tcW w:w="1577" w:type="pct"/>
          </w:tcPr>
          <w:p w14:paraId="33570637" w14:textId="4A6C9B0C" w:rsidR="00BD4A9B" w:rsidRPr="00BD5DBD" w:rsidRDefault="00BD4A9B" w:rsidP="00BD4A9B">
            <w:pPr>
              <w:rPr>
                <w:i/>
                <w:szCs w:val="22"/>
              </w:rPr>
            </w:pPr>
            <w:r w:rsidRPr="00BD5DBD">
              <w:rPr>
                <w:i/>
                <w:szCs w:val="22"/>
              </w:rPr>
              <w:t>Date of entry onto ARTG:</w:t>
            </w:r>
          </w:p>
        </w:tc>
        <w:tc>
          <w:tcPr>
            <w:tcW w:w="3423" w:type="pct"/>
          </w:tcPr>
          <w:p w14:paraId="2C96449F" w14:textId="2E2BA6B8" w:rsidR="00BD4A9B" w:rsidRPr="00BD5DBD" w:rsidRDefault="00D04FBC" w:rsidP="00BD4A9B">
            <w:pPr>
              <w:rPr>
                <w:szCs w:val="22"/>
              </w:rPr>
            </w:pPr>
            <w:r>
              <w:rPr>
                <w:szCs w:val="22"/>
              </w:rPr>
              <w:t>5 June 2026</w:t>
            </w:r>
          </w:p>
        </w:tc>
      </w:tr>
      <w:tr w:rsidR="00BD4A9B" w:rsidRPr="00BD5DBD" w14:paraId="2CB2A8D0" w14:textId="77777777" w:rsidTr="00BD4A9B">
        <w:tc>
          <w:tcPr>
            <w:tcW w:w="1577" w:type="pct"/>
          </w:tcPr>
          <w:p w14:paraId="00471CD4" w14:textId="4ED4783C" w:rsidR="00BD4A9B" w:rsidRPr="00666911" w:rsidRDefault="00BD4A9B" w:rsidP="00BD4A9B">
            <w:pPr>
              <w:rPr>
                <w:i/>
                <w:iCs/>
                <w:color w:val="00709D"/>
                <w:szCs w:val="22"/>
              </w:rPr>
            </w:pPr>
            <w:r w:rsidRPr="00BD5DBD">
              <w:rPr>
                <w:i/>
                <w:szCs w:val="22"/>
              </w:rPr>
              <w:t>ARTG number:</w:t>
            </w:r>
          </w:p>
        </w:tc>
        <w:tc>
          <w:tcPr>
            <w:tcW w:w="3423" w:type="pct"/>
          </w:tcPr>
          <w:p w14:paraId="43299129" w14:textId="1B1FA3C7" w:rsidR="00BD4A9B" w:rsidRPr="00BD5DBD" w:rsidRDefault="00D917D3" w:rsidP="00BD4A9B">
            <w:pPr>
              <w:rPr>
                <w:color w:val="00709D"/>
                <w:szCs w:val="22"/>
              </w:rPr>
            </w:pPr>
            <w:hyperlink r:id="rId17" w:history="1">
              <w:r w:rsidRPr="00D917D3">
                <w:rPr>
                  <w:rStyle w:val="Hyperlink"/>
                  <w:szCs w:val="22"/>
                </w:rPr>
                <w:t>490449</w:t>
              </w:r>
            </w:hyperlink>
          </w:p>
        </w:tc>
      </w:tr>
      <w:tr w:rsidR="00BD4A9B" w:rsidRPr="00BD5DBD" w14:paraId="7618393F" w14:textId="77777777" w:rsidTr="00BD4A9B">
        <w:tc>
          <w:tcPr>
            <w:tcW w:w="1577" w:type="pct"/>
          </w:tcPr>
          <w:p w14:paraId="02260DE2" w14:textId="193007BD" w:rsidR="00BD4A9B" w:rsidRPr="00BD5DBD" w:rsidRDefault="00BD4A9B" w:rsidP="00BD4A9B">
            <w:pPr>
              <w:rPr>
                <w:i/>
                <w:szCs w:val="22"/>
              </w:rPr>
            </w:pPr>
            <w:r w:rsidRPr="00BD5DBD">
              <w:rPr>
                <w:rFonts w:ascii="Wingdings 3" w:hAnsi="Wingdings 3"/>
                <w:szCs w:val="22"/>
                <w:lang w:eastAsia="en-AU"/>
              </w:rPr>
              <w:t></w:t>
            </w:r>
            <w:hyperlink r:id="rId18" w:history="1">
              <w:r w:rsidRPr="00BD5DBD">
                <w:rPr>
                  <w:rStyle w:val="Hyperlink"/>
                  <w:i/>
                  <w:szCs w:val="22"/>
                </w:rPr>
                <w:t>Black Triangle Scheme</w:t>
              </w:r>
            </w:hyperlink>
          </w:p>
        </w:tc>
        <w:tc>
          <w:tcPr>
            <w:tcW w:w="3423" w:type="pct"/>
          </w:tcPr>
          <w:p w14:paraId="6FF3C6A2" w14:textId="6E8DB3D6" w:rsidR="00BD4A9B" w:rsidRPr="00BD5DBD" w:rsidRDefault="00BD4A9B" w:rsidP="00BD4A9B">
            <w:pPr>
              <w:rPr>
                <w:szCs w:val="22"/>
              </w:rPr>
            </w:pPr>
            <w:r w:rsidRPr="00BD5DBD">
              <w:rPr>
                <w:szCs w:val="22"/>
              </w:rPr>
              <w:t>Yes</w:t>
            </w:r>
          </w:p>
        </w:tc>
      </w:tr>
      <w:tr w:rsidR="00BD4A9B" w:rsidRPr="00BD5DBD" w14:paraId="179E09FE" w14:textId="77777777" w:rsidTr="00BD4A9B">
        <w:tc>
          <w:tcPr>
            <w:tcW w:w="1577" w:type="pct"/>
          </w:tcPr>
          <w:p w14:paraId="1A592498" w14:textId="4D59C3B4" w:rsidR="00BD4A9B" w:rsidRPr="00BD5DBD" w:rsidRDefault="00A606FB" w:rsidP="00BD4A9B">
            <w:pPr>
              <w:rPr>
                <w:i/>
                <w:szCs w:val="22"/>
              </w:rPr>
            </w:pPr>
            <w:r>
              <w:rPr>
                <w:i/>
                <w:szCs w:val="22"/>
              </w:rPr>
              <w:t>Sponsor</w:t>
            </w:r>
            <w:r w:rsidR="00BD4A9B" w:rsidRPr="00BD5DBD">
              <w:rPr>
                <w:i/>
                <w:szCs w:val="22"/>
              </w:rPr>
              <w:t>’s name and address:</w:t>
            </w:r>
          </w:p>
        </w:tc>
        <w:tc>
          <w:tcPr>
            <w:tcW w:w="3423" w:type="pct"/>
          </w:tcPr>
          <w:p w14:paraId="68DD94B0" w14:textId="306E2F08" w:rsidR="00BD4A9B" w:rsidRPr="00BD5DBD" w:rsidRDefault="00AD3728" w:rsidP="00AD3728">
            <w:pPr>
              <w:rPr>
                <w:szCs w:val="22"/>
              </w:rPr>
            </w:pPr>
            <w:r w:rsidRPr="00AD3728">
              <w:rPr>
                <w:szCs w:val="22"/>
                <w:lang w:val="en-US"/>
              </w:rPr>
              <w:t>AstraZeneca Pty Lt</w:t>
            </w:r>
            <w:r>
              <w:rPr>
                <w:szCs w:val="22"/>
                <w:lang w:val="en-US"/>
              </w:rPr>
              <w:t xml:space="preserve">d, </w:t>
            </w:r>
            <w:r w:rsidRPr="00AD3728">
              <w:rPr>
                <w:szCs w:val="22"/>
                <w:lang w:val="en-US"/>
              </w:rPr>
              <w:t>66 Talavera Road</w:t>
            </w:r>
            <w:r w:rsidR="00A606FB">
              <w:rPr>
                <w:szCs w:val="22"/>
                <w:lang w:val="en-US"/>
              </w:rPr>
              <w:t>,</w:t>
            </w:r>
            <w:r>
              <w:rPr>
                <w:szCs w:val="22"/>
                <w:lang w:val="en-US"/>
              </w:rPr>
              <w:t xml:space="preserve"> </w:t>
            </w:r>
            <w:r w:rsidRPr="00AD3728">
              <w:rPr>
                <w:szCs w:val="22"/>
                <w:lang w:val="en-US"/>
              </w:rPr>
              <w:t>M</w:t>
            </w:r>
            <w:r w:rsidR="00A606FB">
              <w:rPr>
                <w:szCs w:val="22"/>
                <w:lang w:val="en-US"/>
              </w:rPr>
              <w:t>acquarie Park,</w:t>
            </w:r>
            <w:r w:rsidRPr="00AD3728">
              <w:rPr>
                <w:szCs w:val="22"/>
                <w:lang w:val="en-US"/>
              </w:rPr>
              <w:t xml:space="preserve"> NSW 2113</w:t>
            </w:r>
          </w:p>
        </w:tc>
      </w:tr>
      <w:tr w:rsidR="00BD4A9B" w:rsidRPr="00BD5DBD" w14:paraId="5322B989" w14:textId="77777777" w:rsidTr="00BD4A9B">
        <w:tc>
          <w:tcPr>
            <w:tcW w:w="1577" w:type="pct"/>
          </w:tcPr>
          <w:p w14:paraId="24F217E3" w14:textId="4AF09732" w:rsidR="00BD4A9B" w:rsidRPr="00BD5DBD" w:rsidRDefault="00BD4A9B" w:rsidP="00BD4A9B">
            <w:pPr>
              <w:rPr>
                <w:i/>
                <w:szCs w:val="22"/>
              </w:rPr>
            </w:pPr>
            <w:r w:rsidRPr="00BD5DBD">
              <w:rPr>
                <w:i/>
                <w:szCs w:val="22"/>
              </w:rPr>
              <w:t>Dose form:</w:t>
            </w:r>
          </w:p>
        </w:tc>
        <w:tc>
          <w:tcPr>
            <w:tcW w:w="3423" w:type="pct"/>
          </w:tcPr>
          <w:p w14:paraId="768B254C" w14:textId="1A6A396C" w:rsidR="00BD4A9B" w:rsidRPr="00BD5DBD" w:rsidRDefault="00AD3728" w:rsidP="00BD4A9B">
            <w:pPr>
              <w:rPr>
                <w:szCs w:val="22"/>
              </w:rPr>
            </w:pPr>
            <w:r w:rsidRPr="00AD3728">
              <w:rPr>
                <w:szCs w:val="22"/>
              </w:rPr>
              <w:t>Solution for injection</w:t>
            </w:r>
          </w:p>
        </w:tc>
      </w:tr>
      <w:tr w:rsidR="00BD4A9B" w:rsidRPr="00BD5DBD" w14:paraId="115243E6" w14:textId="77777777" w:rsidTr="00BD4A9B">
        <w:tc>
          <w:tcPr>
            <w:tcW w:w="1577" w:type="pct"/>
          </w:tcPr>
          <w:p w14:paraId="7634B062" w14:textId="0AE54404" w:rsidR="00BD4A9B" w:rsidRPr="00BD5DBD" w:rsidRDefault="00BD4A9B" w:rsidP="00BD4A9B">
            <w:pPr>
              <w:rPr>
                <w:i/>
                <w:szCs w:val="22"/>
              </w:rPr>
            </w:pPr>
            <w:r w:rsidRPr="00BD5DBD">
              <w:rPr>
                <w:i/>
                <w:szCs w:val="22"/>
              </w:rPr>
              <w:t>Strength:</w:t>
            </w:r>
          </w:p>
        </w:tc>
        <w:tc>
          <w:tcPr>
            <w:tcW w:w="3423" w:type="pct"/>
          </w:tcPr>
          <w:p w14:paraId="5E5F83DB" w14:textId="24291D95" w:rsidR="00BD4A9B" w:rsidRPr="00BD5DBD" w:rsidRDefault="00AD3728" w:rsidP="00BD4A9B">
            <w:pPr>
              <w:rPr>
                <w:szCs w:val="22"/>
              </w:rPr>
            </w:pPr>
            <w:r w:rsidRPr="00AD3728">
              <w:rPr>
                <w:szCs w:val="22"/>
              </w:rPr>
              <w:t>Each pre-filled pen contains 45 mg eplontersen (as eplontersen sodium) in 0.8 mL of solution. Each mL contains 56 mg</w:t>
            </w:r>
            <w:r>
              <w:rPr>
                <w:szCs w:val="22"/>
              </w:rPr>
              <w:t xml:space="preserve"> </w:t>
            </w:r>
            <w:r w:rsidRPr="00AD3728">
              <w:rPr>
                <w:szCs w:val="22"/>
              </w:rPr>
              <w:t>eplontersen (as eplontersen sodium).</w:t>
            </w:r>
          </w:p>
        </w:tc>
      </w:tr>
      <w:tr w:rsidR="00BD4A9B" w:rsidRPr="00BD5DBD" w14:paraId="34B07BA6" w14:textId="77777777" w:rsidTr="00BD4A9B">
        <w:tc>
          <w:tcPr>
            <w:tcW w:w="1577" w:type="pct"/>
          </w:tcPr>
          <w:p w14:paraId="1C039224" w14:textId="186F01AE" w:rsidR="00BD4A9B" w:rsidRPr="00BD5DBD" w:rsidRDefault="00BD4A9B" w:rsidP="00BD4A9B">
            <w:pPr>
              <w:rPr>
                <w:i/>
                <w:szCs w:val="22"/>
              </w:rPr>
            </w:pPr>
            <w:r w:rsidRPr="00BD5DBD">
              <w:rPr>
                <w:i/>
                <w:szCs w:val="22"/>
              </w:rPr>
              <w:t>Container:</w:t>
            </w:r>
          </w:p>
        </w:tc>
        <w:tc>
          <w:tcPr>
            <w:tcW w:w="3423" w:type="pct"/>
          </w:tcPr>
          <w:p w14:paraId="500A42C6" w14:textId="2486061D" w:rsidR="00BD4A9B" w:rsidRPr="00BD5DBD" w:rsidRDefault="00AD3728" w:rsidP="00BD4A9B">
            <w:pPr>
              <w:rPr>
                <w:szCs w:val="22"/>
              </w:rPr>
            </w:pPr>
            <w:r>
              <w:rPr>
                <w:szCs w:val="22"/>
              </w:rPr>
              <w:t>S</w:t>
            </w:r>
            <w:r w:rsidRPr="00AD3728">
              <w:rPr>
                <w:szCs w:val="22"/>
              </w:rPr>
              <w:t xml:space="preserve">ingle-use, type I glass syringe with a staked 27-gauge ½ inch (12.7 mm) stainless steel needle, rigid needle shield, and </w:t>
            </w:r>
            <w:proofErr w:type="spellStart"/>
            <w:r w:rsidRPr="00AD3728">
              <w:rPr>
                <w:szCs w:val="22"/>
              </w:rPr>
              <w:t>siliconised</w:t>
            </w:r>
            <w:proofErr w:type="spellEnd"/>
            <w:r w:rsidRPr="00AD3728">
              <w:rPr>
                <w:szCs w:val="22"/>
              </w:rPr>
              <w:t xml:space="preserve"> </w:t>
            </w:r>
            <w:proofErr w:type="spellStart"/>
            <w:r w:rsidRPr="00AD3728">
              <w:rPr>
                <w:szCs w:val="22"/>
              </w:rPr>
              <w:t>chlorobutyl</w:t>
            </w:r>
            <w:proofErr w:type="spellEnd"/>
            <w:r w:rsidRPr="00AD3728">
              <w:rPr>
                <w:szCs w:val="22"/>
              </w:rPr>
              <w:t xml:space="preserve"> elastomer stopper in a pre-filled pen.</w:t>
            </w:r>
          </w:p>
        </w:tc>
      </w:tr>
      <w:tr w:rsidR="00BD4A9B" w:rsidRPr="00BD5DBD" w14:paraId="5AFDEED3" w14:textId="77777777" w:rsidTr="00BD4A9B">
        <w:tc>
          <w:tcPr>
            <w:tcW w:w="1577" w:type="pct"/>
          </w:tcPr>
          <w:p w14:paraId="03884BD1" w14:textId="635F1C90" w:rsidR="00BD4A9B" w:rsidRPr="00BD5DBD" w:rsidRDefault="00BD4A9B" w:rsidP="00BD4A9B">
            <w:pPr>
              <w:rPr>
                <w:i/>
                <w:szCs w:val="22"/>
              </w:rPr>
            </w:pPr>
            <w:r w:rsidRPr="00BD5DBD">
              <w:rPr>
                <w:i/>
                <w:szCs w:val="22"/>
              </w:rPr>
              <w:t>Route of administration:</w:t>
            </w:r>
          </w:p>
        </w:tc>
        <w:tc>
          <w:tcPr>
            <w:tcW w:w="3423" w:type="pct"/>
          </w:tcPr>
          <w:p w14:paraId="1ED1357E" w14:textId="427FCB6B" w:rsidR="00BD4A9B" w:rsidRPr="00BD5DBD" w:rsidRDefault="00342D66" w:rsidP="00BD4A9B">
            <w:pPr>
              <w:rPr>
                <w:szCs w:val="22"/>
              </w:rPr>
            </w:pPr>
            <w:r>
              <w:rPr>
                <w:szCs w:val="22"/>
              </w:rPr>
              <w:t>S</w:t>
            </w:r>
            <w:r w:rsidRPr="00342D66">
              <w:rPr>
                <w:szCs w:val="22"/>
              </w:rPr>
              <w:t>ubcutaneous injection</w:t>
            </w:r>
          </w:p>
        </w:tc>
      </w:tr>
      <w:tr w:rsidR="00BD4A9B" w:rsidRPr="00BD5DBD" w14:paraId="70D7E9FA" w14:textId="77777777" w:rsidTr="00BD4A9B">
        <w:tc>
          <w:tcPr>
            <w:tcW w:w="1577" w:type="pct"/>
          </w:tcPr>
          <w:p w14:paraId="5ABFFC80" w14:textId="77777777" w:rsidR="00BD4A9B" w:rsidRPr="00BD5DBD" w:rsidRDefault="00BD4A9B" w:rsidP="00BD4A9B">
            <w:pPr>
              <w:rPr>
                <w:i/>
                <w:szCs w:val="22"/>
              </w:rPr>
            </w:pPr>
            <w:r w:rsidRPr="00BD5DBD">
              <w:rPr>
                <w:i/>
                <w:szCs w:val="22"/>
              </w:rPr>
              <w:t>Dosage:</w:t>
            </w:r>
          </w:p>
        </w:tc>
        <w:tc>
          <w:tcPr>
            <w:tcW w:w="3423" w:type="pct"/>
          </w:tcPr>
          <w:p w14:paraId="79C0D21E" w14:textId="665893AF" w:rsidR="00BD4A9B" w:rsidRDefault="00342D66" w:rsidP="00BD4A9B">
            <w:pPr>
              <w:rPr>
                <w:szCs w:val="22"/>
              </w:rPr>
            </w:pPr>
            <w:r w:rsidRPr="00342D66">
              <w:rPr>
                <w:szCs w:val="22"/>
              </w:rPr>
              <w:t>45 mg administered monthly</w:t>
            </w:r>
          </w:p>
          <w:p w14:paraId="3D0B2D5C" w14:textId="1E4FE2E9" w:rsidR="00BD4A9B" w:rsidRPr="00BD5DBD" w:rsidRDefault="00BD4A9B" w:rsidP="00BD4A9B">
            <w:pPr>
              <w:rPr>
                <w:szCs w:val="22"/>
              </w:rPr>
            </w:pPr>
            <w:r w:rsidRPr="00BD5DBD">
              <w:rPr>
                <w:szCs w:val="22"/>
              </w:rPr>
              <w:t xml:space="preserve">For further information regarding dosage, refer to the </w:t>
            </w:r>
            <w:hyperlink r:id="rId19" w:history="1">
              <w:r w:rsidRPr="000A1A6D">
                <w:rPr>
                  <w:rStyle w:val="Hyperlink"/>
                  <w:szCs w:val="22"/>
                </w:rPr>
                <w:t>Product Information</w:t>
              </w:r>
            </w:hyperlink>
            <w:r w:rsidRPr="00BD5DBD">
              <w:rPr>
                <w:szCs w:val="22"/>
              </w:rPr>
              <w:t>.</w:t>
            </w:r>
          </w:p>
        </w:tc>
      </w:tr>
      <w:tr w:rsidR="00BD4A9B" w:rsidRPr="00BD5DBD" w14:paraId="7B7BB6AE" w14:textId="77777777" w:rsidTr="00BD4A9B">
        <w:tc>
          <w:tcPr>
            <w:tcW w:w="1577" w:type="pct"/>
          </w:tcPr>
          <w:p w14:paraId="3A76AFF7" w14:textId="7C436DD9" w:rsidR="00BD4A9B" w:rsidRPr="00F8083B" w:rsidRDefault="00BD4A9B" w:rsidP="00BD4A9B">
            <w:r w:rsidRPr="00BD5DBD">
              <w:rPr>
                <w:i/>
                <w:szCs w:val="22"/>
              </w:rPr>
              <w:t>Pregnancy category:</w:t>
            </w:r>
          </w:p>
        </w:tc>
        <w:tc>
          <w:tcPr>
            <w:tcW w:w="3423" w:type="pct"/>
          </w:tcPr>
          <w:p w14:paraId="35E401AF" w14:textId="77777777" w:rsidR="00BD4A9B" w:rsidRPr="007E4FF8" w:rsidRDefault="00BD4A9B" w:rsidP="00BD4A9B">
            <w:pPr>
              <w:rPr>
                <w:b/>
                <w:bCs/>
              </w:rPr>
            </w:pPr>
            <w:r w:rsidRPr="007E4FF8">
              <w:rPr>
                <w:b/>
                <w:bCs/>
              </w:rPr>
              <w:t>Category D</w:t>
            </w:r>
          </w:p>
          <w:p w14:paraId="07217151" w14:textId="507AA0ED" w:rsidR="00BD4A9B" w:rsidRPr="007E4FF8" w:rsidRDefault="00BD4A9B" w:rsidP="00BD4A9B">
            <w:r w:rsidRPr="007E4FF8">
              <w:t xml:space="preserve">Drugs which have caused, are suspected to have caused or may be expected to cause, an increased incidence of human fetal malformations or irreversible damage. These drugs may also have adverse pharmacological effects. </w:t>
            </w:r>
          </w:p>
          <w:p w14:paraId="76497789" w14:textId="634DC28C" w:rsidR="00BD4A9B" w:rsidRPr="00BD5DBD" w:rsidRDefault="00BD4A9B" w:rsidP="00BD4A9B">
            <w:pPr>
              <w:rPr>
                <w:szCs w:val="22"/>
              </w:rPr>
            </w:pPr>
            <w:r w:rsidRPr="00BD5DBD">
              <w:rPr>
                <w:szCs w:val="22"/>
              </w:rPr>
              <w:t xml:space="preserve">The use of any medicine during pregnancy requires careful consideration of both risks and benefits by the treating health professional. </w:t>
            </w:r>
            <w:r>
              <w:rPr>
                <w:szCs w:val="22"/>
              </w:rPr>
              <w:t xml:space="preserve">The </w:t>
            </w:r>
            <w:hyperlink r:id="rId20" w:history="1">
              <w:r w:rsidRPr="00065FDF">
                <w:rPr>
                  <w:rStyle w:val="Hyperlink"/>
                  <w:szCs w:val="22"/>
                </w:rPr>
                <w:t>pregnancy database</w:t>
              </w:r>
            </w:hyperlink>
            <w:r>
              <w:t xml:space="preserve"> </w:t>
            </w:r>
            <w:r w:rsidRPr="00BD5DBD">
              <w:rPr>
                <w:szCs w:val="22"/>
              </w:rPr>
              <w:t xml:space="preserve">must not be used as the sole basis of decision making in the use of medicines during pregnancy. The TGA does not provide advice on the use of medicines in pregnancy for specific cases. More information is available from </w:t>
            </w:r>
            <w:hyperlink r:id="rId21" w:history="1">
              <w:r w:rsidRPr="00C059D0">
                <w:rPr>
                  <w:rStyle w:val="Hyperlink"/>
                  <w:szCs w:val="22"/>
                </w:rPr>
                <w:t>obstetric drug information services</w:t>
              </w:r>
            </w:hyperlink>
            <w:r w:rsidRPr="00BD5DBD">
              <w:rPr>
                <w:szCs w:val="22"/>
              </w:rPr>
              <w:t xml:space="preserve"> in your </w:t>
            </w:r>
            <w:r>
              <w:rPr>
                <w:szCs w:val="22"/>
              </w:rPr>
              <w:t>s</w:t>
            </w:r>
            <w:r w:rsidRPr="00BD5DBD">
              <w:rPr>
                <w:szCs w:val="22"/>
              </w:rPr>
              <w:t xml:space="preserve">tate or </w:t>
            </w:r>
            <w:r>
              <w:rPr>
                <w:szCs w:val="22"/>
              </w:rPr>
              <w:t>t</w:t>
            </w:r>
            <w:r w:rsidRPr="00BD5DBD">
              <w:rPr>
                <w:szCs w:val="22"/>
              </w:rPr>
              <w:t>erritory.</w:t>
            </w:r>
          </w:p>
        </w:tc>
      </w:tr>
    </w:tbl>
    <w:p w14:paraId="51F2479F" w14:textId="1E34B277" w:rsidR="00324B33" w:rsidRDefault="00324B33" w:rsidP="00324B33">
      <w:pPr>
        <w:pStyle w:val="Heading3"/>
      </w:pPr>
      <w:bookmarkStart w:id="11" w:name="_Toc247691503"/>
      <w:bookmarkStart w:id="12" w:name="_Toc314842484"/>
      <w:bookmarkStart w:id="13" w:name="_Toc103679290"/>
      <w:bookmarkStart w:id="14" w:name="_Toc242958190"/>
      <w:r>
        <w:lastRenderedPageBreak/>
        <w:t>Product background</w:t>
      </w:r>
      <w:bookmarkEnd w:id="11"/>
      <w:bookmarkEnd w:id="12"/>
      <w:bookmarkEnd w:id="13"/>
      <w:bookmarkEnd w:id="14"/>
    </w:p>
    <w:p w14:paraId="59BF31D1" w14:textId="00D152B8" w:rsidR="001500A8" w:rsidRDefault="00324B33" w:rsidP="00065839">
      <w:r w:rsidRPr="00342D66">
        <w:t xml:space="preserve">This AusPAR describes the submission by </w:t>
      </w:r>
      <w:r w:rsidR="00342D66" w:rsidRPr="00342D66">
        <w:t>AstraZeneca Pty Ltd</w:t>
      </w:r>
      <w:r w:rsidRPr="00342D66">
        <w:t xml:space="preserve"> (the </w:t>
      </w:r>
      <w:r w:rsidR="00A606FB">
        <w:t>Sponsor</w:t>
      </w:r>
      <w:r w:rsidRPr="00342D66">
        <w:t xml:space="preserve">) to register </w:t>
      </w:r>
      <w:r w:rsidR="00A606FB">
        <w:t>Wainua</w:t>
      </w:r>
      <w:r w:rsidR="00342D66" w:rsidRPr="00342D66">
        <w:t xml:space="preserve"> (eplontersen</w:t>
      </w:r>
      <w:r w:rsidRPr="00342D66">
        <w:t xml:space="preserve">) for the following proposed </w:t>
      </w:r>
      <w:r w:rsidR="008C341F" w:rsidRPr="00342D66">
        <w:t>indication</w:t>
      </w:r>
      <w:r w:rsidR="00342D66" w:rsidRPr="00342D66">
        <w:t>:</w:t>
      </w:r>
      <w:r w:rsidR="00D63760" w:rsidRPr="00342D66">
        <w:rPr>
          <w:vertAlign w:val="superscript"/>
        </w:rPr>
        <w:footnoteReference w:id="1"/>
      </w:r>
    </w:p>
    <w:p w14:paraId="4C972464" w14:textId="509FD8D7" w:rsidR="00342D66" w:rsidRPr="00342D66" w:rsidRDefault="00A606FB" w:rsidP="00342D66">
      <w:pPr>
        <w:pStyle w:val="Indication"/>
        <w:rPr>
          <w:color w:val="auto"/>
        </w:rPr>
      </w:pPr>
      <w:r>
        <w:t>Wainua</w:t>
      </w:r>
      <w:r w:rsidR="00342D66" w:rsidRPr="00342D66">
        <w:t xml:space="preserve"> is indicated for the treatment of hereditary transthyretin-mediated amyloidosis (ATTRv) in adult patients with stage 1 or stage 2 polyneuropathy.</w:t>
      </w:r>
    </w:p>
    <w:p w14:paraId="1E63A2AE" w14:textId="5FCD6C6F" w:rsidR="00CB6813" w:rsidRDefault="00005DFC" w:rsidP="00CB6813">
      <w:pPr>
        <w:pStyle w:val="Heading4"/>
      </w:pPr>
      <w:bookmarkStart w:id="15" w:name="_Toc242958191"/>
      <w:bookmarkStart w:id="16" w:name="_Toc314842485"/>
      <w:bookmarkStart w:id="17" w:name="_Toc247691504"/>
      <w:r>
        <w:t>D</w:t>
      </w:r>
      <w:r w:rsidR="00CB6813" w:rsidRPr="00C12D65">
        <w:t>isease</w:t>
      </w:r>
      <w:r w:rsidR="006428C5">
        <w:t xml:space="preserve"> or condition</w:t>
      </w:r>
      <w:bookmarkEnd w:id="15"/>
    </w:p>
    <w:p w14:paraId="2270A6F4" w14:textId="2700292E" w:rsidR="00342D66" w:rsidRPr="00342D66" w:rsidRDefault="00342D66" w:rsidP="00342D66">
      <w:r w:rsidRPr="00342D66">
        <w:t>Hereditary transthyretin-mediated amyloidosis (ATTRv; ‘v’ denotes ‘variant’) is a rare disorder caused by mutations in the transthyretin gene which are inherited in an autosomal dominant manner.</w:t>
      </w:r>
      <w:bookmarkStart w:id="18" w:name="_Ref240449925"/>
      <w:r w:rsidRPr="00342D66">
        <w:rPr>
          <w:vertAlign w:val="superscript"/>
        </w:rPr>
        <w:footnoteReference w:id="2"/>
      </w:r>
      <w:bookmarkEnd w:id="18"/>
      <w:r w:rsidRPr="00342D66">
        <w:t xml:space="preserve"> Transthyretin normally functions primarily as a carrier protein for thyroxine (T4) and, via association with retinol-binding protein, also mediates vitamin A transport.</w:t>
      </w:r>
      <w:r w:rsidR="00E561AD">
        <w:fldChar w:fldCharType="begin"/>
      </w:r>
      <w:r w:rsidR="00E561AD">
        <w:instrText xml:space="preserve"> NOTEREF _Ref240449925 \f \h </w:instrText>
      </w:r>
      <w:r w:rsidR="00E561AD">
        <w:fldChar w:fldCharType="separate"/>
      </w:r>
      <w:r w:rsidR="00E561AD" w:rsidRPr="00E561AD">
        <w:rPr>
          <w:rStyle w:val="FootnoteReference"/>
        </w:rPr>
        <w:t>2</w:t>
      </w:r>
      <w:r w:rsidR="00E561AD">
        <w:fldChar w:fldCharType="end"/>
      </w:r>
      <w:r w:rsidRPr="00342D66">
        <w:rPr>
          <w:vertAlign w:val="superscript"/>
        </w:rPr>
        <w:t xml:space="preserve"> </w:t>
      </w:r>
      <w:r w:rsidRPr="00342D66">
        <w:t xml:space="preserve"> These mutations serve to destab</w:t>
      </w:r>
      <w:r w:rsidR="00E561AD">
        <w:t>i</w:t>
      </w:r>
      <w:r w:rsidRPr="00342D66">
        <w:t xml:space="preserve">lise the transthyretin protein favouring the formation of amyloid fibrils which may deposit throughout the body, serving as the </w:t>
      </w:r>
      <w:r w:rsidR="00E561AD" w:rsidRPr="00342D66">
        <w:t>pathophysiologic</w:t>
      </w:r>
      <w:r w:rsidRPr="00342D66">
        <w:t xml:space="preserve"> basis for this multi-system disease. The peripheral nervous system, both somatic and autonomic systems, and the heart are the </w:t>
      </w:r>
      <w:proofErr w:type="gramStart"/>
      <w:r w:rsidRPr="00342D66">
        <w:t>most commonly affected</w:t>
      </w:r>
      <w:proofErr w:type="gramEnd"/>
      <w:r w:rsidRPr="00342D66">
        <w:t xml:space="preserve"> sites, resulting in peripheral sensorimotor neuropathy, autonomic neuropathy, and cardiomyopathy, or a combination of the three, being common clinical phenotypes</w:t>
      </w:r>
      <w:r w:rsidR="00E561AD">
        <w:t>.</w:t>
      </w:r>
      <w:r w:rsidR="00E561AD">
        <w:fldChar w:fldCharType="begin"/>
      </w:r>
      <w:r w:rsidR="00E561AD">
        <w:instrText xml:space="preserve"> NOTEREF _Ref240449925 \f \h </w:instrText>
      </w:r>
      <w:r w:rsidR="00E561AD">
        <w:fldChar w:fldCharType="separate"/>
      </w:r>
      <w:r w:rsidR="00E561AD" w:rsidRPr="00E561AD">
        <w:rPr>
          <w:rStyle w:val="FootnoteReference"/>
        </w:rPr>
        <w:t>2</w:t>
      </w:r>
      <w:r w:rsidR="00E561AD">
        <w:fldChar w:fldCharType="end"/>
      </w:r>
      <w:r w:rsidRPr="00342D66">
        <w:t xml:space="preserve"> </w:t>
      </w:r>
    </w:p>
    <w:p w14:paraId="56C19064" w14:textId="6A431EAD" w:rsidR="00342D66" w:rsidRPr="00342D66" w:rsidRDefault="00342D66" w:rsidP="00342D66">
      <w:r w:rsidRPr="00342D66">
        <w:t>Typical clinical findings include a slowly progressive sensorimotor and/or autonomic neuropathy frequently accompanied by one or more of cardiac conduction blocks, cardiomyopathy, nephropathy, vitreous opacities or glaucoma.</w:t>
      </w:r>
      <w:bookmarkStart w:id="19" w:name="_Ref240885769"/>
      <w:r w:rsidRPr="00342D66">
        <w:rPr>
          <w:vertAlign w:val="superscript"/>
        </w:rPr>
        <w:footnoteReference w:id="3"/>
      </w:r>
      <w:bookmarkEnd w:id="19"/>
      <w:r w:rsidRPr="00342D66">
        <w:t xml:space="preserve"> Supportive imaging findings include typical features on echocardiogram, gadolinium enhanced cardiac MRI and amyloid PET scan. Tissue biopsy can be undertaken to identify amyloid deposits, with Congo red staining identifying amyloid deposits via a characteristic yellow-green birefringence under polarised light.</w:t>
      </w:r>
      <w:r w:rsidRPr="00342D66">
        <w:rPr>
          <w:vertAlign w:val="superscript"/>
        </w:rPr>
        <w:t xml:space="preserve">2 </w:t>
      </w:r>
      <w:r w:rsidRPr="00342D66">
        <w:t>Given the autosomal dominant inheritance pattern</w:t>
      </w:r>
      <w:r w:rsidR="00F55670">
        <w:t>,</w:t>
      </w:r>
      <w:r w:rsidRPr="00342D66">
        <w:t xml:space="preserve"> family history should also be sought. Identification of a pathogenic variant in the </w:t>
      </w:r>
      <w:r w:rsidR="00A606FB">
        <w:t>t</w:t>
      </w:r>
      <w:r w:rsidR="00A606FB" w:rsidRPr="00A606FB">
        <w:t xml:space="preserve">ransthyretin </w:t>
      </w:r>
      <w:r w:rsidRPr="00A606FB">
        <w:rPr>
          <w:i/>
          <w:iCs/>
        </w:rPr>
        <w:t>TTR</w:t>
      </w:r>
      <w:r w:rsidRPr="00342D66">
        <w:t xml:space="preserve"> gene on molecular genetic testing can confirm the diagnosis in a patient with suggestive clinical findings.</w:t>
      </w:r>
      <w:r w:rsidR="00A606FB">
        <w:rPr>
          <w:vertAlign w:val="superscript"/>
        </w:rPr>
        <w:fldChar w:fldCharType="begin"/>
      </w:r>
      <w:r w:rsidR="00A606FB">
        <w:rPr>
          <w:vertAlign w:val="superscript"/>
        </w:rPr>
        <w:instrText xml:space="preserve"> NOTEREF _Ref240885769 \h </w:instrText>
      </w:r>
      <w:r w:rsidR="00A606FB">
        <w:rPr>
          <w:vertAlign w:val="superscript"/>
        </w:rPr>
      </w:r>
      <w:r w:rsidR="00A606FB">
        <w:rPr>
          <w:vertAlign w:val="superscript"/>
        </w:rPr>
        <w:fldChar w:fldCharType="separate"/>
      </w:r>
      <w:r w:rsidR="00A606FB">
        <w:rPr>
          <w:vertAlign w:val="superscript"/>
        </w:rPr>
        <w:t>3</w:t>
      </w:r>
      <w:r w:rsidR="00A606FB">
        <w:rPr>
          <w:vertAlign w:val="superscript"/>
        </w:rPr>
        <w:fldChar w:fldCharType="end"/>
      </w:r>
    </w:p>
    <w:p w14:paraId="5ACD3D8B" w14:textId="5E45E854" w:rsidR="00342D66" w:rsidRPr="00342D66" w:rsidRDefault="00342D66" w:rsidP="00342D66">
      <w:r w:rsidRPr="00342D66">
        <w:t>Among persons from specific endemic foci in Portugal and Japan</w:t>
      </w:r>
      <w:r w:rsidR="00F55670">
        <w:t>,</w:t>
      </w:r>
      <w:r w:rsidRPr="00342D66">
        <w:t xml:space="preserve"> mean age at onset is around 40 years, though in other patients is typically much later in life.</w:t>
      </w:r>
      <w:r w:rsidR="00A606FB">
        <w:rPr>
          <w:vertAlign w:val="superscript"/>
        </w:rPr>
        <w:fldChar w:fldCharType="begin"/>
      </w:r>
      <w:r w:rsidR="00A606FB">
        <w:rPr>
          <w:vertAlign w:val="superscript"/>
        </w:rPr>
        <w:instrText xml:space="preserve"> NOTEREF _Ref240885769 \h </w:instrText>
      </w:r>
      <w:r w:rsidR="00A606FB">
        <w:rPr>
          <w:vertAlign w:val="superscript"/>
        </w:rPr>
      </w:r>
      <w:r w:rsidR="00A606FB">
        <w:rPr>
          <w:vertAlign w:val="superscript"/>
        </w:rPr>
        <w:fldChar w:fldCharType="separate"/>
      </w:r>
      <w:r w:rsidR="00A606FB">
        <w:rPr>
          <w:vertAlign w:val="superscript"/>
        </w:rPr>
        <w:t>3</w:t>
      </w:r>
      <w:r w:rsidR="00A606FB">
        <w:rPr>
          <w:vertAlign w:val="superscript"/>
        </w:rPr>
        <w:fldChar w:fldCharType="end"/>
      </w:r>
      <w:r w:rsidRPr="00342D66">
        <w:rPr>
          <w:vertAlign w:val="superscript"/>
        </w:rPr>
        <w:t xml:space="preserve"> </w:t>
      </w:r>
      <w:r w:rsidRPr="00342D66">
        <w:t>Typically sensory neuropathy starts in the lower extremitie</w:t>
      </w:r>
      <w:r w:rsidR="00F55670">
        <w:t>s</w:t>
      </w:r>
      <w:r w:rsidRPr="00342D66">
        <w:t xml:space="preserve"> followed by motor neuropathy within years.</w:t>
      </w:r>
      <w:r w:rsidRPr="00342D66">
        <w:rPr>
          <w:vertAlign w:val="superscript"/>
        </w:rPr>
        <w:t>2</w:t>
      </w:r>
      <w:r w:rsidR="00A606FB">
        <w:rPr>
          <w:vertAlign w:val="superscript"/>
        </w:rPr>
        <w:t>,</w:t>
      </w:r>
      <w:r w:rsidR="00A606FB">
        <w:rPr>
          <w:vertAlign w:val="superscript"/>
        </w:rPr>
        <w:fldChar w:fldCharType="begin"/>
      </w:r>
      <w:r w:rsidR="00A606FB">
        <w:rPr>
          <w:vertAlign w:val="superscript"/>
        </w:rPr>
        <w:instrText xml:space="preserve"> NOTEREF _Ref240885769 \h </w:instrText>
      </w:r>
      <w:r w:rsidR="00A606FB">
        <w:rPr>
          <w:vertAlign w:val="superscript"/>
        </w:rPr>
      </w:r>
      <w:r w:rsidR="00A606FB">
        <w:rPr>
          <w:vertAlign w:val="superscript"/>
        </w:rPr>
        <w:fldChar w:fldCharType="separate"/>
      </w:r>
      <w:r w:rsidR="00A606FB">
        <w:rPr>
          <w:vertAlign w:val="superscript"/>
        </w:rPr>
        <w:t>3</w:t>
      </w:r>
      <w:r w:rsidR="00A606FB">
        <w:rPr>
          <w:vertAlign w:val="superscript"/>
        </w:rPr>
        <w:fldChar w:fldCharType="end"/>
      </w:r>
      <w:r w:rsidRPr="00342D66">
        <w:rPr>
          <w:vertAlign w:val="superscript"/>
        </w:rPr>
        <w:t xml:space="preserve"> </w:t>
      </w:r>
      <w:r w:rsidRPr="00342D66">
        <w:t>Over time sensorimotor neuropathy follows a glove and stocking distribution. Most patients develop cardiac manifestations, reflecting conducting system amyloid deposition and cardiomyopathy, after 50 years of age.</w:t>
      </w:r>
      <w:r w:rsidR="00A606FB">
        <w:fldChar w:fldCharType="begin"/>
      </w:r>
      <w:r w:rsidR="00A606FB">
        <w:instrText xml:space="preserve"> NOTEREF _Ref240885769 \f \h </w:instrText>
      </w:r>
      <w:r w:rsidR="00A606FB">
        <w:fldChar w:fldCharType="separate"/>
      </w:r>
      <w:r w:rsidR="00A606FB" w:rsidRPr="00A606FB">
        <w:rPr>
          <w:rStyle w:val="FootnoteReference"/>
        </w:rPr>
        <w:t>3</w:t>
      </w:r>
      <w:r w:rsidR="00A606FB">
        <w:fldChar w:fldCharType="end"/>
      </w:r>
      <w:r w:rsidRPr="00342D66">
        <w:t xml:space="preserve"> Whilst the liver is the primary site of TTR production it also occurs in the choroid plexus, which may result in CNS manifestations, most commonly transient focal neurologic episodes, even among those on disease-modifying therapy for whom treatment does not target choroid plexus TTR production.</w:t>
      </w:r>
      <w:r w:rsidR="00A606FB">
        <w:fldChar w:fldCharType="begin"/>
      </w:r>
      <w:r w:rsidR="00A606FB">
        <w:instrText xml:space="preserve"> NOTEREF _Ref240885769 \f \h </w:instrText>
      </w:r>
      <w:r w:rsidR="00A606FB">
        <w:fldChar w:fldCharType="separate"/>
      </w:r>
      <w:r w:rsidR="00A606FB" w:rsidRPr="00A606FB">
        <w:rPr>
          <w:rStyle w:val="FootnoteReference"/>
        </w:rPr>
        <w:t>3</w:t>
      </w:r>
      <w:r w:rsidR="00A606FB">
        <w:fldChar w:fldCharType="end"/>
      </w:r>
      <w:r w:rsidRPr="00342D66">
        <w:t xml:space="preserve"> Most patients will develop ocular involvement, manifesting as vitreous opacity, glaucoma, dry eyes, and ocular amyloid angiopathy.</w:t>
      </w:r>
      <w:r w:rsidR="00A606FB">
        <w:fldChar w:fldCharType="begin"/>
      </w:r>
      <w:r w:rsidR="00A606FB">
        <w:instrText xml:space="preserve"> NOTEREF _Ref240885769 \f \h </w:instrText>
      </w:r>
      <w:r w:rsidR="00A606FB">
        <w:fldChar w:fldCharType="separate"/>
      </w:r>
      <w:r w:rsidR="00A606FB" w:rsidRPr="00A606FB">
        <w:rPr>
          <w:rStyle w:val="FootnoteReference"/>
        </w:rPr>
        <w:t>3</w:t>
      </w:r>
      <w:r w:rsidR="00A606FB">
        <w:fldChar w:fldCharType="end"/>
      </w:r>
      <w:r w:rsidRPr="00342D66">
        <w:rPr>
          <w:vertAlign w:val="superscript"/>
        </w:rPr>
        <w:t xml:space="preserve"> </w:t>
      </w:r>
      <w:r w:rsidRPr="00342D66">
        <w:t>Kidney involvement is also typical which may result in proteinuria and chronic kidney disease.</w:t>
      </w:r>
      <w:r w:rsidR="00A606FB">
        <w:rPr>
          <w:vertAlign w:val="superscript"/>
        </w:rPr>
        <w:fldChar w:fldCharType="begin"/>
      </w:r>
      <w:r w:rsidR="00A606FB">
        <w:instrText xml:space="preserve"> NOTEREF _Ref240885769 \f \h </w:instrText>
      </w:r>
      <w:r w:rsidR="00A606FB">
        <w:rPr>
          <w:vertAlign w:val="superscript"/>
        </w:rPr>
      </w:r>
      <w:r w:rsidR="00A606FB">
        <w:rPr>
          <w:vertAlign w:val="superscript"/>
        </w:rPr>
        <w:fldChar w:fldCharType="separate"/>
      </w:r>
      <w:r w:rsidR="00A606FB" w:rsidRPr="00A606FB">
        <w:rPr>
          <w:rStyle w:val="FootnoteReference"/>
        </w:rPr>
        <w:t>3</w:t>
      </w:r>
      <w:r w:rsidR="00A606FB">
        <w:rPr>
          <w:vertAlign w:val="superscript"/>
        </w:rPr>
        <w:fldChar w:fldCharType="end"/>
      </w:r>
    </w:p>
    <w:p w14:paraId="0EBEE8F2" w14:textId="002AA434" w:rsidR="00342D66" w:rsidRPr="00342D66" w:rsidRDefault="00342D66" w:rsidP="00342D66">
      <w:r w:rsidRPr="00342D66">
        <w:t xml:space="preserve">The TTR pathogenic variant </w:t>
      </w:r>
      <w:proofErr w:type="gramStart"/>
      <w:r w:rsidRPr="00342D66">
        <w:t>p.Val</w:t>
      </w:r>
      <w:proofErr w:type="gramEnd"/>
      <w:r w:rsidRPr="00342D66">
        <w:t>50Met is the most common pathogenic variant in endemic regions of Portugal and Japan and one of the most common variants worldwide.</w:t>
      </w:r>
      <w:r w:rsidR="00A606FB">
        <w:fldChar w:fldCharType="begin"/>
      </w:r>
      <w:r w:rsidR="00A606FB">
        <w:instrText xml:space="preserve"> NOTEREF _Ref240885769 \f \h </w:instrText>
      </w:r>
      <w:r w:rsidR="00A606FB">
        <w:fldChar w:fldCharType="separate"/>
      </w:r>
      <w:r w:rsidR="00A606FB" w:rsidRPr="00A606FB">
        <w:rPr>
          <w:rStyle w:val="FootnoteReference"/>
        </w:rPr>
        <w:t>3</w:t>
      </w:r>
      <w:r w:rsidR="00A606FB">
        <w:fldChar w:fldCharType="end"/>
      </w:r>
      <w:r w:rsidRPr="00342D66">
        <w:rPr>
          <w:vertAlign w:val="superscript"/>
        </w:rPr>
        <w:t xml:space="preserve"> </w:t>
      </w:r>
      <w:r w:rsidRPr="00342D66">
        <w:t xml:space="preserve">Global prevalence is low, estimated at around 10,000 individuals. Retrospective analysis on data from </w:t>
      </w:r>
      <w:r w:rsidRPr="00342D66">
        <w:lastRenderedPageBreak/>
        <w:t>the Australian Amyloidosis Network clinics between 2007 and 2022 identified 161 individuals with ATTRv, an average age of 59.4 years, with 24 different genetic variants identified.</w:t>
      </w:r>
      <w:r w:rsidRPr="00342D66">
        <w:rPr>
          <w:vertAlign w:val="superscript"/>
        </w:rPr>
        <w:footnoteReference w:id="4"/>
      </w:r>
      <w:r w:rsidRPr="00342D66">
        <w:t xml:space="preserve"> </w:t>
      </w:r>
    </w:p>
    <w:p w14:paraId="0B6D5CB6" w14:textId="6D0AED63" w:rsidR="00342D66" w:rsidRPr="00342D66" w:rsidRDefault="00342D66" w:rsidP="00342D66">
      <w:r w:rsidRPr="00342D66">
        <w:t>ATTRv is distinct from wild type ATTR which results from deposition of wild type TTR predominantly in the heart, but with deposition also seen in the lungs, blood vessels and kidneys.</w:t>
      </w:r>
      <w:r w:rsidR="00A606FB">
        <w:rPr>
          <w:vertAlign w:val="superscript"/>
        </w:rPr>
        <w:fldChar w:fldCharType="begin"/>
      </w:r>
      <w:r w:rsidR="00A606FB">
        <w:instrText xml:space="preserve"> NOTEREF _Ref240885769 \f \h </w:instrText>
      </w:r>
      <w:r w:rsidR="00A606FB">
        <w:rPr>
          <w:vertAlign w:val="superscript"/>
        </w:rPr>
      </w:r>
      <w:r w:rsidR="00A606FB">
        <w:rPr>
          <w:vertAlign w:val="superscript"/>
        </w:rPr>
        <w:fldChar w:fldCharType="separate"/>
      </w:r>
      <w:r w:rsidR="00A606FB" w:rsidRPr="00A606FB">
        <w:rPr>
          <w:rStyle w:val="FootnoteReference"/>
        </w:rPr>
        <w:t>3</w:t>
      </w:r>
      <w:r w:rsidR="00A606FB">
        <w:rPr>
          <w:vertAlign w:val="superscript"/>
        </w:rPr>
        <w:fldChar w:fldCharType="end"/>
      </w:r>
      <w:r w:rsidRPr="00342D66">
        <w:rPr>
          <w:vertAlign w:val="superscript"/>
        </w:rPr>
        <w:t xml:space="preserve"> </w:t>
      </w:r>
      <w:r w:rsidRPr="00342D66">
        <w:t>It typically affects elderly patients and may not be diagnosed during life, with autopsy studies suggesting a prevalence of up to 10-25% in those aged over 80 years.</w:t>
      </w:r>
      <w:r w:rsidR="00A606FB">
        <w:rPr>
          <w:vertAlign w:val="superscript"/>
        </w:rPr>
        <w:fldChar w:fldCharType="begin"/>
      </w:r>
      <w:r w:rsidR="00A606FB">
        <w:instrText xml:space="preserve"> NOTEREF _Ref240885769 \f \h </w:instrText>
      </w:r>
      <w:r w:rsidR="00A606FB">
        <w:rPr>
          <w:vertAlign w:val="superscript"/>
        </w:rPr>
      </w:r>
      <w:r w:rsidR="00A606FB">
        <w:rPr>
          <w:vertAlign w:val="superscript"/>
        </w:rPr>
        <w:fldChar w:fldCharType="separate"/>
      </w:r>
      <w:r w:rsidR="00A606FB" w:rsidRPr="00A606FB">
        <w:rPr>
          <w:rStyle w:val="FootnoteReference"/>
        </w:rPr>
        <w:t>3</w:t>
      </w:r>
      <w:r w:rsidR="00A606FB">
        <w:rPr>
          <w:vertAlign w:val="superscript"/>
        </w:rPr>
        <w:fldChar w:fldCharType="end"/>
      </w:r>
      <w:r w:rsidRPr="00342D66">
        <w:rPr>
          <w:vertAlign w:val="superscript"/>
        </w:rPr>
        <w:t xml:space="preserve"> </w:t>
      </w:r>
      <w:r w:rsidRPr="00342D66">
        <w:t>Carpal tunnel</w:t>
      </w:r>
      <w:r w:rsidRPr="00342D66">
        <w:rPr>
          <w:rFonts w:eastAsia="Cambria" w:cs="Times New Roman"/>
          <w:szCs w:val="22"/>
        </w:rPr>
        <w:t xml:space="preserve"> </w:t>
      </w:r>
      <w:r w:rsidRPr="00342D66">
        <w:t>syndrome is a common presentation in wild type ATTR, along with slowly progressive heart failure.</w:t>
      </w:r>
      <w:r w:rsidR="00A606FB">
        <w:rPr>
          <w:vertAlign w:val="superscript"/>
        </w:rPr>
        <w:fldChar w:fldCharType="begin"/>
      </w:r>
      <w:r w:rsidR="00A606FB">
        <w:instrText xml:space="preserve"> NOTEREF _Ref240885769 \f \h </w:instrText>
      </w:r>
      <w:r w:rsidR="00A606FB">
        <w:rPr>
          <w:vertAlign w:val="superscript"/>
        </w:rPr>
      </w:r>
      <w:r w:rsidR="00A606FB">
        <w:rPr>
          <w:vertAlign w:val="superscript"/>
        </w:rPr>
        <w:fldChar w:fldCharType="separate"/>
      </w:r>
      <w:r w:rsidR="00A606FB" w:rsidRPr="00A606FB">
        <w:rPr>
          <w:rStyle w:val="FootnoteReference"/>
        </w:rPr>
        <w:t>3</w:t>
      </w:r>
      <w:r w:rsidR="00A606FB">
        <w:rPr>
          <w:vertAlign w:val="superscript"/>
        </w:rPr>
        <w:fldChar w:fldCharType="end"/>
      </w:r>
      <w:r w:rsidRPr="00342D66">
        <w:rPr>
          <w:vertAlign w:val="superscript"/>
        </w:rPr>
        <w:t xml:space="preserve"> </w:t>
      </w:r>
    </w:p>
    <w:p w14:paraId="414E6B0E" w14:textId="77777777" w:rsidR="00342D66" w:rsidRPr="00342D66" w:rsidRDefault="00342D66" w:rsidP="00E561AD">
      <w:pPr>
        <w:pStyle w:val="Heading4"/>
      </w:pPr>
      <w:bookmarkStart w:id="20" w:name="_Toc242958192"/>
      <w:r w:rsidRPr="00342D66">
        <w:t>Current treatment options</w:t>
      </w:r>
      <w:bookmarkEnd w:id="20"/>
    </w:p>
    <w:p w14:paraId="29A83498" w14:textId="0C13F751" w:rsidR="00342D66" w:rsidRDefault="00342D66" w:rsidP="00342D66">
      <w:r w:rsidRPr="00342D66">
        <w:t xml:space="preserve">Historically treatment was supportive and symptomatic in nature, with liver transplant providing a disease modifying option. In recent years a number of disease-modifying therapies have become available, including those which function to inhibit synthesis of amyloidogenic TTR such as the </w:t>
      </w:r>
      <w:r w:rsidRPr="00B12590">
        <w:rPr>
          <w:i/>
          <w:iCs/>
        </w:rPr>
        <w:t>TTR</w:t>
      </w:r>
      <w:r w:rsidRPr="00342D66">
        <w:t xml:space="preserve"> silencer therapies </w:t>
      </w:r>
      <w:proofErr w:type="spellStart"/>
      <w:r w:rsidRPr="00342D66">
        <w:t>inotersen</w:t>
      </w:r>
      <w:proofErr w:type="spellEnd"/>
      <w:r w:rsidRPr="00342D66">
        <w:t xml:space="preserve">, patisiran, and vutrisiran, and those which function to stabilise the native TTR tetramer such as </w:t>
      </w:r>
      <w:r w:rsidR="00F55670">
        <w:t>t</w:t>
      </w:r>
      <w:r w:rsidRPr="00342D66">
        <w:t>afamidis.</w:t>
      </w:r>
      <w:r w:rsidR="00B12590">
        <w:rPr>
          <w:vertAlign w:val="superscript"/>
        </w:rPr>
        <w:fldChar w:fldCharType="begin"/>
      </w:r>
      <w:r w:rsidR="00B12590">
        <w:instrText xml:space="preserve"> NOTEREF _Ref240885769 \f \h </w:instrText>
      </w:r>
      <w:r w:rsidR="00B12590">
        <w:rPr>
          <w:vertAlign w:val="superscript"/>
        </w:rPr>
      </w:r>
      <w:r w:rsidR="00B12590">
        <w:rPr>
          <w:vertAlign w:val="superscript"/>
        </w:rPr>
        <w:fldChar w:fldCharType="separate"/>
      </w:r>
      <w:r w:rsidR="00B12590" w:rsidRPr="00B12590">
        <w:rPr>
          <w:rStyle w:val="FootnoteReference"/>
        </w:rPr>
        <w:t>3</w:t>
      </w:r>
      <w:r w:rsidR="00B12590">
        <w:rPr>
          <w:vertAlign w:val="superscript"/>
        </w:rPr>
        <w:fldChar w:fldCharType="end"/>
      </w:r>
      <w:r w:rsidRPr="00342D66">
        <w:rPr>
          <w:vertAlign w:val="superscript"/>
        </w:rPr>
        <w:t xml:space="preserve"> </w:t>
      </w:r>
      <w:r w:rsidRPr="00342D66">
        <w:t>Published US-based expert consensus guidelines advocate initiation of disease-modifying therapy as soon as possible after diagnosis of ATTRv with polyneuropathy, though note a lack of head-to-head studies to guide choice of specific agent.</w:t>
      </w:r>
      <w:r w:rsidRPr="00342D66">
        <w:rPr>
          <w:vertAlign w:val="superscript"/>
        </w:rPr>
        <w:footnoteReference w:id="5"/>
      </w:r>
      <w:r w:rsidRPr="00342D66">
        <w:t xml:space="preserve"> Current products in the Australian Register of Therapeutic Goods (ARTG) with approved indications for ATTRv are summarised in Table 1.</w:t>
      </w:r>
    </w:p>
    <w:p w14:paraId="244DBB14" w14:textId="4C82DBB9" w:rsidR="00342D66" w:rsidRDefault="00342D66" w:rsidP="00342D66">
      <w:pPr>
        <w:pStyle w:val="TableTitle"/>
      </w:pPr>
      <w:r w:rsidRPr="00342D66">
        <w:t>Table 1. Products included in the Australian Register of Therapeutic Goods with approved indications for hereditary transthyretin-mediated amyloidosis.</w:t>
      </w:r>
    </w:p>
    <w:tbl>
      <w:tblPr>
        <w:tblStyle w:val="TableTGAblue2023"/>
        <w:tblW w:w="0" w:type="auto"/>
        <w:tblLook w:val="04A0" w:firstRow="1" w:lastRow="0" w:firstColumn="1" w:lastColumn="0" w:noHBand="0" w:noVBand="1"/>
        <w:tblCaption w:val="Table 1. Products included in the Australian Register of Therapeutic Goods with approved indications for hereditary transthyretin-mediated amyloidosis."/>
      </w:tblPr>
      <w:tblGrid>
        <w:gridCol w:w="2830"/>
        <w:gridCol w:w="3261"/>
        <w:gridCol w:w="2925"/>
      </w:tblGrid>
      <w:tr w:rsidR="00342D66" w:rsidRPr="00342D66" w14:paraId="0A137379" w14:textId="77777777" w:rsidTr="00AE1B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58589D2" w14:textId="1CDE37E5" w:rsidR="00342D66" w:rsidRPr="00342D66" w:rsidRDefault="00342D66" w:rsidP="00AE1B07">
            <w:pPr>
              <w:spacing w:line="240" w:lineRule="atLeast"/>
              <w:ind w:right="113"/>
              <w:rPr>
                <w:b w:val="0"/>
                <w:bCs/>
                <w:sz w:val="21"/>
              </w:rPr>
            </w:pPr>
            <w:r w:rsidRPr="00342D66">
              <w:rPr>
                <w:bCs/>
                <w:sz w:val="21"/>
              </w:rPr>
              <w:t xml:space="preserve">Active ingredient </w:t>
            </w:r>
            <w:r w:rsidR="00AE1B07">
              <w:rPr>
                <w:bCs/>
                <w:sz w:val="21"/>
              </w:rPr>
              <w:br/>
            </w:r>
            <w:r w:rsidRPr="00342D66">
              <w:rPr>
                <w:bCs/>
                <w:sz w:val="21"/>
              </w:rPr>
              <w:t>(product name)</w:t>
            </w:r>
          </w:p>
        </w:tc>
        <w:tc>
          <w:tcPr>
            <w:tcW w:w="3261" w:type="dxa"/>
          </w:tcPr>
          <w:p w14:paraId="3F04F722" w14:textId="77777777" w:rsidR="00342D66" w:rsidRPr="00342D66" w:rsidRDefault="00342D66" w:rsidP="00AE1B07">
            <w:pPr>
              <w:spacing w:line="240" w:lineRule="atLeast"/>
              <w:ind w:right="113"/>
              <w:cnfStyle w:val="100000000000" w:firstRow="1" w:lastRow="0" w:firstColumn="0" w:lastColumn="0" w:oddVBand="0" w:evenVBand="0" w:oddHBand="0" w:evenHBand="0" w:firstRowFirstColumn="0" w:firstRowLastColumn="0" w:lastRowFirstColumn="0" w:lastRowLastColumn="0"/>
              <w:rPr>
                <w:b w:val="0"/>
                <w:bCs/>
                <w:sz w:val="21"/>
              </w:rPr>
            </w:pPr>
            <w:r w:rsidRPr="00342D66">
              <w:rPr>
                <w:bCs/>
                <w:sz w:val="21"/>
              </w:rPr>
              <w:t>Approved therapeutic indication</w:t>
            </w:r>
          </w:p>
        </w:tc>
        <w:tc>
          <w:tcPr>
            <w:tcW w:w="2925" w:type="dxa"/>
          </w:tcPr>
          <w:p w14:paraId="3C89B5E2" w14:textId="77777777" w:rsidR="00342D66" w:rsidRPr="00342D66" w:rsidRDefault="00342D66" w:rsidP="00AE1B07">
            <w:pPr>
              <w:spacing w:line="240" w:lineRule="atLeast"/>
              <w:ind w:right="113"/>
              <w:cnfStyle w:val="100000000000" w:firstRow="1" w:lastRow="0" w:firstColumn="0" w:lastColumn="0" w:oddVBand="0" w:evenVBand="0" w:oddHBand="0" w:evenHBand="0" w:firstRowFirstColumn="0" w:firstRowLastColumn="0" w:lastRowFirstColumn="0" w:lastRowLastColumn="0"/>
              <w:rPr>
                <w:b w:val="0"/>
                <w:bCs/>
                <w:sz w:val="21"/>
              </w:rPr>
            </w:pPr>
            <w:r w:rsidRPr="00342D66">
              <w:rPr>
                <w:bCs/>
                <w:sz w:val="21"/>
              </w:rPr>
              <w:t>Dosing and administration</w:t>
            </w:r>
          </w:p>
        </w:tc>
      </w:tr>
      <w:tr w:rsidR="00342D66" w:rsidRPr="00342D66" w14:paraId="7AA59883" w14:textId="77777777" w:rsidTr="00AE1B07">
        <w:tc>
          <w:tcPr>
            <w:cnfStyle w:val="001000000000" w:firstRow="0" w:lastRow="0" w:firstColumn="1" w:lastColumn="0" w:oddVBand="0" w:evenVBand="0" w:oddHBand="0" w:evenHBand="0" w:firstRowFirstColumn="0" w:firstRowLastColumn="0" w:lastRowFirstColumn="0" w:lastRowLastColumn="0"/>
            <w:tcW w:w="2830" w:type="dxa"/>
          </w:tcPr>
          <w:p w14:paraId="4678A1A6" w14:textId="77777777" w:rsidR="00AE1B07" w:rsidRDefault="00342D66" w:rsidP="00342D66">
            <w:pPr>
              <w:spacing w:line="240" w:lineRule="atLeast"/>
              <w:rPr>
                <w:sz w:val="21"/>
              </w:rPr>
            </w:pPr>
            <w:r w:rsidRPr="00342D66">
              <w:rPr>
                <w:sz w:val="21"/>
              </w:rPr>
              <w:t>Vutrisiran (</w:t>
            </w:r>
            <w:proofErr w:type="spellStart"/>
            <w:r w:rsidRPr="00342D66">
              <w:rPr>
                <w:sz w:val="21"/>
              </w:rPr>
              <w:t>A</w:t>
            </w:r>
            <w:r w:rsidR="00F55670">
              <w:rPr>
                <w:sz w:val="21"/>
              </w:rPr>
              <w:t>mvuttra</w:t>
            </w:r>
            <w:proofErr w:type="spellEnd"/>
            <w:r w:rsidRPr="00342D66">
              <w:rPr>
                <w:sz w:val="21"/>
              </w:rPr>
              <w:t>),</w:t>
            </w:r>
            <w:r w:rsidR="00AE1B07">
              <w:rPr>
                <w:sz w:val="21"/>
              </w:rPr>
              <w:t xml:space="preserve"> </w:t>
            </w:r>
          </w:p>
          <w:p w14:paraId="2741B0AA" w14:textId="2C11EB32" w:rsidR="00342D66" w:rsidRPr="00342D66" w:rsidRDefault="00342D66" w:rsidP="00342D66">
            <w:pPr>
              <w:spacing w:line="240" w:lineRule="atLeast"/>
              <w:rPr>
                <w:sz w:val="21"/>
              </w:rPr>
            </w:pPr>
            <w:r w:rsidRPr="00342D66">
              <w:rPr>
                <w:sz w:val="21"/>
              </w:rPr>
              <w:t>Aust R 422290</w:t>
            </w:r>
          </w:p>
        </w:tc>
        <w:tc>
          <w:tcPr>
            <w:tcW w:w="3261" w:type="dxa"/>
          </w:tcPr>
          <w:p w14:paraId="1E233D15" w14:textId="77777777" w:rsidR="00342D66" w:rsidRPr="00342D66" w:rsidRDefault="00342D66" w:rsidP="00342D66">
            <w:pPr>
              <w:spacing w:line="240" w:lineRule="atLeast"/>
              <w:cnfStyle w:val="000000000000" w:firstRow="0" w:lastRow="0" w:firstColumn="0" w:lastColumn="0" w:oddVBand="0" w:evenVBand="0" w:oddHBand="0" w:evenHBand="0" w:firstRowFirstColumn="0" w:firstRowLastColumn="0" w:lastRowFirstColumn="0" w:lastRowLastColumn="0"/>
              <w:rPr>
                <w:sz w:val="21"/>
              </w:rPr>
            </w:pPr>
            <w:r w:rsidRPr="00342D66">
              <w:rPr>
                <w:sz w:val="21"/>
              </w:rPr>
              <w:t>For the treatment of hereditary transthyretin-mediated amyloidosis in adult patients with stage 1 or stage 2 polyneuropathy</w:t>
            </w:r>
          </w:p>
        </w:tc>
        <w:tc>
          <w:tcPr>
            <w:tcW w:w="2925" w:type="dxa"/>
          </w:tcPr>
          <w:p w14:paraId="48EB0181" w14:textId="77777777" w:rsidR="00342D66" w:rsidRPr="00342D66" w:rsidRDefault="00342D66" w:rsidP="00342D66">
            <w:pPr>
              <w:spacing w:line="240" w:lineRule="atLeast"/>
              <w:cnfStyle w:val="000000000000" w:firstRow="0" w:lastRow="0" w:firstColumn="0" w:lastColumn="0" w:oddVBand="0" w:evenVBand="0" w:oddHBand="0" w:evenHBand="0" w:firstRowFirstColumn="0" w:firstRowLastColumn="0" w:lastRowFirstColumn="0" w:lastRowLastColumn="0"/>
              <w:rPr>
                <w:sz w:val="21"/>
              </w:rPr>
            </w:pPr>
            <w:r w:rsidRPr="00342D66">
              <w:rPr>
                <w:sz w:val="21"/>
              </w:rPr>
              <w:t>25 mg via subcutaneous injection once every 3 months</w:t>
            </w:r>
          </w:p>
        </w:tc>
      </w:tr>
      <w:tr w:rsidR="00342D66" w:rsidRPr="00342D66" w14:paraId="68E70EA3" w14:textId="77777777" w:rsidTr="00AE1B07">
        <w:tc>
          <w:tcPr>
            <w:cnfStyle w:val="001000000000" w:firstRow="0" w:lastRow="0" w:firstColumn="1" w:lastColumn="0" w:oddVBand="0" w:evenVBand="0" w:oddHBand="0" w:evenHBand="0" w:firstRowFirstColumn="0" w:firstRowLastColumn="0" w:lastRowFirstColumn="0" w:lastRowLastColumn="0"/>
            <w:tcW w:w="2830" w:type="dxa"/>
          </w:tcPr>
          <w:p w14:paraId="5213595A" w14:textId="77777777" w:rsidR="00AE1B07" w:rsidRDefault="00342D66" w:rsidP="00342D66">
            <w:pPr>
              <w:spacing w:line="240" w:lineRule="atLeast"/>
              <w:rPr>
                <w:sz w:val="21"/>
              </w:rPr>
            </w:pPr>
            <w:r w:rsidRPr="00342D66">
              <w:rPr>
                <w:sz w:val="21"/>
              </w:rPr>
              <w:t>Patisiran (</w:t>
            </w:r>
            <w:proofErr w:type="spellStart"/>
            <w:r w:rsidRPr="00342D66">
              <w:rPr>
                <w:sz w:val="21"/>
              </w:rPr>
              <w:t>O</w:t>
            </w:r>
            <w:r w:rsidR="00F55670">
              <w:rPr>
                <w:sz w:val="21"/>
              </w:rPr>
              <w:t>npattro</w:t>
            </w:r>
            <w:proofErr w:type="spellEnd"/>
            <w:r w:rsidRPr="00342D66">
              <w:rPr>
                <w:sz w:val="21"/>
              </w:rPr>
              <w:t xml:space="preserve">), </w:t>
            </w:r>
          </w:p>
          <w:p w14:paraId="3DD8D3F3" w14:textId="3B5F4CD5" w:rsidR="00342D66" w:rsidRPr="00342D66" w:rsidRDefault="00342D66" w:rsidP="00342D66">
            <w:pPr>
              <w:spacing w:line="240" w:lineRule="atLeast"/>
              <w:rPr>
                <w:sz w:val="21"/>
              </w:rPr>
            </w:pPr>
            <w:r w:rsidRPr="00342D66">
              <w:rPr>
                <w:sz w:val="21"/>
              </w:rPr>
              <w:t>Aust R 380813</w:t>
            </w:r>
          </w:p>
        </w:tc>
        <w:tc>
          <w:tcPr>
            <w:tcW w:w="3261" w:type="dxa"/>
          </w:tcPr>
          <w:p w14:paraId="4247DC95" w14:textId="77777777" w:rsidR="00342D66" w:rsidRPr="00342D66" w:rsidRDefault="00342D66" w:rsidP="00342D66">
            <w:pPr>
              <w:spacing w:line="240" w:lineRule="atLeast"/>
              <w:cnfStyle w:val="000000000000" w:firstRow="0" w:lastRow="0" w:firstColumn="0" w:lastColumn="0" w:oddVBand="0" w:evenVBand="0" w:oddHBand="0" w:evenHBand="0" w:firstRowFirstColumn="0" w:firstRowLastColumn="0" w:lastRowFirstColumn="0" w:lastRowLastColumn="0"/>
              <w:rPr>
                <w:sz w:val="21"/>
              </w:rPr>
            </w:pPr>
            <w:r w:rsidRPr="00342D66">
              <w:rPr>
                <w:sz w:val="21"/>
              </w:rPr>
              <w:t>For the treatment of hereditary transthyretin-mediated amyloidosis in adult patients with stage 1 or stage 2 polyneuropathy.</w:t>
            </w:r>
          </w:p>
        </w:tc>
        <w:tc>
          <w:tcPr>
            <w:tcW w:w="2925" w:type="dxa"/>
          </w:tcPr>
          <w:p w14:paraId="59E608A9" w14:textId="77777777" w:rsidR="00342D66" w:rsidRPr="00342D66" w:rsidRDefault="00342D66" w:rsidP="00342D66">
            <w:pPr>
              <w:spacing w:line="240" w:lineRule="atLeast"/>
              <w:cnfStyle w:val="000000000000" w:firstRow="0" w:lastRow="0" w:firstColumn="0" w:lastColumn="0" w:oddVBand="0" w:evenVBand="0" w:oddHBand="0" w:evenHBand="0" w:firstRowFirstColumn="0" w:firstRowLastColumn="0" w:lastRowFirstColumn="0" w:lastRowLastColumn="0"/>
              <w:rPr>
                <w:sz w:val="21"/>
              </w:rPr>
            </w:pPr>
            <w:r w:rsidRPr="00342D66">
              <w:rPr>
                <w:sz w:val="21"/>
              </w:rPr>
              <w:t xml:space="preserve">300 micrograms per kg body weight via IV infusion once every 3 weeks. </w:t>
            </w:r>
          </w:p>
        </w:tc>
      </w:tr>
      <w:tr w:rsidR="00342D66" w:rsidRPr="00342D66" w14:paraId="5CBDD736" w14:textId="77777777" w:rsidTr="00AE1B07">
        <w:tc>
          <w:tcPr>
            <w:cnfStyle w:val="001000000000" w:firstRow="0" w:lastRow="0" w:firstColumn="1" w:lastColumn="0" w:oddVBand="0" w:evenVBand="0" w:oddHBand="0" w:evenHBand="0" w:firstRowFirstColumn="0" w:firstRowLastColumn="0" w:lastRowFirstColumn="0" w:lastRowLastColumn="0"/>
            <w:tcW w:w="2830" w:type="dxa"/>
          </w:tcPr>
          <w:p w14:paraId="7B5CFC66" w14:textId="77777777" w:rsidR="00AE1B07" w:rsidRDefault="00342D66" w:rsidP="00342D66">
            <w:pPr>
              <w:spacing w:line="240" w:lineRule="atLeast"/>
              <w:rPr>
                <w:sz w:val="21"/>
              </w:rPr>
            </w:pPr>
            <w:r w:rsidRPr="00342D66">
              <w:rPr>
                <w:sz w:val="21"/>
              </w:rPr>
              <w:t>Tafamidis (</w:t>
            </w:r>
            <w:proofErr w:type="spellStart"/>
            <w:r w:rsidRPr="00342D66">
              <w:rPr>
                <w:sz w:val="21"/>
              </w:rPr>
              <w:t>V</w:t>
            </w:r>
            <w:r w:rsidR="00F55670">
              <w:rPr>
                <w:sz w:val="21"/>
              </w:rPr>
              <w:t>yndamax</w:t>
            </w:r>
            <w:proofErr w:type="spellEnd"/>
            <w:r w:rsidRPr="00342D66">
              <w:rPr>
                <w:sz w:val="21"/>
              </w:rPr>
              <w:t xml:space="preserve">), </w:t>
            </w:r>
          </w:p>
          <w:p w14:paraId="03297BDA" w14:textId="7BB8CB52" w:rsidR="00342D66" w:rsidRPr="00342D66" w:rsidRDefault="00342D66" w:rsidP="00342D66">
            <w:pPr>
              <w:spacing w:line="240" w:lineRule="atLeast"/>
              <w:rPr>
                <w:sz w:val="21"/>
              </w:rPr>
            </w:pPr>
            <w:r w:rsidRPr="00342D66">
              <w:rPr>
                <w:sz w:val="21"/>
              </w:rPr>
              <w:t>Aust R 314813, and 316241</w:t>
            </w:r>
          </w:p>
        </w:tc>
        <w:tc>
          <w:tcPr>
            <w:tcW w:w="3261" w:type="dxa"/>
          </w:tcPr>
          <w:p w14:paraId="69811E9A" w14:textId="77777777" w:rsidR="00342D66" w:rsidRPr="00342D66" w:rsidRDefault="00342D66" w:rsidP="00342D66">
            <w:pPr>
              <w:spacing w:line="240" w:lineRule="atLeast"/>
              <w:cnfStyle w:val="000000000000" w:firstRow="0" w:lastRow="0" w:firstColumn="0" w:lastColumn="0" w:oddVBand="0" w:evenVBand="0" w:oddHBand="0" w:evenHBand="0" w:firstRowFirstColumn="0" w:firstRowLastColumn="0" w:lastRowFirstColumn="0" w:lastRowLastColumn="0"/>
              <w:rPr>
                <w:sz w:val="21"/>
              </w:rPr>
            </w:pPr>
            <w:r w:rsidRPr="00342D66">
              <w:rPr>
                <w:sz w:val="21"/>
              </w:rPr>
              <w:t>For the treatment of adult patients with wild-type or hereditary transthyretin amyloid cardiomyopathy.</w:t>
            </w:r>
          </w:p>
        </w:tc>
        <w:tc>
          <w:tcPr>
            <w:tcW w:w="2925" w:type="dxa"/>
          </w:tcPr>
          <w:p w14:paraId="197FF3EF" w14:textId="77777777" w:rsidR="00342D66" w:rsidRPr="00342D66" w:rsidRDefault="00342D66" w:rsidP="00342D66">
            <w:pPr>
              <w:spacing w:line="240" w:lineRule="atLeast"/>
              <w:cnfStyle w:val="000000000000" w:firstRow="0" w:lastRow="0" w:firstColumn="0" w:lastColumn="0" w:oddVBand="0" w:evenVBand="0" w:oddHBand="0" w:evenHBand="0" w:firstRowFirstColumn="0" w:firstRowLastColumn="0" w:lastRowFirstColumn="0" w:lastRowLastColumn="0"/>
              <w:rPr>
                <w:sz w:val="21"/>
              </w:rPr>
            </w:pPr>
            <w:r w:rsidRPr="00342D66">
              <w:rPr>
                <w:sz w:val="21"/>
              </w:rPr>
              <w:t xml:space="preserve">61 mg orally once daily. </w:t>
            </w:r>
          </w:p>
        </w:tc>
      </w:tr>
    </w:tbl>
    <w:p w14:paraId="542D1BA7" w14:textId="77777777" w:rsidR="00AE1B07" w:rsidRDefault="00AE1B07" w:rsidP="00E561AD"/>
    <w:p w14:paraId="72569726" w14:textId="3062AA54" w:rsidR="00E561AD" w:rsidRDefault="00E561AD" w:rsidP="00E561AD">
      <w:proofErr w:type="spellStart"/>
      <w:r w:rsidRPr="00E561AD">
        <w:t>Inotersen</w:t>
      </w:r>
      <w:proofErr w:type="spellEnd"/>
      <w:r w:rsidRPr="00E561AD">
        <w:t xml:space="preserve"> (</w:t>
      </w:r>
      <w:proofErr w:type="spellStart"/>
      <w:r w:rsidRPr="00E561AD">
        <w:t>T</w:t>
      </w:r>
      <w:r w:rsidR="00F55670">
        <w:t>egsedi</w:t>
      </w:r>
      <w:r w:rsidRPr="00E561AD">
        <w:t>I</w:t>
      </w:r>
      <w:proofErr w:type="spellEnd"/>
      <w:r w:rsidRPr="00E561AD">
        <w:t xml:space="preserve">), an antisense oligonucleotide which inhibits synthesis of transthyretin, is not included in the ARTG but is approved overseas in the European Union (EU), United States of America (USA) and Canada for treatment of ATTRv with polyneuropathy. </w:t>
      </w:r>
    </w:p>
    <w:p w14:paraId="106CC74F" w14:textId="49104914" w:rsidR="00F55670" w:rsidRDefault="00F55670" w:rsidP="00F55670">
      <w:pPr>
        <w:pStyle w:val="Heading4"/>
      </w:pPr>
      <w:bookmarkStart w:id="21" w:name="_Toc242958193"/>
      <w:r>
        <w:lastRenderedPageBreak/>
        <w:t>Clinical rationale</w:t>
      </w:r>
      <w:bookmarkEnd w:id="21"/>
    </w:p>
    <w:p w14:paraId="61DE711B" w14:textId="2ACD9EB3" w:rsidR="00E561AD" w:rsidRPr="00E561AD" w:rsidRDefault="00F55670" w:rsidP="00E561AD">
      <w:r w:rsidRPr="00F55670">
        <w:t>Eplontersen is a</w:t>
      </w:r>
      <w:r>
        <w:t>n</w:t>
      </w:r>
      <w:r w:rsidRPr="00F55670">
        <w:t xml:space="preserve"> antisense oligonucleotide (ASO) that is selectively delivered to the liver</w:t>
      </w:r>
      <w:r>
        <w:t xml:space="preserve"> via </w:t>
      </w:r>
      <w:r w:rsidRPr="00F55670">
        <w:t>conjugat</w:t>
      </w:r>
      <w:r>
        <w:t xml:space="preserve">ion </w:t>
      </w:r>
      <w:r w:rsidRPr="00F55670">
        <w:t xml:space="preserve">to a </w:t>
      </w:r>
      <w:r w:rsidR="00831D42" w:rsidRPr="00831D42">
        <w:t>N-</w:t>
      </w:r>
      <w:proofErr w:type="spellStart"/>
      <w:r w:rsidR="00831D42" w:rsidRPr="00831D42">
        <w:t>acetylgalactosamine</w:t>
      </w:r>
      <w:proofErr w:type="spellEnd"/>
      <w:r w:rsidR="00831D42" w:rsidRPr="00831D42">
        <w:t xml:space="preserve"> </w:t>
      </w:r>
      <w:r w:rsidR="00831D42">
        <w:t>(</w:t>
      </w:r>
      <w:r w:rsidRPr="00F55670">
        <w:t>GalNAc</w:t>
      </w:r>
      <w:r w:rsidR="00831D42">
        <w:t>)</w:t>
      </w:r>
      <w:r w:rsidRPr="00F55670">
        <w:t xml:space="preserve"> ligand. This liver-targeted approach is intended to increase potency, allowing TTR reduction with monthly subcutaneous dosing</w:t>
      </w:r>
      <w:r>
        <w:t xml:space="preserve">. </w:t>
      </w:r>
      <w:r w:rsidRPr="00F55670">
        <w:t xml:space="preserve">Hybridisation of eplontersen to hepatic TTR mRNA leads to its cleavage by ribonuclease H1, thus preventing production of TTR protein in the liver. Decreased production of liver-derived TTR protein in the circulation decreases the formation of TTR amyloid fibril deposits, </w:t>
      </w:r>
      <w:r w:rsidR="00B12590">
        <w:t xml:space="preserve">which may </w:t>
      </w:r>
      <w:r w:rsidRPr="00F55670">
        <w:t xml:space="preserve">slow the symptoms of ATTR disease. </w:t>
      </w:r>
    </w:p>
    <w:p w14:paraId="7EF17480" w14:textId="77777777" w:rsidR="00E561AD" w:rsidRPr="00E561AD" w:rsidRDefault="00E561AD" w:rsidP="00831D42">
      <w:pPr>
        <w:pStyle w:val="Heading4"/>
        <w:rPr>
          <w:lang w:val="en-US"/>
        </w:rPr>
      </w:pPr>
      <w:bookmarkStart w:id="22" w:name="_Toc242958194"/>
      <w:r w:rsidRPr="00E561AD">
        <w:rPr>
          <w:lang w:val="en-US"/>
        </w:rPr>
        <w:t>Australian regulatory status</w:t>
      </w:r>
      <w:bookmarkEnd w:id="22"/>
    </w:p>
    <w:p w14:paraId="100F61B1" w14:textId="1C83FB2C" w:rsidR="00E561AD" w:rsidRPr="00E561AD" w:rsidRDefault="00010572" w:rsidP="00E561AD">
      <w:pPr>
        <w:rPr>
          <w:lang w:val="en-US"/>
        </w:rPr>
      </w:pPr>
      <w:r w:rsidRPr="00010572">
        <w:rPr>
          <w:lang w:val="en-US"/>
        </w:rPr>
        <w:t>This product is considered a new chemical entity for Australian regulatory purposes.</w:t>
      </w:r>
      <w:r w:rsidR="00E561AD" w:rsidRPr="00E561AD">
        <w:rPr>
          <w:lang w:val="en-US"/>
        </w:rPr>
        <w:t xml:space="preserve"> </w:t>
      </w:r>
    </w:p>
    <w:p w14:paraId="546C1031" w14:textId="4EF98FA1" w:rsidR="0017005C" w:rsidRDefault="00131B1B" w:rsidP="0017005C">
      <w:pPr>
        <w:pStyle w:val="Heading4"/>
      </w:pPr>
      <w:bookmarkStart w:id="23" w:name="_Toc242958195"/>
      <w:bookmarkEnd w:id="16"/>
      <w:bookmarkEnd w:id="17"/>
      <w:r>
        <w:t xml:space="preserve">International </w:t>
      </w:r>
      <w:r w:rsidR="0017005C" w:rsidRPr="00BD5DBD">
        <w:t>regulatory</w:t>
      </w:r>
      <w:r w:rsidR="0017005C">
        <w:t xml:space="preserve"> status</w:t>
      </w:r>
      <w:bookmarkEnd w:id="23"/>
    </w:p>
    <w:p w14:paraId="7FDF4A0B" w14:textId="1AF4FFF6" w:rsidR="008F4A62" w:rsidRPr="0017005C" w:rsidRDefault="008F4A62" w:rsidP="008F4A62">
      <w:r w:rsidRPr="00BD5DBD">
        <w:rPr>
          <w:szCs w:val="22"/>
        </w:rPr>
        <w:t xml:space="preserve">At the time the TGA considered this submission, a similar submission had been </w:t>
      </w:r>
      <w:r>
        <w:rPr>
          <w:szCs w:val="22"/>
        </w:rPr>
        <w:t xml:space="preserve">considered by other regulatory agencies. </w:t>
      </w:r>
      <w:r w:rsidR="009249E6">
        <w:rPr>
          <w:szCs w:val="22"/>
        </w:rPr>
        <w:t xml:space="preserve">Table </w:t>
      </w:r>
      <w:r w:rsidR="00831D42">
        <w:rPr>
          <w:szCs w:val="22"/>
        </w:rPr>
        <w:t>2</w:t>
      </w:r>
      <w:r w:rsidRPr="00BD5DBD">
        <w:rPr>
          <w:szCs w:val="22"/>
        </w:rPr>
        <w:t xml:space="preserve"> summarises these submissions and provides the indications where approved.</w:t>
      </w:r>
      <w:r>
        <w:rPr>
          <w:szCs w:val="22"/>
        </w:rPr>
        <w:t xml:space="preserve"> </w:t>
      </w:r>
    </w:p>
    <w:p w14:paraId="19B9E0AC" w14:textId="232AD746" w:rsidR="00324B33" w:rsidRDefault="00324B33" w:rsidP="00324B33">
      <w:pPr>
        <w:pStyle w:val="TableTitle"/>
      </w:pPr>
      <w:bookmarkStart w:id="24" w:name="_Ref99705479"/>
      <w:r>
        <w:t xml:space="preserve">Table </w:t>
      </w:r>
      <w:r w:rsidR="00831D42">
        <w:t>2</w:t>
      </w:r>
      <w:bookmarkEnd w:id="24"/>
      <w:r w:rsidR="003302FF">
        <w:rPr>
          <w:noProof/>
        </w:rPr>
        <w:t>.</w:t>
      </w:r>
      <w:r>
        <w:t xml:space="preserve"> International regulatory status</w:t>
      </w:r>
      <w:r w:rsidR="00BF502D">
        <w:t xml:space="preserve"> a</w:t>
      </w:r>
      <w:r w:rsidR="00BF502D" w:rsidRPr="00BF502D">
        <w:t>t the time the TGA considered this submission</w:t>
      </w:r>
    </w:p>
    <w:tbl>
      <w:tblPr>
        <w:tblStyle w:val="TableTGAblue2023"/>
        <w:tblW w:w="0" w:type="auto"/>
        <w:tblLook w:val="04A0" w:firstRow="1" w:lastRow="0" w:firstColumn="1" w:lastColumn="0" w:noHBand="0" w:noVBand="1"/>
        <w:tblCaption w:val="Table 2. International regulatory status at the time the TGA considered this submission"/>
      </w:tblPr>
      <w:tblGrid>
        <w:gridCol w:w="1455"/>
        <w:gridCol w:w="1498"/>
        <w:gridCol w:w="1409"/>
        <w:gridCol w:w="4698"/>
      </w:tblGrid>
      <w:tr w:rsidR="00831D42" w:rsidRPr="00831D42" w14:paraId="57B9FE63" w14:textId="77777777" w:rsidTr="00AE1B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4B0994" w14:textId="77777777" w:rsidR="00831D42" w:rsidRPr="00831D42" w:rsidRDefault="00831D42" w:rsidP="00831D42">
            <w:pPr>
              <w:spacing w:after="0" w:line="240" w:lineRule="auto"/>
              <w:jc w:val="center"/>
              <w:rPr>
                <w:rFonts w:eastAsia="Times New Roman"/>
                <w:b w:val="0"/>
                <w:bCs/>
                <w:szCs w:val="22"/>
              </w:rPr>
            </w:pPr>
            <w:r w:rsidRPr="00831D42">
              <w:rPr>
                <w:rFonts w:eastAsia="Times New Roman"/>
                <w:bCs/>
                <w:szCs w:val="22"/>
              </w:rPr>
              <w:t>Country</w:t>
            </w:r>
          </w:p>
        </w:tc>
        <w:tc>
          <w:tcPr>
            <w:tcW w:w="1423" w:type="dxa"/>
            <w:hideMark/>
          </w:tcPr>
          <w:p w14:paraId="67BB50F3" w14:textId="77777777" w:rsidR="00831D42" w:rsidRPr="00831D42" w:rsidRDefault="00831D42" w:rsidP="00831D4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bCs/>
                <w:szCs w:val="22"/>
              </w:rPr>
            </w:pPr>
            <w:r w:rsidRPr="00831D42">
              <w:rPr>
                <w:rFonts w:eastAsia="Times New Roman"/>
                <w:bCs/>
                <w:szCs w:val="22"/>
              </w:rPr>
              <w:t>Submission date</w:t>
            </w:r>
          </w:p>
        </w:tc>
        <w:tc>
          <w:tcPr>
            <w:tcW w:w="1417" w:type="dxa"/>
            <w:hideMark/>
          </w:tcPr>
          <w:p w14:paraId="181D607B" w14:textId="77777777" w:rsidR="00831D42" w:rsidRPr="00831D42" w:rsidRDefault="00831D42" w:rsidP="00831D4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bCs/>
                <w:szCs w:val="22"/>
              </w:rPr>
            </w:pPr>
            <w:r w:rsidRPr="00831D42">
              <w:rPr>
                <w:rFonts w:eastAsia="Times New Roman"/>
                <w:bCs/>
                <w:szCs w:val="22"/>
              </w:rPr>
              <w:t>Approval date</w:t>
            </w:r>
          </w:p>
        </w:tc>
        <w:tc>
          <w:tcPr>
            <w:tcW w:w="4951" w:type="dxa"/>
            <w:hideMark/>
          </w:tcPr>
          <w:p w14:paraId="3A0B1F3B" w14:textId="77777777" w:rsidR="00831D42" w:rsidRPr="00831D42" w:rsidRDefault="00831D42" w:rsidP="00831D4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bCs/>
                <w:szCs w:val="22"/>
              </w:rPr>
            </w:pPr>
            <w:r w:rsidRPr="00831D42">
              <w:rPr>
                <w:rFonts w:eastAsia="Times New Roman"/>
                <w:bCs/>
                <w:szCs w:val="22"/>
              </w:rPr>
              <w:t>Comment</w:t>
            </w:r>
          </w:p>
        </w:tc>
      </w:tr>
      <w:tr w:rsidR="00831D42" w:rsidRPr="00831D42" w14:paraId="1F67CA2E" w14:textId="77777777" w:rsidTr="00AE1B07">
        <w:tc>
          <w:tcPr>
            <w:cnfStyle w:val="001000000000" w:firstRow="0" w:lastRow="0" w:firstColumn="1" w:lastColumn="0" w:oddVBand="0" w:evenVBand="0" w:oddHBand="0" w:evenHBand="0" w:firstRowFirstColumn="0" w:firstRowLastColumn="0" w:lastRowFirstColumn="0" w:lastRowLastColumn="0"/>
            <w:tcW w:w="0" w:type="auto"/>
            <w:hideMark/>
          </w:tcPr>
          <w:p w14:paraId="156101A5" w14:textId="77777777" w:rsidR="00831D42" w:rsidRPr="00831D42" w:rsidRDefault="00831D42" w:rsidP="00831D42">
            <w:pPr>
              <w:spacing w:after="0" w:line="240" w:lineRule="auto"/>
              <w:rPr>
                <w:rFonts w:eastAsia="Times New Roman"/>
                <w:szCs w:val="22"/>
              </w:rPr>
            </w:pPr>
            <w:r w:rsidRPr="00831D42">
              <w:rPr>
                <w:rFonts w:eastAsia="Times New Roman"/>
                <w:szCs w:val="22"/>
              </w:rPr>
              <w:t>Canada</w:t>
            </w:r>
          </w:p>
        </w:tc>
        <w:tc>
          <w:tcPr>
            <w:tcW w:w="1423" w:type="dxa"/>
            <w:hideMark/>
          </w:tcPr>
          <w:p w14:paraId="4588DD13" w14:textId="77777777" w:rsidR="00831D42" w:rsidRPr="00831D42" w:rsidRDefault="00831D42" w:rsidP="00831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szCs w:val="22"/>
              </w:rPr>
            </w:pPr>
            <w:r w:rsidRPr="00831D42">
              <w:rPr>
                <w:rFonts w:eastAsia="Times New Roman"/>
                <w:szCs w:val="22"/>
              </w:rPr>
              <w:t>21 Apr 2023</w:t>
            </w:r>
          </w:p>
        </w:tc>
        <w:tc>
          <w:tcPr>
            <w:tcW w:w="1417" w:type="dxa"/>
            <w:hideMark/>
          </w:tcPr>
          <w:p w14:paraId="2E95FC58" w14:textId="5C783D4E" w:rsidR="00831D42" w:rsidRPr="00831D42" w:rsidRDefault="00831D42" w:rsidP="00831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szCs w:val="22"/>
              </w:rPr>
            </w:pPr>
            <w:r w:rsidRPr="00831D42">
              <w:rPr>
                <w:rFonts w:eastAsia="Times New Roman"/>
                <w:szCs w:val="22"/>
              </w:rPr>
              <w:t>19 Jun</w:t>
            </w:r>
            <w:r>
              <w:rPr>
                <w:rFonts w:eastAsia="Times New Roman"/>
                <w:szCs w:val="22"/>
              </w:rPr>
              <w:t>e</w:t>
            </w:r>
            <w:r w:rsidRPr="00831D42">
              <w:rPr>
                <w:rFonts w:eastAsia="Times New Roman"/>
                <w:szCs w:val="22"/>
              </w:rPr>
              <w:t xml:space="preserve"> 2024</w:t>
            </w:r>
          </w:p>
        </w:tc>
        <w:tc>
          <w:tcPr>
            <w:tcW w:w="4951" w:type="dxa"/>
            <w:hideMark/>
          </w:tcPr>
          <w:p w14:paraId="4AFE78A9" w14:textId="77777777" w:rsidR="00831D42" w:rsidRPr="00831D42" w:rsidRDefault="00831D42" w:rsidP="00831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szCs w:val="22"/>
              </w:rPr>
            </w:pPr>
            <w:r w:rsidRPr="00831D42">
              <w:rPr>
                <w:rFonts w:eastAsia="Times New Roman"/>
                <w:i/>
                <w:iCs/>
                <w:szCs w:val="22"/>
              </w:rPr>
              <w:t>Approved indication:</w:t>
            </w:r>
            <w:r w:rsidRPr="00831D42">
              <w:rPr>
                <w:rFonts w:eastAsia="Times New Roman"/>
                <w:szCs w:val="22"/>
              </w:rPr>
              <w:t xml:space="preserve"> Treatment of polyneuropathy associated with stage 1 or stage 2 hereditary transthyretin-mediated amyloidosis (</w:t>
            </w:r>
            <w:proofErr w:type="spellStart"/>
            <w:r w:rsidRPr="00831D42">
              <w:rPr>
                <w:rFonts w:eastAsia="Times New Roman"/>
                <w:szCs w:val="22"/>
              </w:rPr>
              <w:t>hATTR</w:t>
            </w:r>
            <w:proofErr w:type="spellEnd"/>
            <w:r w:rsidRPr="00831D42">
              <w:rPr>
                <w:rFonts w:eastAsia="Times New Roman"/>
                <w:szCs w:val="22"/>
              </w:rPr>
              <w:t>) in adults.</w:t>
            </w:r>
          </w:p>
        </w:tc>
      </w:tr>
      <w:tr w:rsidR="00831D42" w:rsidRPr="00831D42" w14:paraId="08B14745" w14:textId="77777777" w:rsidTr="00AE1B07">
        <w:tc>
          <w:tcPr>
            <w:cnfStyle w:val="001000000000" w:firstRow="0" w:lastRow="0" w:firstColumn="1" w:lastColumn="0" w:oddVBand="0" w:evenVBand="0" w:oddHBand="0" w:evenHBand="0" w:firstRowFirstColumn="0" w:firstRowLastColumn="0" w:lastRowFirstColumn="0" w:lastRowLastColumn="0"/>
            <w:tcW w:w="0" w:type="auto"/>
            <w:hideMark/>
          </w:tcPr>
          <w:p w14:paraId="6BC417EE" w14:textId="77777777" w:rsidR="00831D42" w:rsidRPr="00831D42" w:rsidRDefault="00831D42" w:rsidP="00831D42">
            <w:pPr>
              <w:spacing w:after="0" w:line="240" w:lineRule="auto"/>
              <w:rPr>
                <w:rFonts w:eastAsia="Times New Roman"/>
                <w:szCs w:val="22"/>
              </w:rPr>
            </w:pPr>
            <w:r w:rsidRPr="00831D42">
              <w:rPr>
                <w:rFonts w:eastAsia="Times New Roman"/>
                <w:szCs w:val="22"/>
              </w:rPr>
              <w:t>European Unionᵃ</w:t>
            </w:r>
          </w:p>
        </w:tc>
        <w:tc>
          <w:tcPr>
            <w:tcW w:w="1423" w:type="dxa"/>
            <w:hideMark/>
          </w:tcPr>
          <w:p w14:paraId="5CD701C4" w14:textId="77777777" w:rsidR="00831D42" w:rsidRPr="00831D42" w:rsidRDefault="00831D42" w:rsidP="00831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szCs w:val="22"/>
              </w:rPr>
            </w:pPr>
            <w:r w:rsidRPr="00831D42">
              <w:rPr>
                <w:rFonts w:eastAsia="Times New Roman"/>
                <w:szCs w:val="22"/>
              </w:rPr>
              <w:t>05 Oct 2023</w:t>
            </w:r>
          </w:p>
        </w:tc>
        <w:tc>
          <w:tcPr>
            <w:tcW w:w="1417" w:type="dxa"/>
            <w:hideMark/>
          </w:tcPr>
          <w:p w14:paraId="3F6BA33B" w14:textId="77777777" w:rsidR="00831D42" w:rsidRPr="00831D42" w:rsidRDefault="00831D42" w:rsidP="00831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szCs w:val="22"/>
              </w:rPr>
            </w:pPr>
            <w:r w:rsidRPr="00831D42">
              <w:rPr>
                <w:rFonts w:eastAsia="Times New Roman"/>
                <w:szCs w:val="22"/>
              </w:rPr>
              <w:t>6 Mar 2025</w:t>
            </w:r>
          </w:p>
        </w:tc>
        <w:tc>
          <w:tcPr>
            <w:tcW w:w="4951" w:type="dxa"/>
            <w:hideMark/>
          </w:tcPr>
          <w:p w14:paraId="1F61DEE9" w14:textId="428E41D0" w:rsidR="00831D42" w:rsidRPr="00831D42" w:rsidRDefault="00831D42" w:rsidP="00831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szCs w:val="22"/>
              </w:rPr>
            </w:pPr>
            <w:r w:rsidRPr="00831D42">
              <w:rPr>
                <w:rFonts w:eastAsia="Times New Roman"/>
                <w:i/>
                <w:iCs/>
                <w:szCs w:val="22"/>
              </w:rPr>
              <w:t>Approved indication:</w:t>
            </w:r>
            <w:r w:rsidRPr="00831D42">
              <w:rPr>
                <w:rFonts w:eastAsia="Times New Roman"/>
                <w:szCs w:val="22"/>
              </w:rPr>
              <w:t xml:space="preserve"> Treatment of hereditary transthyretin-mediated amyloidosis (ATTRv) in adult patients with stage 1 or stage 2 polyneuropathy. </w:t>
            </w:r>
          </w:p>
        </w:tc>
      </w:tr>
      <w:tr w:rsidR="00831D42" w:rsidRPr="00831D42" w14:paraId="3AD642CF" w14:textId="77777777" w:rsidTr="00AE1B07">
        <w:tc>
          <w:tcPr>
            <w:cnfStyle w:val="001000000000" w:firstRow="0" w:lastRow="0" w:firstColumn="1" w:lastColumn="0" w:oddVBand="0" w:evenVBand="0" w:oddHBand="0" w:evenHBand="0" w:firstRowFirstColumn="0" w:firstRowLastColumn="0" w:lastRowFirstColumn="0" w:lastRowLastColumn="0"/>
            <w:tcW w:w="0" w:type="auto"/>
            <w:hideMark/>
          </w:tcPr>
          <w:p w14:paraId="55FE65C2" w14:textId="77777777" w:rsidR="00831D42" w:rsidRPr="00831D42" w:rsidRDefault="00831D42" w:rsidP="00831D42">
            <w:pPr>
              <w:spacing w:after="0" w:line="240" w:lineRule="auto"/>
              <w:rPr>
                <w:rFonts w:eastAsia="Times New Roman"/>
                <w:szCs w:val="22"/>
              </w:rPr>
            </w:pPr>
            <w:r w:rsidRPr="00831D42">
              <w:rPr>
                <w:rFonts w:eastAsia="Times New Roman"/>
                <w:szCs w:val="22"/>
              </w:rPr>
              <w:t>Singapore</w:t>
            </w:r>
          </w:p>
        </w:tc>
        <w:tc>
          <w:tcPr>
            <w:tcW w:w="1423" w:type="dxa"/>
            <w:hideMark/>
          </w:tcPr>
          <w:p w14:paraId="1B92B3B9" w14:textId="77777777" w:rsidR="00831D42" w:rsidRPr="00831D42" w:rsidRDefault="00831D42" w:rsidP="00831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szCs w:val="22"/>
              </w:rPr>
            </w:pPr>
            <w:r w:rsidRPr="00831D42">
              <w:rPr>
                <w:rFonts w:eastAsia="Times New Roman"/>
                <w:szCs w:val="22"/>
              </w:rPr>
              <w:t>28 Mar 2024</w:t>
            </w:r>
          </w:p>
        </w:tc>
        <w:tc>
          <w:tcPr>
            <w:tcW w:w="1417" w:type="dxa"/>
            <w:hideMark/>
          </w:tcPr>
          <w:p w14:paraId="6605776D" w14:textId="7F4F05EB" w:rsidR="00831D42" w:rsidRPr="00831D42" w:rsidRDefault="00831D42" w:rsidP="00831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szCs w:val="22"/>
              </w:rPr>
            </w:pPr>
            <w:r w:rsidRPr="00831D42">
              <w:rPr>
                <w:rFonts w:eastAsia="Times New Roman"/>
                <w:szCs w:val="22"/>
              </w:rPr>
              <w:t>Under evaluation</w:t>
            </w:r>
          </w:p>
        </w:tc>
        <w:tc>
          <w:tcPr>
            <w:tcW w:w="4951" w:type="dxa"/>
            <w:hideMark/>
          </w:tcPr>
          <w:p w14:paraId="7AC38BC7" w14:textId="3B5B220B" w:rsidR="00831D42" w:rsidRPr="00831D42" w:rsidRDefault="00831D42" w:rsidP="00831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szCs w:val="22"/>
              </w:rPr>
            </w:pPr>
          </w:p>
        </w:tc>
      </w:tr>
      <w:tr w:rsidR="00831D42" w:rsidRPr="00831D42" w14:paraId="75464948" w14:textId="77777777" w:rsidTr="00AE1B07">
        <w:tc>
          <w:tcPr>
            <w:cnfStyle w:val="001000000000" w:firstRow="0" w:lastRow="0" w:firstColumn="1" w:lastColumn="0" w:oddVBand="0" w:evenVBand="0" w:oddHBand="0" w:evenHBand="0" w:firstRowFirstColumn="0" w:firstRowLastColumn="0" w:lastRowFirstColumn="0" w:lastRowLastColumn="0"/>
            <w:tcW w:w="0" w:type="auto"/>
            <w:hideMark/>
          </w:tcPr>
          <w:p w14:paraId="48CDE03B" w14:textId="77777777" w:rsidR="00831D42" w:rsidRPr="00831D42" w:rsidRDefault="00831D42" w:rsidP="00831D42">
            <w:pPr>
              <w:spacing w:after="0" w:line="240" w:lineRule="auto"/>
              <w:rPr>
                <w:rFonts w:eastAsia="Times New Roman"/>
                <w:szCs w:val="22"/>
              </w:rPr>
            </w:pPr>
            <w:r w:rsidRPr="00831D42">
              <w:rPr>
                <w:rFonts w:eastAsia="Times New Roman"/>
                <w:szCs w:val="22"/>
              </w:rPr>
              <w:t>Switzerland</w:t>
            </w:r>
          </w:p>
        </w:tc>
        <w:tc>
          <w:tcPr>
            <w:tcW w:w="1423" w:type="dxa"/>
            <w:hideMark/>
          </w:tcPr>
          <w:p w14:paraId="1D2019E4" w14:textId="77777777" w:rsidR="00831D42" w:rsidRPr="00831D42" w:rsidRDefault="00831D42" w:rsidP="00831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szCs w:val="22"/>
              </w:rPr>
            </w:pPr>
            <w:r w:rsidRPr="00831D42">
              <w:rPr>
                <w:rFonts w:eastAsia="Times New Roman"/>
                <w:szCs w:val="22"/>
              </w:rPr>
              <w:t>19 Oct 2023</w:t>
            </w:r>
          </w:p>
        </w:tc>
        <w:tc>
          <w:tcPr>
            <w:tcW w:w="1417" w:type="dxa"/>
            <w:hideMark/>
          </w:tcPr>
          <w:p w14:paraId="738E0D3A" w14:textId="77777777" w:rsidR="00831D42" w:rsidRPr="00831D42" w:rsidRDefault="00831D42" w:rsidP="00831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szCs w:val="22"/>
              </w:rPr>
            </w:pPr>
            <w:r w:rsidRPr="00831D42">
              <w:rPr>
                <w:rFonts w:eastAsia="Times New Roman"/>
                <w:szCs w:val="22"/>
              </w:rPr>
              <w:t>14 Feb 2025</w:t>
            </w:r>
          </w:p>
        </w:tc>
        <w:tc>
          <w:tcPr>
            <w:tcW w:w="4951" w:type="dxa"/>
            <w:hideMark/>
          </w:tcPr>
          <w:p w14:paraId="2B9E5C43" w14:textId="77777777" w:rsidR="00831D42" w:rsidRPr="00831D42" w:rsidRDefault="00831D42" w:rsidP="00831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szCs w:val="22"/>
              </w:rPr>
            </w:pPr>
            <w:r w:rsidRPr="00831D42">
              <w:rPr>
                <w:rFonts w:eastAsia="Times New Roman"/>
                <w:i/>
                <w:iCs/>
                <w:szCs w:val="22"/>
              </w:rPr>
              <w:t>Approved indication:</w:t>
            </w:r>
            <w:r w:rsidRPr="00831D42">
              <w:rPr>
                <w:rFonts w:eastAsia="Times New Roman"/>
                <w:szCs w:val="22"/>
              </w:rPr>
              <w:t xml:space="preserve"> Treatment of adult patients with stage 1 and 2 </w:t>
            </w:r>
            <w:proofErr w:type="gramStart"/>
            <w:r w:rsidRPr="00831D42">
              <w:rPr>
                <w:rFonts w:eastAsia="Times New Roman"/>
                <w:szCs w:val="22"/>
              </w:rPr>
              <w:t>polyneuropathy</w:t>
            </w:r>
            <w:proofErr w:type="gramEnd"/>
            <w:r w:rsidRPr="00831D42">
              <w:rPr>
                <w:rFonts w:eastAsia="Times New Roman"/>
                <w:szCs w:val="22"/>
              </w:rPr>
              <w:t xml:space="preserve"> associated with hereditary transthyretin-mediated amyloidosis (ATTRv).</w:t>
            </w:r>
          </w:p>
        </w:tc>
      </w:tr>
      <w:tr w:rsidR="00831D42" w:rsidRPr="00831D42" w14:paraId="41728C9B" w14:textId="77777777" w:rsidTr="00AE1B07">
        <w:tc>
          <w:tcPr>
            <w:cnfStyle w:val="001000000000" w:firstRow="0" w:lastRow="0" w:firstColumn="1" w:lastColumn="0" w:oddVBand="0" w:evenVBand="0" w:oddHBand="0" w:evenHBand="0" w:firstRowFirstColumn="0" w:firstRowLastColumn="0" w:lastRowFirstColumn="0" w:lastRowLastColumn="0"/>
            <w:tcW w:w="0" w:type="auto"/>
            <w:hideMark/>
          </w:tcPr>
          <w:p w14:paraId="24765248" w14:textId="77777777" w:rsidR="00831D42" w:rsidRPr="00831D42" w:rsidRDefault="00831D42" w:rsidP="00831D42">
            <w:pPr>
              <w:spacing w:after="0" w:line="240" w:lineRule="auto"/>
              <w:rPr>
                <w:rFonts w:eastAsia="Times New Roman"/>
                <w:szCs w:val="22"/>
              </w:rPr>
            </w:pPr>
            <w:r w:rsidRPr="00831D42">
              <w:rPr>
                <w:rFonts w:eastAsia="Times New Roman"/>
                <w:szCs w:val="22"/>
              </w:rPr>
              <w:t>United Kingdomᵇ</w:t>
            </w:r>
          </w:p>
        </w:tc>
        <w:tc>
          <w:tcPr>
            <w:tcW w:w="1423" w:type="dxa"/>
            <w:hideMark/>
          </w:tcPr>
          <w:p w14:paraId="6A3F6933" w14:textId="77777777" w:rsidR="00831D42" w:rsidRPr="00831D42" w:rsidRDefault="00831D42" w:rsidP="00831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szCs w:val="22"/>
              </w:rPr>
            </w:pPr>
            <w:r w:rsidRPr="00831D42">
              <w:rPr>
                <w:rFonts w:eastAsia="Times New Roman"/>
                <w:szCs w:val="22"/>
              </w:rPr>
              <w:t>30 Oct 2023</w:t>
            </w:r>
          </w:p>
        </w:tc>
        <w:tc>
          <w:tcPr>
            <w:tcW w:w="1417" w:type="dxa"/>
            <w:hideMark/>
          </w:tcPr>
          <w:p w14:paraId="1DB3A996" w14:textId="77777777" w:rsidR="00831D42" w:rsidRPr="00831D42" w:rsidRDefault="00831D42" w:rsidP="00831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szCs w:val="22"/>
              </w:rPr>
            </w:pPr>
            <w:r w:rsidRPr="00831D42">
              <w:rPr>
                <w:rFonts w:eastAsia="Times New Roman"/>
                <w:szCs w:val="22"/>
              </w:rPr>
              <w:t>14 Oct 2024</w:t>
            </w:r>
          </w:p>
        </w:tc>
        <w:tc>
          <w:tcPr>
            <w:tcW w:w="4951" w:type="dxa"/>
            <w:hideMark/>
          </w:tcPr>
          <w:p w14:paraId="107DB417" w14:textId="77777777" w:rsidR="00831D42" w:rsidRPr="00831D42" w:rsidRDefault="00831D42" w:rsidP="00831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szCs w:val="22"/>
              </w:rPr>
            </w:pPr>
            <w:r w:rsidRPr="00831D42">
              <w:rPr>
                <w:rFonts w:eastAsia="Times New Roman"/>
                <w:i/>
                <w:iCs/>
                <w:szCs w:val="22"/>
              </w:rPr>
              <w:t>Approved indication:</w:t>
            </w:r>
            <w:r w:rsidRPr="00831D42">
              <w:rPr>
                <w:rFonts w:eastAsia="Times New Roman"/>
                <w:szCs w:val="22"/>
              </w:rPr>
              <w:t xml:space="preserve"> Treatment of hereditary transthyretin-mediated amyloidosis (ATTRv amyloidosis) in adult patients with Stage 1 and 2 </w:t>
            </w:r>
            <w:proofErr w:type="gramStart"/>
            <w:r w:rsidRPr="00831D42">
              <w:rPr>
                <w:rFonts w:eastAsia="Times New Roman"/>
                <w:szCs w:val="22"/>
              </w:rPr>
              <w:t>polyneuropathy</w:t>
            </w:r>
            <w:proofErr w:type="gramEnd"/>
            <w:r w:rsidRPr="00831D42">
              <w:rPr>
                <w:rFonts w:eastAsia="Times New Roman"/>
                <w:szCs w:val="22"/>
              </w:rPr>
              <w:t>.</w:t>
            </w:r>
          </w:p>
        </w:tc>
      </w:tr>
      <w:tr w:rsidR="00831D42" w:rsidRPr="00831D42" w14:paraId="4C2BA6BC" w14:textId="77777777" w:rsidTr="00AE1B07">
        <w:tc>
          <w:tcPr>
            <w:cnfStyle w:val="001000000000" w:firstRow="0" w:lastRow="0" w:firstColumn="1" w:lastColumn="0" w:oddVBand="0" w:evenVBand="0" w:oddHBand="0" w:evenHBand="0" w:firstRowFirstColumn="0" w:firstRowLastColumn="0" w:lastRowFirstColumn="0" w:lastRowLastColumn="0"/>
            <w:tcW w:w="0" w:type="auto"/>
            <w:hideMark/>
          </w:tcPr>
          <w:p w14:paraId="6288DD44" w14:textId="77777777" w:rsidR="00831D42" w:rsidRPr="00831D42" w:rsidRDefault="00831D42" w:rsidP="00831D42">
            <w:pPr>
              <w:spacing w:after="0" w:line="240" w:lineRule="auto"/>
              <w:rPr>
                <w:rFonts w:eastAsia="Times New Roman"/>
                <w:szCs w:val="22"/>
              </w:rPr>
            </w:pPr>
            <w:r w:rsidRPr="00831D42">
              <w:rPr>
                <w:rFonts w:eastAsia="Times New Roman"/>
                <w:szCs w:val="22"/>
              </w:rPr>
              <w:t>United States</w:t>
            </w:r>
          </w:p>
        </w:tc>
        <w:tc>
          <w:tcPr>
            <w:tcW w:w="1423" w:type="dxa"/>
            <w:hideMark/>
          </w:tcPr>
          <w:p w14:paraId="379D5411" w14:textId="77777777" w:rsidR="00831D42" w:rsidRPr="00831D42" w:rsidRDefault="00831D42" w:rsidP="00831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szCs w:val="22"/>
              </w:rPr>
            </w:pPr>
            <w:r w:rsidRPr="00831D42">
              <w:rPr>
                <w:rFonts w:eastAsia="Times New Roman"/>
                <w:szCs w:val="22"/>
              </w:rPr>
              <w:t>22 Dec 2022</w:t>
            </w:r>
          </w:p>
        </w:tc>
        <w:tc>
          <w:tcPr>
            <w:tcW w:w="1417" w:type="dxa"/>
            <w:hideMark/>
          </w:tcPr>
          <w:p w14:paraId="29AEEC44" w14:textId="77777777" w:rsidR="00831D42" w:rsidRPr="00831D42" w:rsidRDefault="00831D42" w:rsidP="00831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szCs w:val="22"/>
              </w:rPr>
            </w:pPr>
            <w:r w:rsidRPr="00831D42">
              <w:rPr>
                <w:rFonts w:eastAsia="Times New Roman"/>
                <w:szCs w:val="22"/>
              </w:rPr>
              <w:t>21 Dec 2023</w:t>
            </w:r>
          </w:p>
        </w:tc>
        <w:tc>
          <w:tcPr>
            <w:tcW w:w="4951" w:type="dxa"/>
            <w:hideMark/>
          </w:tcPr>
          <w:p w14:paraId="36AAA93F" w14:textId="29808580" w:rsidR="00831D42" w:rsidRPr="00831D42" w:rsidRDefault="00831D42" w:rsidP="00831D4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szCs w:val="22"/>
              </w:rPr>
            </w:pPr>
            <w:r w:rsidRPr="00831D42">
              <w:rPr>
                <w:rFonts w:eastAsia="Times New Roman"/>
                <w:i/>
                <w:iCs/>
                <w:szCs w:val="22"/>
              </w:rPr>
              <w:t>Approved indication:</w:t>
            </w:r>
            <w:r w:rsidRPr="00831D42">
              <w:rPr>
                <w:rFonts w:eastAsia="Times New Roman"/>
                <w:szCs w:val="22"/>
              </w:rPr>
              <w:t xml:space="preserve"> Treatment of the polyneuropathy of hereditary transthyretin-mediated amyloidosis in adults.</w:t>
            </w:r>
          </w:p>
        </w:tc>
      </w:tr>
    </w:tbl>
    <w:p w14:paraId="71A23508" w14:textId="77777777" w:rsidR="00831D42" w:rsidRPr="00831D42" w:rsidRDefault="00831D42" w:rsidP="00831D42">
      <w:pPr>
        <w:pStyle w:val="TableDescription"/>
        <w:rPr>
          <w:lang w:eastAsia="en-AU"/>
        </w:rPr>
      </w:pPr>
      <w:r w:rsidRPr="00831D42">
        <w:rPr>
          <w:lang w:eastAsia="en-AU"/>
        </w:rPr>
        <w:t>ᵃ Centralised Procedure Rapporteur (Germany) and co-rapporteur (Poland).</w:t>
      </w:r>
    </w:p>
    <w:p w14:paraId="76D961E6" w14:textId="77777777" w:rsidR="00831D42" w:rsidRPr="00831D42" w:rsidRDefault="00831D42" w:rsidP="00831D42">
      <w:pPr>
        <w:pStyle w:val="TableDescription"/>
        <w:rPr>
          <w:lang w:eastAsia="en-AU"/>
        </w:rPr>
      </w:pPr>
      <w:r w:rsidRPr="00831D42">
        <w:rPr>
          <w:lang w:eastAsia="en-AU"/>
        </w:rPr>
        <w:t>ᵇ National application.</w:t>
      </w:r>
    </w:p>
    <w:p w14:paraId="6D92589C" w14:textId="09786CEF" w:rsidR="00324B33" w:rsidRDefault="00324B33" w:rsidP="00324B33">
      <w:pPr>
        <w:pStyle w:val="Heading2"/>
      </w:pPr>
      <w:bookmarkStart w:id="25" w:name="_Toc504480011"/>
      <w:bookmarkStart w:id="26" w:name="_Toc103679293"/>
      <w:bookmarkStart w:id="27" w:name="_Toc242958196"/>
      <w:r>
        <w:t>Registration timeline</w:t>
      </w:r>
      <w:bookmarkEnd w:id="25"/>
      <w:bookmarkEnd w:id="26"/>
      <w:bookmarkEnd w:id="27"/>
    </w:p>
    <w:p w14:paraId="225E3D87" w14:textId="71711A88" w:rsidR="00324B33" w:rsidRPr="00BD5DBD" w:rsidRDefault="00236F91" w:rsidP="00324B33">
      <w:pPr>
        <w:rPr>
          <w:szCs w:val="22"/>
        </w:rPr>
      </w:pPr>
      <w:r>
        <w:rPr>
          <w:szCs w:val="22"/>
        </w:rPr>
        <w:t xml:space="preserve">Table </w:t>
      </w:r>
      <w:r w:rsidR="00224602">
        <w:rPr>
          <w:szCs w:val="22"/>
        </w:rPr>
        <w:t>3</w:t>
      </w:r>
      <w:r w:rsidR="00324B33" w:rsidRPr="00BD5DBD">
        <w:rPr>
          <w:szCs w:val="22"/>
        </w:rPr>
        <w:t xml:space="preserve"> captures the key steps and dates for this submission.</w:t>
      </w:r>
    </w:p>
    <w:p w14:paraId="6BB76942" w14:textId="49C62989" w:rsidR="00477C4E" w:rsidRPr="00BD5DBD" w:rsidRDefault="00477C4E" w:rsidP="00324B33">
      <w:pPr>
        <w:rPr>
          <w:szCs w:val="22"/>
        </w:rPr>
      </w:pPr>
      <w:r w:rsidRPr="00BD5DBD">
        <w:rPr>
          <w:szCs w:val="22"/>
        </w:rPr>
        <w:lastRenderedPageBreak/>
        <w:t xml:space="preserve">This submission was evaluated under the </w:t>
      </w:r>
      <w:hyperlink r:id="rId22" w:history="1">
        <w:r w:rsidRPr="00BD5DBD">
          <w:rPr>
            <w:rStyle w:val="Hyperlink"/>
            <w:szCs w:val="22"/>
          </w:rPr>
          <w:t>standard prescription medicines registration process</w:t>
        </w:r>
      </w:hyperlink>
      <w:r w:rsidRPr="00BD5DBD">
        <w:rPr>
          <w:szCs w:val="22"/>
        </w:rPr>
        <w:t>.</w:t>
      </w:r>
    </w:p>
    <w:p w14:paraId="44628C5F" w14:textId="59EE1371" w:rsidR="00324B33" w:rsidRPr="00224602" w:rsidRDefault="00324B33" w:rsidP="002C1232">
      <w:pPr>
        <w:pStyle w:val="TableTitle"/>
      </w:pPr>
      <w:r w:rsidRPr="00224602">
        <w:t>Table</w:t>
      </w:r>
      <w:r w:rsidR="00224602" w:rsidRPr="00224602">
        <w:t xml:space="preserve"> 3</w:t>
      </w:r>
      <w:r w:rsidR="003302FF" w:rsidRPr="00224602">
        <w:t>.</w:t>
      </w:r>
      <w:r w:rsidRPr="00224602">
        <w:t xml:space="preserve"> </w:t>
      </w:r>
      <w:r w:rsidR="0010623F" w:rsidRPr="00224602">
        <w:t>Registration t</w:t>
      </w:r>
      <w:r w:rsidRPr="00224602">
        <w:t xml:space="preserve">imeline for </w:t>
      </w:r>
      <w:r w:rsidR="00A606FB">
        <w:t>Wainua</w:t>
      </w:r>
      <w:r w:rsidR="00224602" w:rsidRPr="00224602">
        <w:t xml:space="preserve"> (eplontersen), submission PM-2025-02079-1-5</w:t>
      </w:r>
    </w:p>
    <w:tbl>
      <w:tblPr>
        <w:tblStyle w:val="TableTGAblue2023"/>
        <w:tblW w:w="8642" w:type="dxa"/>
        <w:tblLook w:val="04A0" w:firstRow="1" w:lastRow="0" w:firstColumn="1" w:lastColumn="0" w:noHBand="0" w:noVBand="1"/>
        <w:tblCaption w:val="Table 3. Registration timeline for Wainua (eplontersen), submission PM-2025-02079-1-5"/>
      </w:tblPr>
      <w:tblGrid>
        <w:gridCol w:w="6516"/>
        <w:gridCol w:w="2126"/>
      </w:tblGrid>
      <w:tr w:rsidR="00324B33" w:rsidRPr="00D01DDB" w14:paraId="6C59BE9C" w14:textId="77777777" w:rsidTr="00AE1B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6" w:type="dxa"/>
          </w:tcPr>
          <w:p w14:paraId="16D80E78" w14:textId="3EC0CCAF" w:rsidR="00324B33" w:rsidRPr="00D01DDB" w:rsidRDefault="00324B33" w:rsidP="00324B33">
            <w:pPr>
              <w:rPr>
                <w:szCs w:val="22"/>
              </w:rPr>
            </w:pPr>
            <w:r w:rsidRPr="00D01DDB">
              <w:rPr>
                <w:szCs w:val="22"/>
              </w:rPr>
              <w:t>Description</w:t>
            </w:r>
          </w:p>
        </w:tc>
        <w:tc>
          <w:tcPr>
            <w:tcW w:w="2126" w:type="dxa"/>
          </w:tcPr>
          <w:p w14:paraId="79AFDC4B" w14:textId="05792035" w:rsidR="00324B33" w:rsidRPr="00D01DDB" w:rsidRDefault="00324B33" w:rsidP="00324B33">
            <w:pPr>
              <w:cnfStyle w:val="100000000000" w:firstRow="1" w:lastRow="0" w:firstColumn="0" w:lastColumn="0" w:oddVBand="0" w:evenVBand="0" w:oddHBand="0" w:evenHBand="0" w:firstRowFirstColumn="0" w:firstRowLastColumn="0" w:lastRowFirstColumn="0" w:lastRowLastColumn="0"/>
              <w:rPr>
                <w:szCs w:val="22"/>
              </w:rPr>
            </w:pPr>
            <w:r w:rsidRPr="00D01DDB">
              <w:rPr>
                <w:szCs w:val="22"/>
              </w:rPr>
              <w:t>Date</w:t>
            </w:r>
          </w:p>
        </w:tc>
      </w:tr>
      <w:tr w:rsidR="00324B33" w:rsidRPr="00D01DDB" w14:paraId="23610C53" w14:textId="77777777" w:rsidTr="00AE1B07">
        <w:tc>
          <w:tcPr>
            <w:cnfStyle w:val="001000000000" w:firstRow="0" w:lastRow="0" w:firstColumn="1" w:lastColumn="0" w:oddVBand="0" w:evenVBand="0" w:oddHBand="0" w:evenHBand="0" w:firstRowFirstColumn="0" w:firstRowLastColumn="0" w:lastRowFirstColumn="0" w:lastRowLastColumn="0"/>
            <w:tcW w:w="6516" w:type="dxa"/>
          </w:tcPr>
          <w:p w14:paraId="759D2A12" w14:textId="4D46D246" w:rsidR="00324B33" w:rsidRPr="00E679D1" w:rsidRDefault="00324B33" w:rsidP="00E679D1">
            <w:r w:rsidRPr="00E679D1">
              <w:t>Submission dossier accepted evaluation commenced</w:t>
            </w:r>
          </w:p>
        </w:tc>
        <w:tc>
          <w:tcPr>
            <w:tcW w:w="2126" w:type="dxa"/>
          </w:tcPr>
          <w:p w14:paraId="2963D9D8" w14:textId="3EE1E03B" w:rsidR="00324B33" w:rsidRPr="00D01DDB" w:rsidRDefault="00224602"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30 June 2025</w:t>
            </w:r>
          </w:p>
        </w:tc>
      </w:tr>
      <w:tr w:rsidR="00803926" w:rsidRPr="00D01DDB" w14:paraId="16D13F79" w14:textId="77777777" w:rsidTr="00AE1B07">
        <w:tc>
          <w:tcPr>
            <w:cnfStyle w:val="001000000000" w:firstRow="0" w:lastRow="0" w:firstColumn="1" w:lastColumn="0" w:oddVBand="0" w:evenVBand="0" w:oddHBand="0" w:evenHBand="0" w:firstRowFirstColumn="0" w:firstRowLastColumn="0" w:lastRowFirstColumn="0" w:lastRowLastColumn="0"/>
            <w:tcW w:w="6516" w:type="dxa"/>
          </w:tcPr>
          <w:p w14:paraId="6858B45A" w14:textId="0BB67609" w:rsidR="00803926" w:rsidRPr="00E679D1" w:rsidDel="00C62B1C" w:rsidRDefault="00803926" w:rsidP="00E679D1">
            <w:r>
              <w:t>Evaluation completed</w:t>
            </w:r>
          </w:p>
        </w:tc>
        <w:tc>
          <w:tcPr>
            <w:tcW w:w="2126" w:type="dxa"/>
          </w:tcPr>
          <w:p w14:paraId="2E0BD403" w14:textId="797EB548" w:rsidR="00803926" w:rsidRPr="00D01DDB" w:rsidRDefault="00224602"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17 April 2026</w:t>
            </w:r>
          </w:p>
        </w:tc>
      </w:tr>
      <w:tr w:rsidR="00324B33" w:rsidRPr="00D01DDB" w14:paraId="6E5D32FE" w14:textId="77777777" w:rsidTr="00AE1B07">
        <w:tc>
          <w:tcPr>
            <w:cnfStyle w:val="001000000000" w:firstRow="0" w:lastRow="0" w:firstColumn="1" w:lastColumn="0" w:oddVBand="0" w:evenVBand="0" w:oddHBand="0" w:evenHBand="0" w:firstRowFirstColumn="0" w:firstRowLastColumn="0" w:lastRowFirstColumn="0" w:lastRowLastColumn="0"/>
            <w:tcW w:w="6516" w:type="dxa"/>
          </w:tcPr>
          <w:p w14:paraId="4E95C44C" w14:textId="7A91C710" w:rsidR="00324B33" w:rsidRPr="00E679D1" w:rsidRDefault="00324B33" w:rsidP="00E679D1">
            <w:r w:rsidRPr="00E679D1">
              <w:t>Registration decision (Outcome)</w:t>
            </w:r>
          </w:p>
        </w:tc>
        <w:tc>
          <w:tcPr>
            <w:tcW w:w="2126" w:type="dxa"/>
          </w:tcPr>
          <w:p w14:paraId="62987ABD" w14:textId="0E332D65" w:rsidR="00324B33" w:rsidRPr="00D01DDB" w:rsidRDefault="00224602"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2 June 2026</w:t>
            </w:r>
          </w:p>
        </w:tc>
      </w:tr>
      <w:tr w:rsidR="00324B33" w:rsidRPr="00D01DDB" w14:paraId="6DDCDDA4" w14:textId="77777777" w:rsidTr="00AE1B07">
        <w:tc>
          <w:tcPr>
            <w:cnfStyle w:val="001000000000" w:firstRow="0" w:lastRow="0" w:firstColumn="1" w:lastColumn="0" w:oddVBand="0" w:evenVBand="0" w:oddHBand="0" w:evenHBand="0" w:firstRowFirstColumn="0" w:firstRowLastColumn="0" w:lastRowFirstColumn="0" w:lastRowLastColumn="0"/>
            <w:tcW w:w="6516" w:type="dxa"/>
          </w:tcPr>
          <w:p w14:paraId="192FD19D" w14:textId="186F3E94" w:rsidR="00324B33" w:rsidRPr="00E679D1" w:rsidRDefault="0013132F" w:rsidP="007311B9">
            <w:pPr>
              <w:ind w:left="0"/>
            </w:pPr>
            <w:r w:rsidRPr="00E679D1">
              <w:t xml:space="preserve"> </w:t>
            </w:r>
            <w:r w:rsidR="00C96D3F">
              <w:t xml:space="preserve"> </w:t>
            </w:r>
            <w:r w:rsidR="00C00844">
              <w:t>R</w:t>
            </w:r>
            <w:r w:rsidRPr="00E679D1">
              <w:t xml:space="preserve">egistration </w:t>
            </w:r>
            <w:r w:rsidR="005C4B46" w:rsidRPr="00E679D1">
              <w:t xml:space="preserve">in </w:t>
            </w:r>
            <w:r w:rsidRPr="00E679D1">
              <w:t>the ARTG completed</w:t>
            </w:r>
          </w:p>
        </w:tc>
        <w:tc>
          <w:tcPr>
            <w:tcW w:w="2126" w:type="dxa"/>
          </w:tcPr>
          <w:p w14:paraId="5A8923FD" w14:textId="33937631" w:rsidR="00324B33" w:rsidRPr="00D01DDB" w:rsidRDefault="00224602"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5 June 2026</w:t>
            </w:r>
          </w:p>
        </w:tc>
      </w:tr>
      <w:tr w:rsidR="00324B33" w:rsidRPr="00D01DDB" w14:paraId="56D922E2" w14:textId="77777777" w:rsidTr="00AE1B07">
        <w:tc>
          <w:tcPr>
            <w:cnfStyle w:val="001000000000" w:firstRow="0" w:lastRow="0" w:firstColumn="1" w:lastColumn="0" w:oddVBand="0" w:evenVBand="0" w:oddHBand="0" w:evenHBand="0" w:firstRowFirstColumn="0" w:firstRowLastColumn="0" w:lastRowFirstColumn="0" w:lastRowLastColumn="0"/>
            <w:tcW w:w="6516" w:type="dxa"/>
          </w:tcPr>
          <w:p w14:paraId="787FD8DD" w14:textId="0E0CF97F" w:rsidR="00324B33" w:rsidRPr="00E679D1" w:rsidRDefault="00324B33" w:rsidP="00E679D1">
            <w:r w:rsidRPr="00E679D1">
              <w:t>Number of working days from submission dossier acceptance to registration decision*</w:t>
            </w:r>
          </w:p>
        </w:tc>
        <w:tc>
          <w:tcPr>
            <w:tcW w:w="2126" w:type="dxa"/>
          </w:tcPr>
          <w:p w14:paraId="5BAF9FA1" w14:textId="10DBD0A4" w:rsidR="00324B33" w:rsidRPr="00D01DDB" w:rsidRDefault="00122EF5"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171</w:t>
            </w:r>
          </w:p>
        </w:tc>
      </w:tr>
    </w:tbl>
    <w:p w14:paraId="7B02554C" w14:textId="77777777" w:rsidR="00433318" w:rsidRDefault="00433318" w:rsidP="00433318">
      <w:pPr>
        <w:pStyle w:val="TableDescription"/>
      </w:pPr>
      <w:r>
        <w:t>*</w:t>
      </w:r>
      <w:r w:rsidRPr="00BF3774">
        <w:t xml:space="preserve">Statutory </w:t>
      </w:r>
      <w:r>
        <w:t>timeframe for standard submissions is 255 working days</w:t>
      </w:r>
    </w:p>
    <w:p w14:paraId="220925F1" w14:textId="75C7430A" w:rsidR="00C22214" w:rsidRPr="00792A32" w:rsidRDefault="00083763" w:rsidP="00C22214">
      <w:pPr>
        <w:pStyle w:val="Heading2"/>
      </w:pPr>
      <w:bookmarkStart w:id="28" w:name="_Toc242958197"/>
      <w:bookmarkStart w:id="29" w:name="_Toc196046504"/>
      <w:bookmarkStart w:id="30" w:name="_Toc247691527"/>
      <w:bookmarkStart w:id="31" w:name="_Toc314842510"/>
      <w:bookmarkStart w:id="32" w:name="_Toc103679294"/>
      <w:r>
        <w:t xml:space="preserve">Assessment </w:t>
      </w:r>
      <w:r w:rsidR="00C22214" w:rsidRPr="00006FAB">
        <w:t>overview</w:t>
      </w:r>
      <w:bookmarkEnd w:id="28"/>
      <w:r w:rsidR="00C22214" w:rsidRPr="00006FAB">
        <w:t xml:space="preserve"> </w:t>
      </w:r>
      <w:bookmarkEnd w:id="29"/>
      <w:bookmarkEnd w:id="30"/>
      <w:bookmarkEnd w:id="31"/>
      <w:bookmarkEnd w:id="32"/>
    </w:p>
    <w:p w14:paraId="540151FC" w14:textId="06E096BD" w:rsidR="00C22214" w:rsidRPr="00BD5DBD" w:rsidRDefault="00C22214" w:rsidP="00BD5DBD">
      <w:pPr>
        <w:rPr>
          <w:szCs w:val="22"/>
        </w:rPr>
      </w:pPr>
      <w:bookmarkStart w:id="33" w:name="_Toc247691528"/>
      <w:bookmarkStart w:id="34" w:name="_Toc314842511"/>
      <w:r w:rsidRPr="00BD5DBD">
        <w:rPr>
          <w:szCs w:val="22"/>
        </w:rPr>
        <w:t>A summary of the TGA’s assessment for this submission is provided below.</w:t>
      </w:r>
    </w:p>
    <w:p w14:paraId="37F5A1C0" w14:textId="5D3D5FE0" w:rsidR="00C22214" w:rsidRDefault="00095C6A" w:rsidP="00C22214">
      <w:pPr>
        <w:pStyle w:val="Heading3"/>
      </w:pPr>
      <w:bookmarkStart w:id="35" w:name="_Toc103679295"/>
      <w:bookmarkStart w:id="36" w:name="_Toc242958198"/>
      <w:r>
        <w:t>Q</w:t>
      </w:r>
      <w:r w:rsidR="00C22214">
        <w:t>uality</w:t>
      </w:r>
      <w:bookmarkEnd w:id="33"/>
      <w:bookmarkEnd w:id="34"/>
      <w:bookmarkEnd w:id="35"/>
      <w:r w:rsidR="007E6443">
        <w:t xml:space="preserve"> evaluation</w:t>
      </w:r>
      <w:r>
        <w:t xml:space="preserve"> summary</w:t>
      </w:r>
      <w:bookmarkEnd w:id="36"/>
    </w:p>
    <w:p w14:paraId="73FAFBA0" w14:textId="10642001" w:rsidR="00122EF5" w:rsidRPr="00122EF5" w:rsidRDefault="00122EF5" w:rsidP="00122EF5">
      <w:r w:rsidRPr="00122EF5">
        <w:t xml:space="preserve">Eplontersen, obtained as eplontersen sodium, is a synthetic oligonucleotide conjugated to a GalNAc ligand </w:t>
      </w:r>
      <w:r w:rsidRPr="00122EF5">
        <w:rPr>
          <w:i/>
          <w:iCs/>
        </w:rPr>
        <w:t>via</w:t>
      </w:r>
      <w:r w:rsidRPr="00122EF5">
        <w:t xml:space="preserve"> an aminohexyl linker on the 5’ terminus. The oligonucleotide part consists of 20 nucleosides (20-mer) in a 5-10-5 structure of 2′-O-(2-methoxyethyl) nucleosides (5 and 5) and 2′-deoxynucleosides (10). The backbone is mixed between phosphate diester and phosphorothioate linkages. </w:t>
      </w:r>
    </w:p>
    <w:p w14:paraId="00B7B580" w14:textId="362B4C4B" w:rsidR="00122EF5" w:rsidRDefault="00122EF5" w:rsidP="00122EF5">
      <w:r w:rsidRPr="00122EF5">
        <w:t xml:space="preserve">Eplontersen sodium structure </w:t>
      </w:r>
      <w:r>
        <w:t xml:space="preserve">is shown in Figure 1 </w:t>
      </w:r>
      <w:r w:rsidRPr="00122EF5">
        <w:t xml:space="preserve">and key physiochemical properties are </w:t>
      </w:r>
      <w:r w:rsidR="00E8386C">
        <w:t>presented</w:t>
      </w:r>
      <w:r w:rsidRPr="00122EF5">
        <w:t xml:space="preserve"> </w:t>
      </w:r>
      <w:r>
        <w:t xml:space="preserve">in Table 4. </w:t>
      </w:r>
    </w:p>
    <w:p w14:paraId="679565B4" w14:textId="77777777" w:rsidR="00AE1B07" w:rsidRDefault="00122EF5" w:rsidP="00122EF5">
      <w:pPr>
        <w:pStyle w:val="FigureTitle"/>
      </w:pPr>
      <w:r>
        <w:t xml:space="preserve">Figure 1. Chemical structure of </w:t>
      </w:r>
      <w:r w:rsidRPr="00122EF5">
        <w:t xml:space="preserve">eplontersen sodium </w:t>
      </w:r>
    </w:p>
    <w:p w14:paraId="1D22F828" w14:textId="1478565A" w:rsidR="00122EF5" w:rsidRDefault="00122EF5" w:rsidP="00AE1B07">
      <w:r w:rsidRPr="000226A2">
        <w:rPr>
          <w:noProof/>
        </w:rPr>
        <w:drawing>
          <wp:inline distT="0" distB="0" distL="0" distR="0" wp14:anchorId="3BB5FE17" wp14:editId="36ED685F">
            <wp:extent cx="5648826" cy="2836868"/>
            <wp:effectExtent l="0" t="0" r="0" b="0"/>
            <wp:docPr id="1767702324" name="Picture 1" descr="Figure 1. Chemical structure of eplontersen sodiu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702324" name="Picture 1" descr="Figure 1. Chemical structure of eplontersen sodium "/>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48826" cy="2836868"/>
                    </a:xfrm>
                    <a:prstGeom prst="rect">
                      <a:avLst/>
                    </a:prstGeom>
                    <a:noFill/>
                    <a:ln>
                      <a:noFill/>
                    </a:ln>
                  </pic:spPr>
                </pic:pic>
              </a:graphicData>
            </a:graphic>
          </wp:inline>
        </w:drawing>
      </w:r>
    </w:p>
    <w:p w14:paraId="0B50A8DF" w14:textId="77777777" w:rsidR="00E8386C" w:rsidRDefault="00E8386C">
      <w:pPr>
        <w:rPr>
          <w:rFonts w:eastAsia="Cambria" w:cs="Times New Roman"/>
          <w:b/>
          <w:szCs w:val="22"/>
        </w:rPr>
      </w:pPr>
      <w:r>
        <w:br w:type="page"/>
      </w:r>
    </w:p>
    <w:p w14:paraId="0F6C9AE5" w14:textId="4B2FFED9" w:rsidR="00122EF5" w:rsidRDefault="00122EF5" w:rsidP="00122EF5">
      <w:pPr>
        <w:pStyle w:val="TableTitle"/>
      </w:pPr>
      <w:r>
        <w:lastRenderedPageBreak/>
        <w:t>Table 4.  P</w:t>
      </w:r>
      <w:r w:rsidRPr="00122EF5">
        <w:t>hysiochemical properties</w:t>
      </w:r>
      <w:r>
        <w:t xml:space="preserve"> of </w:t>
      </w:r>
      <w:r w:rsidRPr="00122EF5">
        <w:t>eplontersen sodium</w:t>
      </w:r>
    </w:p>
    <w:tbl>
      <w:tblPr>
        <w:tblStyle w:val="TableGrid"/>
        <w:tblW w:w="9072" w:type="dxa"/>
        <w:tblLook w:val="04A0" w:firstRow="1" w:lastRow="0" w:firstColumn="1" w:lastColumn="0" w:noHBand="0" w:noVBand="1"/>
        <w:tblCaption w:val="Table 4.  Physiochemical properties of eplontersen sodium"/>
      </w:tblPr>
      <w:tblGrid>
        <w:gridCol w:w="2155"/>
        <w:gridCol w:w="6917"/>
      </w:tblGrid>
      <w:tr w:rsidR="00122EF5" w:rsidRPr="00A33A93" w14:paraId="2C98CC7D" w14:textId="77777777" w:rsidTr="00122EF5">
        <w:tc>
          <w:tcPr>
            <w:tcW w:w="2155" w:type="dxa"/>
            <w:shd w:val="clear" w:color="auto" w:fill="DEEAF6"/>
          </w:tcPr>
          <w:p w14:paraId="5C834C88" w14:textId="77777777" w:rsidR="00122EF5" w:rsidRPr="00122EF5" w:rsidRDefault="00122EF5" w:rsidP="005315CC">
            <w:pPr>
              <w:spacing w:before="60" w:after="60"/>
              <w:rPr>
                <w:b/>
                <w:bCs/>
                <w:color w:val="263287"/>
                <w:szCs w:val="22"/>
              </w:rPr>
            </w:pPr>
            <w:r w:rsidRPr="00122EF5">
              <w:rPr>
                <w:b/>
                <w:bCs/>
                <w:color w:val="263287"/>
                <w:szCs w:val="22"/>
              </w:rPr>
              <w:t xml:space="preserve">Melting point </w:t>
            </w:r>
          </w:p>
        </w:tc>
        <w:tc>
          <w:tcPr>
            <w:tcW w:w="6917" w:type="dxa"/>
          </w:tcPr>
          <w:p w14:paraId="341BE123" w14:textId="77777777" w:rsidR="00122EF5" w:rsidRPr="008655EC" w:rsidRDefault="00122EF5" w:rsidP="005315CC">
            <w:pPr>
              <w:spacing w:before="60" w:after="60"/>
              <w:rPr>
                <w:b/>
                <w:bCs/>
                <w:szCs w:val="22"/>
              </w:rPr>
            </w:pPr>
            <w:r w:rsidRPr="008655EC">
              <w:rPr>
                <w:bCs/>
                <w:szCs w:val="22"/>
              </w:rPr>
              <w:t>No melting point was determined. Differential scanning calorimetry shows peaks at 104 °C, attributed to water loss, and at 223 °C, due to decomposition.</w:t>
            </w:r>
          </w:p>
        </w:tc>
      </w:tr>
      <w:tr w:rsidR="00122EF5" w:rsidRPr="000226A2" w14:paraId="38F86ED7" w14:textId="77777777" w:rsidTr="00122EF5">
        <w:tc>
          <w:tcPr>
            <w:tcW w:w="2155" w:type="dxa"/>
            <w:shd w:val="clear" w:color="auto" w:fill="DEEAF6"/>
          </w:tcPr>
          <w:p w14:paraId="7CE9A9E7" w14:textId="77777777" w:rsidR="00122EF5" w:rsidRPr="00122EF5" w:rsidRDefault="00122EF5" w:rsidP="005315CC">
            <w:pPr>
              <w:spacing w:before="60" w:after="60"/>
              <w:rPr>
                <w:b/>
                <w:bCs/>
                <w:color w:val="263287"/>
                <w:szCs w:val="22"/>
              </w:rPr>
            </w:pPr>
            <w:r w:rsidRPr="00122EF5">
              <w:rPr>
                <w:b/>
                <w:bCs/>
                <w:color w:val="263287"/>
                <w:szCs w:val="22"/>
              </w:rPr>
              <w:t>Polymorphism</w:t>
            </w:r>
          </w:p>
        </w:tc>
        <w:tc>
          <w:tcPr>
            <w:tcW w:w="6917" w:type="dxa"/>
          </w:tcPr>
          <w:p w14:paraId="2B280299" w14:textId="77777777" w:rsidR="00122EF5" w:rsidRPr="008655EC" w:rsidRDefault="00122EF5" w:rsidP="005315CC">
            <w:pPr>
              <w:spacing w:before="60" w:after="60"/>
              <w:rPr>
                <w:szCs w:val="22"/>
              </w:rPr>
            </w:pPr>
            <w:r w:rsidRPr="008655EC">
              <w:rPr>
                <w:szCs w:val="22"/>
              </w:rPr>
              <w:t>The drug substance is amorphous</w:t>
            </w:r>
            <w:r>
              <w:rPr>
                <w:szCs w:val="22"/>
              </w:rPr>
              <w:t>.</w:t>
            </w:r>
          </w:p>
        </w:tc>
      </w:tr>
      <w:tr w:rsidR="00122EF5" w:rsidRPr="000226A2" w14:paraId="223A706D" w14:textId="77777777" w:rsidTr="00122EF5">
        <w:tc>
          <w:tcPr>
            <w:tcW w:w="2155" w:type="dxa"/>
            <w:shd w:val="clear" w:color="auto" w:fill="DEEAF6"/>
          </w:tcPr>
          <w:p w14:paraId="2DC0FDFB" w14:textId="77777777" w:rsidR="00122EF5" w:rsidRPr="00122EF5" w:rsidRDefault="00122EF5" w:rsidP="005315CC">
            <w:pPr>
              <w:spacing w:before="60" w:after="60"/>
              <w:rPr>
                <w:b/>
                <w:bCs/>
                <w:color w:val="263287"/>
                <w:szCs w:val="22"/>
              </w:rPr>
            </w:pPr>
            <w:r w:rsidRPr="00122EF5">
              <w:rPr>
                <w:b/>
                <w:bCs/>
                <w:color w:val="263287"/>
                <w:szCs w:val="22"/>
              </w:rPr>
              <w:t>Solubility</w:t>
            </w:r>
          </w:p>
        </w:tc>
        <w:tc>
          <w:tcPr>
            <w:tcW w:w="6917" w:type="dxa"/>
          </w:tcPr>
          <w:p w14:paraId="5FDC51C9" w14:textId="77777777" w:rsidR="00122EF5" w:rsidRPr="008655EC" w:rsidRDefault="00122EF5" w:rsidP="005315CC">
            <w:pPr>
              <w:spacing w:before="60" w:after="60"/>
              <w:rPr>
                <w:szCs w:val="22"/>
              </w:rPr>
            </w:pPr>
            <w:r w:rsidRPr="008655EC">
              <w:rPr>
                <w:szCs w:val="22"/>
              </w:rPr>
              <w:t>Freely soluble in water, acetate buffer (pH 3) and phosphate buffered saline (pH 7.4).</w:t>
            </w:r>
          </w:p>
        </w:tc>
      </w:tr>
      <w:tr w:rsidR="00122EF5" w:rsidRPr="000226A2" w14:paraId="3641457D" w14:textId="77777777" w:rsidTr="00122EF5">
        <w:tc>
          <w:tcPr>
            <w:tcW w:w="2155" w:type="dxa"/>
            <w:shd w:val="clear" w:color="auto" w:fill="DEEAF6"/>
          </w:tcPr>
          <w:p w14:paraId="36F7C85C" w14:textId="77777777" w:rsidR="00122EF5" w:rsidRPr="00122EF5" w:rsidRDefault="00122EF5" w:rsidP="005315CC">
            <w:pPr>
              <w:spacing w:before="60" w:after="60"/>
              <w:rPr>
                <w:b/>
                <w:bCs/>
                <w:color w:val="263287"/>
                <w:szCs w:val="22"/>
              </w:rPr>
            </w:pPr>
            <w:r w:rsidRPr="00122EF5">
              <w:rPr>
                <w:b/>
                <w:bCs/>
                <w:color w:val="263287"/>
                <w:szCs w:val="22"/>
              </w:rPr>
              <w:t>pH</w:t>
            </w:r>
          </w:p>
        </w:tc>
        <w:tc>
          <w:tcPr>
            <w:tcW w:w="6917" w:type="dxa"/>
          </w:tcPr>
          <w:p w14:paraId="5ACE4531" w14:textId="77777777" w:rsidR="00122EF5" w:rsidRPr="008655EC" w:rsidRDefault="00122EF5" w:rsidP="005315CC">
            <w:pPr>
              <w:spacing w:before="60" w:after="60"/>
              <w:rPr>
                <w:szCs w:val="22"/>
              </w:rPr>
            </w:pPr>
            <w:r w:rsidRPr="008655EC">
              <w:rPr>
                <w:szCs w:val="22"/>
              </w:rPr>
              <w:t>pH of a 5% (</w:t>
            </w:r>
            <w:r w:rsidRPr="008655EC">
              <w:rPr>
                <w:i/>
                <w:iCs/>
                <w:szCs w:val="22"/>
              </w:rPr>
              <w:t>w/v</w:t>
            </w:r>
            <w:r w:rsidRPr="008655EC">
              <w:rPr>
                <w:szCs w:val="22"/>
              </w:rPr>
              <w:t xml:space="preserve">) aqueous solution of eplontersen sodium is approximately 6. </w:t>
            </w:r>
          </w:p>
        </w:tc>
      </w:tr>
      <w:tr w:rsidR="00122EF5" w:rsidRPr="000226A2" w14:paraId="7C039082" w14:textId="77777777" w:rsidTr="00122EF5">
        <w:tc>
          <w:tcPr>
            <w:tcW w:w="2155" w:type="dxa"/>
            <w:shd w:val="clear" w:color="auto" w:fill="DEEAF6"/>
          </w:tcPr>
          <w:p w14:paraId="01139A57" w14:textId="77777777" w:rsidR="00122EF5" w:rsidRPr="00122EF5" w:rsidRDefault="00122EF5" w:rsidP="005315CC">
            <w:pPr>
              <w:spacing w:before="60" w:after="60"/>
              <w:rPr>
                <w:b/>
                <w:bCs/>
                <w:color w:val="263287"/>
                <w:szCs w:val="22"/>
              </w:rPr>
            </w:pPr>
            <w:r w:rsidRPr="00122EF5">
              <w:rPr>
                <w:b/>
                <w:bCs/>
                <w:color w:val="263287"/>
                <w:szCs w:val="22"/>
              </w:rPr>
              <w:t>Partition coefficient</w:t>
            </w:r>
          </w:p>
        </w:tc>
        <w:tc>
          <w:tcPr>
            <w:tcW w:w="6917" w:type="dxa"/>
          </w:tcPr>
          <w:p w14:paraId="6814AB7C" w14:textId="77777777" w:rsidR="00122EF5" w:rsidRPr="008655EC" w:rsidRDefault="00122EF5" w:rsidP="005315CC">
            <w:pPr>
              <w:spacing w:before="60" w:after="60"/>
              <w:rPr>
                <w:szCs w:val="22"/>
              </w:rPr>
            </w:pPr>
            <w:r w:rsidRPr="008655EC">
              <w:rPr>
                <w:szCs w:val="22"/>
              </w:rPr>
              <w:t>The determined Log</w:t>
            </w:r>
            <w:r w:rsidRPr="008655EC">
              <w:rPr>
                <w:szCs w:val="22"/>
                <w:vertAlign w:val="subscript"/>
              </w:rPr>
              <w:t>10</w:t>
            </w:r>
            <w:r w:rsidRPr="008655EC">
              <w:rPr>
                <w:szCs w:val="22"/>
              </w:rPr>
              <w:t xml:space="preserve"> Mean D</w:t>
            </w:r>
            <w:r w:rsidRPr="008655EC">
              <w:rPr>
                <w:szCs w:val="22"/>
                <w:vertAlign w:val="subscript"/>
              </w:rPr>
              <w:t>ow</w:t>
            </w:r>
            <w:r w:rsidRPr="008655EC">
              <w:rPr>
                <w:szCs w:val="22"/>
              </w:rPr>
              <w:t xml:space="preserve"> of eplontersen sodium is -0.805 at pH 5, -1.325 at pH 7, and -1.313 at pH 9.</w:t>
            </w:r>
          </w:p>
        </w:tc>
      </w:tr>
      <w:tr w:rsidR="00122EF5" w:rsidRPr="000226A2" w14:paraId="0057AEBF" w14:textId="77777777" w:rsidTr="00122EF5">
        <w:tc>
          <w:tcPr>
            <w:tcW w:w="2155" w:type="dxa"/>
            <w:shd w:val="clear" w:color="auto" w:fill="DEEAF6"/>
          </w:tcPr>
          <w:p w14:paraId="2FCBB613" w14:textId="77777777" w:rsidR="00122EF5" w:rsidRPr="00122EF5" w:rsidRDefault="00122EF5" w:rsidP="005315CC">
            <w:pPr>
              <w:spacing w:before="60" w:after="60"/>
              <w:rPr>
                <w:b/>
                <w:bCs/>
                <w:color w:val="263287"/>
                <w:szCs w:val="22"/>
              </w:rPr>
            </w:pPr>
            <w:r w:rsidRPr="00122EF5">
              <w:rPr>
                <w:b/>
                <w:bCs/>
                <w:color w:val="263287"/>
              </w:rPr>
              <w:t>Molecular formula</w:t>
            </w:r>
          </w:p>
        </w:tc>
        <w:tc>
          <w:tcPr>
            <w:tcW w:w="6917" w:type="dxa"/>
          </w:tcPr>
          <w:p w14:paraId="3514D1A4" w14:textId="77777777" w:rsidR="00122EF5" w:rsidRPr="000226A2" w:rsidRDefault="00122EF5" w:rsidP="005315CC">
            <w:pPr>
              <w:rPr>
                <w:vertAlign w:val="subscript"/>
              </w:rPr>
            </w:pPr>
            <w:r w:rsidRPr="000226A2">
              <w:t>Free acid: C</w:t>
            </w:r>
            <w:r w:rsidRPr="000226A2">
              <w:rPr>
                <w:vertAlign w:val="subscript"/>
              </w:rPr>
              <w:t>296</w:t>
            </w:r>
            <w:r w:rsidRPr="000226A2">
              <w:t>H</w:t>
            </w:r>
            <w:r w:rsidRPr="000226A2">
              <w:rPr>
                <w:vertAlign w:val="subscript"/>
              </w:rPr>
              <w:t>437</w:t>
            </w:r>
            <w:r w:rsidRPr="000226A2">
              <w:t>N</w:t>
            </w:r>
            <w:r w:rsidRPr="000226A2">
              <w:rPr>
                <w:vertAlign w:val="subscript"/>
              </w:rPr>
              <w:t>77</w:t>
            </w:r>
            <w:r w:rsidRPr="000226A2">
              <w:t>O</w:t>
            </w:r>
            <w:r w:rsidRPr="000226A2">
              <w:rPr>
                <w:vertAlign w:val="subscript"/>
              </w:rPr>
              <w:t>156</w:t>
            </w:r>
            <w:r w:rsidRPr="000226A2">
              <w:t>P</w:t>
            </w:r>
            <w:r w:rsidRPr="000226A2">
              <w:rPr>
                <w:vertAlign w:val="subscript"/>
              </w:rPr>
              <w:t>20</w:t>
            </w:r>
            <w:r w:rsidRPr="000226A2">
              <w:t>S</w:t>
            </w:r>
            <w:r w:rsidRPr="000226A2">
              <w:rPr>
                <w:vertAlign w:val="subscript"/>
              </w:rPr>
              <w:t xml:space="preserve">13 </w:t>
            </w:r>
          </w:p>
          <w:p w14:paraId="7ABB5924" w14:textId="77777777" w:rsidR="00122EF5" w:rsidRPr="008655EC" w:rsidRDefault="00122EF5" w:rsidP="005315CC">
            <w:pPr>
              <w:spacing w:before="60" w:after="60"/>
              <w:rPr>
                <w:szCs w:val="22"/>
              </w:rPr>
            </w:pPr>
            <w:r w:rsidRPr="000226A2">
              <w:t>Sodium salt: C</w:t>
            </w:r>
            <w:r w:rsidRPr="000226A2">
              <w:rPr>
                <w:vertAlign w:val="subscript"/>
              </w:rPr>
              <w:t>296</w:t>
            </w:r>
            <w:r w:rsidRPr="000226A2">
              <w:t>H</w:t>
            </w:r>
            <w:r w:rsidRPr="000226A2">
              <w:rPr>
                <w:vertAlign w:val="subscript"/>
              </w:rPr>
              <w:t>417</w:t>
            </w:r>
            <w:r w:rsidRPr="000226A2">
              <w:t>N</w:t>
            </w:r>
            <w:r w:rsidRPr="000226A2">
              <w:rPr>
                <w:vertAlign w:val="subscript"/>
              </w:rPr>
              <w:t>77</w:t>
            </w:r>
            <w:r w:rsidRPr="000226A2">
              <w:t>O</w:t>
            </w:r>
            <w:r w:rsidRPr="000226A2">
              <w:rPr>
                <w:vertAlign w:val="subscript"/>
              </w:rPr>
              <w:t>156</w:t>
            </w:r>
            <w:r w:rsidRPr="000226A2">
              <w:t>P</w:t>
            </w:r>
            <w:r w:rsidRPr="000226A2">
              <w:rPr>
                <w:vertAlign w:val="subscript"/>
              </w:rPr>
              <w:t>20</w:t>
            </w:r>
            <w:r w:rsidRPr="000226A2">
              <w:t>S</w:t>
            </w:r>
            <w:r w:rsidRPr="000226A2">
              <w:rPr>
                <w:vertAlign w:val="subscript"/>
              </w:rPr>
              <w:t>13</w:t>
            </w:r>
            <w:r w:rsidRPr="000226A2">
              <w:t>Na</w:t>
            </w:r>
            <w:r w:rsidRPr="000226A2">
              <w:rPr>
                <w:vertAlign w:val="subscript"/>
              </w:rPr>
              <w:t>20</w:t>
            </w:r>
          </w:p>
        </w:tc>
      </w:tr>
      <w:tr w:rsidR="00122EF5" w:rsidRPr="000226A2" w14:paraId="69990419" w14:textId="77777777" w:rsidTr="00122EF5">
        <w:tc>
          <w:tcPr>
            <w:tcW w:w="2155" w:type="dxa"/>
            <w:shd w:val="clear" w:color="auto" w:fill="DEEAF6"/>
          </w:tcPr>
          <w:p w14:paraId="3ED781D2" w14:textId="77777777" w:rsidR="00122EF5" w:rsidRPr="00122EF5" w:rsidRDefault="00122EF5" w:rsidP="005315CC">
            <w:pPr>
              <w:spacing w:before="60" w:after="60"/>
              <w:rPr>
                <w:b/>
                <w:bCs/>
                <w:color w:val="263287"/>
              </w:rPr>
            </w:pPr>
            <w:r w:rsidRPr="00122EF5">
              <w:rPr>
                <w:b/>
                <w:bCs/>
                <w:color w:val="263287"/>
              </w:rPr>
              <w:t>Molecular weight</w:t>
            </w:r>
          </w:p>
        </w:tc>
        <w:tc>
          <w:tcPr>
            <w:tcW w:w="6917" w:type="dxa"/>
          </w:tcPr>
          <w:p w14:paraId="6C9C241D" w14:textId="77777777" w:rsidR="00122EF5" w:rsidRPr="000226A2" w:rsidRDefault="00122EF5" w:rsidP="005315CC">
            <w:r w:rsidRPr="000226A2">
              <w:t>Free acid: 8606.5 amu</w:t>
            </w:r>
          </w:p>
          <w:p w14:paraId="3D22580F" w14:textId="77777777" w:rsidR="00122EF5" w:rsidRPr="000226A2" w:rsidRDefault="00122EF5" w:rsidP="005315CC">
            <w:r w:rsidRPr="000226A2">
              <w:t>Sodium salt: 9046.1 amu</w:t>
            </w:r>
          </w:p>
        </w:tc>
      </w:tr>
    </w:tbl>
    <w:p w14:paraId="43D1F88B" w14:textId="77777777" w:rsidR="00B702F0" w:rsidRDefault="00B702F0" w:rsidP="00122EF5"/>
    <w:p w14:paraId="2F679D55" w14:textId="6777B545" w:rsidR="00122EF5" w:rsidRDefault="00122EF5" w:rsidP="00122EF5">
      <w:r>
        <w:t xml:space="preserve">The oligonucleotide portion of the drug substance is synthesised via solid-phase oligonucleotide synthesis on </w:t>
      </w:r>
      <w:r w:rsidR="00911198">
        <w:t xml:space="preserve">a </w:t>
      </w:r>
      <w:r>
        <w:t xml:space="preserve">solid support. </w:t>
      </w:r>
      <w:r w:rsidR="00590CB6">
        <w:t>T</w:t>
      </w:r>
      <w:r>
        <w:t xml:space="preserve">he sequence of the oligonucleotide is established during the synthetic process. The oligonucleotide is then subsequently modified via conjugation </w:t>
      </w:r>
      <w:r w:rsidR="00041F8E">
        <w:t>with</w:t>
      </w:r>
      <w:r>
        <w:t xml:space="preserve"> a </w:t>
      </w:r>
      <w:r w:rsidR="00041F8E" w:rsidRPr="00041F8E">
        <w:t>GalNAc</w:t>
      </w:r>
      <w:r>
        <w:t xml:space="preserve"> derivative</w:t>
      </w:r>
      <w:r w:rsidR="001D5E1A">
        <w:t>.</w:t>
      </w:r>
    </w:p>
    <w:p w14:paraId="350B7F6D" w14:textId="721FB823" w:rsidR="00122EF5" w:rsidRDefault="00122EF5" w:rsidP="00122EF5">
      <w:r>
        <w:t xml:space="preserve">A risk evaluation on the potential presence of elemental and nitrosamines were performed by the </w:t>
      </w:r>
      <w:r w:rsidR="00A606FB">
        <w:t>Sponsor</w:t>
      </w:r>
      <w:r>
        <w:t xml:space="preserve">. No significant risk was identified. </w:t>
      </w:r>
    </w:p>
    <w:p w14:paraId="15243F42" w14:textId="3EC046EA" w:rsidR="00122EF5" w:rsidRDefault="00122EF5" w:rsidP="008A5065">
      <w:r>
        <w:t xml:space="preserve">Impurities for oligonucleotide drug substances are not covered by </w:t>
      </w:r>
      <w:r w:rsidR="008A5065">
        <w:t xml:space="preserve">ICH Q3A </w:t>
      </w:r>
      <w:r>
        <w:t>requirements</w:t>
      </w:r>
      <w:r w:rsidR="008A5065">
        <w:rPr>
          <w:rStyle w:val="FootnoteReference"/>
        </w:rPr>
        <w:footnoteReference w:id="6"/>
      </w:r>
      <w:r>
        <w:t xml:space="preserve">. The impurity limits are qualified based on advice from the Toxicology section. The drug substance specifications are sufficient to ensure the drug substance quality and consistency. The drug substance specifications acceptable from a quality perspective is notably identical to those approved in the EU. </w:t>
      </w:r>
    </w:p>
    <w:p w14:paraId="2A9B8578" w14:textId="031146B0" w:rsidR="00122EF5" w:rsidRDefault="00122EF5" w:rsidP="00122EF5">
      <w:r>
        <w:t xml:space="preserve">The analytical methods used to analyse the drug substance were adequately described and appropriately validated. </w:t>
      </w:r>
    </w:p>
    <w:p w14:paraId="2B5C12CE" w14:textId="361B56A7" w:rsidR="00122EF5" w:rsidRDefault="00A606FB" w:rsidP="00122EF5">
      <w:r>
        <w:t>Wainua</w:t>
      </w:r>
      <w:r w:rsidR="00122EF5">
        <w:t xml:space="preserve"> is a sterile, colourless to yellow solution for injection containing 45 mg eplontersen (added as 47 mg eplontersen sodium) in 0.8 mL 10 mM phosphate buffered saline with a pH of 7.4.</w:t>
      </w:r>
    </w:p>
    <w:p w14:paraId="064A23E2" w14:textId="286FF7FF" w:rsidR="00122EF5" w:rsidRDefault="00122EF5" w:rsidP="00122EF5">
      <w:r>
        <w:t xml:space="preserve">The drug product is supplied in a Type I glass syringe, with a staked 27-gauge ½ inch stainless steel needle and closed with a </w:t>
      </w:r>
      <w:proofErr w:type="spellStart"/>
      <w:r>
        <w:t>chlorobutyl</w:t>
      </w:r>
      <w:proofErr w:type="spellEnd"/>
      <w:r>
        <w:t xml:space="preserve"> plunger stopper. The pre-filled syringe is assembled into an autoinjector for the final drug product presentation. </w:t>
      </w:r>
      <w:r w:rsidR="00A606FB">
        <w:t>Wainua</w:t>
      </w:r>
      <w:r>
        <w:t xml:space="preserve"> is supplied in cartons containing one autoinjector. </w:t>
      </w:r>
    </w:p>
    <w:p w14:paraId="4E1B0FC8" w14:textId="77777777" w:rsidR="00E8386C" w:rsidRDefault="00122EF5" w:rsidP="00122EF5">
      <w:r>
        <w:t>The manufacturing process includes sterile filtration and syringe filling under aseptic conditions.</w:t>
      </w:r>
      <w:r w:rsidR="00E8386C">
        <w:t xml:space="preserve"> </w:t>
      </w:r>
    </w:p>
    <w:p w14:paraId="2E639EA5" w14:textId="11DC5E51" w:rsidR="00122EF5" w:rsidRDefault="00122EF5" w:rsidP="00122EF5">
      <w:r>
        <w:t>Sterility, endotoxin, container safety aspects were separately assessed by the TGA Laboratories Branch, and these were found to be acceptable.</w:t>
      </w:r>
    </w:p>
    <w:p w14:paraId="3EC9EDA4" w14:textId="1DCDDF41" w:rsidR="00122EF5" w:rsidRDefault="00122EF5" w:rsidP="00122EF5">
      <w:r>
        <w:t xml:space="preserve">All excipients used in the formulations are conventional. The drug product is a phosphate buffered aqueous solution in </w:t>
      </w:r>
      <w:r w:rsidR="00010572">
        <w:t>water for injection</w:t>
      </w:r>
      <w:r>
        <w:t xml:space="preserve">, at pH 7.4. The solution has a target osmolality </w:t>
      </w:r>
      <w:r>
        <w:lastRenderedPageBreak/>
        <w:t xml:space="preserve">250 – 330 </w:t>
      </w:r>
      <w:proofErr w:type="spellStart"/>
      <w:r>
        <w:t>mOsm</w:t>
      </w:r>
      <w:proofErr w:type="spellEnd"/>
      <w:r>
        <w:t xml:space="preserve">/kg (comparable to human plasma 275-299 </w:t>
      </w:r>
      <w:proofErr w:type="spellStart"/>
      <w:r>
        <w:t>mOsm</w:t>
      </w:r>
      <w:proofErr w:type="spellEnd"/>
      <w:r>
        <w:t xml:space="preserve">/kg). The viscosity of the solution is ~10 </w:t>
      </w:r>
      <w:proofErr w:type="spellStart"/>
      <w:r>
        <w:t>cP</w:t>
      </w:r>
      <w:proofErr w:type="spellEnd"/>
      <w:r>
        <w:t xml:space="preserve"> at 25 °C.</w:t>
      </w:r>
    </w:p>
    <w:p w14:paraId="63AE9447" w14:textId="7672162B" w:rsidR="00122EF5" w:rsidRDefault="00122EF5" w:rsidP="00122EF5">
      <w:r>
        <w:t xml:space="preserve">The drug product specifications are sufficient to ensure drug product quality and consistency. The drug product specifications </w:t>
      </w:r>
      <w:r w:rsidR="004D65C1">
        <w:t xml:space="preserve">are </w:t>
      </w:r>
      <w:r>
        <w:t xml:space="preserve">acceptable from a quality perspective </w:t>
      </w:r>
      <w:r w:rsidR="004D65C1">
        <w:t>and are</w:t>
      </w:r>
      <w:r>
        <w:t xml:space="preserve"> notably identical to those approved in the EU. </w:t>
      </w:r>
    </w:p>
    <w:p w14:paraId="3B7B509E" w14:textId="77777777" w:rsidR="00122EF5" w:rsidRDefault="00122EF5" w:rsidP="00122EF5">
      <w:r>
        <w:t>The analytical methods used to analyse the product were adequately described and validated.</w:t>
      </w:r>
    </w:p>
    <w:p w14:paraId="04D09BAA" w14:textId="77777777" w:rsidR="00122EF5" w:rsidRDefault="00122EF5" w:rsidP="00122EF5">
      <w:r>
        <w:t>A risk assessment on the potential contamination of the product with nitrosamine impurities did not identify any significant risk.</w:t>
      </w:r>
    </w:p>
    <w:p w14:paraId="543F7E0D" w14:textId="3A465705" w:rsidR="00122EF5" w:rsidRDefault="00122EF5" w:rsidP="00122EF5">
      <w:r>
        <w:t xml:space="preserve">Stability data did not show any significant degradation trends or changes for any of the specification parameters tested. The data supports a shelf-life of 36 months when stored at </w:t>
      </w:r>
      <w:r w:rsidR="00010572">
        <w:br/>
      </w:r>
      <w:r>
        <w:t>2 – 8 °C. Additionally, the stability data supports the proposed in-use storage of the drug product for 6 weeks when stored below 30 °C. The drug product is discarded after 6 weeks if not used.</w:t>
      </w:r>
    </w:p>
    <w:p w14:paraId="03F1EEDB" w14:textId="71511B95" w:rsidR="00122EF5" w:rsidRPr="00122EF5" w:rsidRDefault="00122EF5" w:rsidP="00122EF5">
      <w:r>
        <w:t xml:space="preserve">There are no objections to registration from a pharmaceutical chemistry perspective. </w:t>
      </w:r>
    </w:p>
    <w:p w14:paraId="2BE90AAE" w14:textId="5D8EA39B" w:rsidR="00C22214" w:rsidRDefault="00C22214" w:rsidP="00C22214">
      <w:pPr>
        <w:pStyle w:val="Heading3"/>
      </w:pPr>
      <w:bookmarkStart w:id="37" w:name="_Toc314842512"/>
      <w:bookmarkStart w:id="38" w:name="_Toc103679296"/>
      <w:bookmarkStart w:id="39" w:name="_Toc242958199"/>
      <w:r>
        <w:t>Nonclinical</w:t>
      </w:r>
      <w:bookmarkEnd w:id="37"/>
      <w:bookmarkEnd w:id="38"/>
      <w:r w:rsidR="007E6443">
        <w:t xml:space="preserve"> evaluation</w:t>
      </w:r>
      <w:r w:rsidR="00095C6A">
        <w:t xml:space="preserve"> summary</w:t>
      </w:r>
      <w:bookmarkEnd w:id="39"/>
    </w:p>
    <w:p w14:paraId="598DCE0F" w14:textId="43F4D33D" w:rsidR="004D65C1" w:rsidRPr="004D65C1" w:rsidRDefault="004D65C1" w:rsidP="004D65C1">
      <w:r w:rsidRPr="004D65C1">
        <w:t xml:space="preserve">The scope and quality of the submitted </w:t>
      </w:r>
      <w:r>
        <w:t>nonclinical</w:t>
      </w:r>
      <w:r w:rsidRPr="004D65C1">
        <w:t xml:space="preserve"> dossier was acceptable, with studies consistent with the principles of ICH guidance for the nonclinical testing of pharmaceuticals. All pivotal safety-related studies were conducted according to G</w:t>
      </w:r>
      <w:r>
        <w:t xml:space="preserve">ood </w:t>
      </w:r>
      <w:r w:rsidRPr="004D65C1">
        <w:t>L</w:t>
      </w:r>
      <w:r>
        <w:t>aboratory Practice</w:t>
      </w:r>
      <w:r w:rsidRPr="004D65C1">
        <w:t xml:space="preserve">. </w:t>
      </w:r>
    </w:p>
    <w:p w14:paraId="3026ECE4" w14:textId="77777777" w:rsidR="004D65C1" w:rsidRPr="004D65C1" w:rsidRDefault="004D65C1" w:rsidP="004D65C1">
      <w:r w:rsidRPr="004D65C1">
        <w:t xml:space="preserve">The oligonucleotide sequence of eplontersen is complementary to a sequence in the 3’-UTR of the human </w:t>
      </w:r>
      <w:r w:rsidRPr="004D65C1">
        <w:rPr>
          <w:i/>
          <w:iCs/>
        </w:rPr>
        <w:t>TTR</w:t>
      </w:r>
      <w:r w:rsidRPr="004D65C1">
        <w:t xml:space="preserve"> mRNA. The sequence matches the same region of the cynomolgus monkey </w:t>
      </w:r>
      <w:r w:rsidRPr="004D65C1">
        <w:rPr>
          <w:i/>
          <w:iCs/>
        </w:rPr>
        <w:t>TTR</w:t>
      </w:r>
      <w:r w:rsidRPr="004D65C1">
        <w:t xml:space="preserve"> </w:t>
      </w:r>
      <w:proofErr w:type="gramStart"/>
      <w:r w:rsidRPr="004D65C1">
        <w:t>mRNA</w:t>
      </w:r>
      <w:proofErr w:type="gramEnd"/>
      <w:r w:rsidRPr="004D65C1">
        <w:t xml:space="preserve"> but significant mismatches exist with rodent and rabbit </w:t>
      </w:r>
      <w:r w:rsidRPr="004D65C1">
        <w:rPr>
          <w:i/>
          <w:iCs/>
        </w:rPr>
        <w:t>TTR</w:t>
      </w:r>
      <w:r w:rsidRPr="004D65C1">
        <w:t xml:space="preserve"> mRNA, suggesting a lack of responsiveness in these species. </w:t>
      </w:r>
      <w:r w:rsidRPr="004D65C1">
        <w:rPr>
          <w:i/>
          <w:iCs/>
        </w:rPr>
        <w:t>In vitro</w:t>
      </w:r>
      <w:r w:rsidRPr="004D65C1">
        <w:t xml:space="preserve">, the oligonucleotide sequence of eplontersen inhibited </w:t>
      </w:r>
      <w:r w:rsidRPr="004D65C1">
        <w:rPr>
          <w:i/>
          <w:iCs/>
        </w:rPr>
        <w:t>TTR</w:t>
      </w:r>
      <w:r w:rsidRPr="004D65C1">
        <w:t xml:space="preserve"> mRNA in monkey hepatocytes and mice hepatocytes overexpressing human </w:t>
      </w:r>
      <w:r w:rsidRPr="004D65C1">
        <w:rPr>
          <w:i/>
          <w:iCs/>
        </w:rPr>
        <w:t>TTR</w:t>
      </w:r>
      <w:r w:rsidRPr="004D65C1">
        <w:t xml:space="preserve">. In mice expressing the human mutant </w:t>
      </w:r>
      <w:r w:rsidRPr="004D65C1">
        <w:rPr>
          <w:i/>
          <w:iCs/>
        </w:rPr>
        <w:t>TTR</w:t>
      </w:r>
      <w:r w:rsidRPr="004D65C1">
        <w:t xml:space="preserve"> variant and monkeys, eplontersen caused reductions in hepatic </w:t>
      </w:r>
      <w:proofErr w:type="gramStart"/>
      <w:r w:rsidRPr="004D65C1">
        <w:rPr>
          <w:i/>
          <w:iCs/>
        </w:rPr>
        <w:t xml:space="preserve">TTR </w:t>
      </w:r>
      <w:r w:rsidRPr="004D65C1">
        <w:t xml:space="preserve"> mRNA</w:t>
      </w:r>
      <w:proofErr w:type="gramEnd"/>
      <w:r w:rsidRPr="004D65C1">
        <w:t xml:space="preserve"> and plasma TTR protein levels, thus lending support for the proposed clinical indication. No studies were submitted to determine if eplontersen could suppress progression or ameliorate disease symptoms. Therefore, no comment </w:t>
      </w:r>
      <w:proofErr w:type="gramStart"/>
      <w:r w:rsidRPr="004D65C1">
        <w:t>in regard to</w:t>
      </w:r>
      <w:proofErr w:type="gramEnd"/>
      <w:r w:rsidRPr="004D65C1">
        <w:t xml:space="preserve"> efficacy can be given based on nonclinical data. </w:t>
      </w:r>
    </w:p>
    <w:p w14:paraId="605ABFB1" w14:textId="77777777" w:rsidR="004D65C1" w:rsidRPr="004D65C1" w:rsidRDefault="004D65C1" w:rsidP="004D65C1">
      <w:r w:rsidRPr="004D65C1">
        <w:t>Considering its sequence and enhanced hepatic delivery conferred by GalNAc conjugation no significant off-target effects for eplontersen are expected</w:t>
      </w:r>
    </w:p>
    <w:p w14:paraId="1478D37A" w14:textId="618AA5EA" w:rsidR="004D65C1" w:rsidRPr="004D65C1" w:rsidRDefault="004D65C1" w:rsidP="004D65C1">
      <w:r w:rsidRPr="004D65C1">
        <w:t xml:space="preserve">A safety pharmacology study conducted in cynomolgus monkeys that covered the cardiovascular, respiratory and central nervous systems did not reveal any adverse or treatment-related effects. No significant inhibition of </w:t>
      </w:r>
      <w:proofErr w:type="spellStart"/>
      <w:r w:rsidRPr="004D65C1">
        <w:t>hERG</w:t>
      </w:r>
      <w:proofErr w:type="spellEnd"/>
      <w:r w:rsidRPr="004D65C1">
        <w:t xml:space="preserve"> K+ channel tail current was observed at clinically relevant concentrations. The safety pharmacology studies do not raise any concerns regarding effects on respiratory, CNS or cardiovascular function in patients.</w:t>
      </w:r>
    </w:p>
    <w:p w14:paraId="7A55B18E" w14:textId="77777777" w:rsidR="004D65C1" w:rsidRPr="004D65C1" w:rsidRDefault="004D65C1" w:rsidP="004D65C1">
      <w:r w:rsidRPr="004D65C1">
        <w:t>Overall, the pharmacokinetic profile of eplontersen was consistent with the class of GalNAc-THA-conjugated synthetic oligonucleotides and was qualitatively similar in animals and humans. Plasma half-life was similar between monkeys and humans. Plasma protein binding is high in humans and animal species. Tissue distribution of the ASO component was primarily distributed to the intended target tissue (liver) and the main route of elimination (kidneys). Eplontersen is metabolised by exonucleases in all species, that degrade eplontersen to shorter nucleotides of varying length. The GalNAc-THA component is rapidly metabolised.</w:t>
      </w:r>
    </w:p>
    <w:p w14:paraId="4489844E" w14:textId="77777777" w:rsidR="004D65C1" w:rsidRPr="004D65C1" w:rsidRDefault="004D65C1" w:rsidP="004D65C1">
      <w:r w:rsidRPr="004D65C1">
        <w:t xml:space="preserve">Pharmacokinetic drug interactions involving eplontersen are considered unlikely, consistent with </w:t>
      </w:r>
      <w:proofErr w:type="gramStart"/>
      <w:r w:rsidRPr="004D65C1">
        <w:t>chemically-similar</w:t>
      </w:r>
      <w:proofErr w:type="gramEnd"/>
      <w:r w:rsidRPr="004D65C1">
        <w:t xml:space="preserve"> oligonucleotide therapeutics.</w:t>
      </w:r>
    </w:p>
    <w:p w14:paraId="6AA57794" w14:textId="05229302" w:rsidR="004D65C1" w:rsidRPr="004D65C1" w:rsidRDefault="004D65C1" w:rsidP="004D65C1">
      <w:r w:rsidRPr="004D65C1">
        <w:lastRenderedPageBreak/>
        <w:t xml:space="preserve">Eplontersen had a low order of acute toxicity via the </w:t>
      </w:r>
      <w:r w:rsidR="00010572">
        <w:t>subcutaneous (</w:t>
      </w:r>
      <w:r w:rsidRPr="004D65C1">
        <w:t>SC</w:t>
      </w:r>
      <w:r w:rsidR="00010572">
        <w:t>)</w:t>
      </w:r>
      <w:r w:rsidRPr="004D65C1">
        <w:t xml:space="preserve"> route in mice and monkeys.</w:t>
      </w:r>
    </w:p>
    <w:p w14:paraId="68E96166" w14:textId="77777777" w:rsidR="004D65C1" w:rsidRPr="004D65C1" w:rsidRDefault="004D65C1" w:rsidP="004D65C1">
      <w:r w:rsidRPr="004D65C1">
        <w:t>Key repeat-dose toxicity studies using the clinical route (SC) were conducted in mice (up to 26 weeks) and cynomolgus monkeys (up to 39 weeks). Target organs for toxicity were associated with areas of high uptake and distribution of drug. These included the liver (target organ), the kidneys (elimination), the injection site – site of administration, and the lymph nodes. The effects were non-adverse, showing reversal during recovery phase. Thrombocytopenia was seen in monkeys at high relative doses.</w:t>
      </w:r>
    </w:p>
    <w:p w14:paraId="5C4A70D3" w14:textId="77777777" w:rsidR="004D65C1" w:rsidRPr="004D65C1" w:rsidRDefault="004D65C1" w:rsidP="004D65C1">
      <w:r w:rsidRPr="004D65C1">
        <w:t xml:space="preserve">Eplontersen was not mutagenic in the bacterial mutation assay or clastogenic </w:t>
      </w:r>
      <w:r w:rsidRPr="004D65C1">
        <w:rPr>
          <w:i/>
          <w:iCs/>
        </w:rPr>
        <w:t xml:space="preserve">in vitro </w:t>
      </w:r>
      <w:r w:rsidRPr="004D65C1">
        <w:t xml:space="preserve">(in Chinese hamster lung cells) or </w:t>
      </w:r>
      <w:r w:rsidRPr="004D65C1">
        <w:rPr>
          <w:i/>
          <w:iCs/>
        </w:rPr>
        <w:t>in vivo</w:t>
      </w:r>
      <w:r w:rsidRPr="004D65C1">
        <w:t xml:space="preserve"> (in the mouse micronucleus test). No treatment related increase in tumour incidence was observed in a mouse carcinogenicity study with eplontersen. In a 2-year rat carcinogenicity study with a related oligonucleotide, there were no systemic tumours related to treatment. Tumours at the injection site were considered of low relevance to the clinical situation.</w:t>
      </w:r>
    </w:p>
    <w:p w14:paraId="2ED748A3" w14:textId="77777777" w:rsidR="004D65C1" w:rsidRPr="004D65C1" w:rsidRDefault="004D65C1" w:rsidP="004D65C1">
      <w:r w:rsidRPr="004D65C1">
        <w:t xml:space="preserve">No adverse effects on fertility, embryofetal development or pre/postnatal development were seen in animal studies with eplontersen, a mouse surrogate (in mice) or a non-GalNAc-conjugated oligonucleotide with the same pharmacological target. However, the negative embryofetal development findings should be considered with caution, given the important roles of thyroid hormones and vitamin A in fertility and embryofetal development. </w:t>
      </w:r>
      <w:r w:rsidRPr="00182D59">
        <w:t>A pregnancy category D is warranted given the potential adverse embryofetal development effects associated with an imbalance in vitamin A levels that may occur with eplontersen treatment.</w:t>
      </w:r>
      <w:r w:rsidRPr="004D65C1">
        <w:t xml:space="preserve"> </w:t>
      </w:r>
    </w:p>
    <w:p w14:paraId="140A63F8" w14:textId="77777777" w:rsidR="004D65C1" w:rsidRPr="004D65C1" w:rsidRDefault="004D65C1" w:rsidP="004D65C1">
      <w:r w:rsidRPr="004D65C1">
        <w:t xml:space="preserve">Injection site reactions to eplontersen in mice and monkeys included minimal/slight mononuclear or mixed inflammatory cell infiltrates with vacuolated macrophages. </w:t>
      </w:r>
    </w:p>
    <w:p w14:paraId="6DA9D0E5" w14:textId="77777777" w:rsidR="004D65C1" w:rsidRPr="004D65C1" w:rsidRDefault="004D65C1" w:rsidP="004D65C1">
      <w:r w:rsidRPr="004D65C1">
        <w:t>No adverse effects on immune function were seen in mice or monkeys.</w:t>
      </w:r>
    </w:p>
    <w:p w14:paraId="298FF8F1" w14:textId="77777777" w:rsidR="004D65C1" w:rsidRPr="004D65C1" w:rsidRDefault="004D65C1" w:rsidP="004D65C1">
      <w:r w:rsidRPr="004D65C1">
        <w:t xml:space="preserve">The primary pharmacology studies lend some support for the proposed indication. </w:t>
      </w:r>
    </w:p>
    <w:p w14:paraId="134DF864" w14:textId="77777777" w:rsidR="004D65C1" w:rsidRPr="004D65C1" w:rsidRDefault="004D65C1" w:rsidP="004D65C1">
      <w:r w:rsidRPr="004D65C1">
        <w:t>Eplontersen was well-tolerated in the repeat-dose toxicity studies, with minor treatment-related findings observed that are related to the class effects of the drug. Thrombocytopaenia seen at high doses in animals is considered of low concern for patients.</w:t>
      </w:r>
    </w:p>
    <w:p w14:paraId="0513897A" w14:textId="50A679F5" w:rsidR="004D65C1" w:rsidRPr="004D65C1" w:rsidRDefault="004D65C1" w:rsidP="004D65C1">
      <w:r w:rsidRPr="004D65C1">
        <w:t>There are no nonclinical objections to the registration of eplontersen for the proposed indication.</w:t>
      </w:r>
    </w:p>
    <w:p w14:paraId="35B580A5" w14:textId="40B226DC" w:rsidR="00C22214" w:rsidRDefault="00C22214" w:rsidP="008804CF">
      <w:pPr>
        <w:pStyle w:val="Heading3"/>
      </w:pPr>
      <w:bookmarkStart w:id="40" w:name="_Toc247691530"/>
      <w:bookmarkStart w:id="41" w:name="_Toc314842513"/>
      <w:bookmarkStart w:id="42" w:name="_Toc103679297"/>
      <w:bookmarkStart w:id="43" w:name="_Toc242958200"/>
      <w:r>
        <w:t>Clinical</w:t>
      </w:r>
      <w:bookmarkEnd w:id="40"/>
      <w:bookmarkEnd w:id="41"/>
      <w:bookmarkEnd w:id="42"/>
      <w:r w:rsidR="00095C6A">
        <w:t xml:space="preserve"> evaluation summary</w:t>
      </w:r>
      <w:bookmarkEnd w:id="43"/>
    </w:p>
    <w:p w14:paraId="630A1D84" w14:textId="0B5F1EE8" w:rsidR="00B15A05" w:rsidRDefault="00B15A05" w:rsidP="00B15A05">
      <w:pPr>
        <w:pStyle w:val="Heading4"/>
      </w:pPr>
      <w:bookmarkStart w:id="44" w:name="_Toc242958201"/>
      <w:r>
        <w:t>Pharmacology</w:t>
      </w:r>
      <w:bookmarkEnd w:id="44"/>
    </w:p>
    <w:p w14:paraId="7105D5F1" w14:textId="012FC68E" w:rsidR="00B15A05" w:rsidRPr="00B15A05" w:rsidRDefault="00B15A05" w:rsidP="00B15A05">
      <w:pPr>
        <w:pStyle w:val="Heading5"/>
      </w:pPr>
      <w:r w:rsidRPr="00B15A05">
        <w:t xml:space="preserve">Pharmacokinetics </w:t>
      </w:r>
    </w:p>
    <w:p w14:paraId="07ED75D7" w14:textId="6EF55958" w:rsidR="00B15A05" w:rsidRPr="00B15A05" w:rsidRDefault="00B15A05" w:rsidP="00B15A05">
      <w:r w:rsidRPr="00B15A05">
        <w:t xml:space="preserve">Evaluable </w:t>
      </w:r>
      <w:r>
        <w:t>pharmacokinetic (</w:t>
      </w:r>
      <w:r w:rsidRPr="00B15A05">
        <w:t>PK</w:t>
      </w:r>
      <w:r w:rsidR="00010572">
        <w:t>)</w:t>
      </w:r>
      <w:r w:rsidRPr="00B15A05">
        <w:t xml:space="preserve"> data was provided in 4 clinical studies, a population PK </w:t>
      </w:r>
      <w:r w:rsidR="00010572">
        <w:t>(</w:t>
      </w:r>
      <w:proofErr w:type="spellStart"/>
      <w:r w:rsidR="00010572">
        <w:t>popPK</w:t>
      </w:r>
      <w:proofErr w:type="spellEnd"/>
      <w:r w:rsidR="00010572">
        <w:t xml:space="preserve">) </w:t>
      </w:r>
      <w:r w:rsidRPr="00B15A05">
        <w:t>report, and a PK/</w:t>
      </w:r>
      <w:r>
        <w:t>pharmacodynamics (</w:t>
      </w:r>
      <w:r w:rsidRPr="00B15A05">
        <w:t>PD</w:t>
      </w:r>
      <w:r>
        <w:t>)</w:t>
      </w:r>
      <w:r w:rsidRPr="00B15A05">
        <w:t xml:space="preserve"> report. Each study is briefly summarised below:</w:t>
      </w:r>
    </w:p>
    <w:p w14:paraId="3BCE732D" w14:textId="77777777" w:rsidR="00B15A05" w:rsidRPr="00B15A05" w:rsidRDefault="00B15A05" w:rsidP="00B15A05">
      <w:pPr>
        <w:pStyle w:val="ListBullet"/>
      </w:pPr>
      <w:r w:rsidRPr="00B15A05">
        <w:t>Study CS1, a phase 1, double-blind, placebo-controlled, single- and multiple-dose study evaluating safety, tolerability and PK of single and multiple doses of eplontersen:</w:t>
      </w:r>
    </w:p>
    <w:p w14:paraId="7A25566B" w14:textId="77777777" w:rsidR="00B15A05" w:rsidRPr="00B15A05" w:rsidRDefault="00B15A05" w:rsidP="00B15A05">
      <w:pPr>
        <w:pStyle w:val="ListBullet2"/>
      </w:pPr>
      <w:r w:rsidRPr="00B15A05">
        <w:t xml:space="preserve">30 healthy volunteers receiving multiple doses (45 mg, 60 mg, and 90mg Q4W for 12 weeks), and 9 receiving single 120 mg dose. </w:t>
      </w:r>
    </w:p>
    <w:p w14:paraId="0571353F" w14:textId="77777777" w:rsidR="00B15A05" w:rsidRPr="00B15A05" w:rsidRDefault="00B15A05" w:rsidP="00B15A05">
      <w:pPr>
        <w:pStyle w:val="ListBullet"/>
      </w:pPr>
      <w:r w:rsidRPr="00B15A05">
        <w:lastRenderedPageBreak/>
        <w:t>Study CS20, a phase 1, double-blind, randomised, placebo-controlled, single-dose escalation of eplontersen to evaluate safety, tolerability, PK, and PD of single doses:</w:t>
      </w:r>
    </w:p>
    <w:p w14:paraId="6314546D" w14:textId="77777777" w:rsidR="00B15A05" w:rsidRPr="00B15A05" w:rsidRDefault="00B15A05" w:rsidP="00B15A05">
      <w:pPr>
        <w:pStyle w:val="ListBullet2"/>
      </w:pPr>
      <w:r w:rsidRPr="00B15A05">
        <w:t xml:space="preserve">18 healthy volunteers of Japanese descent, dose escalation 45 mg, 60 mg, 90 mg. </w:t>
      </w:r>
    </w:p>
    <w:p w14:paraId="1DF7CFB0" w14:textId="77777777" w:rsidR="00B15A05" w:rsidRPr="00B15A05" w:rsidRDefault="00B15A05" w:rsidP="00B15A05">
      <w:pPr>
        <w:pStyle w:val="ListBullet"/>
      </w:pPr>
      <w:r w:rsidRPr="00B15A05">
        <w:t>Study CS21, a phase 1, randomised, open-label, single dose, 3-period, crossover study to assess bioequivalence of 45 mg eplontersen from 3 different drug product presentations:</w:t>
      </w:r>
    </w:p>
    <w:p w14:paraId="46E7509A" w14:textId="77777777" w:rsidR="00B15A05" w:rsidRPr="00B15A05" w:rsidRDefault="00B15A05" w:rsidP="00B15A05">
      <w:pPr>
        <w:pStyle w:val="ListBullet2"/>
      </w:pPr>
      <w:r w:rsidRPr="00B15A05">
        <w:t xml:space="preserve">57 healthy volunteers, presentations including pre-filled syringe (N= 48), autoinjector (N= 51), and vial and syringe (N= 50), 45 mg dose, with 4-week washout between doses. </w:t>
      </w:r>
    </w:p>
    <w:p w14:paraId="330C1098" w14:textId="77777777" w:rsidR="00B15A05" w:rsidRPr="00B15A05" w:rsidRDefault="00B15A05" w:rsidP="00B15A05">
      <w:pPr>
        <w:pStyle w:val="ListBullet"/>
      </w:pPr>
      <w:r w:rsidRPr="00B15A05">
        <w:t>CS3, a phase 3, global, randomised, open-label study to evaluate efficacy and safety of eplontersen in subjects with ATTRv associated peripheral neuropathy (ATTRv-PN), and to evaluate trough and post-treatment concentrations, and PK parameters in a subset of participants:</w:t>
      </w:r>
    </w:p>
    <w:p w14:paraId="70E5593A" w14:textId="77777777" w:rsidR="00B15A05" w:rsidRPr="00B15A05" w:rsidRDefault="00B15A05" w:rsidP="00B15A05">
      <w:pPr>
        <w:pStyle w:val="ListBullet2"/>
      </w:pPr>
      <w:r w:rsidRPr="00B15A05">
        <w:t xml:space="preserve">144 in eplontersen treatment arm, and 28 in PK subgroup, receiving eplontersen 45 mg Q4W for 84 weeks. </w:t>
      </w:r>
    </w:p>
    <w:p w14:paraId="299D0740" w14:textId="77777777" w:rsidR="00B15A05" w:rsidRPr="00B15A05" w:rsidRDefault="00B15A05" w:rsidP="00B15A05">
      <w:pPr>
        <w:pStyle w:val="ListBullet"/>
      </w:pPr>
      <w:r w:rsidRPr="00B15A05">
        <w:t xml:space="preserve">Population PK report incorporating data from studies CS1, CS20, CS21, and CS3, comprising 5,525 observations from 230 participants. </w:t>
      </w:r>
    </w:p>
    <w:p w14:paraId="082BDB6D" w14:textId="77777777" w:rsidR="00B15A05" w:rsidRPr="00B15A05" w:rsidRDefault="00B15A05" w:rsidP="00B15A05">
      <w:pPr>
        <w:pStyle w:val="ListBullet"/>
      </w:pPr>
      <w:r w:rsidRPr="00B15A05">
        <w:t xml:space="preserve">Population PK/PD report, including data from studies CS1, CS20, CS21 and CS3, comprising 2,722 observations from 258 participants. </w:t>
      </w:r>
    </w:p>
    <w:p w14:paraId="71B71D9A" w14:textId="77777777" w:rsidR="00B15A05" w:rsidRPr="00B15A05" w:rsidRDefault="00B15A05" w:rsidP="00B15A05">
      <w:r w:rsidRPr="00B15A05">
        <w:t>Based on population estimates following SC administration, eplontersen is rapidly absorbed into the systemic circulation, with peak plasma levels reached approximately 2 hours post-dose. After reaching maximum observed eplontersen concentration in plasma (</w:t>
      </w:r>
      <w:proofErr w:type="spellStart"/>
      <w:r w:rsidRPr="00B15A05">
        <w:t>C</w:t>
      </w:r>
      <w:r w:rsidRPr="00B15A05">
        <w:rPr>
          <w:vertAlign w:val="subscript"/>
        </w:rPr>
        <w:t>max</w:t>
      </w:r>
      <w:proofErr w:type="spellEnd"/>
      <w:r w:rsidRPr="00B15A05">
        <w:t xml:space="preserve">), plasma concentrations of eplontersen decline in a biphasic fashion with an initial, relatively fast disposition phase that dominates the plasma clearance followed by a much slower elimination phase. Plasma </w:t>
      </w:r>
      <w:proofErr w:type="spellStart"/>
      <w:r w:rsidRPr="00B15A05">
        <w:t>C</w:t>
      </w:r>
      <w:r w:rsidRPr="00B15A05">
        <w:rPr>
          <w:vertAlign w:val="subscript"/>
        </w:rPr>
        <w:t>max</w:t>
      </w:r>
      <w:proofErr w:type="spellEnd"/>
      <w:r w:rsidRPr="00B15A05">
        <w:t xml:space="preserve"> and area under the plasma concentration-time curve (AUC) increased slightly greater than dose proportionally over a dose range of 45 to 120 mg of eplontersen. Geometric mean eplontersen plasma concentrations decreased &gt; 95% from the </w:t>
      </w:r>
      <w:proofErr w:type="spellStart"/>
      <w:r w:rsidRPr="00B15A05">
        <w:t>C</w:t>
      </w:r>
      <w:r w:rsidRPr="00B15A05">
        <w:rPr>
          <w:vertAlign w:val="subscript"/>
        </w:rPr>
        <w:t>max</w:t>
      </w:r>
      <w:proofErr w:type="spellEnd"/>
      <w:r w:rsidRPr="00B15A05">
        <w:t xml:space="preserve"> at 24 hours following SC injections. The apparent terminal elimination half-life ranged from 3 to 4 weeks over a dose range of 45 to 120 mg and appeared to be independent of dose. Steady state is reached after approximately 17 weeks.</w:t>
      </w:r>
    </w:p>
    <w:p w14:paraId="18F787A5" w14:textId="77777777" w:rsidR="00B15A05" w:rsidRPr="00B15A05" w:rsidRDefault="00B15A05" w:rsidP="00B15A05">
      <w:r w:rsidRPr="00B15A05">
        <w:t xml:space="preserve">No accumulation in </w:t>
      </w:r>
      <w:proofErr w:type="spellStart"/>
      <w:r w:rsidRPr="00B15A05">
        <w:t>C</w:t>
      </w:r>
      <w:r w:rsidRPr="00B15A05">
        <w:rPr>
          <w:vertAlign w:val="subscript"/>
        </w:rPr>
        <w:t>max</w:t>
      </w:r>
      <w:proofErr w:type="spellEnd"/>
      <w:r w:rsidRPr="00B15A05">
        <w:rPr>
          <w:vertAlign w:val="subscript"/>
        </w:rPr>
        <w:t xml:space="preserve"> </w:t>
      </w:r>
      <w:r w:rsidRPr="00B15A05">
        <w:t>or AUC was observed after repeated SC administrations once every 4 weeks (Q4W), consistent with the low observed trough of eplontersen concentration in plasma (</w:t>
      </w:r>
      <w:proofErr w:type="spellStart"/>
      <w:r w:rsidRPr="00B15A05">
        <w:t>C</w:t>
      </w:r>
      <w:r w:rsidRPr="00B15A05">
        <w:rPr>
          <w:vertAlign w:val="subscript"/>
        </w:rPr>
        <w:t>trough</w:t>
      </w:r>
      <w:proofErr w:type="spellEnd"/>
      <w:r w:rsidRPr="00B15A05">
        <w:t xml:space="preserve">) in relation to the </w:t>
      </w:r>
      <w:proofErr w:type="spellStart"/>
      <w:r w:rsidRPr="00B15A05">
        <w:t>C</w:t>
      </w:r>
      <w:r w:rsidRPr="00B15A05">
        <w:rPr>
          <w:vertAlign w:val="subscript"/>
        </w:rPr>
        <w:t>max</w:t>
      </w:r>
      <w:proofErr w:type="spellEnd"/>
      <w:r w:rsidRPr="00B15A05">
        <w:t xml:space="preserve"> and time invariant plasma kinetics. </w:t>
      </w:r>
      <w:proofErr w:type="spellStart"/>
      <w:r w:rsidRPr="00B15A05">
        <w:t>C</w:t>
      </w:r>
      <w:r w:rsidRPr="00B15A05">
        <w:rPr>
          <w:vertAlign w:val="subscript"/>
        </w:rPr>
        <w:t>trough</w:t>
      </w:r>
      <w:proofErr w:type="spellEnd"/>
      <w:r w:rsidRPr="00B15A05">
        <w:t xml:space="preserve"> levels were &lt; 0.2% of </w:t>
      </w:r>
      <w:proofErr w:type="spellStart"/>
      <w:r w:rsidRPr="00B15A05">
        <w:t>C</w:t>
      </w:r>
      <w:r w:rsidRPr="00B15A05">
        <w:rPr>
          <w:vertAlign w:val="subscript"/>
        </w:rPr>
        <w:t>max</w:t>
      </w:r>
      <w:proofErr w:type="spellEnd"/>
      <w:r w:rsidRPr="00B15A05">
        <w:t xml:space="preserve"> after multiple SC administrations of 45 mg eplontersen Q4W. However, accumulation in </w:t>
      </w:r>
      <w:proofErr w:type="spellStart"/>
      <w:r w:rsidRPr="00B15A05">
        <w:t>C</w:t>
      </w:r>
      <w:r w:rsidRPr="00B15A05">
        <w:rPr>
          <w:vertAlign w:val="subscript"/>
        </w:rPr>
        <w:t>trough</w:t>
      </w:r>
      <w:proofErr w:type="spellEnd"/>
      <w:r w:rsidRPr="00B15A05">
        <w:t xml:space="preserve"> levels was observed, reflective of drug accumulation in tissues. Interparticipant variability in eplontersen pharmacokinetic parameters was moderate in healthy volunteers (percent coefficient of variation (%CV) 24.1–76.7%) and higher in participants with ATTRv-PN (up to 109%).</w:t>
      </w:r>
    </w:p>
    <w:p w14:paraId="2E042B82" w14:textId="4172EFD1" w:rsidR="00B15A05" w:rsidRDefault="00B15A05" w:rsidP="00B15A05">
      <w:r w:rsidRPr="00B15A05">
        <w:t xml:space="preserve">Table </w:t>
      </w:r>
      <w:r>
        <w:t>5</w:t>
      </w:r>
      <w:r w:rsidRPr="00B15A05">
        <w:t xml:space="preserve"> summarises key PK parameters for eplontersen across the phase 1 studies conducted in healthy volunteers, and the phase 3 study CS3 conducted in patients with ATTRv-PN, at the </w:t>
      </w:r>
      <w:r>
        <w:br/>
      </w:r>
      <w:r w:rsidRPr="00B15A05">
        <w:t>45 mg Q4W dosing which is sought in this application</w:t>
      </w:r>
      <w:r>
        <w:t xml:space="preserve">. </w:t>
      </w:r>
    </w:p>
    <w:p w14:paraId="4BA48718" w14:textId="0BDAC126" w:rsidR="00B15A05" w:rsidRDefault="00B15A05" w:rsidP="00B15A05">
      <w:pPr>
        <w:pStyle w:val="TableTitle"/>
      </w:pPr>
      <w:r w:rsidRPr="00B15A05">
        <w:lastRenderedPageBreak/>
        <w:t xml:space="preserve">Table </w:t>
      </w:r>
      <w:r>
        <w:t>5</w:t>
      </w:r>
      <w:r w:rsidRPr="00B15A05">
        <w:t>. Summary of eplontersen pharmacokinetic parameters, 45 mg 4 weekly dosing.</w:t>
      </w:r>
    </w:p>
    <w:tbl>
      <w:tblPr>
        <w:tblW w:w="0" w:type="auto"/>
        <w:tblBorders>
          <w:top w:val="single" w:sz="4" w:space="0" w:color="263287"/>
          <w:left w:val="single" w:sz="4" w:space="0" w:color="263287"/>
          <w:bottom w:val="single" w:sz="4" w:space="0" w:color="263287"/>
          <w:right w:val="single" w:sz="4" w:space="0" w:color="263287"/>
          <w:insideH w:val="single" w:sz="4" w:space="0" w:color="263287"/>
          <w:insideV w:val="single" w:sz="4" w:space="0" w:color="263287"/>
        </w:tblBorders>
        <w:tblCellMar>
          <w:top w:w="15" w:type="dxa"/>
          <w:left w:w="15" w:type="dxa"/>
          <w:bottom w:w="15" w:type="dxa"/>
          <w:right w:w="15" w:type="dxa"/>
        </w:tblCellMar>
        <w:tblLook w:val="04A0" w:firstRow="1" w:lastRow="0" w:firstColumn="1" w:lastColumn="0" w:noHBand="0" w:noVBand="1"/>
        <w:tblCaption w:val="Table 5. Summary of eplontersen pharmacokinetic parameters, 45 mg 4 weekly dosing."/>
      </w:tblPr>
      <w:tblGrid>
        <w:gridCol w:w="1466"/>
        <w:gridCol w:w="983"/>
        <w:gridCol w:w="274"/>
        <w:gridCol w:w="835"/>
        <w:gridCol w:w="848"/>
        <w:gridCol w:w="956"/>
        <w:gridCol w:w="1205"/>
        <w:gridCol w:w="1040"/>
        <w:gridCol w:w="743"/>
        <w:gridCol w:w="710"/>
      </w:tblGrid>
      <w:tr w:rsidR="00B15A05" w:rsidRPr="00B15A05" w14:paraId="378BCA1B" w14:textId="77777777" w:rsidTr="00B15A05">
        <w:trPr>
          <w:tblHeader/>
        </w:trPr>
        <w:tc>
          <w:tcPr>
            <w:tcW w:w="0" w:type="auto"/>
            <w:vMerge w:val="restart"/>
            <w:shd w:val="clear" w:color="auto" w:fill="DEEAF6"/>
            <w:vAlign w:val="center"/>
          </w:tcPr>
          <w:p w14:paraId="52EB4774" w14:textId="1E103AEF" w:rsidR="00B15A05" w:rsidRPr="00B15A05" w:rsidRDefault="00B15A05" w:rsidP="00B15A05">
            <w:pPr>
              <w:spacing w:after="0" w:line="240" w:lineRule="auto"/>
              <w:jc w:val="center"/>
              <w:rPr>
                <w:rFonts w:eastAsia="Times New Roman" w:cs="Times New Roman"/>
                <w:b/>
                <w:bCs/>
                <w:color w:val="263287"/>
                <w:szCs w:val="22"/>
                <w:lang w:eastAsia="en-AU"/>
              </w:rPr>
            </w:pPr>
            <w:r w:rsidRPr="00B15A05">
              <w:rPr>
                <w:rFonts w:eastAsia="Times New Roman" w:cs="Times New Roman"/>
                <w:b/>
                <w:bCs/>
                <w:color w:val="263287"/>
                <w:szCs w:val="22"/>
                <w:lang w:eastAsia="en-AU"/>
              </w:rPr>
              <w:t>Study Type</w:t>
            </w:r>
          </w:p>
        </w:tc>
        <w:tc>
          <w:tcPr>
            <w:tcW w:w="0" w:type="auto"/>
            <w:vMerge w:val="restart"/>
            <w:shd w:val="clear" w:color="auto" w:fill="DEEAF6"/>
            <w:vAlign w:val="center"/>
          </w:tcPr>
          <w:p w14:paraId="272105DC" w14:textId="5DE6B00B" w:rsidR="00B15A05" w:rsidRPr="00B15A05" w:rsidRDefault="00B15A05" w:rsidP="00B15A05">
            <w:pPr>
              <w:spacing w:after="0" w:line="240" w:lineRule="auto"/>
              <w:jc w:val="center"/>
              <w:rPr>
                <w:rFonts w:eastAsia="Times New Roman" w:cs="Times New Roman"/>
                <w:b/>
                <w:bCs/>
                <w:color w:val="263287"/>
                <w:szCs w:val="22"/>
                <w:lang w:eastAsia="en-AU"/>
              </w:rPr>
            </w:pPr>
            <w:r w:rsidRPr="00B15A05">
              <w:rPr>
                <w:rFonts w:eastAsia="Times New Roman" w:cs="Times New Roman"/>
                <w:b/>
                <w:bCs/>
                <w:color w:val="263287"/>
                <w:szCs w:val="22"/>
                <w:lang w:eastAsia="en-AU"/>
              </w:rPr>
              <w:t>Study Code</w:t>
            </w:r>
          </w:p>
        </w:tc>
        <w:tc>
          <w:tcPr>
            <w:tcW w:w="0" w:type="auto"/>
            <w:vMerge w:val="restart"/>
            <w:shd w:val="clear" w:color="auto" w:fill="DEEAF6"/>
            <w:vAlign w:val="center"/>
          </w:tcPr>
          <w:p w14:paraId="38EA7ECC" w14:textId="2971B935" w:rsidR="00B15A05" w:rsidRPr="00B15A05" w:rsidRDefault="00B15A05" w:rsidP="00B15A05">
            <w:pPr>
              <w:spacing w:after="0" w:line="240" w:lineRule="auto"/>
              <w:jc w:val="center"/>
              <w:rPr>
                <w:rFonts w:eastAsia="Times New Roman" w:cs="Times New Roman"/>
                <w:b/>
                <w:bCs/>
                <w:color w:val="263287"/>
                <w:szCs w:val="22"/>
                <w:lang w:eastAsia="en-AU"/>
              </w:rPr>
            </w:pPr>
            <w:r w:rsidRPr="00B15A05">
              <w:rPr>
                <w:rFonts w:eastAsia="Times New Roman" w:cs="Times New Roman"/>
                <w:b/>
                <w:bCs/>
                <w:color w:val="263287"/>
                <w:szCs w:val="22"/>
                <w:lang w:eastAsia="en-AU"/>
              </w:rPr>
              <w:t>N</w:t>
            </w:r>
          </w:p>
        </w:tc>
        <w:tc>
          <w:tcPr>
            <w:tcW w:w="0" w:type="auto"/>
            <w:vMerge w:val="restart"/>
            <w:shd w:val="clear" w:color="auto" w:fill="DEEAF6"/>
            <w:vAlign w:val="center"/>
          </w:tcPr>
          <w:p w14:paraId="170F2297" w14:textId="31D764AB" w:rsidR="00B15A05" w:rsidRPr="00B15A05" w:rsidRDefault="00B15A05" w:rsidP="00B15A05">
            <w:pPr>
              <w:spacing w:after="0" w:line="240" w:lineRule="auto"/>
              <w:jc w:val="center"/>
              <w:rPr>
                <w:rFonts w:eastAsia="Times New Roman" w:cs="Times New Roman"/>
                <w:b/>
                <w:bCs/>
                <w:color w:val="263287"/>
                <w:szCs w:val="22"/>
                <w:lang w:eastAsia="en-AU"/>
              </w:rPr>
            </w:pPr>
            <w:r w:rsidRPr="00B15A05">
              <w:rPr>
                <w:rFonts w:eastAsia="Times New Roman" w:cs="Times New Roman"/>
                <w:b/>
                <w:bCs/>
                <w:color w:val="263287"/>
                <w:szCs w:val="22"/>
                <w:lang w:eastAsia="en-AU"/>
              </w:rPr>
              <w:t>Dosing Day</w:t>
            </w:r>
          </w:p>
        </w:tc>
        <w:tc>
          <w:tcPr>
            <w:tcW w:w="0" w:type="auto"/>
            <w:gridSpan w:val="6"/>
            <w:shd w:val="clear" w:color="auto" w:fill="DEEAF6"/>
            <w:vAlign w:val="center"/>
          </w:tcPr>
          <w:p w14:paraId="4C857950" w14:textId="71889CA4" w:rsidR="00B15A05" w:rsidRPr="00B15A05" w:rsidRDefault="00B15A05" w:rsidP="00B15A05">
            <w:pPr>
              <w:spacing w:after="0" w:line="240" w:lineRule="auto"/>
              <w:jc w:val="center"/>
              <w:rPr>
                <w:rFonts w:eastAsia="Times New Roman" w:cs="Times New Roman"/>
                <w:b/>
                <w:bCs/>
                <w:color w:val="263287"/>
                <w:szCs w:val="22"/>
                <w:lang w:eastAsia="en-AU"/>
              </w:rPr>
            </w:pPr>
            <w:r>
              <w:rPr>
                <w:rFonts w:eastAsia="Times New Roman" w:cs="Times New Roman"/>
                <w:b/>
                <w:bCs/>
                <w:color w:val="263287"/>
                <w:szCs w:val="22"/>
                <w:lang w:eastAsia="en-AU"/>
              </w:rPr>
              <w:t>PK parameter</w:t>
            </w:r>
          </w:p>
        </w:tc>
      </w:tr>
      <w:tr w:rsidR="00B15A05" w:rsidRPr="00B15A05" w14:paraId="46DD921C" w14:textId="77777777" w:rsidTr="00B15A05">
        <w:trPr>
          <w:tblHeader/>
        </w:trPr>
        <w:tc>
          <w:tcPr>
            <w:tcW w:w="0" w:type="auto"/>
            <w:vMerge/>
            <w:shd w:val="clear" w:color="auto" w:fill="DEEAF6"/>
            <w:vAlign w:val="center"/>
            <w:hideMark/>
          </w:tcPr>
          <w:p w14:paraId="5A7BEB87" w14:textId="75461E95" w:rsidR="00B15A05" w:rsidRPr="00B15A05" w:rsidRDefault="00B15A05" w:rsidP="00B15A05">
            <w:pPr>
              <w:spacing w:after="0" w:line="240" w:lineRule="auto"/>
              <w:jc w:val="center"/>
              <w:rPr>
                <w:rFonts w:eastAsia="Times New Roman" w:cs="Times New Roman"/>
                <w:b/>
                <w:bCs/>
                <w:color w:val="263287"/>
                <w:szCs w:val="22"/>
                <w:lang w:eastAsia="en-AU"/>
              </w:rPr>
            </w:pPr>
          </w:p>
        </w:tc>
        <w:tc>
          <w:tcPr>
            <w:tcW w:w="0" w:type="auto"/>
            <w:vMerge/>
            <w:shd w:val="clear" w:color="auto" w:fill="DEEAF6"/>
            <w:vAlign w:val="center"/>
            <w:hideMark/>
          </w:tcPr>
          <w:p w14:paraId="5F078770" w14:textId="2EDFE1D0" w:rsidR="00B15A05" w:rsidRPr="00B15A05" w:rsidRDefault="00B15A05" w:rsidP="00B15A05">
            <w:pPr>
              <w:spacing w:after="0" w:line="240" w:lineRule="auto"/>
              <w:jc w:val="center"/>
              <w:rPr>
                <w:rFonts w:eastAsia="Times New Roman" w:cs="Times New Roman"/>
                <w:b/>
                <w:bCs/>
                <w:color w:val="263287"/>
                <w:szCs w:val="22"/>
                <w:lang w:eastAsia="en-AU"/>
              </w:rPr>
            </w:pPr>
          </w:p>
        </w:tc>
        <w:tc>
          <w:tcPr>
            <w:tcW w:w="0" w:type="auto"/>
            <w:vMerge/>
            <w:shd w:val="clear" w:color="auto" w:fill="DEEAF6"/>
            <w:vAlign w:val="center"/>
            <w:hideMark/>
          </w:tcPr>
          <w:p w14:paraId="3EE3B505" w14:textId="28B456C6" w:rsidR="00B15A05" w:rsidRPr="00B15A05" w:rsidRDefault="00B15A05" w:rsidP="00B15A05">
            <w:pPr>
              <w:spacing w:after="0" w:line="240" w:lineRule="auto"/>
              <w:jc w:val="center"/>
              <w:rPr>
                <w:rFonts w:eastAsia="Times New Roman" w:cs="Times New Roman"/>
                <w:b/>
                <w:bCs/>
                <w:color w:val="263287"/>
                <w:szCs w:val="22"/>
                <w:lang w:eastAsia="en-AU"/>
              </w:rPr>
            </w:pPr>
          </w:p>
        </w:tc>
        <w:tc>
          <w:tcPr>
            <w:tcW w:w="0" w:type="auto"/>
            <w:vMerge/>
            <w:shd w:val="clear" w:color="auto" w:fill="DEEAF6"/>
            <w:vAlign w:val="center"/>
            <w:hideMark/>
          </w:tcPr>
          <w:p w14:paraId="40A458C8" w14:textId="4863A5AB" w:rsidR="00B15A05" w:rsidRPr="00B15A05" w:rsidRDefault="00B15A05" w:rsidP="00B15A05">
            <w:pPr>
              <w:spacing w:after="0" w:line="240" w:lineRule="auto"/>
              <w:jc w:val="center"/>
              <w:rPr>
                <w:rFonts w:eastAsia="Times New Roman" w:cs="Times New Roman"/>
                <w:b/>
                <w:bCs/>
                <w:color w:val="263287"/>
                <w:szCs w:val="22"/>
                <w:lang w:eastAsia="en-AU"/>
              </w:rPr>
            </w:pPr>
          </w:p>
        </w:tc>
        <w:tc>
          <w:tcPr>
            <w:tcW w:w="0" w:type="auto"/>
            <w:shd w:val="clear" w:color="auto" w:fill="DEEAF6"/>
            <w:vAlign w:val="center"/>
            <w:hideMark/>
          </w:tcPr>
          <w:p w14:paraId="7BEED3EF" w14:textId="77777777" w:rsidR="00B15A05" w:rsidRPr="00B15A05" w:rsidRDefault="00B15A05" w:rsidP="00B15A05">
            <w:pPr>
              <w:spacing w:after="0" w:line="240" w:lineRule="auto"/>
              <w:jc w:val="center"/>
              <w:rPr>
                <w:rFonts w:eastAsia="Times New Roman" w:cs="Times New Roman"/>
                <w:b/>
                <w:bCs/>
                <w:color w:val="263287"/>
                <w:szCs w:val="22"/>
                <w:lang w:eastAsia="en-AU"/>
              </w:rPr>
            </w:pPr>
            <w:proofErr w:type="spellStart"/>
            <w:r w:rsidRPr="00B15A05">
              <w:rPr>
                <w:rFonts w:eastAsia="Times New Roman" w:cs="Times New Roman"/>
                <w:b/>
                <w:bCs/>
                <w:color w:val="263287"/>
                <w:szCs w:val="22"/>
                <w:lang w:eastAsia="en-AU"/>
              </w:rPr>
              <w:t>t</w:t>
            </w:r>
            <w:r w:rsidRPr="00B15A05">
              <w:rPr>
                <w:rFonts w:eastAsia="Times New Roman" w:cs="Times New Roman"/>
                <w:b/>
                <w:bCs/>
                <w:color w:val="263287"/>
                <w:szCs w:val="22"/>
                <w:vertAlign w:val="subscript"/>
                <w:lang w:eastAsia="en-AU"/>
              </w:rPr>
              <w:t>max</w:t>
            </w:r>
            <w:proofErr w:type="spellEnd"/>
            <w:r w:rsidRPr="00B15A05">
              <w:rPr>
                <w:rFonts w:eastAsia="Times New Roman" w:cs="Times New Roman"/>
                <w:b/>
                <w:bCs/>
                <w:color w:val="263287"/>
                <w:szCs w:val="22"/>
                <w:lang w:eastAsia="en-AU"/>
              </w:rPr>
              <w:t xml:space="preserve"> (h)</w:t>
            </w:r>
          </w:p>
        </w:tc>
        <w:tc>
          <w:tcPr>
            <w:tcW w:w="0" w:type="auto"/>
            <w:shd w:val="clear" w:color="auto" w:fill="DEEAF6"/>
            <w:vAlign w:val="center"/>
            <w:hideMark/>
          </w:tcPr>
          <w:p w14:paraId="14456B84" w14:textId="77777777" w:rsidR="00B15A05" w:rsidRPr="00B15A05" w:rsidRDefault="00B15A05" w:rsidP="00B15A05">
            <w:pPr>
              <w:spacing w:after="0" w:line="240" w:lineRule="auto"/>
              <w:jc w:val="center"/>
              <w:rPr>
                <w:rFonts w:eastAsia="Times New Roman" w:cs="Times New Roman"/>
                <w:b/>
                <w:bCs/>
                <w:color w:val="263287"/>
                <w:szCs w:val="22"/>
                <w:lang w:eastAsia="en-AU"/>
              </w:rPr>
            </w:pPr>
            <w:proofErr w:type="spellStart"/>
            <w:r w:rsidRPr="00B15A05">
              <w:rPr>
                <w:rFonts w:eastAsia="Times New Roman" w:cs="Times New Roman"/>
                <w:b/>
                <w:bCs/>
                <w:color w:val="263287"/>
                <w:szCs w:val="22"/>
                <w:lang w:eastAsia="en-AU"/>
              </w:rPr>
              <w:t>C</w:t>
            </w:r>
            <w:r w:rsidRPr="00B15A05">
              <w:rPr>
                <w:rFonts w:eastAsia="Times New Roman" w:cs="Times New Roman"/>
                <w:b/>
                <w:bCs/>
                <w:color w:val="263287"/>
                <w:szCs w:val="22"/>
                <w:vertAlign w:val="subscript"/>
                <w:lang w:eastAsia="en-AU"/>
              </w:rPr>
              <w:t>max</w:t>
            </w:r>
            <w:proofErr w:type="spellEnd"/>
            <w:r w:rsidRPr="00B15A05">
              <w:rPr>
                <w:rFonts w:eastAsia="Times New Roman" w:cs="Times New Roman"/>
                <w:b/>
                <w:bCs/>
                <w:color w:val="263287"/>
                <w:szCs w:val="22"/>
                <w:lang w:eastAsia="en-AU"/>
              </w:rPr>
              <w:t xml:space="preserve"> (µg/mL)</w:t>
            </w:r>
          </w:p>
        </w:tc>
        <w:tc>
          <w:tcPr>
            <w:tcW w:w="0" w:type="auto"/>
            <w:shd w:val="clear" w:color="auto" w:fill="DEEAF6"/>
            <w:vAlign w:val="center"/>
            <w:hideMark/>
          </w:tcPr>
          <w:p w14:paraId="463A6BD0" w14:textId="77777777" w:rsidR="00B15A05" w:rsidRPr="00B15A05" w:rsidRDefault="00B15A05" w:rsidP="00B15A05">
            <w:pPr>
              <w:spacing w:after="0" w:line="240" w:lineRule="auto"/>
              <w:jc w:val="center"/>
              <w:rPr>
                <w:rFonts w:eastAsia="Times New Roman" w:cs="Times New Roman"/>
                <w:b/>
                <w:bCs/>
                <w:color w:val="263287"/>
                <w:szCs w:val="22"/>
                <w:lang w:eastAsia="en-AU"/>
              </w:rPr>
            </w:pPr>
            <w:r w:rsidRPr="00B15A05">
              <w:rPr>
                <w:rFonts w:eastAsia="Times New Roman" w:cs="Times New Roman"/>
                <w:b/>
                <w:bCs/>
                <w:color w:val="263287"/>
                <w:szCs w:val="22"/>
                <w:lang w:eastAsia="en-AU"/>
              </w:rPr>
              <w:t>AUCᵇ (µg*h/mL)</w:t>
            </w:r>
          </w:p>
        </w:tc>
        <w:tc>
          <w:tcPr>
            <w:tcW w:w="0" w:type="auto"/>
            <w:shd w:val="clear" w:color="auto" w:fill="DEEAF6"/>
            <w:vAlign w:val="center"/>
            <w:hideMark/>
          </w:tcPr>
          <w:p w14:paraId="4A46E1A1" w14:textId="77777777" w:rsidR="00B15A05" w:rsidRPr="00B15A05" w:rsidRDefault="00B15A05" w:rsidP="00B15A05">
            <w:pPr>
              <w:spacing w:after="0" w:line="240" w:lineRule="auto"/>
              <w:jc w:val="center"/>
              <w:rPr>
                <w:rFonts w:eastAsia="Times New Roman" w:cs="Times New Roman"/>
                <w:b/>
                <w:bCs/>
                <w:color w:val="263287"/>
                <w:szCs w:val="22"/>
                <w:lang w:eastAsia="en-AU"/>
              </w:rPr>
            </w:pPr>
            <w:proofErr w:type="spellStart"/>
            <w:r w:rsidRPr="00B15A05">
              <w:rPr>
                <w:rFonts w:eastAsia="Times New Roman" w:cs="Times New Roman"/>
                <w:b/>
                <w:bCs/>
                <w:color w:val="263287"/>
                <w:szCs w:val="22"/>
                <w:lang w:eastAsia="en-AU"/>
              </w:rPr>
              <w:t>C</w:t>
            </w:r>
            <w:r w:rsidRPr="00B15A05">
              <w:rPr>
                <w:rFonts w:eastAsia="Times New Roman" w:cs="Times New Roman"/>
                <w:b/>
                <w:bCs/>
                <w:color w:val="263287"/>
                <w:szCs w:val="22"/>
                <w:vertAlign w:val="subscript"/>
                <w:lang w:eastAsia="en-AU"/>
              </w:rPr>
              <w:t>trough</w:t>
            </w:r>
            <w:proofErr w:type="spellEnd"/>
            <w:r w:rsidRPr="00B15A05">
              <w:rPr>
                <w:rFonts w:eastAsia="Times New Roman" w:cs="Times New Roman"/>
                <w:b/>
                <w:bCs/>
                <w:color w:val="263287"/>
                <w:szCs w:val="22"/>
                <w:lang w:eastAsia="en-AU"/>
              </w:rPr>
              <w:t>ᶜ (µg/mL)</w:t>
            </w:r>
          </w:p>
        </w:tc>
        <w:tc>
          <w:tcPr>
            <w:tcW w:w="0" w:type="auto"/>
            <w:shd w:val="clear" w:color="auto" w:fill="DEEAF6"/>
            <w:vAlign w:val="center"/>
            <w:hideMark/>
          </w:tcPr>
          <w:p w14:paraId="1C4AB9E1" w14:textId="77777777" w:rsidR="00B15A05" w:rsidRPr="00B15A05" w:rsidRDefault="00B15A05" w:rsidP="00B15A05">
            <w:pPr>
              <w:spacing w:after="0" w:line="240" w:lineRule="auto"/>
              <w:jc w:val="center"/>
              <w:rPr>
                <w:rFonts w:eastAsia="Times New Roman" w:cs="Times New Roman"/>
                <w:b/>
                <w:bCs/>
                <w:color w:val="263287"/>
                <w:szCs w:val="22"/>
                <w:lang w:eastAsia="en-AU"/>
              </w:rPr>
            </w:pPr>
            <w:r w:rsidRPr="00B15A05">
              <w:rPr>
                <w:rFonts w:eastAsia="Times New Roman" w:cs="Times New Roman"/>
                <w:b/>
                <w:bCs/>
                <w:color w:val="263287"/>
                <w:szCs w:val="22"/>
                <w:lang w:eastAsia="en-AU"/>
              </w:rPr>
              <w:t>t</w:t>
            </w:r>
            <w:proofErr w:type="gramStart"/>
            <w:r w:rsidRPr="00B15A05">
              <w:rPr>
                <w:rFonts w:eastAsia="Times New Roman" w:cs="Times New Roman"/>
                <w:b/>
                <w:bCs/>
                <w:color w:val="263287"/>
                <w:szCs w:val="22"/>
                <w:vertAlign w:val="subscript"/>
                <w:lang w:eastAsia="en-AU"/>
              </w:rPr>
              <w:t>½</w:t>
            </w:r>
            <w:r w:rsidRPr="00B15A05">
              <w:rPr>
                <w:rFonts w:eastAsia="Times New Roman" w:cs="Times New Roman"/>
                <w:b/>
                <w:bCs/>
                <w:color w:val="263287"/>
                <w:szCs w:val="22"/>
                <w:lang w:eastAsia="en-AU"/>
              </w:rPr>
              <w:t>,z</w:t>
            </w:r>
            <w:proofErr w:type="gramEnd"/>
            <w:r w:rsidRPr="00B15A05">
              <w:rPr>
                <w:rFonts w:eastAsia="Times New Roman" w:cs="Times New Roman"/>
                <w:b/>
                <w:bCs/>
                <w:color w:val="263287"/>
                <w:szCs w:val="22"/>
                <w:lang w:eastAsia="en-AU"/>
              </w:rPr>
              <w:t xml:space="preserve"> (days)</w:t>
            </w:r>
          </w:p>
        </w:tc>
        <w:tc>
          <w:tcPr>
            <w:tcW w:w="0" w:type="auto"/>
            <w:shd w:val="clear" w:color="auto" w:fill="DEEAF6"/>
            <w:vAlign w:val="center"/>
            <w:hideMark/>
          </w:tcPr>
          <w:p w14:paraId="79C99ECA" w14:textId="77777777" w:rsidR="00B15A05" w:rsidRPr="00B15A05" w:rsidRDefault="00B15A05" w:rsidP="00B15A05">
            <w:pPr>
              <w:spacing w:after="0" w:line="240" w:lineRule="auto"/>
              <w:rPr>
                <w:rFonts w:eastAsia="Times New Roman" w:cs="Times New Roman"/>
                <w:b/>
                <w:bCs/>
                <w:color w:val="263287"/>
                <w:szCs w:val="22"/>
                <w:lang w:eastAsia="en-AU"/>
              </w:rPr>
            </w:pPr>
            <w:r w:rsidRPr="00F17FA3">
              <w:rPr>
                <w:rFonts w:eastAsia="Times New Roman" w:cs="Times New Roman"/>
                <w:b/>
                <w:bCs/>
                <w:color w:val="263287"/>
                <w:sz w:val="18"/>
                <w:szCs w:val="18"/>
                <w:lang w:eastAsia="en-AU"/>
              </w:rPr>
              <w:t>CL</w:t>
            </w:r>
            <w:r w:rsidRPr="00F17FA3">
              <w:rPr>
                <w:rFonts w:eastAsia="Times New Roman" w:cs="Times New Roman"/>
                <w:b/>
                <w:bCs/>
                <w:color w:val="263287"/>
                <w:sz w:val="18"/>
                <w:szCs w:val="18"/>
                <w:vertAlign w:val="subscript"/>
                <w:lang w:eastAsia="en-AU"/>
              </w:rPr>
              <w:t>0-24</w:t>
            </w:r>
            <w:r w:rsidRPr="00F17FA3">
              <w:rPr>
                <w:rFonts w:eastAsia="Times New Roman" w:cs="Times New Roman"/>
                <w:b/>
                <w:bCs/>
                <w:color w:val="263287"/>
                <w:sz w:val="18"/>
                <w:szCs w:val="18"/>
                <w:lang w:eastAsia="en-AU"/>
              </w:rPr>
              <w:t xml:space="preserve">/F </w:t>
            </w:r>
            <w:r w:rsidRPr="00F17FA3">
              <w:rPr>
                <w:rFonts w:eastAsia="Times New Roman" w:cs="Times New Roman"/>
                <w:b/>
                <w:bCs/>
                <w:color w:val="263287"/>
                <w:szCs w:val="22"/>
                <w:lang w:eastAsia="en-AU"/>
              </w:rPr>
              <w:t>(L/h)</w:t>
            </w:r>
          </w:p>
        </w:tc>
      </w:tr>
      <w:tr w:rsidR="00B15A05" w:rsidRPr="00B15A05" w14:paraId="39C1BB2A" w14:textId="77777777" w:rsidTr="00B15A05">
        <w:tc>
          <w:tcPr>
            <w:tcW w:w="0" w:type="auto"/>
            <w:vAlign w:val="center"/>
            <w:hideMark/>
          </w:tcPr>
          <w:p w14:paraId="3D3B1736"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Phase I (healthy volunteers)</w:t>
            </w:r>
          </w:p>
        </w:tc>
        <w:tc>
          <w:tcPr>
            <w:tcW w:w="0" w:type="auto"/>
            <w:vAlign w:val="center"/>
            <w:hideMark/>
          </w:tcPr>
          <w:p w14:paraId="1EF640B2"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ION-682884-CS1</w:t>
            </w:r>
          </w:p>
        </w:tc>
        <w:tc>
          <w:tcPr>
            <w:tcW w:w="0" w:type="auto"/>
            <w:vAlign w:val="center"/>
            <w:hideMark/>
          </w:tcPr>
          <w:p w14:paraId="681CAA7A"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10</w:t>
            </w:r>
          </w:p>
        </w:tc>
        <w:tc>
          <w:tcPr>
            <w:tcW w:w="0" w:type="auto"/>
            <w:vAlign w:val="center"/>
            <w:hideMark/>
          </w:tcPr>
          <w:p w14:paraId="2EC504E8"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Day 1ᵈ</w:t>
            </w:r>
          </w:p>
        </w:tc>
        <w:tc>
          <w:tcPr>
            <w:tcW w:w="0" w:type="auto"/>
            <w:vAlign w:val="center"/>
            <w:hideMark/>
          </w:tcPr>
          <w:p w14:paraId="5759F20D"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2.01 (1.00, 4.00)</w:t>
            </w:r>
          </w:p>
        </w:tc>
        <w:tc>
          <w:tcPr>
            <w:tcW w:w="0" w:type="auto"/>
            <w:vAlign w:val="center"/>
            <w:hideMark/>
          </w:tcPr>
          <w:p w14:paraId="30A7B849"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0.143 (39.3)</w:t>
            </w:r>
          </w:p>
        </w:tc>
        <w:tc>
          <w:tcPr>
            <w:tcW w:w="0" w:type="auto"/>
            <w:vAlign w:val="center"/>
            <w:hideMark/>
          </w:tcPr>
          <w:p w14:paraId="2D55A103"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1.21 (24.1)</w:t>
            </w:r>
          </w:p>
        </w:tc>
        <w:tc>
          <w:tcPr>
            <w:tcW w:w="0" w:type="auto"/>
            <w:vAlign w:val="center"/>
            <w:hideMark/>
          </w:tcPr>
          <w:p w14:paraId="490EB76C"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NA</w:t>
            </w:r>
          </w:p>
        </w:tc>
        <w:tc>
          <w:tcPr>
            <w:tcW w:w="0" w:type="auto"/>
            <w:vAlign w:val="center"/>
            <w:hideMark/>
          </w:tcPr>
          <w:p w14:paraId="549F8113"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NC</w:t>
            </w:r>
          </w:p>
        </w:tc>
        <w:tc>
          <w:tcPr>
            <w:tcW w:w="0" w:type="auto"/>
            <w:vAlign w:val="center"/>
            <w:hideMark/>
          </w:tcPr>
          <w:p w14:paraId="0627A3C0"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37.3 (24.1)</w:t>
            </w:r>
          </w:p>
        </w:tc>
      </w:tr>
      <w:tr w:rsidR="00B15A05" w:rsidRPr="00B15A05" w14:paraId="383ADA21" w14:textId="77777777" w:rsidTr="00B15A05">
        <w:tc>
          <w:tcPr>
            <w:tcW w:w="0" w:type="auto"/>
            <w:vAlign w:val="center"/>
            <w:hideMark/>
          </w:tcPr>
          <w:p w14:paraId="58361FDC"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Phase I (healthy volunteers)</w:t>
            </w:r>
          </w:p>
        </w:tc>
        <w:tc>
          <w:tcPr>
            <w:tcW w:w="0" w:type="auto"/>
            <w:vAlign w:val="center"/>
            <w:hideMark/>
          </w:tcPr>
          <w:p w14:paraId="2F712073"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ION-682884-CS1</w:t>
            </w:r>
          </w:p>
        </w:tc>
        <w:tc>
          <w:tcPr>
            <w:tcW w:w="0" w:type="auto"/>
            <w:vAlign w:val="center"/>
            <w:hideMark/>
          </w:tcPr>
          <w:p w14:paraId="21F6BA57"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10</w:t>
            </w:r>
          </w:p>
        </w:tc>
        <w:tc>
          <w:tcPr>
            <w:tcW w:w="0" w:type="auto"/>
            <w:vAlign w:val="center"/>
            <w:hideMark/>
          </w:tcPr>
          <w:p w14:paraId="115757ED"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Day 85ᵉ</w:t>
            </w:r>
          </w:p>
        </w:tc>
        <w:tc>
          <w:tcPr>
            <w:tcW w:w="0" w:type="auto"/>
            <w:vAlign w:val="center"/>
            <w:hideMark/>
          </w:tcPr>
          <w:p w14:paraId="5ED4DB0A"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3.00 (1.00, 3.00)</w:t>
            </w:r>
          </w:p>
        </w:tc>
        <w:tc>
          <w:tcPr>
            <w:tcW w:w="0" w:type="auto"/>
            <w:vAlign w:val="center"/>
            <w:hideMark/>
          </w:tcPr>
          <w:p w14:paraId="26E3F476"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0.215 (66.1)</w:t>
            </w:r>
          </w:p>
        </w:tc>
        <w:tc>
          <w:tcPr>
            <w:tcW w:w="0" w:type="auto"/>
            <w:vAlign w:val="center"/>
            <w:hideMark/>
          </w:tcPr>
          <w:p w14:paraId="122626F1"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1.40 (35.4)</w:t>
            </w:r>
          </w:p>
        </w:tc>
        <w:tc>
          <w:tcPr>
            <w:tcW w:w="0" w:type="auto"/>
            <w:vAlign w:val="center"/>
            <w:hideMark/>
          </w:tcPr>
          <w:p w14:paraId="5CB09762"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0.000260 (</w:t>
            </w:r>
            <w:proofErr w:type="gramStart"/>
            <w:r w:rsidRPr="00B15A05">
              <w:rPr>
                <w:rFonts w:eastAsia="Times New Roman" w:cs="Times New Roman"/>
                <w:szCs w:val="22"/>
                <w:lang w:eastAsia="en-AU"/>
              </w:rPr>
              <w:t>71.9)ᵍ</w:t>
            </w:r>
            <w:proofErr w:type="gramEnd"/>
          </w:p>
        </w:tc>
        <w:tc>
          <w:tcPr>
            <w:tcW w:w="0" w:type="auto"/>
            <w:vAlign w:val="center"/>
            <w:hideMark/>
          </w:tcPr>
          <w:p w14:paraId="7DAC6E67"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22.0 (72.1)</w:t>
            </w:r>
          </w:p>
        </w:tc>
        <w:tc>
          <w:tcPr>
            <w:tcW w:w="0" w:type="auto"/>
            <w:vAlign w:val="center"/>
            <w:hideMark/>
          </w:tcPr>
          <w:p w14:paraId="5B146385"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32.1 (35.4)</w:t>
            </w:r>
          </w:p>
        </w:tc>
      </w:tr>
      <w:tr w:rsidR="00B15A05" w:rsidRPr="00B15A05" w14:paraId="483DFD97" w14:textId="77777777" w:rsidTr="00B15A05">
        <w:tc>
          <w:tcPr>
            <w:tcW w:w="0" w:type="auto"/>
            <w:vAlign w:val="center"/>
            <w:hideMark/>
          </w:tcPr>
          <w:p w14:paraId="44CF04A5"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Phase I (healthy volunteers)</w:t>
            </w:r>
          </w:p>
        </w:tc>
        <w:tc>
          <w:tcPr>
            <w:tcW w:w="0" w:type="auto"/>
            <w:vAlign w:val="center"/>
            <w:hideMark/>
          </w:tcPr>
          <w:p w14:paraId="54F213EB"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ION-682884-CS20</w:t>
            </w:r>
          </w:p>
        </w:tc>
        <w:tc>
          <w:tcPr>
            <w:tcW w:w="0" w:type="auto"/>
            <w:vAlign w:val="center"/>
            <w:hideMark/>
          </w:tcPr>
          <w:p w14:paraId="65F30060"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6</w:t>
            </w:r>
          </w:p>
        </w:tc>
        <w:tc>
          <w:tcPr>
            <w:tcW w:w="0" w:type="auto"/>
            <w:vAlign w:val="center"/>
            <w:hideMark/>
          </w:tcPr>
          <w:p w14:paraId="36625332"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Day 1ᵉ</w:t>
            </w:r>
          </w:p>
        </w:tc>
        <w:tc>
          <w:tcPr>
            <w:tcW w:w="0" w:type="auto"/>
            <w:vAlign w:val="center"/>
            <w:hideMark/>
          </w:tcPr>
          <w:p w14:paraId="751E635A"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1.75 (0.50, 2.00)</w:t>
            </w:r>
          </w:p>
        </w:tc>
        <w:tc>
          <w:tcPr>
            <w:tcW w:w="0" w:type="auto"/>
            <w:vAlign w:val="center"/>
            <w:hideMark/>
          </w:tcPr>
          <w:p w14:paraId="29D66AC2"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0.307 (52.7)</w:t>
            </w:r>
          </w:p>
        </w:tc>
        <w:tc>
          <w:tcPr>
            <w:tcW w:w="0" w:type="auto"/>
            <w:vAlign w:val="center"/>
            <w:hideMark/>
          </w:tcPr>
          <w:p w14:paraId="21CA6015"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1.73 (34.3)</w:t>
            </w:r>
          </w:p>
        </w:tc>
        <w:tc>
          <w:tcPr>
            <w:tcW w:w="0" w:type="auto"/>
            <w:vAlign w:val="center"/>
            <w:hideMark/>
          </w:tcPr>
          <w:p w14:paraId="6BD4C3AB"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NA</w:t>
            </w:r>
          </w:p>
        </w:tc>
        <w:tc>
          <w:tcPr>
            <w:tcW w:w="0" w:type="auto"/>
            <w:vAlign w:val="center"/>
            <w:hideMark/>
          </w:tcPr>
          <w:p w14:paraId="5C63603E"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NA</w:t>
            </w:r>
          </w:p>
        </w:tc>
        <w:tc>
          <w:tcPr>
            <w:tcW w:w="0" w:type="auto"/>
            <w:vAlign w:val="center"/>
            <w:hideMark/>
          </w:tcPr>
          <w:p w14:paraId="6B7024BB"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26.1 (34.4)</w:t>
            </w:r>
          </w:p>
        </w:tc>
      </w:tr>
      <w:tr w:rsidR="00B15A05" w:rsidRPr="00B15A05" w14:paraId="336C7CB0" w14:textId="77777777" w:rsidTr="00B15A05">
        <w:tc>
          <w:tcPr>
            <w:tcW w:w="0" w:type="auto"/>
            <w:vAlign w:val="center"/>
            <w:hideMark/>
          </w:tcPr>
          <w:p w14:paraId="0D3653D0"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Phase I (healthy volunteers)</w:t>
            </w:r>
          </w:p>
        </w:tc>
        <w:tc>
          <w:tcPr>
            <w:tcW w:w="0" w:type="auto"/>
            <w:vAlign w:val="center"/>
            <w:hideMark/>
          </w:tcPr>
          <w:p w14:paraId="783A10C0"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ION-682884-CS21ʲ</w:t>
            </w:r>
          </w:p>
        </w:tc>
        <w:tc>
          <w:tcPr>
            <w:tcW w:w="0" w:type="auto"/>
            <w:vAlign w:val="center"/>
            <w:hideMark/>
          </w:tcPr>
          <w:p w14:paraId="66A18CCF"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47</w:t>
            </w:r>
          </w:p>
        </w:tc>
        <w:tc>
          <w:tcPr>
            <w:tcW w:w="0" w:type="auto"/>
            <w:vAlign w:val="center"/>
            <w:hideMark/>
          </w:tcPr>
          <w:p w14:paraId="5EA3D32A"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Days 1, 29, 57ᵉ</w:t>
            </w:r>
          </w:p>
        </w:tc>
        <w:tc>
          <w:tcPr>
            <w:tcW w:w="0" w:type="auto"/>
            <w:vAlign w:val="center"/>
            <w:hideMark/>
          </w:tcPr>
          <w:p w14:paraId="4DE8D6A9"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2.50 (1.00, 8.00)</w:t>
            </w:r>
          </w:p>
        </w:tc>
        <w:tc>
          <w:tcPr>
            <w:tcW w:w="0" w:type="auto"/>
            <w:vAlign w:val="center"/>
            <w:hideMark/>
          </w:tcPr>
          <w:p w14:paraId="787FFA84"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0.216 (52.6)</w:t>
            </w:r>
          </w:p>
        </w:tc>
        <w:tc>
          <w:tcPr>
            <w:tcW w:w="0" w:type="auto"/>
            <w:vAlign w:val="center"/>
            <w:hideMark/>
          </w:tcPr>
          <w:p w14:paraId="60BA9416"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1.68 (25.2)</w:t>
            </w:r>
          </w:p>
        </w:tc>
        <w:tc>
          <w:tcPr>
            <w:tcW w:w="0" w:type="auto"/>
            <w:vAlign w:val="center"/>
            <w:hideMark/>
          </w:tcPr>
          <w:p w14:paraId="70CFECD3"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NA</w:t>
            </w:r>
          </w:p>
        </w:tc>
        <w:tc>
          <w:tcPr>
            <w:tcW w:w="0" w:type="auto"/>
            <w:vAlign w:val="center"/>
            <w:hideMark/>
          </w:tcPr>
          <w:p w14:paraId="73BD5CE0"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NC</w:t>
            </w:r>
          </w:p>
        </w:tc>
        <w:tc>
          <w:tcPr>
            <w:tcW w:w="0" w:type="auto"/>
            <w:vAlign w:val="center"/>
            <w:hideMark/>
          </w:tcPr>
          <w:p w14:paraId="42A0F1E3"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NC</w:t>
            </w:r>
          </w:p>
        </w:tc>
      </w:tr>
      <w:tr w:rsidR="00B15A05" w:rsidRPr="00B15A05" w14:paraId="1310C89A" w14:textId="77777777" w:rsidTr="00B15A05">
        <w:tc>
          <w:tcPr>
            <w:tcW w:w="0" w:type="auto"/>
            <w:vAlign w:val="center"/>
            <w:hideMark/>
          </w:tcPr>
          <w:p w14:paraId="63F84301"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Phase III (patients with ATTRv-PN)</w:t>
            </w:r>
          </w:p>
        </w:tc>
        <w:tc>
          <w:tcPr>
            <w:tcW w:w="0" w:type="auto"/>
            <w:vAlign w:val="center"/>
            <w:hideMark/>
          </w:tcPr>
          <w:p w14:paraId="462F59C0"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ION-682884-CS3</w:t>
            </w:r>
          </w:p>
        </w:tc>
        <w:tc>
          <w:tcPr>
            <w:tcW w:w="0" w:type="auto"/>
            <w:vAlign w:val="center"/>
            <w:hideMark/>
          </w:tcPr>
          <w:p w14:paraId="2192F32B"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23</w:t>
            </w:r>
          </w:p>
        </w:tc>
        <w:tc>
          <w:tcPr>
            <w:tcW w:w="0" w:type="auto"/>
            <w:vAlign w:val="center"/>
            <w:hideMark/>
          </w:tcPr>
          <w:p w14:paraId="1D8778FD"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Day 1</w:t>
            </w:r>
            <w:proofErr w:type="gramStart"/>
            <w:r w:rsidRPr="00B15A05">
              <w:rPr>
                <w:rFonts w:eastAsia="Times New Roman" w:cs="Times New Roman"/>
                <w:szCs w:val="22"/>
                <w:lang w:eastAsia="en-AU"/>
              </w:rPr>
              <w:t>ᵈ,ᵉ</w:t>
            </w:r>
            <w:proofErr w:type="gramEnd"/>
          </w:p>
        </w:tc>
        <w:tc>
          <w:tcPr>
            <w:tcW w:w="0" w:type="auto"/>
            <w:vAlign w:val="center"/>
            <w:hideMark/>
          </w:tcPr>
          <w:p w14:paraId="71393682"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2.17 (1.00, 6.00)</w:t>
            </w:r>
          </w:p>
        </w:tc>
        <w:tc>
          <w:tcPr>
            <w:tcW w:w="0" w:type="auto"/>
            <w:vAlign w:val="center"/>
            <w:hideMark/>
          </w:tcPr>
          <w:p w14:paraId="3AED06B3"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0.204 (109)</w:t>
            </w:r>
          </w:p>
        </w:tc>
        <w:tc>
          <w:tcPr>
            <w:tcW w:w="0" w:type="auto"/>
            <w:vAlign w:val="center"/>
            <w:hideMark/>
          </w:tcPr>
          <w:p w14:paraId="3226C30A"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0.871 (98.9)</w:t>
            </w:r>
          </w:p>
        </w:tc>
        <w:tc>
          <w:tcPr>
            <w:tcW w:w="0" w:type="auto"/>
            <w:vAlign w:val="center"/>
            <w:hideMark/>
          </w:tcPr>
          <w:p w14:paraId="14153173"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NA</w:t>
            </w:r>
          </w:p>
        </w:tc>
        <w:tc>
          <w:tcPr>
            <w:tcW w:w="0" w:type="auto"/>
            <w:vAlign w:val="center"/>
            <w:hideMark/>
          </w:tcPr>
          <w:p w14:paraId="0C16C1F3"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NC</w:t>
            </w:r>
          </w:p>
        </w:tc>
        <w:tc>
          <w:tcPr>
            <w:tcW w:w="0" w:type="auto"/>
            <w:vAlign w:val="center"/>
            <w:hideMark/>
          </w:tcPr>
          <w:p w14:paraId="601B5174"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NC</w:t>
            </w:r>
          </w:p>
        </w:tc>
      </w:tr>
      <w:tr w:rsidR="00B15A05" w:rsidRPr="00B15A05" w14:paraId="76E82667" w14:textId="77777777" w:rsidTr="00B15A05">
        <w:tc>
          <w:tcPr>
            <w:tcW w:w="0" w:type="auto"/>
            <w:vAlign w:val="center"/>
            <w:hideMark/>
          </w:tcPr>
          <w:p w14:paraId="05EC8049"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Phase III (patients with ATTRv-PN)</w:t>
            </w:r>
          </w:p>
        </w:tc>
        <w:tc>
          <w:tcPr>
            <w:tcW w:w="0" w:type="auto"/>
            <w:vAlign w:val="center"/>
            <w:hideMark/>
          </w:tcPr>
          <w:p w14:paraId="5D0216CE"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ION-682884-CS3</w:t>
            </w:r>
          </w:p>
        </w:tc>
        <w:tc>
          <w:tcPr>
            <w:tcW w:w="0" w:type="auto"/>
            <w:vAlign w:val="center"/>
            <w:hideMark/>
          </w:tcPr>
          <w:p w14:paraId="3431D612"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19</w:t>
            </w:r>
          </w:p>
        </w:tc>
        <w:tc>
          <w:tcPr>
            <w:tcW w:w="0" w:type="auto"/>
            <w:vAlign w:val="center"/>
            <w:hideMark/>
          </w:tcPr>
          <w:p w14:paraId="76EE4654"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Day 225</w:t>
            </w:r>
            <w:proofErr w:type="gramStart"/>
            <w:r w:rsidRPr="00B15A05">
              <w:rPr>
                <w:rFonts w:eastAsia="Times New Roman" w:cs="Times New Roman"/>
                <w:szCs w:val="22"/>
                <w:lang w:eastAsia="en-AU"/>
              </w:rPr>
              <w:t>ᵈ,ᵉ</w:t>
            </w:r>
            <w:proofErr w:type="gramEnd"/>
            <w:r w:rsidRPr="00B15A05">
              <w:rPr>
                <w:rFonts w:eastAsia="Times New Roman" w:cs="Times New Roman"/>
                <w:szCs w:val="22"/>
                <w:lang w:eastAsia="en-AU"/>
              </w:rPr>
              <w:t>,ᶠ</w:t>
            </w:r>
          </w:p>
        </w:tc>
        <w:tc>
          <w:tcPr>
            <w:tcW w:w="0" w:type="auto"/>
            <w:vAlign w:val="center"/>
            <w:hideMark/>
          </w:tcPr>
          <w:p w14:paraId="2E0D03E5"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2.05 (0.967, 6.00)</w:t>
            </w:r>
          </w:p>
        </w:tc>
        <w:tc>
          <w:tcPr>
            <w:tcW w:w="0" w:type="auto"/>
            <w:vAlign w:val="center"/>
            <w:hideMark/>
          </w:tcPr>
          <w:p w14:paraId="445B39F0"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0.215 (83.0)</w:t>
            </w:r>
          </w:p>
        </w:tc>
        <w:tc>
          <w:tcPr>
            <w:tcW w:w="0" w:type="auto"/>
            <w:vAlign w:val="center"/>
            <w:hideMark/>
          </w:tcPr>
          <w:p w14:paraId="7ACA8C8B"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0.836 (</w:t>
            </w:r>
            <w:proofErr w:type="gramStart"/>
            <w:r w:rsidRPr="00B15A05">
              <w:rPr>
                <w:rFonts w:eastAsia="Times New Roman" w:cs="Times New Roman"/>
                <w:szCs w:val="22"/>
                <w:lang w:eastAsia="en-AU"/>
              </w:rPr>
              <w:t>72.1)ʲ</w:t>
            </w:r>
            <w:proofErr w:type="gramEnd"/>
          </w:p>
        </w:tc>
        <w:tc>
          <w:tcPr>
            <w:tcW w:w="0" w:type="auto"/>
            <w:vAlign w:val="center"/>
            <w:hideMark/>
          </w:tcPr>
          <w:p w14:paraId="477EA0F7"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0.000186 (</w:t>
            </w:r>
            <w:proofErr w:type="gramStart"/>
            <w:r w:rsidRPr="00B15A05">
              <w:rPr>
                <w:rFonts w:eastAsia="Times New Roman" w:cs="Times New Roman"/>
                <w:szCs w:val="22"/>
                <w:lang w:eastAsia="en-AU"/>
              </w:rPr>
              <w:t>66.0)ʰ</w:t>
            </w:r>
            <w:proofErr w:type="gramEnd"/>
          </w:p>
        </w:tc>
        <w:tc>
          <w:tcPr>
            <w:tcW w:w="0" w:type="auto"/>
            <w:vAlign w:val="center"/>
            <w:hideMark/>
          </w:tcPr>
          <w:p w14:paraId="5FF1EFEE"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NC</w:t>
            </w:r>
          </w:p>
        </w:tc>
        <w:tc>
          <w:tcPr>
            <w:tcW w:w="0" w:type="auto"/>
            <w:vAlign w:val="center"/>
            <w:hideMark/>
          </w:tcPr>
          <w:p w14:paraId="5F8E733F"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NC</w:t>
            </w:r>
          </w:p>
        </w:tc>
      </w:tr>
      <w:tr w:rsidR="00B15A05" w:rsidRPr="00B15A05" w14:paraId="3D26D5C0" w14:textId="77777777" w:rsidTr="00B15A05">
        <w:tc>
          <w:tcPr>
            <w:tcW w:w="0" w:type="auto"/>
            <w:vAlign w:val="center"/>
            <w:hideMark/>
          </w:tcPr>
          <w:p w14:paraId="43163A8C"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Phase III (patients with ATTRv-PN)</w:t>
            </w:r>
          </w:p>
        </w:tc>
        <w:tc>
          <w:tcPr>
            <w:tcW w:w="0" w:type="auto"/>
            <w:vAlign w:val="center"/>
            <w:hideMark/>
          </w:tcPr>
          <w:p w14:paraId="46D0F3E3"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ION-682884-CS3</w:t>
            </w:r>
          </w:p>
        </w:tc>
        <w:tc>
          <w:tcPr>
            <w:tcW w:w="0" w:type="auto"/>
            <w:vAlign w:val="center"/>
            <w:hideMark/>
          </w:tcPr>
          <w:p w14:paraId="59291BF0"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25</w:t>
            </w:r>
          </w:p>
        </w:tc>
        <w:tc>
          <w:tcPr>
            <w:tcW w:w="0" w:type="auto"/>
            <w:vAlign w:val="center"/>
            <w:hideMark/>
          </w:tcPr>
          <w:p w14:paraId="1921A32D"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Day 449</w:t>
            </w:r>
          </w:p>
        </w:tc>
        <w:tc>
          <w:tcPr>
            <w:tcW w:w="0" w:type="auto"/>
            <w:vAlign w:val="center"/>
            <w:hideMark/>
          </w:tcPr>
          <w:p w14:paraId="3A7DB8C9"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2.00 (1.00, 6.00)</w:t>
            </w:r>
          </w:p>
        </w:tc>
        <w:tc>
          <w:tcPr>
            <w:tcW w:w="0" w:type="auto"/>
            <w:vAlign w:val="center"/>
            <w:hideMark/>
          </w:tcPr>
          <w:p w14:paraId="0426BCC8"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0.201 (87.7)</w:t>
            </w:r>
          </w:p>
        </w:tc>
        <w:tc>
          <w:tcPr>
            <w:tcW w:w="0" w:type="auto"/>
            <w:vAlign w:val="center"/>
            <w:hideMark/>
          </w:tcPr>
          <w:p w14:paraId="5D24FC40"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0.829 (72.8)</w:t>
            </w:r>
          </w:p>
        </w:tc>
        <w:tc>
          <w:tcPr>
            <w:tcW w:w="0" w:type="auto"/>
            <w:vAlign w:val="center"/>
            <w:hideMark/>
          </w:tcPr>
          <w:p w14:paraId="6EEE1AE8"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0.000262 (</w:t>
            </w:r>
            <w:proofErr w:type="gramStart"/>
            <w:r w:rsidRPr="00B15A05">
              <w:rPr>
                <w:rFonts w:eastAsia="Times New Roman" w:cs="Times New Roman"/>
                <w:szCs w:val="22"/>
                <w:lang w:eastAsia="en-AU"/>
              </w:rPr>
              <w:t>60.4)ʰ</w:t>
            </w:r>
            <w:proofErr w:type="gramEnd"/>
          </w:p>
        </w:tc>
        <w:tc>
          <w:tcPr>
            <w:tcW w:w="0" w:type="auto"/>
            <w:vAlign w:val="center"/>
            <w:hideMark/>
          </w:tcPr>
          <w:p w14:paraId="3F8B398E"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NC</w:t>
            </w:r>
          </w:p>
        </w:tc>
        <w:tc>
          <w:tcPr>
            <w:tcW w:w="0" w:type="auto"/>
            <w:vAlign w:val="center"/>
            <w:hideMark/>
          </w:tcPr>
          <w:p w14:paraId="5B2BDF6A" w14:textId="77777777" w:rsidR="00B15A05" w:rsidRPr="00B15A05" w:rsidRDefault="00B15A05" w:rsidP="00B15A05">
            <w:pPr>
              <w:spacing w:after="0" w:line="240" w:lineRule="auto"/>
              <w:rPr>
                <w:rFonts w:eastAsia="Times New Roman" w:cs="Times New Roman"/>
                <w:szCs w:val="22"/>
                <w:lang w:eastAsia="en-AU"/>
              </w:rPr>
            </w:pPr>
            <w:r w:rsidRPr="00B15A05">
              <w:rPr>
                <w:rFonts w:eastAsia="Times New Roman" w:cs="Times New Roman"/>
                <w:szCs w:val="22"/>
                <w:lang w:eastAsia="en-AU"/>
              </w:rPr>
              <w:t>NC</w:t>
            </w:r>
          </w:p>
        </w:tc>
      </w:tr>
    </w:tbl>
    <w:p w14:paraId="40E39F6F" w14:textId="5DAF8EF5" w:rsidR="00B15A05" w:rsidRPr="00B15A05" w:rsidRDefault="00B15A05" w:rsidP="00F17FA3">
      <w:pPr>
        <w:pStyle w:val="TableDescription"/>
      </w:pPr>
      <w:proofErr w:type="spellStart"/>
      <w:r w:rsidRPr="00B15A05">
        <w:t>a</w:t>
      </w:r>
      <w:proofErr w:type="spellEnd"/>
      <w:r w:rsidRPr="00B15A05">
        <w:t xml:space="preserve"> The PK parameters </w:t>
      </w:r>
      <w:proofErr w:type="spellStart"/>
      <w:r w:rsidRPr="00B15A05">
        <w:t>C</w:t>
      </w:r>
      <w:r w:rsidRPr="00F17FA3">
        <w:rPr>
          <w:vertAlign w:val="subscript"/>
        </w:rPr>
        <w:t>max</w:t>
      </w:r>
      <w:proofErr w:type="spellEnd"/>
      <w:r w:rsidRPr="00B15A05">
        <w:t>, AUC, t½λz and CL</w:t>
      </w:r>
      <w:r w:rsidRPr="00F17FA3">
        <w:rPr>
          <w:vertAlign w:val="subscript"/>
        </w:rPr>
        <w:t>0-24</w:t>
      </w:r>
      <w:r w:rsidRPr="00B15A05">
        <w:t>/F are presented as geometric mean (geometric %CV).</w:t>
      </w:r>
      <w:r>
        <w:t xml:space="preserve"> </w:t>
      </w:r>
      <w:proofErr w:type="spellStart"/>
      <w:r w:rsidRPr="00B15A05">
        <w:t>t</w:t>
      </w:r>
      <w:r w:rsidRPr="00041F8E">
        <w:rPr>
          <w:vertAlign w:val="subscript"/>
        </w:rPr>
        <w:t>max</w:t>
      </w:r>
      <w:proofErr w:type="spellEnd"/>
      <w:r w:rsidRPr="00B15A05">
        <w:t xml:space="preserve"> is presented as median (minimum, maximum). </w:t>
      </w:r>
      <w:proofErr w:type="spellStart"/>
      <w:r w:rsidRPr="00B15A05">
        <w:t>C</w:t>
      </w:r>
      <w:r w:rsidRPr="00041F8E">
        <w:rPr>
          <w:vertAlign w:val="subscript"/>
        </w:rPr>
        <w:t>trough</w:t>
      </w:r>
      <w:proofErr w:type="spellEnd"/>
      <w:r w:rsidRPr="00B15A05">
        <w:t xml:space="preserve"> is presented as arithmetic mean (%CV) due to</w:t>
      </w:r>
      <w:r>
        <w:t xml:space="preserve"> </w:t>
      </w:r>
      <w:r w:rsidRPr="00B15A05">
        <w:t>many individual BLQ values.</w:t>
      </w:r>
    </w:p>
    <w:p w14:paraId="73075A0D" w14:textId="738BA607" w:rsidR="00B15A05" w:rsidRPr="00B15A05" w:rsidRDefault="00B15A05" w:rsidP="00F17FA3">
      <w:pPr>
        <w:pStyle w:val="TableDescription"/>
      </w:pPr>
      <w:r w:rsidRPr="00B15A05">
        <w:t>b AUC</w:t>
      </w:r>
      <w:r w:rsidRPr="00F17FA3">
        <w:rPr>
          <w:vertAlign w:val="subscript"/>
        </w:rPr>
        <w:t>0-24h</w:t>
      </w:r>
      <w:r w:rsidRPr="00B15A05">
        <w:t xml:space="preserve"> was calculated for studies ION-682884-CS1 and ION-682884-CS20; AUC</w:t>
      </w:r>
      <w:r w:rsidRPr="00F17FA3">
        <w:rPr>
          <w:vertAlign w:val="subscript"/>
        </w:rPr>
        <w:t>0-168h</w:t>
      </w:r>
      <w:r w:rsidRPr="00B15A05">
        <w:t xml:space="preserve"> was</w:t>
      </w:r>
      <w:r>
        <w:t xml:space="preserve"> </w:t>
      </w:r>
      <w:r w:rsidRPr="00B15A05">
        <w:t>calculated for study ION-682884-CS21; AUC</w:t>
      </w:r>
      <w:r w:rsidRPr="00F17FA3">
        <w:rPr>
          <w:vertAlign w:val="subscript"/>
        </w:rPr>
        <w:t>0-6h</w:t>
      </w:r>
      <w:r w:rsidRPr="00B15A05">
        <w:t xml:space="preserve"> was calculated for study ION-682884-CS3.</w:t>
      </w:r>
    </w:p>
    <w:p w14:paraId="7C1698EF" w14:textId="77777777" w:rsidR="00B15A05" w:rsidRPr="00B15A05" w:rsidRDefault="00B15A05" w:rsidP="00F17FA3">
      <w:pPr>
        <w:pStyle w:val="TableDescription"/>
      </w:pPr>
      <w:r w:rsidRPr="00B15A05">
        <w:t xml:space="preserve">c The </w:t>
      </w:r>
      <w:proofErr w:type="spellStart"/>
      <w:r w:rsidRPr="00B15A05">
        <w:t>C</w:t>
      </w:r>
      <w:r w:rsidRPr="00F17FA3">
        <w:rPr>
          <w:vertAlign w:val="subscript"/>
        </w:rPr>
        <w:t>trough</w:t>
      </w:r>
      <w:proofErr w:type="spellEnd"/>
      <w:r w:rsidRPr="00B15A05">
        <w:t xml:space="preserve"> values presented in this table are from overall ADA-negative subjects.</w:t>
      </w:r>
    </w:p>
    <w:p w14:paraId="09F5FE8A" w14:textId="77777777" w:rsidR="00B15A05" w:rsidRPr="00B15A05" w:rsidRDefault="00B15A05" w:rsidP="00F17FA3">
      <w:pPr>
        <w:pStyle w:val="TableDescription"/>
      </w:pPr>
      <w:r w:rsidRPr="00B15A05">
        <w:t>d Injection site: arm.</w:t>
      </w:r>
    </w:p>
    <w:p w14:paraId="3D32B565" w14:textId="77777777" w:rsidR="00B15A05" w:rsidRPr="00B15A05" w:rsidRDefault="00B15A05" w:rsidP="00F17FA3">
      <w:pPr>
        <w:pStyle w:val="TableDescription"/>
      </w:pPr>
      <w:r w:rsidRPr="00B15A05">
        <w:t>e Injection site: abdomen.</w:t>
      </w:r>
    </w:p>
    <w:p w14:paraId="5D65C58C" w14:textId="77777777" w:rsidR="00B15A05" w:rsidRPr="00B15A05" w:rsidRDefault="00B15A05" w:rsidP="00F17FA3">
      <w:pPr>
        <w:pStyle w:val="TableDescription"/>
      </w:pPr>
      <w:r w:rsidRPr="00B15A05">
        <w:t>f Injection site: thigh.</w:t>
      </w:r>
    </w:p>
    <w:p w14:paraId="6F8A06F4" w14:textId="09D89274" w:rsidR="00B15A05" w:rsidRPr="00B15A05" w:rsidRDefault="00B15A05" w:rsidP="00F17FA3">
      <w:pPr>
        <w:pStyle w:val="TableDescription"/>
      </w:pPr>
      <w:r w:rsidRPr="00B15A05">
        <w:t xml:space="preserve">g The </w:t>
      </w:r>
      <w:proofErr w:type="spellStart"/>
      <w:r w:rsidRPr="00B15A05">
        <w:t>C</w:t>
      </w:r>
      <w:r w:rsidRPr="00F17FA3">
        <w:rPr>
          <w:vertAlign w:val="subscript"/>
        </w:rPr>
        <w:t>trough</w:t>
      </w:r>
      <w:proofErr w:type="spellEnd"/>
      <w:r w:rsidRPr="00B15A05">
        <w:t xml:space="preserve"> presented here is the concentration at steady-state (Day 113) in overall ADA-negative subjects</w:t>
      </w:r>
      <w:r w:rsidR="00F17FA3">
        <w:t xml:space="preserve"> </w:t>
      </w:r>
      <w:r w:rsidRPr="00B15A05">
        <w:t xml:space="preserve">(N = 7). %CV was calculated as SD/Mean × 100, </w:t>
      </w:r>
      <w:proofErr w:type="spellStart"/>
      <w:r w:rsidRPr="00B15A05">
        <w:t>ie</w:t>
      </w:r>
      <w:proofErr w:type="spellEnd"/>
      <w:r w:rsidRPr="00B15A05">
        <w:t>, (0.000187/0.000260) × 100=71.9</w:t>
      </w:r>
    </w:p>
    <w:p w14:paraId="1D39B4F4" w14:textId="77777777" w:rsidR="00B15A05" w:rsidRPr="00B15A05" w:rsidRDefault="00B15A05" w:rsidP="00F17FA3">
      <w:pPr>
        <w:pStyle w:val="TableDescription"/>
      </w:pPr>
      <w:r w:rsidRPr="00B15A05">
        <w:t xml:space="preserve">h The </w:t>
      </w:r>
      <w:proofErr w:type="spellStart"/>
      <w:r w:rsidRPr="00B15A05">
        <w:t>C</w:t>
      </w:r>
      <w:r w:rsidRPr="00041F8E">
        <w:rPr>
          <w:vertAlign w:val="subscript"/>
        </w:rPr>
        <w:t>trough</w:t>
      </w:r>
      <w:proofErr w:type="spellEnd"/>
      <w:r w:rsidRPr="00B15A05">
        <w:t xml:space="preserve"> presented here is from overall ADA-negative subjects in the eplontersen group of study</w:t>
      </w:r>
    </w:p>
    <w:p w14:paraId="49DFC749" w14:textId="77777777" w:rsidR="00B15A05" w:rsidRPr="00B15A05" w:rsidRDefault="00B15A05" w:rsidP="00F17FA3">
      <w:pPr>
        <w:pStyle w:val="TableDescription"/>
      </w:pPr>
      <w:r w:rsidRPr="00B15A05">
        <w:t>ION-682884-CS3 PK Set (N = 67 for Day 225 and N = 68 for Day 449).</w:t>
      </w:r>
    </w:p>
    <w:p w14:paraId="28ED22C6" w14:textId="77777777" w:rsidR="00B15A05" w:rsidRPr="00B15A05" w:rsidRDefault="00B15A05" w:rsidP="00F17FA3">
      <w:pPr>
        <w:pStyle w:val="TableDescription"/>
      </w:pPr>
      <w:proofErr w:type="spellStart"/>
      <w:r w:rsidRPr="00B15A05">
        <w:t>i</w:t>
      </w:r>
      <w:proofErr w:type="spellEnd"/>
      <w:r w:rsidRPr="00B15A05">
        <w:t xml:space="preserve"> N = 18</w:t>
      </w:r>
    </w:p>
    <w:p w14:paraId="759CB987" w14:textId="6B2FD0D0" w:rsidR="00B15A05" w:rsidRDefault="00B15A05" w:rsidP="00F17FA3">
      <w:pPr>
        <w:pStyle w:val="TableDescription"/>
      </w:pPr>
      <w:r w:rsidRPr="00B15A05">
        <w:t xml:space="preserve">j </w:t>
      </w:r>
      <w:proofErr w:type="gramStart"/>
      <w:r w:rsidRPr="00B15A05">
        <w:t>The</w:t>
      </w:r>
      <w:proofErr w:type="gramEnd"/>
      <w:r w:rsidRPr="00B15A05">
        <w:t xml:space="preserve"> presentation of eplontersen product administered in studies was vial and syringe, except for study</w:t>
      </w:r>
      <w:r>
        <w:t xml:space="preserve"> </w:t>
      </w:r>
      <w:r w:rsidRPr="00B15A05">
        <w:t>ION-682884-CS21, in which all the 3 presentations (PFS with safety device, autoinjector [intended</w:t>
      </w:r>
      <w:r>
        <w:t xml:space="preserve"> </w:t>
      </w:r>
      <w:r w:rsidRPr="00B15A05">
        <w:t>commercial product presentation], and vial and syringe) were administered, whereas only PK parameters</w:t>
      </w:r>
      <w:r>
        <w:t xml:space="preserve"> </w:t>
      </w:r>
      <w:r w:rsidRPr="00B15A05">
        <w:t>from vial and syringe is presented in this table.</w:t>
      </w:r>
    </w:p>
    <w:p w14:paraId="77E26F21" w14:textId="0A50997F" w:rsidR="00F17FA3" w:rsidRDefault="00F17FA3" w:rsidP="00F17FA3">
      <w:pPr>
        <w:pStyle w:val="TableDescription"/>
      </w:pPr>
      <w:r w:rsidRPr="00F17FA3">
        <w:t>%CV = percent coefficient of variation; ADA = antidrug antibody; ATTRv-PN = hereditary transthyretin</w:t>
      </w:r>
      <w:r>
        <w:t xml:space="preserve"> </w:t>
      </w:r>
      <w:r w:rsidRPr="00F17FA3">
        <w:t>mediated</w:t>
      </w:r>
      <w:r>
        <w:t xml:space="preserve"> </w:t>
      </w:r>
      <w:r w:rsidRPr="00F17FA3">
        <w:t>amyloidosis with polyneuropathy; AUC = area under the concentration-time curve; AUC</w:t>
      </w:r>
      <w:r w:rsidRPr="00F17FA3">
        <w:rPr>
          <w:vertAlign w:val="subscript"/>
        </w:rPr>
        <w:t>0- 168h</w:t>
      </w:r>
      <w:r w:rsidRPr="00F17FA3">
        <w:t xml:space="preserve"> = AUC from time 0 to 168 hours post-dose; AUC</w:t>
      </w:r>
      <w:r w:rsidRPr="00F17FA3">
        <w:rPr>
          <w:vertAlign w:val="subscript"/>
        </w:rPr>
        <w:t>0-24h</w:t>
      </w:r>
      <w:r w:rsidRPr="00F17FA3">
        <w:t xml:space="preserve"> = AUC from time 0 to 24 hours post-dose;</w:t>
      </w:r>
      <w:r>
        <w:t xml:space="preserve"> </w:t>
      </w:r>
      <w:r w:rsidRPr="00F17FA3">
        <w:t>AUC</w:t>
      </w:r>
      <w:r w:rsidRPr="00F17FA3">
        <w:rPr>
          <w:vertAlign w:val="subscript"/>
        </w:rPr>
        <w:t>0-6h</w:t>
      </w:r>
      <w:r w:rsidRPr="00F17FA3">
        <w:t xml:space="preserve"> = AUC from time 0 to 6 hours post-dose; BLQ = below the lower limit of quantification;</w:t>
      </w:r>
      <w:r>
        <w:t xml:space="preserve"> </w:t>
      </w:r>
      <w:r w:rsidRPr="00F17FA3">
        <w:t>CL</w:t>
      </w:r>
      <w:r w:rsidRPr="00F17FA3">
        <w:rPr>
          <w:vertAlign w:val="subscript"/>
        </w:rPr>
        <w:t>0-24</w:t>
      </w:r>
      <w:r w:rsidRPr="00F17FA3">
        <w:t xml:space="preserve">/F = apparent clearance assessed over the time interval of 0 to 24 hours post-dose; </w:t>
      </w:r>
      <w:proofErr w:type="spellStart"/>
      <w:r w:rsidRPr="00F17FA3">
        <w:t>C</w:t>
      </w:r>
      <w:r w:rsidRPr="00F17FA3">
        <w:rPr>
          <w:vertAlign w:val="subscript"/>
        </w:rPr>
        <w:t>max</w:t>
      </w:r>
      <w:proofErr w:type="spellEnd"/>
      <w:r w:rsidRPr="00F17FA3">
        <w:t xml:space="preserve"> = maximum</w:t>
      </w:r>
      <w:r>
        <w:t xml:space="preserve"> </w:t>
      </w:r>
      <w:r w:rsidRPr="00F17FA3">
        <w:t xml:space="preserve">plasma concentration; </w:t>
      </w:r>
      <w:proofErr w:type="spellStart"/>
      <w:r w:rsidRPr="00F17FA3">
        <w:t>C</w:t>
      </w:r>
      <w:r w:rsidRPr="00F17FA3">
        <w:rPr>
          <w:vertAlign w:val="subscript"/>
        </w:rPr>
        <w:t>trough</w:t>
      </w:r>
      <w:proofErr w:type="spellEnd"/>
      <w:r w:rsidRPr="00F17FA3">
        <w:t xml:space="preserve"> = trough plasma concentration; h = hour(s); L = </w:t>
      </w:r>
      <w:proofErr w:type="spellStart"/>
      <w:r w:rsidRPr="00F17FA3">
        <w:t>liter</w:t>
      </w:r>
      <w:proofErr w:type="spellEnd"/>
      <w:r w:rsidRPr="00F17FA3">
        <w:t>(s); N = number of subjects</w:t>
      </w:r>
      <w:r>
        <w:t xml:space="preserve"> </w:t>
      </w:r>
      <w:r w:rsidRPr="00F17FA3">
        <w:t>with PK results at the specified dosing day; NA = not applicable; NC = not calculated; PFS = prefilled syringe;</w:t>
      </w:r>
      <w:r>
        <w:t xml:space="preserve"> PK = pharmacokinetic(s); SD = standard deviation; t½λz = elimination half-life; </w:t>
      </w:r>
      <w:proofErr w:type="spellStart"/>
      <w:r>
        <w:t>t</w:t>
      </w:r>
      <w:r w:rsidRPr="00F17FA3">
        <w:rPr>
          <w:vertAlign w:val="subscript"/>
        </w:rPr>
        <w:t>max</w:t>
      </w:r>
      <w:proofErr w:type="spellEnd"/>
      <w:r>
        <w:t xml:space="preserve"> = time to maximum concentration.</w:t>
      </w:r>
    </w:p>
    <w:p w14:paraId="204E9754" w14:textId="77777777" w:rsidR="00F17FA3" w:rsidRPr="00F17FA3" w:rsidRDefault="00F17FA3" w:rsidP="00F17FA3">
      <w:r w:rsidRPr="00F17FA3">
        <w:t xml:space="preserve">Population PK analysis identified injection site as a statistically significant covariate for absorption rate, with injections in the arm associated with slower absorption rate, with a 23% lower mean </w:t>
      </w:r>
      <w:proofErr w:type="spellStart"/>
      <w:r w:rsidRPr="00F17FA3">
        <w:t>C</w:t>
      </w:r>
      <w:r w:rsidRPr="00F17FA3">
        <w:rPr>
          <w:vertAlign w:val="subscript"/>
        </w:rPr>
        <w:t>max</w:t>
      </w:r>
      <w:proofErr w:type="spellEnd"/>
      <w:r w:rsidRPr="00F17FA3">
        <w:rPr>
          <w:vertAlign w:val="subscript"/>
        </w:rPr>
        <w:t xml:space="preserve"> </w:t>
      </w:r>
      <w:r w:rsidRPr="00F17FA3">
        <w:t xml:space="preserve">at steady-state compared to abdomen or thigh injection sites, though impact on steady-state AUC and </w:t>
      </w:r>
      <w:proofErr w:type="spellStart"/>
      <w:r w:rsidRPr="00F17FA3">
        <w:t>C</w:t>
      </w:r>
      <w:r w:rsidRPr="00F17FA3">
        <w:rPr>
          <w:vertAlign w:val="subscript"/>
        </w:rPr>
        <w:t>trough</w:t>
      </w:r>
      <w:proofErr w:type="spellEnd"/>
      <w:r w:rsidRPr="00F17FA3">
        <w:rPr>
          <w:vertAlign w:val="subscript"/>
        </w:rPr>
        <w:t xml:space="preserve"> </w:t>
      </w:r>
      <w:r w:rsidRPr="00F17FA3">
        <w:t xml:space="preserve">was minimal. </w:t>
      </w:r>
    </w:p>
    <w:p w14:paraId="02104451" w14:textId="049885DE" w:rsidR="00F17FA3" w:rsidRPr="00F17FA3" w:rsidRDefault="00F17FA3" w:rsidP="00F17FA3">
      <w:r w:rsidRPr="00F17FA3">
        <w:lastRenderedPageBreak/>
        <w:t>The population PK estimates of volume of distribution of the central compartment (</w:t>
      </w:r>
      <w:proofErr w:type="spellStart"/>
      <w:r w:rsidRPr="00F17FA3">
        <w:t>Vc</w:t>
      </w:r>
      <w:proofErr w:type="spellEnd"/>
      <w:r w:rsidRPr="00F17FA3">
        <w:t>/F) and volume of distribution of the peripheral compartment (</w:t>
      </w:r>
      <w:proofErr w:type="spellStart"/>
      <w:r w:rsidRPr="00F17FA3">
        <w:t>Vp</w:t>
      </w:r>
      <w:proofErr w:type="spellEnd"/>
      <w:r w:rsidRPr="00F17FA3">
        <w:t xml:space="preserve">/F) were 12.9 L and 11,100 L, respectively. The </w:t>
      </w:r>
      <w:r w:rsidR="00A606FB">
        <w:t>Sponsor</w:t>
      </w:r>
      <w:r w:rsidRPr="00F17FA3">
        <w:t xml:space="preserve"> reported a pre-clinical study found eplontersen is highly (&gt; 98%) bound to plasma proteins, with little change over a clinically relevant range of 0.1 to 5 </w:t>
      </w:r>
      <w:proofErr w:type="spellStart"/>
      <w:r w:rsidRPr="00F17FA3">
        <w:t>μg</w:t>
      </w:r>
      <w:proofErr w:type="spellEnd"/>
      <w:r w:rsidRPr="00F17FA3">
        <w:t>/</w:t>
      </w:r>
      <w:proofErr w:type="spellStart"/>
      <w:r w:rsidRPr="00F17FA3">
        <w:t>mL.</w:t>
      </w:r>
      <w:proofErr w:type="spellEnd"/>
      <w:r w:rsidRPr="00F17FA3">
        <w:t xml:space="preserve"> The </w:t>
      </w:r>
      <w:r w:rsidR="00A606FB">
        <w:t>Sponsor</w:t>
      </w:r>
      <w:r w:rsidRPr="00F17FA3">
        <w:t xml:space="preserve"> reported a pre-clinical study found the human blood to plasma ratio for eplontersen was between 0.632 and 0.739 over a concentration range of 0.01 to 1 </w:t>
      </w:r>
      <w:proofErr w:type="spellStart"/>
      <w:r w:rsidRPr="00F17FA3">
        <w:t>μg</w:t>
      </w:r>
      <w:proofErr w:type="spellEnd"/>
      <w:r w:rsidRPr="00F17FA3">
        <w:t>/</w:t>
      </w:r>
      <w:proofErr w:type="spellStart"/>
      <w:r w:rsidRPr="00F17FA3">
        <w:t>mL.</w:t>
      </w:r>
      <w:proofErr w:type="spellEnd"/>
      <w:r w:rsidRPr="00F17FA3">
        <w:t xml:space="preserve"> These data suggest that eplontersen distributes mostly in the plasma compartment and that no plasma protein-binding displacement is expected between eplontersen and other highly plasma protein-bound drugs.</w:t>
      </w:r>
    </w:p>
    <w:p w14:paraId="45197FE3" w14:textId="77777777" w:rsidR="00F17FA3" w:rsidRPr="00F17FA3" w:rsidRDefault="00F17FA3" w:rsidP="00F17FA3">
      <w:r w:rsidRPr="00F17FA3">
        <w:t xml:space="preserve">Metabolism is nuclease mediated in tissues, with shortened oligonucleotides rapidly eliminated in the urine. Urinary excretion of eplontersen as total full-length ASO within the first 24 hours post-dose represented a small fraction (&lt; 1%) of the administered dose and was dose independent. </w:t>
      </w:r>
    </w:p>
    <w:p w14:paraId="7E4C0499" w14:textId="0FFBFB03" w:rsidR="00F17FA3" w:rsidRPr="00F17FA3" w:rsidRDefault="00F17FA3" w:rsidP="00F17FA3">
      <w:r w:rsidRPr="00F17FA3">
        <w:t xml:space="preserve">The primary route of elimination of eplontersen is initial rapid hydrolysis of GalNAc conjugate following uptake into tissues, where the unconjugated eplontersen is slowly metabolised by endo- and exonucleases. Terminal elimination half-life is approximately 3 weeks, after which there is rapid urinary excretion of the slowly formed fragmented oligonucleotide metabolites. The </w:t>
      </w:r>
      <w:proofErr w:type="spellStart"/>
      <w:r w:rsidRPr="00F17FA3">
        <w:t>trishexylamino</w:t>
      </w:r>
      <w:proofErr w:type="spellEnd"/>
      <w:r w:rsidRPr="00F17FA3">
        <w:t>-linker undergoes rapid oxidative metabolism in tissues, followed by elimination (&gt; 90%) via biliary excretion, and to a lesser extent, renal excretion, within 24 hours of administration.</w:t>
      </w:r>
    </w:p>
    <w:p w14:paraId="45597052" w14:textId="77777777" w:rsidR="00F17FA3" w:rsidRPr="00F17FA3" w:rsidRDefault="00F17FA3" w:rsidP="00F17FA3">
      <w:r w:rsidRPr="00F17FA3">
        <w:t xml:space="preserve">Eplontersen has not been studied in patients with moderate or severe hepatic impairment or in patients with prior liver transplant. The population PK analysis did not identify mild hepatic impairment category or baseline </w:t>
      </w:r>
      <w:r w:rsidRPr="00F17FA3">
        <w:rPr>
          <w:iCs/>
        </w:rPr>
        <w:t>aspartate aminotransferase</w:t>
      </w:r>
      <w:r w:rsidRPr="00F17FA3">
        <w:t xml:space="preserve"> (AST), </w:t>
      </w:r>
      <w:r w:rsidRPr="00F17FA3">
        <w:rPr>
          <w:iCs/>
        </w:rPr>
        <w:t>alanine aminotransferase</w:t>
      </w:r>
      <w:r w:rsidRPr="00F17FA3">
        <w:t xml:space="preserve"> (ALT), or bilirubin as statistically significant covariates impacting eplontersen PK. No dose adjustment is suggested for patients with mild hepatic impairment (total bilirubin ≤ 1 x upper limit of normal (ULN) and AST &gt;1 x ULN, or total bilirubin &gt; 1.0 to 1.5 x ULN and any AST).</w:t>
      </w:r>
    </w:p>
    <w:p w14:paraId="1336D4AE" w14:textId="273D0795" w:rsidR="00F17FA3" w:rsidRPr="00F17FA3" w:rsidRDefault="00F17FA3" w:rsidP="00F17FA3">
      <w:r w:rsidRPr="00F17FA3">
        <w:t>Eplontersen has not been studied in patients with</w:t>
      </w:r>
      <w:r w:rsidR="006A1465">
        <w:t xml:space="preserve"> an</w:t>
      </w:r>
      <w:r w:rsidRPr="00F17FA3">
        <w:t xml:space="preserve"> </w:t>
      </w:r>
      <w:r w:rsidR="006A1465" w:rsidRPr="006A1465">
        <w:t xml:space="preserve">estimated glomerular filtration rate </w:t>
      </w:r>
      <w:r w:rsidR="006A1465">
        <w:t>(</w:t>
      </w:r>
      <w:r w:rsidRPr="00F17FA3">
        <w:t>eGFR</w:t>
      </w:r>
      <w:r w:rsidR="006A1465">
        <w:t>)</w:t>
      </w:r>
      <w:r w:rsidRPr="00F17FA3">
        <w:t xml:space="preserve"> &lt; 45 mL/min/1.73m</w:t>
      </w:r>
      <w:r w:rsidRPr="00F17FA3">
        <w:rPr>
          <w:vertAlign w:val="superscript"/>
        </w:rPr>
        <w:t>2</w:t>
      </w:r>
      <w:r w:rsidRPr="00F17FA3">
        <w:t xml:space="preserve"> or with end-stage renal disease. The population PK analysis identified baseline eGFR (mL/min/1.73m</w:t>
      </w:r>
      <w:r w:rsidRPr="00F17FA3">
        <w:rPr>
          <w:vertAlign w:val="superscript"/>
        </w:rPr>
        <w:t>2</w:t>
      </w:r>
      <w:r w:rsidRPr="00F17FA3">
        <w:t xml:space="preserve">) as a statistically significant covariate on eplontersen PK, where lower baseline eGFR was associated with lower eplontersen clearance. This was based on limited data, with only 3 (1%) participants with moderate renal impairment (defined as eGFR 30 to &lt; 60) and 59 (26%) participants with mild renal impairment (eGFR 60 to &lt;90) included in the analysis. Whilst modelling suggested higher steady-state AUC₀-τ, </w:t>
      </w:r>
      <w:proofErr w:type="spellStart"/>
      <w:r w:rsidRPr="00F17FA3">
        <w:t>C</w:t>
      </w:r>
      <w:r w:rsidRPr="00F17FA3">
        <w:rPr>
          <w:vertAlign w:val="subscript"/>
        </w:rPr>
        <w:t>max</w:t>
      </w:r>
      <w:proofErr w:type="spellEnd"/>
      <w:r w:rsidRPr="00F17FA3">
        <w:t xml:space="preserve">, and </w:t>
      </w:r>
      <w:proofErr w:type="spellStart"/>
      <w:r w:rsidRPr="00F17FA3">
        <w:t>C</w:t>
      </w:r>
      <w:r w:rsidRPr="00F17FA3">
        <w:rPr>
          <w:vertAlign w:val="subscript"/>
        </w:rPr>
        <w:t>trough</w:t>
      </w:r>
      <w:proofErr w:type="spellEnd"/>
      <w:r w:rsidRPr="00F17FA3">
        <w:t xml:space="preserve"> values compared to an individual with normal renal function, the </w:t>
      </w:r>
      <w:r w:rsidR="00A606FB">
        <w:t>Sponsor</w:t>
      </w:r>
      <w:r w:rsidRPr="00F17FA3">
        <w:t xml:space="preserve"> noted these differences in exposures were small compared with the within-group variability and were not considered clinically meaningful. No dose adjustment is suggested in patients with mild to moderate renal impairment (eGFR ≥ 45 to &lt; 90).</w:t>
      </w:r>
    </w:p>
    <w:p w14:paraId="3989D75A" w14:textId="77777777" w:rsidR="00F17FA3" w:rsidRPr="00F17FA3" w:rsidRDefault="00F17FA3" w:rsidP="00F17FA3">
      <w:r w:rsidRPr="00F17FA3">
        <w:t xml:space="preserve">In the population PK analysis, age was not identified as a statistically significant covariate impacting eplontersen PK.  No dose adjustment is suggested based on age. The age range of participants in clinical studies was 23 to 82 years old. Of note, anti-drug antibody (ADA) positive participants were excluded from PK modelling. </w:t>
      </w:r>
    </w:p>
    <w:p w14:paraId="78175DC0" w14:textId="77777777" w:rsidR="00F17FA3" w:rsidRPr="00F17FA3" w:rsidRDefault="00F17FA3" w:rsidP="00F17FA3">
      <w:r w:rsidRPr="00F17FA3">
        <w:t xml:space="preserve">Based on totality of evaluable PK data, at 45 mg Q4W dosing, no dose adjustments were recommended based on body weight, sex, age, race, disease stage, drug product presentation, or injection site. </w:t>
      </w:r>
    </w:p>
    <w:p w14:paraId="33748896" w14:textId="28AE9359" w:rsidR="00F17FA3" w:rsidRPr="00F17FA3" w:rsidRDefault="00F17FA3" w:rsidP="00F17FA3">
      <w:r w:rsidRPr="00182D59">
        <w:rPr>
          <w:i/>
          <w:iCs/>
        </w:rPr>
        <w:t>In vitro</w:t>
      </w:r>
      <w:r w:rsidRPr="00F17FA3">
        <w:t xml:space="preserve"> studies were reported by the </w:t>
      </w:r>
      <w:r w:rsidR="00A606FB">
        <w:t>Sponsor</w:t>
      </w:r>
      <w:r w:rsidRPr="00F17FA3">
        <w:t xml:space="preserve"> to show that eplontersen is not an inhibitor or an inducer of CYP enzymes nor a substrate or inhibitor of transporters, and it does not interact with highly plasma protein-bound drugs. No drug-drug interaction was reported to be observed in vitro </w:t>
      </w:r>
      <w:proofErr w:type="gramStart"/>
      <w:r w:rsidRPr="00F17FA3">
        <w:t>with regard to</w:t>
      </w:r>
      <w:proofErr w:type="gramEnd"/>
      <w:r w:rsidRPr="00F17FA3">
        <w:t xml:space="preserve"> plasma protein binding displacement between eplontersen and highly </w:t>
      </w:r>
      <w:r w:rsidRPr="00F17FA3">
        <w:lastRenderedPageBreak/>
        <w:t>plasma protein-bound drugs, warfarin and ibuprofen. Dedicated clinical drug interaction studies with eplontersen were not conducted.</w:t>
      </w:r>
    </w:p>
    <w:p w14:paraId="18A8A375" w14:textId="4CE6E91B" w:rsidR="00F17FA3" w:rsidRPr="00F17FA3" w:rsidRDefault="006A1465" w:rsidP="00F17FA3">
      <w:r>
        <w:t xml:space="preserve">The </w:t>
      </w:r>
      <w:r w:rsidR="00F17FA3" w:rsidRPr="00F17FA3">
        <w:t>PK for eplontersen</w:t>
      </w:r>
      <w:r>
        <w:t xml:space="preserve"> were comprehensively characterised and all three</w:t>
      </w:r>
      <w:r w:rsidR="00F17FA3" w:rsidRPr="00F17FA3">
        <w:t xml:space="preserve"> proposed administration sites, namely abdomen, thigh and arm, </w:t>
      </w:r>
      <w:r w:rsidR="005802B1">
        <w:t>are</w:t>
      </w:r>
      <w:r w:rsidR="00F17FA3" w:rsidRPr="00F17FA3">
        <w:t xml:space="preserve"> suitable for clinical use </w:t>
      </w:r>
      <w:proofErr w:type="gramStart"/>
      <w:r w:rsidR="00F17FA3" w:rsidRPr="00F17FA3">
        <w:t>on the basis of</w:t>
      </w:r>
      <w:proofErr w:type="gramEnd"/>
      <w:r w:rsidR="00F17FA3" w:rsidRPr="00F17FA3">
        <w:t xml:space="preserve"> PK data. </w:t>
      </w:r>
    </w:p>
    <w:p w14:paraId="1893857D" w14:textId="77777777" w:rsidR="00F17FA3" w:rsidRPr="00F17FA3" w:rsidRDefault="00F17FA3" w:rsidP="00F17FA3">
      <w:pPr>
        <w:pStyle w:val="Heading5"/>
      </w:pPr>
      <w:r w:rsidRPr="00F17FA3">
        <w:t>Bioequivalence of different presentations</w:t>
      </w:r>
    </w:p>
    <w:p w14:paraId="6E74D8E9" w14:textId="47EE88A7" w:rsidR="00F17FA3" w:rsidRPr="00F17FA3" w:rsidRDefault="00F17FA3" w:rsidP="00F17FA3">
      <w:r w:rsidRPr="00F17FA3">
        <w:t xml:space="preserve">A vial and syringe presentation (eplontersen 150 mg/mL, 0.3 mL) was used in the clinical development program. The intended commercial presentation includes a </w:t>
      </w:r>
      <w:r w:rsidR="005802B1">
        <w:t>pre-filled syringe</w:t>
      </w:r>
      <w:r w:rsidRPr="00F17FA3">
        <w:t xml:space="preserve"> with </w:t>
      </w:r>
      <w:r w:rsidR="005802B1">
        <w:t>an automatic injector</w:t>
      </w:r>
      <w:r w:rsidRPr="00F17FA3">
        <w:t xml:space="preserve"> (</w:t>
      </w:r>
      <w:r w:rsidR="005802B1">
        <w:t xml:space="preserve">AI; </w:t>
      </w:r>
      <w:r w:rsidRPr="00F17FA3">
        <w:t>56 mg/mL, 0.8 mL).</w:t>
      </w:r>
    </w:p>
    <w:p w14:paraId="13B24DF2" w14:textId="77777777" w:rsidR="00F17FA3" w:rsidRPr="00F17FA3" w:rsidRDefault="00F17FA3" w:rsidP="00F17FA3">
      <w:r w:rsidRPr="00F17FA3">
        <w:t>Study CS21 was conducted to determine the bioequivalence between three product presentations (including vial and syringe and AI). While the study demonstrated no difference between AUC</w:t>
      </w:r>
      <w:r w:rsidRPr="00F17FA3">
        <w:rPr>
          <w:vertAlign w:val="subscript"/>
        </w:rPr>
        <w:t>0-168h</w:t>
      </w:r>
      <w:r w:rsidRPr="00F17FA3">
        <w:t xml:space="preserve"> when using the AI when compared to the vial and syringe, the 90% confidence intervals (CIs) of the geometric mean ratio for </w:t>
      </w:r>
      <w:proofErr w:type="spellStart"/>
      <w:r w:rsidRPr="00F17FA3">
        <w:t>C</w:t>
      </w:r>
      <w:r w:rsidRPr="00F17FA3">
        <w:rPr>
          <w:vertAlign w:val="subscript"/>
        </w:rPr>
        <w:t>max</w:t>
      </w:r>
      <w:proofErr w:type="spellEnd"/>
      <w:r w:rsidRPr="00F17FA3">
        <w:t xml:space="preserve"> exceeded the standard bioequivalence upper boundary criteria of 125% by 3.17%. </w:t>
      </w:r>
    </w:p>
    <w:p w14:paraId="3A64F496" w14:textId="77777777" w:rsidR="00F17FA3" w:rsidRPr="00F17FA3" w:rsidRDefault="00F17FA3" w:rsidP="00F17FA3">
      <w:r w:rsidRPr="00F17FA3">
        <w:t xml:space="preserve">Based on the population PK and PK/PD analysis, the AI presentation had a slightly higher (6.25%) nominal delivered dose and faster absorption rate compared with vial and syringe. These differences resulted in a 23% higher steady-state </w:t>
      </w:r>
      <w:proofErr w:type="spellStart"/>
      <w:r w:rsidRPr="00F17FA3">
        <w:t>C</w:t>
      </w:r>
      <w:r w:rsidRPr="00F17FA3">
        <w:rPr>
          <w:vertAlign w:val="subscript"/>
        </w:rPr>
        <w:t>max</w:t>
      </w:r>
      <w:proofErr w:type="spellEnd"/>
      <w:r w:rsidRPr="00F17FA3">
        <w:t xml:space="preserve">, 7% higher </w:t>
      </w:r>
      <w:proofErr w:type="spellStart"/>
      <w:r w:rsidRPr="00F17FA3">
        <w:t>C</w:t>
      </w:r>
      <w:r w:rsidRPr="00F17FA3">
        <w:rPr>
          <w:vertAlign w:val="subscript"/>
        </w:rPr>
        <w:t>trough</w:t>
      </w:r>
      <w:proofErr w:type="spellEnd"/>
      <w:r w:rsidRPr="00F17FA3">
        <w:t>, and 6% higher AUC</w:t>
      </w:r>
      <w:r w:rsidRPr="00F17FA3">
        <w:rPr>
          <w:vertAlign w:val="subscript"/>
        </w:rPr>
        <w:t>0-τ</w:t>
      </w:r>
      <w:r w:rsidRPr="00F17FA3">
        <w:t>.</w:t>
      </w:r>
    </w:p>
    <w:p w14:paraId="4E07F6C2" w14:textId="53419358" w:rsidR="00F17FA3" w:rsidRPr="00F17FA3" w:rsidRDefault="00F17FA3" w:rsidP="00F17FA3">
      <w:r w:rsidRPr="00F17FA3">
        <w:t xml:space="preserve">The differences in PK parameters identified between the AI and vial and syringe presentations did not translate into any differences in serum TTR concentration reduction, suggesting no clinically meaningful effect on PD. The overall clinical development program showed consistent safety profile between different presentations. The </w:t>
      </w:r>
      <w:r w:rsidR="00A606FB">
        <w:t>Sponsor</w:t>
      </w:r>
      <w:r w:rsidRPr="00F17FA3">
        <w:t xml:space="preserve"> contends that small observed differences in PK parameters with the AI presentation are not expected to have any clinically meaningful effect on safety or efficacy of eplontersen. </w:t>
      </w:r>
    </w:p>
    <w:p w14:paraId="22924945" w14:textId="350DDD5D" w:rsidR="00F17FA3" w:rsidRPr="00F17FA3" w:rsidRDefault="0006628C" w:rsidP="00F17FA3">
      <w:r>
        <w:t xml:space="preserve">It was </w:t>
      </w:r>
      <w:r w:rsidR="00F17FA3" w:rsidRPr="00F17FA3">
        <w:t xml:space="preserve">concluded that the AI presentation was likely therapeutically equivalent to the vial and syringe presentation, notwithstanding bioequivalence criteria for </w:t>
      </w:r>
      <w:proofErr w:type="spellStart"/>
      <w:r w:rsidR="00F17FA3" w:rsidRPr="00F17FA3">
        <w:t>C</w:t>
      </w:r>
      <w:r w:rsidR="00F17FA3" w:rsidRPr="00F17FA3">
        <w:rPr>
          <w:vertAlign w:val="subscript"/>
        </w:rPr>
        <w:t>max</w:t>
      </w:r>
      <w:proofErr w:type="spellEnd"/>
      <w:r w:rsidR="00F17FA3" w:rsidRPr="00F17FA3">
        <w:rPr>
          <w:vertAlign w:val="subscript"/>
        </w:rPr>
        <w:t xml:space="preserve"> </w:t>
      </w:r>
      <w:r w:rsidR="00F17FA3" w:rsidRPr="00F17FA3">
        <w:t xml:space="preserve">not being met in study CS21. </w:t>
      </w:r>
    </w:p>
    <w:p w14:paraId="611198E8" w14:textId="4927A84F" w:rsidR="00F17FA3" w:rsidRPr="00F17FA3" w:rsidRDefault="00F17FA3" w:rsidP="00F17FA3">
      <w:pPr>
        <w:pStyle w:val="Heading5"/>
      </w:pPr>
      <w:r w:rsidRPr="00F17FA3">
        <w:t>Pharmacodynamics</w:t>
      </w:r>
    </w:p>
    <w:p w14:paraId="7B23E900" w14:textId="77777777" w:rsidR="00F17FA3" w:rsidRPr="00F17FA3" w:rsidRDefault="00F17FA3" w:rsidP="00F17FA3">
      <w:r w:rsidRPr="00F17FA3">
        <w:t xml:space="preserve">Evaluable PD data was included in studies CS1, CS20 (healthy participants of Japanese ancestry), CS3, a population PK/PD report, QT studies (CS1 and CS20), CS21 (bioequivalence studies), and via an exposure-response report. </w:t>
      </w:r>
    </w:p>
    <w:p w14:paraId="2BAE9458" w14:textId="77777777" w:rsidR="00F17FA3" w:rsidRPr="00F17FA3" w:rsidRDefault="00F17FA3" w:rsidP="00F17FA3">
      <w:r w:rsidRPr="00F17FA3">
        <w:t xml:space="preserve">PD data were analysed as change and percent change from baseline (Δ) in serum TTR concentration following SC administration of single (45 to 120 mg) and multiple (45 to 90 mg) doses for eplontersen in studies CS1, CS20, CS21, and CS3. </w:t>
      </w:r>
    </w:p>
    <w:p w14:paraId="637DCACF" w14:textId="77777777" w:rsidR="00F17FA3" w:rsidRPr="00F17FA3" w:rsidRDefault="00F17FA3" w:rsidP="00F17FA3">
      <w:r w:rsidRPr="00F17FA3">
        <w:t xml:space="preserve">In healthy volunteers, a reduction in serum TTR concentration was observed across all studies from the first post-dose measurement on day 8 and remained reduced through the last day of each study (up to 3 months post-dose). The administration of single and multiple doses of eplontersen resulted in dose-dependent reductions in serum TTR concentrations in healthy volunteers. </w:t>
      </w:r>
    </w:p>
    <w:p w14:paraId="6BDA550B" w14:textId="77777777" w:rsidR="00F17FA3" w:rsidRPr="00F17FA3" w:rsidRDefault="00F17FA3" w:rsidP="00F17FA3">
      <w:r w:rsidRPr="00F17FA3">
        <w:t xml:space="preserve">In participants with ATTRv-PN, a reduction in serum TTR concentration was observed from the first assessment (week 5) and the mean percent serum TTR concentration reduction was 82-83% across the major analysis time points of week 35, 65 and 85. </w:t>
      </w:r>
    </w:p>
    <w:p w14:paraId="31FD6BC7" w14:textId="417E6BCA" w:rsidR="00F17FA3" w:rsidRPr="00F17FA3" w:rsidRDefault="00F17FA3" w:rsidP="00F17FA3">
      <w:r w:rsidRPr="00F17FA3">
        <w:lastRenderedPageBreak/>
        <w:t xml:space="preserve">Based on the </w:t>
      </w:r>
      <w:proofErr w:type="spellStart"/>
      <w:r w:rsidRPr="00F17FA3">
        <w:t>popPK</w:t>
      </w:r>
      <w:proofErr w:type="spellEnd"/>
      <w:r w:rsidR="00734128">
        <w:t>/</w:t>
      </w:r>
      <w:r w:rsidRPr="00F17FA3">
        <w:t>PD analysis, steady-state for serum TTR concentration reduction was reached after approximately 17 weeks in participants with ATTRv-PN following SC administration of 45 mg eplontersen q4w.</w:t>
      </w:r>
    </w:p>
    <w:p w14:paraId="621C709B" w14:textId="23B5C112" w:rsidR="00F17FA3" w:rsidRPr="00F17FA3" w:rsidRDefault="00F17FA3" w:rsidP="00F17FA3">
      <w:r w:rsidRPr="00F17FA3">
        <w:t xml:space="preserve">In study CS3, mean serum vitamin A concentrations at baseline were similar in the eplontersen and external placebo groups (52.2 and 53.1 µg/dL, respectively). Most of the participants in the eplontersen group (95.1%) and historical </w:t>
      </w:r>
      <w:proofErr w:type="spellStart"/>
      <w:r w:rsidRPr="00F17FA3">
        <w:t>inotersen</w:t>
      </w:r>
      <w:proofErr w:type="spellEnd"/>
      <w:r w:rsidRPr="00F17FA3">
        <w:t xml:space="preserve"> group (90.1%) had post-baseline vitamin A value &lt; </w:t>
      </w:r>
      <w:r w:rsidR="0006628C">
        <w:t>lower limit of normal (</w:t>
      </w:r>
      <w:r w:rsidRPr="00F17FA3">
        <w:t>LLN</w:t>
      </w:r>
      <w:r w:rsidR="0006628C">
        <w:t>)</w:t>
      </w:r>
      <w:r w:rsidRPr="00F17FA3">
        <w:t xml:space="preserve"> compared with 3.3% of participants in the external placebo group. In the eplontersen group the mean vitamin A level reduced from baseline by 70.5% and 62.6% at week 37 and 65, respectively. Of all participants treated with eplontersen, 87.2 % of participants who had normal vitamin A levels at baseline had low vitamin A levels during treatment. Whilst mean retinyl palmitate levels measured in study CS3, representing an alternative source of vitamin A, remained steady across study duration in both eplontersen and external control groups</w:t>
      </w:r>
      <w:r w:rsidR="00484C23">
        <w:t>,</w:t>
      </w:r>
      <w:r w:rsidRPr="00F17FA3">
        <w:t xml:space="preserve"> the dossier did not include evidence to contextualise the clinical implications of this. </w:t>
      </w:r>
    </w:p>
    <w:p w14:paraId="7818D6CD" w14:textId="77777777" w:rsidR="00F17FA3" w:rsidRPr="00F17FA3" w:rsidRDefault="00F17FA3" w:rsidP="00F17FA3">
      <w:pPr>
        <w:rPr>
          <w:i/>
          <w:iCs/>
        </w:rPr>
      </w:pPr>
      <w:r w:rsidRPr="00F17FA3">
        <w:t xml:space="preserve">There was no evidence of clinically significant effect on corrected QT interval, though a thorough QT study was not conducted owing to the lack of known class effect for 2′-O-methoxyethyl ASOs.  </w:t>
      </w:r>
    </w:p>
    <w:p w14:paraId="6BF57746" w14:textId="7C1DCCB8" w:rsidR="00F17FA3" w:rsidRPr="00F17FA3" w:rsidRDefault="0006628C" w:rsidP="00F17FA3">
      <w:r>
        <w:t>T</w:t>
      </w:r>
      <w:r w:rsidR="00F17FA3" w:rsidRPr="00F17FA3">
        <w:t>he clinical treatment target of reduction in serum TTR level greater than 80% from baseline</w:t>
      </w:r>
      <w:r>
        <w:t xml:space="preserve"> </w:t>
      </w:r>
      <w:r w:rsidR="00F17FA3" w:rsidRPr="00F17FA3">
        <w:t xml:space="preserve">supports the clinical relevance of the PD data obtained in patients with ATTRv-PN included in the dossier. </w:t>
      </w:r>
    </w:p>
    <w:p w14:paraId="42ED9B8F" w14:textId="77777777" w:rsidR="00F17FA3" w:rsidRPr="00F17FA3" w:rsidRDefault="00F17FA3" w:rsidP="00F17FA3">
      <w:pPr>
        <w:pStyle w:val="Heading4"/>
      </w:pPr>
      <w:bookmarkStart w:id="45" w:name="_Toc242958202"/>
      <w:r w:rsidRPr="00F17FA3">
        <w:t>Efficacy</w:t>
      </w:r>
      <w:bookmarkEnd w:id="45"/>
    </w:p>
    <w:p w14:paraId="3075A2C7" w14:textId="77777777" w:rsidR="00F17FA3" w:rsidRPr="00F17FA3" w:rsidRDefault="00F17FA3" w:rsidP="00F17FA3">
      <w:pPr>
        <w:pStyle w:val="Heading5"/>
      </w:pPr>
      <w:r w:rsidRPr="00F17FA3">
        <w:t>Dose finding</w:t>
      </w:r>
    </w:p>
    <w:p w14:paraId="2BF2805D" w14:textId="44A47643" w:rsidR="00F17FA3" w:rsidRPr="00F17FA3" w:rsidRDefault="00F17FA3" w:rsidP="00F17FA3">
      <w:r w:rsidRPr="00F17FA3">
        <w:t xml:space="preserve">Based on known characteristics of ASOs, being hydrophilic and distributing predominantly to the lean body mass, and results from nonclinical studies the </w:t>
      </w:r>
      <w:r w:rsidR="00A606FB">
        <w:t>Sponsor</w:t>
      </w:r>
      <w:r w:rsidRPr="00F17FA3">
        <w:t xml:space="preserve"> proceeded with fixed dosing as opposed to dosing by body weight. An eplontersen dose of 45 mg Q4W was determined as the optimal dose to evaluate in the phase 3 clinical program, based on the achieved reduction in serum TTR concentration and acceptable safety profile in study CS1 in healthy volunteers. </w:t>
      </w:r>
    </w:p>
    <w:p w14:paraId="113341FC" w14:textId="312ADF84" w:rsidR="00F17FA3" w:rsidRPr="00F17FA3" w:rsidRDefault="00F17FA3" w:rsidP="00F17FA3">
      <w:r w:rsidRPr="00F17FA3">
        <w:t xml:space="preserve">A comparison of the Q4W with monthly administration frequency was performed using the final population PK and PK/PD models and applying the covariate distribution from study CS3 in patients with ATTRv-PN. The comparison between the Q4W and monthly dosing regimens showed no clinically meaningful differences in the simulated PK exposure metrics (steady-state </w:t>
      </w:r>
      <w:proofErr w:type="spellStart"/>
      <w:r w:rsidRPr="00F17FA3">
        <w:t>C</w:t>
      </w:r>
      <w:r w:rsidRPr="00F17FA3">
        <w:rPr>
          <w:vertAlign w:val="subscript"/>
        </w:rPr>
        <w:t>max</w:t>
      </w:r>
      <w:proofErr w:type="spellEnd"/>
      <w:r w:rsidRPr="00F17FA3">
        <w:t xml:space="preserve">, </w:t>
      </w:r>
      <w:proofErr w:type="spellStart"/>
      <w:r w:rsidRPr="00F17FA3">
        <w:t>C</w:t>
      </w:r>
      <w:r w:rsidRPr="00F17FA3">
        <w:rPr>
          <w:vertAlign w:val="subscript"/>
        </w:rPr>
        <w:t>trough</w:t>
      </w:r>
      <w:proofErr w:type="spellEnd"/>
      <w:r w:rsidRPr="00F17FA3">
        <w:t>, and AUC</w:t>
      </w:r>
      <w:r w:rsidRPr="00F17FA3">
        <w:rPr>
          <w:vertAlign w:val="subscript"/>
        </w:rPr>
        <w:t>0-τ</w:t>
      </w:r>
      <w:r w:rsidRPr="00F17FA3">
        <w:t xml:space="preserve">) or serum TTR concentration reduction. The </w:t>
      </w:r>
      <w:r w:rsidR="00A606FB">
        <w:t>Sponsor</w:t>
      </w:r>
      <w:r w:rsidRPr="00F17FA3">
        <w:t xml:space="preserve">’s position therefore is that monthly dosing is expected to result in comparable safety and efficacy to Q4W administration, with the proposed dosing in this application being monthly. </w:t>
      </w:r>
    </w:p>
    <w:p w14:paraId="76771DFC" w14:textId="77777777" w:rsidR="00F17FA3" w:rsidRPr="00F17FA3" w:rsidRDefault="00F17FA3" w:rsidP="00F17FA3">
      <w:pPr>
        <w:pStyle w:val="Heading5"/>
      </w:pPr>
      <w:r w:rsidRPr="00F17FA3">
        <w:t>Studies providing evaluable efficacy data</w:t>
      </w:r>
    </w:p>
    <w:p w14:paraId="52C64AA6" w14:textId="77777777" w:rsidR="00F17FA3" w:rsidRPr="00F17FA3" w:rsidRDefault="00F17FA3" w:rsidP="00F17FA3">
      <w:r w:rsidRPr="00F17FA3">
        <w:t>The dossier included 1 pivotal phase 3 clinical study, CS3 (NEURO-</w:t>
      </w:r>
      <w:proofErr w:type="spellStart"/>
      <w:r w:rsidRPr="00F17FA3">
        <w:t>TTRransform</w:t>
      </w:r>
      <w:proofErr w:type="spellEnd"/>
      <w:r w:rsidRPr="00F17FA3">
        <w:t xml:space="preserve">). Study CS13, a phase 3 long-term extension study up to 3 years enrolling subjects completing study CS3 or study CS101, remains ongoing and efficacy data was not provided in the dossier.  </w:t>
      </w:r>
    </w:p>
    <w:p w14:paraId="1C2AB71F" w14:textId="77777777" w:rsidR="00F17FA3" w:rsidRPr="00F17FA3" w:rsidRDefault="00F17FA3" w:rsidP="00F17FA3">
      <w:pPr>
        <w:pStyle w:val="Heading5"/>
      </w:pPr>
      <w:r w:rsidRPr="00F17FA3">
        <w:t>Pivotal study: CS3</w:t>
      </w:r>
    </w:p>
    <w:p w14:paraId="5ECB2618" w14:textId="6DAE2EA5" w:rsidR="00F17FA3" w:rsidRDefault="00F17FA3" w:rsidP="00F17FA3">
      <w:r w:rsidRPr="00F17FA3">
        <w:t xml:space="preserve">This was a phase 3, multicentre, open-label, external control, randomised study designed to evaluate superiority of eplontersen versus external placebo control in slowing disease progression of ATTRv-PN, conducted between December 2019 and March 2023 across 17 international sites, including Australia. The </w:t>
      </w:r>
      <w:r w:rsidR="00A606FB">
        <w:t>Sponsor</w:t>
      </w:r>
      <w:r w:rsidRPr="00F17FA3">
        <w:t xml:space="preserve">’s rationale for external control groups was that administration of a placebo would be unethical given the availability of approved therapies </w:t>
      </w:r>
      <w:r w:rsidRPr="00F17FA3">
        <w:lastRenderedPageBreak/>
        <w:t xml:space="preserve">for what constitutes a progressive and life-threatening condition. Efficacy of eplontersen was evaluated by comparison with 3 other treatment groups, as outlined in Figure </w:t>
      </w:r>
      <w:r>
        <w:t>2</w:t>
      </w:r>
      <w:r w:rsidRPr="00F17FA3">
        <w:t xml:space="preserve">, namely an external placebo group sourced from study ISIS 420915-CS2 which was conducted from March 2013 to March 2017, a concurrent </w:t>
      </w:r>
      <w:proofErr w:type="spellStart"/>
      <w:r w:rsidRPr="00F17FA3">
        <w:t>inotersen</w:t>
      </w:r>
      <w:proofErr w:type="spellEnd"/>
      <w:r w:rsidRPr="00F17FA3">
        <w:t xml:space="preserve"> group, and a historical </w:t>
      </w:r>
      <w:proofErr w:type="spellStart"/>
      <w:r w:rsidRPr="00F17FA3">
        <w:t>inotersen</w:t>
      </w:r>
      <w:proofErr w:type="spellEnd"/>
      <w:r w:rsidRPr="00F17FA3">
        <w:t xml:space="preserve"> group. The primary objective was to evaluate the efficacy of eplontersen, compared with external placebo, with regards to serum TTR concentration, modified Neuropathy Impairment Score + 7 (mNIS+7) composite score, and Norfolk Quality of Life – Diabetic Neuropathy (QoL-DN) total score over 65 weeks of treatment. Study ISIS 420915-CS2, from which the external placebo control group was sourced, was a phase 2/3 randomised, double-blind, placebo-controlled study to assess efficacy and safety of eplontersen in subjects with amyloid polyneuropathy.</w:t>
      </w:r>
    </w:p>
    <w:p w14:paraId="713E1163" w14:textId="64D64F53" w:rsidR="00F17FA3" w:rsidRDefault="00F17FA3" w:rsidP="00F17FA3">
      <w:pPr>
        <w:pStyle w:val="FigureTitle"/>
      </w:pPr>
      <w:r w:rsidRPr="00F17FA3">
        <w:t xml:space="preserve">Figure </w:t>
      </w:r>
      <w:r>
        <w:t>2</w:t>
      </w:r>
      <w:r w:rsidRPr="00F17FA3">
        <w:t>. Study scheme for clinical study CS3.</w:t>
      </w:r>
    </w:p>
    <w:p w14:paraId="1FB4B05A" w14:textId="71DE28EF" w:rsidR="00F17FA3" w:rsidRPr="00B15A05" w:rsidRDefault="00F17FA3" w:rsidP="00F17FA3">
      <w:r>
        <w:rPr>
          <w:noProof/>
        </w:rPr>
        <w:drawing>
          <wp:inline distT="0" distB="0" distL="0" distR="0" wp14:anchorId="72D55A86" wp14:editId="0790E6CD">
            <wp:extent cx="5731510" cy="1947545"/>
            <wp:effectExtent l="0" t="0" r="2540" b="0"/>
            <wp:docPr id="1789295250" name="Picture 1" descr="Figure 2. Study scheme for clinical study C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295250" name="Picture 1" descr="Figure 2. Study scheme for clinical study CS3."/>
                    <pic:cNvPicPr/>
                  </pic:nvPicPr>
                  <pic:blipFill rotWithShape="1">
                    <a:blip r:embed="rId24">
                      <a:extLst>
                        <a:ext uri="{BEBA8EAE-BF5A-486C-A8C5-ECC9F3942E4B}">
                          <a14:imgProps xmlns:a14="http://schemas.microsoft.com/office/drawing/2010/main">
                            <a14:imgLayer r:embed="rId25">
                              <a14:imgEffect>
                                <a14:sharpenSoften amount="25000"/>
                              </a14:imgEffect>
                            </a14:imgLayer>
                          </a14:imgProps>
                        </a:ext>
                      </a:extLst>
                    </a:blip>
                    <a:srcRect b="13216"/>
                    <a:stretch>
                      <a:fillRect/>
                    </a:stretch>
                  </pic:blipFill>
                  <pic:spPr bwMode="auto">
                    <a:xfrm>
                      <a:off x="0" y="0"/>
                      <a:ext cx="5731510" cy="1947545"/>
                    </a:xfrm>
                    <a:prstGeom prst="rect">
                      <a:avLst/>
                    </a:prstGeom>
                    <a:ln>
                      <a:noFill/>
                    </a:ln>
                    <a:extLst>
                      <a:ext uri="{53640926-AAD7-44D8-BBD7-CCE9431645EC}">
                        <a14:shadowObscured xmlns:a14="http://schemas.microsoft.com/office/drawing/2010/main"/>
                      </a:ext>
                    </a:extLst>
                  </pic:spPr>
                </pic:pic>
              </a:graphicData>
            </a:graphic>
          </wp:inline>
        </w:drawing>
      </w:r>
    </w:p>
    <w:p w14:paraId="7AB1BFA1" w14:textId="77777777" w:rsidR="00F17FA3" w:rsidRPr="00F17FA3" w:rsidRDefault="00F17FA3" w:rsidP="00F17FA3">
      <w:bookmarkStart w:id="46" w:name="_Toc314842514"/>
      <w:r w:rsidRPr="00F17FA3">
        <w:t>Key inclusion criteria for study CS3 were adults aged 18 to 82 years, with ATTRv-PN defined as stage 1 (ambulatory without assistance) or stage 2 (ambulatory with assistance) according to the Familial Amyloid Polyneuropathy or Coutinho Stage, documented genetic mutation in the TTR gene, and Symptoms and signs consistent with neuropathy associated with ATTR, including Neuropathy Impairment Score (NIS) ≥ 10 and ≤ 130. Key exclusion criteria included features on medical history including certain infections, malignancy within 5 years, and other causes of sensorimotor or autonomic neuropathy, diabetes mellitus, certain abnormalities on laboratory results at screening, notably eGFR &lt; 45 mL/min/1.73 m</w:t>
      </w:r>
      <w:r w:rsidRPr="00F17FA3">
        <w:rPr>
          <w:vertAlign w:val="superscript"/>
        </w:rPr>
        <w:t>2</w:t>
      </w:r>
      <w:r w:rsidRPr="00F17FA3">
        <w:t xml:space="preserve">, and current treatment with any approved drug for ATTRv or previous treatment with </w:t>
      </w:r>
      <w:proofErr w:type="spellStart"/>
      <w:r w:rsidRPr="00F17FA3">
        <w:t>inotersen</w:t>
      </w:r>
      <w:proofErr w:type="spellEnd"/>
      <w:r w:rsidRPr="00F17FA3">
        <w:t xml:space="preserve"> or patisiran or other oligonucleotide or RNA therapeutic (excluding COVID-19 vaccines). Concomitant treatment with tafamidis was also excluded. Of note, for study ISIS 420915-CS2 participants were excluded with eGFR was &lt; 60 mL/min/1.73 m</w:t>
      </w:r>
      <w:r w:rsidRPr="00F17FA3">
        <w:rPr>
          <w:vertAlign w:val="superscript"/>
        </w:rPr>
        <w:t>2</w:t>
      </w:r>
      <w:r w:rsidRPr="00F17FA3">
        <w:t xml:space="preserve">. </w:t>
      </w:r>
    </w:p>
    <w:p w14:paraId="10117C6D" w14:textId="77777777" w:rsidR="00F17FA3" w:rsidRPr="00F17FA3" w:rsidRDefault="00F17FA3" w:rsidP="00F17FA3">
      <w:r w:rsidRPr="00F17FA3">
        <w:t xml:space="preserve">Eligible patients were randomised 6:1 to eplontersen or </w:t>
      </w:r>
      <w:proofErr w:type="spellStart"/>
      <w:r w:rsidRPr="00F17FA3">
        <w:t>inotersen</w:t>
      </w:r>
      <w:proofErr w:type="spellEnd"/>
      <w:r w:rsidRPr="00F17FA3">
        <w:t xml:space="preserve">. Patients in the eplontersen group received 45 mg eplontersen SC (0.3 mL) Q4W up to and including week 81. Patients in both </w:t>
      </w:r>
      <w:proofErr w:type="spellStart"/>
      <w:r w:rsidRPr="00F17FA3">
        <w:t>inotersen</w:t>
      </w:r>
      <w:proofErr w:type="spellEnd"/>
      <w:r w:rsidRPr="00F17FA3">
        <w:t xml:space="preserve"> cohorts received 300 mg SC Q1W. For those in study CS3 randomised to </w:t>
      </w:r>
      <w:proofErr w:type="spellStart"/>
      <w:r w:rsidRPr="00F17FA3">
        <w:t>inotersen</w:t>
      </w:r>
      <w:proofErr w:type="spellEnd"/>
      <w:r w:rsidRPr="00F17FA3">
        <w:t xml:space="preserve"> this was administered up to week 34, and from week 37 to week 81 these subjects switched to eplontersen 45 mg Q4W. The historical </w:t>
      </w:r>
      <w:proofErr w:type="spellStart"/>
      <w:r w:rsidRPr="00F17FA3">
        <w:t>inotersen</w:t>
      </w:r>
      <w:proofErr w:type="spellEnd"/>
      <w:r w:rsidRPr="00F17FA3">
        <w:t xml:space="preserve"> cohort received 300 mg Q1W up to week 65. All participants were required to take daily oral supplemental doses of the recommended daily allowance of vitamin A (defined as approximately 3000 IU) during the treatment and post-treatment evaluation periods. </w:t>
      </w:r>
    </w:p>
    <w:p w14:paraId="09DF1BAC" w14:textId="34E219E7" w:rsidR="00F17FA3" w:rsidRDefault="00F17FA3" w:rsidP="00F17FA3">
      <w:r w:rsidRPr="00F17FA3">
        <w:t xml:space="preserve">Table </w:t>
      </w:r>
      <w:r>
        <w:t>6</w:t>
      </w:r>
      <w:r w:rsidRPr="00F17FA3">
        <w:t xml:space="preserve"> summarises efficacy endpoints according to both interim and final analysis, with analysis of efficacy endpoints proceeding as comparison between eplontersen treatment group and historical placebo control group. </w:t>
      </w:r>
    </w:p>
    <w:p w14:paraId="20E45674" w14:textId="43C9E727" w:rsidR="00F17FA3" w:rsidRDefault="00F17FA3" w:rsidP="00F17FA3">
      <w:pPr>
        <w:pStyle w:val="TableTitle"/>
      </w:pPr>
      <w:r w:rsidRPr="00F17FA3">
        <w:lastRenderedPageBreak/>
        <w:t xml:space="preserve">Table </w:t>
      </w:r>
      <w:r>
        <w:t>6</w:t>
      </w:r>
      <w:r w:rsidRPr="00F17FA3">
        <w:t>. Efficacy endpoints, clinical study CS3.</w:t>
      </w:r>
    </w:p>
    <w:tbl>
      <w:tblPr>
        <w:tblStyle w:val="TableGrid"/>
        <w:tblW w:w="9209" w:type="dxa"/>
        <w:tblBorders>
          <w:top w:val="single" w:sz="4" w:space="0" w:color="263287"/>
          <w:left w:val="single" w:sz="4" w:space="0" w:color="263287"/>
          <w:bottom w:val="single" w:sz="4" w:space="0" w:color="263287"/>
          <w:right w:val="single" w:sz="4" w:space="0" w:color="263287"/>
          <w:insideH w:val="single" w:sz="4" w:space="0" w:color="263287"/>
          <w:insideV w:val="single" w:sz="4" w:space="0" w:color="263287"/>
        </w:tblBorders>
        <w:tblLook w:val="04A0" w:firstRow="1" w:lastRow="0" w:firstColumn="1" w:lastColumn="0" w:noHBand="0" w:noVBand="1"/>
        <w:tblCaption w:val="Table 6. Efficacy endpoints, clinical study CS3."/>
      </w:tblPr>
      <w:tblGrid>
        <w:gridCol w:w="2830"/>
        <w:gridCol w:w="6379"/>
      </w:tblGrid>
      <w:tr w:rsidR="00F17FA3" w:rsidRPr="00F17FA3" w14:paraId="5D62FD9E" w14:textId="77777777" w:rsidTr="00F17FA3">
        <w:tc>
          <w:tcPr>
            <w:tcW w:w="2830" w:type="dxa"/>
            <w:shd w:val="clear" w:color="auto" w:fill="DEEAF6"/>
          </w:tcPr>
          <w:p w14:paraId="49FB354F" w14:textId="77777777" w:rsidR="00F17FA3" w:rsidRPr="00F17FA3" w:rsidRDefault="00F17FA3" w:rsidP="005315CC">
            <w:pPr>
              <w:rPr>
                <w:rFonts w:cs="Calibri"/>
                <w:b/>
                <w:bCs/>
                <w:color w:val="263287"/>
                <w:szCs w:val="22"/>
              </w:rPr>
            </w:pPr>
            <w:r w:rsidRPr="00F17FA3">
              <w:rPr>
                <w:rFonts w:cs="Calibri"/>
                <w:b/>
                <w:bCs/>
                <w:color w:val="263287"/>
                <w:szCs w:val="22"/>
              </w:rPr>
              <w:t xml:space="preserve">Final Analysis Co-Primary Efficacy Endpoints </w:t>
            </w:r>
          </w:p>
        </w:tc>
        <w:tc>
          <w:tcPr>
            <w:tcW w:w="6379" w:type="dxa"/>
          </w:tcPr>
          <w:p w14:paraId="4538EF71" w14:textId="77777777" w:rsidR="00F17FA3" w:rsidRPr="00F17FA3" w:rsidRDefault="00F17FA3" w:rsidP="00F17FA3">
            <w:pPr>
              <w:pStyle w:val="ListBullet"/>
            </w:pPr>
            <w:r w:rsidRPr="00F17FA3">
              <w:t xml:space="preserve">Percent Δ in serum TTR concentration at week 65 </w:t>
            </w:r>
          </w:p>
          <w:p w14:paraId="3446906D" w14:textId="77777777" w:rsidR="00F17FA3" w:rsidRPr="00F17FA3" w:rsidRDefault="00F17FA3" w:rsidP="00F17FA3">
            <w:pPr>
              <w:pStyle w:val="ListBullet"/>
            </w:pPr>
            <w:r w:rsidRPr="00F17FA3">
              <w:t xml:space="preserve">Δ in mNIS+7 at week 66 </w:t>
            </w:r>
          </w:p>
          <w:p w14:paraId="121F7F4A" w14:textId="77777777" w:rsidR="00F17FA3" w:rsidRPr="00F17FA3" w:rsidRDefault="00F17FA3" w:rsidP="00F17FA3">
            <w:pPr>
              <w:pStyle w:val="ListBullet"/>
            </w:pPr>
            <w:r w:rsidRPr="00F17FA3">
              <w:t>Δ in Norfolk QOL-DN at week 66</w:t>
            </w:r>
          </w:p>
        </w:tc>
      </w:tr>
      <w:tr w:rsidR="00F17FA3" w:rsidRPr="00F17FA3" w14:paraId="71427569" w14:textId="77777777" w:rsidTr="00F17FA3">
        <w:tc>
          <w:tcPr>
            <w:tcW w:w="2830" w:type="dxa"/>
            <w:shd w:val="clear" w:color="auto" w:fill="DEEAF6"/>
          </w:tcPr>
          <w:p w14:paraId="0F119863" w14:textId="67CBE865" w:rsidR="00F17FA3" w:rsidRPr="00F17FA3" w:rsidRDefault="00F17FA3" w:rsidP="00AE1B07">
            <w:pPr>
              <w:spacing w:line="259" w:lineRule="auto"/>
              <w:rPr>
                <w:rFonts w:cs="Calibri"/>
                <w:b/>
                <w:bCs/>
                <w:color w:val="263287"/>
                <w:szCs w:val="22"/>
              </w:rPr>
            </w:pPr>
            <w:r w:rsidRPr="00F17FA3">
              <w:rPr>
                <w:rFonts w:eastAsia="Times New Roman" w:cs="Calibri"/>
                <w:b/>
                <w:color w:val="263287"/>
                <w:szCs w:val="22"/>
              </w:rPr>
              <w:t xml:space="preserve">Final Analysis Secondary Endpoints </w:t>
            </w:r>
          </w:p>
        </w:tc>
        <w:tc>
          <w:tcPr>
            <w:tcW w:w="6379" w:type="dxa"/>
          </w:tcPr>
          <w:p w14:paraId="310FBA66" w14:textId="77777777" w:rsidR="00F17FA3" w:rsidRPr="00F17FA3" w:rsidRDefault="00F17FA3" w:rsidP="00F17FA3">
            <w:pPr>
              <w:pStyle w:val="ListBullet"/>
            </w:pPr>
            <w:r w:rsidRPr="00F17FA3">
              <w:t xml:space="preserve">Δ in </w:t>
            </w:r>
            <w:r w:rsidRPr="00F17FA3">
              <w:rPr>
                <w:lang w:eastAsia="ja-JP"/>
              </w:rPr>
              <w:t>Neuropathy Symptom and Change</w:t>
            </w:r>
            <w:r w:rsidRPr="00F17FA3">
              <w:t xml:space="preserve"> (NSC) at week 66</w:t>
            </w:r>
          </w:p>
          <w:p w14:paraId="436EA9E1" w14:textId="77777777" w:rsidR="00F17FA3" w:rsidRPr="00F17FA3" w:rsidRDefault="00F17FA3" w:rsidP="00F17FA3">
            <w:pPr>
              <w:pStyle w:val="ListBullet"/>
            </w:pPr>
            <w:r w:rsidRPr="00F17FA3">
              <w:t xml:space="preserve">Δ in NSC at week 35 </w:t>
            </w:r>
          </w:p>
          <w:p w14:paraId="0777F9E1" w14:textId="77777777" w:rsidR="00F17FA3" w:rsidRPr="00F17FA3" w:rsidRDefault="00F17FA3" w:rsidP="00F17FA3">
            <w:pPr>
              <w:pStyle w:val="ListBullet"/>
            </w:pPr>
            <w:r w:rsidRPr="00F17FA3">
              <w:t xml:space="preserve">Δ in the </w:t>
            </w:r>
            <w:r w:rsidRPr="00F17FA3">
              <w:rPr>
                <w:lang w:eastAsia="ja-JP"/>
              </w:rPr>
              <w:t>physical component summary score of 36-Item Short Form Survey</w:t>
            </w:r>
            <w:r w:rsidRPr="00F17FA3">
              <w:t xml:space="preserve"> (SF-36 PCS) score at week 65 </w:t>
            </w:r>
          </w:p>
          <w:p w14:paraId="20B9D7C0" w14:textId="77777777" w:rsidR="00F17FA3" w:rsidRPr="00F17FA3" w:rsidRDefault="00F17FA3" w:rsidP="00F17FA3">
            <w:pPr>
              <w:pStyle w:val="ListBullet"/>
            </w:pPr>
            <w:r w:rsidRPr="00F17FA3">
              <w:t xml:space="preserve">Δ in </w:t>
            </w:r>
            <w:r w:rsidRPr="00F17FA3">
              <w:rPr>
                <w:lang w:eastAsia="ja-JP"/>
              </w:rPr>
              <w:t>polyneuropathy disability (</w:t>
            </w:r>
            <w:r w:rsidRPr="00F17FA3">
              <w:t xml:space="preserve">PND) score at week 65 </w:t>
            </w:r>
          </w:p>
          <w:p w14:paraId="14969E45" w14:textId="77777777" w:rsidR="00F17FA3" w:rsidRPr="00F17FA3" w:rsidRDefault="00F17FA3" w:rsidP="00F17FA3">
            <w:pPr>
              <w:pStyle w:val="ListBullet"/>
            </w:pPr>
            <w:r w:rsidRPr="00F17FA3">
              <w:t xml:space="preserve">Δ in </w:t>
            </w:r>
            <w:proofErr w:type="spellStart"/>
            <w:r w:rsidRPr="00F17FA3">
              <w:t>mBMI</w:t>
            </w:r>
            <w:proofErr w:type="spellEnd"/>
            <w:r w:rsidRPr="00F17FA3">
              <w:t xml:space="preserve"> at week 65</w:t>
            </w:r>
          </w:p>
        </w:tc>
      </w:tr>
      <w:tr w:rsidR="00F17FA3" w:rsidRPr="00F17FA3" w14:paraId="4ED73634" w14:textId="77777777" w:rsidTr="00F17FA3">
        <w:tc>
          <w:tcPr>
            <w:tcW w:w="2830" w:type="dxa"/>
            <w:shd w:val="clear" w:color="auto" w:fill="DEEAF6"/>
          </w:tcPr>
          <w:p w14:paraId="1D9F2DC4" w14:textId="77777777" w:rsidR="00F17FA3" w:rsidRPr="00F17FA3" w:rsidRDefault="00F17FA3" w:rsidP="005315CC">
            <w:pPr>
              <w:rPr>
                <w:rFonts w:cs="Calibri"/>
                <w:b/>
                <w:bCs/>
                <w:color w:val="263287"/>
                <w:szCs w:val="22"/>
              </w:rPr>
            </w:pPr>
            <w:r w:rsidRPr="00F17FA3">
              <w:rPr>
                <w:rFonts w:cs="Calibri"/>
                <w:b/>
                <w:bCs/>
                <w:color w:val="263287"/>
                <w:szCs w:val="22"/>
              </w:rPr>
              <w:t xml:space="preserve">Interim Analysis Co-Primary Efficacy Endpoints at week 35 </w:t>
            </w:r>
          </w:p>
        </w:tc>
        <w:tc>
          <w:tcPr>
            <w:tcW w:w="6379" w:type="dxa"/>
          </w:tcPr>
          <w:p w14:paraId="7EAB6BFA" w14:textId="77777777" w:rsidR="00F17FA3" w:rsidRPr="00F17FA3" w:rsidRDefault="00F17FA3" w:rsidP="00F17FA3">
            <w:pPr>
              <w:pStyle w:val="ListBullet"/>
            </w:pPr>
            <w:r w:rsidRPr="00F17FA3">
              <w:t xml:space="preserve">Percent Δ in serum TTR concentration at week 35 </w:t>
            </w:r>
          </w:p>
          <w:p w14:paraId="115A435E" w14:textId="77777777" w:rsidR="00F17FA3" w:rsidRPr="00F17FA3" w:rsidRDefault="00F17FA3" w:rsidP="00F17FA3">
            <w:pPr>
              <w:pStyle w:val="ListBullet"/>
              <w:rPr>
                <w:lang w:eastAsia="ja-JP"/>
              </w:rPr>
            </w:pPr>
            <w:r w:rsidRPr="00F17FA3">
              <w:t>Δ in mNIS+7 at week 35</w:t>
            </w:r>
          </w:p>
        </w:tc>
      </w:tr>
      <w:tr w:rsidR="00F17FA3" w:rsidRPr="00F17FA3" w14:paraId="0B981920" w14:textId="77777777" w:rsidTr="00F17FA3">
        <w:tc>
          <w:tcPr>
            <w:tcW w:w="2830" w:type="dxa"/>
            <w:shd w:val="clear" w:color="auto" w:fill="DEEAF6"/>
          </w:tcPr>
          <w:p w14:paraId="3147468D" w14:textId="77777777" w:rsidR="00F17FA3" w:rsidRPr="00F17FA3" w:rsidRDefault="00F17FA3" w:rsidP="005315CC">
            <w:pPr>
              <w:rPr>
                <w:rFonts w:cs="Calibri"/>
                <w:b/>
                <w:bCs/>
                <w:color w:val="263287"/>
                <w:szCs w:val="22"/>
              </w:rPr>
            </w:pPr>
            <w:r w:rsidRPr="00F17FA3">
              <w:rPr>
                <w:rFonts w:cs="Calibri"/>
                <w:b/>
                <w:bCs/>
                <w:color w:val="263287"/>
                <w:szCs w:val="22"/>
              </w:rPr>
              <w:t xml:space="preserve">Interim Analysis Key Secondary Efficacy Endpoint at week 35 </w:t>
            </w:r>
          </w:p>
        </w:tc>
        <w:tc>
          <w:tcPr>
            <w:tcW w:w="6379" w:type="dxa"/>
          </w:tcPr>
          <w:p w14:paraId="166A6B03" w14:textId="77777777" w:rsidR="00F17FA3" w:rsidRPr="00F17FA3" w:rsidRDefault="00F17FA3" w:rsidP="00F17FA3">
            <w:pPr>
              <w:pStyle w:val="ListBullet"/>
              <w:rPr>
                <w:lang w:eastAsia="ja-JP"/>
              </w:rPr>
            </w:pPr>
            <w:r w:rsidRPr="00F17FA3">
              <w:t>Δ in Norfolk QOL-DN at week 35</w:t>
            </w:r>
          </w:p>
        </w:tc>
      </w:tr>
    </w:tbl>
    <w:p w14:paraId="0DE93C9A" w14:textId="77777777" w:rsidR="00F17FA3" w:rsidRDefault="00F17FA3" w:rsidP="00F17FA3"/>
    <w:p w14:paraId="41537631" w14:textId="77777777" w:rsidR="00AE1B07" w:rsidRDefault="006B4A37" w:rsidP="00F17FA3">
      <w:r>
        <w:t>It was noted</w:t>
      </w:r>
      <w:r w:rsidR="00F17FA3" w:rsidRPr="00F17FA3">
        <w:t xml:space="preserve"> that whilst serum TTR concentration is not a validated surrogate endpoint for clinical outcomes in ATTRv-PN</w:t>
      </w:r>
      <w:r w:rsidR="00970EBC">
        <w:t>,</w:t>
      </w:r>
      <w:r w:rsidR="00F17FA3" w:rsidRPr="00F17FA3">
        <w:t xml:space="preserve"> it has been used in previous studies, and that mNIS+7 is an accepted objective scale to measure neurological manifestations of ATTRv-PN. The Norfolk QoL-DN is a questionnaire to assess disease-specific changes in QoL in diabetic neuropathy. Results between -4 to 136 points were possible. Higher scores represent a greater severity of disease or impairment, respectively. While study treatment was open-label, evaluators completing mNIS+7 assessments were independent, blinded to the study treatment being received, and where possible, were the same for all assessment for an individual participant. </w:t>
      </w:r>
    </w:p>
    <w:p w14:paraId="4437147F" w14:textId="149F60DB" w:rsidR="00F17FA3" w:rsidRPr="00F17FA3" w:rsidRDefault="00F17FA3" w:rsidP="00F17FA3">
      <w:r w:rsidRPr="00F17FA3">
        <w:t xml:space="preserve">Study sites and participants were also blinded to PD marker data. Efficacy analyses were conducted on the full analysis set (FAS) which comprised all randomised subjects who received at least 1 dose of study treatment, had a baseline and at least 1 post-baseline efficacy assessment for the mNIS+7 or Norfolk QOL-DN questionnaire. Other analysis sets were the randomised set, per-protocol set (PPS) and safety set. </w:t>
      </w:r>
    </w:p>
    <w:p w14:paraId="659A3EE6" w14:textId="77777777" w:rsidR="00AE1B07" w:rsidRDefault="00F17FA3" w:rsidP="00F17FA3">
      <w:r w:rsidRPr="00F17FA3">
        <w:t xml:space="preserve">Sample size estimates were based on data from study ISIS 420915-CS2. For study CS3, it was projected that participants treated with eplontersen would experience at least an 80% mean reduction in TTR from baseline, with an estimated standard deviation (SD) of 13%. It was further anticipated that this group would have a 4.2-point increase in mNIS+7 (SD: 20) and no change (0-point increase, SD: 20) in Norfolk QOL-DN from baseline. Assuming a 10% dropout rate, enrolment was planned for 140 participants, resulting in 108 evaluable participants receiving eplontersen. </w:t>
      </w:r>
    </w:p>
    <w:p w14:paraId="6E91118B" w14:textId="77777777" w:rsidR="00AE1B07" w:rsidRDefault="00F17FA3" w:rsidP="00F17FA3">
      <w:r w:rsidRPr="00F17FA3">
        <w:t xml:space="preserve">This cohort size was calculated to provide at least 95% power to detect a 70.3% difference in percent Δ in TTR between the eplontersen and external placebo cohorts, using a two-sided alpha level of 0.025. Additionally, the sample size allowed for at least 90% power to observe a 19.6-point difference in mNIS+7 scores and 80% power to detect a 10.7-point difference in Norfolk QOL-DN scores between the two study groups, both with a two-sided alpha level of 0.025. </w:t>
      </w:r>
    </w:p>
    <w:p w14:paraId="101A1C17" w14:textId="696BFB35" w:rsidR="00F17FA3" w:rsidRPr="00F17FA3" w:rsidRDefault="00F17FA3" w:rsidP="00F17FA3">
      <w:r w:rsidRPr="00F17FA3">
        <w:lastRenderedPageBreak/>
        <w:t xml:space="preserve">There were 52 evaluable placebo participants in the PPS for study ISIS 420915-CS2 which comprised the external historical placebo group. </w:t>
      </w:r>
    </w:p>
    <w:p w14:paraId="124C1993" w14:textId="77777777" w:rsidR="00AE1B07" w:rsidRDefault="00970EBC" w:rsidP="00F17FA3">
      <w:r>
        <w:t>I</w:t>
      </w:r>
      <w:r w:rsidR="00F17FA3" w:rsidRPr="00F17FA3">
        <w:t xml:space="preserve">nterim analysis at 35 weeks considered the 2 co-primary endpoints first, percent change in TTR and change in mNIS+7 from baseline, and if both were significant at 2-sided alpha of 0.025, the change in Norfolk QOL-DN from baseline co-primary endpoint was to be tested at the same 2-sided alpha level. If all co-primary endpoints were found to be statistically significant at this interim analysis no formal testing would be conducted at the final analysis. Prespecified sensitivity analysis included analyses using all data, different missing data imputation approaches, and subgroup analyses. Testing of secondary efficacy endpoints proceeded by a hierarchical approach. </w:t>
      </w:r>
    </w:p>
    <w:p w14:paraId="54B44A90" w14:textId="4E5AF3E9" w:rsidR="00F17FA3" w:rsidRPr="00F17FA3" w:rsidRDefault="00F17FA3" w:rsidP="00F17FA3">
      <w:r w:rsidRPr="00F17FA3">
        <w:t>Of note, the EMA questioned the rationale for not formally testing co-primary efficacy endpoints at week 66, concluding that whilst week 66 testing may have enhanced interpretation of clinical significance of efficacy results, that the impact of not performing this testing was likely minimal.</w:t>
      </w:r>
    </w:p>
    <w:p w14:paraId="513DE0AD" w14:textId="77777777" w:rsidR="00AE1B07" w:rsidRDefault="00F17FA3" w:rsidP="00F17FA3">
      <w:r w:rsidRPr="00F17FA3">
        <w:t xml:space="preserve">Study ISIS 420915-CS2 included 60 participants randomised to and who received at least one dose of placebo, who formed the external placebo group. At week 66, 52 (86.7%) participants had completed treatment and of the remaining who discontinued treatment, majority were </w:t>
      </w:r>
      <w:proofErr w:type="gramStart"/>
      <w:r w:rsidRPr="00F17FA3">
        <w:t>as a result of</w:t>
      </w:r>
      <w:proofErr w:type="gramEnd"/>
      <w:r w:rsidRPr="00F17FA3">
        <w:t xml:space="preserve"> voluntary withdrawal (3) or disease progression (3). A total of 218 participants were screened for the study </w:t>
      </w:r>
      <w:proofErr w:type="gramStart"/>
      <w:r w:rsidRPr="00F17FA3">
        <w:t>CS3</w:t>
      </w:r>
      <w:proofErr w:type="gramEnd"/>
      <w:r w:rsidRPr="00F17FA3">
        <w:t xml:space="preserve"> and 168 participants were randomised (eplontersen: 144, concurrent </w:t>
      </w:r>
      <w:proofErr w:type="spellStart"/>
      <w:r w:rsidRPr="00F17FA3">
        <w:t>inotersen</w:t>
      </w:r>
      <w:proofErr w:type="spellEnd"/>
      <w:r w:rsidRPr="00F17FA3">
        <w:t xml:space="preserve">: 24), all of whom received at least one dose of study drug. </w:t>
      </w:r>
    </w:p>
    <w:p w14:paraId="239D5699" w14:textId="0C7DCD69" w:rsidR="00F17FA3" w:rsidRPr="00F17FA3" w:rsidRDefault="00F17FA3" w:rsidP="00F17FA3">
      <w:proofErr w:type="gramStart"/>
      <w:r w:rsidRPr="00F17FA3">
        <w:t>The majority of</w:t>
      </w:r>
      <w:proofErr w:type="gramEnd"/>
      <w:r w:rsidRPr="00F17FA3">
        <w:t xml:space="preserve"> participants assigned to receive eplontersen completed study treatment (135 (93.8%)) through week 66. In the historical and concurrent </w:t>
      </w:r>
      <w:proofErr w:type="spellStart"/>
      <w:r w:rsidRPr="00F17FA3">
        <w:t>inotersen</w:t>
      </w:r>
      <w:proofErr w:type="spellEnd"/>
      <w:r w:rsidRPr="00F17FA3">
        <w:t xml:space="preserve"> groups, 87 (77.0%) and 19 (79.2%) participants completed study treatment through week 66, respectively. </w:t>
      </w:r>
      <w:proofErr w:type="gramStart"/>
      <w:r w:rsidRPr="00F17FA3">
        <w:t>The majority of</w:t>
      </w:r>
      <w:proofErr w:type="gramEnd"/>
      <w:r w:rsidRPr="00F17FA3">
        <w:t xml:space="preserve"> participants had at least 1 major protocol deviation, with the most common study procedure deviation due to assessments performed outside defined windows, and drug error deviations due to dosing in the absence of evaluable platelet count. </w:t>
      </w:r>
    </w:p>
    <w:p w14:paraId="44E29277" w14:textId="77777777" w:rsidR="004B381D" w:rsidRDefault="00F17FA3" w:rsidP="00F17FA3">
      <w:r w:rsidRPr="00F17FA3">
        <w:t xml:space="preserve">In terms of baseline patient demographics, it is notable that mean age was lower in the eplontersen treatment group in study CS3 (53.0 years) compared to historical placebo group (59.5 years), with 15% in the placebo group in the ≥75 years group compared to 5.6% in the eplontersen group. Further, in terms of race, there was a higher proportion of participants of Asian ethnicity in the eplontersen group (15.4%) compared to historical placebo group (5.0%). </w:t>
      </w:r>
    </w:p>
    <w:p w14:paraId="660FEEB7" w14:textId="7229B3C5" w:rsidR="00F17FA3" w:rsidRPr="00F17FA3" w:rsidRDefault="00F17FA3" w:rsidP="00F17FA3">
      <w:r w:rsidRPr="00F17FA3">
        <w:t xml:space="preserve">Demographics were otherwise comparable between groups. In terms of baseline disease </w:t>
      </w:r>
      <w:proofErr w:type="gramStart"/>
      <w:r w:rsidRPr="00F17FA3">
        <w:t>characteristics</w:t>
      </w:r>
      <w:proofErr w:type="gramEnd"/>
      <w:r w:rsidRPr="00F17FA3">
        <w:t xml:space="preserve"> </w:t>
      </w:r>
      <w:proofErr w:type="gramStart"/>
      <w:r w:rsidRPr="00F17FA3">
        <w:t>the majority of</w:t>
      </w:r>
      <w:proofErr w:type="gramEnd"/>
      <w:r w:rsidRPr="00F17FA3">
        <w:t xml:space="preserve"> subjects in all groups had stage 1 </w:t>
      </w:r>
      <w:proofErr w:type="gramStart"/>
      <w:r w:rsidRPr="00F17FA3">
        <w:t>PN, and</w:t>
      </w:r>
      <w:proofErr w:type="gramEnd"/>
      <w:r w:rsidRPr="00F17FA3">
        <w:t xml:space="preserve"> had received previous treatment. It is notable that subjects in the eplontersen group had lower mean serum TTR at baseline and lower disease severity at baseline compared to the historical placebo group. During EMA evaluation the </w:t>
      </w:r>
      <w:r w:rsidR="00A606FB">
        <w:t>Sponsor</w:t>
      </w:r>
      <w:r w:rsidRPr="00F17FA3">
        <w:t xml:space="preserve"> stated that use of propensity scores during analysis sought to match baseline characteristics between these two groups, with the EMA evaluation concluding that observed differences in baseline characteristics did not meaningfully impact conclusions on efficacy or magnitude of treatment effect, which was </w:t>
      </w:r>
      <w:r w:rsidR="00484C23">
        <w:t xml:space="preserve">also </w:t>
      </w:r>
      <w:r w:rsidRPr="00F17FA3">
        <w:t xml:space="preserve">accepted by the </w:t>
      </w:r>
      <w:r w:rsidR="00484C23">
        <w:t>TGA</w:t>
      </w:r>
      <w:r w:rsidRPr="00F17FA3">
        <w:t xml:space="preserve">. </w:t>
      </w:r>
    </w:p>
    <w:p w14:paraId="0C45D918" w14:textId="39832298" w:rsidR="00F17FA3" w:rsidRPr="00F17FA3" w:rsidRDefault="00F17FA3" w:rsidP="00F17FA3">
      <w:r w:rsidRPr="00F17FA3">
        <w:t xml:space="preserve">All primary and secondary efficacy endpoints were met, with statistically significant results favouring eplontersen at week 35 interim analysis, and sustained effects observed at week 66. Table </w:t>
      </w:r>
      <w:r w:rsidR="00E8386C">
        <w:t>7</w:t>
      </w:r>
      <w:r w:rsidRPr="00F17FA3">
        <w:t xml:space="preserve"> shows results of interim and final analysis for co-primary efficacy endpoints, comparing historical external placebo control group to eplontersen treatment group. </w:t>
      </w:r>
    </w:p>
    <w:p w14:paraId="7DEA179B" w14:textId="77777777" w:rsidR="00DD4FF4" w:rsidRDefault="00DD4FF4">
      <w:pPr>
        <w:rPr>
          <w:b/>
          <w:bCs/>
        </w:rPr>
      </w:pPr>
      <w:r>
        <w:rPr>
          <w:b/>
          <w:bCs/>
        </w:rPr>
        <w:br w:type="page"/>
      </w:r>
    </w:p>
    <w:p w14:paraId="78A76C85" w14:textId="1C582E04" w:rsidR="00F17FA3" w:rsidRDefault="00F17FA3" w:rsidP="00F17FA3">
      <w:pPr>
        <w:rPr>
          <w:b/>
          <w:bCs/>
        </w:rPr>
      </w:pPr>
      <w:r w:rsidRPr="00F17FA3">
        <w:rPr>
          <w:b/>
          <w:bCs/>
        </w:rPr>
        <w:lastRenderedPageBreak/>
        <w:t xml:space="preserve">Table </w:t>
      </w:r>
      <w:r w:rsidR="00E8386C">
        <w:rPr>
          <w:b/>
          <w:bCs/>
        </w:rPr>
        <w:t>7</w:t>
      </w:r>
      <w:r w:rsidRPr="00F17FA3">
        <w:rPr>
          <w:b/>
          <w:bCs/>
        </w:rPr>
        <w:t>. Results of interim analysis and final analysis, co-primary efficacy endpoints, study CS3</w:t>
      </w:r>
    </w:p>
    <w:tbl>
      <w:tblPr>
        <w:tblStyle w:val="TableGrid"/>
        <w:tblW w:w="9209" w:type="dxa"/>
        <w:tblBorders>
          <w:top w:val="single" w:sz="4" w:space="0" w:color="263287"/>
          <w:left w:val="single" w:sz="4" w:space="0" w:color="263287"/>
          <w:bottom w:val="single" w:sz="4" w:space="0" w:color="263287"/>
          <w:right w:val="single" w:sz="4" w:space="0" w:color="263287"/>
          <w:insideH w:val="single" w:sz="4" w:space="0" w:color="263287"/>
          <w:insideV w:val="single" w:sz="4" w:space="0" w:color="263287"/>
        </w:tblBorders>
        <w:tblLook w:val="04A0" w:firstRow="1" w:lastRow="0" w:firstColumn="1" w:lastColumn="0" w:noHBand="0" w:noVBand="1"/>
        <w:tblCaption w:val="Table 7. Results of interim analysis and final analysis, co-primary efficacy endpoints, study CS3"/>
      </w:tblPr>
      <w:tblGrid>
        <w:gridCol w:w="1926"/>
        <w:gridCol w:w="998"/>
        <w:gridCol w:w="1338"/>
        <w:gridCol w:w="1187"/>
        <w:gridCol w:w="1373"/>
        <w:gridCol w:w="1338"/>
        <w:gridCol w:w="1049"/>
      </w:tblGrid>
      <w:tr w:rsidR="00970EBC" w:rsidRPr="00970EBC" w14:paraId="32957221" w14:textId="77777777" w:rsidTr="00970EBC">
        <w:tc>
          <w:tcPr>
            <w:tcW w:w="1926" w:type="dxa"/>
            <w:shd w:val="clear" w:color="auto" w:fill="DEEAF6"/>
          </w:tcPr>
          <w:p w14:paraId="6EC5BE2F" w14:textId="77777777" w:rsidR="00970EBC" w:rsidRPr="00970EBC" w:rsidRDefault="00970EBC" w:rsidP="00A9412F">
            <w:pPr>
              <w:rPr>
                <w:rFonts w:cs="Calibri"/>
                <w:b/>
                <w:bCs/>
                <w:color w:val="263287"/>
                <w:sz w:val="20"/>
                <w:szCs w:val="20"/>
              </w:rPr>
            </w:pPr>
          </w:p>
        </w:tc>
        <w:tc>
          <w:tcPr>
            <w:tcW w:w="2336" w:type="dxa"/>
            <w:gridSpan w:val="2"/>
            <w:shd w:val="clear" w:color="auto" w:fill="DEEAF6"/>
          </w:tcPr>
          <w:p w14:paraId="331E0B5C" w14:textId="77777777" w:rsidR="00970EBC" w:rsidRPr="00970EBC" w:rsidRDefault="00970EBC" w:rsidP="005315CC">
            <w:pPr>
              <w:jc w:val="center"/>
              <w:rPr>
                <w:rFonts w:cs="Calibri"/>
                <w:color w:val="263287"/>
                <w:sz w:val="20"/>
                <w:szCs w:val="20"/>
              </w:rPr>
            </w:pPr>
            <w:r w:rsidRPr="00970EBC">
              <w:rPr>
                <w:rFonts w:eastAsia="Times New Roman" w:cs="Calibri"/>
                <w:b/>
                <w:color w:val="263287"/>
                <w:sz w:val="20"/>
                <w:szCs w:val="20"/>
              </w:rPr>
              <w:t>Baseline, mean (SD)</w:t>
            </w:r>
          </w:p>
        </w:tc>
        <w:tc>
          <w:tcPr>
            <w:tcW w:w="2560" w:type="dxa"/>
            <w:gridSpan w:val="2"/>
            <w:shd w:val="clear" w:color="auto" w:fill="DEEAF6"/>
          </w:tcPr>
          <w:p w14:paraId="22A68CAF" w14:textId="77777777" w:rsidR="00970EBC" w:rsidRPr="00970EBC" w:rsidRDefault="00970EBC" w:rsidP="005315CC">
            <w:pPr>
              <w:spacing w:line="259" w:lineRule="auto"/>
              <w:jc w:val="center"/>
              <w:rPr>
                <w:rFonts w:cs="Calibri"/>
                <w:color w:val="263287"/>
                <w:sz w:val="20"/>
                <w:szCs w:val="20"/>
              </w:rPr>
            </w:pPr>
            <w:r w:rsidRPr="00970EBC">
              <w:rPr>
                <w:rFonts w:eastAsia="Times New Roman" w:cs="Calibri"/>
                <w:b/>
                <w:color w:val="263287"/>
                <w:sz w:val="20"/>
                <w:szCs w:val="20"/>
              </w:rPr>
              <w:t xml:space="preserve">LS mean </w:t>
            </w:r>
            <w:r w:rsidRPr="00970EBC">
              <w:rPr>
                <w:rFonts w:cs="Calibri"/>
                <w:color w:val="263287"/>
                <w:sz w:val="20"/>
                <w:szCs w:val="20"/>
              </w:rPr>
              <w:t>Δ</w:t>
            </w:r>
            <w:r w:rsidRPr="00970EBC">
              <w:rPr>
                <w:rFonts w:eastAsia="Times New Roman" w:cs="Calibri"/>
                <w:b/>
                <w:color w:val="263287"/>
                <w:sz w:val="20"/>
                <w:szCs w:val="20"/>
                <w:vertAlign w:val="superscript"/>
              </w:rPr>
              <w:t>a</w:t>
            </w:r>
            <w:r w:rsidRPr="00970EBC">
              <w:rPr>
                <w:rFonts w:eastAsia="Times New Roman" w:cs="Calibri"/>
                <w:b/>
                <w:color w:val="263287"/>
                <w:sz w:val="20"/>
                <w:szCs w:val="20"/>
              </w:rPr>
              <w:t xml:space="preserve">/percent </w:t>
            </w:r>
            <w:r w:rsidRPr="00970EBC">
              <w:rPr>
                <w:rFonts w:cs="Calibri"/>
                <w:color w:val="263287"/>
                <w:sz w:val="20"/>
                <w:szCs w:val="20"/>
              </w:rPr>
              <w:t>Δ</w:t>
            </w:r>
            <w:r w:rsidRPr="00970EBC">
              <w:rPr>
                <w:rFonts w:eastAsia="Times New Roman" w:cs="Calibri"/>
                <w:b/>
                <w:color w:val="263287"/>
                <w:sz w:val="20"/>
                <w:szCs w:val="20"/>
                <w:vertAlign w:val="superscript"/>
              </w:rPr>
              <w:t>b</w:t>
            </w:r>
            <w:r w:rsidRPr="00970EBC">
              <w:rPr>
                <w:rFonts w:eastAsia="Times New Roman" w:cs="Calibri"/>
                <w:b/>
                <w:color w:val="263287"/>
                <w:sz w:val="20"/>
                <w:szCs w:val="20"/>
              </w:rPr>
              <w:t>,</w:t>
            </w:r>
          </w:p>
          <w:p w14:paraId="6A6FDB41" w14:textId="77777777" w:rsidR="00970EBC" w:rsidRPr="00970EBC" w:rsidRDefault="00970EBC" w:rsidP="005315CC">
            <w:pPr>
              <w:jc w:val="center"/>
              <w:rPr>
                <w:rFonts w:cs="Calibri"/>
                <w:color w:val="263287"/>
                <w:sz w:val="20"/>
                <w:szCs w:val="20"/>
              </w:rPr>
            </w:pPr>
            <w:r w:rsidRPr="00970EBC">
              <w:rPr>
                <w:rFonts w:eastAsia="Times New Roman" w:cs="Calibri"/>
                <w:b/>
                <w:color w:val="263287"/>
                <w:sz w:val="20"/>
                <w:szCs w:val="20"/>
              </w:rPr>
              <w:t>(SE) [95% CI]</w:t>
            </w:r>
          </w:p>
        </w:tc>
        <w:tc>
          <w:tcPr>
            <w:tcW w:w="2387" w:type="dxa"/>
            <w:gridSpan w:val="2"/>
            <w:shd w:val="clear" w:color="auto" w:fill="DEEAF6"/>
          </w:tcPr>
          <w:p w14:paraId="603B49F7" w14:textId="77777777" w:rsidR="00970EBC" w:rsidRPr="00970EBC" w:rsidRDefault="00970EBC" w:rsidP="005315CC">
            <w:pPr>
              <w:jc w:val="center"/>
              <w:rPr>
                <w:rFonts w:eastAsia="Times New Roman" w:cs="Calibri"/>
                <w:b/>
                <w:color w:val="263287"/>
                <w:sz w:val="20"/>
                <w:szCs w:val="20"/>
              </w:rPr>
            </w:pPr>
            <w:r w:rsidRPr="00970EBC">
              <w:rPr>
                <w:rFonts w:eastAsia="Times New Roman" w:cs="Calibri"/>
                <w:b/>
                <w:color w:val="263287"/>
                <w:sz w:val="20"/>
                <w:szCs w:val="20"/>
              </w:rPr>
              <w:t>Treatment difference</w:t>
            </w:r>
          </w:p>
          <w:p w14:paraId="5D918483" w14:textId="77777777" w:rsidR="00970EBC" w:rsidRPr="00970EBC" w:rsidRDefault="00970EBC" w:rsidP="005315CC">
            <w:pPr>
              <w:jc w:val="center"/>
              <w:rPr>
                <w:rFonts w:cs="Calibri"/>
                <w:color w:val="263287"/>
                <w:sz w:val="20"/>
                <w:szCs w:val="20"/>
              </w:rPr>
            </w:pPr>
            <w:r w:rsidRPr="00970EBC">
              <w:rPr>
                <w:rFonts w:eastAsia="Times New Roman" w:cs="Calibri"/>
                <w:b/>
                <w:color w:val="263287"/>
                <w:sz w:val="20"/>
                <w:szCs w:val="20"/>
              </w:rPr>
              <w:t>(95% CI)</w:t>
            </w:r>
          </w:p>
        </w:tc>
      </w:tr>
      <w:tr w:rsidR="00970EBC" w:rsidRPr="00970EBC" w14:paraId="1439D1CC" w14:textId="77777777" w:rsidTr="00970EBC">
        <w:tc>
          <w:tcPr>
            <w:tcW w:w="1926" w:type="dxa"/>
            <w:shd w:val="clear" w:color="auto" w:fill="DEEAF6"/>
          </w:tcPr>
          <w:p w14:paraId="2A481BFB" w14:textId="77777777" w:rsidR="00970EBC" w:rsidRPr="00970EBC" w:rsidRDefault="00970EBC" w:rsidP="00A9412F">
            <w:pPr>
              <w:spacing w:after="20"/>
              <w:rPr>
                <w:rFonts w:cs="Calibri"/>
                <w:b/>
                <w:bCs/>
                <w:color w:val="263287"/>
                <w:sz w:val="20"/>
                <w:szCs w:val="20"/>
              </w:rPr>
            </w:pPr>
            <w:r w:rsidRPr="00970EBC">
              <w:rPr>
                <w:rFonts w:eastAsia="Times New Roman" w:cs="Calibri"/>
                <w:b/>
                <w:bCs/>
                <w:color w:val="263287"/>
                <w:sz w:val="20"/>
                <w:szCs w:val="20"/>
              </w:rPr>
              <w:t>Analysis/endpoint</w:t>
            </w:r>
          </w:p>
        </w:tc>
        <w:tc>
          <w:tcPr>
            <w:tcW w:w="998" w:type="dxa"/>
            <w:shd w:val="clear" w:color="auto" w:fill="DEEAF6"/>
          </w:tcPr>
          <w:p w14:paraId="2B66244E" w14:textId="77777777" w:rsidR="00970EBC" w:rsidRPr="00970EBC" w:rsidRDefault="00970EBC" w:rsidP="005315CC">
            <w:pPr>
              <w:spacing w:after="20" w:line="259" w:lineRule="auto"/>
              <w:jc w:val="center"/>
              <w:rPr>
                <w:rFonts w:cs="Calibri"/>
                <w:color w:val="263287"/>
                <w:sz w:val="20"/>
                <w:szCs w:val="20"/>
              </w:rPr>
            </w:pPr>
            <w:r w:rsidRPr="00970EBC">
              <w:rPr>
                <w:rFonts w:eastAsia="Times New Roman" w:cs="Calibri"/>
                <w:b/>
                <w:color w:val="263287"/>
                <w:sz w:val="20"/>
                <w:szCs w:val="20"/>
              </w:rPr>
              <w:t>CS2</w:t>
            </w:r>
          </w:p>
          <w:p w14:paraId="088BA00D" w14:textId="77777777" w:rsidR="00970EBC" w:rsidRPr="00970EBC" w:rsidRDefault="00970EBC" w:rsidP="005315CC">
            <w:pPr>
              <w:spacing w:after="20" w:line="259" w:lineRule="auto"/>
              <w:jc w:val="center"/>
              <w:rPr>
                <w:rFonts w:cs="Calibri"/>
                <w:color w:val="263287"/>
                <w:sz w:val="20"/>
                <w:szCs w:val="20"/>
              </w:rPr>
            </w:pPr>
            <w:r w:rsidRPr="00970EBC">
              <w:rPr>
                <w:rFonts w:eastAsia="Times New Roman" w:cs="Calibri"/>
                <w:b/>
                <w:color w:val="263287"/>
                <w:sz w:val="20"/>
                <w:szCs w:val="20"/>
              </w:rPr>
              <w:t>External</w:t>
            </w:r>
          </w:p>
          <w:p w14:paraId="6F87D2C9" w14:textId="77777777" w:rsidR="00970EBC" w:rsidRPr="00970EBC" w:rsidRDefault="00970EBC" w:rsidP="005315CC">
            <w:pPr>
              <w:spacing w:after="20"/>
              <w:jc w:val="center"/>
              <w:rPr>
                <w:rFonts w:cs="Calibri"/>
                <w:color w:val="263287"/>
                <w:sz w:val="20"/>
                <w:szCs w:val="20"/>
              </w:rPr>
            </w:pPr>
            <w:r w:rsidRPr="00970EBC">
              <w:rPr>
                <w:rFonts w:eastAsia="Times New Roman" w:cs="Calibri"/>
                <w:b/>
                <w:color w:val="263287"/>
                <w:sz w:val="20"/>
                <w:szCs w:val="20"/>
              </w:rPr>
              <w:t>Placebo</w:t>
            </w:r>
          </w:p>
        </w:tc>
        <w:tc>
          <w:tcPr>
            <w:tcW w:w="1338" w:type="dxa"/>
            <w:shd w:val="clear" w:color="auto" w:fill="DEEAF6"/>
          </w:tcPr>
          <w:p w14:paraId="48AE4E79" w14:textId="77777777" w:rsidR="00970EBC" w:rsidRPr="00970EBC" w:rsidRDefault="00970EBC" w:rsidP="005315CC">
            <w:pPr>
              <w:spacing w:after="20" w:line="259" w:lineRule="auto"/>
              <w:jc w:val="center"/>
              <w:rPr>
                <w:rFonts w:cs="Calibri"/>
                <w:color w:val="263287"/>
                <w:sz w:val="20"/>
                <w:szCs w:val="20"/>
              </w:rPr>
            </w:pPr>
            <w:r w:rsidRPr="00970EBC">
              <w:rPr>
                <w:rFonts w:eastAsia="Times New Roman" w:cs="Calibri"/>
                <w:b/>
                <w:color w:val="263287"/>
                <w:sz w:val="20"/>
                <w:szCs w:val="20"/>
              </w:rPr>
              <w:t>CS3</w:t>
            </w:r>
          </w:p>
          <w:p w14:paraId="62054FB2" w14:textId="77777777" w:rsidR="00970EBC" w:rsidRPr="00970EBC" w:rsidRDefault="00970EBC" w:rsidP="005315CC">
            <w:pPr>
              <w:spacing w:after="20"/>
              <w:jc w:val="center"/>
              <w:rPr>
                <w:rFonts w:cs="Calibri"/>
                <w:color w:val="263287"/>
                <w:sz w:val="20"/>
                <w:szCs w:val="20"/>
              </w:rPr>
            </w:pPr>
            <w:r w:rsidRPr="00970EBC">
              <w:rPr>
                <w:rFonts w:eastAsia="Times New Roman" w:cs="Calibri"/>
                <w:b/>
                <w:color w:val="263287"/>
                <w:sz w:val="20"/>
                <w:szCs w:val="20"/>
              </w:rPr>
              <w:t>Eplontersen 45 mg q4w</w:t>
            </w:r>
          </w:p>
        </w:tc>
        <w:tc>
          <w:tcPr>
            <w:tcW w:w="1187" w:type="dxa"/>
            <w:shd w:val="clear" w:color="auto" w:fill="DEEAF6"/>
          </w:tcPr>
          <w:p w14:paraId="00CF5468" w14:textId="77777777" w:rsidR="00970EBC" w:rsidRPr="00970EBC" w:rsidRDefault="00970EBC" w:rsidP="005315CC">
            <w:pPr>
              <w:spacing w:after="20"/>
              <w:jc w:val="center"/>
              <w:rPr>
                <w:rFonts w:cs="Calibri"/>
                <w:color w:val="263287"/>
                <w:sz w:val="20"/>
                <w:szCs w:val="20"/>
              </w:rPr>
            </w:pPr>
            <w:r w:rsidRPr="00970EBC">
              <w:rPr>
                <w:rFonts w:eastAsia="Times New Roman" w:cs="Calibri"/>
                <w:b/>
                <w:color w:val="263287"/>
                <w:sz w:val="20"/>
                <w:szCs w:val="20"/>
              </w:rPr>
              <w:t>CS2 External Placebo</w:t>
            </w:r>
          </w:p>
        </w:tc>
        <w:tc>
          <w:tcPr>
            <w:tcW w:w="1373" w:type="dxa"/>
            <w:shd w:val="clear" w:color="auto" w:fill="DEEAF6"/>
          </w:tcPr>
          <w:p w14:paraId="2CE5CD1C" w14:textId="77777777" w:rsidR="00970EBC" w:rsidRPr="00970EBC" w:rsidRDefault="00970EBC" w:rsidP="005315CC">
            <w:pPr>
              <w:spacing w:after="20" w:line="259" w:lineRule="auto"/>
              <w:jc w:val="center"/>
              <w:rPr>
                <w:rFonts w:cs="Calibri"/>
                <w:color w:val="263287"/>
                <w:sz w:val="20"/>
                <w:szCs w:val="20"/>
              </w:rPr>
            </w:pPr>
            <w:r w:rsidRPr="00970EBC">
              <w:rPr>
                <w:rFonts w:eastAsia="Times New Roman" w:cs="Calibri"/>
                <w:b/>
                <w:color w:val="263287"/>
                <w:sz w:val="20"/>
                <w:szCs w:val="20"/>
              </w:rPr>
              <w:t>CS3</w:t>
            </w:r>
          </w:p>
          <w:p w14:paraId="06FA6EE9" w14:textId="77777777" w:rsidR="00970EBC" w:rsidRPr="00970EBC" w:rsidRDefault="00970EBC" w:rsidP="005315CC">
            <w:pPr>
              <w:spacing w:after="20" w:line="259" w:lineRule="auto"/>
              <w:jc w:val="center"/>
              <w:rPr>
                <w:rFonts w:eastAsia="Times New Roman" w:cs="Calibri"/>
                <w:b/>
                <w:color w:val="263287"/>
                <w:sz w:val="20"/>
                <w:szCs w:val="20"/>
              </w:rPr>
            </w:pPr>
            <w:r w:rsidRPr="00970EBC">
              <w:rPr>
                <w:rFonts w:eastAsia="Times New Roman" w:cs="Calibri"/>
                <w:b/>
                <w:color w:val="263287"/>
                <w:sz w:val="20"/>
                <w:szCs w:val="20"/>
              </w:rPr>
              <w:t>Eplontersen</w:t>
            </w:r>
          </w:p>
          <w:p w14:paraId="507DA76A" w14:textId="77777777" w:rsidR="00970EBC" w:rsidRPr="00970EBC" w:rsidRDefault="00970EBC" w:rsidP="005315CC">
            <w:pPr>
              <w:spacing w:after="20" w:line="259" w:lineRule="auto"/>
              <w:jc w:val="center"/>
              <w:rPr>
                <w:rFonts w:cs="Calibri"/>
                <w:color w:val="263287"/>
                <w:sz w:val="20"/>
                <w:szCs w:val="20"/>
              </w:rPr>
            </w:pPr>
            <w:r w:rsidRPr="00970EBC">
              <w:rPr>
                <w:rFonts w:eastAsia="Times New Roman" w:cs="Calibri"/>
                <w:b/>
                <w:color w:val="263287"/>
                <w:sz w:val="20"/>
                <w:szCs w:val="20"/>
              </w:rPr>
              <w:t>45 mg q4w</w:t>
            </w:r>
          </w:p>
        </w:tc>
        <w:tc>
          <w:tcPr>
            <w:tcW w:w="1338" w:type="dxa"/>
            <w:shd w:val="clear" w:color="auto" w:fill="DEEAF6"/>
          </w:tcPr>
          <w:p w14:paraId="7F8C69A1" w14:textId="77777777" w:rsidR="00970EBC" w:rsidRPr="00970EBC" w:rsidRDefault="00970EBC" w:rsidP="005315CC">
            <w:pPr>
              <w:spacing w:after="20" w:line="242" w:lineRule="auto"/>
              <w:jc w:val="center"/>
              <w:rPr>
                <w:rFonts w:cs="Calibri"/>
                <w:color w:val="263287"/>
                <w:sz w:val="20"/>
                <w:szCs w:val="20"/>
              </w:rPr>
            </w:pPr>
            <w:r w:rsidRPr="00970EBC">
              <w:rPr>
                <w:rFonts w:eastAsia="Times New Roman" w:cs="Calibri"/>
                <w:b/>
                <w:color w:val="263287"/>
                <w:sz w:val="20"/>
                <w:szCs w:val="20"/>
              </w:rPr>
              <w:t>Eplontersen</w:t>
            </w:r>
          </w:p>
          <w:p w14:paraId="48BD3F06" w14:textId="77777777" w:rsidR="00970EBC" w:rsidRPr="00970EBC" w:rsidRDefault="00970EBC" w:rsidP="005315CC">
            <w:pPr>
              <w:spacing w:after="20" w:line="259" w:lineRule="auto"/>
              <w:jc w:val="center"/>
              <w:rPr>
                <w:rFonts w:cs="Calibri"/>
                <w:color w:val="263287"/>
                <w:sz w:val="20"/>
                <w:szCs w:val="20"/>
              </w:rPr>
            </w:pPr>
            <w:r w:rsidRPr="00970EBC">
              <w:rPr>
                <w:rFonts w:eastAsia="Times New Roman" w:cs="Calibri"/>
                <w:b/>
                <w:color w:val="263287"/>
                <w:sz w:val="20"/>
                <w:szCs w:val="20"/>
              </w:rPr>
              <w:t>minus</w:t>
            </w:r>
          </w:p>
          <w:p w14:paraId="1F2794A3" w14:textId="77777777" w:rsidR="00970EBC" w:rsidRPr="00970EBC" w:rsidRDefault="00970EBC" w:rsidP="005315CC">
            <w:pPr>
              <w:spacing w:after="20"/>
              <w:jc w:val="center"/>
              <w:rPr>
                <w:rFonts w:cs="Calibri"/>
                <w:color w:val="263287"/>
                <w:sz w:val="20"/>
                <w:szCs w:val="20"/>
              </w:rPr>
            </w:pPr>
            <w:r w:rsidRPr="00970EBC">
              <w:rPr>
                <w:rFonts w:eastAsia="Times New Roman" w:cs="Calibri"/>
                <w:b/>
                <w:color w:val="263287"/>
                <w:sz w:val="20"/>
                <w:szCs w:val="20"/>
              </w:rPr>
              <w:t>Placebo</w:t>
            </w:r>
          </w:p>
        </w:tc>
        <w:tc>
          <w:tcPr>
            <w:tcW w:w="1049" w:type="dxa"/>
            <w:shd w:val="clear" w:color="auto" w:fill="DEEAF6"/>
          </w:tcPr>
          <w:p w14:paraId="4C7DE152" w14:textId="77777777" w:rsidR="00970EBC" w:rsidRPr="00970EBC" w:rsidRDefault="00970EBC" w:rsidP="005315CC">
            <w:pPr>
              <w:spacing w:after="20"/>
              <w:jc w:val="center"/>
              <w:rPr>
                <w:rFonts w:cs="Calibri"/>
                <w:color w:val="263287"/>
                <w:sz w:val="20"/>
                <w:szCs w:val="20"/>
              </w:rPr>
            </w:pPr>
            <w:r w:rsidRPr="00970EBC">
              <w:rPr>
                <w:rFonts w:eastAsia="Times New Roman" w:cs="Calibri"/>
                <w:b/>
                <w:color w:val="263287"/>
                <w:sz w:val="20"/>
                <w:szCs w:val="20"/>
              </w:rPr>
              <w:t xml:space="preserve">p-value </w:t>
            </w:r>
            <w:r w:rsidRPr="00970EBC">
              <w:rPr>
                <w:rFonts w:eastAsia="Times New Roman" w:cs="Calibri"/>
                <w:b/>
                <w:color w:val="263287"/>
                <w:sz w:val="20"/>
                <w:szCs w:val="20"/>
                <w:vertAlign w:val="superscript"/>
              </w:rPr>
              <w:t>c</w:t>
            </w:r>
          </w:p>
        </w:tc>
      </w:tr>
      <w:tr w:rsidR="00970EBC" w:rsidRPr="00970EBC" w14:paraId="64C5E1EE" w14:textId="77777777" w:rsidTr="00970EBC">
        <w:tc>
          <w:tcPr>
            <w:tcW w:w="9209" w:type="dxa"/>
            <w:gridSpan w:val="7"/>
          </w:tcPr>
          <w:p w14:paraId="09322BC5" w14:textId="77777777" w:rsidR="00970EBC" w:rsidRPr="00970EBC" w:rsidRDefault="00970EBC" w:rsidP="00A9412F">
            <w:pPr>
              <w:rPr>
                <w:rFonts w:cs="Calibri"/>
                <w:b/>
                <w:bCs/>
                <w:sz w:val="20"/>
                <w:szCs w:val="20"/>
              </w:rPr>
            </w:pPr>
            <w:r w:rsidRPr="00970EBC">
              <w:rPr>
                <w:rFonts w:eastAsia="Times New Roman" w:cs="Calibri"/>
                <w:b/>
                <w:bCs/>
                <w:sz w:val="20"/>
                <w:szCs w:val="20"/>
              </w:rPr>
              <w:t>Week 35</w:t>
            </w:r>
          </w:p>
        </w:tc>
      </w:tr>
      <w:tr w:rsidR="00970EBC" w:rsidRPr="00970EBC" w14:paraId="1A073C71" w14:textId="77777777" w:rsidTr="00970EBC">
        <w:tc>
          <w:tcPr>
            <w:tcW w:w="1926" w:type="dxa"/>
          </w:tcPr>
          <w:p w14:paraId="16795E9A" w14:textId="77777777" w:rsidR="00970EBC" w:rsidRPr="00970EBC" w:rsidRDefault="00970EBC" w:rsidP="00A9412F">
            <w:pPr>
              <w:rPr>
                <w:rFonts w:cs="Calibri"/>
                <w:b/>
                <w:bCs/>
                <w:sz w:val="20"/>
                <w:szCs w:val="20"/>
              </w:rPr>
            </w:pPr>
            <w:r w:rsidRPr="00970EBC">
              <w:rPr>
                <w:rFonts w:cs="Calibri"/>
                <w:b/>
                <w:bCs/>
                <w:sz w:val="20"/>
                <w:szCs w:val="20"/>
              </w:rPr>
              <w:t>Full analysis set</w:t>
            </w:r>
          </w:p>
        </w:tc>
        <w:tc>
          <w:tcPr>
            <w:tcW w:w="998" w:type="dxa"/>
          </w:tcPr>
          <w:p w14:paraId="492EE614" w14:textId="77777777" w:rsidR="00970EBC" w:rsidRPr="00970EBC" w:rsidRDefault="00970EBC" w:rsidP="005315CC">
            <w:pPr>
              <w:jc w:val="center"/>
              <w:rPr>
                <w:rFonts w:cs="Calibri"/>
                <w:sz w:val="20"/>
                <w:szCs w:val="20"/>
              </w:rPr>
            </w:pPr>
            <w:r w:rsidRPr="00970EBC">
              <w:rPr>
                <w:rFonts w:cs="Calibri"/>
                <w:sz w:val="20"/>
                <w:szCs w:val="20"/>
              </w:rPr>
              <w:t>N = 59</w:t>
            </w:r>
          </w:p>
        </w:tc>
        <w:tc>
          <w:tcPr>
            <w:tcW w:w="1338" w:type="dxa"/>
          </w:tcPr>
          <w:p w14:paraId="273D6695" w14:textId="77777777" w:rsidR="00970EBC" w:rsidRPr="00970EBC" w:rsidRDefault="00970EBC" w:rsidP="005315CC">
            <w:pPr>
              <w:jc w:val="center"/>
              <w:rPr>
                <w:rFonts w:cs="Calibri"/>
                <w:sz w:val="20"/>
                <w:szCs w:val="20"/>
              </w:rPr>
            </w:pPr>
            <w:r w:rsidRPr="00970EBC">
              <w:rPr>
                <w:rFonts w:cs="Calibri"/>
                <w:sz w:val="20"/>
                <w:szCs w:val="20"/>
              </w:rPr>
              <w:t>N = 140</w:t>
            </w:r>
          </w:p>
        </w:tc>
        <w:tc>
          <w:tcPr>
            <w:tcW w:w="1187" w:type="dxa"/>
          </w:tcPr>
          <w:p w14:paraId="79952962" w14:textId="77777777" w:rsidR="00970EBC" w:rsidRPr="00970EBC" w:rsidRDefault="00970EBC" w:rsidP="005315CC">
            <w:pPr>
              <w:jc w:val="center"/>
              <w:rPr>
                <w:rFonts w:cs="Calibri"/>
                <w:sz w:val="20"/>
                <w:szCs w:val="20"/>
              </w:rPr>
            </w:pPr>
            <w:r w:rsidRPr="00970EBC">
              <w:rPr>
                <w:rFonts w:cs="Calibri"/>
                <w:sz w:val="20"/>
                <w:szCs w:val="20"/>
              </w:rPr>
              <w:t>N = 59</w:t>
            </w:r>
          </w:p>
        </w:tc>
        <w:tc>
          <w:tcPr>
            <w:tcW w:w="1373" w:type="dxa"/>
          </w:tcPr>
          <w:p w14:paraId="6A618AD6" w14:textId="77777777" w:rsidR="00970EBC" w:rsidRPr="00970EBC" w:rsidRDefault="00970EBC" w:rsidP="005315CC">
            <w:pPr>
              <w:jc w:val="center"/>
              <w:rPr>
                <w:rFonts w:cs="Calibri"/>
                <w:sz w:val="20"/>
                <w:szCs w:val="20"/>
              </w:rPr>
            </w:pPr>
            <w:r w:rsidRPr="00970EBC">
              <w:rPr>
                <w:rFonts w:cs="Calibri"/>
                <w:sz w:val="20"/>
                <w:szCs w:val="20"/>
              </w:rPr>
              <w:t>N = 140</w:t>
            </w:r>
          </w:p>
        </w:tc>
        <w:tc>
          <w:tcPr>
            <w:tcW w:w="1338" w:type="dxa"/>
          </w:tcPr>
          <w:p w14:paraId="3B1825DC" w14:textId="77777777" w:rsidR="00970EBC" w:rsidRPr="00970EBC" w:rsidRDefault="00970EBC" w:rsidP="005315CC">
            <w:pPr>
              <w:jc w:val="center"/>
              <w:rPr>
                <w:rFonts w:cs="Calibri"/>
                <w:sz w:val="20"/>
                <w:szCs w:val="20"/>
              </w:rPr>
            </w:pPr>
          </w:p>
        </w:tc>
        <w:tc>
          <w:tcPr>
            <w:tcW w:w="1049" w:type="dxa"/>
          </w:tcPr>
          <w:p w14:paraId="287134E7" w14:textId="77777777" w:rsidR="00970EBC" w:rsidRPr="00970EBC" w:rsidRDefault="00970EBC" w:rsidP="005315CC">
            <w:pPr>
              <w:jc w:val="center"/>
              <w:rPr>
                <w:rFonts w:cs="Calibri"/>
                <w:sz w:val="20"/>
                <w:szCs w:val="20"/>
              </w:rPr>
            </w:pPr>
          </w:p>
        </w:tc>
      </w:tr>
      <w:tr w:rsidR="00970EBC" w:rsidRPr="00970EBC" w14:paraId="28EF98A1" w14:textId="77777777" w:rsidTr="00970EBC">
        <w:tc>
          <w:tcPr>
            <w:tcW w:w="1926" w:type="dxa"/>
          </w:tcPr>
          <w:p w14:paraId="22A66935" w14:textId="77777777" w:rsidR="00970EBC" w:rsidRPr="00970EBC" w:rsidRDefault="00970EBC" w:rsidP="00A9412F">
            <w:pPr>
              <w:spacing w:line="259" w:lineRule="auto"/>
              <w:rPr>
                <w:rFonts w:cs="Calibri"/>
                <w:b/>
                <w:bCs/>
                <w:sz w:val="20"/>
                <w:szCs w:val="20"/>
              </w:rPr>
            </w:pPr>
            <w:r w:rsidRPr="00970EBC">
              <w:rPr>
                <w:rFonts w:cs="Calibri"/>
                <w:b/>
                <w:bCs/>
                <w:sz w:val="20"/>
                <w:szCs w:val="20"/>
              </w:rPr>
              <w:t xml:space="preserve">Serum TTR, g/L </w:t>
            </w:r>
            <w:r w:rsidRPr="00970EBC">
              <w:rPr>
                <w:rFonts w:cs="Calibri"/>
                <w:b/>
                <w:bCs/>
                <w:sz w:val="20"/>
                <w:szCs w:val="20"/>
                <w:vertAlign w:val="superscript"/>
              </w:rPr>
              <w:t>b, d</w:t>
            </w:r>
          </w:p>
          <w:p w14:paraId="651EEBE5" w14:textId="77777777" w:rsidR="00970EBC" w:rsidRPr="00970EBC" w:rsidRDefault="00970EBC" w:rsidP="00A9412F">
            <w:pPr>
              <w:rPr>
                <w:rFonts w:cs="Calibri"/>
                <w:b/>
                <w:bCs/>
                <w:sz w:val="20"/>
                <w:szCs w:val="20"/>
              </w:rPr>
            </w:pPr>
          </w:p>
        </w:tc>
        <w:tc>
          <w:tcPr>
            <w:tcW w:w="998" w:type="dxa"/>
          </w:tcPr>
          <w:p w14:paraId="6E4CA1A1" w14:textId="77777777" w:rsidR="00970EBC" w:rsidRPr="00970EBC" w:rsidRDefault="00970EBC" w:rsidP="005315CC">
            <w:pPr>
              <w:jc w:val="center"/>
              <w:rPr>
                <w:rFonts w:cs="Calibri"/>
                <w:sz w:val="20"/>
                <w:szCs w:val="20"/>
              </w:rPr>
            </w:pPr>
            <w:r w:rsidRPr="00970EBC">
              <w:rPr>
                <w:rFonts w:cs="Calibri"/>
                <w:sz w:val="20"/>
                <w:szCs w:val="20"/>
              </w:rPr>
              <w:t>0.15 (0.038)</w:t>
            </w:r>
          </w:p>
        </w:tc>
        <w:tc>
          <w:tcPr>
            <w:tcW w:w="1338" w:type="dxa"/>
          </w:tcPr>
          <w:p w14:paraId="0CE19DD8" w14:textId="77777777" w:rsidR="00970EBC" w:rsidRPr="00970EBC" w:rsidRDefault="00970EBC" w:rsidP="005315CC">
            <w:pPr>
              <w:jc w:val="center"/>
              <w:rPr>
                <w:rFonts w:cs="Calibri"/>
                <w:sz w:val="20"/>
                <w:szCs w:val="20"/>
              </w:rPr>
            </w:pPr>
            <w:r w:rsidRPr="00970EBC">
              <w:rPr>
                <w:rFonts w:cs="Calibri"/>
                <w:sz w:val="20"/>
                <w:szCs w:val="20"/>
              </w:rPr>
              <w:t>0.23 (0.076)</w:t>
            </w:r>
          </w:p>
        </w:tc>
        <w:tc>
          <w:tcPr>
            <w:tcW w:w="1187" w:type="dxa"/>
          </w:tcPr>
          <w:p w14:paraId="467120CA" w14:textId="77777777" w:rsidR="00970EBC" w:rsidRPr="00970EBC" w:rsidRDefault="00970EBC" w:rsidP="005315CC">
            <w:pPr>
              <w:spacing w:line="259" w:lineRule="auto"/>
              <w:jc w:val="center"/>
              <w:rPr>
                <w:rFonts w:cs="Calibri"/>
                <w:sz w:val="20"/>
                <w:szCs w:val="20"/>
              </w:rPr>
            </w:pPr>
            <w:r w:rsidRPr="00970EBC">
              <w:rPr>
                <w:rFonts w:cs="Calibri"/>
                <w:sz w:val="20"/>
                <w:szCs w:val="20"/>
              </w:rPr>
              <w:t>-14.8% (1.98)</w:t>
            </w:r>
          </w:p>
          <w:p w14:paraId="7D03BD7F" w14:textId="77777777" w:rsidR="00970EBC" w:rsidRPr="00970EBC" w:rsidRDefault="00970EBC" w:rsidP="005315CC">
            <w:pPr>
              <w:jc w:val="center"/>
              <w:rPr>
                <w:rFonts w:cs="Calibri"/>
                <w:sz w:val="20"/>
                <w:szCs w:val="20"/>
              </w:rPr>
            </w:pPr>
            <w:r w:rsidRPr="00970EBC">
              <w:rPr>
                <w:rFonts w:cs="Calibri"/>
                <w:sz w:val="20"/>
                <w:szCs w:val="20"/>
              </w:rPr>
              <w:t>[-18.73, -10.80]</w:t>
            </w:r>
          </w:p>
        </w:tc>
        <w:tc>
          <w:tcPr>
            <w:tcW w:w="1373" w:type="dxa"/>
          </w:tcPr>
          <w:p w14:paraId="1389A25B" w14:textId="77777777" w:rsidR="00970EBC" w:rsidRPr="00970EBC" w:rsidRDefault="00970EBC" w:rsidP="005315CC">
            <w:pPr>
              <w:spacing w:line="259" w:lineRule="auto"/>
              <w:jc w:val="center"/>
              <w:rPr>
                <w:rFonts w:cs="Calibri"/>
                <w:sz w:val="20"/>
                <w:szCs w:val="20"/>
              </w:rPr>
            </w:pPr>
            <w:r w:rsidRPr="00970EBC">
              <w:rPr>
                <w:rFonts w:cs="Calibri"/>
                <w:sz w:val="20"/>
                <w:szCs w:val="20"/>
              </w:rPr>
              <w:t>-81.2% (1.70)</w:t>
            </w:r>
          </w:p>
          <w:p w14:paraId="22264238" w14:textId="77777777" w:rsidR="00970EBC" w:rsidRPr="00970EBC" w:rsidRDefault="00970EBC" w:rsidP="005315CC">
            <w:pPr>
              <w:jc w:val="center"/>
              <w:rPr>
                <w:rFonts w:cs="Calibri"/>
                <w:sz w:val="20"/>
                <w:szCs w:val="20"/>
              </w:rPr>
            </w:pPr>
            <w:r w:rsidRPr="00970EBC">
              <w:rPr>
                <w:rFonts w:cs="Calibri"/>
                <w:sz w:val="20"/>
                <w:szCs w:val="20"/>
              </w:rPr>
              <w:t>[-84.55, -77.84]</w:t>
            </w:r>
          </w:p>
        </w:tc>
        <w:tc>
          <w:tcPr>
            <w:tcW w:w="1338" w:type="dxa"/>
          </w:tcPr>
          <w:p w14:paraId="30C72AEC" w14:textId="77777777" w:rsidR="00970EBC" w:rsidRPr="00970EBC" w:rsidRDefault="00970EBC" w:rsidP="005315CC">
            <w:pPr>
              <w:jc w:val="center"/>
              <w:rPr>
                <w:rFonts w:cs="Calibri"/>
                <w:sz w:val="20"/>
                <w:szCs w:val="20"/>
              </w:rPr>
            </w:pPr>
            <w:r w:rsidRPr="00970EBC">
              <w:rPr>
                <w:rFonts w:cs="Calibri"/>
                <w:sz w:val="20"/>
                <w:szCs w:val="20"/>
              </w:rPr>
              <w:t xml:space="preserve">-66.4% </w:t>
            </w:r>
          </w:p>
          <w:p w14:paraId="63C66BA3" w14:textId="77777777" w:rsidR="00970EBC" w:rsidRPr="00970EBC" w:rsidRDefault="00970EBC" w:rsidP="005315CC">
            <w:pPr>
              <w:jc w:val="center"/>
              <w:rPr>
                <w:rFonts w:cs="Calibri"/>
                <w:sz w:val="20"/>
                <w:szCs w:val="20"/>
              </w:rPr>
            </w:pPr>
            <w:r w:rsidRPr="00970EBC">
              <w:rPr>
                <w:rFonts w:cs="Calibri"/>
                <w:sz w:val="20"/>
                <w:szCs w:val="20"/>
              </w:rPr>
              <w:t>(-71.39, -61.47)</w:t>
            </w:r>
          </w:p>
        </w:tc>
        <w:tc>
          <w:tcPr>
            <w:tcW w:w="1049" w:type="dxa"/>
          </w:tcPr>
          <w:p w14:paraId="4E1C2621" w14:textId="77777777" w:rsidR="00970EBC" w:rsidRPr="00970EBC" w:rsidRDefault="00970EBC" w:rsidP="005315CC">
            <w:pPr>
              <w:jc w:val="center"/>
              <w:rPr>
                <w:rFonts w:cs="Calibri"/>
                <w:sz w:val="20"/>
                <w:szCs w:val="20"/>
              </w:rPr>
            </w:pPr>
            <w:r w:rsidRPr="00970EBC">
              <w:rPr>
                <w:rFonts w:cs="Calibri"/>
                <w:sz w:val="20"/>
                <w:szCs w:val="20"/>
              </w:rPr>
              <w:t>&lt; 0.0001</w:t>
            </w:r>
          </w:p>
        </w:tc>
      </w:tr>
      <w:tr w:rsidR="00970EBC" w:rsidRPr="00970EBC" w14:paraId="16EC5239" w14:textId="77777777" w:rsidTr="00970EBC">
        <w:tc>
          <w:tcPr>
            <w:tcW w:w="1926" w:type="dxa"/>
          </w:tcPr>
          <w:p w14:paraId="0ABF2DC3" w14:textId="5C66AE3A" w:rsidR="00970EBC" w:rsidRPr="00970EBC" w:rsidRDefault="00970EBC" w:rsidP="00A9412F">
            <w:pPr>
              <w:spacing w:line="259" w:lineRule="auto"/>
              <w:rPr>
                <w:rFonts w:cs="Calibri"/>
                <w:b/>
                <w:bCs/>
                <w:sz w:val="20"/>
                <w:szCs w:val="20"/>
              </w:rPr>
            </w:pPr>
            <w:r w:rsidRPr="00970EBC">
              <w:rPr>
                <w:rFonts w:cs="Calibri"/>
                <w:b/>
                <w:bCs/>
                <w:sz w:val="20"/>
                <w:szCs w:val="20"/>
              </w:rPr>
              <w:t xml:space="preserve">mNIS+7 composite </w:t>
            </w:r>
            <w:r>
              <w:rPr>
                <w:rFonts w:cs="Calibri"/>
                <w:b/>
                <w:bCs/>
                <w:sz w:val="20"/>
                <w:szCs w:val="20"/>
              </w:rPr>
              <w:br/>
            </w:r>
            <w:r w:rsidRPr="00970EBC">
              <w:rPr>
                <w:rFonts w:cs="Calibri"/>
                <w:b/>
                <w:bCs/>
                <w:sz w:val="20"/>
                <w:szCs w:val="20"/>
              </w:rPr>
              <w:t xml:space="preserve">score </w:t>
            </w:r>
            <w:r w:rsidRPr="00970EBC">
              <w:rPr>
                <w:rFonts w:cs="Calibri"/>
                <w:b/>
                <w:bCs/>
                <w:sz w:val="20"/>
                <w:szCs w:val="20"/>
                <w:vertAlign w:val="superscript"/>
              </w:rPr>
              <w:t>a, e, f</w:t>
            </w:r>
          </w:p>
        </w:tc>
        <w:tc>
          <w:tcPr>
            <w:tcW w:w="998" w:type="dxa"/>
          </w:tcPr>
          <w:p w14:paraId="634B3A13" w14:textId="77777777" w:rsidR="00970EBC" w:rsidRPr="00970EBC" w:rsidRDefault="00970EBC" w:rsidP="005315CC">
            <w:pPr>
              <w:jc w:val="center"/>
              <w:rPr>
                <w:rFonts w:cs="Calibri"/>
                <w:sz w:val="20"/>
                <w:szCs w:val="20"/>
              </w:rPr>
            </w:pPr>
            <w:r w:rsidRPr="00970EBC">
              <w:rPr>
                <w:rFonts w:cs="Calibri"/>
                <w:sz w:val="20"/>
                <w:szCs w:val="20"/>
              </w:rPr>
              <w:t>74.1 (39.03)</w:t>
            </w:r>
          </w:p>
        </w:tc>
        <w:tc>
          <w:tcPr>
            <w:tcW w:w="1338" w:type="dxa"/>
          </w:tcPr>
          <w:p w14:paraId="57FFD97F" w14:textId="77777777" w:rsidR="00970EBC" w:rsidRPr="00970EBC" w:rsidRDefault="00970EBC" w:rsidP="005315CC">
            <w:pPr>
              <w:jc w:val="center"/>
              <w:rPr>
                <w:rFonts w:cs="Calibri"/>
                <w:sz w:val="20"/>
                <w:szCs w:val="20"/>
              </w:rPr>
            </w:pPr>
            <w:r w:rsidRPr="00970EBC">
              <w:rPr>
                <w:rFonts w:cs="Calibri"/>
                <w:sz w:val="20"/>
                <w:szCs w:val="20"/>
              </w:rPr>
              <w:t>79.6 (42.32)</w:t>
            </w:r>
          </w:p>
        </w:tc>
        <w:tc>
          <w:tcPr>
            <w:tcW w:w="1187" w:type="dxa"/>
          </w:tcPr>
          <w:p w14:paraId="0D47BAE0" w14:textId="77777777" w:rsidR="00970EBC" w:rsidRPr="00970EBC" w:rsidRDefault="00970EBC" w:rsidP="005315CC">
            <w:pPr>
              <w:spacing w:line="259" w:lineRule="auto"/>
              <w:jc w:val="center"/>
              <w:rPr>
                <w:rFonts w:cs="Calibri"/>
                <w:sz w:val="20"/>
                <w:szCs w:val="20"/>
              </w:rPr>
            </w:pPr>
            <w:r w:rsidRPr="00970EBC">
              <w:rPr>
                <w:rFonts w:cs="Calibri"/>
                <w:sz w:val="20"/>
                <w:szCs w:val="20"/>
              </w:rPr>
              <w:t>9.2 (1.88)</w:t>
            </w:r>
          </w:p>
          <w:p w14:paraId="13D8DFC5" w14:textId="77777777" w:rsidR="00970EBC" w:rsidRPr="00970EBC" w:rsidRDefault="00970EBC" w:rsidP="005315CC">
            <w:pPr>
              <w:spacing w:line="259" w:lineRule="auto"/>
              <w:jc w:val="center"/>
              <w:rPr>
                <w:rFonts w:cs="Calibri"/>
                <w:sz w:val="20"/>
                <w:szCs w:val="20"/>
              </w:rPr>
            </w:pPr>
            <w:r w:rsidRPr="00970EBC">
              <w:rPr>
                <w:rFonts w:cs="Calibri"/>
                <w:sz w:val="20"/>
                <w:szCs w:val="20"/>
              </w:rPr>
              <w:t>[5.54, 12.91]</w:t>
            </w:r>
          </w:p>
        </w:tc>
        <w:tc>
          <w:tcPr>
            <w:tcW w:w="1373" w:type="dxa"/>
          </w:tcPr>
          <w:p w14:paraId="020D4B7B" w14:textId="77777777" w:rsidR="00970EBC" w:rsidRPr="00970EBC" w:rsidRDefault="00970EBC" w:rsidP="005315CC">
            <w:pPr>
              <w:spacing w:line="259" w:lineRule="auto"/>
              <w:jc w:val="center"/>
              <w:rPr>
                <w:rFonts w:cs="Calibri"/>
                <w:sz w:val="20"/>
                <w:szCs w:val="20"/>
              </w:rPr>
            </w:pPr>
            <w:r w:rsidRPr="00970EBC">
              <w:rPr>
                <w:rFonts w:cs="Calibri"/>
                <w:sz w:val="20"/>
                <w:szCs w:val="20"/>
              </w:rPr>
              <w:t>0.2 (1.87)</w:t>
            </w:r>
          </w:p>
          <w:p w14:paraId="53156907" w14:textId="77777777" w:rsidR="00970EBC" w:rsidRPr="00970EBC" w:rsidRDefault="00970EBC" w:rsidP="005315CC">
            <w:pPr>
              <w:spacing w:line="259" w:lineRule="auto"/>
              <w:jc w:val="center"/>
              <w:rPr>
                <w:rFonts w:cs="Calibri"/>
                <w:sz w:val="20"/>
                <w:szCs w:val="20"/>
              </w:rPr>
            </w:pPr>
            <w:r w:rsidRPr="00970EBC">
              <w:rPr>
                <w:rFonts w:cs="Calibri"/>
                <w:sz w:val="20"/>
                <w:szCs w:val="20"/>
              </w:rPr>
              <w:t>[-3.46, 3.89]</w:t>
            </w:r>
          </w:p>
        </w:tc>
        <w:tc>
          <w:tcPr>
            <w:tcW w:w="1338" w:type="dxa"/>
          </w:tcPr>
          <w:p w14:paraId="776B05FD" w14:textId="77777777" w:rsidR="00970EBC" w:rsidRPr="00970EBC" w:rsidRDefault="00970EBC" w:rsidP="005315CC">
            <w:pPr>
              <w:spacing w:line="259" w:lineRule="auto"/>
              <w:jc w:val="center"/>
              <w:rPr>
                <w:rFonts w:cs="Calibri"/>
                <w:sz w:val="20"/>
                <w:szCs w:val="20"/>
              </w:rPr>
            </w:pPr>
            <w:r w:rsidRPr="00970EBC">
              <w:rPr>
                <w:rFonts w:cs="Calibri"/>
                <w:sz w:val="20"/>
                <w:szCs w:val="20"/>
              </w:rPr>
              <w:t>-9.0</w:t>
            </w:r>
          </w:p>
          <w:p w14:paraId="5FD1A096" w14:textId="77777777" w:rsidR="00970EBC" w:rsidRPr="00970EBC" w:rsidRDefault="00970EBC" w:rsidP="005315CC">
            <w:pPr>
              <w:jc w:val="center"/>
              <w:rPr>
                <w:rFonts w:cs="Calibri"/>
                <w:sz w:val="20"/>
                <w:szCs w:val="20"/>
              </w:rPr>
            </w:pPr>
            <w:r w:rsidRPr="00970EBC">
              <w:rPr>
                <w:rFonts w:cs="Calibri"/>
                <w:sz w:val="20"/>
                <w:szCs w:val="20"/>
              </w:rPr>
              <w:t>(-13.48, -4.54)</w:t>
            </w:r>
          </w:p>
        </w:tc>
        <w:tc>
          <w:tcPr>
            <w:tcW w:w="1049" w:type="dxa"/>
          </w:tcPr>
          <w:p w14:paraId="080A8711" w14:textId="77777777" w:rsidR="00970EBC" w:rsidRPr="00970EBC" w:rsidRDefault="00970EBC" w:rsidP="005315CC">
            <w:pPr>
              <w:jc w:val="center"/>
              <w:rPr>
                <w:rFonts w:cs="Calibri"/>
                <w:sz w:val="20"/>
                <w:szCs w:val="20"/>
              </w:rPr>
            </w:pPr>
            <w:r w:rsidRPr="00970EBC">
              <w:rPr>
                <w:rFonts w:cs="Calibri"/>
                <w:sz w:val="20"/>
                <w:szCs w:val="20"/>
              </w:rPr>
              <w:t>&lt; 0.0001</w:t>
            </w:r>
          </w:p>
        </w:tc>
      </w:tr>
      <w:tr w:rsidR="00970EBC" w:rsidRPr="00970EBC" w14:paraId="2DDC06AB" w14:textId="77777777" w:rsidTr="00970EBC">
        <w:tc>
          <w:tcPr>
            <w:tcW w:w="1926" w:type="dxa"/>
          </w:tcPr>
          <w:p w14:paraId="031B0D48" w14:textId="77777777" w:rsidR="00970EBC" w:rsidRPr="00970EBC" w:rsidRDefault="00970EBC" w:rsidP="00A9412F">
            <w:pPr>
              <w:spacing w:line="259" w:lineRule="auto"/>
              <w:rPr>
                <w:rFonts w:cs="Calibri"/>
                <w:b/>
                <w:bCs/>
                <w:sz w:val="20"/>
                <w:szCs w:val="20"/>
              </w:rPr>
            </w:pPr>
            <w:r w:rsidRPr="00970EBC">
              <w:rPr>
                <w:rFonts w:cs="Calibri"/>
                <w:b/>
                <w:bCs/>
                <w:sz w:val="20"/>
                <w:szCs w:val="20"/>
              </w:rPr>
              <w:t xml:space="preserve">Norfolk QoL-DN total score </w:t>
            </w:r>
            <w:r w:rsidRPr="00970EBC">
              <w:rPr>
                <w:rFonts w:cs="Calibri"/>
                <w:b/>
                <w:bCs/>
                <w:sz w:val="20"/>
                <w:szCs w:val="20"/>
                <w:vertAlign w:val="superscript"/>
              </w:rPr>
              <w:t>a, e, f</w:t>
            </w:r>
          </w:p>
        </w:tc>
        <w:tc>
          <w:tcPr>
            <w:tcW w:w="998" w:type="dxa"/>
          </w:tcPr>
          <w:p w14:paraId="3FD93BF4" w14:textId="77777777" w:rsidR="00970EBC" w:rsidRPr="00970EBC" w:rsidRDefault="00970EBC" w:rsidP="005315CC">
            <w:pPr>
              <w:jc w:val="center"/>
              <w:rPr>
                <w:rFonts w:cs="Calibri"/>
                <w:sz w:val="20"/>
                <w:szCs w:val="20"/>
              </w:rPr>
            </w:pPr>
            <w:r w:rsidRPr="00970EBC">
              <w:rPr>
                <w:rFonts w:cs="Calibri"/>
                <w:sz w:val="20"/>
                <w:szCs w:val="20"/>
              </w:rPr>
              <w:t>48.6 (26.97)</w:t>
            </w:r>
          </w:p>
        </w:tc>
        <w:tc>
          <w:tcPr>
            <w:tcW w:w="1338" w:type="dxa"/>
          </w:tcPr>
          <w:p w14:paraId="0BDDCD59" w14:textId="77777777" w:rsidR="00970EBC" w:rsidRPr="00970EBC" w:rsidRDefault="00970EBC" w:rsidP="005315CC">
            <w:pPr>
              <w:jc w:val="center"/>
              <w:rPr>
                <w:rFonts w:cs="Calibri"/>
                <w:sz w:val="20"/>
                <w:szCs w:val="20"/>
              </w:rPr>
            </w:pPr>
            <w:r w:rsidRPr="00970EBC">
              <w:rPr>
                <w:rFonts w:cs="Calibri"/>
                <w:sz w:val="20"/>
                <w:szCs w:val="20"/>
              </w:rPr>
              <w:t>43.5 (26.25)</w:t>
            </w:r>
          </w:p>
        </w:tc>
        <w:tc>
          <w:tcPr>
            <w:tcW w:w="1187" w:type="dxa"/>
          </w:tcPr>
          <w:p w14:paraId="571B814F" w14:textId="77777777" w:rsidR="00970EBC" w:rsidRPr="00970EBC" w:rsidRDefault="00970EBC" w:rsidP="005315CC">
            <w:pPr>
              <w:spacing w:line="259" w:lineRule="auto"/>
              <w:jc w:val="center"/>
              <w:rPr>
                <w:rFonts w:cs="Calibri"/>
                <w:sz w:val="20"/>
                <w:szCs w:val="20"/>
              </w:rPr>
            </w:pPr>
            <w:r w:rsidRPr="00970EBC">
              <w:rPr>
                <w:rFonts w:cs="Calibri"/>
                <w:sz w:val="20"/>
                <w:szCs w:val="20"/>
              </w:rPr>
              <w:t>8.7 (2.11)</w:t>
            </w:r>
          </w:p>
          <w:p w14:paraId="553C9375" w14:textId="77777777" w:rsidR="00970EBC" w:rsidRPr="00970EBC" w:rsidRDefault="00970EBC" w:rsidP="005315CC">
            <w:pPr>
              <w:spacing w:line="259" w:lineRule="auto"/>
              <w:jc w:val="center"/>
              <w:rPr>
                <w:rFonts w:cs="Calibri"/>
                <w:sz w:val="20"/>
                <w:szCs w:val="20"/>
              </w:rPr>
            </w:pPr>
            <w:r w:rsidRPr="00970EBC">
              <w:rPr>
                <w:rFonts w:cs="Calibri"/>
                <w:sz w:val="20"/>
                <w:szCs w:val="20"/>
              </w:rPr>
              <w:t>[4.53, 12.81]</w:t>
            </w:r>
          </w:p>
        </w:tc>
        <w:tc>
          <w:tcPr>
            <w:tcW w:w="1373" w:type="dxa"/>
          </w:tcPr>
          <w:p w14:paraId="0FF1CE97" w14:textId="77777777" w:rsidR="00970EBC" w:rsidRPr="00970EBC" w:rsidRDefault="00970EBC" w:rsidP="005315CC">
            <w:pPr>
              <w:spacing w:line="259" w:lineRule="auto"/>
              <w:jc w:val="center"/>
              <w:rPr>
                <w:rFonts w:cs="Calibri"/>
                <w:sz w:val="20"/>
                <w:szCs w:val="20"/>
              </w:rPr>
            </w:pPr>
            <w:r w:rsidRPr="00970EBC">
              <w:rPr>
                <w:rFonts w:cs="Calibri"/>
                <w:sz w:val="20"/>
                <w:szCs w:val="20"/>
              </w:rPr>
              <w:t>-3.1 (2.08)</w:t>
            </w:r>
          </w:p>
          <w:p w14:paraId="4A8F3D96" w14:textId="77777777" w:rsidR="00970EBC" w:rsidRPr="00970EBC" w:rsidRDefault="00970EBC" w:rsidP="005315CC">
            <w:pPr>
              <w:spacing w:line="259" w:lineRule="auto"/>
              <w:jc w:val="center"/>
              <w:rPr>
                <w:rFonts w:cs="Calibri"/>
                <w:sz w:val="20"/>
                <w:szCs w:val="20"/>
              </w:rPr>
            </w:pPr>
            <w:r w:rsidRPr="00970EBC">
              <w:rPr>
                <w:rFonts w:cs="Calibri"/>
                <w:sz w:val="20"/>
                <w:szCs w:val="20"/>
              </w:rPr>
              <w:t>[-7.19, 0.96]</w:t>
            </w:r>
          </w:p>
        </w:tc>
        <w:tc>
          <w:tcPr>
            <w:tcW w:w="1338" w:type="dxa"/>
          </w:tcPr>
          <w:p w14:paraId="743A8F50" w14:textId="77777777" w:rsidR="00970EBC" w:rsidRPr="00970EBC" w:rsidRDefault="00970EBC" w:rsidP="005315CC">
            <w:pPr>
              <w:spacing w:line="259" w:lineRule="auto"/>
              <w:jc w:val="center"/>
              <w:rPr>
                <w:rFonts w:cs="Calibri"/>
                <w:sz w:val="20"/>
                <w:szCs w:val="20"/>
              </w:rPr>
            </w:pPr>
            <w:r w:rsidRPr="00970EBC">
              <w:rPr>
                <w:rFonts w:cs="Calibri"/>
                <w:sz w:val="20"/>
                <w:szCs w:val="20"/>
              </w:rPr>
              <w:t>-11.8</w:t>
            </w:r>
          </w:p>
          <w:p w14:paraId="0598D884" w14:textId="77777777" w:rsidR="00970EBC" w:rsidRPr="00970EBC" w:rsidRDefault="00970EBC" w:rsidP="005315CC">
            <w:pPr>
              <w:spacing w:line="259" w:lineRule="auto"/>
              <w:jc w:val="center"/>
              <w:rPr>
                <w:rFonts w:cs="Calibri"/>
                <w:sz w:val="20"/>
                <w:szCs w:val="20"/>
              </w:rPr>
            </w:pPr>
            <w:r w:rsidRPr="00970EBC">
              <w:rPr>
                <w:rFonts w:cs="Calibri"/>
                <w:sz w:val="20"/>
                <w:szCs w:val="20"/>
              </w:rPr>
              <w:t>(-16.82, -6.76)</w:t>
            </w:r>
          </w:p>
        </w:tc>
        <w:tc>
          <w:tcPr>
            <w:tcW w:w="1049" w:type="dxa"/>
          </w:tcPr>
          <w:p w14:paraId="53B6FB85" w14:textId="77777777" w:rsidR="00970EBC" w:rsidRPr="00970EBC" w:rsidRDefault="00970EBC" w:rsidP="005315CC">
            <w:pPr>
              <w:jc w:val="center"/>
              <w:rPr>
                <w:rFonts w:cs="Calibri"/>
                <w:sz w:val="20"/>
                <w:szCs w:val="20"/>
              </w:rPr>
            </w:pPr>
            <w:r w:rsidRPr="00970EBC">
              <w:rPr>
                <w:rFonts w:cs="Calibri"/>
                <w:sz w:val="20"/>
                <w:szCs w:val="20"/>
              </w:rPr>
              <w:t>&lt; 0.0001</w:t>
            </w:r>
          </w:p>
        </w:tc>
      </w:tr>
      <w:tr w:rsidR="00970EBC" w:rsidRPr="00970EBC" w14:paraId="16C9C2A6" w14:textId="77777777" w:rsidTr="00970EBC">
        <w:tc>
          <w:tcPr>
            <w:tcW w:w="9209" w:type="dxa"/>
            <w:gridSpan w:val="7"/>
          </w:tcPr>
          <w:p w14:paraId="6CF8906E" w14:textId="77777777" w:rsidR="00970EBC" w:rsidRPr="00970EBC" w:rsidRDefault="00970EBC" w:rsidP="00A9412F">
            <w:pPr>
              <w:rPr>
                <w:rFonts w:cs="Calibri"/>
                <w:b/>
                <w:bCs/>
                <w:sz w:val="20"/>
                <w:szCs w:val="20"/>
              </w:rPr>
            </w:pPr>
            <w:r w:rsidRPr="00970EBC">
              <w:rPr>
                <w:rFonts w:eastAsia="Times New Roman" w:cs="Calibri"/>
                <w:b/>
                <w:bCs/>
                <w:sz w:val="20"/>
                <w:szCs w:val="20"/>
              </w:rPr>
              <w:t>Week 66</w:t>
            </w:r>
          </w:p>
        </w:tc>
      </w:tr>
      <w:tr w:rsidR="00970EBC" w:rsidRPr="00970EBC" w14:paraId="01BB9A85" w14:textId="77777777" w:rsidTr="00970EBC">
        <w:tc>
          <w:tcPr>
            <w:tcW w:w="1926" w:type="dxa"/>
          </w:tcPr>
          <w:p w14:paraId="553D295A" w14:textId="77777777" w:rsidR="00970EBC" w:rsidRPr="00970EBC" w:rsidRDefault="00970EBC" w:rsidP="00A9412F">
            <w:pPr>
              <w:spacing w:line="259" w:lineRule="auto"/>
              <w:rPr>
                <w:rFonts w:cs="Calibri"/>
                <w:b/>
                <w:bCs/>
                <w:sz w:val="20"/>
                <w:szCs w:val="20"/>
              </w:rPr>
            </w:pPr>
            <w:r w:rsidRPr="00970EBC">
              <w:rPr>
                <w:rFonts w:cs="Calibri"/>
                <w:b/>
                <w:bCs/>
                <w:sz w:val="20"/>
                <w:szCs w:val="20"/>
              </w:rPr>
              <w:t>Full analysis set</w:t>
            </w:r>
          </w:p>
        </w:tc>
        <w:tc>
          <w:tcPr>
            <w:tcW w:w="998" w:type="dxa"/>
          </w:tcPr>
          <w:p w14:paraId="266853BD" w14:textId="77777777" w:rsidR="00970EBC" w:rsidRPr="00970EBC" w:rsidRDefault="00970EBC" w:rsidP="005315CC">
            <w:pPr>
              <w:jc w:val="center"/>
              <w:rPr>
                <w:rFonts w:cs="Calibri"/>
                <w:sz w:val="20"/>
                <w:szCs w:val="20"/>
              </w:rPr>
            </w:pPr>
            <w:r w:rsidRPr="00970EBC">
              <w:rPr>
                <w:rFonts w:cs="Calibri"/>
                <w:sz w:val="20"/>
                <w:szCs w:val="20"/>
              </w:rPr>
              <w:t>N = 59</w:t>
            </w:r>
          </w:p>
        </w:tc>
        <w:tc>
          <w:tcPr>
            <w:tcW w:w="1338" w:type="dxa"/>
          </w:tcPr>
          <w:p w14:paraId="0B613EAC" w14:textId="77777777" w:rsidR="00970EBC" w:rsidRPr="00970EBC" w:rsidRDefault="00970EBC" w:rsidP="005315CC">
            <w:pPr>
              <w:jc w:val="center"/>
              <w:rPr>
                <w:rFonts w:cs="Calibri"/>
                <w:sz w:val="20"/>
                <w:szCs w:val="20"/>
              </w:rPr>
            </w:pPr>
            <w:r w:rsidRPr="00970EBC">
              <w:rPr>
                <w:rFonts w:cs="Calibri"/>
                <w:sz w:val="20"/>
                <w:szCs w:val="20"/>
              </w:rPr>
              <w:t>N = 141</w:t>
            </w:r>
          </w:p>
        </w:tc>
        <w:tc>
          <w:tcPr>
            <w:tcW w:w="1187" w:type="dxa"/>
          </w:tcPr>
          <w:p w14:paraId="2CAE0B20" w14:textId="77777777" w:rsidR="00970EBC" w:rsidRPr="00970EBC" w:rsidRDefault="00970EBC" w:rsidP="005315CC">
            <w:pPr>
              <w:spacing w:line="259" w:lineRule="auto"/>
              <w:jc w:val="center"/>
              <w:rPr>
                <w:rFonts w:cs="Calibri"/>
                <w:sz w:val="20"/>
                <w:szCs w:val="20"/>
              </w:rPr>
            </w:pPr>
            <w:r w:rsidRPr="00970EBC">
              <w:rPr>
                <w:rFonts w:cs="Calibri"/>
                <w:sz w:val="20"/>
                <w:szCs w:val="20"/>
              </w:rPr>
              <w:t>N = 59</w:t>
            </w:r>
          </w:p>
        </w:tc>
        <w:tc>
          <w:tcPr>
            <w:tcW w:w="1373" w:type="dxa"/>
          </w:tcPr>
          <w:p w14:paraId="2BED9EC5" w14:textId="77777777" w:rsidR="00970EBC" w:rsidRPr="00970EBC" w:rsidRDefault="00970EBC" w:rsidP="005315CC">
            <w:pPr>
              <w:spacing w:line="259" w:lineRule="auto"/>
              <w:jc w:val="center"/>
              <w:rPr>
                <w:rFonts w:cs="Calibri"/>
                <w:sz w:val="20"/>
                <w:szCs w:val="20"/>
              </w:rPr>
            </w:pPr>
            <w:r w:rsidRPr="00970EBC">
              <w:rPr>
                <w:rFonts w:cs="Calibri"/>
                <w:sz w:val="20"/>
                <w:szCs w:val="20"/>
              </w:rPr>
              <w:t>N = 141</w:t>
            </w:r>
          </w:p>
        </w:tc>
        <w:tc>
          <w:tcPr>
            <w:tcW w:w="1338" w:type="dxa"/>
          </w:tcPr>
          <w:p w14:paraId="55F0C4BB" w14:textId="77777777" w:rsidR="00970EBC" w:rsidRPr="00970EBC" w:rsidRDefault="00970EBC" w:rsidP="005315CC">
            <w:pPr>
              <w:spacing w:line="259" w:lineRule="auto"/>
              <w:jc w:val="center"/>
              <w:rPr>
                <w:rFonts w:cs="Calibri"/>
                <w:sz w:val="20"/>
                <w:szCs w:val="20"/>
              </w:rPr>
            </w:pPr>
          </w:p>
        </w:tc>
        <w:tc>
          <w:tcPr>
            <w:tcW w:w="1049" w:type="dxa"/>
          </w:tcPr>
          <w:p w14:paraId="10B8199F" w14:textId="77777777" w:rsidR="00970EBC" w:rsidRPr="00970EBC" w:rsidRDefault="00970EBC" w:rsidP="005315CC">
            <w:pPr>
              <w:jc w:val="center"/>
              <w:rPr>
                <w:rFonts w:cs="Calibri"/>
                <w:sz w:val="20"/>
                <w:szCs w:val="20"/>
              </w:rPr>
            </w:pPr>
          </w:p>
        </w:tc>
      </w:tr>
      <w:tr w:rsidR="00970EBC" w:rsidRPr="00970EBC" w14:paraId="309D0EB2" w14:textId="77777777" w:rsidTr="00970EBC">
        <w:tc>
          <w:tcPr>
            <w:tcW w:w="1926" w:type="dxa"/>
          </w:tcPr>
          <w:p w14:paraId="152384CF" w14:textId="77777777" w:rsidR="00970EBC" w:rsidRPr="00970EBC" w:rsidRDefault="00970EBC" w:rsidP="00A9412F">
            <w:pPr>
              <w:spacing w:line="259" w:lineRule="auto"/>
              <w:rPr>
                <w:rFonts w:cs="Calibri"/>
                <w:b/>
                <w:bCs/>
                <w:sz w:val="20"/>
                <w:szCs w:val="20"/>
              </w:rPr>
            </w:pPr>
            <w:r w:rsidRPr="00970EBC">
              <w:rPr>
                <w:rFonts w:cs="Calibri"/>
                <w:b/>
                <w:bCs/>
                <w:sz w:val="20"/>
                <w:szCs w:val="20"/>
              </w:rPr>
              <w:t xml:space="preserve">Serum TTR, g/L </w:t>
            </w:r>
            <w:r w:rsidRPr="00970EBC">
              <w:rPr>
                <w:rFonts w:cs="Calibri"/>
                <w:b/>
                <w:bCs/>
                <w:sz w:val="20"/>
                <w:szCs w:val="20"/>
                <w:vertAlign w:val="superscript"/>
              </w:rPr>
              <w:t>b, g</w:t>
            </w:r>
          </w:p>
        </w:tc>
        <w:tc>
          <w:tcPr>
            <w:tcW w:w="998" w:type="dxa"/>
          </w:tcPr>
          <w:p w14:paraId="0EAABE4A" w14:textId="77777777" w:rsidR="00970EBC" w:rsidRPr="00970EBC" w:rsidRDefault="00970EBC" w:rsidP="005315CC">
            <w:pPr>
              <w:jc w:val="center"/>
              <w:rPr>
                <w:rFonts w:cs="Calibri"/>
                <w:sz w:val="20"/>
                <w:szCs w:val="20"/>
              </w:rPr>
            </w:pPr>
            <w:r w:rsidRPr="00970EBC">
              <w:rPr>
                <w:rFonts w:cs="Calibri"/>
                <w:sz w:val="20"/>
                <w:szCs w:val="20"/>
              </w:rPr>
              <w:t>0.15 (0.038)</w:t>
            </w:r>
          </w:p>
        </w:tc>
        <w:tc>
          <w:tcPr>
            <w:tcW w:w="1338" w:type="dxa"/>
          </w:tcPr>
          <w:p w14:paraId="4752D321" w14:textId="77777777" w:rsidR="00970EBC" w:rsidRPr="00970EBC" w:rsidRDefault="00970EBC" w:rsidP="005315CC">
            <w:pPr>
              <w:jc w:val="center"/>
              <w:rPr>
                <w:rFonts w:cs="Calibri"/>
                <w:sz w:val="20"/>
                <w:szCs w:val="20"/>
              </w:rPr>
            </w:pPr>
            <w:r w:rsidRPr="00970EBC">
              <w:rPr>
                <w:rFonts w:cs="Calibri"/>
                <w:sz w:val="20"/>
                <w:szCs w:val="20"/>
              </w:rPr>
              <w:t>0.23 (0.075)</w:t>
            </w:r>
          </w:p>
        </w:tc>
        <w:tc>
          <w:tcPr>
            <w:tcW w:w="1187" w:type="dxa"/>
          </w:tcPr>
          <w:p w14:paraId="4F7A864F" w14:textId="77777777" w:rsidR="00970EBC" w:rsidRPr="00970EBC" w:rsidRDefault="00970EBC" w:rsidP="005315CC">
            <w:pPr>
              <w:spacing w:line="259" w:lineRule="auto"/>
              <w:jc w:val="center"/>
              <w:rPr>
                <w:rFonts w:cs="Calibri"/>
                <w:sz w:val="20"/>
                <w:szCs w:val="20"/>
              </w:rPr>
            </w:pPr>
            <w:r w:rsidRPr="00970EBC">
              <w:rPr>
                <w:rFonts w:cs="Calibri"/>
                <w:sz w:val="20"/>
                <w:szCs w:val="20"/>
              </w:rPr>
              <w:t>-11.2% (1.91)</w:t>
            </w:r>
          </w:p>
          <w:p w14:paraId="2A7F5F10" w14:textId="77777777" w:rsidR="00970EBC" w:rsidRPr="00970EBC" w:rsidRDefault="00970EBC" w:rsidP="005315CC">
            <w:pPr>
              <w:spacing w:line="259" w:lineRule="auto"/>
              <w:jc w:val="center"/>
              <w:rPr>
                <w:rFonts w:cs="Calibri"/>
                <w:sz w:val="20"/>
                <w:szCs w:val="20"/>
              </w:rPr>
            </w:pPr>
            <w:r w:rsidRPr="00970EBC">
              <w:rPr>
                <w:rFonts w:cs="Calibri"/>
                <w:sz w:val="20"/>
                <w:szCs w:val="20"/>
              </w:rPr>
              <w:t>[-15.06, -7.41]</w:t>
            </w:r>
          </w:p>
        </w:tc>
        <w:tc>
          <w:tcPr>
            <w:tcW w:w="1373" w:type="dxa"/>
          </w:tcPr>
          <w:p w14:paraId="736EC4E6" w14:textId="77777777" w:rsidR="00970EBC" w:rsidRPr="00970EBC" w:rsidRDefault="00970EBC" w:rsidP="005315CC">
            <w:pPr>
              <w:spacing w:line="259" w:lineRule="auto"/>
              <w:jc w:val="center"/>
              <w:rPr>
                <w:rFonts w:cs="Calibri"/>
                <w:sz w:val="20"/>
                <w:szCs w:val="20"/>
              </w:rPr>
            </w:pPr>
            <w:r w:rsidRPr="00970EBC">
              <w:rPr>
                <w:rFonts w:cs="Calibri"/>
                <w:sz w:val="20"/>
                <w:szCs w:val="20"/>
              </w:rPr>
              <w:t>-81.7% (1.61)</w:t>
            </w:r>
          </w:p>
          <w:p w14:paraId="7B848E75" w14:textId="77777777" w:rsidR="00970EBC" w:rsidRPr="00970EBC" w:rsidRDefault="00970EBC" w:rsidP="005315CC">
            <w:pPr>
              <w:spacing w:line="259" w:lineRule="auto"/>
              <w:jc w:val="center"/>
              <w:rPr>
                <w:rFonts w:cs="Calibri"/>
                <w:sz w:val="20"/>
                <w:szCs w:val="20"/>
              </w:rPr>
            </w:pPr>
            <w:r w:rsidRPr="00970EBC">
              <w:rPr>
                <w:rFonts w:cs="Calibri"/>
                <w:sz w:val="20"/>
                <w:szCs w:val="20"/>
              </w:rPr>
              <w:t>[-84.82, -78.48]</w:t>
            </w:r>
          </w:p>
        </w:tc>
        <w:tc>
          <w:tcPr>
            <w:tcW w:w="1338" w:type="dxa"/>
          </w:tcPr>
          <w:p w14:paraId="275A15B7" w14:textId="77777777" w:rsidR="00970EBC" w:rsidRPr="00970EBC" w:rsidRDefault="00970EBC" w:rsidP="005315CC">
            <w:pPr>
              <w:spacing w:line="259" w:lineRule="auto"/>
              <w:jc w:val="center"/>
              <w:rPr>
                <w:rFonts w:cs="Calibri"/>
                <w:sz w:val="20"/>
                <w:szCs w:val="20"/>
              </w:rPr>
            </w:pPr>
            <w:r w:rsidRPr="00970EBC">
              <w:rPr>
                <w:rFonts w:cs="Calibri"/>
                <w:sz w:val="20"/>
                <w:szCs w:val="20"/>
              </w:rPr>
              <w:t xml:space="preserve">-72.5 % </w:t>
            </w:r>
          </w:p>
          <w:p w14:paraId="45FFE705" w14:textId="77777777" w:rsidR="00970EBC" w:rsidRPr="00970EBC" w:rsidRDefault="00970EBC" w:rsidP="005315CC">
            <w:pPr>
              <w:spacing w:line="259" w:lineRule="auto"/>
              <w:jc w:val="center"/>
              <w:rPr>
                <w:rFonts w:cs="Calibri"/>
                <w:sz w:val="20"/>
                <w:szCs w:val="20"/>
              </w:rPr>
            </w:pPr>
            <w:r w:rsidRPr="00970EBC">
              <w:rPr>
                <w:rFonts w:cs="Calibri"/>
                <w:sz w:val="20"/>
                <w:szCs w:val="20"/>
              </w:rPr>
              <w:t>(-79.18, -65.72)</w:t>
            </w:r>
          </w:p>
        </w:tc>
        <w:tc>
          <w:tcPr>
            <w:tcW w:w="1049" w:type="dxa"/>
          </w:tcPr>
          <w:p w14:paraId="054E86FB" w14:textId="77777777" w:rsidR="00970EBC" w:rsidRPr="00970EBC" w:rsidRDefault="00970EBC" w:rsidP="005315CC">
            <w:pPr>
              <w:jc w:val="center"/>
              <w:rPr>
                <w:rFonts w:cs="Calibri"/>
                <w:sz w:val="20"/>
                <w:szCs w:val="20"/>
              </w:rPr>
            </w:pPr>
            <w:r w:rsidRPr="00970EBC">
              <w:rPr>
                <w:rFonts w:cs="Calibri"/>
                <w:sz w:val="20"/>
                <w:szCs w:val="20"/>
              </w:rPr>
              <w:t>&lt; 0.0001</w:t>
            </w:r>
          </w:p>
        </w:tc>
      </w:tr>
      <w:tr w:rsidR="00970EBC" w:rsidRPr="00970EBC" w14:paraId="0B315131" w14:textId="77777777" w:rsidTr="00970EBC">
        <w:tc>
          <w:tcPr>
            <w:tcW w:w="1926" w:type="dxa"/>
          </w:tcPr>
          <w:p w14:paraId="14498F65" w14:textId="77777777" w:rsidR="00970EBC" w:rsidRPr="00970EBC" w:rsidRDefault="00970EBC" w:rsidP="00A9412F">
            <w:pPr>
              <w:spacing w:line="259" w:lineRule="auto"/>
              <w:rPr>
                <w:rFonts w:cs="Calibri"/>
                <w:b/>
                <w:bCs/>
                <w:sz w:val="20"/>
                <w:szCs w:val="20"/>
              </w:rPr>
            </w:pPr>
            <w:r w:rsidRPr="00970EBC">
              <w:rPr>
                <w:rFonts w:cs="Calibri"/>
                <w:b/>
                <w:bCs/>
                <w:sz w:val="20"/>
                <w:szCs w:val="20"/>
              </w:rPr>
              <w:t xml:space="preserve">mNIS+7 composite score </w:t>
            </w:r>
            <w:r w:rsidRPr="00970EBC">
              <w:rPr>
                <w:rFonts w:cs="Calibri"/>
                <w:b/>
                <w:bCs/>
                <w:sz w:val="20"/>
                <w:szCs w:val="20"/>
                <w:vertAlign w:val="superscript"/>
              </w:rPr>
              <w:t>a, d, f</w:t>
            </w:r>
          </w:p>
        </w:tc>
        <w:tc>
          <w:tcPr>
            <w:tcW w:w="998" w:type="dxa"/>
          </w:tcPr>
          <w:p w14:paraId="650EC92A" w14:textId="77777777" w:rsidR="00970EBC" w:rsidRPr="00970EBC" w:rsidRDefault="00970EBC" w:rsidP="005315CC">
            <w:pPr>
              <w:jc w:val="center"/>
              <w:rPr>
                <w:rFonts w:cs="Calibri"/>
                <w:sz w:val="20"/>
                <w:szCs w:val="20"/>
              </w:rPr>
            </w:pPr>
            <w:r w:rsidRPr="00970EBC">
              <w:rPr>
                <w:rFonts w:cs="Calibri"/>
                <w:sz w:val="20"/>
                <w:szCs w:val="20"/>
              </w:rPr>
              <w:t>74.1 (39.03)</w:t>
            </w:r>
          </w:p>
        </w:tc>
        <w:tc>
          <w:tcPr>
            <w:tcW w:w="1338" w:type="dxa"/>
          </w:tcPr>
          <w:p w14:paraId="0348484C" w14:textId="77777777" w:rsidR="00970EBC" w:rsidRPr="00970EBC" w:rsidRDefault="00970EBC" w:rsidP="005315CC">
            <w:pPr>
              <w:jc w:val="center"/>
              <w:rPr>
                <w:rFonts w:cs="Calibri"/>
                <w:sz w:val="20"/>
                <w:szCs w:val="20"/>
              </w:rPr>
            </w:pPr>
            <w:r w:rsidRPr="00970EBC">
              <w:rPr>
                <w:rFonts w:cs="Calibri"/>
                <w:sz w:val="20"/>
                <w:szCs w:val="20"/>
              </w:rPr>
              <w:t>79.8 (42.25)</w:t>
            </w:r>
          </w:p>
        </w:tc>
        <w:tc>
          <w:tcPr>
            <w:tcW w:w="1187" w:type="dxa"/>
          </w:tcPr>
          <w:p w14:paraId="070A3EA4" w14:textId="77777777" w:rsidR="00970EBC" w:rsidRPr="00970EBC" w:rsidRDefault="00970EBC" w:rsidP="005315CC">
            <w:pPr>
              <w:spacing w:line="259" w:lineRule="auto"/>
              <w:jc w:val="center"/>
              <w:rPr>
                <w:rFonts w:cs="Calibri"/>
                <w:sz w:val="20"/>
                <w:szCs w:val="20"/>
              </w:rPr>
            </w:pPr>
            <w:r w:rsidRPr="00970EBC">
              <w:rPr>
                <w:rFonts w:cs="Calibri"/>
                <w:sz w:val="20"/>
                <w:szCs w:val="20"/>
              </w:rPr>
              <w:t>25.1 (2.39)</w:t>
            </w:r>
          </w:p>
          <w:p w14:paraId="2F11C172" w14:textId="77777777" w:rsidR="00970EBC" w:rsidRPr="00970EBC" w:rsidRDefault="00970EBC" w:rsidP="005315CC">
            <w:pPr>
              <w:spacing w:line="259" w:lineRule="auto"/>
              <w:jc w:val="center"/>
              <w:rPr>
                <w:rFonts w:cs="Calibri"/>
                <w:sz w:val="20"/>
                <w:szCs w:val="20"/>
              </w:rPr>
            </w:pPr>
            <w:r w:rsidRPr="00970EBC">
              <w:rPr>
                <w:rFonts w:cs="Calibri"/>
                <w:sz w:val="20"/>
                <w:szCs w:val="20"/>
              </w:rPr>
              <w:t>[20.23, 29.88]</w:t>
            </w:r>
          </w:p>
        </w:tc>
        <w:tc>
          <w:tcPr>
            <w:tcW w:w="1373" w:type="dxa"/>
          </w:tcPr>
          <w:p w14:paraId="5736EECC" w14:textId="77777777" w:rsidR="00970EBC" w:rsidRPr="00970EBC" w:rsidRDefault="00970EBC" w:rsidP="005315CC">
            <w:pPr>
              <w:spacing w:line="259" w:lineRule="auto"/>
              <w:jc w:val="center"/>
              <w:rPr>
                <w:rFonts w:cs="Calibri"/>
                <w:sz w:val="20"/>
                <w:szCs w:val="20"/>
              </w:rPr>
            </w:pPr>
            <w:r w:rsidRPr="00970EBC">
              <w:rPr>
                <w:rFonts w:cs="Calibri"/>
                <w:sz w:val="20"/>
                <w:szCs w:val="20"/>
              </w:rPr>
              <w:t>0.3 (2.41)</w:t>
            </w:r>
          </w:p>
          <w:p w14:paraId="7173E222" w14:textId="77777777" w:rsidR="00970EBC" w:rsidRPr="00970EBC" w:rsidRDefault="00970EBC" w:rsidP="005315CC">
            <w:pPr>
              <w:spacing w:line="259" w:lineRule="auto"/>
              <w:jc w:val="center"/>
              <w:rPr>
                <w:rFonts w:cs="Calibri"/>
                <w:sz w:val="20"/>
                <w:szCs w:val="20"/>
              </w:rPr>
            </w:pPr>
            <w:r w:rsidRPr="00970EBC">
              <w:rPr>
                <w:rFonts w:cs="Calibri"/>
                <w:sz w:val="20"/>
                <w:szCs w:val="20"/>
              </w:rPr>
              <w:t>[-4.46, 5.06]</w:t>
            </w:r>
          </w:p>
        </w:tc>
        <w:tc>
          <w:tcPr>
            <w:tcW w:w="1338" w:type="dxa"/>
          </w:tcPr>
          <w:p w14:paraId="05B72898" w14:textId="77777777" w:rsidR="00970EBC" w:rsidRPr="00970EBC" w:rsidRDefault="00970EBC" w:rsidP="005315CC">
            <w:pPr>
              <w:spacing w:line="259" w:lineRule="auto"/>
              <w:jc w:val="center"/>
              <w:rPr>
                <w:rFonts w:cs="Calibri"/>
                <w:sz w:val="20"/>
                <w:szCs w:val="20"/>
              </w:rPr>
            </w:pPr>
            <w:r w:rsidRPr="00970EBC">
              <w:rPr>
                <w:rFonts w:cs="Calibri"/>
                <w:sz w:val="20"/>
                <w:szCs w:val="20"/>
              </w:rPr>
              <w:t>-24.8</w:t>
            </w:r>
          </w:p>
          <w:p w14:paraId="5E9CF49B" w14:textId="77777777" w:rsidR="00970EBC" w:rsidRPr="00970EBC" w:rsidRDefault="00970EBC" w:rsidP="005315CC">
            <w:pPr>
              <w:spacing w:line="259" w:lineRule="auto"/>
              <w:jc w:val="center"/>
              <w:rPr>
                <w:rFonts w:cs="Calibri"/>
                <w:sz w:val="20"/>
                <w:szCs w:val="20"/>
              </w:rPr>
            </w:pPr>
            <w:r w:rsidRPr="00970EBC">
              <w:rPr>
                <w:rFonts w:cs="Calibri"/>
                <w:sz w:val="20"/>
                <w:szCs w:val="20"/>
              </w:rPr>
              <w:t>(-30.96, -18.56)</w:t>
            </w:r>
          </w:p>
        </w:tc>
        <w:tc>
          <w:tcPr>
            <w:tcW w:w="1049" w:type="dxa"/>
          </w:tcPr>
          <w:p w14:paraId="4660D0A6" w14:textId="77777777" w:rsidR="00970EBC" w:rsidRPr="00970EBC" w:rsidRDefault="00970EBC" w:rsidP="005315CC">
            <w:pPr>
              <w:jc w:val="center"/>
              <w:rPr>
                <w:rFonts w:cs="Calibri"/>
                <w:sz w:val="20"/>
                <w:szCs w:val="20"/>
              </w:rPr>
            </w:pPr>
            <w:r w:rsidRPr="00970EBC">
              <w:rPr>
                <w:rFonts w:cs="Calibri"/>
                <w:sz w:val="20"/>
                <w:szCs w:val="20"/>
              </w:rPr>
              <w:t>&lt; 0.0001</w:t>
            </w:r>
          </w:p>
        </w:tc>
      </w:tr>
      <w:tr w:rsidR="00970EBC" w:rsidRPr="00970EBC" w14:paraId="2EEB3B52" w14:textId="77777777" w:rsidTr="00970EBC">
        <w:tc>
          <w:tcPr>
            <w:tcW w:w="1926" w:type="dxa"/>
          </w:tcPr>
          <w:p w14:paraId="7E0472F4" w14:textId="77777777" w:rsidR="00970EBC" w:rsidRPr="00970EBC" w:rsidRDefault="00970EBC" w:rsidP="00A9412F">
            <w:pPr>
              <w:spacing w:line="259" w:lineRule="auto"/>
              <w:rPr>
                <w:rFonts w:cs="Calibri"/>
                <w:b/>
                <w:bCs/>
                <w:sz w:val="20"/>
                <w:szCs w:val="20"/>
              </w:rPr>
            </w:pPr>
            <w:r w:rsidRPr="00970EBC">
              <w:rPr>
                <w:rFonts w:cs="Calibri"/>
                <w:b/>
                <w:bCs/>
                <w:sz w:val="20"/>
                <w:szCs w:val="20"/>
              </w:rPr>
              <w:t xml:space="preserve">Norfolk QoL-DN total score </w:t>
            </w:r>
            <w:r w:rsidRPr="00970EBC">
              <w:rPr>
                <w:rFonts w:cs="Calibri"/>
                <w:b/>
                <w:bCs/>
                <w:sz w:val="20"/>
                <w:szCs w:val="20"/>
                <w:vertAlign w:val="superscript"/>
              </w:rPr>
              <w:t>a, d, f</w:t>
            </w:r>
          </w:p>
        </w:tc>
        <w:tc>
          <w:tcPr>
            <w:tcW w:w="998" w:type="dxa"/>
          </w:tcPr>
          <w:p w14:paraId="0BBAF6A7" w14:textId="77777777" w:rsidR="00970EBC" w:rsidRPr="00970EBC" w:rsidRDefault="00970EBC" w:rsidP="005315CC">
            <w:pPr>
              <w:jc w:val="center"/>
              <w:rPr>
                <w:rFonts w:cs="Calibri"/>
                <w:sz w:val="20"/>
                <w:szCs w:val="20"/>
              </w:rPr>
            </w:pPr>
            <w:r w:rsidRPr="00970EBC">
              <w:rPr>
                <w:rFonts w:cs="Calibri"/>
                <w:sz w:val="20"/>
                <w:szCs w:val="20"/>
              </w:rPr>
              <w:t>48.6 (26.97)</w:t>
            </w:r>
          </w:p>
        </w:tc>
        <w:tc>
          <w:tcPr>
            <w:tcW w:w="1338" w:type="dxa"/>
          </w:tcPr>
          <w:p w14:paraId="1E950976" w14:textId="77777777" w:rsidR="00970EBC" w:rsidRPr="00970EBC" w:rsidRDefault="00970EBC" w:rsidP="005315CC">
            <w:pPr>
              <w:jc w:val="center"/>
              <w:rPr>
                <w:rFonts w:cs="Calibri"/>
                <w:sz w:val="20"/>
                <w:szCs w:val="20"/>
              </w:rPr>
            </w:pPr>
            <w:r w:rsidRPr="00970EBC">
              <w:rPr>
                <w:rFonts w:cs="Calibri"/>
                <w:sz w:val="20"/>
                <w:szCs w:val="20"/>
              </w:rPr>
              <w:t>43.3 (26.21)</w:t>
            </w:r>
          </w:p>
        </w:tc>
        <w:tc>
          <w:tcPr>
            <w:tcW w:w="1187" w:type="dxa"/>
          </w:tcPr>
          <w:p w14:paraId="5698AE76" w14:textId="77777777" w:rsidR="00970EBC" w:rsidRPr="00970EBC" w:rsidRDefault="00970EBC" w:rsidP="005315CC">
            <w:pPr>
              <w:spacing w:line="259" w:lineRule="auto"/>
              <w:jc w:val="center"/>
              <w:rPr>
                <w:rFonts w:cs="Calibri"/>
                <w:sz w:val="20"/>
                <w:szCs w:val="20"/>
              </w:rPr>
            </w:pPr>
            <w:r w:rsidRPr="00970EBC">
              <w:rPr>
                <w:rFonts w:cs="Calibri"/>
                <w:sz w:val="20"/>
                <w:szCs w:val="20"/>
              </w:rPr>
              <w:t>14.2 (2.35)</w:t>
            </w:r>
          </w:p>
          <w:p w14:paraId="3A69C05B" w14:textId="77777777" w:rsidR="00970EBC" w:rsidRPr="00970EBC" w:rsidRDefault="00970EBC" w:rsidP="005315CC">
            <w:pPr>
              <w:spacing w:line="259" w:lineRule="auto"/>
              <w:jc w:val="center"/>
              <w:rPr>
                <w:rFonts w:cs="Calibri"/>
                <w:sz w:val="20"/>
                <w:szCs w:val="20"/>
              </w:rPr>
            </w:pPr>
            <w:r w:rsidRPr="00970EBC">
              <w:rPr>
                <w:rFonts w:cs="Calibri"/>
                <w:sz w:val="20"/>
                <w:szCs w:val="20"/>
              </w:rPr>
              <w:t>[9.51, 18.97]</w:t>
            </w:r>
          </w:p>
        </w:tc>
        <w:tc>
          <w:tcPr>
            <w:tcW w:w="1373" w:type="dxa"/>
          </w:tcPr>
          <w:p w14:paraId="06053496" w14:textId="77777777" w:rsidR="00970EBC" w:rsidRPr="00970EBC" w:rsidRDefault="00970EBC" w:rsidP="005315CC">
            <w:pPr>
              <w:spacing w:line="259" w:lineRule="auto"/>
              <w:jc w:val="center"/>
              <w:rPr>
                <w:rFonts w:cs="Calibri"/>
                <w:sz w:val="20"/>
                <w:szCs w:val="20"/>
              </w:rPr>
            </w:pPr>
            <w:r w:rsidRPr="00970EBC">
              <w:rPr>
                <w:rFonts w:cs="Calibri"/>
                <w:sz w:val="20"/>
                <w:szCs w:val="20"/>
              </w:rPr>
              <w:t>-5.5 (2.30)</w:t>
            </w:r>
          </w:p>
          <w:p w14:paraId="10BF0396" w14:textId="77777777" w:rsidR="00970EBC" w:rsidRPr="00970EBC" w:rsidRDefault="00970EBC" w:rsidP="005315CC">
            <w:pPr>
              <w:spacing w:line="259" w:lineRule="auto"/>
              <w:jc w:val="center"/>
              <w:rPr>
                <w:rFonts w:cs="Calibri"/>
                <w:sz w:val="20"/>
                <w:szCs w:val="20"/>
              </w:rPr>
            </w:pPr>
            <w:r w:rsidRPr="00970EBC">
              <w:rPr>
                <w:rFonts w:cs="Calibri"/>
                <w:sz w:val="20"/>
                <w:szCs w:val="20"/>
              </w:rPr>
              <w:t>[-10.03, -0.96]</w:t>
            </w:r>
          </w:p>
        </w:tc>
        <w:tc>
          <w:tcPr>
            <w:tcW w:w="1338" w:type="dxa"/>
          </w:tcPr>
          <w:p w14:paraId="0AF9419A" w14:textId="77777777" w:rsidR="00970EBC" w:rsidRPr="00970EBC" w:rsidRDefault="00970EBC" w:rsidP="005315CC">
            <w:pPr>
              <w:spacing w:line="259" w:lineRule="auto"/>
              <w:jc w:val="center"/>
              <w:rPr>
                <w:rFonts w:cs="Calibri"/>
                <w:sz w:val="20"/>
                <w:szCs w:val="20"/>
              </w:rPr>
            </w:pPr>
            <w:r w:rsidRPr="00970EBC">
              <w:rPr>
                <w:rFonts w:cs="Calibri"/>
                <w:sz w:val="20"/>
                <w:szCs w:val="20"/>
              </w:rPr>
              <w:t>-19.7</w:t>
            </w:r>
          </w:p>
          <w:p w14:paraId="17565597" w14:textId="77777777" w:rsidR="00970EBC" w:rsidRPr="00970EBC" w:rsidRDefault="00970EBC" w:rsidP="005315CC">
            <w:pPr>
              <w:spacing w:line="259" w:lineRule="auto"/>
              <w:jc w:val="center"/>
              <w:rPr>
                <w:rFonts w:cs="Calibri"/>
                <w:sz w:val="20"/>
                <w:szCs w:val="20"/>
              </w:rPr>
            </w:pPr>
            <w:r w:rsidRPr="00970EBC">
              <w:rPr>
                <w:rFonts w:cs="Calibri"/>
                <w:sz w:val="20"/>
                <w:szCs w:val="20"/>
              </w:rPr>
              <w:t>(-25.63, -13.84)</w:t>
            </w:r>
          </w:p>
        </w:tc>
        <w:tc>
          <w:tcPr>
            <w:tcW w:w="1049" w:type="dxa"/>
          </w:tcPr>
          <w:p w14:paraId="661E2E83" w14:textId="77777777" w:rsidR="00970EBC" w:rsidRPr="00970EBC" w:rsidRDefault="00970EBC" w:rsidP="005315CC">
            <w:pPr>
              <w:jc w:val="center"/>
              <w:rPr>
                <w:rFonts w:cs="Calibri"/>
                <w:sz w:val="20"/>
                <w:szCs w:val="20"/>
              </w:rPr>
            </w:pPr>
            <w:r w:rsidRPr="00970EBC">
              <w:rPr>
                <w:rFonts w:cs="Calibri"/>
                <w:sz w:val="20"/>
                <w:szCs w:val="20"/>
              </w:rPr>
              <w:t>&lt; 0.0001</w:t>
            </w:r>
          </w:p>
        </w:tc>
      </w:tr>
    </w:tbl>
    <w:p w14:paraId="4C0BCD1E" w14:textId="1544A074" w:rsidR="00970EBC" w:rsidRPr="00970EBC" w:rsidRDefault="00970EBC" w:rsidP="00970EBC">
      <w:pPr>
        <w:pStyle w:val="TableDescription"/>
      </w:pPr>
      <w:r>
        <w:t xml:space="preserve">a </w:t>
      </w:r>
      <w:r w:rsidRPr="00970EBC">
        <w:t xml:space="preserve">Change from baseline </w:t>
      </w:r>
    </w:p>
    <w:p w14:paraId="7BC8D64E" w14:textId="2A5F927E" w:rsidR="00970EBC" w:rsidRPr="00970EBC" w:rsidRDefault="00970EBC" w:rsidP="00970EBC">
      <w:pPr>
        <w:pStyle w:val="TableDescription"/>
      </w:pPr>
      <w:r>
        <w:t xml:space="preserve">b </w:t>
      </w:r>
      <w:r w:rsidRPr="00970EBC">
        <w:t>Percent change from baseline</w:t>
      </w:r>
    </w:p>
    <w:p w14:paraId="62D26971" w14:textId="6B949CF9" w:rsidR="00970EBC" w:rsidRPr="00970EBC" w:rsidRDefault="00970EBC" w:rsidP="00970EBC">
      <w:pPr>
        <w:pStyle w:val="TableDescription"/>
      </w:pPr>
      <w:r>
        <w:t xml:space="preserve">c </w:t>
      </w:r>
      <w:proofErr w:type="gramStart"/>
      <w:r w:rsidRPr="00970EBC">
        <w:t>At</w:t>
      </w:r>
      <w:proofErr w:type="gramEnd"/>
      <w:r w:rsidRPr="00970EBC">
        <w:t xml:space="preserve"> the week 35 interim analysis, all 3 endpoints were statistically significant within the confirmatory testing strategy. In accordance with the prespecified testing strategy, none of the 3 co-primary endpoints at week 66 was therefore formally tested within the prespecified testing strategy.</w:t>
      </w:r>
    </w:p>
    <w:p w14:paraId="3D23FEAD" w14:textId="2D1B30BE" w:rsidR="00970EBC" w:rsidRPr="00970EBC" w:rsidRDefault="00970EBC" w:rsidP="00970EBC">
      <w:pPr>
        <w:pStyle w:val="TableDescription"/>
      </w:pPr>
      <w:r>
        <w:t xml:space="preserve">d </w:t>
      </w:r>
      <w:r w:rsidRPr="00970EBC">
        <w:t>Based on an MMRM adjusted by propensity score weights with fixed categorical effects for treatment, time, treatment-by-time interaction, and disease stage, Val30Met mutation, previous treatment, and fixed covariates for the baseline value and the baseline-by-time interaction.</w:t>
      </w:r>
    </w:p>
    <w:p w14:paraId="28EDF888" w14:textId="39293213" w:rsidR="00970EBC" w:rsidRPr="00970EBC" w:rsidRDefault="00970EBC" w:rsidP="00970EBC">
      <w:pPr>
        <w:pStyle w:val="TableDescription"/>
      </w:pPr>
      <w:r>
        <w:t xml:space="preserve">e </w:t>
      </w:r>
      <w:r w:rsidRPr="00970EBC">
        <w:t>Based on an ANCOVA model adjusted by propensity score with the effects of treatment, disease stage, Val30Met mutation, previous treatment, and the baseline value</w:t>
      </w:r>
    </w:p>
    <w:p w14:paraId="4C645066" w14:textId="5CC4DF9E" w:rsidR="00970EBC" w:rsidRPr="00970EBC" w:rsidRDefault="00970EBC" w:rsidP="00970EBC">
      <w:pPr>
        <w:pStyle w:val="TableDescription"/>
      </w:pPr>
      <w:r>
        <w:t xml:space="preserve">f </w:t>
      </w:r>
      <w:r w:rsidRPr="00970EBC">
        <w:t>Patients with a missing mNIS+7 composite score or Norfolk QoL-DN total score had value multiply imputed using an imputation model. Each of 500 imputed data sets was analysed using simple ANCOVA model and the 500 ANCOVA model results were combined using Rubin’s rules.</w:t>
      </w:r>
    </w:p>
    <w:p w14:paraId="69369A2E" w14:textId="286E5A53" w:rsidR="00970EBC" w:rsidRDefault="00970EBC" w:rsidP="00970EBC">
      <w:pPr>
        <w:pStyle w:val="TableDescription"/>
      </w:pPr>
      <w:r>
        <w:t xml:space="preserve">g </w:t>
      </w:r>
      <w:r w:rsidRPr="00970EBC">
        <w:t>Based on non-parametric Wilcoxon Rank Sum Test (prespecified sensitivity analysis 1, as the Shapiro-Wilks test rejected the assumption of normal distribution).</w:t>
      </w:r>
    </w:p>
    <w:p w14:paraId="2577EA0A" w14:textId="77777777" w:rsidR="00970EBC" w:rsidRPr="00970EBC" w:rsidRDefault="00970EBC" w:rsidP="00970EBC">
      <w:r w:rsidRPr="00970EBC">
        <w:t xml:space="preserve">With respect to the mNIS+7 co-primary endpoint week 66 results demonstrated stability in the eplontersen group, with an increase over time in the external placebo group indicative of disease progression. Overall, sensitivity analyses and subgroup analyses across the co-primary endpoints were supportive of the primary analyses. Results for other secondary efficacy endpoints and exploratory endpoints were also supportive. </w:t>
      </w:r>
      <w:proofErr w:type="spellStart"/>
      <w:r w:rsidRPr="00970EBC">
        <w:t>Inotersen</w:t>
      </w:r>
      <w:proofErr w:type="spellEnd"/>
      <w:r w:rsidRPr="00970EBC">
        <w:t xml:space="preserve"> treatment arms in study CS3 were used to compare treatment responses between study CS3 and study ISIS 420915-CS2, with meaningful comparison hampered by small sample sizes.</w:t>
      </w:r>
    </w:p>
    <w:p w14:paraId="045A45F9" w14:textId="40BD2838" w:rsidR="00970EBC" w:rsidRPr="00970EBC" w:rsidRDefault="00970EBC" w:rsidP="00970EBC">
      <w:r w:rsidRPr="00970EBC">
        <w:t xml:space="preserve">Overall, </w:t>
      </w:r>
      <w:r w:rsidR="00A9412F">
        <w:t>it was observed</w:t>
      </w:r>
      <w:r w:rsidRPr="00970EBC">
        <w:t xml:space="preserve"> that the complex study design was </w:t>
      </w:r>
      <w:proofErr w:type="gramStart"/>
      <w:r w:rsidRPr="00970EBC">
        <w:t>similar to</w:t>
      </w:r>
      <w:proofErr w:type="gramEnd"/>
      <w:r w:rsidRPr="00970EBC">
        <w:t xml:space="preserve"> those used for other ATTR treatments, with measures such as propensity scoring and </w:t>
      </w:r>
      <w:proofErr w:type="spellStart"/>
      <w:r w:rsidRPr="00970EBC">
        <w:t>inotersen</w:t>
      </w:r>
      <w:proofErr w:type="spellEnd"/>
      <w:r w:rsidRPr="00970EBC">
        <w:t xml:space="preserve"> treatment groups to allow </w:t>
      </w:r>
      <w:r w:rsidRPr="00970EBC">
        <w:lastRenderedPageBreak/>
        <w:t xml:space="preserve">cross-study comparison acting to address potential bias due to open-label design and historical, external control group. </w:t>
      </w:r>
      <w:r w:rsidR="00A9412F">
        <w:t>T</w:t>
      </w:r>
      <w:r w:rsidRPr="00970EBC">
        <w:t>he clinically meaningful nature of results</w:t>
      </w:r>
      <w:r w:rsidR="00A9412F">
        <w:t xml:space="preserve"> was noted</w:t>
      </w:r>
      <w:r w:rsidRPr="00970EBC">
        <w:t xml:space="preserve">, with concern about interim analysis at week 35 for a chronic and progressive condition, offset by consistency of results at week 66.  </w:t>
      </w:r>
    </w:p>
    <w:p w14:paraId="163B07C0" w14:textId="77777777" w:rsidR="00970EBC" w:rsidRPr="00970EBC" w:rsidRDefault="00970EBC" w:rsidP="00970EBC">
      <w:pPr>
        <w:pStyle w:val="Heading4"/>
      </w:pPr>
      <w:bookmarkStart w:id="47" w:name="_Toc242958203"/>
      <w:r w:rsidRPr="00970EBC">
        <w:t>Safety</w:t>
      </w:r>
      <w:bookmarkEnd w:id="47"/>
    </w:p>
    <w:p w14:paraId="71A4FD41" w14:textId="15D84BB2" w:rsidR="00970EBC" w:rsidRPr="00970EBC" w:rsidRDefault="00970EBC" w:rsidP="00970EBC">
      <w:r w:rsidRPr="00970EBC">
        <w:t>Evaluable safety data was submitted in the pivotal phase 3 study CS3, pooled data from study CS3 and its long-term extension CS13 up to data cut-off of 7 April 2023, as well as data from 3 phase 1 studies, CS1, CS20 and CS21. Concomitant use of vitamin A supplements is recommended during treatment with eplontersen, including for all clinical trial participants. Vitamin A deficiency was monitored through laboratory results, and during studies CS3 and CS13 through the periodic (2-3 monthly) administration of a short ocular questionnaire which was designed to screen for vitamin A deficiency. During studies in the target population, participants who presented with new and persistent ocular symptoms compatible with vitamin A deficiency (</w:t>
      </w:r>
      <w:r w:rsidR="00A9412F" w:rsidRPr="00970EBC">
        <w:t>e.g.</w:t>
      </w:r>
      <w:r w:rsidRPr="00970EBC">
        <w:t>, night blindness or dry eyes) were to be referred for an ophthalmology examination and, if findings were consistent with vitamin A deficiency, referral to a corneal specialist. Participants were to be permanently discontinued from study drug administration if they demonstrate clear signs of vitamin A deficiency confirmed by an ophthalmologist and discussed with the Investigator</w:t>
      </w:r>
      <w:r w:rsidRPr="00970EBC">
        <w:rPr>
          <w:b/>
          <w:bCs/>
        </w:rPr>
        <w:t xml:space="preserve">. </w:t>
      </w:r>
      <w:r w:rsidRPr="00970EBC">
        <w:t xml:space="preserve">Identified adverse events of special interest (AESIs) included thrombocytopenia, glomerulonephritis, coagulation abnormalities, renal impairment, abnormal liver function, injection site reactions (ISRs), flu-like symptoms, central nervous system (CNS) disorders, and reduced thyroxine. </w:t>
      </w:r>
    </w:p>
    <w:p w14:paraId="6194A2C5" w14:textId="77777777" w:rsidR="00970EBC" w:rsidRPr="00970EBC" w:rsidRDefault="00970EBC" w:rsidP="00970EBC">
      <w:r w:rsidRPr="00970EBC">
        <w:t xml:space="preserve">An integrated summary of safety data pooled from studies CS3 and CS13 was the basis for evaluation of safety, in which 167 participants received at least 1 dose of eplontersen, mean exposure of 628 days, and mean of 22 doses administered. </w:t>
      </w:r>
    </w:p>
    <w:p w14:paraId="1E3538A9" w14:textId="38615CB6" w:rsidR="00970EBC" w:rsidRPr="00970EBC" w:rsidRDefault="00970EBC" w:rsidP="00970EBC">
      <w:pPr>
        <w:pStyle w:val="Heading5"/>
      </w:pPr>
      <w:r w:rsidRPr="00970EBC">
        <w:t>Treatment emergent adverse events</w:t>
      </w:r>
    </w:p>
    <w:p w14:paraId="7ACB5DBE" w14:textId="64F016DF" w:rsidR="00970EBC" w:rsidRDefault="00970EBC" w:rsidP="00970EBC">
      <w:r w:rsidRPr="00970EBC">
        <w:t xml:space="preserve">Table </w:t>
      </w:r>
      <w:r w:rsidR="00E8386C">
        <w:t>8</w:t>
      </w:r>
      <w:r w:rsidRPr="00970EBC">
        <w:t xml:space="preserve"> summarises common (occurring in ≥2% of subjects receiving eplontersen)</w:t>
      </w:r>
      <w:r>
        <w:t xml:space="preserve"> t</w:t>
      </w:r>
      <w:r w:rsidRPr="00970EBC">
        <w:t>reatment emergent adverse events</w:t>
      </w:r>
      <w:r>
        <w:t xml:space="preserve"> (</w:t>
      </w:r>
      <w:r w:rsidRPr="00970EBC">
        <w:t>TEAEs</w:t>
      </w:r>
      <w:r>
        <w:t>)</w:t>
      </w:r>
      <w:r w:rsidRPr="00970EBC">
        <w:t xml:space="preserve"> according to study CS2 external control group, study CS3 eplontersen treatment group, and pooled data for eplontersen-treated subjects. By preferred term (PT), TEAEs that occurred in ≥5% of subjects receiving eplontersen, and at a higher rate compared to placebo, included Vitamin A deficiency, vomiting, proteinuria and blurred vision. Most TEAEs were classified as mild or moderate in severity with no severe TEAEs considered related to study treatment by investigators. The incidence of TEAEs was highest in the first 6 months of treatment and declined over time. </w:t>
      </w:r>
    </w:p>
    <w:p w14:paraId="01D7666A" w14:textId="496536B9" w:rsidR="00970EBC" w:rsidRDefault="00970EBC" w:rsidP="00455330">
      <w:pPr>
        <w:pStyle w:val="TableTitle"/>
      </w:pPr>
      <w:r w:rsidRPr="00970EBC">
        <w:t xml:space="preserve">Table </w:t>
      </w:r>
      <w:r w:rsidR="00E8386C">
        <w:t>8</w:t>
      </w:r>
      <w:r w:rsidRPr="00970EBC">
        <w:t>. Treatment emergent adverse events.</w:t>
      </w:r>
    </w:p>
    <w:tbl>
      <w:tblPr>
        <w:tblW w:w="8784" w:type="dxa"/>
        <w:tblBorders>
          <w:top w:val="single" w:sz="4" w:space="0" w:color="263287"/>
          <w:left w:val="single" w:sz="4" w:space="0" w:color="263287"/>
          <w:bottom w:val="single" w:sz="4" w:space="0" w:color="263287"/>
          <w:right w:val="single" w:sz="4" w:space="0" w:color="263287"/>
          <w:insideH w:val="single" w:sz="4" w:space="0" w:color="263287"/>
          <w:insideV w:val="single" w:sz="4" w:space="0" w:color="263287"/>
        </w:tblBorders>
        <w:tblCellMar>
          <w:top w:w="15" w:type="dxa"/>
          <w:left w:w="15" w:type="dxa"/>
          <w:bottom w:w="15" w:type="dxa"/>
          <w:right w:w="15" w:type="dxa"/>
        </w:tblCellMar>
        <w:tblLook w:val="04A0" w:firstRow="1" w:lastRow="0" w:firstColumn="1" w:lastColumn="0" w:noHBand="0" w:noVBand="1"/>
        <w:tblCaption w:val="Table 8. Treatment emergent adverse events."/>
      </w:tblPr>
      <w:tblGrid>
        <w:gridCol w:w="1660"/>
        <w:gridCol w:w="1014"/>
        <w:gridCol w:w="918"/>
        <w:gridCol w:w="1014"/>
        <w:gridCol w:w="1112"/>
        <w:gridCol w:w="1536"/>
        <w:gridCol w:w="1530"/>
      </w:tblGrid>
      <w:tr w:rsidR="003B69DF" w:rsidRPr="00455330" w14:paraId="200D105D" w14:textId="77777777" w:rsidTr="007E1151">
        <w:trPr>
          <w:trHeight w:val="686"/>
          <w:tblHeader/>
        </w:trPr>
        <w:tc>
          <w:tcPr>
            <w:tcW w:w="0" w:type="auto"/>
            <w:vMerge w:val="restart"/>
            <w:shd w:val="clear" w:color="auto" w:fill="DEEAF6"/>
            <w:vAlign w:val="center"/>
            <w:hideMark/>
          </w:tcPr>
          <w:p w14:paraId="3DDBA806" w14:textId="77777777" w:rsidR="003B69DF" w:rsidRPr="003B69DF" w:rsidRDefault="003B69DF" w:rsidP="004B381D">
            <w:pPr>
              <w:spacing w:before="120"/>
              <w:ind w:left="113" w:right="113"/>
              <w:rPr>
                <w:b/>
                <w:bCs/>
                <w:color w:val="263287"/>
                <w:sz w:val="20"/>
                <w:szCs w:val="18"/>
              </w:rPr>
            </w:pPr>
            <w:r w:rsidRPr="003B69DF">
              <w:rPr>
                <w:b/>
                <w:bCs/>
                <w:color w:val="263287"/>
                <w:sz w:val="20"/>
                <w:szCs w:val="18"/>
              </w:rPr>
              <w:t>Preferred term</w:t>
            </w:r>
          </w:p>
        </w:tc>
        <w:tc>
          <w:tcPr>
            <w:tcW w:w="0" w:type="auto"/>
            <w:gridSpan w:val="2"/>
            <w:shd w:val="clear" w:color="auto" w:fill="DEEAF6"/>
            <w:vAlign w:val="center"/>
            <w:hideMark/>
          </w:tcPr>
          <w:p w14:paraId="0CDA8733" w14:textId="57431AEB" w:rsidR="003B69DF" w:rsidRPr="003B69DF" w:rsidRDefault="003B69DF" w:rsidP="004B381D">
            <w:pPr>
              <w:spacing w:before="120"/>
              <w:ind w:left="113" w:right="113"/>
              <w:rPr>
                <w:b/>
                <w:bCs/>
                <w:color w:val="263287"/>
                <w:sz w:val="20"/>
                <w:szCs w:val="18"/>
              </w:rPr>
            </w:pPr>
            <w:r w:rsidRPr="003B69DF">
              <w:rPr>
                <w:b/>
                <w:bCs/>
                <w:color w:val="263287"/>
                <w:sz w:val="20"/>
                <w:szCs w:val="18"/>
              </w:rPr>
              <w:t>CS2 placebo (N=60)</w:t>
            </w:r>
          </w:p>
        </w:tc>
        <w:tc>
          <w:tcPr>
            <w:tcW w:w="2085" w:type="dxa"/>
            <w:gridSpan w:val="2"/>
            <w:shd w:val="clear" w:color="auto" w:fill="DEEAF6"/>
            <w:vAlign w:val="center"/>
            <w:hideMark/>
          </w:tcPr>
          <w:p w14:paraId="1EE7D635" w14:textId="46292B3D" w:rsidR="003B69DF" w:rsidRPr="003B69DF" w:rsidRDefault="003B69DF" w:rsidP="004B381D">
            <w:pPr>
              <w:spacing w:before="120"/>
              <w:ind w:left="113" w:right="113"/>
              <w:rPr>
                <w:b/>
                <w:bCs/>
                <w:color w:val="263287"/>
                <w:sz w:val="20"/>
                <w:szCs w:val="18"/>
              </w:rPr>
            </w:pPr>
            <w:r w:rsidRPr="003B69DF">
              <w:rPr>
                <w:b/>
                <w:bCs/>
                <w:color w:val="263287"/>
                <w:sz w:val="20"/>
                <w:szCs w:val="18"/>
              </w:rPr>
              <w:t>CS3 eplontersen (N=144)</w:t>
            </w:r>
          </w:p>
        </w:tc>
        <w:tc>
          <w:tcPr>
            <w:tcW w:w="3119" w:type="dxa"/>
            <w:gridSpan w:val="2"/>
            <w:shd w:val="clear" w:color="auto" w:fill="DEEAF6"/>
            <w:vAlign w:val="center"/>
            <w:hideMark/>
          </w:tcPr>
          <w:p w14:paraId="1B1C198E" w14:textId="7487BE5C" w:rsidR="003B69DF" w:rsidRPr="003B69DF" w:rsidRDefault="003B69DF" w:rsidP="004B381D">
            <w:pPr>
              <w:spacing w:before="120"/>
              <w:ind w:left="113" w:right="113"/>
              <w:rPr>
                <w:b/>
                <w:bCs/>
                <w:color w:val="263287"/>
                <w:sz w:val="20"/>
                <w:szCs w:val="18"/>
              </w:rPr>
            </w:pPr>
            <w:r w:rsidRPr="003B69DF">
              <w:rPr>
                <w:b/>
                <w:bCs/>
                <w:color w:val="263287"/>
                <w:sz w:val="20"/>
                <w:szCs w:val="18"/>
              </w:rPr>
              <w:t xml:space="preserve">Eplontersen treated setᵃ (N=167) </w:t>
            </w:r>
          </w:p>
        </w:tc>
      </w:tr>
      <w:tr w:rsidR="00455330" w:rsidRPr="00455330" w14:paraId="37C70342" w14:textId="77777777" w:rsidTr="00455330">
        <w:trPr>
          <w:trHeight w:val="685"/>
          <w:tblHeader/>
        </w:trPr>
        <w:tc>
          <w:tcPr>
            <w:tcW w:w="0" w:type="auto"/>
            <w:vMerge/>
            <w:shd w:val="clear" w:color="auto" w:fill="DEEAF6"/>
            <w:vAlign w:val="center"/>
          </w:tcPr>
          <w:p w14:paraId="5D51DD60" w14:textId="77777777" w:rsidR="00455330" w:rsidRPr="003B69DF" w:rsidRDefault="00455330" w:rsidP="004B381D">
            <w:pPr>
              <w:spacing w:before="120"/>
              <w:ind w:left="113" w:right="113"/>
              <w:rPr>
                <w:b/>
                <w:bCs/>
                <w:color w:val="263287"/>
                <w:sz w:val="20"/>
                <w:szCs w:val="18"/>
              </w:rPr>
            </w:pPr>
          </w:p>
        </w:tc>
        <w:tc>
          <w:tcPr>
            <w:tcW w:w="0" w:type="auto"/>
            <w:shd w:val="clear" w:color="auto" w:fill="DEEAF6"/>
            <w:vAlign w:val="center"/>
          </w:tcPr>
          <w:p w14:paraId="28A683D8" w14:textId="44DBBDD4" w:rsidR="00455330" w:rsidRPr="003B69DF" w:rsidRDefault="00455330" w:rsidP="004B381D">
            <w:pPr>
              <w:spacing w:before="120"/>
              <w:ind w:left="113" w:right="113"/>
              <w:rPr>
                <w:b/>
                <w:bCs/>
                <w:color w:val="263287"/>
                <w:sz w:val="20"/>
                <w:szCs w:val="18"/>
              </w:rPr>
            </w:pPr>
            <w:r w:rsidRPr="003B69DF">
              <w:rPr>
                <w:b/>
                <w:bCs/>
                <w:color w:val="263287"/>
                <w:sz w:val="20"/>
                <w:szCs w:val="18"/>
              </w:rPr>
              <w:t>Patients n (%)</w:t>
            </w:r>
          </w:p>
        </w:tc>
        <w:tc>
          <w:tcPr>
            <w:tcW w:w="0" w:type="auto"/>
            <w:shd w:val="clear" w:color="auto" w:fill="DEEAF6"/>
            <w:vAlign w:val="center"/>
          </w:tcPr>
          <w:p w14:paraId="171CB263" w14:textId="725EB1FE" w:rsidR="00455330" w:rsidRPr="003B69DF" w:rsidRDefault="00455330" w:rsidP="004B381D">
            <w:pPr>
              <w:spacing w:before="120"/>
              <w:ind w:left="113" w:right="113"/>
              <w:rPr>
                <w:b/>
                <w:bCs/>
                <w:color w:val="263287"/>
                <w:sz w:val="20"/>
                <w:szCs w:val="18"/>
              </w:rPr>
            </w:pPr>
            <w:r w:rsidRPr="003B69DF">
              <w:rPr>
                <w:b/>
                <w:bCs/>
                <w:color w:val="263287"/>
                <w:sz w:val="20"/>
                <w:szCs w:val="18"/>
              </w:rPr>
              <w:t>Events N (Rateᵉ)</w:t>
            </w:r>
          </w:p>
        </w:tc>
        <w:tc>
          <w:tcPr>
            <w:tcW w:w="0" w:type="auto"/>
            <w:shd w:val="clear" w:color="auto" w:fill="DEEAF6"/>
            <w:vAlign w:val="center"/>
          </w:tcPr>
          <w:p w14:paraId="42F44D4A" w14:textId="5C626063" w:rsidR="00455330" w:rsidRPr="003B69DF" w:rsidRDefault="00455330" w:rsidP="004B381D">
            <w:pPr>
              <w:spacing w:before="120"/>
              <w:ind w:left="113" w:right="113"/>
              <w:rPr>
                <w:b/>
                <w:bCs/>
                <w:color w:val="263287"/>
                <w:sz w:val="20"/>
                <w:szCs w:val="18"/>
              </w:rPr>
            </w:pPr>
            <w:r w:rsidRPr="003B69DF">
              <w:rPr>
                <w:b/>
                <w:bCs/>
                <w:color w:val="263287"/>
                <w:sz w:val="20"/>
                <w:szCs w:val="18"/>
              </w:rPr>
              <w:t>Patients n (%)</w:t>
            </w:r>
          </w:p>
        </w:tc>
        <w:tc>
          <w:tcPr>
            <w:tcW w:w="1120" w:type="dxa"/>
            <w:shd w:val="clear" w:color="auto" w:fill="DEEAF6"/>
            <w:vAlign w:val="center"/>
          </w:tcPr>
          <w:p w14:paraId="3145FB1B" w14:textId="4201F96F" w:rsidR="00455330" w:rsidRPr="003B69DF" w:rsidRDefault="00455330" w:rsidP="004B381D">
            <w:pPr>
              <w:spacing w:before="120"/>
              <w:ind w:left="113" w:right="113"/>
              <w:rPr>
                <w:b/>
                <w:bCs/>
                <w:color w:val="263287"/>
                <w:sz w:val="20"/>
                <w:szCs w:val="18"/>
              </w:rPr>
            </w:pPr>
            <w:r w:rsidRPr="003B69DF">
              <w:rPr>
                <w:b/>
                <w:bCs/>
                <w:color w:val="263287"/>
                <w:sz w:val="20"/>
                <w:szCs w:val="18"/>
              </w:rPr>
              <w:t>Events N (Rateᵉ)</w:t>
            </w:r>
          </w:p>
        </w:tc>
        <w:tc>
          <w:tcPr>
            <w:tcW w:w="1560" w:type="dxa"/>
            <w:shd w:val="clear" w:color="auto" w:fill="DEEAF6"/>
            <w:vAlign w:val="center"/>
          </w:tcPr>
          <w:p w14:paraId="64BF11E0" w14:textId="08E9FB92" w:rsidR="00455330" w:rsidRPr="003B69DF" w:rsidRDefault="00455330" w:rsidP="004B381D">
            <w:pPr>
              <w:spacing w:before="120"/>
              <w:ind w:left="113" w:right="113"/>
              <w:rPr>
                <w:b/>
                <w:bCs/>
                <w:color w:val="263287"/>
                <w:sz w:val="20"/>
                <w:szCs w:val="18"/>
              </w:rPr>
            </w:pPr>
            <w:r w:rsidRPr="003B69DF">
              <w:rPr>
                <w:b/>
                <w:bCs/>
                <w:color w:val="263287"/>
                <w:sz w:val="20"/>
                <w:szCs w:val="18"/>
              </w:rPr>
              <w:t>Patients n (%)</w:t>
            </w:r>
          </w:p>
        </w:tc>
        <w:tc>
          <w:tcPr>
            <w:tcW w:w="1559" w:type="dxa"/>
            <w:shd w:val="clear" w:color="auto" w:fill="DEEAF6"/>
            <w:vAlign w:val="center"/>
          </w:tcPr>
          <w:p w14:paraId="111D9AC4" w14:textId="0A2750DE" w:rsidR="00455330" w:rsidRPr="003B69DF" w:rsidRDefault="00455330" w:rsidP="004B381D">
            <w:pPr>
              <w:spacing w:before="120"/>
              <w:ind w:left="113" w:right="113"/>
              <w:rPr>
                <w:b/>
                <w:bCs/>
                <w:color w:val="263287"/>
                <w:sz w:val="20"/>
                <w:szCs w:val="18"/>
              </w:rPr>
            </w:pPr>
            <w:r w:rsidRPr="003B69DF">
              <w:rPr>
                <w:b/>
                <w:bCs/>
                <w:color w:val="263287"/>
                <w:sz w:val="20"/>
                <w:szCs w:val="18"/>
              </w:rPr>
              <w:t>Events N (Rateᵉ)</w:t>
            </w:r>
          </w:p>
        </w:tc>
      </w:tr>
      <w:tr w:rsidR="00455330" w:rsidRPr="00455330" w14:paraId="02D2F5AF" w14:textId="77777777" w:rsidTr="00455330">
        <w:tc>
          <w:tcPr>
            <w:tcW w:w="0" w:type="auto"/>
            <w:vAlign w:val="center"/>
            <w:hideMark/>
          </w:tcPr>
          <w:p w14:paraId="303986F8" w14:textId="77777777" w:rsidR="00455330" w:rsidRPr="00455330" w:rsidRDefault="00455330" w:rsidP="004B381D">
            <w:pPr>
              <w:spacing w:before="120"/>
              <w:ind w:left="113" w:right="113"/>
              <w:rPr>
                <w:sz w:val="20"/>
                <w:szCs w:val="18"/>
              </w:rPr>
            </w:pPr>
            <w:r w:rsidRPr="00455330">
              <w:rPr>
                <w:sz w:val="20"/>
                <w:szCs w:val="18"/>
              </w:rPr>
              <w:t>Urinary tract infection</w:t>
            </w:r>
          </w:p>
        </w:tc>
        <w:tc>
          <w:tcPr>
            <w:tcW w:w="0" w:type="auto"/>
            <w:vAlign w:val="center"/>
            <w:hideMark/>
          </w:tcPr>
          <w:p w14:paraId="29FBA100" w14:textId="77777777" w:rsidR="00455330" w:rsidRPr="00455330" w:rsidRDefault="00455330" w:rsidP="004B381D">
            <w:pPr>
              <w:spacing w:before="120"/>
              <w:ind w:left="113" w:right="113"/>
              <w:rPr>
                <w:sz w:val="20"/>
                <w:szCs w:val="18"/>
              </w:rPr>
            </w:pPr>
            <w:r w:rsidRPr="00455330">
              <w:rPr>
                <w:sz w:val="20"/>
                <w:szCs w:val="18"/>
              </w:rPr>
              <w:t>10 (16.7)</w:t>
            </w:r>
          </w:p>
        </w:tc>
        <w:tc>
          <w:tcPr>
            <w:tcW w:w="0" w:type="auto"/>
            <w:vAlign w:val="center"/>
            <w:hideMark/>
          </w:tcPr>
          <w:p w14:paraId="355C4CBA" w14:textId="77777777" w:rsidR="00455330" w:rsidRPr="00455330" w:rsidRDefault="00455330" w:rsidP="004B381D">
            <w:pPr>
              <w:spacing w:before="120"/>
              <w:ind w:left="113" w:right="113"/>
              <w:rPr>
                <w:sz w:val="20"/>
                <w:szCs w:val="18"/>
              </w:rPr>
            </w:pPr>
            <w:r w:rsidRPr="00455330">
              <w:rPr>
                <w:sz w:val="20"/>
                <w:szCs w:val="18"/>
              </w:rPr>
              <w:t>12 (16.69)</w:t>
            </w:r>
          </w:p>
        </w:tc>
        <w:tc>
          <w:tcPr>
            <w:tcW w:w="0" w:type="auto"/>
            <w:vAlign w:val="center"/>
            <w:hideMark/>
          </w:tcPr>
          <w:p w14:paraId="30F8393D" w14:textId="77777777" w:rsidR="00455330" w:rsidRPr="00455330" w:rsidRDefault="00455330" w:rsidP="004B381D">
            <w:pPr>
              <w:spacing w:before="120"/>
              <w:ind w:left="113" w:right="113"/>
              <w:rPr>
                <w:sz w:val="20"/>
                <w:szCs w:val="18"/>
              </w:rPr>
            </w:pPr>
            <w:r w:rsidRPr="00455330">
              <w:rPr>
                <w:sz w:val="20"/>
                <w:szCs w:val="18"/>
              </w:rPr>
              <w:t>24 (16.7)</w:t>
            </w:r>
          </w:p>
        </w:tc>
        <w:tc>
          <w:tcPr>
            <w:tcW w:w="1120" w:type="dxa"/>
            <w:vAlign w:val="center"/>
            <w:hideMark/>
          </w:tcPr>
          <w:p w14:paraId="3DB89F72" w14:textId="77777777" w:rsidR="00455330" w:rsidRPr="00455330" w:rsidRDefault="00455330" w:rsidP="004B381D">
            <w:pPr>
              <w:spacing w:before="120"/>
              <w:ind w:left="113" w:right="113"/>
              <w:rPr>
                <w:sz w:val="20"/>
                <w:szCs w:val="18"/>
              </w:rPr>
            </w:pPr>
            <w:r w:rsidRPr="00455330">
              <w:rPr>
                <w:sz w:val="20"/>
                <w:szCs w:val="18"/>
              </w:rPr>
              <w:t>41 (23.02)</w:t>
            </w:r>
          </w:p>
        </w:tc>
        <w:tc>
          <w:tcPr>
            <w:tcW w:w="1560" w:type="dxa"/>
            <w:vAlign w:val="center"/>
            <w:hideMark/>
          </w:tcPr>
          <w:p w14:paraId="6EC99A6C" w14:textId="77777777" w:rsidR="00455330" w:rsidRPr="00455330" w:rsidRDefault="00455330" w:rsidP="004B381D">
            <w:pPr>
              <w:spacing w:before="120"/>
              <w:ind w:left="113" w:right="113"/>
              <w:rPr>
                <w:sz w:val="20"/>
                <w:szCs w:val="18"/>
              </w:rPr>
            </w:pPr>
            <w:r w:rsidRPr="00455330">
              <w:rPr>
                <w:sz w:val="20"/>
                <w:szCs w:val="18"/>
              </w:rPr>
              <w:t>36 (21.6)</w:t>
            </w:r>
          </w:p>
        </w:tc>
        <w:tc>
          <w:tcPr>
            <w:tcW w:w="1559" w:type="dxa"/>
            <w:vAlign w:val="center"/>
            <w:hideMark/>
          </w:tcPr>
          <w:p w14:paraId="47362269" w14:textId="77777777" w:rsidR="00455330" w:rsidRPr="00455330" w:rsidRDefault="00455330" w:rsidP="004B381D">
            <w:pPr>
              <w:spacing w:before="120"/>
              <w:ind w:left="113" w:right="113"/>
              <w:rPr>
                <w:sz w:val="20"/>
                <w:szCs w:val="18"/>
              </w:rPr>
            </w:pPr>
            <w:r w:rsidRPr="00455330">
              <w:rPr>
                <w:sz w:val="20"/>
                <w:szCs w:val="18"/>
              </w:rPr>
              <w:t>74 (24.1)</w:t>
            </w:r>
          </w:p>
        </w:tc>
      </w:tr>
      <w:tr w:rsidR="00455330" w:rsidRPr="00455330" w14:paraId="36A39E31" w14:textId="77777777" w:rsidTr="00455330">
        <w:tc>
          <w:tcPr>
            <w:tcW w:w="0" w:type="auto"/>
            <w:vAlign w:val="center"/>
            <w:hideMark/>
          </w:tcPr>
          <w:p w14:paraId="7227DE63" w14:textId="77777777" w:rsidR="00455330" w:rsidRPr="00455330" w:rsidRDefault="00455330" w:rsidP="004B381D">
            <w:pPr>
              <w:spacing w:before="120"/>
              <w:ind w:left="113" w:right="113"/>
              <w:rPr>
                <w:sz w:val="20"/>
                <w:szCs w:val="18"/>
              </w:rPr>
            </w:pPr>
            <w:r w:rsidRPr="00455330">
              <w:rPr>
                <w:sz w:val="20"/>
                <w:szCs w:val="18"/>
              </w:rPr>
              <w:t>Diarrhoea</w:t>
            </w:r>
          </w:p>
        </w:tc>
        <w:tc>
          <w:tcPr>
            <w:tcW w:w="0" w:type="auto"/>
            <w:vAlign w:val="center"/>
            <w:hideMark/>
          </w:tcPr>
          <w:p w14:paraId="7E8B756C" w14:textId="77777777" w:rsidR="00455330" w:rsidRPr="00455330" w:rsidRDefault="00455330" w:rsidP="004B381D">
            <w:pPr>
              <w:spacing w:before="120"/>
              <w:ind w:left="113" w:right="113"/>
              <w:rPr>
                <w:sz w:val="20"/>
                <w:szCs w:val="18"/>
              </w:rPr>
            </w:pPr>
            <w:r w:rsidRPr="00455330">
              <w:rPr>
                <w:sz w:val="20"/>
                <w:szCs w:val="18"/>
              </w:rPr>
              <w:t>11 (18.3)</w:t>
            </w:r>
          </w:p>
        </w:tc>
        <w:tc>
          <w:tcPr>
            <w:tcW w:w="0" w:type="auto"/>
            <w:vAlign w:val="center"/>
            <w:hideMark/>
          </w:tcPr>
          <w:p w14:paraId="4724B1EF" w14:textId="77777777" w:rsidR="00455330" w:rsidRPr="00455330" w:rsidRDefault="00455330" w:rsidP="004B381D">
            <w:pPr>
              <w:spacing w:before="120"/>
              <w:ind w:left="113" w:right="113"/>
              <w:rPr>
                <w:sz w:val="20"/>
                <w:szCs w:val="18"/>
              </w:rPr>
            </w:pPr>
            <w:r w:rsidRPr="00455330">
              <w:rPr>
                <w:sz w:val="20"/>
                <w:szCs w:val="18"/>
              </w:rPr>
              <w:t>14 (19.47)</w:t>
            </w:r>
          </w:p>
        </w:tc>
        <w:tc>
          <w:tcPr>
            <w:tcW w:w="0" w:type="auto"/>
            <w:vAlign w:val="center"/>
            <w:hideMark/>
          </w:tcPr>
          <w:p w14:paraId="65CB07D9" w14:textId="77777777" w:rsidR="00455330" w:rsidRPr="00455330" w:rsidRDefault="00455330" w:rsidP="004B381D">
            <w:pPr>
              <w:spacing w:before="120"/>
              <w:ind w:left="113" w:right="113"/>
              <w:rPr>
                <w:sz w:val="20"/>
                <w:szCs w:val="18"/>
              </w:rPr>
            </w:pPr>
            <w:r w:rsidRPr="00455330">
              <w:rPr>
                <w:sz w:val="20"/>
                <w:szCs w:val="18"/>
              </w:rPr>
              <w:t>24 (16.7)</w:t>
            </w:r>
          </w:p>
        </w:tc>
        <w:tc>
          <w:tcPr>
            <w:tcW w:w="1120" w:type="dxa"/>
            <w:vAlign w:val="center"/>
            <w:hideMark/>
          </w:tcPr>
          <w:p w14:paraId="38F8EA7F" w14:textId="77777777" w:rsidR="00455330" w:rsidRPr="00455330" w:rsidRDefault="00455330" w:rsidP="004B381D">
            <w:pPr>
              <w:spacing w:before="120"/>
              <w:ind w:left="113" w:right="113"/>
              <w:rPr>
                <w:sz w:val="20"/>
                <w:szCs w:val="18"/>
              </w:rPr>
            </w:pPr>
            <w:r w:rsidRPr="00455330">
              <w:rPr>
                <w:sz w:val="20"/>
                <w:szCs w:val="18"/>
              </w:rPr>
              <w:t>28 (15.72)</w:t>
            </w:r>
          </w:p>
        </w:tc>
        <w:tc>
          <w:tcPr>
            <w:tcW w:w="1560" w:type="dxa"/>
            <w:vAlign w:val="center"/>
            <w:hideMark/>
          </w:tcPr>
          <w:p w14:paraId="4048DBBC" w14:textId="77777777" w:rsidR="00455330" w:rsidRPr="00455330" w:rsidRDefault="00455330" w:rsidP="004B381D">
            <w:pPr>
              <w:spacing w:before="120"/>
              <w:ind w:left="113" w:right="113"/>
              <w:rPr>
                <w:sz w:val="20"/>
                <w:szCs w:val="18"/>
              </w:rPr>
            </w:pPr>
            <w:r w:rsidRPr="00455330">
              <w:rPr>
                <w:sz w:val="20"/>
                <w:szCs w:val="18"/>
              </w:rPr>
              <w:t>33 (19.8)</w:t>
            </w:r>
          </w:p>
        </w:tc>
        <w:tc>
          <w:tcPr>
            <w:tcW w:w="1559" w:type="dxa"/>
            <w:vAlign w:val="center"/>
            <w:hideMark/>
          </w:tcPr>
          <w:p w14:paraId="46228DB8" w14:textId="77777777" w:rsidR="00455330" w:rsidRPr="00455330" w:rsidRDefault="00455330" w:rsidP="004B381D">
            <w:pPr>
              <w:spacing w:before="120"/>
              <w:ind w:left="113" w:right="113"/>
              <w:rPr>
                <w:sz w:val="20"/>
                <w:szCs w:val="18"/>
              </w:rPr>
            </w:pPr>
            <w:r w:rsidRPr="00455330">
              <w:rPr>
                <w:sz w:val="20"/>
                <w:szCs w:val="18"/>
              </w:rPr>
              <w:t>39 (12.7)</w:t>
            </w:r>
          </w:p>
        </w:tc>
      </w:tr>
      <w:tr w:rsidR="00455330" w:rsidRPr="00455330" w14:paraId="081973D8" w14:textId="77777777" w:rsidTr="00455330">
        <w:tc>
          <w:tcPr>
            <w:tcW w:w="0" w:type="auto"/>
            <w:vAlign w:val="center"/>
            <w:hideMark/>
          </w:tcPr>
          <w:p w14:paraId="3DF8892E" w14:textId="77777777" w:rsidR="00455330" w:rsidRPr="00455330" w:rsidRDefault="00455330" w:rsidP="004B381D">
            <w:pPr>
              <w:spacing w:before="120"/>
              <w:ind w:left="113" w:right="113"/>
              <w:rPr>
                <w:sz w:val="20"/>
                <w:szCs w:val="18"/>
              </w:rPr>
            </w:pPr>
            <w:r w:rsidRPr="00455330">
              <w:rPr>
                <w:b/>
                <w:bCs/>
                <w:sz w:val="20"/>
                <w:szCs w:val="18"/>
              </w:rPr>
              <w:lastRenderedPageBreak/>
              <w:t>Vitamin A deficiencyᵇ</w:t>
            </w:r>
          </w:p>
        </w:tc>
        <w:tc>
          <w:tcPr>
            <w:tcW w:w="0" w:type="auto"/>
            <w:vAlign w:val="center"/>
            <w:hideMark/>
          </w:tcPr>
          <w:p w14:paraId="02B37937" w14:textId="77777777" w:rsidR="00455330" w:rsidRPr="00455330" w:rsidRDefault="00455330" w:rsidP="004B381D">
            <w:pPr>
              <w:spacing w:before="120"/>
              <w:ind w:left="113" w:right="113"/>
              <w:rPr>
                <w:sz w:val="20"/>
                <w:szCs w:val="18"/>
              </w:rPr>
            </w:pPr>
            <w:r w:rsidRPr="00455330">
              <w:rPr>
                <w:b/>
                <w:bCs/>
                <w:sz w:val="20"/>
                <w:szCs w:val="18"/>
              </w:rPr>
              <w:t>0</w:t>
            </w:r>
          </w:p>
        </w:tc>
        <w:tc>
          <w:tcPr>
            <w:tcW w:w="0" w:type="auto"/>
            <w:vAlign w:val="center"/>
            <w:hideMark/>
          </w:tcPr>
          <w:p w14:paraId="3A3DDBBE" w14:textId="77777777" w:rsidR="00455330" w:rsidRPr="00455330" w:rsidRDefault="00455330" w:rsidP="004B381D">
            <w:pPr>
              <w:spacing w:before="120"/>
              <w:ind w:left="113" w:right="113"/>
              <w:rPr>
                <w:sz w:val="20"/>
                <w:szCs w:val="18"/>
              </w:rPr>
            </w:pPr>
            <w:r w:rsidRPr="00455330">
              <w:rPr>
                <w:b/>
                <w:bCs/>
                <w:sz w:val="20"/>
                <w:szCs w:val="18"/>
              </w:rPr>
              <w:t>0</w:t>
            </w:r>
          </w:p>
        </w:tc>
        <w:tc>
          <w:tcPr>
            <w:tcW w:w="0" w:type="auto"/>
            <w:vAlign w:val="center"/>
            <w:hideMark/>
          </w:tcPr>
          <w:p w14:paraId="7223DAAB" w14:textId="77777777" w:rsidR="00455330" w:rsidRPr="00455330" w:rsidRDefault="00455330" w:rsidP="004B381D">
            <w:pPr>
              <w:spacing w:before="120"/>
              <w:ind w:left="113" w:right="113"/>
              <w:rPr>
                <w:sz w:val="20"/>
                <w:szCs w:val="18"/>
              </w:rPr>
            </w:pPr>
            <w:r w:rsidRPr="00455330">
              <w:rPr>
                <w:b/>
                <w:bCs/>
                <w:sz w:val="20"/>
                <w:szCs w:val="18"/>
              </w:rPr>
              <w:t>17 (11.8)</w:t>
            </w:r>
          </w:p>
        </w:tc>
        <w:tc>
          <w:tcPr>
            <w:tcW w:w="1120" w:type="dxa"/>
            <w:vAlign w:val="center"/>
            <w:hideMark/>
          </w:tcPr>
          <w:p w14:paraId="6488D060" w14:textId="77777777" w:rsidR="00455330" w:rsidRPr="00455330" w:rsidRDefault="00455330" w:rsidP="004B381D">
            <w:pPr>
              <w:spacing w:before="120"/>
              <w:ind w:left="113" w:right="113"/>
              <w:rPr>
                <w:sz w:val="20"/>
                <w:szCs w:val="18"/>
              </w:rPr>
            </w:pPr>
            <w:r w:rsidRPr="00455330">
              <w:rPr>
                <w:b/>
                <w:bCs/>
                <w:sz w:val="20"/>
                <w:szCs w:val="18"/>
              </w:rPr>
              <w:t>17 (9.55)</w:t>
            </w:r>
          </w:p>
        </w:tc>
        <w:tc>
          <w:tcPr>
            <w:tcW w:w="1560" w:type="dxa"/>
            <w:vAlign w:val="center"/>
            <w:hideMark/>
          </w:tcPr>
          <w:p w14:paraId="6FAECF42" w14:textId="77777777" w:rsidR="00455330" w:rsidRPr="00455330" w:rsidRDefault="00455330" w:rsidP="004B381D">
            <w:pPr>
              <w:spacing w:before="120"/>
              <w:ind w:left="113" w:right="113"/>
              <w:rPr>
                <w:sz w:val="20"/>
                <w:szCs w:val="18"/>
              </w:rPr>
            </w:pPr>
            <w:r w:rsidRPr="00455330">
              <w:rPr>
                <w:b/>
                <w:bCs/>
                <w:sz w:val="20"/>
                <w:szCs w:val="18"/>
              </w:rPr>
              <w:t>18 (10.8)</w:t>
            </w:r>
          </w:p>
        </w:tc>
        <w:tc>
          <w:tcPr>
            <w:tcW w:w="1559" w:type="dxa"/>
            <w:vAlign w:val="center"/>
            <w:hideMark/>
          </w:tcPr>
          <w:p w14:paraId="205215C2" w14:textId="77777777" w:rsidR="00455330" w:rsidRPr="00455330" w:rsidRDefault="00455330" w:rsidP="004B381D">
            <w:pPr>
              <w:spacing w:before="120"/>
              <w:ind w:left="113" w:right="113"/>
              <w:rPr>
                <w:sz w:val="20"/>
                <w:szCs w:val="18"/>
              </w:rPr>
            </w:pPr>
            <w:r w:rsidRPr="00455330">
              <w:rPr>
                <w:b/>
                <w:bCs/>
                <w:sz w:val="20"/>
                <w:szCs w:val="18"/>
              </w:rPr>
              <w:t>19 (6.2)</w:t>
            </w:r>
          </w:p>
        </w:tc>
      </w:tr>
      <w:tr w:rsidR="00455330" w:rsidRPr="00455330" w14:paraId="2A20C91B" w14:textId="77777777" w:rsidTr="00455330">
        <w:tc>
          <w:tcPr>
            <w:tcW w:w="0" w:type="auto"/>
            <w:vAlign w:val="center"/>
            <w:hideMark/>
          </w:tcPr>
          <w:p w14:paraId="537DDA11" w14:textId="77777777" w:rsidR="00455330" w:rsidRPr="00455330" w:rsidRDefault="00455330" w:rsidP="004B381D">
            <w:pPr>
              <w:spacing w:before="120"/>
              <w:ind w:left="113" w:right="113"/>
              <w:rPr>
                <w:sz w:val="20"/>
                <w:szCs w:val="18"/>
              </w:rPr>
            </w:pPr>
            <w:r w:rsidRPr="00455330">
              <w:rPr>
                <w:sz w:val="20"/>
                <w:szCs w:val="18"/>
              </w:rPr>
              <w:t>Nausea</w:t>
            </w:r>
          </w:p>
        </w:tc>
        <w:tc>
          <w:tcPr>
            <w:tcW w:w="0" w:type="auto"/>
            <w:vAlign w:val="center"/>
            <w:hideMark/>
          </w:tcPr>
          <w:p w14:paraId="1E23ABA6" w14:textId="77777777" w:rsidR="00455330" w:rsidRPr="00455330" w:rsidRDefault="00455330" w:rsidP="004B381D">
            <w:pPr>
              <w:spacing w:before="120"/>
              <w:ind w:left="113" w:right="113"/>
              <w:rPr>
                <w:sz w:val="20"/>
                <w:szCs w:val="18"/>
              </w:rPr>
            </w:pPr>
            <w:r w:rsidRPr="00455330">
              <w:rPr>
                <w:sz w:val="20"/>
                <w:szCs w:val="18"/>
              </w:rPr>
              <w:t>7 (11.7)</w:t>
            </w:r>
          </w:p>
        </w:tc>
        <w:tc>
          <w:tcPr>
            <w:tcW w:w="0" w:type="auto"/>
            <w:vAlign w:val="center"/>
            <w:hideMark/>
          </w:tcPr>
          <w:p w14:paraId="597CC13E" w14:textId="77777777" w:rsidR="00455330" w:rsidRPr="00455330" w:rsidRDefault="00455330" w:rsidP="004B381D">
            <w:pPr>
              <w:spacing w:before="120"/>
              <w:ind w:left="113" w:right="113"/>
              <w:rPr>
                <w:sz w:val="20"/>
                <w:szCs w:val="18"/>
              </w:rPr>
            </w:pPr>
            <w:r w:rsidRPr="00455330">
              <w:rPr>
                <w:sz w:val="20"/>
                <w:szCs w:val="18"/>
              </w:rPr>
              <w:t>9 (12.52)</w:t>
            </w:r>
          </w:p>
        </w:tc>
        <w:tc>
          <w:tcPr>
            <w:tcW w:w="0" w:type="auto"/>
            <w:vAlign w:val="center"/>
            <w:hideMark/>
          </w:tcPr>
          <w:p w14:paraId="220E3B5F" w14:textId="77777777" w:rsidR="00455330" w:rsidRPr="00455330" w:rsidRDefault="00455330" w:rsidP="004B381D">
            <w:pPr>
              <w:spacing w:before="120"/>
              <w:ind w:left="113" w:right="113"/>
              <w:rPr>
                <w:sz w:val="20"/>
                <w:szCs w:val="18"/>
              </w:rPr>
            </w:pPr>
            <w:r w:rsidRPr="00455330">
              <w:rPr>
                <w:sz w:val="20"/>
                <w:szCs w:val="18"/>
              </w:rPr>
              <w:t>16 (11.1)</w:t>
            </w:r>
          </w:p>
        </w:tc>
        <w:tc>
          <w:tcPr>
            <w:tcW w:w="1120" w:type="dxa"/>
            <w:vAlign w:val="center"/>
            <w:hideMark/>
          </w:tcPr>
          <w:p w14:paraId="170868CE" w14:textId="77777777" w:rsidR="00455330" w:rsidRPr="00455330" w:rsidRDefault="00455330" w:rsidP="004B381D">
            <w:pPr>
              <w:spacing w:before="120"/>
              <w:ind w:left="113" w:right="113"/>
              <w:rPr>
                <w:sz w:val="20"/>
                <w:szCs w:val="18"/>
              </w:rPr>
            </w:pPr>
            <w:r w:rsidRPr="00455330">
              <w:rPr>
                <w:sz w:val="20"/>
                <w:szCs w:val="18"/>
              </w:rPr>
              <w:t>21 (11.79)</w:t>
            </w:r>
          </w:p>
        </w:tc>
        <w:tc>
          <w:tcPr>
            <w:tcW w:w="1560" w:type="dxa"/>
            <w:vAlign w:val="center"/>
            <w:hideMark/>
          </w:tcPr>
          <w:p w14:paraId="38A970A4" w14:textId="77777777" w:rsidR="00455330" w:rsidRPr="00455330" w:rsidRDefault="00455330" w:rsidP="004B381D">
            <w:pPr>
              <w:spacing w:before="120"/>
              <w:ind w:left="113" w:right="113"/>
              <w:rPr>
                <w:sz w:val="20"/>
                <w:szCs w:val="18"/>
              </w:rPr>
            </w:pPr>
            <w:r w:rsidRPr="00455330">
              <w:rPr>
                <w:sz w:val="20"/>
                <w:szCs w:val="18"/>
              </w:rPr>
              <w:t>17 (10.2)</w:t>
            </w:r>
          </w:p>
        </w:tc>
        <w:tc>
          <w:tcPr>
            <w:tcW w:w="1559" w:type="dxa"/>
            <w:vAlign w:val="center"/>
            <w:hideMark/>
          </w:tcPr>
          <w:p w14:paraId="57531A32" w14:textId="77777777" w:rsidR="00455330" w:rsidRPr="00455330" w:rsidRDefault="00455330" w:rsidP="004B381D">
            <w:pPr>
              <w:spacing w:before="120"/>
              <w:ind w:left="113" w:right="113"/>
              <w:rPr>
                <w:sz w:val="20"/>
                <w:szCs w:val="18"/>
              </w:rPr>
            </w:pPr>
            <w:r w:rsidRPr="00455330">
              <w:rPr>
                <w:sz w:val="20"/>
                <w:szCs w:val="18"/>
              </w:rPr>
              <w:t>22 (7.2)</w:t>
            </w:r>
          </w:p>
        </w:tc>
      </w:tr>
      <w:tr w:rsidR="00455330" w:rsidRPr="00455330" w14:paraId="4C18E17B" w14:textId="77777777" w:rsidTr="00455330">
        <w:tc>
          <w:tcPr>
            <w:tcW w:w="0" w:type="auto"/>
            <w:vAlign w:val="center"/>
            <w:hideMark/>
          </w:tcPr>
          <w:p w14:paraId="46CFDB96" w14:textId="77777777" w:rsidR="00455330" w:rsidRPr="00455330" w:rsidRDefault="00455330" w:rsidP="004B381D">
            <w:pPr>
              <w:spacing w:before="120"/>
              <w:ind w:left="113" w:right="113"/>
              <w:rPr>
                <w:sz w:val="20"/>
                <w:szCs w:val="18"/>
              </w:rPr>
            </w:pPr>
            <w:r w:rsidRPr="00455330">
              <w:rPr>
                <w:b/>
                <w:bCs/>
                <w:sz w:val="20"/>
                <w:szCs w:val="18"/>
              </w:rPr>
              <w:t>Vomiting</w:t>
            </w:r>
          </w:p>
        </w:tc>
        <w:tc>
          <w:tcPr>
            <w:tcW w:w="0" w:type="auto"/>
            <w:vAlign w:val="center"/>
            <w:hideMark/>
          </w:tcPr>
          <w:p w14:paraId="2F27EDF9" w14:textId="77777777" w:rsidR="00455330" w:rsidRPr="00455330" w:rsidRDefault="00455330" w:rsidP="004B381D">
            <w:pPr>
              <w:spacing w:before="120"/>
              <w:ind w:left="113" w:right="113"/>
              <w:rPr>
                <w:sz w:val="20"/>
                <w:szCs w:val="18"/>
              </w:rPr>
            </w:pPr>
            <w:r w:rsidRPr="00455330">
              <w:rPr>
                <w:b/>
                <w:bCs/>
                <w:sz w:val="20"/>
                <w:szCs w:val="18"/>
              </w:rPr>
              <w:t>3 (5.0)</w:t>
            </w:r>
          </w:p>
        </w:tc>
        <w:tc>
          <w:tcPr>
            <w:tcW w:w="0" w:type="auto"/>
            <w:vAlign w:val="center"/>
            <w:hideMark/>
          </w:tcPr>
          <w:p w14:paraId="29E13330" w14:textId="77777777" w:rsidR="00455330" w:rsidRPr="00455330" w:rsidRDefault="00455330" w:rsidP="004B381D">
            <w:pPr>
              <w:spacing w:before="120"/>
              <w:ind w:left="113" w:right="113"/>
              <w:rPr>
                <w:sz w:val="20"/>
                <w:szCs w:val="18"/>
              </w:rPr>
            </w:pPr>
            <w:r w:rsidRPr="00455330">
              <w:rPr>
                <w:b/>
                <w:bCs/>
                <w:sz w:val="20"/>
                <w:szCs w:val="18"/>
              </w:rPr>
              <w:t>3 (4.17)</w:t>
            </w:r>
          </w:p>
        </w:tc>
        <w:tc>
          <w:tcPr>
            <w:tcW w:w="0" w:type="auto"/>
            <w:vAlign w:val="center"/>
            <w:hideMark/>
          </w:tcPr>
          <w:p w14:paraId="3F758816" w14:textId="77777777" w:rsidR="00455330" w:rsidRPr="00455330" w:rsidRDefault="00455330" w:rsidP="004B381D">
            <w:pPr>
              <w:spacing w:before="120"/>
              <w:ind w:left="113" w:right="113"/>
              <w:rPr>
                <w:sz w:val="20"/>
                <w:szCs w:val="18"/>
              </w:rPr>
            </w:pPr>
            <w:r w:rsidRPr="00455330">
              <w:rPr>
                <w:b/>
                <w:bCs/>
                <w:sz w:val="20"/>
                <w:szCs w:val="18"/>
              </w:rPr>
              <w:t>12 (8.3)</w:t>
            </w:r>
          </w:p>
        </w:tc>
        <w:tc>
          <w:tcPr>
            <w:tcW w:w="1120" w:type="dxa"/>
            <w:vAlign w:val="center"/>
            <w:hideMark/>
          </w:tcPr>
          <w:p w14:paraId="1AF2910E" w14:textId="77777777" w:rsidR="00455330" w:rsidRPr="00455330" w:rsidRDefault="00455330" w:rsidP="004B381D">
            <w:pPr>
              <w:spacing w:before="120"/>
              <w:ind w:left="113" w:right="113"/>
              <w:rPr>
                <w:sz w:val="20"/>
                <w:szCs w:val="18"/>
              </w:rPr>
            </w:pPr>
            <w:r w:rsidRPr="00455330">
              <w:rPr>
                <w:b/>
                <w:bCs/>
                <w:sz w:val="20"/>
                <w:szCs w:val="18"/>
              </w:rPr>
              <w:t>23 (12.91)</w:t>
            </w:r>
          </w:p>
        </w:tc>
        <w:tc>
          <w:tcPr>
            <w:tcW w:w="1560" w:type="dxa"/>
            <w:vAlign w:val="center"/>
            <w:hideMark/>
          </w:tcPr>
          <w:p w14:paraId="66B3907D" w14:textId="77777777" w:rsidR="00455330" w:rsidRPr="00455330" w:rsidRDefault="00455330" w:rsidP="004B381D">
            <w:pPr>
              <w:spacing w:before="120"/>
              <w:ind w:left="113" w:right="113"/>
              <w:rPr>
                <w:sz w:val="20"/>
                <w:szCs w:val="18"/>
              </w:rPr>
            </w:pPr>
            <w:r w:rsidRPr="00455330">
              <w:rPr>
                <w:b/>
                <w:bCs/>
                <w:sz w:val="20"/>
                <w:szCs w:val="18"/>
              </w:rPr>
              <w:t>16 (9.6)</w:t>
            </w:r>
          </w:p>
        </w:tc>
        <w:tc>
          <w:tcPr>
            <w:tcW w:w="1559" w:type="dxa"/>
            <w:vAlign w:val="center"/>
            <w:hideMark/>
          </w:tcPr>
          <w:p w14:paraId="11BAF36A" w14:textId="77777777" w:rsidR="00455330" w:rsidRPr="00455330" w:rsidRDefault="00455330" w:rsidP="004B381D">
            <w:pPr>
              <w:spacing w:before="120"/>
              <w:ind w:left="113" w:right="113"/>
              <w:rPr>
                <w:sz w:val="20"/>
                <w:szCs w:val="18"/>
              </w:rPr>
            </w:pPr>
            <w:r w:rsidRPr="00455330">
              <w:rPr>
                <w:b/>
                <w:bCs/>
                <w:sz w:val="20"/>
                <w:szCs w:val="18"/>
              </w:rPr>
              <w:t>31 (10.1)</w:t>
            </w:r>
          </w:p>
        </w:tc>
      </w:tr>
      <w:tr w:rsidR="00455330" w:rsidRPr="00455330" w14:paraId="19EA7DB0" w14:textId="77777777" w:rsidTr="00455330">
        <w:tc>
          <w:tcPr>
            <w:tcW w:w="0" w:type="auto"/>
            <w:vAlign w:val="center"/>
            <w:hideMark/>
          </w:tcPr>
          <w:p w14:paraId="718EF975" w14:textId="77777777" w:rsidR="00455330" w:rsidRPr="00455330" w:rsidRDefault="00455330" w:rsidP="004B381D">
            <w:pPr>
              <w:spacing w:before="120"/>
              <w:ind w:left="113" w:right="113"/>
              <w:rPr>
                <w:sz w:val="20"/>
                <w:szCs w:val="18"/>
              </w:rPr>
            </w:pPr>
            <w:r w:rsidRPr="00455330">
              <w:rPr>
                <w:b/>
                <w:bCs/>
                <w:sz w:val="20"/>
                <w:szCs w:val="18"/>
              </w:rPr>
              <w:t>Proteinuria</w:t>
            </w:r>
          </w:p>
        </w:tc>
        <w:tc>
          <w:tcPr>
            <w:tcW w:w="0" w:type="auto"/>
            <w:vAlign w:val="center"/>
            <w:hideMark/>
          </w:tcPr>
          <w:p w14:paraId="1504EC2D" w14:textId="77777777" w:rsidR="00455330" w:rsidRPr="00455330" w:rsidRDefault="00455330" w:rsidP="004B381D">
            <w:pPr>
              <w:spacing w:before="120"/>
              <w:ind w:left="113" w:right="113"/>
              <w:rPr>
                <w:sz w:val="20"/>
                <w:szCs w:val="18"/>
              </w:rPr>
            </w:pPr>
            <w:r w:rsidRPr="00455330">
              <w:rPr>
                <w:b/>
                <w:bCs/>
                <w:sz w:val="20"/>
                <w:szCs w:val="18"/>
              </w:rPr>
              <w:t>2 (3.3)</w:t>
            </w:r>
          </w:p>
        </w:tc>
        <w:tc>
          <w:tcPr>
            <w:tcW w:w="0" w:type="auto"/>
            <w:vAlign w:val="center"/>
            <w:hideMark/>
          </w:tcPr>
          <w:p w14:paraId="78E538C3" w14:textId="77777777" w:rsidR="00455330" w:rsidRPr="00455330" w:rsidRDefault="00455330" w:rsidP="004B381D">
            <w:pPr>
              <w:spacing w:before="120"/>
              <w:ind w:left="113" w:right="113"/>
              <w:rPr>
                <w:sz w:val="20"/>
                <w:szCs w:val="18"/>
              </w:rPr>
            </w:pPr>
            <w:r w:rsidRPr="00455330">
              <w:rPr>
                <w:b/>
                <w:bCs/>
                <w:sz w:val="20"/>
                <w:szCs w:val="18"/>
              </w:rPr>
              <w:t>2 (2.78)</w:t>
            </w:r>
          </w:p>
        </w:tc>
        <w:tc>
          <w:tcPr>
            <w:tcW w:w="0" w:type="auto"/>
            <w:vAlign w:val="center"/>
            <w:hideMark/>
          </w:tcPr>
          <w:p w14:paraId="0CBF7672" w14:textId="77777777" w:rsidR="00455330" w:rsidRPr="00455330" w:rsidRDefault="00455330" w:rsidP="004B381D">
            <w:pPr>
              <w:spacing w:before="120"/>
              <w:ind w:left="113" w:right="113"/>
              <w:rPr>
                <w:sz w:val="20"/>
                <w:szCs w:val="18"/>
              </w:rPr>
            </w:pPr>
            <w:r w:rsidRPr="00455330">
              <w:rPr>
                <w:b/>
                <w:bCs/>
                <w:sz w:val="20"/>
                <w:szCs w:val="18"/>
              </w:rPr>
              <w:t>12 (8.3)</w:t>
            </w:r>
          </w:p>
        </w:tc>
        <w:tc>
          <w:tcPr>
            <w:tcW w:w="1120" w:type="dxa"/>
            <w:vAlign w:val="center"/>
            <w:hideMark/>
          </w:tcPr>
          <w:p w14:paraId="282FB295" w14:textId="77777777" w:rsidR="00455330" w:rsidRPr="00455330" w:rsidRDefault="00455330" w:rsidP="004B381D">
            <w:pPr>
              <w:spacing w:before="120"/>
              <w:ind w:left="113" w:right="113"/>
              <w:rPr>
                <w:sz w:val="20"/>
                <w:szCs w:val="18"/>
              </w:rPr>
            </w:pPr>
            <w:r w:rsidRPr="00455330">
              <w:rPr>
                <w:b/>
                <w:bCs/>
                <w:sz w:val="20"/>
                <w:szCs w:val="18"/>
              </w:rPr>
              <w:t>13 (7.30)</w:t>
            </w:r>
          </w:p>
        </w:tc>
        <w:tc>
          <w:tcPr>
            <w:tcW w:w="1560" w:type="dxa"/>
            <w:vAlign w:val="center"/>
            <w:hideMark/>
          </w:tcPr>
          <w:p w14:paraId="48E2B653" w14:textId="77777777" w:rsidR="00455330" w:rsidRPr="00455330" w:rsidRDefault="00455330" w:rsidP="004B381D">
            <w:pPr>
              <w:spacing w:before="120"/>
              <w:ind w:left="113" w:right="113"/>
              <w:rPr>
                <w:sz w:val="20"/>
                <w:szCs w:val="18"/>
              </w:rPr>
            </w:pPr>
            <w:r w:rsidRPr="00455330">
              <w:rPr>
                <w:b/>
                <w:bCs/>
                <w:sz w:val="20"/>
                <w:szCs w:val="18"/>
              </w:rPr>
              <w:t>16 (9.6)</w:t>
            </w:r>
          </w:p>
        </w:tc>
        <w:tc>
          <w:tcPr>
            <w:tcW w:w="1559" w:type="dxa"/>
            <w:vAlign w:val="center"/>
            <w:hideMark/>
          </w:tcPr>
          <w:p w14:paraId="3C7970D5" w14:textId="77777777" w:rsidR="00455330" w:rsidRPr="00455330" w:rsidRDefault="00455330" w:rsidP="004B381D">
            <w:pPr>
              <w:spacing w:before="120"/>
              <w:ind w:left="113" w:right="113"/>
              <w:rPr>
                <w:sz w:val="20"/>
                <w:szCs w:val="18"/>
              </w:rPr>
            </w:pPr>
            <w:r w:rsidRPr="00455330">
              <w:rPr>
                <w:b/>
                <w:bCs/>
                <w:sz w:val="20"/>
                <w:szCs w:val="18"/>
              </w:rPr>
              <w:t>18 (5.9)</w:t>
            </w:r>
          </w:p>
        </w:tc>
      </w:tr>
      <w:tr w:rsidR="00455330" w:rsidRPr="00455330" w14:paraId="111FD2FD" w14:textId="77777777" w:rsidTr="00455330">
        <w:tc>
          <w:tcPr>
            <w:tcW w:w="0" w:type="auto"/>
            <w:vAlign w:val="center"/>
            <w:hideMark/>
          </w:tcPr>
          <w:p w14:paraId="53E48867" w14:textId="77777777" w:rsidR="00455330" w:rsidRPr="00455330" w:rsidRDefault="00455330" w:rsidP="004B381D">
            <w:pPr>
              <w:spacing w:before="120"/>
              <w:ind w:left="113" w:right="113"/>
              <w:rPr>
                <w:sz w:val="20"/>
                <w:szCs w:val="18"/>
              </w:rPr>
            </w:pPr>
            <w:r w:rsidRPr="00455330">
              <w:rPr>
                <w:sz w:val="20"/>
                <w:szCs w:val="18"/>
              </w:rPr>
              <w:t>Oedema peripheral</w:t>
            </w:r>
          </w:p>
        </w:tc>
        <w:tc>
          <w:tcPr>
            <w:tcW w:w="0" w:type="auto"/>
            <w:vAlign w:val="center"/>
            <w:hideMark/>
          </w:tcPr>
          <w:p w14:paraId="0151AB7E" w14:textId="77777777" w:rsidR="00455330" w:rsidRPr="00455330" w:rsidRDefault="00455330" w:rsidP="004B381D">
            <w:pPr>
              <w:spacing w:before="120"/>
              <w:ind w:left="113" w:right="113"/>
              <w:rPr>
                <w:sz w:val="20"/>
                <w:szCs w:val="18"/>
              </w:rPr>
            </w:pPr>
            <w:r w:rsidRPr="00455330">
              <w:rPr>
                <w:sz w:val="20"/>
                <w:szCs w:val="18"/>
              </w:rPr>
              <w:t>5 (8.3)</w:t>
            </w:r>
          </w:p>
        </w:tc>
        <w:tc>
          <w:tcPr>
            <w:tcW w:w="0" w:type="auto"/>
            <w:vAlign w:val="center"/>
            <w:hideMark/>
          </w:tcPr>
          <w:p w14:paraId="352CAC9C" w14:textId="77777777" w:rsidR="00455330" w:rsidRPr="00455330" w:rsidRDefault="00455330" w:rsidP="004B381D">
            <w:pPr>
              <w:spacing w:before="120"/>
              <w:ind w:left="113" w:right="113"/>
              <w:rPr>
                <w:sz w:val="20"/>
                <w:szCs w:val="18"/>
              </w:rPr>
            </w:pPr>
            <w:r w:rsidRPr="00455330">
              <w:rPr>
                <w:sz w:val="20"/>
                <w:szCs w:val="18"/>
              </w:rPr>
              <w:t>5 (6.95)</w:t>
            </w:r>
          </w:p>
        </w:tc>
        <w:tc>
          <w:tcPr>
            <w:tcW w:w="0" w:type="auto"/>
            <w:vAlign w:val="center"/>
            <w:hideMark/>
          </w:tcPr>
          <w:p w14:paraId="0DE69A1E" w14:textId="77777777" w:rsidR="00455330" w:rsidRPr="00455330" w:rsidRDefault="00455330" w:rsidP="004B381D">
            <w:pPr>
              <w:spacing w:before="120"/>
              <w:ind w:left="113" w:right="113"/>
              <w:rPr>
                <w:sz w:val="20"/>
                <w:szCs w:val="18"/>
              </w:rPr>
            </w:pPr>
            <w:r w:rsidRPr="00455330">
              <w:rPr>
                <w:sz w:val="20"/>
                <w:szCs w:val="18"/>
              </w:rPr>
              <w:t>12 (8.3)</w:t>
            </w:r>
          </w:p>
        </w:tc>
        <w:tc>
          <w:tcPr>
            <w:tcW w:w="1120" w:type="dxa"/>
            <w:vAlign w:val="center"/>
            <w:hideMark/>
          </w:tcPr>
          <w:p w14:paraId="62B32DC7" w14:textId="77777777" w:rsidR="00455330" w:rsidRPr="00455330" w:rsidRDefault="00455330" w:rsidP="004B381D">
            <w:pPr>
              <w:spacing w:before="120"/>
              <w:ind w:left="113" w:right="113"/>
              <w:rPr>
                <w:sz w:val="20"/>
                <w:szCs w:val="18"/>
              </w:rPr>
            </w:pPr>
            <w:r w:rsidRPr="00455330">
              <w:rPr>
                <w:sz w:val="20"/>
                <w:szCs w:val="18"/>
              </w:rPr>
              <w:t>14 (7.86)</w:t>
            </w:r>
          </w:p>
        </w:tc>
        <w:tc>
          <w:tcPr>
            <w:tcW w:w="1560" w:type="dxa"/>
            <w:vAlign w:val="center"/>
            <w:hideMark/>
          </w:tcPr>
          <w:p w14:paraId="0EF00852" w14:textId="77777777" w:rsidR="00455330" w:rsidRPr="00455330" w:rsidRDefault="00455330" w:rsidP="004B381D">
            <w:pPr>
              <w:spacing w:before="120"/>
              <w:ind w:left="113" w:right="113"/>
              <w:rPr>
                <w:sz w:val="20"/>
                <w:szCs w:val="18"/>
              </w:rPr>
            </w:pPr>
            <w:r w:rsidRPr="00455330">
              <w:rPr>
                <w:sz w:val="20"/>
                <w:szCs w:val="18"/>
              </w:rPr>
              <w:t>15 (9.0)</w:t>
            </w:r>
          </w:p>
        </w:tc>
        <w:tc>
          <w:tcPr>
            <w:tcW w:w="1559" w:type="dxa"/>
            <w:vAlign w:val="center"/>
            <w:hideMark/>
          </w:tcPr>
          <w:p w14:paraId="297BE57E" w14:textId="77777777" w:rsidR="00455330" w:rsidRPr="00455330" w:rsidRDefault="00455330" w:rsidP="004B381D">
            <w:pPr>
              <w:spacing w:before="120"/>
              <w:ind w:left="113" w:right="113"/>
              <w:rPr>
                <w:sz w:val="20"/>
                <w:szCs w:val="18"/>
              </w:rPr>
            </w:pPr>
            <w:r w:rsidRPr="00455330">
              <w:rPr>
                <w:sz w:val="20"/>
                <w:szCs w:val="18"/>
              </w:rPr>
              <w:t>17 (5.5)</w:t>
            </w:r>
          </w:p>
        </w:tc>
      </w:tr>
      <w:tr w:rsidR="00455330" w:rsidRPr="00455330" w14:paraId="5C3D0C4E" w14:textId="77777777" w:rsidTr="00455330">
        <w:tc>
          <w:tcPr>
            <w:tcW w:w="0" w:type="auto"/>
            <w:vAlign w:val="center"/>
            <w:hideMark/>
          </w:tcPr>
          <w:p w14:paraId="0CEE00F1" w14:textId="77777777" w:rsidR="00455330" w:rsidRPr="00455330" w:rsidRDefault="00455330" w:rsidP="004B381D">
            <w:pPr>
              <w:spacing w:before="120"/>
              <w:ind w:left="113" w:right="113"/>
              <w:rPr>
                <w:sz w:val="20"/>
                <w:szCs w:val="18"/>
              </w:rPr>
            </w:pPr>
            <w:r w:rsidRPr="00455330">
              <w:rPr>
                <w:sz w:val="20"/>
                <w:szCs w:val="18"/>
              </w:rPr>
              <w:t>Arthralgia</w:t>
            </w:r>
          </w:p>
        </w:tc>
        <w:tc>
          <w:tcPr>
            <w:tcW w:w="0" w:type="auto"/>
            <w:vAlign w:val="center"/>
            <w:hideMark/>
          </w:tcPr>
          <w:p w14:paraId="21A6C68A" w14:textId="77777777" w:rsidR="00455330" w:rsidRPr="00455330" w:rsidRDefault="00455330" w:rsidP="004B381D">
            <w:pPr>
              <w:spacing w:before="120"/>
              <w:ind w:left="113" w:right="113"/>
              <w:rPr>
                <w:sz w:val="20"/>
                <w:szCs w:val="18"/>
              </w:rPr>
            </w:pPr>
            <w:r w:rsidRPr="00455330">
              <w:rPr>
                <w:sz w:val="20"/>
                <w:szCs w:val="18"/>
              </w:rPr>
              <w:t>5 (8.3)</w:t>
            </w:r>
          </w:p>
        </w:tc>
        <w:tc>
          <w:tcPr>
            <w:tcW w:w="0" w:type="auto"/>
            <w:vAlign w:val="center"/>
            <w:hideMark/>
          </w:tcPr>
          <w:p w14:paraId="161B5D53" w14:textId="77777777" w:rsidR="00455330" w:rsidRPr="00455330" w:rsidRDefault="00455330" w:rsidP="004B381D">
            <w:pPr>
              <w:spacing w:before="120"/>
              <w:ind w:left="113" w:right="113"/>
              <w:rPr>
                <w:sz w:val="20"/>
                <w:szCs w:val="18"/>
              </w:rPr>
            </w:pPr>
            <w:r w:rsidRPr="00455330">
              <w:rPr>
                <w:sz w:val="20"/>
                <w:szCs w:val="18"/>
              </w:rPr>
              <w:t>7 (9.74)</w:t>
            </w:r>
          </w:p>
        </w:tc>
        <w:tc>
          <w:tcPr>
            <w:tcW w:w="0" w:type="auto"/>
            <w:vAlign w:val="center"/>
            <w:hideMark/>
          </w:tcPr>
          <w:p w14:paraId="32D7EDAE" w14:textId="77777777" w:rsidR="00455330" w:rsidRPr="00455330" w:rsidRDefault="00455330" w:rsidP="004B381D">
            <w:pPr>
              <w:spacing w:before="120"/>
              <w:ind w:left="113" w:right="113"/>
              <w:rPr>
                <w:sz w:val="20"/>
                <w:szCs w:val="18"/>
              </w:rPr>
            </w:pPr>
            <w:r w:rsidRPr="00455330">
              <w:rPr>
                <w:sz w:val="20"/>
                <w:szCs w:val="18"/>
              </w:rPr>
              <w:t>9 (6.3)</w:t>
            </w:r>
          </w:p>
        </w:tc>
        <w:tc>
          <w:tcPr>
            <w:tcW w:w="1120" w:type="dxa"/>
            <w:vAlign w:val="center"/>
            <w:hideMark/>
          </w:tcPr>
          <w:p w14:paraId="20C5EC5A" w14:textId="77777777" w:rsidR="00455330" w:rsidRPr="00455330" w:rsidRDefault="00455330" w:rsidP="004B381D">
            <w:pPr>
              <w:spacing w:before="120"/>
              <w:ind w:left="113" w:right="113"/>
              <w:rPr>
                <w:sz w:val="20"/>
                <w:szCs w:val="18"/>
              </w:rPr>
            </w:pPr>
            <w:r w:rsidRPr="00455330">
              <w:rPr>
                <w:sz w:val="20"/>
                <w:szCs w:val="18"/>
              </w:rPr>
              <w:t>9 (5.05)</w:t>
            </w:r>
          </w:p>
        </w:tc>
        <w:tc>
          <w:tcPr>
            <w:tcW w:w="1560" w:type="dxa"/>
            <w:vAlign w:val="center"/>
            <w:hideMark/>
          </w:tcPr>
          <w:p w14:paraId="6408FEC0" w14:textId="77777777" w:rsidR="00455330" w:rsidRPr="00455330" w:rsidRDefault="00455330" w:rsidP="004B381D">
            <w:pPr>
              <w:spacing w:before="120"/>
              <w:ind w:left="113" w:right="113"/>
              <w:rPr>
                <w:sz w:val="20"/>
                <w:szCs w:val="18"/>
              </w:rPr>
            </w:pPr>
            <w:r w:rsidRPr="00455330">
              <w:rPr>
                <w:sz w:val="20"/>
                <w:szCs w:val="18"/>
              </w:rPr>
              <w:t>14 (8.4)</w:t>
            </w:r>
          </w:p>
        </w:tc>
        <w:tc>
          <w:tcPr>
            <w:tcW w:w="1559" w:type="dxa"/>
            <w:vAlign w:val="center"/>
            <w:hideMark/>
          </w:tcPr>
          <w:p w14:paraId="48220595" w14:textId="77777777" w:rsidR="00455330" w:rsidRPr="00455330" w:rsidRDefault="00455330" w:rsidP="004B381D">
            <w:pPr>
              <w:spacing w:before="120"/>
              <w:ind w:left="113" w:right="113"/>
              <w:rPr>
                <w:sz w:val="20"/>
                <w:szCs w:val="18"/>
              </w:rPr>
            </w:pPr>
            <w:r w:rsidRPr="00455330">
              <w:rPr>
                <w:sz w:val="20"/>
                <w:szCs w:val="18"/>
              </w:rPr>
              <w:t>21 (6.9)</w:t>
            </w:r>
          </w:p>
        </w:tc>
      </w:tr>
      <w:tr w:rsidR="00455330" w:rsidRPr="00455330" w14:paraId="04582669" w14:textId="77777777" w:rsidTr="00455330">
        <w:tc>
          <w:tcPr>
            <w:tcW w:w="0" w:type="auto"/>
            <w:vAlign w:val="center"/>
            <w:hideMark/>
          </w:tcPr>
          <w:p w14:paraId="2D0DEABF" w14:textId="77777777" w:rsidR="00455330" w:rsidRPr="00455330" w:rsidRDefault="00455330" w:rsidP="004B381D">
            <w:pPr>
              <w:spacing w:before="120"/>
              <w:ind w:left="113" w:right="113"/>
              <w:rPr>
                <w:sz w:val="20"/>
                <w:szCs w:val="18"/>
              </w:rPr>
            </w:pPr>
            <w:r w:rsidRPr="00455330">
              <w:rPr>
                <w:sz w:val="20"/>
                <w:szCs w:val="18"/>
              </w:rPr>
              <w:t>Headache</w:t>
            </w:r>
          </w:p>
        </w:tc>
        <w:tc>
          <w:tcPr>
            <w:tcW w:w="0" w:type="auto"/>
            <w:vAlign w:val="center"/>
            <w:hideMark/>
          </w:tcPr>
          <w:p w14:paraId="09F37622" w14:textId="77777777" w:rsidR="00455330" w:rsidRPr="00455330" w:rsidRDefault="00455330" w:rsidP="004B381D">
            <w:pPr>
              <w:spacing w:before="120"/>
              <w:ind w:left="113" w:right="113"/>
              <w:rPr>
                <w:sz w:val="20"/>
                <w:szCs w:val="18"/>
              </w:rPr>
            </w:pPr>
            <w:r w:rsidRPr="00455330">
              <w:rPr>
                <w:sz w:val="20"/>
                <w:szCs w:val="18"/>
              </w:rPr>
              <w:t>7 (11.7)</w:t>
            </w:r>
          </w:p>
        </w:tc>
        <w:tc>
          <w:tcPr>
            <w:tcW w:w="0" w:type="auto"/>
            <w:vAlign w:val="center"/>
            <w:hideMark/>
          </w:tcPr>
          <w:p w14:paraId="5C07BA89" w14:textId="77777777" w:rsidR="00455330" w:rsidRPr="00455330" w:rsidRDefault="00455330" w:rsidP="004B381D">
            <w:pPr>
              <w:spacing w:before="120"/>
              <w:ind w:left="113" w:right="113"/>
              <w:rPr>
                <w:sz w:val="20"/>
                <w:szCs w:val="18"/>
              </w:rPr>
            </w:pPr>
            <w:r w:rsidRPr="00455330">
              <w:rPr>
                <w:sz w:val="20"/>
                <w:szCs w:val="18"/>
              </w:rPr>
              <w:t>10 (13.91)</w:t>
            </w:r>
          </w:p>
        </w:tc>
        <w:tc>
          <w:tcPr>
            <w:tcW w:w="0" w:type="auto"/>
            <w:vAlign w:val="center"/>
            <w:hideMark/>
          </w:tcPr>
          <w:p w14:paraId="2F8BFED9" w14:textId="77777777" w:rsidR="00455330" w:rsidRPr="00455330" w:rsidRDefault="00455330" w:rsidP="004B381D">
            <w:pPr>
              <w:spacing w:before="120"/>
              <w:ind w:left="113" w:right="113"/>
              <w:rPr>
                <w:sz w:val="20"/>
                <w:szCs w:val="18"/>
              </w:rPr>
            </w:pPr>
            <w:r w:rsidRPr="00455330">
              <w:rPr>
                <w:sz w:val="20"/>
                <w:szCs w:val="18"/>
              </w:rPr>
              <w:t>9 (6.3)</w:t>
            </w:r>
          </w:p>
        </w:tc>
        <w:tc>
          <w:tcPr>
            <w:tcW w:w="1120" w:type="dxa"/>
            <w:vAlign w:val="center"/>
            <w:hideMark/>
          </w:tcPr>
          <w:p w14:paraId="28BCA5F2" w14:textId="77777777" w:rsidR="00455330" w:rsidRPr="00455330" w:rsidRDefault="00455330" w:rsidP="004B381D">
            <w:pPr>
              <w:spacing w:before="120"/>
              <w:ind w:left="113" w:right="113"/>
              <w:rPr>
                <w:sz w:val="20"/>
                <w:szCs w:val="18"/>
              </w:rPr>
            </w:pPr>
            <w:r w:rsidRPr="00455330">
              <w:rPr>
                <w:sz w:val="20"/>
                <w:szCs w:val="18"/>
              </w:rPr>
              <w:t>10 (5.61)</w:t>
            </w:r>
          </w:p>
        </w:tc>
        <w:tc>
          <w:tcPr>
            <w:tcW w:w="1560" w:type="dxa"/>
            <w:vAlign w:val="center"/>
            <w:hideMark/>
          </w:tcPr>
          <w:p w14:paraId="683709F5" w14:textId="77777777" w:rsidR="00455330" w:rsidRPr="00455330" w:rsidRDefault="00455330" w:rsidP="004B381D">
            <w:pPr>
              <w:spacing w:before="120"/>
              <w:ind w:left="113" w:right="113"/>
              <w:rPr>
                <w:sz w:val="20"/>
                <w:szCs w:val="18"/>
              </w:rPr>
            </w:pPr>
            <w:r w:rsidRPr="00455330">
              <w:rPr>
                <w:sz w:val="20"/>
                <w:szCs w:val="18"/>
              </w:rPr>
              <w:t>13 (7.8)</w:t>
            </w:r>
          </w:p>
        </w:tc>
        <w:tc>
          <w:tcPr>
            <w:tcW w:w="1559" w:type="dxa"/>
            <w:vAlign w:val="center"/>
            <w:hideMark/>
          </w:tcPr>
          <w:p w14:paraId="2285DC10" w14:textId="77777777" w:rsidR="00455330" w:rsidRPr="00455330" w:rsidRDefault="00455330" w:rsidP="004B381D">
            <w:pPr>
              <w:spacing w:before="120"/>
              <w:ind w:left="113" w:right="113"/>
              <w:rPr>
                <w:sz w:val="20"/>
                <w:szCs w:val="18"/>
              </w:rPr>
            </w:pPr>
            <w:r w:rsidRPr="00455330">
              <w:rPr>
                <w:sz w:val="20"/>
                <w:szCs w:val="18"/>
              </w:rPr>
              <w:t>14 (4.6)</w:t>
            </w:r>
          </w:p>
        </w:tc>
      </w:tr>
      <w:tr w:rsidR="00455330" w:rsidRPr="00455330" w14:paraId="4AFB4A9A" w14:textId="77777777" w:rsidTr="00455330">
        <w:tc>
          <w:tcPr>
            <w:tcW w:w="0" w:type="auto"/>
            <w:vAlign w:val="center"/>
            <w:hideMark/>
          </w:tcPr>
          <w:p w14:paraId="44C64065" w14:textId="77777777" w:rsidR="00455330" w:rsidRPr="00455330" w:rsidRDefault="00455330" w:rsidP="004B381D">
            <w:pPr>
              <w:spacing w:before="120"/>
              <w:ind w:left="113" w:right="113"/>
              <w:rPr>
                <w:sz w:val="20"/>
                <w:szCs w:val="18"/>
              </w:rPr>
            </w:pPr>
            <w:r w:rsidRPr="00455330">
              <w:rPr>
                <w:sz w:val="20"/>
                <w:szCs w:val="18"/>
              </w:rPr>
              <w:t>Dizziness</w:t>
            </w:r>
          </w:p>
        </w:tc>
        <w:tc>
          <w:tcPr>
            <w:tcW w:w="0" w:type="auto"/>
            <w:vAlign w:val="center"/>
            <w:hideMark/>
          </w:tcPr>
          <w:p w14:paraId="04A129A7" w14:textId="77777777" w:rsidR="00455330" w:rsidRPr="00455330" w:rsidRDefault="00455330" w:rsidP="004B381D">
            <w:pPr>
              <w:spacing w:before="120"/>
              <w:ind w:left="113" w:right="113"/>
              <w:rPr>
                <w:sz w:val="20"/>
                <w:szCs w:val="18"/>
              </w:rPr>
            </w:pPr>
            <w:r w:rsidRPr="00455330">
              <w:rPr>
                <w:sz w:val="20"/>
                <w:szCs w:val="18"/>
              </w:rPr>
              <w:t>6 (10.0)</w:t>
            </w:r>
          </w:p>
        </w:tc>
        <w:tc>
          <w:tcPr>
            <w:tcW w:w="0" w:type="auto"/>
            <w:vAlign w:val="center"/>
            <w:hideMark/>
          </w:tcPr>
          <w:p w14:paraId="35C79FAB" w14:textId="77777777" w:rsidR="00455330" w:rsidRPr="00455330" w:rsidRDefault="00455330" w:rsidP="004B381D">
            <w:pPr>
              <w:spacing w:before="120"/>
              <w:ind w:left="113" w:right="113"/>
              <w:rPr>
                <w:sz w:val="20"/>
                <w:szCs w:val="18"/>
              </w:rPr>
            </w:pPr>
            <w:r w:rsidRPr="00455330">
              <w:rPr>
                <w:sz w:val="20"/>
                <w:szCs w:val="18"/>
              </w:rPr>
              <w:t>6 (8.35)</w:t>
            </w:r>
          </w:p>
        </w:tc>
        <w:tc>
          <w:tcPr>
            <w:tcW w:w="0" w:type="auto"/>
            <w:vAlign w:val="center"/>
            <w:hideMark/>
          </w:tcPr>
          <w:p w14:paraId="46453F35" w14:textId="77777777" w:rsidR="00455330" w:rsidRPr="00455330" w:rsidRDefault="00455330" w:rsidP="004B381D">
            <w:pPr>
              <w:spacing w:before="120"/>
              <w:ind w:left="113" w:right="113"/>
              <w:rPr>
                <w:sz w:val="20"/>
                <w:szCs w:val="18"/>
              </w:rPr>
            </w:pPr>
            <w:r w:rsidRPr="00455330">
              <w:rPr>
                <w:sz w:val="20"/>
                <w:szCs w:val="18"/>
              </w:rPr>
              <w:t>10 (6.9)</w:t>
            </w:r>
          </w:p>
        </w:tc>
        <w:tc>
          <w:tcPr>
            <w:tcW w:w="1120" w:type="dxa"/>
            <w:vAlign w:val="center"/>
            <w:hideMark/>
          </w:tcPr>
          <w:p w14:paraId="6996B728" w14:textId="77777777" w:rsidR="00455330" w:rsidRPr="00455330" w:rsidRDefault="00455330" w:rsidP="004B381D">
            <w:pPr>
              <w:spacing w:before="120"/>
              <w:ind w:left="113" w:right="113"/>
              <w:rPr>
                <w:sz w:val="20"/>
                <w:szCs w:val="18"/>
              </w:rPr>
            </w:pPr>
            <w:r w:rsidRPr="00455330">
              <w:rPr>
                <w:sz w:val="20"/>
                <w:szCs w:val="18"/>
              </w:rPr>
              <w:t>11 (6.18)</w:t>
            </w:r>
          </w:p>
        </w:tc>
        <w:tc>
          <w:tcPr>
            <w:tcW w:w="1560" w:type="dxa"/>
            <w:vAlign w:val="center"/>
            <w:hideMark/>
          </w:tcPr>
          <w:p w14:paraId="55FD70BE" w14:textId="77777777" w:rsidR="00455330" w:rsidRPr="00455330" w:rsidRDefault="00455330" w:rsidP="004B381D">
            <w:pPr>
              <w:spacing w:before="120"/>
              <w:ind w:left="113" w:right="113"/>
              <w:rPr>
                <w:sz w:val="20"/>
                <w:szCs w:val="18"/>
              </w:rPr>
            </w:pPr>
            <w:r w:rsidRPr="00455330">
              <w:rPr>
                <w:sz w:val="20"/>
                <w:szCs w:val="18"/>
              </w:rPr>
              <w:t>12 (7.2)</w:t>
            </w:r>
          </w:p>
        </w:tc>
        <w:tc>
          <w:tcPr>
            <w:tcW w:w="1559" w:type="dxa"/>
            <w:vAlign w:val="center"/>
            <w:hideMark/>
          </w:tcPr>
          <w:p w14:paraId="76DB027C" w14:textId="77777777" w:rsidR="00455330" w:rsidRPr="00455330" w:rsidRDefault="00455330" w:rsidP="004B381D">
            <w:pPr>
              <w:spacing w:before="120"/>
              <w:ind w:left="113" w:right="113"/>
              <w:rPr>
                <w:sz w:val="20"/>
                <w:szCs w:val="18"/>
              </w:rPr>
            </w:pPr>
            <w:r w:rsidRPr="00455330">
              <w:rPr>
                <w:sz w:val="20"/>
                <w:szCs w:val="18"/>
              </w:rPr>
              <w:t>13 (4.2)</w:t>
            </w:r>
          </w:p>
        </w:tc>
      </w:tr>
      <w:tr w:rsidR="00455330" w:rsidRPr="00455330" w14:paraId="52C5A122" w14:textId="77777777" w:rsidTr="00455330">
        <w:tc>
          <w:tcPr>
            <w:tcW w:w="0" w:type="auto"/>
            <w:vAlign w:val="center"/>
            <w:hideMark/>
          </w:tcPr>
          <w:p w14:paraId="2569E404" w14:textId="77777777" w:rsidR="00455330" w:rsidRPr="00455330" w:rsidRDefault="00455330" w:rsidP="004B381D">
            <w:pPr>
              <w:spacing w:before="120"/>
              <w:ind w:left="113" w:right="113"/>
              <w:rPr>
                <w:sz w:val="20"/>
                <w:szCs w:val="18"/>
              </w:rPr>
            </w:pPr>
            <w:r w:rsidRPr="00455330">
              <w:rPr>
                <w:sz w:val="20"/>
                <w:szCs w:val="18"/>
              </w:rPr>
              <w:t>Fall</w:t>
            </w:r>
          </w:p>
        </w:tc>
        <w:tc>
          <w:tcPr>
            <w:tcW w:w="0" w:type="auto"/>
            <w:vAlign w:val="center"/>
            <w:hideMark/>
          </w:tcPr>
          <w:p w14:paraId="6A5D40C5" w14:textId="77777777" w:rsidR="00455330" w:rsidRPr="00455330" w:rsidRDefault="00455330" w:rsidP="004B381D">
            <w:pPr>
              <w:spacing w:before="120"/>
              <w:ind w:left="113" w:right="113"/>
              <w:rPr>
                <w:sz w:val="20"/>
                <w:szCs w:val="18"/>
              </w:rPr>
            </w:pPr>
            <w:r w:rsidRPr="00455330">
              <w:rPr>
                <w:sz w:val="20"/>
                <w:szCs w:val="18"/>
              </w:rPr>
              <w:t>13 (21.7)</w:t>
            </w:r>
          </w:p>
        </w:tc>
        <w:tc>
          <w:tcPr>
            <w:tcW w:w="0" w:type="auto"/>
            <w:vAlign w:val="center"/>
            <w:hideMark/>
          </w:tcPr>
          <w:p w14:paraId="168AC52C" w14:textId="77777777" w:rsidR="00455330" w:rsidRPr="00455330" w:rsidRDefault="00455330" w:rsidP="004B381D">
            <w:pPr>
              <w:spacing w:before="120"/>
              <w:ind w:left="113" w:right="113"/>
              <w:rPr>
                <w:sz w:val="20"/>
                <w:szCs w:val="18"/>
              </w:rPr>
            </w:pPr>
            <w:r w:rsidRPr="00455330">
              <w:rPr>
                <w:sz w:val="20"/>
                <w:szCs w:val="18"/>
              </w:rPr>
              <w:t>16 (22.26)</w:t>
            </w:r>
          </w:p>
        </w:tc>
        <w:tc>
          <w:tcPr>
            <w:tcW w:w="0" w:type="auto"/>
            <w:vAlign w:val="center"/>
            <w:hideMark/>
          </w:tcPr>
          <w:p w14:paraId="64BAE945" w14:textId="77777777" w:rsidR="00455330" w:rsidRPr="00455330" w:rsidRDefault="00455330" w:rsidP="004B381D">
            <w:pPr>
              <w:spacing w:before="120"/>
              <w:ind w:left="113" w:right="113"/>
              <w:rPr>
                <w:sz w:val="20"/>
                <w:szCs w:val="18"/>
              </w:rPr>
            </w:pPr>
            <w:r w:rsidRPr="00455330">
              <w:rPr>
                <w:sz w:val="20"/>
                <w:szCs w:val="18"/>
              </w:rPr>
              <w:t>8 (5.6)</w:t>
            </w:r>
          </w:p>
        </w:tc>
        <w:tc>
          <w:tcPr>
            <w:tcW w:w="1120" w:type="dxa"/>
            <w:vAlign w:val="center"/>
            <w:hideMark/>
          </w:tcPr>
          <w:p w14:paraId="7193F66C" w14:textId="77777777" w:rsidR="00455330" w:rsidRPr="00455330" w:rsidRDefault="00455330" w:rsidP="004B381D">
            <w:pPr>
              <w:spacing w:before="120"/>
              <w:ind w:left="113" w:right="113"/>
              <w:rPr>
                <w:sz w:val="20"/>
                <w:szCs w:val="18"/>
              </w:rPr>
            </w:pPr>
            <w:r w:rsidRPr="00455330">
              <w:rPr>
                <w:sz w:val="20"/>
                <w:szCs w:val="18"/>
              </w:rPr>
              <w:t>9 (5.05)</w:t>
            </w:r>
          </w:p>
        </w:tc>
        <w:tc>
          <w:tcPr>
            <w:tcW w:w="1560" w:type="dxa"/>
            <w:vAlign w:val="center"/>
            <w:hideMark/>
          </w:tcPr>
          <w:p w14:paraId="54617ED3" w14:textId="77777777" w:rsidR="00455330" w:rsidRPr="00455330" w:rsidRDefault="00455330" w:rsidP="004B381D">
            <w:pPr>
              <w:spacing w:before="120"/>
              <w:ind w:left="113" w:right="113"/>
              <w:rPr>
                <w:sz w:val="20"/>
                <w:szCs w:val="18"/>
              </w:rPr>
            </w:pPr>
            <w:r w:rsidRPr="00455330">
              <w:rPr>
                <w:sz w:val="20"/>
                <w:szCs w:val="18"/>
              </w:rPr>
              <w:t>12 (7.2)</w:t>
            </w:r>
          </w:p>
        </w:tc>
        <w:tc>
          <w:tcPr>
            <w:tcW w:w="1559" w:type="dxa"/>
            <w:vAlign w:val="center"/>
            <w:hideMark/>
          </w:tcPr>
          <w:p w14:paraId="3B4B4C94" w14:textId="77777777" w:rsidR="00455330" w:rsidRPr="00455330" w:rsidRDefault="00455330" w:rsidP="004B381D">
            <w:pPr>
              <w:spacing w:before="120"/>
              <w:ind w:left="113" w:right="113"/>
              <w:rPr>
                <w:sz w:val="20"/>
                <w:szCs w:val="18"/>
              </w:rPr>
            </w:pPr>
            <w:r w:rsidRPr="00455330">
              <w:rPr>
                <w:sz w:val="20"/>
                <w:szCs w:val="18"/>
              </w:rPr>
              <w:t>17 (5.5)</w:t>
            </w:r>
          </w:p>
        </w:tc>
      </w:tr>
      <w:tr w:rsidR="00455330" w:rsidRPr="00455330" w14:paraId="332D17DC" w14:textId="77777777" w:rsidTr="00455330">
        <w:tc>
          <w:tcPr>
            <w:tcW w:w="0" w:type="auto"/>
            <w:vAlign w:val="center"/>
            <w:hideMark/>
          </w:tcPr>
          <w:p w14:paraId="02C36741" w14:textId="77777777" w:rsidR="00455330" w:rsidRPr="00455330" w:rsidRDefault="00455330" w:rsidP="004B381D">
            <w:pPr>
              <w:spacing w:before="120"/>
              <w:ind w:left="113" w:right="113"/>
              <w:rPr>
                <w:sz w:val="20"/>
                <w:szCs w:val="18"/>
              </w:rPr>
            </w:pPr>
            <w:r w:rsidRPr="00455330">
              <w:rPr>
                <w:sz w:val="20"/>
                <w:szCs w:val="18"/>
              </w:rPr>
              <w:t>Pain in extremity</w:t>
            </w:r>
          </w:p>
        </w:tc>
        <w:tc>
          <w:tcPr>
            <w:tcW w:w="0" w:type="auto"/>
            <w:vAlign w:val="center"/>
            <w:hideMark/>
          </w:tcPr>
          <w:p w14:paraId="1D5CCA2F" w14:textId="77777777" w:rsidR="00455330" w:rsidRPr="00455330" w:rsidRDefault="00455330" w:rsidP="004B381D">
            <w:pPr>
              <w:spacing w:before="120"/>
              <w:ind w:left="113" w:right="113"/>
              <w:rPr>
                <w:sz w:val="20"/>
                <w:szCs w:val="18"/>
              </w:rPr>
            </w:pPr>
            <w:r w:rsidRPr="00455330">
              <w:rPr>
                <w:sz w:val="20"/>
                <w:szCs w:val="18"/>
              </w:rPr>
              <w:t>8 (13.3)</w:t>
            </w:r>
          </w:p>
        </w:tc>
        <w:tc>
          <w:tcPr>
            <w:tcW w:w="0" w:type="auto"/>
            <w:vAlign w:val="center"/>
            <w:hideMark/>
          </w:tcPr>
          <w:p w14:paraId="0BC52EF1" w14:textId="77777777" w:rsidR="00455330" w:rsidRPr="00455330" w:rsidRDefault="00455330" w:rsidP="004B381D">
            <w:pPr>
              <w:spacing w:before="120"/>
              <w:ind w:left="113" w:right="113"/>
              <w:rPr>
                <w:sz w:val="20"/>
                <w:szCs w:val="18"/>
              </w:rPr>
            </w:pPr>
            <w:r w:rsidRPr="00455330">
              <w:rPr>
                <w:sz w:val="20"/>
                <w:szCs w:val="18"/>
              </w:rPr>
              <w:t>12 (16.69)</w:t>
            </w:r>
          </w:p>
        </w:tc>
        <w:tc>
          <w:tcPr>
            <w:tcW w:w="0" w:type="auto"/>
            <w:vAlign w:val="center"/>
            <w:hideMark/>
          </w:tcPr>
          <w:p w14:paraId="26A69112" w14:textId="77777777" w:rsidR="00455330" w:rsidRPr="00455330" w:rsidRDefault="00455330" w:rsidP="004B381D">
            <w:pPr>
              <w:spacing w:before="120"/>
              <w:ind w:left="113" w:right="113"/>
              <w:rPr>
                <w:sz w:val="20"/>
                <w:szCs w:val="18"/>
              </w:rPr>
            </w:pPr>
            <w:r w:rsidRPr="00455330">
              <w:rPr>
                <w:sz w:val="20"/>
                <w:szCs w:val="18"/>
              </w:rPr>
              <w:t>9 (6.3)</w:t>
            </w:r>
          </w:p>
        </w:tc>
        <w:tc>
          <w:tcPr>
            <w:tcW w:w="1120" w:type="dxa"/>
            <w:vAlign w:val="center"/>
            <w:hideMark/>
          </w:tcPr>
          <w:p w14:paraId="5F1817E2" w14:textId="77777777" w:rsidR="00455330" w:rsidRPr="00455330" w:rsidRDefault="00455330" w:rsidP="004B381D">
            <w:pPr>
              <w:spacing w:before="120"/>
              <w:ind w:left="113" w:right="113"/>
              <w:rPr>
                <w:sz w:val="20"/>
                <w:szCs w:val="18"/>
              </w:rPr>
            </w:pPr>
            <w:r w:rsidRPr="00455330">
              <w:rPr>
                <w:sz w:val="20"/>
                <w:szCs w:val="18"/>
              </w:rPr>
              <w:t>11 (6.18)</w:t>
            </w:r>
          </w:p>
        </w:tc>
        <w:tc>
          <w:tcPr>
            <w:tcW w:w="1560" w:type="dxa"/>
            <w:vAlign w:val="center"/>
            <w:hideMark/>
          </w:tcPr>
          <w:p w14:paraId="3A5929B8" w14:textId="77777777" w:rsidR="00455330" w:rsidRPr="00455330" w:rsidRDefault="00455330" w:rsidP="004B381D">
            <w:pPr>
              <w:spacing w:before="120"/>
              <w:ind w:left="113" w:right="113"/>
              <w:rPr>
                <w:sz w:val="20"/>
                <w:szCs w:val="18"/>
              </w:rPr>
            </w:pPr>
            <w:r w:rsidRPr="00455330">
              <w:rPr>
                <w:sz w:val="20"/>
                <w:szCs w:val="18"/>
              </w:rPr>
              <w:t>11 (6.6)</w:t>
            </w:r>
          </w:p>
        </w:tc>
        <w:tc>
          <w:tcPr>
            <w:tcW w:w="1559" w:type="dxa"/>
            <w:vAlign w:val="center"/>
            <w:hideMark/>
          </w:tcPr>
          <w:p w14:paraId="09A251E9" w14:textId="77777777" w:rsidR="00455330" w:rsidRPr="00455330" w:rsidRDefault="00455330" w:rsidP="004B381D">
            <w:pPr>
              <w:spacing w:before="120"/>
              <w:ind w:left="113" w:right="113"/>
              <w:rPr>
                <w:sz w:val="20"/>
                <w:szCs w:val="18"/>
              </w:rPr>
            </w:pPr>
            <w:r w:rsidRPr="00455330">
              <w:rPr>
                <w:sz w:val="20"/>
                <w:szCs w:val="18"/>
              </w:rPr>
              <w:t>13 (4.2)</w:t>
            </w:r>
          </w:p>
        </w:tc>
      </w:tr>
      <w:tr w:rsidR="00455330" w:rsidRPr="00455330" w14:paraId="6B3884B3" w14:textId="77777777" w:rsidTr="00455330">
        <w:tc>
          <w:tcPr>
            <w:tcW w:w="0" w:type="auto"/>
            <w:vAlign w:val="center"/>
            <w:hideMark/>
          </w:tcPr>
          <w:p w14:paraId="63F91FF2" w14:textId="77777777" w:rsidR="00455330" w:rsidRPr="00455330" w:rsidRDefault="00455330" w:rsidP="004B381D">
            <w:pPr>
              <w:spacing w:before="120"/>
              <w:ind w:left="113" w:right="113"/>
              <w:rPr>
                <w:sz w:val="20"/>
                <w:szCs w:val="18"/>
              </w:rPr>
            </w:pPr>
            <w:r w:rsidRPr="00455330">
              <w:rPr>
                <w:sz w:val="20"/>
                <w:szCs w:val="18"/>
              </w:rPr>
              <w:t>Fatigue</w:t>
            </w:r>
          </w:p>
        </w:tc>
        <w:tc>
          <w:tcPr>
            <w:tcW w:w="0" w:type="auto"/>
            <w:vAlign w:val="center"/>
            <w:hideMark/>
          </w:tcPr>
          <w:p w14:paraId="674B7CA0" w14:textId="77777777" w:rsidR="00455330" w:rsidRPr="00455330" w:rsidRDefault="00455330" w:rsidP="004B381D">
            <w:pPr>
              <w:spacing w:before="120"/>
              <w:ind w:left="113" w:right="113"/>
              <w:rPr>
                <w:sz w:val="20"/>
                <w:szCs w:val="18"/>
              </w:rPr>
            </w:pPr>
            <w:r w:rsidRPr="00455330">
              <w:rPr>
                <w:sz w:val="20"/>
                <w:szCs w:val="18"/>
              </w:rPr>
              <w:t>12 (20.0)</w:t>
            </w:r>
          </w:p>
        </w:tc>
        <w:tc>
          <w:tcPr>
            <w:tcW w:w="0" w:type="auto"/>
            <w:vAlign w:val="center"/>
            <w:hideMark/>
          </w:tcPr>
          <w:p w14:paraId="55F8EDAD" w14:textId="77777777" w:rsidR="00455330" w:rsidRPr="00455330" w:rsidRDefault="00455330" w:rsidP="004B381D">
            <w:pPr>
              <w:spacing w:before="120"/>
              <w:ind w:left="113" w:right="113"/>
              <w:rPr>
                <w:sz w:val="20"/>
                <w:szCs w:val="18"/>
              </w:rPr>
            </w:pPr>
            <w:r w:rsidRPr="00455330">
              <w:rPr>
                <w:sz w:val="20"/>
                <w:szCs w:val="18"/>
              </w:rPr>
              <w:t>14 (19.47)</w:t>
            </w:r>
          </w:p>
        </w:tc>
        <w:tc>
          <w:tcPr>
            <w:tcW w:w="0" w:type="auto"/>
            <w:vAlign w:val="center"/>
            <w:hideMark/>
          </w:tcPr>
          <w:p w14:paraId="49C2E0BC" w14:textId="77777777" w:rsidR="00455330" w:rsidRPr="00455330" w:rsidRDefault="00455330" w:rsidP="004B381D">
            <w:pPr>
              <w:spacing w:before="120"/>
              <w:ind w:left="113" w:right="113"/>
              <w:rPr>
                <w:sz w:val="20"/>
                <w:szCs w:val="18"/>
              </w:rPr>
            </w:pPr>
            <w:r w:rsidRPr="00455330">
              <w:rPr>
                <w:sz w:val="20"/>
                <w:szCs w:val="18"/>
              </w:rPr>
              <w:t>7 (4.9)</w:t>
            </w:r>
          </w:p>
        </w:tc>
        <w:tc>
          <w:tcPr>
            <w:tcW w:w="1120" w:type="dxa"/>
            <w:vAlign w:val="center"/>
            <w:hideMark/>
          </w:tcPr>
          <w:p w14:paraId="543472CC" w14:textId="77777777" w:rsidR="00455330" w:rsidRPr="00455330" w:rsidRDefault="00455330" w:rsidP="004B381D">
            <w:pPr>
              <w:spacing w:before="120"/>
              <w:ind w:left="113" w:right="113"/>
              <w:rPr>
                <w:sz w:val="20"/>
                <w:szCs w:val="18"/>
              </w:rPr>
            </w:pPr>
            <w:r w:rsidRPr="00455330">
              <w:rPr>
                <w:sz w:val="20"/>
                <w:szCs w:val="18"/>
              </w:rPr>
              <w:t>8 (4.49)</w:t>
            </w:r>
          </w:p>
        </w:tc>
        <w:tc>
          <w:tcPr>
            <w:tcW w:w="1560" w:type="dxa"/>
            <w:vAlign w:val="center"/>
            <w:hideMark/>
          </w:tcPr>
          <w:p w14:paraId="7B24E887" w14:textId="77777777" w:rsidR="00455330" w:rsidRPr="00455330" w:rsidRDefault="00455330" w:rsidP="004B381D">
            <w:pPr>
              <w:spacing w:before="120"/>
              <w:ind w:left="113" w:right="113"/>
              <w:rPr>
                <w:sz w:val="20"/>
                <w:szCs w:val="18"/>
              </w:rPr>
            </w:pPr>
            <w:r w:rsidRPr="00455330">
              <w:rPr>
                <w:sz w:val="20"/>
                <w:szCs w:val="18"/>
              </w:rPr>
              <w:t>11 (6.6)</w:t>
            </w:r>
          </w:p>
        </w:tc>
        <w:tc>
          <w:tcPr>
            <w:tcW w:w="1559" w:type="dxa"/>
            <w:vAlign w:val="center"/>
            <w:hideMark/>
          </w:tcPr>
          <w:p w14:paraId="51F97CE0" w14:textId="77777777" w:rsidR="00455330" w:rsidRPr="00455330" w:rsidRDefault="00455330" w:rsidP="004B381D">
            <w:pPr>
              <w:spacing w:before="120"/>
              <w:ind w:left="113" w:right="113"/>
              <w:rPr>
                <w:sz w:val="20"/>
                <w:szCs w:val="18"/>
              </w:rPr>
            </w:pPr>
            <w:r w:rsidRPr="00455330">
              <w:rPr>
                <w:sz w:val="20"/>
                <w:szCs w:val="18"/>
              </w:rPr>
              <w:t>15 (4.9)</w:t>
            </w:r>
          </w:p>
        </w:tc>
      </w:tr>
      <w:tr w:rsidR="00455330" w:rsidRPr="00455330" w14:paraId="7C247CD6" w14:textId="77777777" w:rsidTr="00455330">
        <w:tc>
          <w:tcPr>
            <w:tcW w:w="0" w:type="auto"/>
            <w:vAlign w:val="center"/>
            <w:hideMark/>
          </w:tcPr>
          <w:p w14:paraId="7247B35F" w14:textId="77777777" w:rsidR="00455330" w:rsidRPr="00455330" w:rsidRDefault="00455330" w:rsidP="004B381D">
            <w:pPr>
              <w:spacing w:before="120"/>
              <w:ind w:left="113" w:right="113"/>
              <w:rPr>
                <w:sz w:val="20"/>
                <w:szCs w:val="18"/>
              </w:rPr>
            </w:pPr>
            <w:r w:rsidRPr="00455330">
              <w:rPr>
                <w:sz w:val="20"/>
                <w:szCs w:val="18"/>
              </w:rPr>
              <w:t>Cough</w:t>
            </w:r>
          </w:p>
        </w:tc>
        <w:tc>
          <w:tcPr>
            <w:tcW w:w="0" w:type="auto"/>
            <w:vAlign w:val="center"/>
            <w:hideMark/>
          </w:tcPr>
          <w:p w14:paraId="43B93687" w14:textId="77777777" w:rsidR="00455330" w:rsidRPr="00455330" w:rsidRDefault="00455330" w:rsidP="004B381D">
            <w:pPr>
              <w:spacing w:before="120"/>
              <w:ind w:left="113" w:right="113"/>
              <w:rPr>
                <w:sz w:val="20"/>
                <w:szCs w:val="18"/>
              </w:rPr>
            </w:pPr>
            <w:r w:rsidRPr="00455330">
              <w:rPr>
                <w:sz w:val="20"/>
                <w:szCs w:val="18"/>
              </w:rPr>
              <w:t>8 (13.3)</w:t>
            </w:r>
          </w:p>
        </w:tc>
        <w:tc>
          <w:tcPr>
            <w:tcW w:w="0" w:type="auto"/>
            <w:vAlign w:val="center"/>
            <w:hideMark/>
          </w:tcPr>
          <w:p w14:paraId="336DABFD" w14:textId="77777777" w:rsidR="00455330" w:rsidRPr="00455330" w:rsidRDefault="00455330" w:rsidP="004B381D">
            <w:pPr>
              <w:spacing w:before="120"/>
              <w:ind w:left="113" w:right="113"/>
              <w:rPr>
                <w:sz w:val="20"/>
                <w:szCs w:val="18"/>
              </w:rPr>
            </w:pPr>
            <w:r w:rsidRPr="00455330">
              <w:rPr>
                <w:sz w:val="20"/>
                <w:szCs w:val="18"/>
              </w:rPr>
              <w:t>8 (11.13)</w:t>
            </w:r>
          </w:p>
        </w:tc>
        <w:tc>
          <w:tcPr>
            <w:tcW w:w="0" w:type="auto"/>
            <w:vAlign w:val="center"/>
            <w:hideMark/>
          </w:tcPr>
          <w:p w14:paraId="116BE5AD" w14:textId="77777777" w:rsidR="00455330" w:rsidRPr="00455330" w:rsidRDefault="00455330" w:rsidP="004B381D">
            <w:pPr>
              <w:spacing w:before="120"/>
              <w:ind w:left="113" w:right="113"/>
              <w:rPr>
                <w:sz w:val="20"/>
                <w:szCs w:val="18"/>
              </w:rPr>
            </w:pPr>
            <w:r w:rsidRPr="00455330">
              <w:rPr>
                <w:sz w:val="20"/>
                <w:szCs w:val="18"/>
              </w:rPr>
              <w:t>7 (4.9)</w:t>
            </w:r>
          </w:p>
        </w:tc>
        <w:tc>
          <w:tcPr>
            <w:tcW w:w="1120" w:type="dxa"/>
            <w:vAlign w:val="center"/>
            <w:hideMark/>
          </w:tcPr>
          <w:p w14:paraId="7356CC60" w14:textId="77777777" w:rsidR="00455330" w:rsidRPr="00455330" w:rsidRDefault="00455330" w:rsidP="004B381D">
            <w:pPr>
              <w:spacing w:before="120"/>
              <w:ind w:left="113" w:right="113"/>
              <w:rPr>
                <w:sz w:val="20"/>
                <w:szCs w:val="18"/>
              </w:rPr>
            </w:pPr>
            <w:r w:rsidRPr="00455330">
              <w:rPr>
                <w:sz w:val="20"/>
                <w:szCs w:val="18"/>
              </w:rPr>
              <w:t>7 (3.93)</w:t>
            </w:r>
          </w:p>
        </w:tc>
        <w:tc>
          <w:tcPr>
            <w:tcW w:w="1560" w:type="dxa"/>
            <w:vAlign w:val="center"/>
            <w:hideMark/>
          </w:tcPr>
          <w:p w14:paraId="63EB775C" w14:textId="77777777" w:rsidR="00455330" w:rsidRPr="00455330" w:rsidRDefault="00455330" w:rsidP="004B381D">
            <w:pPr>
              <w:spacing w:before="120"/>
              <w:ind w:left="113" w:right="113"/>
              <w:rPr>
                <w:sz w:val="20"/>
                <w:szCs w:val="18"/>
              </w:rPr>
            </w:pPr>
            <w:r w:rsidRPr="00455330">
              <w:rPr>
                <w:sz w:val="20"/>
                <w:szCs w:val="18"/>
              </w:rPr>
              <w:t>11 (6.6)</w:t>
            </w:r>
          </w:p>
        </w:tc>
        <w:tc>
          <w:tcPr>
            <w:tcW w:w="1559" w:type="dxa"/>
            <w:vAlign w:val="center"/>
            <w:hideMark/>
          </w:tcPr>
          <w:p w14:paraId="5B4EE142" w14:textId="77777777" w:rsidR="00455330" w:rsidRPr="00455330" w:rsidRDefault="00455330" w:rsidP="004B381D">
            <w:pPr>
              <w:spacing w:before="120"/>
              <w:ind w:left="113" w:right="113"/>
              <w:rPr>
                <w:sz w:val="20"/>
                <w:szCs w:val="18"/>
              </w:rPr>
            </w:pPr>
            <w:r w:rsidRPr="00455330">
              <w:rPr>
                <w:sz w:val="20"/>
                <w:szCs w:val="18"/>
              </w:rPr>
              <w:t>11 (3.6)</w:t>
            </w:r>
          </w:p>
        </w:tc>
      </w:tr>
      <w:tr w:rsidR="00455330" w:rsidRPr="00455330" w14:paraId="5726568F" w14:textId="77777777" w:rsidTr="00455330">
        <w:tc>
          <w:tcPr>
            <w:tcW w:w="0" w:type="auto"/>
            <w:vAlign w:val="center"/>
            <w:hideMark/>
          </w:tcPr>
          <w:p w14:paraId="1ED6121C" w14:textId="77777777" w:rsidR="00455330" w:rsidRPr="00455330" w:rsidRDefault="00455330" w:rsidP="004B381D">
            <w:pPr>
              <w:spacing w:before="120"/>
              <w:ind w:left="113" w:right="113"/>
              <w:rPr>
                <w:sz w:val="20"/>
                <w:szCs w:val="18"/>
              </w:rPr>
            </w:pPr>
            <w:r w:rsidRPr="00455330">
              <w:rPr>
                <w:sz w:val="20"/>
                <w:szCs w:val="18"/>
              </w:rPr>
              <w:t>Nasopharyngitis</w:t>
            </w:r>
          </w:p>
        </w:tc>
        <w:tc>
          <w:tcPr>
            <w:tcW w:w="0" w:type="auto"/>
            <w:vAlign w:val="center"/>
            <w:hideMark/>
          </w:tcPr>
          <w:p w14:paraId="15817319" w14:textId="77777777" w:rsidR="00455330" w:rsidRPr="00455330" w:rsidRDefault="00455330" w:rsidP="004B381D">
            <w:pPr>
              <w:spacing w:before="120"/>
              <w:ind w:left="113" w:right="113"/>
              <w:rPr>
                <w:sz w:val="20"/>
                <w:szCs w:val="18"/>
              </w:rPr>
            </w:pPr>
            <w:r w:rsidRPr="00455330">
              <w:rPr>
                <w:sz w:val="20"/>
                <w:szCs w:val="18"/>
              </w:rPr>
              <w:t>6 (10.0)</w:t>
            </w:r>
          </w:p>
        </w:tc>
        <w:tc>
          <w:tcPr>
            <w:tcW w:w="0" w:type="auto"/>
            <w:vAlign w:val="center"/>
            <w:hideMark/>
          </w:tcPr>
          <w:p w14:paraId="22293F08" w14:textId="77777777" w:rsidR="00455330" w:rsidRPr="00455330" w:rsidRDefault="00455330" w:rsidP="004B381D">
            <w:pPr>
              <w:spacing w:before="120"/>
              <w:ind w:left="113" w:right="113"/>
              <w:rPr>
                <w:sz w:val="20"/>
                <w:szCs w:val="18"/>
              </w:rPr>
            </w:pPr>
            <w:r w:rsidRPr="00455330">
              <w:rPr>
                <w:sz w:val="20"/>
                <w:szCs w:val="18"/>
              </w:rPr>
              <w:t>7 (9.74)</w:t>
            </w:r>
          </w:p>
        </w:tc>
        <w:tc>
          <w:tcPr>
            <w:tcW w:w="0" w:type="auto"/>
            <w:vAlign w:val="center"/>
            <w:hideMark/>
          </w:tcPr>
          <w:p w14:paraId="2363CB2F" w14:textId="77777777" w:rsidR="00455330" w:rsidRPr="00455330" w:rsidRDefault="00455330" w:rsidP="004B381D">
            <w:pPr>
              <w:spacing w:before="120"/>
              <w:ind w:left="113" w:right="113"/>
              <w:rPr>
                <w:sz w:val="20"/>
                <w:szCs w:val="18"/>
              </w:rPr>
            </w:pPr>
            <w:r w:rsidRPr="00455330">
              <w:rPr>
                <w:sz w:val="20"/>
                <w:szCs w:val="18"/>
              </w:rPr>
              <w:t>8 (5.6)</w:t>
            </w:r>
          </w:p>
        </w:tc>
        <w:tc>
          <w:tcPr>
            <w:tcW w:w="1120" w:type="dxa"/>
            <w:vAlign w:val="center"/>
            <w:hideMark/>
          </w:tcPr>
          <w:p w14:paraId="4676832B" w14:textId="77777777" w:rsidR="00455330" w:rsidRPr="00455330" w:rsidRDefault="00455330" w:rsidP="004B381D">
            <w:pPr>
              <w:spacing w:before="120"/>
              <w:ind w:left="113" w:right="113"/>
              <w:rPr>
                <w:sz w:val="20"/>
                <w:szCs w:val="18"/>
              </w:rPr>
            </w:pPr>
            <w:r w:rsidRPr="00455330">
              <w:rPr>
                <w:sz w:val="20"/>
                <w:szCs w:val="18"/>
              </w:rPr>
              <w:t>11 (6.18)</w:t>
            </w:r>
          </w:p>
        </w:tc>
        <w:tc>
          <w:tcPr>
            <w:tcW w:w="1560" w:type="dxa"/>
            <w:vAlign w:val="center"/>
            <w:hideMark/>
          </w:tcPr>
          <w:p w14:paraId="4B92F232" w14:textId="77777777" w:rsidR="00455330" w:rsidRPr="00455330" w:rsidRDefault="00455330" w:rsidP="004B381D">
            <w:pPr>
              <w:spacing w:before="120"/>
              <w:ind w:left="113" w:right="113"/>
              <w:rPr>
                <w:sz w:val="20"/>
                <w:szCs w:val="18"/>
              </w:rPr>
            </w:pPr>
            <w:r w:rsidRPr="00455330">
              <w:rPr>
                <w:sz w:val="20"/>
                <w:szCs w:val="18"/>
              </w:rPr>
              <w:t>10 (6.0)</w:t>
            </w:r>
          </w:p>
        </w:tc>
        <w:tc>
          <w:tcPr>
            <w:tcW w:w="1559" w:type="dxa"/>
            <w:vAlign w:val="center"/>
            <w:hideMark/>
          </w:tcPr>
          <w:p w14:paraId="5F623F61" w14:textId="77777777" w:rsidR="00455330" w:rsidRPr="00455330" w:rsidRDefault="00455330" w:rsidP="004B381D">
            <w:pPr>
              <w:spacing w:before="120"/>
              <w:ind w:left="113" w:right="113"/>
              <w:rPr>
                <w:sz w:val="20"/>
                <w:szCs w:val="18"/>
              </w:rPr>
            </w:pPr>
            <w:r w:rsidRPr="00455330">
              <w:rPr>
                <w:sz w:val="20"/>
                <w:szCs w:val="18"/>
              </w:rPr>
              <w:t>13 (4.2)</w:t>
            </w:r>
          </w:p>
        </w:tc>
      </w:tr>
      <w:tr w:rsidR="00455330" w:rsidRPr="00455330" w14:paraId="135AB402" w14:textId="77777777" w:rsidTr="00455330">
        <w:tc>
          <w:tcPr>
            <w:tcW w:w="0" w:type="auto"/>
            <w:vAlign w:val="center"/>
            <w:hideMark/>
          </w:tcPr>
          <w:p w14:paraId="74D3A27C" w14:textId="77777777" w:rsidR="00455330" w:rsidRPr="00455330" w:rsidRDefault="00455330" w:rsidP="004B381D">
            <w:pPr>
              <w:spacing w:before="120"/>
              <w:ind w:left="113" w:right="113"/>
              <w:rPr>
                <w:sz w:val="20"/>
                <w:szCs w:val="18"/>
              </w:rPr>
            </w:pPr>
            <w:r w:rsidRPr="00455330">
              <w:rPr>
                <w:sz w:val="20"/>
                <w:szCs w:val="18"/>
              </w:rPr>
              <w:t>Thermal burn</w:t>
            </w:r>
          </w:p>
        </w:tc>
        <w:tc>
          <w:tcPr>
            <w:tcW w:w="0" w:type="auto"/>
            <w:vAlign w:val="center"/>
            <w:hideMark/>
          </w:tcPr>
          <w:p w14:paraId="760D5685" w14:textId="77777777" w:rsidR="00455330" w:rsidRPr="00455330" w:rsidRDefault="00455330" w:rsidP="004B381D">
            <w:pPr>
              <w:spacing w:before="120"/>
              <w:ind w:left="113" w:right="113"/>
              <w:rPr>
                <w:sz w:val="20"/>
                <w:szCs w:val="18"/>
              </w:rPr>
            </w:pPr>
            <w:r w:rsidRPr="00455330">
              <w:rPr>
                <w:sz w:val="20"/>
                <w:szCs w:val="18"/>
              </w:rPr>
              <w:t>6 (10.0)</w:t>
            </w:r>
          </w:p>
        </w:tc>
        <w:tc>
          <w:tcPr>
            <w:tcW w:w="0" w:type="auto"/>
            <w:vAlign w:val="center"/>
            <w:hideMark/>
          </w:tcPr>
          <w:p w14:paraId="78BD26AC" w14:textId="77777777" w:rsidR="00455330" w:rsidRPr="00455330" w:rsidRDefault="00455330" w:rsidP="004B381D">
            <w:pPr>
              <w:spacing w:before="120"/>
              <w:ind w:left="113" w:right="113"/>
              <w:rPr>
                <w:sz w:val="20"/>
                <w:szCs w:val="18"/>
              </w:rPr>
            </w:pPr>
            <w:r w:rsidRPr="00455330">
              <w:rPr>
                <w:sz w:val="20"/>
                <w:szCs w:val="18"/>
              </w:rPr>
              <w:t>6 (8.35)</w:t>
            </w:r>
          </w:p>
        </w:tc>
        <w:tc>
          <w:tcPr>
            <w:tcW w:w="0" w:type="auto"/>
            <w:vAlign w:val="center"/>
            <w:hideMark/>
          </w:tcPr>
          <w:p w14:paraId="0B818627" w14:textId="77777777" w:rsidR="00455330" w:rsidRPr="00455330" w:rsidRDefault="00455330" w:rsidP="004B381D">
            <w:pPr>
              <w:spacing w:before="120"/>
              <w:ind w:left="113" w:right="113"/>
              <w:rPr>
                <w:sz w:val="20"/>
                <w:szCs w:val="18"/>
              </w:rPr>
            </w:pPr>
            <w:r w:rsidRPr="00455330">
              <w:rPr>
                <w:sz w:val="20"/>
                <w:szCs w:val="18"/>
              </w:rPr>
              <w:t>6 (4.2)</w:t>
            </w:r>
          </w:p>
        </w:tc>
        <w:tc>
          <w:tcPr>
            <w:tcW w:w="1120" w:type="dxa"/>
            <w:vAlign w:val="center"/>
            <w:hideMark/>
          </w:tcPr>
          <w:p w14:paraId="03044EC7" w14:textId="77777777" w:rsidR="00455330" w:rsidRPr="00455330" w:rsidRDefault="00455330" w:rsidP="004B381D">
            <w:pPr>
              <w:spacing w:before="120"/>
              <w:ind w:left="113" w:right="113"/>
              <w:rPr>
                <w:sz w:val="20"/>
                <w:szCs w:val="18"/>
              </w:rPr>
            </w:pPr>
            <w:r w:rsidRPr="00455330">
              <w:rPr>
                <w:sz w:val="20"/>
                <w:szCs w:val="18"/>
              </w:rPr>
              <w:t>8 (4.49)</w:t>
            </w:r>
          </w:p>
        </w:tc>
        <w:tc>
          <w:tcPr>
            <w:tcW w:w="1560" w:type="dxa"/>
            <w:vAlign w:val="center"/>
            <w:hideMark/>
          </w:tcPr>
          <w:p w14:paraId="574EDC24" w14:textId="77777777" w:rsidR="00455330" w:rsidRPr="00455330" w:rsidRDefault="00455330" w:rsidP="004B381D">
            <w:pPr>
              <w:spacing w:before="120"/>
              <w:ind w:left="113" w:right="113"/>
              <w:rPr>
                <w:sz w:val="20"/>
                <w:szCs w:val="18"/>
              </w:rPr>
            </w:pPr>
            <w:r w:rsidRPr="00455330">
              <w:rPr>
                <w:sz w:val="20"/>
                <w:szCs w:val="18"/>
              </w:rPr>
              <w:t>8 (4.8)</w:t>
            </w:r>
          </w:p>
        </w:tc>
        <w:tc>
          <w:tcPr>
            <w:tcW w:w="1559" w:type="dxa"/>
            <w:vAlign w:val="center"/>
            <w:hideMark/>
          </w:tcPr>
          <w:p w14:paraId="07604599" w14:textId="77777777" w:rsidR="00455330" w:rsidRPr="00455330" w:rsidRDefault="00455330" w:rsidP="004B381D">
            <w:pPr>
              <w:spacing w:before="120"/>
              <w:ind w:left="113" w:right="113"/>
              <w:rPr>
                <w:sz w:val="20"/>
                <w:szCs w:val="18"/>
              </w:rPr>
            </w:pPr>
            <w:r w:rsidRPr="00455330">
              <w:rPr>
                <w:sz w:val="20"/>
                <w:szCs w:val="18"/>
              </w:rPr>
              <w:t>10 (3.3)</w:t>
            </w:r>
          </w:p>
        </w:tc>
      </w:tr>
      <w:tr w:rsidR="00455330" w:rsidRPr="00455330" w14:paraId="51F7BE9A" w14:textId="77777777" w:rsidTr="00455330">
        <w:tc>
          <w:tcPr>
            <w:tcW w:w="0" w:type="auto"/>
            <w:vAlign w:val="center"/>
            <w:hideMark/>
          </w:tcPr>
          <w:p w14:paraId="19B877C3" w14:textId="77777777" w:rsidR="00455330" w:rsidRPr="00455330" w:rsidRDefault="00455330" w:rsidP="004B381D">
            <w:pPr>
              <w:spacing w:before="120"/>
              <w:ind w:left="113" w:right="113"/>
              <w:rPr>
                <w:sz w:val="20"/>
                <w:szCs w:val="18"/>
              </w:rPr>
            </w:pPr>
            <w:r w:rsidRPr="00455330">
              <w:rPr>
                <w:b/>
                <w:bCs/>
                <w:sz w:val="20"/>
                <w:szCs w:val="18"/>
              </w:rPr>
              <w:t>Vision blurred</w:t>
            </w:r>
          </w:p>
        </w:tc>
        <w:tc>
          <w:tcPr>
            <w:tcW w:w="0" w:type="auto"/>
            <w:vAlign w:val="center"/>
            <w:hideMark/>
          </w:tcPr>
          <w:p w14:paraId="54D72ECF" w14:textId="77777777" w:rsidR="00455330" w:rsidRPr="00455330" w:rsidRDefault="00455330" w:rsidP="004B381D">
            <w:pPr>
              <w:spacing w:before="120"/>
              <w:ind w:left="113" w:right="113"/>
              <w:rPr>
                <w:sz w:val="20"/>
                <w:szCs w:val="18"/>
              </w:rPr>
            </w:pPr>
            <w:r w:rsidRPr="00455330">
              <w:rPr>
                <w:b/>
                <w:bCs/>
                <w:sz w:val="20"/>
                <w:szCs w:val="18"/>
              </w:rPr>
              <w:t>1 (1.7)</w:t>
            </w:r>
          </w:p>
        </w:tc>
        <w:tc>
          <w:tcPr>
            <w:tcW w:w="0" w:type="auto"/>
            <w:vAlign w:val="center"/>
            <w:hideMark/>
          </w:tcPr>
          <w:p w14:paraId="5E2B932A" w14:textId="77777777" w:rsidR="00455330" w:rsidRPr="00455330" w:rsidRDefault="00455330" w:rsidP="004B381D">
            <w:pPr>
              <w:spacing w:before="120"/>
              <w:ind w:left="113" w:right="113"/>
              <w:rPr>
                <w:sz w:val="20"/>
                <w:szCs w:val="18"/>
              </w:rPr>
            </w:pPr>
            <w:r w:rsidRPr="00455330">
              <w:rPr>
                <w:b/>
                <w:bCs/>
                <w:sz w:val="20"/>
                <w:szCs w:val="18"/>
              </w:rPr>
              <w:t>1 (1.39)</w:t>
            </w:r>
          </w:p>
        </w:tc>
        <w:tc>
          <w:tcPr>
            <w:tcW w:w="0" w:type="auto"/>
            <w:vAlign w:val="center"/>
            <w:hideMark/>
          </w:tcPr>
          <w:p w14:paraId="48B9958A" w14:textId="77777777" w:rsidR="00455330" w:rsidRPr="00455330" w:rsidRDefault="00455330" w:rsidP="004B381D">
            <w:pPr>
              <w:spacing w:before="120"/>
              <w:ind w:left="113" w:right="113"/>
              <w:rPr>
                <w:sz w:val="20"/>
                <w:szCs w:val="18"/>
              </w:rPr>
            </w:pPr>
            <w:r w:rsidRPr="00455330">
              <w:rPr>
                <w:b/>
                <w:bCs/>
                <w:sz w:val="20"/>
                <w:szCs w:val="18"/>
              </w:rPr>
              <w:t>8 (5.6)</w:t>
            </w:r>
          </w:p>
        </w:tc>
        <w:tc>
          <w:tcPr>
            <w:tcW w:w="1120" w:type="dxa"/>
            <w:vAlign w:val="center"/>
            <w:hideMark/>
          </w:tcPr>
          <w:p w14:paraId="12AA9C76" w14:textId="77777777" w:rsidR="00455330" w:rsidRPr="00455330" w:rsidRDefault="00455330" w:rsidP="004B381D">
            <w:pPr>
              <w:spacing w:before="120"/>
              <w:ind w:left="113" w:right="113"/>
              <w:rPr>
                <w:sz w:val="20"/>
                <w:szCs w:val="18"/>
              </w:rPr>
            </w:pPr>
            <w:r w:rsidRPr="00455330">
              <w:rPr>
                <w:b/>
                <w:bCs/>
                <w:sz w:val="20"/>
                <w:szCs w:val="18"/>
              </w:rPr>
              <w:t>11 (6.18)</w:t>
            </w:r>
          </w:p>
        </w:tc>
        <w:tc>
          <w:tcPr>
            <w:tcW w:w="1560" w:type="dxa"/>
            <w:vAlign w:val="center"/>
            <w:hideMark/>
          </w:tcPr>
          <w:p w14:paraId="36411FBA" w14:textId="77777777" w:rsidR="00455330" w:rsidRPr="00455330" w:rsidRDefault="00455330" w:rsidP="004B381D">
            <w:pPr>
              <w:spacing w:before="120"/>
              <w:ind w:left="113" w:right="113"/>
              <w:rPr>
                <w:sz w:val="20"/>
                <w:szCs w:val="18"/>
              </w:rPr>
            </w:pPr>
            <w:r w:rsidRPr="00455330">
              <w:rPr>
                <w:b/>
                <w:bCs/>
                <w:sz w:val="20"/>
                <w:szCs w:val="18"/>
              </w:rPr>
              <w:t>8 (4.8)</w:t>
            </w:r>
          </w:p>
        </w:tc>
        <w:tc>
          <w:tcPr>
            <w:tcW w:w="1559" w:type="dxa"/>
            <w:vAlign w:val="center"/>
            <w:hideMark/>
          </w:tcPr>
          <w:p w14:paraId="7B6AF9A2" w14:textId="77777777" w:rsidR="00455330" w:rsidRPr="00455330" w:rsidRDefault="00455330" w:rsidP="004B381D">
            <w:pPr>
              <w:spacing w:before="120"/>
              <w:ind w:left="113" w:right="113"/>
              <w:rPr>
                <w:sz w:val="20"/>
                <w:szCs w:val="18"/>
              </w:rPr>
            </w:pPr>
            <w:r w:rsidRPr="00455330">
              <w:rPr>
                <w:b/>
                <w:bCs/>
                <w:sz w:val="20"/>
                <w:szCs w:val="18"/>
              </w:rPr>
              <w:t>11 (3.6)</w:t>
            </w:r>
          </w:p>
        </w:tc>
      </w:tr>
      <w:tr w:rsidR="00455330" w:rsidRPr="00455330" w14:paraId="606A287B" w14:textId="77777777" w:rsidTr="00455330">
        <w:tc>
          <w:tcPr>
            <w:tcW w:w="0" w:type="auto"/>
            <w:vAlign w:val="center"/>
            <w:hideMark/>
          </w:tcPr>
          <w:p w14:paraId="2857F270" w14:textId="77777777" w:rsidR="00455330" w:rsidRPr="00455330" w:rsidRDefault="00455330" w:rsidP="004B381D">
            <w:pPr>
              <w:spacing w:before="120"/>
              <w:ind w:left="113" w:right="113"/>
              <w:rPr>
                <w:sz w:val="20"/>
                <w:szCs w:val="18"/>
              </w:rPr>
            </w:pPr>
            <w:r w:rsidRPr="00455330">
              <w:rPr>
                <w:b/>
                <w:bCs/>
                <w:sz w:val="20"/>
                <w:szCs w:val="18"/>
              </w:rPr>
              <w:lastRenderedPageBreak/>
              <w:t>Anaemia</w:t>
            </w:r>
          </w:p>
        </w:tc>
        <w:tc>
          <w:tcPr>
            <w:tcW w:w="0" w:type="auto"/>
            <w:vAlign w:val="center"/>
            <w:hideMark/>
          </w:tcPr>
          <w:p w14:paraId="50FC7A05" w14:textId="77777777" w:rsidR="00455330" w:rsidRPr="00455330" w:rsidRDefault="00455330" w:rsidP="004B381D">
            <w:pPr>
              <w:spacing w:before="120"/>
              <w:ind w:left="113" w:right="113"/>
              <w:rPr>
                <w:sz w:val="20"/>
                <w:szCs w:val="18"/>
              </w:rPr>
            </w:pPr>
            <w:r w:rsidRPr="00455330">
              <w:rPr>
                <w:b/>
                <w:bCs/>
                <w:sz w:val="20"/>
                <w:szCs w:val="18"/>
              </w:rPr>
              <w:t>1 (1.7)</w:t>
            </w:r>
          </w:p>
        </w:tc>
        <w:tc>
          <w:tcPr>
            <w:tcW w:w="0" w:type="auto"/>
            <w:vAlign w:val="center"/>
            <w:hideMark/>
          </w:tcPr>
          <w:p w14:paraId="00E1E8AA" w14:textId="77777777" w:rsidR="00455330" w:rsidRPr="00455330" w:rsidRDefault="00455330" w:rsidP="004B381D">
            <w:pPr>
              <w:spacing w:before="120"/>
              <w:ind w:left="113" w:right="113"/>
              <w:rPr>
                <w:sz w:val="20"/>
                <w:szCs w:val="18"/>
              </w:rPr>
            </w:pPr>
            <w:r w:rsidRPr="00455330">
              <w:rPr>
                <w:b/>
                <w:bCs/>
                <w:sz w:val="20"/>
                <w:szCs w:val="18"/>
              </w:rPr>
              <w:t>1 (1.39)</w:t>
            </w:r>
          </w:p>
        </w:tc>
        <w:tc>
          <w:tcPr>
            <w:tcW w:w="0" w:type="auto"/>
            <w:vAlign w:val="center"/>
            <w:hideMark/>
          </w:tcPr>
          <w:p w14:paraId="75A762E0" w14:textId="77777777" w:rsidR="00455330" w:rsidRPr="00455330" w:rsidRDefault="00455330" w:rsidP="004B381D">
            <w:pPr>
              <w:spacing w:before="120"/>
              <w:ind w:left="113" w:right="113"/>
              <w:rPr>
                <w:sz w:val="20"/>
                <w:szCs w:val="18"/>
              </w:rPr>
            </w:pPr>
            <w:r w:rsidRPr="00455330">
              <w:rPr>
                <w:b/>
                <w:bCs/>
                <w:sz w:val="20"/>
                <w:szCs w:val="18"/>
              </w:rPr>
              <w:t>6 (4.2)</w:t>
            </w:r>
          </w:p>
        </w:tc>
        <w:tc>
          <w:tcPr>
            <w:tcW w:w="1120" w:type="dxa"/>
            <w:vAlign w:val="center"/>
            <w:hideMark/>
          </w:tcPr>
          <w:p w14:paraId="31891028" w14:textId="77777777" w:rsidR="00455330" w:rsidRPr="00455330" w:rsidRDefault="00455330" w:rsidP="004B381D">
            <w:pPr>
              <w:spacing w:before="120"/>
              <w:ind w:left="113" w:right="113"/>
              <w:rPr>
                <w:sz w:val="20"/>
                <w:szCs w:val="18"/>
              </w:rPr>
            </w:pPr>
            <w:r w:rsidRPr="00455330">
              <w:rPr>
                <w:b/>
                <w:bCs/>
                <w:sz w:val="20"/>
                <w:szCs w:val="18"/>
              </w:rPr>
              <w:t>6 (3.37)</w:t>
            </w:r>
          </w:p>
        </w:tc>
        <w:tc>
          <w:tcPr>
            <w:tcW w:w="1560" w:type="dxa"/>
            <w:vAlign w:val="center"/>
            <w:hideMark/>
          </w:tcPr>
          <w:p w14:paraId="723D9962" w14:textId="77777777" w:rsidR="00455330" w:rsidRPr="00455330" w:rsidRDefault="00455330" w:rsidP="004B381D">
            <w:pPr>
              <w:spacing w:before="120"/>
              <w:ind w:left="113" w:right="113"/>
              <w:rPr>
                <w:sz w:val="20"/>
                <w:szCs w:val="18"/>
              </w:rPr>
            </w:pPr>
            <w:r w:rsidRPr="00455330">
              <w:rPr>
                <w:b/>
                <w:bCs/>
                <w:sz w:val="20"/>
                <w:szCs w:val="18"/>
              </w:rPr>
              <w:t>8 (4.8)</w:t>
            </w:r>
          </w:p>
        </w:tc>
        <w:tc>
          <w:tcPr>
            <w:tcW w:w="1559" w:type="dxa"/>
            <w:vAlign w:val="center"/>
            <w:hideMark/>
          </w:tcPr>
          <w:p w14:paraId="4032300D" w14:textId="77777777" w:rsidR="00455330" w:rsidRPr="00455330" w:rsidRDefault="00455330" w:rsidP="004B381D">
            <w:pPr>
              <w:spacing w:before="120"/>
              <w:ind w:left="113" w:right="113"/>
              <w:rPr>
                <w:sz w:val="20"/>
                <w:szCs w:val="18"/>
              </w:rPr>
            </w:pPr>
            <w:r w:rsidRPr="00455330">
              <w:rPr>
                <w:b/>
                <w:bCs/>
                <w:sz w:val="20"/>
                <w:szCs w:val="18"/>
              </w:rPr>
              <w:t>10 (3.3)</w:t>
            </w:r>
          </w:p>
        </w:tc>
      </w:tr>
      <w:tr w:rsidR="00455330" w:rsidRPr="00455330" w14:paraId="22568344" w14:textId="77777777" w:rsidTr="00455330">
        <w:tc>
          <w:tcPr>
            <w:tcW w:w="0" w:type="auto"/>
            <w:vAlign w:val="center"/>
            <w:hideMark/>
          </w:tcPr>
          <w:p w14:paraId="639FD4A4" w14:textId="77777777" w:rsidR="00455330" w:rsidRPr="00455330" w:rsidRDefault="00455330" w:rsidP="004B381D">
            <w:pPr>
              <w:spacing w:before="120"/>
              <w:ind w:left="113" w:right="113"/>
              <w:rPr>
                <w:sz w:val="20"/>
                <w:szCs w:val="18"/>
              </w:rPr>
            </w:pPr>
            <w:r w:rsidRPr="00455330">
              <w:rPr>
                <w:sz w:val="20"/>
                <w:szCs w:val="18"/>
              </w:rPr>
              <w:t>Syncope</w:t>
            </w:r>
          </w:p>
        </w:tc>
        <w:tc>
          <w:tcPr>
            <w:tcW w:w="0" w:type="auto"/>
            <w:vAlign w:val="center"/>
            <w:hideMark/>
          </w:tcPr>
          <w:p w14:paraId="05AD8F3E" w14:textId="77777777" w:rsidR="00455330" w:rsidRPr="00455330" w:rsidRDefault="00455330" w:rsidP="004B381D">
            <w:pPr>
              <w:spacing w:before="120"/>
              <w:ind w:left="113" w:right="113"/>
              <w:rPr>
                <w:sz w:val="20"/>
                <w:szCs w:val="18"/>
              </w:rPr>
            </w:pPr>
            <w:r w:rsidRPr="00455330">
              <w:rPr>
                <w:sz w:val="20"/>
                <w:szCs w:val="18"/>
              </w:rPr>
              <w:t>2 (3.3)</w:t>
            </w:r>
          </w:p>
        </w:tc>
        <w:tc>
          <w:tcPr>
            <w:tcW w:w="0" w:type="auto"/>
            <w:vAlign w:val="center"/>
            <w:hideMark/>
          </w:tcPr>
          <w:p w14:paraId="6E5CF412" w14:textId="77777777" w:rsidR="00455330" w:rsidRPr="00455330" w:rsidRDefault="00455330" w:rsidP="004B381D">
            <w:pPr>
              <w:spacing w:before="120"/>
              <w:ind w:left="113" w:right="113"/>
              <w:rPr>
                <w:sz w:val="20"/>
                <w:szCs w:val="18"/>
              </w:rPr>
            </w:pPr>
            <w:r w:rsidRPr="00455330">
              <w:rPr>
                <w:sz w:val="20"/>
                <w:szCs w:val="18"/>
              </w:rPr>
              <w:t>2 (2.78)</w:t>
            </w:r>
          </w:p>
        </w:tc>
        <w:tc>
          <w:tcPr>
            <w:tcW w:w="0" w:type="auto"/>
            <w:vAlign w:val="center"/>
            <w:hideMark/>
          </w:tcPr>
          <w:p w14:paraId="7F0C395E" w14:textId="77777777" w:rsidR="00455330" w:rsidRPr="00455330" w:rsidRDefault="00455330" w:rsidP="004B381D">
            <w:pPr>
              <w:spacing w:before="120"/>
              <w:ind w:left="113" w:right="113"/>
              <w:rPr>
                <w:sz w:val="20"/>
                <w:szCs w:val="18"/>
              </w:rPr>
            </w:pPr>
            <w:r w:rsidRPr="00455330">
              <w:rPr>
                <w:sz w:val="20"/>
                <w:szCs w:val="18"/>
              </w:rPr>
              <w:t>7 (4.9)</w:t>
            </w:r>
          </w:p>
        </w:tc>
        <w:tc>
          <w:tcPr>
            <w:tcW w:w="1120" w:type="dxa"/>
            <w:vAlign w:val="center"/>
            <w:hideMark/>
          </w:tcPr>
          <w:p w14:paraId="1301BB78" w14:textId="77777777" w:rsidR="00455330" w:rsidRPr="00455330" w:rsidRDefault="00455330" w:rsidP="004B381D">
            <w:pPr>
              <w:spacing w:before="120"/>
              <w:ind w:left="113" w:right="113"/>
              <w:rPr>
                <w:sz w:val="20"/>
                <w:szCs w:val="18"/>
              </w:rPr>
            </w:pPr>
            <w:r w:rsidRPr="00455330">
              <w:rPr>
                <w:sz w:val="20"/>
                <w:szCs w:val="18"/>
              </w:rPr>
              <w:t>7 (3.93)</w:t>
            </w:r>
          </w:p>
        </w:tc>
        <w:tc>
          <w:tcPr>
            <w:tcW w:w="1560" w:type="dxa"/>
            <w:vAlign w:val="center"/>
            <w:hideMark/>
          </w:tcPr>
          <w:p w14:paraId="4481A8DC" w14:textId="77777777" w:rsidR="00455330" w:rsidRPr="00455330" w:rsidRDefault="00455330" w:rsidP="004B381D">
            <w:pPr>
              <w:spacing w:before="120"/>
              <w:ind w:left="113" w:right="113"/>
              <w:rPr>
                <w:sz w:val="20"/>
                <w:szCs w:val="18"/>
              </w:rPr>
            </w:pPr>
            <w:r w:rsidRPr="00455330">
              <w:rPr>
                <w:sz w:val="20"/>
                <w:szCs w:val="18"/>
              </w:rPr>
              <w:t>7 (4.2)</w:t>
            </w:r>
          </w:p>
        </w:tc>
        <w:tc>
          <w:tcPr>
            <w:tcW w:w="1559" w:type="dxa"/>
            <w:vAlign w:val="center"/>
            <w:hideMark/>
          </w:tcPr>
          <w:p w14:paraId="3D37D797" w14:textId="77777777" w:rsidR="00455330" w:rsidRPr="00455330" w:rsidRDefault="00455330" w:rsidP="004B381D">
            <w:pPr>
              <w:spacing w:before="120"/>
              <w:ind w:left="113" w:right="113"/>
              <w:rPr>
                <w:sz w:val="20"/>
                <w:szCs w:val="18"/>
              </w:rPr>
            </w:pPr>
            <w:r w:rsidRPr="00455330">
              <w:rPr>
                <w:sz w:val="20"/>
                <w:szCs w:val="18"/>
              </w:rPr>
              <w:t>9 (2.9)</w:t>
            </w:r>
          </w:p>
        </w:tc>
      </w:tr>
      <w:tr w:rsidR="00455330" w:rsidRPr="00455330" w14:paraId="0CD08A03" w14:textId="77777777" w:rsidTr="00455330">
        <w:tc>
          <w:tcPr>
            <w:tcW w:w="0" w:type="auto"/>
            <w:vAlign w:val="center"/>
            <w:hideMark/>
          </w:tcPr>
          <w:p w14:paraId="6BF67F26" w14:textId="77777777" w:rsidR="00455330" w:rsidRPr="00455330" w:rsidRDefault="00455330" w:rsidP="004B381D">
            <w:pPr>
              <w:spacing w:before="120"/>
              <w:ind w:left="113" w:right="113"/>
              <w:rPr>
                <w:sz w:val="20"/>
                <w:szCs w:val="18"/>
              </w:rPr>
            </w:pPr>
            <w:r w:rsidRPr="00455330">
              <w:rPr>
                <w:sz w:val="20"/>
                <w:szCs w:val="18"/>
              </w:rPr>
              <w:t>Dry eye</w:t>
            </w:r>
          </w:p>
        </w:tc>
        <w:tc>
          <w:tcPr>
            <w:tcW w:w="0" w:type="auto"/>
            <w:vAlign w:val="center"/>
            <w:hideMark/>
          </w:tcPr>
          <w:p w14:paraId="6A78BE87" w14:textId="77777777" w:rsidR="00455330" w:rsidRPr="00455330" w:rsidRDefault="00455330" w:rsidP="004B381D">
            <w:pPr>
              <w:spacing w:before="120"/>
              <w:ind w:left="113" w:right="113"/>
              <w:rPr>
                <w:sz w:val="20"/>
                <w:szCs w:val="18"/>
              </w:rPr>
            </w:pPr>
            <w:r w:rsidRPr="00455330">
              <w:rPr>
                <w:sz w:val="20"/>
                <w:szCs w:val="18"/>
              </w:rPr>
              <w:t>2 (3.3)</w:t>
            </w:r>
          </w:p>
        </w:tc>
        <w:tc>
          <w:tcPr>
            <w:tcW w:w="0" w:type="auto"/>
            <w:vAlign w:val="center"/>
            <w:hideMark/>
          </w:tcPr>
          <w:p w14:paraId="35322646" w14:textId="77777777" w:rsidR="00455330" w:rsidRPr="00455330" w:rsidRDefault="00455330" w:rsidP="004B381D">
            <w:pPr>
              <w:spacing w:before="120"/>
              <w:ind w:left="113" w:right="113"/>
              <w:rPr>
                <w:sz w:val="20"/>
                <w:szCs w:val="18"/>
              </w:rPr>
            </w:pPr>
            <w:r w:rsidRPr="00455330">
              <w:rPr>
                <w:sz w:val="20"/>
                <w:szCs w:val="18"/>
              </w:rPr>
              <w:t>2 (2.78)</w:t>
            </w:r>
          </w:p>
        </w:tc>
        <w:tc>
          <w:tcPr>
            <w:tcW w:w="0" w:type="auto"/>
            <w:vAlign w:val="center"/>
            <w:hideMark/>
          </w:tcPr>
          <w:p w14:paraId="5FF30E1D" w14:textId="77777777" w:rsidR="00455330" w:rsidRPr="00455330" w:rsidRDefault="00455330" w:rsidP="004B381D">
            <w:pPr>
              <w:spacing w:before="120"/>
              <w:ind w:left="113" w:right="113"/>
              <w:rPr>
                <w:sz w:val="20"/>
                <w:szCs w:val="18"/>
              </w:rPr>
            </w:pPr>
            <w:r w:rsidRPr="00455330">
              <w:rPr>
                <w:sz w:val="20"/>
                <w:szCs w:val="18"/>
              </w:rPr>
              <w:t>6 (4.2)</w:t>
            </w:r>
          </w:p>
        </w:tc>
        <w:tc>
          <w:tcPr>
            <w:tcW w:w="1120" w:type="dxa"/>
            <w:vAlign w:val="center"/>
            <w:hideMark/>
          </w:tcPr>
          <w:p w14:paraId="0A7161B4" w14:textId="77777777" w:rsidR="00455330" w:rsidRPr="00455330" w:rsidRDefault="00455330" w:rsidP="004B381D">
            <w:pPr>
              <w:spacing w:before="120"/>
              <w:ind w:left="113" w:right="113"/>
              <w:rPr>
                <w:sz w:val="20"/>
                <w:szCs w:val="18"/>
              </w:rPr>
            </w:pPr>
            <w:r w:rsidRPr="00455330">
              <w:rPr>
                <w:sz w:val="20"/>
                <w:szCs w:val="18"/>
              </w:rPr>
              <w:t>6 (3.37)</w:t>
            </w:r>
          </w:p>
        </w:tc>
        <w:tc>
          <w:tcPr>
            <w:tcW w:w="1560" w:type="dxa"/>
            <w:vAlign w:val="center"/>
            <w:hideMark/>
          </w:tcPr>
          <w:p w14:paraId="3ABDF0D6" w14:textId="77777777" w:rsidR="00455330" w:rsidRPr="00455330" w:rsidRDefault="00455330" w:rsidP="004B381D">
            <w:pPr>
              <w:spacing w:before="120"/>
              <w:ind w:left="113" w:right="113"/>
              <w:rPr>
                <w:sz w:val="20"/>
                <w:szCs w:val="18"/>
              </w:rPr>
            </w:pPr>
            <w:r w:rsidRPr="00455330">
              <w:rPr>
                <w:sz w:val="20"/>
                <w:szCs w:val="18"/>
              </w:rPr>
              <w:t>6 (3.6)</w:t>
            </w:r>
          </w:p>
        </w:tc>
        <w:tc>
          <w:tcPr>
            <w:tcW w:w="1559" w:type="dxa"/>
            <w:vAlign w:val="center"/>
            <w:hideMark/>
          </w:tcPr>
          <w:p w14:paraId="23CD0F4C" w14:textId="77777777" w:rsidR="00455330" w:rsidRPr="00455330" w:rsidRDefault="00455330" w:rsidP="004B381D">
            <w:pPr>
              <w:spacing w:before="120"/>
              <w:ind w:left="113" w:right="113"/>
              <w:rPr>
                <w:sz w:val="20"/>
                <w:szCs w:val="18"/>
              </w:rPr>
            </w:pPr>
            <w:r w:rsidRPr="00455330">
              <w:rPr>
                <w:sz w:val="20"/>
                <w:szCs w:val="18"/>
              </w:rPr>
              <w:t>6 (2.0)</w:t>
            </w:r>
          </w:p>
        </w:tc>
      </w:tr>
      <w:tr w:rsidR="00455330" w:rsidRPr="00455330" w14:paraId="04FD4677" w14:textId="77777777" w:rsidTr="00455330">
        <w:tc>
          <w:tcPr>
            <w:tcW w:w="0" w:type="auto"/>
            <w:vAlign w:val="center"/>
            <w:hideMark/>
          </w:tcPr>
          <w:p w14:paraId="374B5FCB" w14:textId="77777777" w:rsidR="00455330" w:rsidRPr="00455330" w:rsidRDefault="00455330" w:rsidP="004B381D">
            <w:pPr>
              <w:spacing w:before="120"/>
              <w:ind w:left="113" w:right="113"/>
              <w:rPr>
                <w:sz w:val="20"/>
                <w:szCs w:val="18"/>
              </w:rPr>
            </w:pPr>
            <w:r w:rsidRPr="00455330">
              <w:rPr>
                <w:sz w:val="20"/>
                <w:szCs w:val="18"/>
              </w:rPr>
              <w:t>Neuralgia</w:t>
            </w:r>
          </w:p>
        </w:tc>
        <w:tc>
          <w:tcPr>
            <w:tcW w:w="0" w:type="auto"/>
            <w:vAlign w:val="center"/>
            <w:hideMark/>
          </w:tcPr>
          <w:p w14:paraId="61A6CC41" w14:textId="77777777" w:rsidR="00455330" w:rsidRPr="00455330" w:rsidRDefault="00455330" w:rsidP="004B381D">
            <w:pPr>
              <w:spacing w:before="120"/>
              <w:ind w:left="113" w:right="113"/>
              <w:rPr>
                <w:sz w:val="20"/>
                <w:szCs w:val="18"/>
              </w:rPr>
            </w:pPr>
            <w:r w:rsidRPr="00455330">
              <w:rPr>
                <w:sz w:val="20"/>
                <w:szCs w:val="18"/>
              </w:rPr>
              <w:t>9 (15.0)</w:t>
            </w:r>
          </w:p>
        </w:tc>
        <w:tc>
          <w:tcPr>
            <w:tcW w:w="0" w:type="auto"/>
            <w:vAlign w:val="center"/>
            <w:hideMark/>
          </w:tcPr>
          <w:p w14:paraId="56F6CDD3" w14:textId="77777777" w:rsidR="00455330" w:rsidRPr="00455330" w:rsidRDefault="00455330" w:rsidP="004B381D">
            <w:pPr>
              <w:spacing w:before="120"/>
              <w:ind w:left="113" w:right="113"/>
              <w:rPr>
                <w:sz w:val="20"/>
                <w:szCs w:val="18"/>
              </w:rPr>
            </w:pPr>
            <w:r w:rsidRPr="00455330">
              <w:rPr>
                <w:sz w:val="20"/>
                <w:szCs w:val="18"/>
              </w:rPr>
              <w:t>9 (12.52)</w:t>
            </w:r>
          </w:p>
        </w:tc>
        <w:tc>
          <w:tcPr>
            <w:tcW w:w="0" w:type="auto"/>
            <w:vAlign w:val="center"/>
            <w:hideMark/>
          </w:tcPr>
          <w:p w14:paraId="55430D4A" w14:textId="77777777" w:rsidR="00455330" w:rsidRPr="00455330" w:rsidRDefault="00455330" w:rsidP="004B381D">
            <w:pPr>
              <w:spacing w:before="120"/>
              <w:ind w:left="113" w:right="113"/>
              <w:rPr>
                <w:sz w:val="20"/>
                <w:szCs w:val="18"/>
              </w:rPr>
            </w:pPr>
            <w:r w:rsidRPr="00455330">
              <w:rPr>
                <w:sz w:val="20"/>
                <w:szCs w:val="18"/>
              </w:rPr>
              <w:t>4 (2.8)</w:t>
            </w:r>
          </w:p>
        </w:tc>
        <w:tc>
          <w:tcPr>
            <w:tcW w:w="1120" w:type="dxa"/>
            <w:vAlign w:val="center"/>
            <w:hideMark/>
          </w:tcPr>
          <w:p w14:paraId="0861B078" w14:textId="77777777" w:rsidR="00455330" w:rsidRPr="00455330" w:rsidRDefault="00455330" w:rsidP="004B381D">
            <w:pPr>
              <w:spacing w:before="120"/>
              <w:ind w:left="113" w:right="113"/>
              <w:rPr>
                <w:sz w:val="20"/>
                <w:szCs w:val="18"/>
              </w:rPr>
            </w:pPr>
            <w:r w:rsidRPr="00455330">
              <w:rPr>
                <w:sz w:val="20"/>
                <w:szCs w:val="18"/>
              </w:rPr>
              <w:t>6 (3.37)</w:t>
            </w:r>
          </w:p>
        </w:tc>
        <w:tc>
          <w:tcPr>
            <w:tcW w:w="1560" w:type="dxa"/>
            <w:vAlign w:val="center"/>
            <w:hideMark/>
          </w:tcPr>
          <w:p w14:paraId="26BBA43E" w14:textId="77777777" w:rsidR="00455330" w:rsidRPr="00455330" w:rsidRDefault="00455330" w:rsidP="004B381D">
            <w:pPr>
              <w:spacing w:before="120"/>
              <w:ind w:left="113" w:right="113"/>
              <w:rPr>
                <w:sz w:val="20"/>
                <w:szCs w:val="18"/>
              </w:rPr>
            </w:pPr>
            <w:r w:rsidRPr="00455330">
              <w:rPr>
                <w:sz w:val="20"/>
                <w:szCs w:val="18"/>
              </w:rPr>
              <w:t>6 (3.6)</w:t>
            </w:r>
          </w:p>
        </w:tc>
        <w:tc>
          <w:tcPr>
            <w:tcW w:w="1559" w:type="dxa"/>
            <w:vAlign w:val="center"/>
            <w:hideMark/>
          </w:tcPr>
          <w:p w14:paraId="07989E4B" w14:textId="77777777" w:rsidR="00455330" w:rsidRPr="00455330" w:rsidRDefault="00455330" w:rsidP="004B381D">
            <w:pPr>
              <w:spacing w:before="120"/>
              <w:ind w:left="113" w:right="113"/>
              <w:rPr>
                <w:sz w:val="20"/>
                <w:szCs w:val="18"/>
              </w:rPr>
            </w:pPr>
            <w:r w:rsidRPr="00455330">
              <w:rPr>
                <w:sz w:val="20"/>
                <w:szCs w:val="18"/>
              </w:rPr>
              <w:t>8 (2.6)</w:t>
            </w:r>
          </w:p>
        </w:tc>
      </w:tr>
      <w:tr w:rsidR="00455330" w:rsidRPr="00455330" w14:paraId="391C9CA5" w14:textId="77777777" w:rsidTr="00455330">
        <w:tc>
          <w:tcPr>
            <w:tcW w:w="0" w:type="auto"/>
            <w:vAlign w:val="center"/>
            <w:hideMark/>
          </w:tcPr>
          <w:p w14:paraId="038504F2" w14:textId="77777777" w:rsidR="00455330" w:rsidRPr="00455330" w:rsidRDefault="00455330" w:rsidP="004B381D">
            <w:pPr>
              <w:spacing w:before="120"/>
              <w:ind w:left="113" w:right="113"/>
              <w:rPr>
                <w:sz w:val="20"/>
                <w:szCs w:val="18"/>
              </w:rPr>
            </w:pPr>
            <w:r w:rsidRPr="00455330">
              <w:rPr>
                <w:sz w:val="20"/>
                <w:szCs w:val="18"/>
              </w:rPr>
              <w:t>Constipation</w:t>
            </w:r>
          </w:p>
        </w:tc>
        <w:tc>
          <w:tcPr>
            <w:tcW w:w="0" w:type="auto"/>
            <w:vAlign w:val="center"/>
            <w:hideMark/>
          </w:tcPr>
          <w:p w14:paraId="211B76DB" w14:textId="77777777" w:rsidR="00455330" w:rsidRPr="00455330" w:rsidRDefault="00455330" w:rsidP="004B381D">
            <w:pPr>
              <w:spacing w:before="120"/>
              <w:ind w:left="113" w:right="113"/>
              <w:rPr>
                <w:sz w:val="20"/>
                <w:szCs w:val="18"/>
              </w:rPr>
            </w:pPr>
            <w:r w:rsidRPr="00455330">
              <w:rPr>
                <w:sz w:val="20"/>
                <w:szCs w:val="18"/>
              </w:rPr>
              <w:t>6 (10.0)</w:t>
            </w:r>
          </w:p>
        </w:tc>
        <w:tc>
          <w:tcPr>
            <w:tcW w:w="0" w:type="auto"/>
            <w:vAlign w:val="center"/>
            <w:hideMark/>
          </w:tcPr>
          <w:p w14:paraId="35AB7937" w14:textId="77777777" w:rsidR="00455330" w:rsidRPr="00455330" w:rsidRDefault="00455330" w:rsidP="004B381D">
            <w:pPr>
              <w:spacing w:before="120"/>
              <w:ind w:left="113" w:right="113"/>
              <w:rPr>
                <w:sz w:val="20"/>
                <w:szCs w:val="18"/>
              </w:rPr>
            </w:pPr>
            <w:r w:rsidRPr="00455330">
              <w:rPr>
                <w:sz w:val="20"/>
                <w:szCs w:val="18"/>
              </w:rPr>
              <w:t>6 (8.35)</w:t>
            </w:r>
          </w:p>
        </w:tc>
        <w:tc>
          <w:tcPr>
            <w:tcW w:w="0" w:type="auto"/>
            <w:vAlign w:val="center"/>
            <w:hideMark/>
          </w:tcPr>
          <w:p w14:paraId="0E55FBAA" w14:textId="77777777" w:rsidR="00455330" w:rsidRPr="00455330" w:rsidRDefault="00455330" w:rsidP="004B381D">
            <w:pPr>
              <w:spacing w:before="120"/>
              <w:ind w:left="113" w:right="113"/>
              <w:rPr>
                <w:sz w:val="20"/>
                <w:szCs w:val="18"/>
              </w:rPr>
            </w:pPr>
            <w:r w:rsidRPr="00455330">
              <w:rPr>
                <w:sz w:val="20"/>
                <w:szCs w:val="18"/>
              </w:rPr>
              <w:t>4 (2.8)</w:t>
            </w:r>
          </w:p>
        </w:tc>
        <w:tc>
          <w:tcPr>
            <w:tcW w:w="1120" w:type="dxa"/>
            <w:vAlign w:val="center"/>
            <w:hideMark/>
          </w:tcPr>
          <w:p w14:paraId="13A46394" w14:textId="77777777" w:rsidR="00455330" w:rsidRPr="00455330" w:rsidRDefault="00455330" w:rsidP="004B381D">
            <w:pPr>
              <w:spacing w:before="120"/>
              <w:ind w:left="113" w:right="113"/>
              <w:rPr>
                <w:sz w:val="20"/>
                <w:szCs w:val="18"/>
              </w:rPr>
            </w:pPr>
            <w:r w:rsidRPr="00455330">
              <w:rPr>
                <w:sz w:val="20"/>
                <w:szCs w:val="18"/>
              </w:rPr>
              <w:t>4 (2.25)</w:t>
            </w:r>
          </w:p>
        </w:tc>
        <w:tc>
          <w:tcPr>
            <w:tcW w:w="1560" w:type="dxa"/>
            <w:vAlign w:val="center"/>
            <w:hideMark/>
          </w:tcPr>
          <w:p w14:paraId="248CEECC" w14:textId="77777777" w:rsidR="00455330" w:rsidRPr="00455330" w:rsidRDefault="00455330" w:rsidP="004B381D">
            <w:pPr>
              <w:spacing w:before="120"/>
              <w:ind w:left="113" w:right="113"/>
              <w:rPr>
                <w:sz w:val="20"/>
                <w:szCs w:val="18"/>
              </w:rPr>
            </w:pPr>
            <w:r w:rsidRPr="00455330">
              <w:rPr>
                <w:sz w:val="20"/>
                <w:szCs w:val="18"/>
              </w:rPr>
              <w:t>6 (3.6)</w:t>
            </w:r>
          </w:p>
        </w:tc>
        <w:tc>
          <w:tcPr>
            <w:tcW w:w="1559" w:type="dxa"/>
            <w:vAlign w:val="center"/>
            <w:hideMark/>
          </w:tcPr>
          <w:p w14:paraId="4DB1CD45" w14:textId="77777777" w:rsidR="00455330" w:rsidRPr="00455330" w:rsidRDefault="00455330" w:rsidP="004B381D">
            <w:pPr>
              <w:spacing w:before="120"/>
              <w:ind w:left="113" w:right="113"/>
              <w:rPr>
                <w:sz w:val="20"/>
                <w:szCs w:val="18"/>
              </w:rPr>
            </w:pPr>
            <w:r w:rsidRPr="00455330">
              <w:rPr>
                <w:sz w:val="20"/>
                <w:szCs w:val="18"/>
              </w:rPr>
              <w:t>6 (2.0)</w:t>
            </w:r>
          </w:p>
        </w:tc>
      </w:tr>
      <w:tr w:rsidR="00455330" w:rsidRPr="00455330" w14:paraId="60731D85" w14:textId="77777777" w:rsidTr="00455330">
        <w:tc>
          <w:tcPr>
            <w:tcW w:w="0" w:type="auto"/>
            <w:vAlign w:val="center"/>
            <w:hideMark/>
          </w:tcPr>
          <w:p w14:paraId="19B231D9" w14:textId="77777777" w:rsidR="00455330" w:rsidRPr="00455330" w:rsidRDefault="00455330" w:rsidP="004B381D">
            <w:pPr>
              <w:spacing w:before="120"/>
              <w:ind w:left="113" w:right="113"/>
              <w:rPr>
                <w:sz w:val="20"/>
                <w:szCs w:val="18"/>
              </w:rPr>
            </w:pPr>
            <w:r w:rsidRPr="00455330">
              <w:rPr>
                <w:sz w:val="20"/>
                <w:szCs w:val="18"/>
              </w:rPr>
              <w:t>Injection site pain</w:t>
            </w:r>
          </w:p>
        </w:tc>
        <w:tc>
          <w:tcPr>
            <w:tcW w:w="0" w:type="auto"/>
            <w:vAlign w:val="center"/>
            <w:hideMark/>
          </w:tcPr>
          <w:p w14:paraId="642F0561" w14:textId="77777777" w:rsidR="00455330" w:rsidRPr="00455330" w:rsidRDefault="00455330" w:rsidP="004B381D">
            <w:pPr>
              <w:spacing w:before="120"/>
              <w:ind w:left="113" w:right="113"/>
              <w:rPr>
                <w:sz w:val="20"/>
                <w:szCs w:val="18"/>
              </w:rPr>
            </w:pPr>
            <w:r w:rsidRPr="00455330">
              <w:rPr>
                <w:sz w:val="20"/>
                <w:szCs w:val="18"/>
              </w:rPr>
              <w:t>5 (8.3)</w:t>
            </w:r>
          </w:p>
        </w:tc>
        <w:tc>
          <w:tcPr>
            <w:tcW w:w="0" w:type="auto"/>
            <w:vAlign w:val="center"/>
            <w:hideMark/>
          </w:tcPr>
          <w:p w14:paraId="7AEE593D" w14:textId="77777777" w:rsidR="00455330" w:rsidRPr="00455330" w:rsidRDefault="00455330" w:rsidP="004B381D">
            <w:pPr>
              <w:spacing w:before="120"/>
              <w:ind w:left="113" w:right="113"/>
              <w:rPr>
                <w:sz w:val="20"/>
                <w:szCs w:val="18"/>
              </w:rPr>
            </w:pPr>
            <w:r w:rsidRPr="00455330">
              <w:rPr>
                <w:sz w:val="20"/>
                <w:szCs w:val="18"/>
              </w:rPr>
              <w:t>8 (11.13)</w:t>
            </w:r>
          </w:p>
        </w:tc>
        <w:tc>
          <w:tcPr>
            <w:tcW w:w="0" w:type="auto"/>
            <w:vAlign w:val="center"/>
            <w:hideMark/>
          </w:tcPr>
          <w:p w14:paraId="24E274CB" w14:textId="77777777" w:rsidR="00455330" w:rsidRPr="00455330" w:rsidRDefault="00455330" w:rsidP="004B381D">
            <w:pPr>
              <w:spacing w:before="120"/>
              <w:ind w:left="113" w:right="113"/>
              <w:rPr>
                <w:sz w:val="20"/>
                <w:szCs w:val="18"/>
              </w:rPr>
            </w:pPr>
            <w:r w:rsidRPr="00455330">
              <w:rPr>
                <w:sz w:val="20"/>
                <w:szCs w:val="18"/>
              </w:rPr>
              <w:t>5 (3.5)</w:t>
            </w:r>
          </w:p>
        </w:tc>
        <w:tc>
          <w:tcPr>
            <w:tcW w:w="1120" w:type="dxa"/>
            <w:vAlign w:val="center"/>
            <w:hideMark/>
          </w:tcPr>
          <w:p w14:paraId="1EA75E80" w14:textId="77777777" w:rsidR="00455330" w:rsidRPr="00455330" w:rsidRDefault="00455330" w:rsidP="004B381D">
            <w:pPr>
              <w:spacing w:before="120"/>
              <w:ind w:left="113" w:right="113"/>
              <w:rPr>
                <w:sz w:val="20"/>
                <w:szCs w:val="18"/>
              </w:rPr>
            </w:pPr>
            <w:r w:rsidRPr="00455330">
              <w:rPr>
                <w:sz w:val="20"/>
                <w:szCs w:val="18"/>
              </w:rPr>
              <w:t>8 (4.49)</w:t>
            </w:r>
          </w:p>
        </w:tc>
        <w:tc>
          <w:tcPr>
            <w:tcW w:w="1560" w:type="dxa"/>
            <w:vAlign w:val="center"/>
            <w:hideMark/>
          </w:tcPr>
          <w:p w14:paraId="15E1044F" w14:textId="77777777" w:rsidR="00455330" w:rsidRPr="00455330" w:rsidRDefault="00455330" w:rsidP="004B381D">
            <w:pPr>
              <w:spacing w:before="120"/>
              <w:ind w:left="113" w:right="113"/>
              <w:rPr>
                <w:sz w:val="20"/>
                <w:szCs w:val="18"/>
              </w:rPr>
            </w:pPr>
            <w:r w:rsidRPr="00455330">
              <w:rPr>
                <w:sz w:val="20"/>
                <w:szCs w:val="18"/>
              </w:rPr>
              <w:t>5 (3.0)</w:t>
            </w:r>
          </w:p>
        </w:tc>
        <w:tc>
          <w:tcPr>
            <w:tcW w:w="1559" w:type="dxa"/>
            <w:vAlign w:val="center"/>
            <w:hideMark/>
          </w:tcPr>
          <w:p w14:paraId="746EF9D4" w14:textId="77777777" w:rsidR="00455330" w:rsidRPr="00455330" w:rsidRDefault="00455330" w:rsidP="004B381D">
            <w:pPr>
              <w:spacing w:before="120"/>
              <w:ind w:left="113" w:right="113"/>
              <w:rPr>
                <w:sz w:val="20"/>
                <w:szCs w:val="18"/>
              </w:rPr>
            </w:pPr>
            <w:r w:rsidRPr="00455330">
              <w:rPr>
                <w:sz w:val="20"/>
                <w:szCs w:val="18"/>
              </w:rPr>
              <w:t>8 (2.6)</w:t>
            </w:r>
          </w:p>
        </w:tc>
      </w:tr>
      <w:tr w:rsidR="00455330" w:rsidRPr="00455330" w14:paraId="50643F1D" w14:textId="77777777" w:rsidTr="00455330">
        <w:tc>
          <w:tcPr>
            <w:tcW w:w="0" w:type="auto"/>
            <w:vAlign w:val="center"/>
            <w:hideMark/>
          </w:tcPr>
          <w:p w14:paraId="3B40598C" w14:textId="77777777" w:rsidR="00455330" w:rsidRPr="00455330" w:rsidRDefault="00455330" w:rsidP="004B381D">
            <w:pPr>
              <w:spacing w:before="120"/>
              <w:ind w:left="113" w:right="113"/>
              <w:rPr>
                <w:sz w:val="20"/>
                <w:szCs w:val="18"/>
              </w:rPr>
            </w:pPr>
            <w:r w:rsidRPr="00455330">
              <w:rPr>
                <w:b/>
                <w:bCs/>
                <w:sz w:val="20"/>
                <w:szCs w:val="18"/>
              </w:rPr>
              <w:t>Injection site erythema</w:t>
            </w:r>
          </w:p>
        </w:tc>
        <w:tc>
          <w:tcPr>
            <w:tcW w:w="0" w:type="auto"/>
            <w:vAlign w:val="center"/>
            <w:hideMark/>
          </w:tcPr>
          <w:p w14:paraId="2EB82EB8" w14:textId="77777777" w:rsidR="00455330" w:rsidRPr="00455330" w:rsidRDefault="00455330" w:rsidP="004B381D">
            <w:pPr>
              <w:spacing w:before="120"/>
              <w:ind w:left="113" w:right="113"/>
              <w:rPr>
                <w:sz w:val="20"/>
                <w:szCs w:val="18"/>
              </w:rPr>
            </w:pPr>
            <w:r w:rsidRPr="00455330">
              <w:rPr>
                <w:b/>
                <w:bCs/>
                <w:sz w:val="20"/>
                <w:szCs w:val="18"/>
              </w:rPr>
              <w:t>0</w:t>
            </w:r>
          </w:p>
        </w:tc>
        <w:tc>
          <w:tcPr>
            <w:tcW w:w="0" w:type="auto"/>
            <w:vAlign w:val="center"/>
            <w:hideMark/>
          </w:tcPr>
          <w:p w14:paraId="6AE52108" w14:textId="77777777" w:rsidR="00455330" w:rsidRPr="00455330" w:rsidRDefault="00455330" w:rsidP="004B381D">
            <w:pPr>
              <w:spacing w:before="120"/>
              <w:ind w:left="113" w:right="113"/>
              <w:rPr>
                <w:sz w:val="20"/>
                <w:szCs w:val="18"/>
              </w:rPr>
            </w:pPr>
            <w:r w:rsidRPr="00455330">
              <w:rPr>
                <w:b/>
                <w:bCs/>
                <w:sz w:val="20"/>
                <w:szCs w:val="18"/>
              </w:rPr>
              <w:t>0</w:t>
            </w:r>
          </w:p>
        </w:tc>
        <w:tc>
          <w:tcPr>
            <w:tcW w:w="0" w:type="auto"/>
            <w:vAlign w:val="center"/>
            <w:hideMark/>
          </w:tcPr>
          <w:p w14:paraId="73312817" w14:textId="77777777" w:rsidR="00455330" w:rsidRPr="00455330" w:rsidRDefault="00455330" w:rsidP="004B381D">
            <w:pPr>
              <w:spacing w:before="120"/>
              <w:ind w:left="113" w:right="113"/>
              <w:rPr>
                <w:sz w:val="20"/>
                <w:szCs w:val="18"/>
              </w:rPr>
            </w:pPr>
            <w:r w:rsidRPr="00455330">
              <w:rPr>
                <w:b/>
                <w:bCs/>
                <w:sz w:val="20"/>
                <w:szCs w:val="18"/>
              </w:rPr>
              <w:t>5 (3.5)</w:t>
            </w:r>
          </w:p>
        </w:tc>
        <w:tc>
          <w:tcPr>
            <w:tcW w:w="1120" w:type="dxa"/>
            <w:vAlign w:val="center"/>
            <w:hideMark/>
          </w:tcPr>
          <w:p w14:paraId="3FDBE1AF" w14:textId="77777777" w:rsidR="00455330" w:rsidRPr="00455330" w:rsidRDefault="00455330" w:rsidP="004B381D">
            <w:pPr>
              <w:spacing w:before="120"/>
              <w:ind w:left="113" w:right="113"/>
              <w:rPr>
                <w:sz w:val="20"/>
                <w:szCs w:val="18"/>
              </w:rPr>
            </w:pPr>
            <w:r w:rsidRPr="00455330">
              <w:rPr>
                <w:b/>
                <w:bCs/>
                <w:sz w:val="20"/>
                <w:szCs w:val="18"/>
              </w:rPr>
              <w:t>7 (3.93)</w:t>
            </w:r>
          </w:p>
        </w:tc>
        <w:tc>
          <w:tcPr>
            <w:tcW w:w="1560" w:type="dxa"/>
            <w:vAlign w:val="center"/>
            <w:hideMark/>
          </w:tcPr>
          <w:p w14:paraId="716DBCA1" w14:textId="77777777" w:rsidR="00455330" w:rsidRPr="00455330" w:rsidRDefault="00455330" w:rsidP="004B381D">
            <w:pPr>
              <w:spacing w:before="120"/>
              <w:ind w:left="113" w:right="113"/>
              <w:rPr>
                <w:sz w:val="20"/>
                <w:szCs w:val="18"/>
              </w:rPr>
            </w:pPr>
            <w:r w:rsidRPr="00455330">
              <w:rPr>
                <w:b/>
                <w:bCs/>
                <w:sz w:val="20"/>
                <w:szCs w:val="18"/>
              </w:rPr>
              <w:t>5 (3.0)</w:t>
            </w:r>
          </w:p>
        </w:tc>
        <w:tc>
          <w:tcPr>
            <w:tcW w:w="1559" w:type="dxa"/>
            <w:vAlign w:val="center"/>
            <w:hideMark/>
          </w:tcPr>
          <w:p w14:paraId="19EA6653" w14:textId="77777777" w:rsidR="00455330" w:rsidRPr="00455330" w:rsidRDefault="00455330" w:rsidP="004B381D">
            <w:pPr>
              <w:spacing w:before="120"/>
              <w:ind w:left="113" w:right="113"/>
              <w:rPr>
                <w:sz w:val="20"/>
                <w:szCs w:val="18"/>
              </w:rPr>
            </w:pPr>
            <w:r w:rsidRPr="00455330">
              <w:rPr>
                <w:b/>
                <w:bCs/>
                <w:sz w:val="20"/>
                <w:szCs w:val="18"/>
              </w:rPr>
              <w:t>7 (2.3)</w:t>
            </w:r>
          </w:p>
        </w:tc>
      </w:tr>
      <w:tr w:rsidR="00455330" w:rsidRPr="00455330" w14:paraId="6B84B67D" w14:textId="77777777" w:rsidTr="00455330">
        <w:tc>
          <w:tcPr>
            <w:tcW w:w="0" w:type="auto"/>
            <w:vAlign w:val="center"/>
            <w:hideMark/>
          </w:tcPr>
          <w:p w14:paraId="30D627E2" w14:textId="77777777" w:rsidR="00455330" w:rsidRPr="00455330" w:rsidRDefault="00455330" w:rsidP="004B381D">
            <w:pPr>
              <w:spacing w:before="120"/>
              <w:ind w:left="113" w:right="113"/>
              <w:rPr>
                <w:sz w:val="20"/>
                <w:szCs w:val="18"/>
              </w:rPr>
            </w:pPr>
            <w:r w:rsidRPr="00455330">
              <w:rPr>
                <w:b/>
                <w:bCs/>
                <w:sz w:val="20"/>
                <w:szCs w:val="18"/>
              </w:rPr>
              <w:t>Injection site pruritus</w:t>
            </w:r>
          </w:p>
        </w:tc>
        <w:tc>
          <w:tcPr>
            <w:tcW w:w="0" w:type="auto"/>
            <w:vAlign w:val="center"/>
            <w:hideMark/>
          </w:tcPr>
          <w:p w14:paraId="22C4D59B" w14:textId="77777777" w:rsidR="00455330" w:rsidRPr="00455330" w:rsidRDefault="00455330" w:rsidP="004B381D">
            <w:pPr>
              <w:spacing w:before="120"/>
              <w:ind w:left="113" w:right="113"/>
              <w:rPr>
                <w:sz w:val="20"/>
                <w:szCs w:val="18"/>
              </w:rPr>
            </w:pPr>
            <w:r w:rsidRPr="00455330">
              <w:rPr>
                <w:b/>
                <w:bCs/>
                <w:sz w:val="20"/>
                <w:szCs w:val="18"/>
              </w:rPr>
              <w:t>0</w:t>
            </w:r>
          </w:p>
        </w:tc>
        <w:tc>
          <w:tcPr>
            <w:tcW w:w="0" w:type="auto"/>
            <w:vAlign w:val="center"/>
            <w:hideMark/>
          </w:tcPr>
          <w:p w14:paraId="7443603D" w14:textId="77777777" w:rsidR="00455330" w:rsidRPr="00455330" w:rsidRDefault="00455330" w:rsidP="004B381D">
            <w:pPr>
              <w:spacing w:before="120"/>
              <w:ind w:left="113" w:right="113"/>
              <w:rPr>
                <w:sz w:val="20"/>
                <w:szCs w:val="18"/>
              </w:rPr>
            </w:pPr>
            <w:r w:rsidRPr="00455330">
              <w:rPr>
                <w:b/>
                <w:bCs/>
                <w:sz w:val="20"/>
                <w:szCs w:val="18"/>
              </w:rPr>
              <w:t>0</w:t>
            </w:r>
          </w:p>
        </w:tc>
        <w:tc>
          <w:tcPr>
            <w:tcW w:w="0" w:type="auto"/>
            <w:vAlign w:val="center"/>
            <w:hideMark/>
          </w:tcPr>
          <w:p w14:paraId="57D0088F" w14:textId="77777777" w:rsidR="00455330" w:rsidRPr="00455330" w:rsidRDefault="00455330" w:rsidP="004B381D">
            <w:pPr>
              <w:spacing w:before="120"/>
              <w:ind w:left="113" w:right="113"/>
              <w:rPr>
                <w:sz w:val="20"/>
                <w:szCs w:val="18"/>
              </w:rPr>
            </w:pPr>
            <w:r w:rsidRPr="00455330">
              <w:rPr>
                <w:b/>
                <w:bCs/>
                <w:sz w:val="20"/>
                <w:szCs w:val="18"/>
              </w:rPr>
              <w:t>3 (2.1)</w:t>
            </w:r>
          </w:p>
        </w:tc>
        <w:tc>
          <w:tcPr>
            <w:tcW w:w="1120" w:type="dxa"/>
            <w:vAlign w:val="center"/>
            <w:hideMark/>
          </w:tcPr>
          <w:p w14:paraId="62E52E4A" w14:textId="77777777" w:rsidR="00455330" w:rsidRPr="00455330" w:rsidRDefault="00455330" w:rsidP="004B381D">
            <w:pPr>
              <w:spacing w:before="120"/>
              <w:ind w:left="113" w:right="113"/>
              <w:rPr>
                <w:sz w:val="20"/>
                <w:szCs w:val="18"/>
              </w:rPr>
            </w:pPr>
            <w:r w:rsidRPr="00455330">
              <w:rPr>
                <w:b/>
                <w:bCs/>
                <w:sz w:val="20"/>
                <w:szCs w:val="18"/>
              </w:rPr>
              <w:t>5 (2.81)</w:t>
            </w:r>
          </w:p>
        </w:tc>
        <w:tc>
          <w:tcPr>
            <w:tcW w:w="1560" w:type="dxa"/>
            <w:vAlign w:val="center"/>
            <w:hideMark/>
          </w:tcPr>
          <w:p w14:paraId="0D2DACA5" w14:textId="77777777" w:rsidR="00455330" w:rsidRPr="00455330" w:rsidRDefault="00455330" w:rsidP="004B381D">
            <w:pPr>
              <w:spacing w:before="120"/>
              <w:ind w:left="113" w:right="113"/>
              <w:rPr>
                <w:sz w:val="20"/>
                <w:szCs w:val="18"/>
              </w:rPr>
            </w:pPr>
            <w:r w:rsidRPr="00455330">
              <w:rPr>
                <w:b/>
                <w:bCs/>
                <w:sz w:val="20"/>
                <w:szCs w:val="18"/>
              </w:rPr>
              <w:t>3 (1.8)</w:t>
            </w:r>
          </w:p>
        </w:tc>
        <w:tc>
          <w:tcPr>
            <w:tcW w:w="1559" w:type="dxa"/>
            <w:vAlign w:val="center"/>
            <w:hideMark/>
          </w:tcPr>
          <w:p w14:paraId="2C44EEAA" w14:textId="77777777" w:rsidR="00455330" w:rsidRPr="00455330" w:rsidRDefault="00455330" w:rsidP="004B381D">
            <w:pPr>
              <w:spacing w:before="120"/>
              <w:ind w:left="113" w:right="113"/>
              <w:rPr>
                <w:sz w:val="20"/>
                <w:szCs w:val="18"/>
              </w:rPr>
            </w:pPr>
            <w:r w:rsidRPr="00455330">
              <w:rPr>
                <w:b/>
                <w:bCs/>
                <w:sz w:val="20"/>
                <w:szCs w:val="18"/>
              </w:rPr>
              <w:t>5 (1.6)</w:t>
            </w:r>
          </w:p>
        </w:tc>
      </w:tr>
      <w:tr w:rsidR="00455330" w:rsidRPr="00455330" w14:paraId="6C1CBB80" w14:textId="77777777" w:rsidTr="00455330">
        <w:tc>
          <w:tcPr>
            <w:tcW w:w="0" w:type="auto"/>
            <w:vAlign w:val="center"/>
            <w:hideMark/>
          </w:tcPr>
          <w:p w14:paraId="5D59C53B" w14:textId="77777777" w:rsidR="00455330" w:rsidRPr="00455330" w:rsidRDefault="00455330" w:rsidP="004B381D">
            <w:pPr>
              <w:spacing w:before="120"/>
              <w:ind w:left="113" w:right="113"/>
              <w:rPr>
                <w:sz w:val="20"/>
                <w:szCs w:val="18"/>
              </w:rPr>
            </w:pPr>
            <w:r w:rsidRPr="00455330">
              <w:rPr>
                <w:sz w:val="20"/>
                <w:szCs w:val="18"/>
              </w:rPr>
              <w:t>Asthenia</w:t>
            </w:r>
          </w:p>
        </w:tc>
        <w:tc>
          <w:tcPr>
            <w:tcW w:w="0" w:type="auto"/>
            <w:vAlign w:val="center"/>
            <w:hideMark/>
          </w:tcPr>
          <w:p w14:paraId="57F050F5" w14:textId="77777777" w:rsidR="00455330" w:rsidRPr="00455330" w:rsidRDefault="00455330" w:rsidP="004B381D">
            <w:pPr>
              <w:spacing w:before="120"/>
              <w:ind w:left="113" w:right="113"/>
              <w:rPr>
                <w:sz w:val="20"/>
                <w:szCs w:val="18"/>
              </w:rPr>
            </w:pPr>
            <w:r w:rsidRPr="00455330">
              <w:rPr>
                <w:sz w:val="20"/>
                <w:szCs w:val="18"/>
              </w:rPr>
              <w:t>8 (13.3)</w:t>
            </w:r>
          </w:p>
        </w:tc>
        <w:tc>
          <w:tcPr>
            <w:tcW w:w="0" w:type="auto"/>
            <w:vAlign w:val="center"/>
            <w:hideMark/>
          </w:tcPr>
          <w:p w14:paraId="395EAFC1" w14:textId="77777777" w:rsidR="00455330" w:rsidRPr="00455330" w:rsidRDefault="00455330" w:rsidP="004B381D">
            <w:pPr>
              <w:spacing w:before="120"/>
              <w:ind w:left="113" w:right="113"/>
              <w:rPr>
                <w:sz w:val="20"/>
                <w:szCs w:val="18"/>
              </w:rPr>
            </w:pPr>
            <w:r w:rsidRPr="00455330">
              <w:rPr>
                <w:sz w:val="20"/>
                <w:szCs w:val="18"/>
              </w:rPr>
              <w:t>11 (15.30)</w:t>
            </w:r>
          </w:p>
        </w:tc>
        <w:tc>
          <w:tcPr>
            <w:tcW w:w="0" w:type="auto"/>
            <w:vAlign w:val="center"/>
            <w:hideMark/>
          </w:tcPr>
          <w:p w14:paraId="00895669" w14:textId="77777777" w:rsidR="00455330" w:rsidRPr="00455330" w:rsidRDefault="00455330" w:rsidP="004B381D">
            <w:pPr>
              <w:spacing w:before="120"/>
              <w:ind w:left="113" w:right="113"/>
              <w:rPr>
                <w:sz w:val="20"/>
                <w:szCs w:val="18"/>
              </w:rPr>
            </w:pPr>
            <w:r w:rsidRPr="00455330">
              <w:rPr>
                <w:sz w:val="20"/>
                <w:szCs w:val="18"/>
              </w:rPr>
              <w:t>3 (2.1)</w:t>
            </w:r>
          </w:p>
        </w:tc>
        <w:tc>
          <w:tcPr>
            <w:tcW w:w="1120" w:type="dxa"/>
            <w:vAlign w:val="center"/>
            <w:hideMark/>
          </w:tcPr>
          <w:p w14:paraId="2FC49EB6" w14:textId="77777777" w:rsidR="00455330" w:rsidRPr="00455330" w:rsidRDefault="00455330" w:rsidP="004B381D">
            <w:pPr>
              <w:spacing w:before="120"/>
              <w:ind w:left="113" w:right="113"/>
              <w:rPr>
                <w:sz w:val="20"/>
                <w:szCs w:val="18"/>
              </w:rPr>
            </w:pPr>
            <w:r w:rsidRPr="00455330">
              <w:rPr>
                <w:sz w:val="20"/>
                <w:szCs w:val="18"/>
              </w:rPr>
              <w:t>3 (1.68)</w:t>
            </w:r>
          </w:p>
        </w:tc>
        <w:tc>
          <w:tcPr>
            <w:tcW w:w="1560" w:type="dxa"/>
            <w:vAlign w:val="center"/>
            <w:hideMark/>
          </w:tcPr>
          <w:p w14:paraId="2509782C" w14:textId="77777777" w:rsidR="00455330" w:rsidRPr="00455330" w:rsidRDefault="00455330" w:rsidP="004B381D">
            <w:pPr>
              <w:spacing w:before="120"/>
              <w:ind w:left="113" w:right="113"/>
              <w:rPr>
                <w:sz w:val="20"/>
                <w:szCs w:val="18"/>
              </w:rPr>
            </w:pPr>
            <w:r w:rsidRPr="00455330">
              <w:rPr>
                <w:sz w:val="20"/>
                <w:szCs w:val="18"/>
              </w:rPr>
              <w:t>4 (2.4)</w:t>
            </w:r>
          </w:p>
        </w:tc>
        <w:tc>
          <w:tcPr>
            <w:tcW w:w="1559" w:type="dxa"/>
            <w:vAlign w:val="center"/>
            <w:hideMark/>
          </w:tcPr>
          <w:p w14:paraId="7753FCF8" w14:textId="77777777" w:rsidR="00455330" w:rsidRPr="00455330" w:rsidRDefault="00455330" w:rsidP="004B381D">
            <w:pPr>
              <w:spacing w:before="120"/>
              <w:ind w:left="113" w:right="113"/>
              <w:rPr>
                <w:sz w:val="20"/>
                <w:szCs w:val="18"/>
              </w:rPr>
            </w:pPr>
            <w:r w:rsidRPr="00455330">
              <w:rPr>
                <w:sz w:val="20"/>
                <w:szCs w:val="18"/>
              </w:rPr>
              <w:t>5 (1.6)</w:t>
            </w:r>
          </w:p>
        </w:tc>
      </w:tr>
    </w:tbl>
    <w:p w14:paraId="30B67BB4" w14:textId="77777777" w:rsidR="003B69DF" w:rsidRPr="003B69DF" w:rsidRDefault="003B69DF" w:rsidP="003B69DF">
      <w:pPr>
        <w:pStyle w:val="TableDescription"/>
      </w:pPr>
      <w:r w:rsidRPr="003B69DF">
        <w:t>ᵃ Week 85+ includes data up to 7 April 2023.</w:t>
      </w:r>
    </w:p>
    <w:p w14:paraId="63B46A40" w14:textId="75BBF1F8" w:rsidR="003B69DF" w:rsidRPr="003B69DF" w:rsidRDefault="003B69DF" w:rsidP="003B69DF">
      <w:pPr>
        <w:pStyle w:val="TableDescription"/>
      </w:pPr>
      <w:r w:rsidRPr="003B69DF">
        <w:t xml:space="preserve">ᵇ Vitamin A laboratory-related treatment-emergent adverse events (TEAEs) were not reported in the ISIS 420915-CS2 study because the results were blinded to the investigator and </w:t>
      </w:r>
      <w:r w:rsidR="00A606FB">
        <w:t>Sponsor</w:t>
      </w:r>
      <w:r w:rsidRPr="003B69DF">
        <w:t>.</w:t>
      </w:r>
    </w:p>
    <w:p w14:paraId="3326953D" w14:textId="1B5D0C7E" w:rsidR="00455330" w:rsidRDefault="003B69DF" w:rsidP="003B69DF">
      <w:pPr>
        <w:pStyle w:val="TableDescription"/>
        <w:rPr>
          <w:b/>
          <w:bCs/>
        </w:rPr>
      </w:pPr>
      <w:r w:rsidRPr="003B69DF">
        <w:rPr>
          <w:b/>
          <w:bCs/>
        </w:rPr>
        <w:t>Bold rows indicate an incidence at least 2 percentage points higher in the eplontersen group than in the external placebo group.</w:t>
      </w:r>
    </w:p>
    <w:p w14:paraId="1A7A79F5" w14:textId="77777777" w:rsidR="003B69DF" w:rsidRPr="003B69DF" w:rsidRDefault="003B69DF" w:rsidP="003B69DF">
      <w:r w:rsidRPr="003B69DF">
        <w:t xml:space="preserve">Analysis of TEAEs across subgroups undertaken as part of the EMA evaluation demonstrated higher rates of cardiac, renal and urinary disorders among participants &gt;75 years of age compared to younger subgroups, and high incidence of eye disorders in non-White participants compared to White participants, however, low overall numbers limited clinical interpretability. </w:t>
      </w:r>
    </w:p>
    <w:p w14:paraId="67A57821" w14:textId="77777777" w:rsidR="003B69DF" w:rsidRPr="003B69DF" w:rsidRDefault="003B69DF" w:rsidP="003B69DF">
      <w:pPr>
        <w:pStyle w:val="Heading5"/>
      </w:pPr>
      <w:r w:rsidRPr="003B69DF">
        <w:t>Treatment related adverse events (adverse drug reactions)</w:t>
      </w:r>
    </w:p>
    <w:p w14:paraId="51FE78CE" w14:textId="77777777" w:rsidR="003B69DF" w:rsidRPr="003B69DF" w:rsidRDefault="003B69DF" w:rsidP="003B69DF">
      <w:r w:rsidRPr="003B69DF">
        <w:t xml:space="preserve">TEAEs determined to be related to study drug administration occurred in 61 (36.5%) of eplontersen-treated subjects and 23 (38.3%) placebo-treated subjects. In the eplontersen set the most common treatment related TEAE was vitamin A deficiency (9.6%). 14 (8.4%) also experienced ISRs following administration of eplontersen. </w:t>
      </w:r>
    </w:p>
    <w:p w14:paraId="2A6D697A" w14:textId="3D707445" w:rsidR="003B69DF" w:rsidRPr="003B69DF" w:rsidRDefault="003B69DF" w:rsidP="003B69DF">
      <w:pPr>
        <w:pStyle w:val="Heading5"/>
      </w:pPr>
      <w:r w:rsidRPr="003B69DF">
        <w:t>Adverse events of special interest</w:t>
      </w:r>
    </w:p>
    <w:p w14:paraId="427443B6" w14:textId="60A334C0" w:rsidR="003B69DF" w:rsidRPr="003B69DF" w:rsidRDefault="00734128" w:rsidP="003B69DF">
      <w:r>
        <w:t>V</w:t>
      </w:r>
      <w:r w:rsidR="003B69DF" w:rsidRPr="003B69DF">
        <w:t xml:space="preserve">itamin A deficiency was recorded for 10.8% of eplontersen-treated subjects, with a further 4.2% recorded as vitamin A decrease. None of the events led to interruption or discontinuation </w:t>
      </w:r>
      <w:r w:rsidR="003B69DF" w:rsidRPr="003B69DF">
        <w:lastRenderedPageBreak/>
        <w:t xml:space="preserve">of eplontersen treatment. The incidence of ocular AEs potentially related to vitamin A deficiency in subjects treated with eplontersen was 28.7%. These TEAEs were generally mild to moderate and non-serious.  None of the ocular AESIs potentially related to vitamin A deficiency led to discontinuation of eplontersen. The most common ocular AEs related to vitamin A deficiency were blurred vision and dry eye, which were reported in 4.8% and 3.6% of participants who received eplontersen, respectively. One severe and 1 serious ocular AEs related to vitamin A deficiency were reported. Both events were assessed as unlikely related to eplontersen use by investigators. </w:t>
      </w:r>
    </w:p>
    <w:p w14:paraId="01568785" w14:textId="77777777" w:rsidR="003B69DF" w:rsidRPr="003B69DF" w:rsidRDefault="003B69DF" w:rsidP="003B69DF">
      <w:r w:rsidRPr="003B69DF">
        <w:t>With respect to the AESI of thrombocytopenia, overall, observed decreases in platelet count during eplontersen use were mostly mild and transient, and resolved while on continued treatment. No events led to concurrent bleeding. No safety signals related to haemorrhages were identified in participants treated with eplontersen. Decreases in platelet count were observed more frequently in subjects treated with eplontersen; platelet count &lt;140 x 10</w:t>
      </w:r>
      <w:r w:rsidRPr="003B69DF">
        <w:rPr>
          <w:vertAlign w:val="superscript"/>
        </w:rPr>
        <w:t>9</w:t>
      </w:r>
      <w:r w:rsidRPr="003B69DF">
        <w:t>/L was recorded in 11 (18.3%) of subjects in the historical placebo control group, compared to 60 (35.9%) in the eplontersen-treated set, with ≥30% decreased from baseline recorded in 4 (6.7%) in the placebo group and 52 (31.1%) in the eplontersen-treated set, and ≥50% reduction from baseline recorded in 1 (1.7%) in the placebo group and 8 (4.8%) in the eplontersen-treated set. The median time to first occurrence of abnormal platelet counts (&lt; 140 × 10</w:t>
      </w:r>
      <w:r w:rsidRPr="003B69DF">
        <w:rPr>
          <w:vertAlign w:val="superscript"/>
        </w:rPr>
        <w:t>9</w:t>
      </w:r>
      <w:r w:rsidRPr="003B69DF">
        <w:t>/L) was 23.4 weeks and median duration of abnormal counts was 6.1 weeks. One subject was noted to have severe thrombocytopenia (nadir platelet count of 16 × 10</w:t>
      </w:r>
      <w:r w:rsidRPr="003B69DF">
        <w:rPr>
          <w:vertAlign w:val="superscript"/>
        </w:rPr>
        <w:t>9</w:t>
      </w:r>
      <w:r w:rsidRPr="003B69DF">
        <w:t>/L) that led to discontinuation of eplontersen. This event occurred 77 days after the last dose of eplontersen and was considered unlikely related to eplontersen use. In study CS3, the mean platelet count (10</w:t>
      </w:r>
      <w:r w:rsidRPr="003B69DF">
        <w:rPr>
          <w:vertAlign w:val="superscript"/>
        </w:rPr>
        <w:t>9</w:t>
      </w:r>
      <w:r w:rsidRPr="003B69DF">
        <w:t xml:space="preserve">/L) was similar between the eplontersen and external placebo groups at baseline (223 vs 212). The mean Δ (SD) in nadir platelet count was -53 (34) in the eplontersen group and -35 (27) in the external placebo group. The EMA evaluation conducted additional analysis by concomitant antiplatelet or anticoagulant use, with no signal for bleeding events identified among those treated with eplontersen. </w:t>
      </w:r>
    </w:p>
    <w:p w14:paraId="6F99AA18" w14:textId="77777777" w:rsidR="003B69DF" w:rsidRPr="003B69DF" w:rsidRDefault="003B69DF" w:rsidP="003B69DF">
      <w:r w:rsidRPr="003B69DF">
        <w:t>No TEAEs of glomerulonephritis were reported in subjects treated with eplontersen.</w:t>
      </w:r>
    </w:p>
    <w:p w14:paraId="751F3E12" w14:textId="77777777" w:rsidR="003B69DF" w:rsidRPr="003B69DF" w:rsidRDefault="003B69DF" w:rsidP="003B69DF">
      <w:r w:rsidRPr="003B69DF">
        <w:t xml:space="preserve">No TEAEs related to coagulation abnormalities were reported in subjects treated with eplontersen. </w:t>
      </w:r>
    </w:p>
    <w:p w14:paraId="4A9D3EBC" w14:textId="77777777" w:rsidR="003B69DF" w:rsidRPr="003B69DF" w:rsidRDefault="003B69DF" w:rsidP="003B69DF">
      <w:r w:rsidRPr="003B69DF">
        <w:t xml:space="preserve">With respect to the AESI of ISR, 14 (8.4%) subjects experienced 27 AEs involving ISRs with the administration of eplontersen, in comparison to 11.7% of participants receiving placebo (noting that placebo was administered more frequently (Q1W) than eplontersen (Q4W). TEAEs associated with the injection site were mild in severity (with no severe or serious events), mostly transient, and mostly resolved within a day. None of the TEAEs led to discontinuation of eplontersen treatment. </w:t>
      </w:r>
    </w:p>
    <w:p w14:paraId="0D7C986D" w14:textId="77777777" w:rsidR="003B69DF" w:rsidRPr="003B69DF" w:rsidRDefault="003B69DF" w:rsidP="003B69DF">
      <w:r w:rsidRPr="003B69DF">
        <w:t xml:space="preserve">With respect to the AESI of CNS disorders, the incidence of CNS disorder was lower in subjects treated with eplontersen (32.3%) compared to placebo (53.3%). The </w:t>
      </w:r>
      <w:proofErr w:type="gramStart"/>
      <w:r w:rsidRPr="003B69DF">
        <w:t>most commonly reported</w:t>
      </w:r>
      <w:proofErr w:type="gramEnd"/>
      <w:r w:rsidRPr="003B69DF">
        <w:t xml:space="preserve"> TEAEs for eplontersen subjects were headache (13 [7.8%]), dizziness (12 [7.2%]) and syncope (7 [4.2%]). A total of 7 serious TEAEs were reported in 5 subjects: 4 episodes of syncope in 3 subjects; 1 cerebral haemorrhage (severe and fatal) in 1 subject, 1 cerebral infarction in 1 subject, and 1 TEAE of metabolic encephalopathy in 1 subject. None of the serious TEAEs were considered as related to eplontersen use by investigators.</w:t>
      </w:r>
    </w:p>
    <w:p w14:paraId="7FF0572C" w14:textId="77777777" w:rsidR="003B69DF" w:rsidRPr="003B69DF" w:rsidRDefault="003B69DF" w:rsidP="003B69DF">
      <w:r w:rsidRPr="003B69DF">
        <w:t xml:space="preserve">With respect to hypersensitivity, the rate of TEAEs of hypersensitivity was lower in eplontersen-treated subjects (20.4%) compared to placebo-treated (26.7%), with the majority classified mild to moderate in severity, and no cases of anaphylaxis or angioedema recorded. The most common recorded hypersensitivity reactions were skin rash, erythema and </w:t>
      </w:r>
      <w:proofErr w:type="spellStart"/>
      <w:r w:rsidRPr="003B69DF">
        <w:t>pruritis</w:t>
      </w:r>
      <w:proofErr w:type="spellEnd"/>
      <w:r w:rsidRPr="003B69DF">
        <w:t xml:space="preserve">. </w:t>
      </w:r>
    </w:p>
    <w:p w14:paraId="424D416C" w14:textId="31BE284F" w:rsidR="003B69DF" w:rsidRPr="003B69DF" w:rsidRDefault="003B69DF" w:rsidP="003B69DF">
      <w:pPr>
        <w:pStyle w:val="Heading5"/>
      </w:pPr>
      <w:r w:rsidRPr="003B69DF">
        <w:lastRenderedPageBreak/>
        <w:t xml:space="preserve">Deaths and other serious adverse events </w:t>
      </w:r>
    </w:p>
    <w:p w14:paraId="28D3B19D" w14:textId="77777777" w:rsidR="003B69DF" w:rsidRPr="003B69DF" w:rsidRDefault="003B69DF" w:rsidP="003B69DF">
      <w:r w:rsidRPr="003B69DF">
        <w:t xml:space="preserve">A total of 7 deaths were reported in the eplontersen-treated set, with no deaths occurring in the external placebo group. Reported causes of death included arrhythmia, acute myocardial infarction, cardiac arrest, cardiogenic shock, cerebral haemorrhage, gastrointestinal haemorrhage, and sepsis, with no deaths determined related to study treatment by investigators. Brief case narratives were provided in the dossier. Underlying ATTR diagnosis, or ATTR related cardiomyopathy, was considered a contributing factor in most cases. </w:t>
      </w:r>
    </w:p>
    <w:p w14:paraId="5C51A4A8" w14:textId="4D5B3DBD" w:rsidR="003B69DF" w:rsidRPr="003B69DF" w:rsidRDefault="003B69DF" w:rsidP="003B69DF">
      <w:r w:rsidRPr="003B69DF">
        <w:t xml:space="preserve">Up to week 66 in study CS3 the incidence of </w:t>
      </w:r>
      <w:r w:rsidR="00734128" w:rsidRPr="00734128">
        <w:t xml:space="preserve">serious adverse events </w:t>
      </w:r>
      <w:r w:rsidR="00734128">
        <w:t>(</w:t>
      </w:r>
      <w:r w:rsidRPr="003B69DF">
        <w:t>SAEs</w:t>
      </w:r>
      <w:r w:rsidR="00734128">
        <w:t>)</w:t>
      </w:r>
      <w:r w:rsidRPr="003B69DF">
        <w:t xml:space="preserve"> was lower in eplontersen treated subjects (14.6%) compared to placebo (20%). SAEs reported in more than 1 subject treated with eplontersen included vomiting, nausea, UTI, COVID-19 pneumonia, and syncope. No SAEs were considered related to study treatment by investigators. In the pooled eplontersen-treated set the incidence of TEAEs was slightly higher, 20.4%, with SAEs occurring in more than 1 subject including vomiting, pneumonia, UTI and syncope, AV block complete, nausea, sepsis, COVID-19 pneumonia and dehydration, none of which were considered related to study treatment by investigators. The proportion of subjects with TEAEs leading to discontinuation of study drug was 6.6% in the eplontersen-treated set and 3.3% in the external placebo group. </w:t>
      </w:r>
    </w:p>
    <w:p w14:paraId="4326ABF4" w14:textId="77777777" w:rsidR="003B69DF" w:rsidRPr="003B69DF" w:rsidRDefault="003B69DF" w:rsidP="003B69DF">
      <w:pPr>
        <w:pStyle w:val="Heading5"/>
      </w:pPr>
      <w:r w:rsidRPr="003B69DF">
        <w:t>Laboratory results and vital signs</w:t>
      </w:r>
    </w:p>
    <w:p w14:paraId="3D9F9133" w14:textId="77777777" w:rsidR="003B69DF" w:rsidRPr="003B69DF" w:rsidRDefault="003B69DF" w:rsidP="003B69DF">
      <w:r w:rsidRPr="003B69DF">
        <w:t xml:space="preserve">With respect to liver function, 14 (8.4%) subjects were found to have TEAEs related to abnormal liver function during treatment with eplontersen. Most commonly this was increased ALT (3.0%) or gamma glutamyl transferase (3.0%). One subject was found to have ALT levels ≥ 8 × ULN, two participants had AST levels ≥ 5 × ULN and two participants had total bilirubin levels &gt; 2 × ULN. However, no cases met Hy’s law criteria. Only 1 TEAE of abnormal transaminases resulted in eplontersen discontinuation, which was considered as possibly related to eplontersen by investigators. </w:t>
      </w:r>
    </w:p>
    <w:p w14:paraId="2D921809" w14:textId="20443E6F" w:rsidR="003B69DF" w:rsidRPr="003B69DF" w:rsidRDefault="003B69DF" w:rsidP="003B69DF">
      <w:r w:rsidRPr="003B69DF">
        <w:t xml:space="preserve">With respect to renal function, there were higher recorded rates of ≥25% and ≥50% decrease from baseline eGFR in the eplontersen-treated set (22.8% and 1.2%, respectively) compared to those in the historical placebo control group (10% and 0, respectively). Increases in laboratory measures of proteinuria, including albumin-to-creatinine ratio and protein-to-creatinine ratio, occurred at similar rates across historical placebo group and eplontersen-treated set. Table </w:t>
      </w:r>
      <w:r w:rsidR="00E8386C">
        <w:t>9</w:t>
      </w:r>
      <w:r w:rsidRPr="003B69DF">
        <w:t xml:space="preserve"> summarises post-baseline renal function parameters across treatment groups. </w:t>
      </w:r>
    </w:p>
    <w:p w14:paraId="3036B9B7" w14:textId="77777777" w:rsidR="00DD4FF4" w:rsidRDefault="00DD4FF4">
      <w:pPr>
        <w:rPr>
          <w:b/>
          <w:bCs/>
        </w:rPr>
      </w:pPr>
      <w:r>
        <w:rPr>
          <w:b/>
          <w:bCs/>
        </w:rPr>
        <w:br w:type="page"/>
      </w:r>
    </w:p>
    <w:p w14:paraId="64C1082E" w14:textId="18989271" w:rsidR="003B69DF" w:rsidRDefault="003B69DF" w:rsidP="004B381D">
      <w:pPr>
        <w:pStyle w:val="TableTitle"/>
      </w:pPr>
      <w:r w:rsidRPr="003B69DF">
        <w:lastRenderedPageBreak/>
        <w:t xml:space="preserve">Table </w:t>
      </w:r>
      <w:r w:rsidR="00E8386C">
        <w:t>9</w:t>
      </w:r>
      <w:r w:rsidRPr="003B69DF">
        <w:t>. Post-baseline renal function parameters.</w:t>
      </w:r>
    </w:p>
    <w:tbl>
      <w:tblPr>
        <w:tblW w:w="9268" w:type="dxa"/>
        <w:tblBorders>
          <w:top w:val="single" w:sz="4" w:space="0" w:color="263287"/>
          <w:left w:val="single" w:sz="4" w:space="0" w:color="263287"/>
          <w:bottom w:val="single" w:sz="4" w:space="0" w:color="263287"/>
          <w:right w:val="single" w:sz="4" w:space="0" w:color="263287"/>
          <w:insideH w:val="single" w:sz="4" w:space="0" w:color="263287"/>
          <w:insideV w:val="single" w:sz="4" w:space="0" w:color="263287"/>
        </w:tblBorders>
        <w:tblCellMar>
          <w:top w:w="15" w:type="dxa"/>
          <w:left w:w="15" w:type="dxa"/>
          <w:bottom w:w="15" w:type="dxa"/>
          <w:right w:w="15" w:type="dxa"/>
        </w:tblCellMar>
        <w:tblLook w:val="04A0" w:firstRow="1" w:lastRow="0" w:firstColumn="1" w:lastColumn="0" w:noHBand="0" w:noVBand="1"/>
        <w:tblCaption w:val="Table 9. Post-baseline renal function parameters."/>
      </w:tblPr>
      <w:tblGrid>
        <w:gridCol w:w="2635"/>
        <w:gridCol w:w="1254"/>
        <w:gridCol w:w="1542"/>
        <w:gridCol w:w="1768"/>
        <w:gridCol w:w="2069"/>
      </w:tblGrid>
      <w:tr w:rsidR="003B69DF" w:rsidRPr="00BC2AD8" w14:paraId="13449D40" w14:textId="77777777" w:rsidTr="00734128">
        <w:trPr>
          <w:tblHeader/>
        </w:trPr>
        <w:tc>
          <w:tcPr>
            <w:tcW w:w="0" w:type="auto"/>
            <w:vMerge w:val="restart"/>
            <w:shd w:val="clear" w:color="auto" w:fill="DEEAF6"/>
            <w:vAlign w:val="center"/>
          </w:tcPr>
          <w:p w14:paraId="53089B2A" w14:textId="424078E1" w:rsidR="003B69DF" w:rsidRPr="00BC2AD8" w:rsidRDefault="003B69DF" w:rsidP="004B381D">
            <w:pPr>
              <w:ind w:left="113" w:right="113"/>
              <w:rPr>
                <w:b/>
                <w:bCs/>
              </w:rPr>
            </w:pPr>
          </w:p>
        </w:tc>
        <w:tc>
          <w:tcPr>
            <w:tcW w:w="4284" w:type="dxa"/>
            <w:gridSpan w:val="3"/>
            <w:shd w:val="clear" w:color="auto" w:fill="DEEAF6"/>
            <w:vAlign w:val="center"/>
          </w:tcPr>
          <w:p w14:paraId="13351351" w14:textId="346BA636" w:rsidR="003B69DF" w:rsidRPr="00A91438" w:rsidRDefault="003B69DF" w:rsidP="004B381D">
            <w:pPr>
              <w:ind w:left="113" w:right="113"/>
              <w:rPr>
                <w:b/>
                <w:bCs/>
                <w:color w:val="263287"/>
              </w:rPr>
            </w:pPr>
            <w:r w:rsidRPr="00A91438">
              <w:rPr>
                <w:b/>
                <w:bCs/>
                <w:color w:val="263287"/>
              </w:rPr>
              <w:t>Up to Week 66ᵃ</w:t>
            </w:r>
          </w:p>
        </w:tc>
        <w:tc>
          <w:tcPr>
            <w:tcW w:w="0" w:type="auto"/>
            <w:shd w:val="clear" w:color="auto" w:fill="DEEAF6"/>
            <w:vAlign w:val="center"/>
          </w:tcPr>
          <w:p w14:paraId="7632BB33" w14:textId="76F42D56" w:rsidR="003B69DF" w:rsidRPr="00A91438" w:rsidRDefault="003B69DF" w:rsidP="004B381D">
            <w:pPr>
              <w:ind w:left="113" w:right="113"/>
              <w:rPr>
                <w:b/>
                <w:bCs/>
                <w:color w:val="263287"/>
              </w:rPr>
            </w:pPr>
            <w:r w:rsidRPr="00A91438">
              <w:rPr>
                <w:b/>
                <w:bCs/>
                <w:color w:val="263287"/>
              </w:rPr>
              <w:t>On studyᵇ</w:t>
            </w:r>
          </w:p>
        </w:tc>
      </w:tr>
      <w:tr w:rsidR="003B69DF" w:rsidRPr="00BC2AD8" w14:paraId="571EFDAF" w14:textId="77777777" w:rsidTr="00734128">
        <w:trPr>
          <w:tblHeader/>
        </w:trPr>
        <w:tc>
          <w:tcPr>
            <w:tcW w:w="0" w:type="auto"/>
            <w:vMerge/>
            <w:shd w:val="clear" w:color="auto" w:fill="DEEAF6"/>
            <w:vAlign w:val="center"/>
          </w:tcPr>
          <w:p w14:paraId="549154F7" w14:textId="39A548C9" w:rsidR="003B69DF" w:rsidRPr="00BC2AD8" w:rsidRDefault="003B69DF" w:rsidP="004B381D">
            <w:pPr>
              <w:ind w:left="113" w:right="113"/>
              <w:rPr>
                <w:b/>
                <w:bCs/>
              </w:rPr>
            </w:pPr>
          </w:p>
        </w:tc>
        <w:tc>
          <w:tcPr>
            <w:tcW w:w="0" w:type="auto"/>
            <w:gridSpan w:val="2"/>
            <w:shd w:val="clear" w:color="auto" w:fill="DEEAF6"/>
            <w:vAlign w:val="center"/>
          </w:tcPr>
          <w:p w14:paraId="3F2A3B5A" w14:textId="20D4344B" w:rsidR="003B69DF" w:rsidRPr="00A91438" w:rsidRDefault="003B69DF" w:rsidP="004B381D">
            <w:pPr>
              <w:ind w:left="113" w:right="113"/>
              <w:rPr>
                <w:b/>
                <w:bCs/>
                <w:color w:val="263287"/>
              </w:rPr>
            </w:pPr>
            <w:r w:rsidRPr="00A91438">
              <w:rPr>
                <w:b/>
                <w:bCs/>
                <w:color w:val="263287"/>
              </w:rPr>
              <w:t xml:space="preserve">ISS 420915-CS2 </w:t>
            </w:r>
          </w:p>
        </w:tc>
        <w:tc>
          <w:tcPr>
            <w:tcW w:w="1768" w:type="dxa"/>
            <w:shd w:val="clear" w:color="auto" w:fill="DEEAF6"/>
            <w:vAlign w:val="center"/>
          </w:tcPr>
          <w:p w14:paraId="5233B859" w14:textId="18A6D63D" w:rsidR="003B69DF" w:rsidRPr="00A91438" w:rsidRDefault="003B69DF" w:rsidP="004B381D">
            <w:pPr>
              <w:ind w:left="113" w:right="113"/>
              <w:rPr>
                <w:b/>
                <w:bCs/>
                <w:color w:val="263287"/>
              </w:rPr>
            </w:pPr>
            <w:r w:rsidRPr="00A91438">
              <w:rPr>
                <w:b/>
                <w:bCs/>
                <w:color w:val="263287"/>
              </w:rPr>
              <w:t>ION-682884-CS3</w:t>
            </w:r>
          </w:p>
        </w:tc>
        <w:tc>
          <w:tcPr>
            <w:tcW w:w="0" w:type="auto"/>
            <w:vMerge w:val="restart"/>
            <w:shd w:val="clear" w:color="auto" w:fill="DEEAF6"/>
            <w:vAlign w:val="center"/>
          </w:tcPr>
          <w:p w14:paraId="25340134" w14:textId="3B47C5F8" w:rsidR="003B69DF" w:rsidRPr="00A91438" w:rsidRDefault="003B69DF" w:rsidP="004B381D">
            <w:pPr>
              <w:ind w:left="113" w:right="113"/>
              <w:rPr>
                <w:b/>
                <w:bCs/>
                <w:color w:val="263287"/>
              </w:rPr>
            </w:pPr>
            <w:r w:rsidRPr="00A91438">
              <w:rPr>
                <w:b/>
                <w:bCs/>
                <w:color w:val="263287"/>
              </w:rPr>
              <w:t>Eplontersen Treated Setᵈ (N=167)</w:t>
            </w:r>
          </w:p>
        </w:tc>
      </w:tr>
      <w:tr w:rsidR="003B69DF" w:rsidRPr="00BC2AD8" w14:paraId="29B039C6" w14:textId="77777777" w:rsidTr="00734128">
        <w:trPr>
          <w:tblHeader/>
        </w:trPr>
        <w:tc>
          <w:tcPr>
            <w:tcW w:w="0" w:type="auto"/>
            <w:vMerge/>
            <w:shd w:val="clear" w:color="auto" w:fill="F5F5F5"/>
            <w:vAlign w:val="center"/>
            <w:hideMark/>
          </w:tcPr>
          <w:p w14:paraId="46259025" w14:textId="14CC1F3C" w:rsidR="003B69DF" w:rsidRPr="00BC2AD8" w:rsidRDefault="003B69DF" w:rsidP="004B381D">
            <w:pPr>
              <w:ind w:left="113" w:right="113"/>
              <w:rPr>
                <w:b/>
                <w:bCs/>
              </w:rPr>
            </w:pPr>
          </w:p>
        </w:tc>
        <w:tc>
          <w:tcPr>
            <w:tcW w:w="0" w:type="auto"/>
            <w:shd w:val="clear" w:color="auto" w:fill="DEEAF6"/>
            <w:vAlign w:val="center"/>
            <w:hideMark/>
          </w:tcPr>
          <w:p w14:paraId="2A17AB64" w14:textId="4DA20EC8" w:rsidR="003B69DF" w:rsidRPr="00A91438" w:rsidRDefault="003B69DF" w:rsidP="004B381D">
            <w:pPr>
              <w:ind w:left="113" w:right="113"/>
              <w:rPr>
                <w:b/>
                <w:bCs/>
                <w:color w:val="263287"/>
              </w:rPr>
            </w:pPr>
            <w:r w:rsidRPr="00A91438">
              <w:rPr>
                <w:b/>
                <w:bCs/>
                <w:color w:val="263287"/>
              </w:rPr>
              <w:t>Placebo (N=60)</w:t>
            </w:r>
          </w:p>
        </w:tc>
        <w:tc>
          <w:tcPr>
            <w:tcW w:w="0" w:type="auto"/>
            <w:shd w:val="clear" w:color="auto" w:fill="DEEAF6"/>
            <w:vAlign w:val="center"/>
            <w:hideMark/>
          </w:tcPr>
          <w:p w14:paraId="6916EDE6" w14:textId="5E33CFE7" w:rsidR="003B69DF" w:rsidRPr="00A91438" w:rsidRDefault="003B69DF" w:rsidP="004B381D">
            <w:pPr>
              <w:ind w:left="113" w:right="113"/>
              <w:rPr>
                <w:b/>
                <w:bCs/>
                <w:color w:val="263287"/>
              </w:rPr>
            </w:pPr>
            <w:proofErr w:type="spellStart"/>
            <w:r w:rsidRPr="00A91438">
              <w:rPr>
                <w:b/>
                <w:bCs/>
                <w:color w:val="263287"/>
              </w:rPr>
              <w:t>Inotersen</w:t>
            </w:r>
            <w:proofErr w:type="spellEnd"/>
            <w:r w:rsidRPr="00A91438">
              <w:rPr>
                <w:b/>
                <w:bCs/>
                <w:color w:val="263287"/>
              </w:rPr>
              <w:t xml:space="preserve"> </w:t>
            </w:r>
            <w:r w:rsidR="00A91438" w:rsidRPr="00A91438">
              <w:rPr>
                <w:b/>
                <w:bCs/>
                <w:color w:val="263287"/>
              </w:rPr>
              <w:br/>
            </w:r>
            <w:r w:rsidRPr="00A91438">
              <w:rPr>
                <w:b/>
                <w:bCs/>
                <w:color w:val="263287"/>
              </w:rPr>
              <w:t>300 mg q1w (N=112)</w:t>
            </w:r>
          </w:p>
        </w:tc>
        <w:tc>
          <w:tcPr>
            <w:tcW w:w="1768" w:type="dxa"/>
            <w:shd w:val="clear" w:color="auto" w:fill="DEEAF6"/>
            <w:vAlign w:val="center"/>
            <w:hideMark/>
          </w:tcPr>
          <w:p w14:paraId="2FB170D7" w14:textId="1D6679B4" w:rsidR="003B69DF" w:rsidRPr="00A91438" w:rsidRDefault="003B69DF" w:rsidP="004B381D">
            <w:pPr>
              <w:ind w:left="113" w:right="113"/>
              <w:rPr>
                <w:b/>
                <w:bCs/>
                <w:color w:val="263287"/>
              </w:rPr>
            </w:pPr>
            <w:r w:rsidRPr="00A91438">
              <w:rPr>
                <w:b/>
                <w:bCs/>
                <w:color w:val="263287"/>
              </w:rPr>
              <w:t xml:space="preserve">Eplontersen </w:t>
            </w:r>
            <w:r w:rsidR="00A91438" w:rsidRPr="00A91438">
              <w:rPr>
                <w:b/>
                <w:bCs/>
                <w:color w:val="263287"/>
              </w:rPr>
              <w:br/>
            </w:r>
            <w:r w:rsidRPr="00A91438">
              <w:rPr>
                <w:b/>
                <w:bCs/>
                <w:color w:val="263287"/>
              </w:rPr>
              <w:t>45 mg q4wᶜ (N=144)</w:t>
            </w:r>
          </w:p>
        </w:tc>
        <w:tc>
          <w:tcPr>
            <w:tcW w:w="0" w:type="auto"/>
            <w:vMerge/>
            <w:shd w:val="clear" w:color="auto" w:fill="F5F5F5"/>
            <w:vAlign w:val="center"/>
            <w:hideMark/>
          </w:tcPr>
          <w:p w14:paraId="4542AB3E" w14:textId="64076CE4" w:rsidR="003B69DF" w:rsidRPr="00A91438" w:rsidRDefault="003B69DF" w:rsidP="004B381D">
            <w:pPr>
              <w:ind w:left="113" w:right="113"/>
              <w:rPr>
                <w:b/>
                <w:bCs/>
                <w:color w:val="263287"/>
              </w:rPr>
            </w:pPr>
          </w:p>
        </w:tc>
      </w:tr>
      <w:tr w:rsidR="003B69DF" w:rsidRPr="00BC2AD8" w14:paraId="05B61890" w14:textId="77777777" w:rsidTr="00734128">
        <w:tc>
          <w:tcPr>
            <w:tcW w:w="0" w:type="auto"/>
            <w:vAlign w:val="center"/>
            <w:hideMark/>
          </w:tcPr>
          <w:p w14:paraId="68A52902" w14:textId="77777777" w:rsidR="003B69DF" w:rsidRPr="00BC2AD8" w:rsidRDefault="003B69DF" w:rsidP="004B381D">
            <w:pPr>
              <w:ind w:left="113" w:right="113"/>
            </w:pPr>
            <w:r w:rsidRPr="00BC2AD8">
              <w:t>eGFR by CKD-EPI ≥25% decrease from baseline</w:t>
            </w:r>
          </w:p>
        </w:tc>
        <w:tc>
          <w:tcPr>
            <w:tcW w:w="0" w:type="auto"/>
            <w:vAlign w:val="center"/>
            <w:hideMark/>
          </w:tcPr>
          <w:p w14:paraId="232327E4" w14:textId="77777777" w:rsidR="003B69DF" w:rsidRPr="00BC2AD8" w:rsidRDefault="003B69DF" w:rsidP="004B381D">
            <w:pPr>
              <w:ind w:left="113" w:right="113"/>
            </w:pPr>
            <w:r w:rsidRPr="00BC2AD8">
              <w:t>6 (10.0)</w:t>
            </w:r>
          </w:p>
        </w:tc>
        <w:tc>
          <w:tcPr>
            <w:tcW w:w="0" w:type="auto"/>
            <w:vAlign w:val="center"/>
            <w:hideMark/>
          </w:tcPr>
          <w:p w14:paraId="16BE1A77" w14:textId="77777777" w:rsidR="003B69DF" w:rsidRPr="00BC2AD8" w:rsidRDefault="003B69DF" w:rsidP="004B381D">
            <w:pPr>
              <w:ind w:left="113" w:right="113"/>
            </w:pPr>
            <w:r w:rsidRPr="00BC2AD8">
              <w:t>30 (26.8)</w:t>
            </w:r>
          </w:p>
        </w:tc>
        <w:tc>
          <w:tcPr>
            <w:tcW w:w="1768" w:type="dxa"/>
            <w:vAlign w:val="center"/>
            <w:hideMark/>
          </w:tcPr>
          <w:p w14:paraId="160A0965" w14:textId="77777777" w:rsidR="003B69DF" w:rsidRPr="00BC2AD8" w:rsidRDefault="003B69DF" w:rsidP="004B381D">
            <w:pPr>
              <w:ind w:left="113" w:right="113"/>
            </w:pPr>
            <w:r w:rsidRPr="00BC2AD8">
              <w:t>27 (18.8)</w:t>
            </w:r>
          </w:p>
        </w:tc>
        <w:tc>
          <w:tcPr>
            <w:tcW w:w="0" w:type="auto"/>
            <w:vAlign w:val="center"/>
            <w:hideMark/>
          </w:tcPr>
          <w:p w14:paraId="1A172A15" w14:textId="77777777" w:rsidR="003B69DF" w:rsidRPr="00BC2AD8" w:rsidRDefault="003B69DF" w:rsidP="004B381D">
            <w:pPr>
              <w:ind w:left="113" w:right="113"/>
            </w:pPr>
            <w:r w:rsidRPr="00BC2AD8">
              <w:t>38 (22.8)</w:t>
            </w:r>
          </w:p>
        </w:tc>
      </w:tr>
      <w:tr w:rsidR="003B69DF" w:rsidRPr="00BC2AD8" w14:paraId="70E718A1" w14:textId="77777777" w:rsidTr="00734128">
        <w:tc>
          <w:tcPr>
            <w:tcW w:w="0" w:type="auto"/>
            <w:vAlign w:val="center"/>
            <w:hideMark/>
          </w:tcPr>
          <w:p w14:paraId="35D8F0E1" w14:textId="77777777" w:rsidR="003B69DF" w:rsidRPr="00BC2AD8" w:rsidRDefault="003B69DF" w:rsidP="004B381D">
            <w:pPr>
              <w:ind w:left="113" w:right="113"/>
            </w:pPr>
            <w:r w:rsidRPr="00BC2AD8">
              <w:t>eGFR by CKD-EPI ≥50% decrease from baseline</w:t>
            </w:r>
          </w:p>
        </w:tc>
        <w:tc>
          <w:tcPr>
            <w:tcW w:w="0" w:type="auto"/>
            <w:vAlign w:val="center"/>
            <w:hideMark/>
          </w:tcPr>
          <w:p w14:paraId="5E9DB3CA" w14:textId="77777777" w:rsidR="003B69DF" w:rsidRPr="00BC2AD8" w:rsidRDefault="003B69DF" w:rsidP="004B381D">
            <w:pPr>
              <w:ind w:left="113" w:right="113"/>
            </w:pPr>
            <w:r w:rsidRPr="00BC2AD8">
              <w:t>0</w:t>
            </w:r>
          </w:p>
        </w:tc>
        <w:tc>
          <w:tcPr>
            <w:tcW w:w="0" w:type="auto"/>
            <w:vAlign w:val="center"/>
            <w:hideMark/>
          </w:tcPr>
          <w:p w14:paraId="6307343B" w14:textId="77777777" w:rsidR="003B69DF" w:rsidRPr="00BC2AD8" w:rsidRDefault="003B69DF" w:rsidP="004B381D">
            <w:pPr>
              <w:ind w:left="113" w:right="113"/>
            </w:pPr>
            <w:r w:rsidRPr="00BC2AD8">
              <w:t>8 (7.1)</w:t>
            </w:r>
          </w:p>
        </w:tc>
        <w:tc>
          <w:tcPr>
            <w:tcW w:w="1768" w:type="dxa"/>
            <w:vAlign w:val="center"/>
            <w:hideMark/>
          </w:tcPr>
          <w:p w14:paraId="266BB232" w14:textId="77777777" w:rsidR="003B69DF" w:rsidRPr="00BC2AD8" w:rsidRDefault="003B69DF" w:rsidP="004B381D">
            <w:pPr>
              <w:ind w:left="113" w:right="113"/>
            </w:pPr>
            <w:r w:rsidRPr="00BC2AD8">
              <w:t>2 (1.4)</w:t>
            </w:r>
          </w:p>
        </w:tc>
        <w:tc>
          <w:tcPr>
            <w:tcW w:w="0" w:type="auto"/>
            <w:vAlign w:val="center"/>
            <w:hideMark/>
          </w:tcPr>
          <w:p w14:paraId="0C9FFE2F" w14:textId="77777777" w:rsidR="003B69DF" w:rsidRPr="00BC2AD8" w:rsidRDefault="003B69DF" w:rsidP="004B381D">
            <w:pPr>
              <w:ind w:left="113" w:right="113"/>
            </w:pPr>
            <w:r w:rsidRPr="00BC2AD8">
              <w:t>2 (1.2)</w:t>
            </w:r>
          </w:p>
        </w:tc>
      </w:tr>
      <w:tr w:rsidR="003B69DF" w:rsidRPr="00BC2AD8" w14:paraId="099D325B" w14:textId="77777777" w:rsidTr="00734128">
        <w:tc>
          <w:tcPr>
            <w:tcW w:w="0" w:type="auto"/>
            <w:vAlign w:val="center"/>
            <w:hideMark/>
          </w:tcPr>
          <w:p w14:paraId="6CA8C43C" w14:textId="776C2B07" w:rsidR="003B69DF" w:rsidRPr="00BC2AD8" w:rsidRDefault="00A9412F" w:rsidP="004B381D">
            <w:pPr>
              <w:ind w:left="113" w:right="113"/>
            </w:pPr>
            <w:r w:rsidRPr="00A9412F">
              <w:t>urine albumin-creatinine ratio</w:t>
            </w:r>
            <w:r w:rsidR="003B69DF" w:rsidRPr="00BC2AD8">
              <w:t xml:space="preserve"> &gt;5 × ULN</w:t>
            </w:r>
          </w:p>
        </w:tc>
        <w:tc>
          <w:tcPr>
            <w:tcW w:w="0" w:type="auto"/>
            <w:vAlign w:val="center"/>
            <w:hideMark/>
          </w:tcPr>
          <w:p w14:paraId="217D136E" w14:textId="77777777" w:rsidR="003B69DF" w:rsidRPr="00BC2AD8" w:rsidRDefault="003B69DF" w:rsidP="004B381D">
            <w:pPr>
              <w:ind w:left="113" w:right="113"/>
            </w:pPr>
            <w:r w:rsidRPr="00BC2AD8">
              <w:t>14 (23.3)</w:t>
            </w:r>
          </w:p>
        </w:tc>
        <w:tc>
          <w:tcPr>
            <w:tcW w:w="0" w:type="auto"/>
            <w:vAlign w:val="center"/>
            <w:hideMark/>
          </w:tcPr>
          <w:p w14:paraId="565F3083" w14:textId="77777777" w:rsidR="003B69DF" w:rsidRPr="00BC2AD8" w:rsidRDefault="003B69DF" w:rsidP="004B381D">
            <w:pPr>
              <w:ind w:left="113" w:right="113"/>
            </w:pPr>
            <w:r w:rsidRPr="00BC2AD8">
              <w:t>32 (28.6)</w:t>
            </w:r>
          </w:p>
        </w:tc>
        <w:tc>
          <w:tcPr>
            <w:tcW w:w="1768" w:type="dxa"/>
            <w:vAlign w:val="center"/>
            <w:hideMark/>
          </w:tcPr>
          <w:p w14:paraId="1CD4EB5B" w14:textId="77777777" w:rsidR="003B69DF" w:rsidRPr="00BC2AD8" w:rsidRDefault="003B69DF" w:rsidP="004B381D">
            <w:pPr>
              <w:ind w:left="113" w:right="113"/>
            </w:pPr>
            <w:r w:rsidRPr="00BC2AD8">
              <w:t>25 (17.4)</w:t>
            </w:r>
          </w:p>
        </w:tc>
        <w:tc>
          <w:tcPr>
            <w:tcW w:w="0" w:type="auto"/>
            <w:vAlign w:val="center"/>
            <w:hideMark/>
          </w:tcPr>
          <w:p w14:paraId="2F55CCC3" w14:textId="77777777" w:rsidR="003B69DF" w:rsidRPr="00BC2AD8" w:rsidRDefault="003B69DF" w:rsidP="004B381D">
            <w:pPr>
              <w:ind w:left="113" w:right="113"/>
            </w:pPr>
            <w:r w:rsidRPr="00BC2AD8">
              <w:t>33 (19.8)</w:t>
            </w:r>
          </w:p>
        </w:tc>
      </w:tr>
      <w:tr w:rsidR="003B69DF" w:rsidRPr="00BC2AD8" w14:paraId="50115F49" w14:textId="77777777" w:rsidTr="00734128">
        <w:tc>
          <w:tcPr>
            <w:tcW w:w="0" w:type="auto"/>
            <w:vAlign w:val="center"/>
            <w:hideMark/>
          </w:tcPr>
          <w:p w14:paraId="6EA1748B" w14:textId="05DE9EAB" w:rsidR="003B69DF" w:rsidRPr="00BC2AD8" w:rsidRDefault="00A9412F" w:rsidP="004B381D">
            <w:pPr>
              <w:ind w:left="113" w:right="113"/>
            </w:pPr>
            <w:r w:rsidRPr="00A9412F">
              <w:t>Urine Protein-to-Creatinine Ratio</w:t>
            </w:r>
            <w:r w:rsidR="003B69DF" w:rsidRPr="00BC2AD8">
              <w:t xml:space="preserve"> &gt;5 × ULN</w:t>
            </w:r>
          </w:p>
        </w:tc>
        <w:tc>
          <w:tcPr>
            <w:tcW w:w="0" w:type="auto"/>
            <w:vAlign w:val="center"/>
            <w:hideMark/>
          </w:tcPr>
          <w:p w14:paraId="4300EE22" w14:textId="77777777" w:rsidR="003B69DF" w:rsidRPr="00BC2AD8" w:rsidRDefault="003B69DF" w:rsidP="004B381D">
            <w:pPr>
              <w:ind w:left="113" w:right="113"/>
            </w:pPr>
            <w:r w:rsidRPr="00BC2AD8">
              <w:t>5 (8.3)</w:t>
            </w:r>
          </w:p>
        </w:tc>
        <w:tc>
          <w:tcPr>
            <w:tcW w:w="0" w:type="auto"/>
            <w:vAlign w:val="center"/>
            <w:hideMark/>
          </w:tcPr>
          <w:p w14:paraId="15BC6F16" w14:textId="77777777" w:rsidR="003B69DF" w:rsidRPr="00BC2AD8" w:rsidRDefault="003B69DF" w:rsidP="004B381D">
            <w:pPr>
              <w:ind w:left="113" w:right="113"/>
            </w:pPr>
            <w:r w:rsidRPr="00BC2AD8">
              <w:t>17 (15.2)</w:t>
            </w:r>
          </w:p>
        </w:tc>
        <w:tc>
          <w:tcPr>
            <w:tcW w:w="1768" w:type="dxa"/>
            <w:vAlign w:val="center"/>
            <w:hideMark/>
          </w:tcPr>
          <w:p w14:paraId="78FE6592" w14:textId="77777777" w:rsidR="003B69DF" w:rsidRPr="00BC2AD8" w:rsidRDefault="003B69DF" w:rsidP="004B381D">
            <w:pPr>
              <w:ind w:left="113" w:right="113"/>
            </w:pPr>
            <w:r w:rsidRPr="00BC2AD8">
              <w:t>10 (6.9)</w:t>
            </w:r>
          </w:p>
        </w:tc>
        <w:tc>
          <w:tcPr>
            <w:tcW w:w="0" w:type="auto"/>
            <w:vAlign w:val="center"/>
            <w:hideMark/>
          </w:tcPr>
          <w:p w14:paraId="528B9649" w14:textId="77777777" w:rsidR="003B69DF" w:rsidRPr="00BC2AD8" w:rsidRDefault="003B69DF" w:rsidP="004B381D">
            <w:pPr>
              <w:ind w:left="113" w:right="113"/>
            </w:pPr>
            <w:r w:rsidRPr="00BC2AD8">
              <w:t>14 (8.4)</w:t>
            </w:r>
          </w:p>
        </w:tc>
      </w:tr>
      <w:tr w:rsidR="003B69DF" w:rsidRPr="00BC2AD8" w14:paraId="0EE7887F" w14:textId="77777777" w:rsidTr="00734128">
        <w:tc>
          <w:tcPr>
            <w:tcW w:w="0" w:type="auto"/>
            <w:vAlign w:val="center"/>
            <w:hideMark/>
          </w:tcPr>
          <w:p w14:paraId="45815B85" w14:textId="77777777" w:rsidR="003B69DF" w:rsidRPr="00BC2AD8" w:rsidRDefault="003B69DF" w:rsidP="004B381D">
            <w:pPr>
              <w:ind w:left="113" w:right="113"/>
            </w:pPr>
            <w:r w:rsidRPr="00BC2AD8">
              <w:t>Serum creatinine increase &gt;44.2 µmol/L (0.5 mg/dL) from baseline</w:t>
            </w:r>
          </w:p>
        </w:tc>
        <w:tc>
          <w:tcPr>
            <w:tcW w:w="0" w:type="auto"/>
            <w:vAlign w:val="center"/>
            <w:hideMark/>
          </w:tcPr>
          <w:p w14:paraId="0EA0DBA8" w14:textId="77777777" w:rsidR="003B69DF" w:rsidRPr="00BC2AD8" w:rsidRDefault="003B69DF" w:rsidP="004B381D">
            <w:pPr>
              <w:ind w:left="113" w:right="113"/>
            </w:pPr>
            <w:r w:rsidRPr="00BC2AD8">
              <w:t>1 (1.7)</w:t>
            </w:r>
          </w:p>
        </w:tc>
        <w:tc>
          <w:tcPr>
            <w:tcW w:w="0" w:type="auto"/>
            <w:vAlign w:val="center"/>
            <w:hideMark/>
          </w:tcPr>
          <w:p w14:paraId="4C176371" w14:textId="77777777" w:rsidR="003B69DF" w:rsidRPr="00BC2AD8" w:rsidRDefault="003B69DF" w:rsidP="004B381D">
            <w:pPr>
              <w:ind w:left="113" w:right="113"/>
            </w:pPr>
            <w:r w:rsidRPr="00BC2AD8">
              <w:t>12 (10.7)</w:t>
            </w:r>
          </w:p>
        </w:tc>
        <w:tc>
          <w:tcPr>
            <w:tcW w:w="1768" w:type="dxa"/>
            <w:vAlign w:val="center"/>
            <w:hideMark/>
          </w:tcPr>
          <w:p w14:paraId="384ED4B8" w14:textId="77777777" w:rsidR="003B69DF" w:rsidRPr="00BC2AD8" w:rsidRDefault="003B69DF" w:rsidP="004B381D">
            <w:pPr>
              <w:ind w:left="113" w:right="113"/>
            </w:pPr>
            <w:r w:rsidRPr="00BC2AD8">
              <w:t>3 (2.1)</w:t>
            </w:r>
          </w:p>
        </w:tc>
        <w:tc>
          <w:tcPr>
            <w:tcW w:w="0" w:type="auto"/>
            <w:vAlign w:val="center"/>
            <w:hideMark/>
          </w:tcPr>
          <w:p w14:paraId="43437B8C" w14:textId="77777777" w:rsidR="003B69DF" w:rsidRPr="00BC2AD8" w:rsidRDefault="003B69DF" w:rsidP="004B381D">
            <w:pPr>
              <w:ind w:left="113" w:right="113"/>
            </w:pPr>
            <w:r w:rsidRPr="00BC2AD8">
              <w:t>5 (3.0)</w:t>
            </w:r>
          </w:p>
        </w:tc>
      </w:tr>
      <w:tr w:rsidR="00A91438" w:rsidRPr="00BC2AD8" w14:paraId="109F5E9D" w14:textId="77777777" w:rsidTr="00734128">
        <w:tc>
          <w:tcPr>
            <w:tcW w:w="9268" w:type="dxa"/>
            <w:gridSpan w:val="5"/>
            <w:vAlign w:val="center"/>
            <w:hideMark/>
          </w:tcPr>
          <w:p w14:paraId="3EA30FBB" w14:textId="49C0EB9B" w:rsidR="00A91438" w:rsidRPr="00A91438" w:rsidRDefault="00A9412F" w:rsidP="004B381D">
            <w:pPr>
              <w:ind w:left="113" w:right="113"/>
            </w:pPr>
            <w:r w:rsidRPr="00A9412F">
              <w:t>Urine Protein-to-Creatinine Ratio</w:t>
            </w:r>
            <w:r w:rsidR="00A91438" w:rsidRPr="00A91438">
              <w:t>, n (%)</w:t>
            </w:r>
          </w:p>
        </w:tc>
      </w:tr>
      <w:tr w:rsidR="003B69DF" w:rsidRPr="00BC2AD8" w14:paraId="7E4F95FB" w14:textId="77777777" w:rsidTr="00734128">
        <w:tc>
          <w:tcPr>
            <w:tcW w:w="0" w:type="auto"/>
            <w:vAlign w:val="center"/>
            <w:hideMark/>
          </w:tcPr>
          <w:p w14:paraId="4CFD732B" w14:textId="77777777" w:rsidR="003B69DF" w:rsidRPr="00BC2AD8" w:rsidRDefault="003B69DF" w:rsidP="004B381D">
            <w:pPr>
              <w:ind w:left="113" w:right="113"/>
            </w:pPr>
            <w:r w:rsidRPr="00BC2AD8">
              <w:t>  &gt;3 × baseline and &gt;1000 mg/g</w:t>
            </w:r>
          </w:p>
        </w:tc>
        <w:tc>
          <w:tcPr>
            <w:tcW w:w="0" w:type="auto"/>
            <w:vAlign w:val="center"/>
            <w:hideMark/>
          </w:tcPr>
          <w:p w14:paraId="32381310" w14:textId="77777777" w:rsidR="003B69DF" w:rsidRPr="00BC2AD8" w:rsidRDefault="003B69DF" w:rsidP="004B381D">
            <w:pPr>
              <w:ind w:left="113" w:right="113"/>
            </w:pPr>
            <w:r w:rsidRPr="00BC2AD8">
              <w:t>5 (8.3)</w:t>
            </w:r>
          </w:p>
        </w:tc>
        <w:tc>
          <w:tcPr>
            <w:tcW w:w="0" w:type="auto"/>
            <w:vAlign w:val="center"/>
            <w:hideMark/>
          </w:tcPr>
          <w:p w14:paraId="2C400982" w14:textId="77777777" w:rsidR="003B69DF" w:rsidRPr="00BC2AD8" w:rsidRDefault="003B69DF" w:rsidP="004B381D">
            <w:pPr>
              <w:ind w:left="113" w:right="113"/>
            </w:pPr>
            <w:r w:rsidRPr="00BC2AD8">
              <w:t>13 (11.6)</w:t>
            </w:r>
          </w:p>
        </w:tc>
        <w:tc>
          <w:tcPr>
            <w:tcW w:w="1768" w:type="dxa"/>
            <w:vAlign w:val="center"/>
            <w:hideMark/>
          </w:tcPr>
          <w:p w14:paraId="2FB978A6" w14:textId="77777777" w:rsidR="003B69DF" w:rsidRPr="00BC2AD8" w:rsidRDefault="003B69DF" w:rsidP="004B381D">
            <w:pPr>
              <w:ind w:left="113" w:right="113"/>
            </w:pPr>
            <w:r w:rsidRPr="00BC2AD8">
              <w:t>9 (6.3)</w:t>
            </w:r>
          </w:p>
        </w:tc>
        <w:tc>
          <w:tcPr>
            <w:tcW w:w="0" w:type="auto"/>
            <w:vAlign w:val="center"/>
            <w:hideMark/>
          </w:tcPr>
          <w:p w14:paraId="79564986" w14:textId="77777777" w:rsidR="003B69DF" w:rsidRPr="00BC2AD8" w:rsidRDefault="003B69DF" w:rsidP="004B381D">
            <w:pPr>
              <w:ind w:left="113" w:right="113"/>
            </w:pPr>
            <w:r w:rsidRPr="00BC2AD8">
              <w:t>12 (7.2)</w:t>
            </w:r>
          </w:p>
        </w:tc>
      </w:tr>
      <w:tr w:rsidR="003B69DF" w:rsidRPr="00BC2AD8" w14:paraId="07DAC190" w14:textId="77777777" w:rsidTr="00734128">
        <w:tc>
          <w:tcPr>
            <w:tcW w:w="0" w:type="auto"/>
            <w:vAlign w:val="center"/>
            <w:hideMark/>
          </w:tcPr>
          <w:p w14:paraId="4E39CB93" w14:textId="77777777" w:rsidR="003B69DF" w:rsidRPr="00BC2AD8" w:rsidRDefault="003B69DF" w:rsidP="004B381D">
            <w:pPr>
              <w:ind w:left="113" w:right="113"/>
            </w:pPr>
            <w:r w:rsidRPr="00BC2AD8">
              <w:t>  &gt;5 × baseline and &gt;1500 mg/g or absolute value ≥2000 mg/g</w:t>
            </w:r>
          </w:p>
        </w:tc>
        <w:tc>
          <w:tcPr>
            <w:tcW w:w="0" w:type="auto"/>
            <w:vAlign w:val="center"/>
            <w:hideMark/>
          </w:tcPr>
          <w:p w14:paraId="1A4396F4" w14:textId="77777777" w:rsidR="003B69DF" w:rsidRPr="00BC2AD8" w:rsidRDefault="003B69DF" w:rsidP="004B381D">
            <w:pPr>
              <w:ind w:left="113" w:right="113"/>
            </w:pPr>
            <w:r w:rsidRPr="00BC2AD8">
              <w:t>2 (3.3)</w:t>
            </w:r>
          </w:p>
        </w:tc>
        <w:tc>
          <w:tcPr>
            <w:tcW w:w="0" w:type="auto"/>
            <w:vAlign w:val="center"/>
            <w:hideMark/>
          </w:tcPr>
          <w:p w14:paraId="2E02CC3C" w14:textId="77777777" w:rsidR="003B69DF" w:rsidRPr="00BC2AD8" w:rsidRDefault="003B69DF" w:rsidP="004B381D">
            <w:pPr>
              <w:ind w:left="113" w:right="113"/>
            </w:pPr>
            <w:r w:rsidRPr="00BC2AD8">
              <w:t>11 (9.8)</w:t>
            </w:r>
          </w:p>
        </w:tc>
        <w:tc>
          <w:tcPr>
            <w:tcW w:w="1768" w:type="dxa"/>
            <w:vAlign w:val="center"/>
            <w:hideMark/>
          </w:tcPr>
          <w:p w14:paraId="3C61D91D" w14:textId="77777777" w:rsidR="003B69DF" w:rsidRPr="00BC2AD8" w:rsidRDefault="003B69DF" w:rsidP="004B381D">
            <w:pPr>
              <w:ind w:left="113" w:right="113"/>
            </w:pPr>
            <w:r w:rsidRPr="00BC2AD8">
              <w:t>5 (3.5)</w:t>
            </w:r>
          </w:p>
        </w:tc>
        <w:tc>
          <w:tcPr>
            <w:tcW w:w="0" w:type="auto"/>
            <w:vAlign w:val="center"/>
            <w:hideMark/>
          </w:tcPr>
          <w:p w14:paraId="10D2F3AC" w14:textId="77777777" w:rsidR="003B69DF" w:rsidRPr="00BC2AD8" w:rsidRDefault="003B69DF" w:rsidP="004B381D">
            <w:pPr>
              <w:ind w:left="113" w:right="113"/>
            </w:pPr>
            <w:r w:rsidRPr="00BC2AD8">
              <w:t>7 (4.2)</w:t>
            </w:r>
          </w:p>
        </w:tc>
      </w:tr>
      <w:tr w:rsidR="003B69DF" w:rsidRPr="00BC2AD8" w14:paraId="50B811C8" w14:textId="77777777" w:rsidTr="00734128">
        <w:tc>
          <w:tcPr>
            <w:tcW w:w="0" w:type="auto"/>
            <w:vAlign w:val="center"/>
            <w:hideMark/>
          </w:tcPr>
          <w:p w14:paraId="6E406E00" w14:textId="77777777" w:rsidR="003B69DF" w:rsidRPr="00BC2AD8" w:rsidRDefault="003B69DF" w:rsidP="004B381D">
            <w:pPr>
              <w:ind w:left="113" w:right="113"/>
            </w:pPr>
            <w:r w:rsidRPr="00BC2AD8">
              <w:t>  &gt;5 × baseline and &gt;1500 mg/g</w:t>
            </w:r>
          </w:p>
        </w:tc>
        <w:tc>
          <w:tcPr>
            <w:tcW w:w="0" w:type="auto"/>
            <w:vAlign w:val="center"/>
            <w:hideMark/>
          </w:tcPr>
          <w:p w14:paraId="38C8FB26" w14:textId="77777777" w:rsidR="003B69DF" w:rsidRPr="00BC2AD8" w:rsidRDefault="003B69DF" w:rsidP="004B381D">
            <w:pPr>
              <w:ind w:left="113" w:right="113"/>
            </w:pPr>
            <w:r w:rsidRPr="00BC2AD8">
              <w:t>2 (3.3)</w:t>
            </w:r>
          </w:p>
        </w:tc>
        <w:tc>
          <w:tcPr>
            <w:tcW w:w="0" w:type="auto"/>
            <w:vAlign w:val="center"/>
            <w:hideMark/>
          </w:tcPr>
          <w:p w14:paraId="1157B21B" w14:textId="77777777" w:rsidR="003B69DF" w:rsidRPr="00BC2AD8" w:rsidRDefault="003B69DF" w:rsidP="004B381D">
            <w:pPr>
              <w:ind w:left="113" w:right="113"/>
            </w:pPr>
            <w:r w:rsidRPr="00BC2AD8">
              <w:t>6 (5.4)</w:t>
            </w:r>
          </w:p>
        </w:tc>
        <w:tc>
          <w:tcPr>
            <w:tcW w:w="1768" w:type="dxa"/>
            <w:vAlign w:val="center"/>
            <w:hideMark/>
          </w:tcPr>
          <w:p w14:paraId="6C586C5B" w14:textId="77777777" w:rsidR="003B69DF" w:rsidRPr="00BC2AD8" w:rsidRDefault="003B69DF" w:rsidP="004B381D">
            <w:pPr>
              <w:ind w:left="113" w:right="113"/>
            </w:pPr>
            <w:r w:rsidRPr="00BC2AD8">
              <w:t>5 (3.5)</w:t>
            </w:r>
          </w:p>
        </w:tc>
        <w:tc>
          <w:tcPr>
            <w:tcW w:w="0" w:type="auto"/>
            <w:vAlign w:val="center"/>
            <w:hideMark/>
          </w:tcPr>
          <w:p w14:paraId="1741C1E4" w14:textId="77777777" w:rsidR="003B69DF" w:rsidRPr="00BC2AD8" w:rsidRDefault="003B69DF" w:rsidP="004B381D">
            <w:pPr>
              <w:ind w:left="113" w:right="113"/>
            </w:pPr>
            <w:r w:rsidRPr="00BC2AD8">
              <w:t>7 (4.2)</w:t>
            </w:r>
          </w:p>
        </w:tc>
      </w:tr>
      <w:tr w:rsidR="003B69DF" w:rsidRPr="00BC2AD8" w14:paraId="7DD12132" w14:textId="77777777" w:rsidTr="00734128">
        <w:tc>
          <w:tcPr>
            <w:tcW w:w="0" w:type="auto"/>
            <w:vAlign w:val="center"/>
            <w:hideMark/>
          </w:tcPr>
          <w:p w14:paraId="408F0A36" w14:textId="77777777" w:rsidR="003B69DF" w:rsidRPr="00BC2AD8" w:rsidRDefault="003B69DF" w:rsidP="004B381D">
            <w:pPr>
              <w:ind w:left="113" w:right="113"/>
            </w:pPr>
            <w:r w:rsidRPr="00BC2AD8">
              <w:t>  ≥2000 mg/g</w:t>
            </w:r>
          </w:p>
        </w:tc>
        <w:tc>
          <w:tcPr>
            <w:tcW w:w="0" w:type="auto"/>
            <w:vAlign w:val="center"/>
            <w:hideMark/>
          </w:tcPr>
          <w:p w14:paraId="4A878A51" w14:textId="77777777" w:rsidR="003B69DF" w:rsidRPr="00BC2AD8" w:rsidRDefault="003B69DF" w:rsidP="004B381D">
            <w:pPr>
              <w:ind w:left="113" w:right="113"/>
            </w:pPr>
            <w:r w:rsidRPr="00BC2AD8">
              <w:t>2 (3.3)</w:t>
            </w:r>
          </w:p>
        </w:tc>
        <w:tc>
          <w:tcPr>
            <w:tcW w:w="0" w:type="auto"/>
            <w:vAlign w:val="center"/>
            <w:hideMark/>
          </w:tcPr>
          <w:p w14:paraId="4CD210F4" w14:textId="77777777" w:rsidR="003B69DF" w:rsidRPr="00BC2AD8" w:rsidRDefault="003B69DF" w:rsidP="004B381D">
            <w:pPr>
              <w:ind w:left="113" w:right="113"/>
            </w:pPr>
            <w:r w:rsidRPr="00BC2AD8">
              <w:t>11 (9.8)</w:t>
            </w:r>
          </w:p>
        </w:tc>
        <w:tc>
          <w:tcPr>
            <w:tcW w:w="1768" w:type="dxa"/>
            <w:vAlign w:val="center"/>
            <w:hideMark/>
          </w:tcPr>
          <w:p w14:paraId="31E13E14" w14:textId="77777777" w:rsidR="003B69DF" w:rsidRPr="00BC2AD8" w:rsidRDefault="003B69DF" w:rsidP="004B381D">
            <w:pPr>
              <w:ind w:left="113" w:right="113"/>
            </w:pPr>
            <w:r w:rsidRPr="00BC2AD8">
              <w:t>4 (2.8)</w:t>
            </w:r>
          </w:p>
        </w:tc>
        <w:tc>
          <w:tcPr>
            <w:tcW w:w="0" w:type="auto"/>
            <w:vAlign w:val="center"/>
            <w:hideMark/>
          </w:tcPr>
          <w:p w14:paraId="29174C26" w14:textId="77777777" w:rsidR="003B69DF" w:rsidRPr="00BC2AD8" w:rsidRDefault="003B69DF" w:rsidP="004B381D">
            <w:pPr>
              <w:ind w:left="113" w:right="113"/>
            </w:pPr>
            <w:r w:rsidRPr="00BC2AD8">
              <w:t>6 (3.6)</w:t>
            </w:r>
          </w:p>
        </w:tc>
      </w:tr>
    </w:tbl>
    <w:p w14:paraId="316DD0D7" w14:textId="6D335170" w:rsidR="00A91438" w:rsidRDefault="00A91438" w:rsidP="00A91438">
      <w:pPr>
        <w:pStyle w:val="TableDescription"/>
      </w:pPr>
      <w:proofErr w:type="spellStart"/>
      <w:r>
        <w:t>a</w:t>
      </w:r>
      <w:proofErr w:type="spellEnd"/>
      <w:r>
        <w:t xml:space="preserve"> Up to Week 66: Time from first dose up to Study Day 456 or up to last contact, whichever comes first.</w:t>
      </w:r>
    </w:p>
    <w:p w14:paraId="5CF18C97" w14:textId="6CB4A102" w:rsidR="00A91438" w:rsidRDefault="00A91438" w:rsidP="00A91438">
      <w:pPr>
        <w:pStyle w:val="TableDescription"/>
      </w:pPr>
      <w:r>
        <w:t xml:space="preserve">b </w:t>
      </w:r>
      <w:proofErr w:type="gramStart"/>
      <w:r>
        <w:t>On</w:t>
      </w:r>
      <w:proofErr w:type="gramEnd"/>
      <w:r>
        <w:t xml:space="preserve"> study: Time from first dose of eplontersen up to the data cut-off or up to last contact, whichever comes first.</w:t>
      </w:r>
    </w:p>
    <w:p w14:paraId="39AB5772" w14:textId="39B4FB63" w:rsidR="00A91438" w:rsidRDefault="00A91438" w:rsidP="00A91438">
      <w:pPr>
        <w:pStyle w:val="TableDescription"/>
      </w:pPr>
      <w:r>
        <w:t xml:space="preserve">c Includes patients from the ION-682884-CS3 study “Eplontersen 45 mg q4w” arm only and excludes patients from the </w:t>
      </w:r>
      <w:proofErr w:type="spellStart"/>
      <w:r>
        <w:t>inotersen</w:t>
      </w:r>
      <w:proofErr w:type="spellEnd"/>
      <w:r>
        <w:t>/eplontersen arm.</w:t>
      </w:r>
    </w:p>
    <w:p w14:paraId="6C331AEB" w14:textId="406E8416" w:rsidR="003B69DF" w:rsidRPr="00970EBC" w:rsidRDefault="00A91438" w:rsidP="00A91438">
      <w:pPr>
        <w:pStyle w:val="TableDescription"/>
      </w:pPr>
      <w:r>
        <w:t>d Eplontersen Treated Set: Includes all patients who received at least one dose of eplontersen in the ION-682884-CS3 or ION-682884-C13 study.</w:t>
      </w:r>
    </w:p>
    <w:p w14:paraId="56331C88" w14:textId="77777777" w:rsidR="00734128" w:rsidRPr="00734128" w:rsidRDefault="00734128" w:rsidP="00734128">
      <w:r w:rsidRPr="00734128">
        <w:t xml:space="preserve">Four subjects experienced serious or severe TEAEs related to renal impairment, leading to interruption and discontinuation of eplontersen for 1 subject each, respectively. Investigators determined that 1 of these events, proteinuria, was possibly related to eplontersen use. </w:t>
      </w:r>
    </w:p>
    <w:p w14:paraId="5D4B79AA" w14:textId="77777777" w:rsidR="004B381D" w:rsidRDefault="00734128" w:rsidP="00734128">
      <w:r w:rsidRPr="00734128">
        <w:t xml:space="preserve">In terms of haematological parameters, data from pivotal study CS3 showed that white cell counts less than the lower limit of normal at any time post-baseline were more frequent among those treated with eplontersen compared to historical placebo, including leukopenia (36.1% in the eplontersen group, 8.3% in the historical placebo group, respectively), lymphopenia (62.5% and 28.3%, respectively), and neutropenia (13.9% and 6.7%, respectively). </w:t>
      </w:r>
    </w:p>
    <w:p w14:paraId="01DA6B72" w14:textId="501F56A3" w:rsidR="00734128" w:rsidRPr="00734128" w:rsidRDefault="00734128" w:rsidP="00734128">
      <w:r w:rsidRPr="00734128">
        <w:lastRenderedPageBreak/>
        <w:t xml:space="preserve">However, there was higher frequency of sampling among the eplontersen treatment group, and there was no difference overall between groups in terms of TEAEs in the SOC infections and infestations (59.0% in the eplontersen group, 63.3% in the historical placebo group). </w:t>
      </w:r>
    </w:p>
    <w:p w14:paraId="3358A651" w14:textId="77777777" w:rsidR="00734128" w:rsidRPr="00734128" w:rsidRDefault="00734128" w:rsidP="00734128">
      <w:r w:rsidRPr="00734128">
        <w:t xml:space="preserve">Noting high rates of cardiac involvement in ATTRv and effect of concomitant medications, there was no cardiac or cardiovascular safety signals identified during clinical development for eplontersen. The incidence of TEAEs related to cardiac disorders during studies in subjects with ATTRv-PN was similar between eplontersen-treated subjects (34 (20.4%) subjects) and those who received placebo (13 (21.7%) subjects). A total of 12 subjects who received eplontersen reported 17 serious TEAEs related to cardiac disorders, of these 13 events were severe. Among the serious TEAEs, 4 TEAEs had fatal outcomes (arrhythmia, acute myocardial infarction, cardiac arrest, cardiogenic shock). None of the severe, serious or fatal TEAEs were assessed as related to eplontersen by investigators. </w:t>
      </w:r>
    </w:p>
    <w:p w14:paraId="6AF14A37" w14:textId="77777777" w:rsidR="00734128" w:rsidRPr="00734128" w:rsidRDefault="00734128" w:rsidP="00734128">
      <w:pPr>
        <w:pStyle w:val="Heading5"/>
      </w:pPr>
      <w:r w:rsidRPr="00734128">
        <w:t>Immunogenicity</w:t>
      </w:r>
    </w:p>
    <w:p w14:paraId="45B91A30" w14:textId="14B529D6" w:rsidR="00734128" w:rsidRPr="00734128" w:rsidRDefault="00734128" w:rsidP="00734128">
      <w:r w:rsidRPr="00734128">
        <w:t xml:space="preserve">In the pivotal study CS3 6.9% of subjects in the eplontersen group had ADAs detected at baseline, with 58/144 (40.3%) showing treatment emergent or boosted ADAs throughout the study. The median time to onset of treatment emergent ADA was 223 days (range 24 to 603) and the median peak titre was 200 (range 50 to 25600). Most ADA-positive subjects had persistent responses. Presence of ADA had no impact on </w:t>
      </w:r>
      <w:proofErr w:type="spellStart"/>
      <w:r w:rsidRPr="00734128">
        <w:t>C</w:t>
      </w:r>
      <w:r w:rsidRPr="00734128">
        <w:rPr>
          <w:vertAlign w:val="subscript"/>
        </w:rPr>
        <w:t>max</w:t>
      </w:r>
      <w:proofErr w:type="spellEnd"/>
      <w:r w:rsidRPr="00734128">
        <w:t xml:space="preserve"> or AUC, while higher plasma eplontersen </w:t>
      </w:r>
      <w:proofErr w:type="spellStart"/>
      <w:r w:rsidRPr="00734128">
        <w:t>C</w:t>
      </w:r>
      <w:r w:rsidRPr="00734128">
        <w:rPr>
          <w:vertAlign w:val="subscript"/>
        </w:rPr>
        <w:t>trough</w:t>
      </w:r>
      <w:proofErr w:type="spellEnd"/>
      <w:r w:rsidRPr="00734128">
        <w:rPr>
          <w:vertAlign w:val="subscript"/>
        </w:rPr>
        <w:t xml:space="preserve"> </w:t>
      </w:r>
      <w:r w:rsidRPr="00734128">
        <w:t xml:space="preserve">levels were observed in both healthy volunteers and subjects with ATTRv-PN who had treatment emergent ADAs. The observed reductions in serum TTR concentrations were maintained in subjects with treatment-emergent ADAs, suggesting that ADAs did not affect pharmacological response. There was no clinically meaningful impact of ADA positivity on safety of eplontersen. </w:t>
      </w:r>
    </w:p>
    <w:p w14:paraId="692E872A" w14:textId="77777777" w:rsidR="00734128" w:rsidRPr="00734128" w:rsidRDefault="00734128" w:rsidP="00734128">
      <w:pPr>
        <w:pStyle w:val="Heading5"/>
      </w:pPr>
      <w:r w:rsidRPr="00734128">
        <w:t>Pregnancy and lactation</w:t>
      </w:r>
    </w:p>
    <w:p w14:paraId="39044D65" w14:textId="77777777" w:rsidR="00734128" w:rsidRPr="00734128" w:rsidRDefault="00734128" w:rsidP="00734128">
      <w:r w:rsidRPr="00734128">
        <w:t xml:space="preserve">During the clinical development program, subjects who were at risk of pregnancy and/or lactating were excluded from participating in clinical trials to avoid potential harm to an unborn </w:t>
      </w:r>
      <w:proofErr w:type="spellStart"/>
      <w:r w:rsidRPr="00734128">
        <w:t>fetus</w:t>
      </w:r>
      <w:proofErr w:type="spellEnd"/>
      <w:r w:rsidRPr="00734128">
        <w:t xml:space="preserve"> or breastfed infant. During the clinical development program, no pregnancies were reported in subjects or partners of male participants who had been treated with eplontersen. No reports for lactation are available.</w:t>
      </w:r>
    </w:p>
    <w:p w14:paraId="7519EE2F" w14:textId="77777777" w:rsidR="00734128" w:rsidRPr="00734128" w:rsidRDefault="00734128" w:rsidP="00734128">
      <w:pPr>
        <w:pStyle w:val="Heading5"/>
      </w:pPr>
      <w:r w:rsidRPr="00734128">
        <w:t>Post-marketing safety data</w:t>
      </w:r>
    </w:p>
    <w:p w14:paraId="7ED380C0" w14:textId="6FF385CE" w:rsidR="00734128" w:rsidRPr="00734128" w:rsidRDefault="00734128" w:rsidP="00734128">
      <w:r w:rsidRPr="00734128">
        <w:t xml:space="preserve">In their response to Round 1 clinical evaluation the </w:t>
      </w:r>
      <w:r w:rsidR="00A606FB">
        <w:t>Sponsor</w:t>
      </w:r>
      <w:r w:rsidRPr="00734128">
        <w:t xml:space="preserve"> provided international post-market safety data to June 2025, with estimated post-approval international patient exposure of 441.75 patient-years, with no new safety signals identified. </w:t>
      </w:r>
    </w:p>
    <w:p w14:paraId="2858B006" w14:textId="77777777" w:rsidR="00C22214" w:rsidRDefault="00C22214" w:rsidP="00C22214">
      <w:pPr>
        <w:pStyle w:val="Heading3"/>
        <w:rPr>
          <w:lang w:eastAsia="en-AU"/>
        </w:rPr>
      </w:pPr>
      <w:bookmarkStart w:id="48" w:name="_Toc103679298"/>
      <w:bookmarkStart w:id="49" w:name="_Toc242958204"/>
      <w:r>
        <w:rPr>
          <w:lang w:eastAsia="en-AU"/>
        </w:rPr>
        <w:t>Risk management plan</w:t>
      </w:r>
      <w:bookmarkEnd w:id="46"/>
      <w:bookmarkEnd w:id="48"/>
      <w:bookmarkEnd w:id="49"/>
    </w:p>
    <w:p w14:paraId="15EE77E0" w14:textId="6E193270" w:rsidR="00734128" w:rsidRPr="00734128" w:rsidRDefault="00734128" w:rsidP="00734128">
      <w:pPr>
        <w:rPr>
          <w:szCs w:val="22"/>
        </w:rPr>
      </w:pPr>
      <w:bookmarkStart w:id="50" w:name="_Toc247691531"/>
      <w:bookmarkStart w:id="51" w:name="_Toc314842515"/>
      <w:r w:rsidRPr="00734128">
        <w:rPr>
          <w:szCs w:val="22"/>
        </w:rPr>
        <w:t>AstraZeneca Pty Ltd submitted EU-RMP version 1 succession 4 (dated 10 September 2024; DLP 7 April 2023) and A</w:t>
      </w:r>
      <w:r>
        <w:rPr>
          <w:szCs w:val="22"/>
        </w:rPr>
        <w:t xml:space="preserve">ustralia-Specific Annex </w:t>
      </w:r>
      <w:r w:rsidRPr="00734128">
        <w:rPr>
          <w:szCs w:val="22"/>
        </w:rPr>
        <w:t xml:space="preserve">version 1 succession 1 (dated 19 May 2025) in support of this application.  </w:t>
      </w:r>
    </w:p>
    <w:p w14:paraId="39F3CD1D" w14:textId="3EDACF08" w:rsidR="0072003B" w:rsidRPr="00BD5DBD" w:rsidRDefault="00734128" w:rsidP="00734128">
      <w:pPr>
        <w:rPr>
          <w:szCs w:val="22"/>
        </w:rPr>
      </w:pPr>
      <w:r w:rsidRPr="00734128">
        <w:rPr>
          <w:szCs w:val="22"/>
        </w:rPr>
        <w:t xml:space="preserve">The proposed summary of safety concerns and their associated risk monitoring and mitigation strategies are summarised </w:t>
      </w:r>
      <w:r>
        <w:rPr>
          <w:szCs w:val="22"/>
        </w:rPr>
        <w:t xml:space="preserve">in Table </w:t>
      </w:r>
      <w:r w:rsidR="00E8386C">
        <w:rPr>
          <w:szCs w:val="22"/>
        </w:rPr>
        <w:t>10</w:t>
      </w:r>
      <w:r>
        <w:rPr>
          <w:szCs w:val="22"/>
        </w:rPr>
        <w:t xml:space="preserve">. </w:t>
      </w:r>
      <w:r w:rsidR="0072003B" w:rsidRPr="00BD5DBD">
        <w:rPr>
          <w:szCs w:val="22"/>
        </w:rPr>
        <w:t>The TGA</w:t>
      </w:r>
      <w:r w:rsidR="00C07551" w:rsidRPr="00BD5DBD">
        <w:rPr>
          <w:szCs w:val="22"/>
        </w:rPr>
        <w:t xml:space="preserve"> may</w:t>
      </w:r>
      <w:r w:rsidR="0072003B" w:rsidRPr="00BD5DBD">
        <w:rPr>
          <w:szCs w:val="22"/>
        </w:rPr>
        <w:t xml:space="preserve"> request an updated RMP at any stage of a product's </w:t>
      </w:r>
      <w:proofErr w:type="gramStart"/>
      <w:r w:rsidR="0072003B" w:rsidRPr="00BD5DBD">
        <w:rPr>
          <w:szCs w:val="22"/>
        </w:rPr>
        <w:t>life-cycle</w:t>
      </w:r>
      <w:proofErr w:type="gramEnd"/>
      <w:r w:rsidR="0072003B" w:rsidRPr="00BD5DBD">
        <w:rPr>
          <w:szCs w:val="22"/>
        </w:rPr>
        <w:t>, during both the pre-approval and post-approval phases.</w:t>
      </w:r>
    </w:p>
    <w:p w14:paraId="3A437AA1" w14:textId="33874F6B" w:rsidR="00DD4FF4" w:rsidRDefault="00DD4FF4">
      <w:pPr>
        <w:rPr>
          <w:rFonts w:eastAsia="Cambria" w:cs="Times New Roman"/>
          <w:b/>
          <w:szCs w:val="22"/>
        </w:rPr>
      </w:pPr>
      <w:bookmarkStart w:id="52" w:name="_Ref97629131"/>
    </w:p>
    <w:p w14:paraId="56B51A93" w14:textId="3E7F71F4" w:rsidR="006A277A" w:rsidRDefault="00C22214" w:rsidP="00C22214">
      <w:pPr>
        <w:pStyle w:val="TableTitle"/>
      </w:pPr>
      <w:r>
        <w:lastRenderedPageBreak/>
        <w:t>Table</w:t>
      </w:r>
      <w:bookmarkEnd w:id="52"/>
      <w:r w:rsidR="00734128">
        <w:t xml:space="preserve"> </w:t>
      </w:r>
      <w:r w:rsidR="00E8386C">
        <w:t>10</w:t>
      </w:r>
      <w:r w:rsidR="003302FF">
        <w:rPr>
          <w:noProof/>
        </w:rPr>
        <w:t>.</w:t>
      </w:r>
      <w:r>
        <w:t xml:space="preserve"> Summary of safety concerns</w:t>
      </w:r>
    </w:p>
    <w:tbl>
      <w:tblPr>
        <w:tblStyle w:val="TableTGAblue2023"/>
        <w:tblW w:w="8784" w:type="dxa"/>
        <w:tblLayout w:type="fixed"/>
        <w:tblLook w:val="04A0" w:firstRow="1" w:lastRow="0" w:firstColumn="1" w:lastColumn="0" w:noHBand="0" w:noVBand="1"/>
        <w:tblCaption w:val="Table 10. Summary of safety concerns"/>
      </w:tblPr>
      <w:tblGrid>
        <w:gridCol w:w="1555"/>
        <w:gridCol w:w="1842"/>
        <w:gridCol w:w="1134"/>
        <w:gridCol w:w="1418"/>
        <w:gridCol w:w="1276"/>
        <w:gridCol w:w="1559"/>
      </w:tblGrid>
      <w:tr w:rsidR="00734128" w:rsidRPr="004E4963" w14:paraId="1153F167" w14:textId="77777777" w:rsidTr="004B381D">
        <w:trPr>
          <w:cnfStyle w:val="100000000000" w:firstRow="1" w:lastRow="0" w:firstColumn="0" w:lastColumn="0" w:oddVBand="0" w:evenVBand="0" w:oddHBand="0" w:evenHBand="0" w:firstRowFirstColumn="0" w:firstRowLastColumn="0" w:lastRowFirstColumn="0" w:lastRowLastColumn="0"/>
          <w:trHeight w:val="131"/>
        </w:trPr>
        <w:tc>
          <w:tcPr>
            <w:cnfStyle w:val="001000000000" w:firstRow="0" w:lastRow="0" w:firstColumn="1" w:lastColumn="0" w:oddVBand="0" w:evenVBand="0" w:oddHBand="0" w:evenHBand="0" w:firstRowFirstColumn="0" w:firstRowLastColumn="0" w:lastRowFirstColumn="0" w:lastRowLastColumn="0"/>
            <w:tcW w:w="3397" w:type="dxa"/>
            <w:gridSpan w:val="2"/>
            <w:vMerge w:val="restart"/>
          </w:tcPr>
          <w:p w14:paraId="6E041AF7" w14:textId="77777777" w:rsidR="00734128" w:rsidRPr="004E4963" w:rsidRDefault="00734128" w:rsidP="004B381D">
            <w:pPr>
              <w:spacing w:before="0" w:line="240" w:lineRule="auto"/>
              <w:ind w:left="57" w:right="57"/>
              <w:rPr>
                <w:b w:val="0"/>
              </w:rPr>
            </w:pPr>
            <w:r w:rsidRPr="004E4963">
              <w:t>Summary of safety concerns</w:t>
            </w:r>
          </w:p>
        </w:tc>
        <w:tc>
          <w:tcPr>
            <w:tcW w:w="2552" w:type="dxa"/>
            <w:gridSpan w:val="2"/>
          </w:tcPr>
          <w:p w14:paraId="2E8B7ABB" w14:textId="77777777" w:rsidR="00734128" w:rsidRPr="004E4963" w:rsidRDefault="00734128" w:rsidP="004B381D">
            <w:pPr>
              <w:spacing w:before="0" w:line="240" w:lineRule="auto"/>
              <w:ind w:left="57" w:right="57"/>
              <w:cnfStyle w:val="100000000000" w:firstRow="1" w:lastRow="0" w:firstColumn="0" w:lastColumn="0" w:oddVBand="0" w:evenVBand="0" w:oddHBand="0" w:evenHBand="0" w:firstRowFirstColumn="0" w:firstRowLastColumn="0" w:lastRowFirstColumn="0" w:lastRowLastColumn="0"/>
              <w:rPr>
                <w:b w:val="0"/>
              </w:rPr>
            </w:pPr>
            <w:r w:rsidRPr="004E4963">
              <w:t>Pharmacovigilance</w:t>
            </w:r>
          </w:p>
        </w:tc>
        <w:tc>
          <w:tcPr>
            <w:tcW w:w="2835" w:type="dxa"/>
            <w:gridSpan w:val="2"/>
          </w:tcPr>
          <w:p w14:paraId="37F01B4C" w14:textId="77777777" w:rsidR="00734128" w:rsidRPr="004E4963" w:rsidRDefault="00734128" w:rsidP="004B381D">
            <w:pPr>
              <w:spacing w:before="0" w:line="240" w:lineRule="auto"/>
              <w:ind w:left="57" w:right="57"/>
              <w:cnfStyle w:val="100000000000" w:firstRow="1" w:lastRow="0" w:firstColumn="0" w:lastColumn="0" w:oddVBand="0" w:evenVBand="0" w:oddHBand="0" w:evenHBand="0" w:firstRowFirstColumn="0" w:firstRowLastColumn="0" w:lastRowFirstColumn="0" w:lastRowLastColumn="0"/>
              <w:rPr>
                <w:b w:val="0"/>
              </w:rPr>
            </w:pPr>
            <w:r w:rsidRPr="004E4963">
              <w:t>Risk Minimisation</w:t>
            </w:r>
          </w:p>
        </w:tc>
      </w:tr>
      <w:tr w:rsidR="00734128" w:rsidRPr="004E4963" w14:paraId="32A1B7B8" w14:textId="77777777" w:rsidTr="004B381D">
        <w:trPr>
          <w:trHeight w:val="150"/>
        </w:trPr>
        <w:tc>
          <w:tcPr>
            <w:cnfStyle w:val="001000000000" w:firstRow="0" w:lastRow="0" w:firstColumn="1" w:lastColumn="0" w:oddVBand="0" w:evenVBand="0" w:oddHBand="0" w:evenHBand="0" w:firstRowFirstColumn="0" w:firstRowLastColumn="0" w:lastRowFirstColumn="0" w:lastRowLastColumn="0"/>
            <w:tcW w:w="3397" w:type="dxa"/>
            <w:gridSpan w:val="2"/>
            <w:vMerge/>
          </w:tcPr>
          <w:p w14:paraId="5C60B822" w14:textId="77777777" w:rsidR="00734128" w:rsidRPr="004E4963" w:rsidRDefault="00734128" w:rsidP="004B381D">
            <w:pPr>
              <w:spacing w:before="0" w:line="240" w:lineRule="auto"/>
              <w:ind w:left="57" w:right="57"/>
            </w:pPr>
          </w:p>
        </w:tc>
        <w:tc>
          <w:tcPr>
            <w:tcW w:w="1134" w:type="dxa"/>
          </w:tcPr>
          <w:p w14:paraId="0584E7A4" w14:textId="77777777" w:rsidR="00734128" w:rsidRPr="004E4963" w:rsidRDefault="00734128" w:rsidP="004B381D">
            <w:pPr>
              <w:spacing w:before="0" w:line="240" w:lineRule="auto"/>
              <w:ind w:left="57" w:right="57"/>
              <w:cnfStyle w:val="000000000000" w:firstRow="0" w:lastRow="0" w:firstColumn="0" w:lastColumn="0" w:oddVBand="0" w:evenVBand="0" w:oddHBand="0" w:evenHBand="0" w:firstRowFirstColumn="0" w:firstRowLastColumn="0" w:lastRowFirstColumn="0" w:lastRowLastColumn="0"/>
            </w:pPr>
            <w:r w:rsidRPr="004E4963">
              <w:t>Routine</w:t>
            </w:r>
          </w:p>
        </w:tc>
        <w:tc>
          <w:tcPr>
            <w:tcW w:w="1418" w:type="dxa"/>
          </w:tcPr>
          <w:p w14:paraId="56B738A6" w14:textId="77777777" w:rsidR="00734128" w:rsidRPr="004E4963" w:rsidRDefault="00734128" w:rsidP="004B381D">
            <w:pPr>
              <w:spacing w:before="0" w:line="240" w:lineRule="auto"/>
              <w:ind w:left="57" w:right="57"/>
              <w:cnfStyle w:val="000000000000" w:firstRow="0" w:lastRow="0" w:firstColumn="0" w:lastColumn="0" w:oddVBand="0" w:evenVBand="0" w:oddHBand="0" w:evenHBand="0" w:firstRowFirstColumn="0" w:firstRowLastColumn="0" w:lastRowFirstColumn="0" w:lastRowLastColumn="0"/>
            </w:pPr>
            <w:r w:rsidRPr="004E4963">
              <w:t>Additional</w:t>
            </w:r>
          </w:p>
        </w:tc>
        <w:tc>
          <w:tcPr>
            <w:tcW w:w="1276" w:type="dxa"/>
          </w:tcPr>
          <w:p w14:paraId="4E050960" w14:textId="77777777" w:rsidR="00734128" w:rsidRPr="004E4963" w:rsidRDefault="00734128" w:rsidP="004B381D">
            <w:pPr>
              <w:spacing w:before="0" w:line="240" w:lineRule="auto"/>
              <w:ind w:left="57" w:right="57"/>
              <w:cnfStyle w:val="000000000000" w:firstRow="0" w:lastRow="0" w:firstColumn="0" w:lastColumn="0" w:oddVBand="0" w:evenVBand="0" w:oddHBand="0" w:evenHBand="0" w:firstRowFirstColumn="0" w:firstRowLastColumn="0" w:lastRowFirstColumn="0" w:lastRowLastColumn="0"/>
            </w:pPr>
            <w:r w:rsidRPr="004E4963">
              <w:t>Routine</w:t>
            </w:r>
          </w:p>
        </w:tc>
        <w:tc>
          <w:tcPr>
            <w:tcW w:w="1559" w:type="dxa"/>
          </w:tcPr>
          <w:p w14:paraId="3245963F" w14:textId="77777777" w:rsidR="00734128" w:rsidRPr="004E4963" w:rsidRDefault="00734128" w:rsidP="004B381D">
            <w:pPr>
              <w:spacing w:before="0" w:line="240" w:lineRule="auto"/>
              <w:ind w:left="57" w:right="57"/>
              <w:cnfStyle w:val="000000000000" w:firstRow="0" w:lastRow="0" w:firstColumn="0" w:lastColumn="0" w:oddVBand="0" w:evenVBand="0" w:oddHBand="0" w:evenHBand="0" w:firstRowFirstColumn="0" w:firstRowLastColumn="0" w:lastRowFirstColumn="0" w:lastRowLastColumn="0"/>
            </w:pPr>
            <w:r w:rsidRPr="004E4963">
              <w:t>Additional</w:t>
            </w:r>
          </w:p>
        </w:tc>
      </w:tr>
      <w:tr w:rsidR="00734128" w:rsidRPr="004E4963" w14:paraId="77A60130" w14:textId="77777777" w:rsidTr="004B381D">
        <w:trPr>
          <w:trHeight w:val="611"/>
        </w:trPr>
        <w:tc>
          <w:tcPr>
            <w:cnfStyle w:val="001000000000" w:firstRow="0" w:lastRow="0" w:firstColumn="1" w:lastColumn="0" w:oddVBand="0" w:evenVBand="0" w:oddHBand="0" w:evenHBand="0" w:firstRowFirstColumn="0" w:firstRowLastColumn="0" w:lastRowFirstColumn="0" w:lastRowLastColumn="0"/>
            <w:tcW w:w="1555" w:type="dxa"/>
          </w:tcPr>
          <w:p w14:paraId="0111D69A" w14:textId="77777777" w:rsidR="00734128" w:rsidRPr="004E4963" w:rsidRDefault="00734128" w:rsidP="004B381D">
            <w:pPr>
              <w:spacing w:before="0" w:line="240" w:lineRule="auto"/>
              <w:ind w:left="57" w:right="57"/>
            </w:pPr>
            <w:proofErr w:type="gramStart"/>
            <w:r w:rsidRPr="004E4963">
              <w:t>Important identified</w:t>
            </w:r>
            <w:proofErr w:type="gramEnd"/>
            <w:r w:rsidRPr="004E4963">
              <w:t xml:space="preserve"> risks</w:t>
            </w:r>
          </w:p>
        </w:tc>
        <w:tc>
          <w:tcPr>
            <w:tcW w:w="1842" w:type="dxa"/>
          </w:tcPr>
          <w:p w14:paraId="246293BC" w14:textId="77777777" w:rsidR="00734128" w:rsidRPr="004E4963" w:rsidRDefault="00734128" w:rsidP="004B381D">
            <w:pPr>
              <w:spacing w:before="0" w:line="240" w:lineRule="auto"/>
              <w:ind w:left="57" w:right="57"/>
              <w:cnfStyle w:val="000000000000" w:firstRow="0" w:lastRow="0" w:firstColumn="0" w:lastColumn="0" w:oddVBand="0" w:evenVBand="0" w:oddHBand="0" w:evenHBand="0" w:firstRowFirstColumn="0" w:firstRowLastColumn="0" w:lastRowFirstColumn="0" w:lastRowLastColumn="0"/>
            </w:pPr>
            <w:r w:rsidRPr="004E4963">
              <w:t>None</w:t>
            </w:r>
          </w:p>
        </w:tc>
        <w:tc>
          <w:tcPr>
            <w:tcW w:w="1134" w:type="dxa"/>
          </w:tcPr>
          <w:p w14:paraId="74CA5934" w14:textId="77777777" w:rsidR="00734128" w:rsidRPr="004E4963" w:rsidRDefault="00734128" w:rsidP="004B381D">
            <w:pPr>
              <w:spacing w:before="0" w:line="240" w:lineRule="auto"/>
              <w:ind w:left="57" w:right="57"/>
              <w:cnfStyle w:val="000000000000" w:firstRow="0" w:lastRow="0" w:firstColumn="0" w:lastColumn="0" w:oddVBand="0" w:evenVBand="0" w:oddHBand="0" w:evenHBand="0" w:firstRowFirstColumn="0" w:firstRowLastColumn="0" w:lastRowFirstColumn="0" w:lastRowLastColumn="0"/>
            </w:pPr>
            <w:r w:rsidRPr="004E4963">
              <w:t>–</w:t>
            </w:r>
          </w:p>
        </w:tc>
        <w:tc>
          <w:tcPr>
            <w:tcW w:w="1418" w:type="dxa"/>
          </w:tcPr>
          <w:p w14:paraId="11CD174B" w14:textId="77777777" w:rsidR="00734128" w:rsidRPr="004E4963" w:rsidRDefault="00734128" w:rsidP="004B381D">
            <w:pPr>
              <w:spacing w:before="0" w:line="240" w:lineRule="auto"/>
              <w:ind w:left="57" w:right="57"/>
              <w:cnfStyle w:val="000000000000" w:firstRow="0" w:lastRow="0" w:firstColumn="0" w:lastColumn="0" w:oddVBand="0" w:evenVBand="0" w:oddHBand="0" w:evenHBand="0" w:firstRowFirstColumn="0" w:firstRowLastColumn="0" w:lastRowFirstColumn="0" w:lastRowLastColumn="0"/>
            </w:pPr>
            <w:r w:rsidRPr="004E4963">
              <w:t>–</w:t>
            </w:r>
          </w:p>
        </w:tc>
        <w:tc>
          <w:tcPr>
            <w:tcW w:w="1276" w:type="dxa"/>
          </w:tcPr>
          <w:p w14:paraId="040349A1" w14:textId="77777777" w:rsidR="00734128" w:rsidRPr="004E4963" w:rsidRDefault="00734128" w:rsidP="004B381D">
            <w:pPr>
              <w:spacing w:before="0" w:line="240" w:lineRule="auto"/>
              <w:ind w:left="57" w:right="57"/>
              <w:cnfStyle w:val="000000000000" w:firstRow="0" w:lastRow="0" w:firstColumn="0" w:lastColumn="0" w:oddVBand="0" w:evenVBand="0" w:oddHBand="0" w:evenHBand="0" w:firstRowFirstColumn="0" w:firstRowLastColumn="0" w:lastRowFirstColumn="0" w:lastRowLastColumn="0"/>
            </w:pPr>
            <w:r w:rsidRPr="004E4963">
              <w:t>–</w:t>
            </w:r>
          </w:p>
        </w:tc>
        <w:tc>
          <w:tcPr>
            <w:tcW w:w="1559" w:type="dxa"/>
          </w:tcPr>
          <w:p w14:paraId="0D2C4D81" w14:textId="77777777" w:rsidR="00734128" w:rsidRPr="004E4963" w:rsidRDefault="00734128" w:rsidP="004B381D">
            <w:pPr>
              <w:spacing w:before="0" w:line="240" w:lineRule="auto"/>
              <w:ind w:left="57" w:right="57"/>
              <w:cnfStyle w:val="000000000000" w:firstRow="0" w:lastRow="0" w:firstColumn="0" w:lastColumn="0" w:oddVBand="0" w:evenVBand="0" w:oddHBand="0" w:evenHBand="0" w:firstRowFirstColumn="0" w:firstRowLastColumn="0" w:lastRowFirstColumn="0" w:lastRowLastColumn="0"/>
            </w:pPr>
            <w:r w:rsidRPr="004E4963">
              <w:t>–</w:t>
            </w:r>
          </w:p>
        </w:tc>
      </w:tr>
      <w:tr w:rsidR="00734128" w:rsidRPr="004E4963" w14:paraId="60D1F0F0" w14:textId="77777777" w:rsidTr="004B381D">
        <w:trPr>
          <w:trHeight w:val="889"/>
        </w:trPr>
        <w:tc>
          <w:tcPr>
            <w:cnfStyle w:val="001000000000" w:firstRow="0" w:lastRow="0" w:firstColumn="1" w:lastColumn="0" w:oddVBand="0" w:evenVBand="0" w:oddHBand="0" w:evenHBand="0" w:firstRowFirstColumn="0" w:firstRowLastColumn="0" w:lastRowFirstColumn="0" w:lastRowLastColumn="0"/>
            <w:tcW w:w="1555" w:type="dxa"/>
          </w:tcPr>
          <w:p w14:paraId="36887889" w14:textId="77777777" w:rsidR="00734128" w:rsidRPr="004E4963" w:rsidRDefault="00734128" w:rsidP="004B381D">
            <w:pPr>
              <w:spacing w:before="0" w:line="240" w:lineRule="auto"/>
              <w:ind w:left="57" w:right="57"/>
            </w:pPr>
            <w:r w:rsidRPr="004E4963">
              <w:t>Important potential risks</w:t>
            </w:r>
          </w:p>
        </w:tc>
        <w:tc>
          <w:tcPr>
            <w:tcW w:w="1842" w:type="dxa"/>
          </w:tcPr>
          <w:p w14:paraId="059399E6" w14:textId="0217A1CF" w:rsidR="00734128" w:rsidRPr="004E4963" w:rsidRDefault="00734128" w:rsidP="004B381D">
            <w:pPr>
              <w:spacing w:before="0" w:line="240" w:lineRule="auto"/>
              <w:ind w:left="57" w:right="57"/>
              <w:cnfStyle w:val="000000000000" w:firstRow="0" w:lastRow="0" w:firstColumn="0" w:lastColumn="0" w:oddVBand="0" w:evenVBand="0" w:oddHBand="0" w:evenHBand="0" w:firstRowFirstColumn="0" w:firstRowLastColumn="0" w:lastRowFirstColumn="0" w:lastRowLastColumn="0"/>
            </w:pPr>
            <w:r w:rsidRPr="004E4963">
              <w:t>Ocular adverse events due to vitamin A</w:t>
            </w:r>
            <w:r w:rsidR="004E4963">
              <w:t xml:space="preserve"> </w:t>
            </w:r>
            <w:r w:rsidRPr="004E4963">
              <w:t>deficiency</w:t>
            </w:r>
          </w:p>
        </w:tc>
        <w:tc>
          <w:tcPr>
            <w:tcW w:w="1134" w:type="dxa"/>
          </w:tcPr>
          <w:p w14:paraId="4C29596F" w14:textId="53CDC490" w:rsidR="00734128" w:rsidRPr="004E4963" w:rsidRDefault="00734128" w:rsidP="004B381D">
            <w:pPr>
              <w:spacing w:before="0" w:line="240" w:lineRule="auto"/>
              <w:ind w:left="57" w:right="57"/>
              <w:cnfStyle w:val="000000000000" w:firstRow="0" w:lastRow="0" w:firstColumn="0" w:lastColumn="0" w:oddVBand="0" w:evenVBand="0" w:oddHBand="0" w:evenHBand="0" w:firstRowFirstColumn="0" w:firstRowLastColumn="0" w:lastRowFirstColumn="0" w:lastRowLastColumn="0"/>
            </w:pPr>
            <w:r w:rsidRPr="004E4963">
              <w:sym w:font="Wingdings" w:char="F0FC"/>
            </w:r>
            <w:r w:rsidRPr="004E4963">
              <w:t>*</w:t>
            </w:r>
          </w:p>
        </w:tc>
        <w:tc>
          <w:tcPr>
            <w:tcW w:w="1418" w:type="dxa"/>
          </w:tcPr>
          <w:p w14:paraId="40847519" w14:textId="054B226C" w:rsidR="00734128" w:rsidRPr="004E4963" w:rsidRDefault="00734128" w:rsidP="004B381D">
            <w:pPr>
              <w:spacing w:before="0" w:line="240" w:lineRule="auto"/>
              <w:ind w:left="57" w:right="57"/>
              <w:cnfStyle w:val="000000000000" w:firstRow="0" w:lastRow="0" w:firstColumn="0" w:lastColumn="0" w:oddVBand="0" w:evenVBand="0" w:oddHBand="0" w:evenHBand="0" w:firstRowFirstColumn="0" w:firstRowLastColumn="0" w:lastRowFirstColumn="0" w:lastRowLastColumn="0"/>
              <w:rPr>
                <w:color w:val="00B050"/>
              </w:rPr>
            </w:pPr>
            <w:r w:rsidRPr="004E4963">
              <w:rPr>
                <w:color w:val="7030A0"/>
              </w:rPr>
              <w:sym w:font="Wingdings" w:char="F0FC"/>
            </w:r>
            <w:r w:rsidRPr="004E4963">
              <w:rPr>
                <w:color w:val="7030A0"/>
                <w:vertAlign w:val="superscript"/>
              </w:rPr>
              <w:t>†</w:t>
            </w:r>
          </w:p>
        </w:tc>
        <w:tc>
          <w:tcPr>
            <w:tcW w:w="1276" w:type="dxa"/>
          </w:tcPr>
          <w:p w14:paraId="45FF2B5E" w14:textId="3B2D5098" w:rsidR="00734128" w:rsidRPr="004E4963" w:rsidRDefault="00734128" w:rsidP="004B381D">
            <w:pPr>
              <w:spacing w:before="0" w:line="240" w:lineRule="auto"/>
              <w:ind w:left="57" w:right="57"/>
              <w:cnfStyle w:val="000000000000" w:firstRow="0" w:lastRow="0" w:firstColumn="0" w:lastColumn="0" w:oddVBand="0" w:evenVBand="0" w:oddHBand="0" w:evenHBand="0" w:firstRowFirstColumn="0" w:firstRowLastColumn="0" w:lastRowFirstColumn="0" w:lastRowLastColumn="0"/>
            </w:pPr>
            <w:r w:rsidRPr="004E4963">
              <w:sym w:font="Wingdings" w:char="F0FC"/>
            </w:r>
          </w:p>
        </w:tc>
        <w:tc>
          <w:tcPr>
            <w:tcW w:w="1559" w:type="dxa"/>
          </w:tcPr>
          <w:p w14:paraId="4457367B" w14:textId="595F9714" w:rsidR="00734128" w:rsidRPr="004E4963" w:rsidRDefault="00734128" w:rsidP="004B381D">
            <w:pPr>
              <w:spacing w:before="0" w:line="240" w:lineRule="auto"/>
              <w:ind w:left="57" w:right="57"/>
              <w:cnfStyle w:val="000000000000" w:firstRow="0" w:lastRow="0" w:firstColumn="0" w:lastColumn="0" w:oddVBand="0" w:evenVBand="0" w:oddHBand="0" w:evenHBand="0" w:firstRowFirstColumn="0" w:firstRowLastColumn="0" w:lastRowFirstColumn="0" w:lastRowLastColumn="0"/>
            </w:pPr>
            <w:r w:rsidRPr="004E4963">
              <w:t>–</w:t>
            </w:r>
          </w:p>
        </w:tc>
      </w:tr>
      <w:tr w:rsidR="00734128" w:rsidRPr="004E4963" w14:paraId="57393B82" w14:textId="77777777" w:rsidTr="004B381D">
        <w:trPr>
          <w:trHeight w:val="759"/>
        </w:trPr>
        <w:tc>
          <w:tcPr>
            <w:cnfStyle w:val="001000000000" w:firstRow="0" w:lastRow="0" w:firstColumn="1" w:lastColumn="0" w:oddVBand="0" w:evenVBand="0" w:oddHBand="0" w:evenHBand="0" w:firstRowFirstColumn="0" w:firstRowLastColumn="0" w:lastRowFirstColumn="0" w:lastRowLastColumn="0"/>
            <w:tcW w:w="1555" w:type="dxa"/>
          </w:tcPr>
          <w:p w14:paraId="7115025F" w14:textId="77777777" w:rsidR="00734128" w:rsidRPr="004E4963" w:rsidRDefault="00734128" w:rsidP="004B381D">
            <w:pPr>
              <w:spacing w:before="0" w:line="240" w:lineRule="auto"/>
              <w:ind w:left="57" w:right="57"/>
            </w:pPr>
            <w:r w:rsidRPr="004E4963">
              <w:t>Missing information</w:t>
            </w:r>
          </w:p>
        </w:tc>
        <w:tc>
          <w:tcPr>
            <w:tcW w:w="1842" w:type="dxa"/>
          </w:tcPr>
          <w:p w14:paraId="4E08F8E3" w14:textId="77777777" w:rsidR="00734128" w:rsidRPr="004E4963" w:rsidRDefault="00734128" w:rsidP="004B381D">
            <w:pPr>
              <w:spacing w:before="0" w:line="240" w:lineRule="auto"/>
              <w:ind w:left="57" w:right="57"/>
              <w:cnfStyle w:val="000000000000" w:firstRow="0" w:lastRow="0" w:firstColumn="0" w:lastColumn="0" w:oddVBand="0" w:evenVBand="0" w:oddHBand="0" w:evenHBand="0" w:firstRowFirstColumn="0" w:firstRowLastColumn="0" w:lastRowFirstColumn="0" w:lastRowLastColumn="0"/>
            </w:pPr>
            <w:r w:rsidRPr="004E4963">
              <w:t>Use in pregnant women and effects on pregnancy outcomes</w:t>
            </w:r>
          </w:p>
        </w:tc>
        <w:tc>
          <w:tcPr>
            <w:tcW w:w="1134" w:type="dxa"/>
          </w:tcPr>
          <w:p w14:paraId="29931B0E" w14:textId="28FD619E" w:rsidR="00734128" w:rsidRPr="004E4963" w:rsidRDefault="00734128" w:rsidP="004B381D">
            <w:pPr>
              <w:spacing w:before="0" w:line="240" w:lineRule="auto"/>
              <w:ind w:left="57" w:right="57"/>
              <w:cnfStyle w:val="000000000000" w:firstRow="0" w:lastRow="0" w:firstColumn="0" w:lastColumn="0" w:oddVBand="0" w:evenVBand="0" w:oddHBand="0" w:evenHBand="0" w:firstRowFirstColumn="0" w:firstRowLastColumn="0" w:lastRowFirstColumn="0" w:lastRowLastColumn="0"/>
            </w:pPr>
            <w:r w:rsidRPr="004E4963">
              <w:sym w:font="Wingdings" w:char="F0FC"/>
            </w:r>
          </w:p>
        </w:tc>
        <w:tc>
          <w:tcPr>
            <w:tcW w:w="1418" w:type="dxa"/>
          </w:tcPr>
          <w:p w14:paraId="0BCE54B7" w14:textId="1B96A080" w:rsidR="00734128" w:rsidRPr="004E4963" w:rsidRDefault="00734128" w:rsidP="004B381D">
            <w:pPr>
              <w:spacing w:before="0" w:line="240" w:lineRule="auto"/>
              <w:ind w:left="57" w:right="57"/>
              <w:cnfStyle w:val="000000000000" w:firstRow="0" w:lastRow="0" w:firstColumn="0" w:lastColumn="0" w:oddVBand="0" w:evenVBand="0" w:oddHBand="0" w:evenHBand="0" w:firstRowFirstColumn="0" w:firstRowLastColumn="0" w:lastRowFirstColumn="0" w:lastRowLastColumn="0"/>
            </w:pPr>
            <w:r w:rsidRPr="004E4963">
              <w:t>–</w:t>
            </w:r>
          </w:p>
        </w:tc>
        <w:tc>
          <w:tcPr>
            <w:tcW w:w="1276" w:type="dxa"/>
          </w:tcPr>
          <w:p w14:paraId="42FD5DA7" w14:textId="7C980784" w:rsidR="00734128" w:rsidRPr="004E4963" w:rsidRDefault="00734128" w:rsidP="004B381D">
            <w:pPr>
              <w:spacing w:before="0" w:line="240" w:lineRule="auto"/>
              <w:ind w:left="57" w:right="57"/>
              <w:cnfStyle w:val="000000000000" w:firstRow="0" w:lastRow="0" w:firstColumn="0" w:lastColumn="0" w:oddVBand="0" w:evenVBand="0" w:oddHBand="0" w:evenHBand="0" w:firstRowFirstColumn="0" w:firstRowLastColumn="0" w:lastRowFirstColumn="0" w:lastRowLastColumn="0"/>
            </w:pPr>
            <w:r w:rsidRPr="004E4963">
              <w:sym w:font="Wingdings" w:char="F0FC"/>
            </w:r>
          </w:p>
        </w:tc>
        <w:tc>
          <w:tcPr>
            <w:tcW w:w="1559" w:type="dxa"/>
          </w:tcPr>
          <w:p w14:paraId="5C021700" w14:textId="6F655BEB" w:rsidR="00734128" w:rsidRPr="004E4963" w:rsidRDefault="00734128" w:rsidP="004B381D">
            <w:pPr>
              <w:spacing w:before="0" w:line="240" w:lineRule="auto"/>
              <w:ind w:left="57" w:right="57"/>
              <w:cnfStyle w:val="000000000000" w:firstRow="0" w:lastRow="0" w:firstColumn="0" w:lastColumn="0" w:oddVBand="0" w:evenVBand="0" w:oddHBand="0" w:evenHBand="0" w:firstRowFirstColumn="0" w:firstRowLastColumn="0" w:lastRowFirstColumn="0" w:lastRowLastColumn="0"/>
            </w:pPr>
            <w:r w:rsidRPr="004E4963">
              <w:t>–</w:t>
            </w:r>
          </w:p>
        </w:tc>
      </w:tr>
    </w:tbl>
    <w:p w14:paraId="49561772" w14:textId="59C04734" w:rsidR="004E4963" w:rsidRDefault="004E4963" w:rsidP="004E4963">
      <w:pPr>
        <w:pStyle w:val="TableDescription"/>
      </w:pPr>
      <w:r>
        <w:t>* Specific adverse reaction follow-up questionnaires</w:t>
      </w:r>
    </w:p>
    <w:p w14:paraId="47CE9590" w14:textId="3249F171" w:rsidR="00734128" w:rsidRDefault="004E4963" w:rsidP="004E4963">
      <w:pPr>
        <w:pStyle w:val="TableDescription"/>
      </w:pPr>
      <w:r>
        <w:t>† Study ION-682884-CS13</w:t>
      </w:r>
    </w:p>
    <w:p w14:paraId="0A4A91D7" w14:textId="312BB8E4" w:rsidR="000B7CBF" w:rsidRPr="000B7CBF" w:rsidRDefault="000B7CBF" w:rsidP="000B7CBF">
      <w:pPr>
        <w:rPr>
          <w:bCs/>
        </w:rPr>
      </w:pPr>
      <w:r w:rsidRPr="000B7CBF">
        <w:t xml:space="preserve">The </w:t>
      </w:r>
      <w:r w:rsidR="00A606FB">
        <w:t>Sponsor</w:t>
      </w:r>
      <w:r w:rsidRPr="000B7CBF">
        <w:t xml:space="preserve"> has proposed routine pharmacovigilance activities for all safety concerns that includes specific adverse events follow-up questionnaire for ocular adverse events due to vitamin A deficiency. Additional pharmacovigilance activities have been proposed in the form of an open-label extension study to address the safety concern of o</w:t>
      </w:r>
      <w:r w:rsidRPr="000B7CBF">
        <w:rPr>
          <w:bCs/>
        </w:rPr>
        <w:t xml:space="preserve">cular adverse events due to vitamin A deficiency. The pharmacovigilance plan is acceptable from an RMP perspective. </w:t>
      </w:r>
    </w:p>
    <w:p w14:paraId="69C99DE6" w14:textId="1FFE5DCC" w:rsidR="000B7CBF" w:rsidRPr="000B7CBF" w:rsidRDefault="000B7CBF" w:rsidP="000B7CBF">
      <w:r w:rsidRPr="000B7CBF">
        <w:t xml:space="preserve">The </w:t>
      </w:r>
      <w:r w:rsidR="00A606FB">
        <w:t>Sponsor</w:t>
      </w:r>
      <w:r w:rsidRPr="000B7CBF">
        <w:t xml:space="preserve"> has proposed routine risk minimisation activities for all safety concerns in the form of a PI and CMI. The risk minimisation plan is acceptable from an RMP perspective. </w:t>
      </w:r>
    </w:p>
    <w:p w14:paraId="74A4F87F" w14:textId="77777777" w:rsidR="00C22214" w:rsidRDefault="00C22214" w:rsidP="00C22214">
      <w:pPr>
        <w:pStyle w:val="Heading3"/>
      </w:pPr>
      <w:bookmarkStart w:id="53" w:name="_Toc103679299"/>
      <w:bookmarkStart w:id="54" w:name="_Toc242958205"/>
      <w:r>
        <w:t>Risk-benefit analysis</w:t>
      </w:r>
      <w:bookmarkEnd w:id="50"/>
      <w:bookmarkEnd w:id="51"/>
      <w:bookmarkEnd w:id="53"/>
      <w:bookmarkEnd w:id="54"/>
    </w:p>
    <w:p w14:paraId="27746148" w14:textId="551F64AB" w:rsidR="000B7CBF" w:rsidRPr="000B7CBF" w:rsidRDefault="000B7CBF" w:rsidP="000B7CBF">
      <w:pPr>
        <w:rPr>
          <w:iCs/>
        </w:rPr>
      </w:pPr>
      <w:r w:rsidRPr="000B7CBF">
        <w:rPr>
          <w:iCs/>
        </w:rPr>
        <w:t>This Category 1, type A application seeks to register the new therapeutic entity eplontersen, a ligand-conjugated antisense-oligonucleotide targeting hepatic transthyretin mRNA, for the following indication: ‘</w:t>
      </w:r>
      <w:r w:rsidRPr="000B7CBF">
        <w:rPr>
          <w:i/>
        </w:rPr>
        <w:t xml:space="preserve">for the treatment of hereditary transthyretin-mediated amyloidosis (ATTRv) in adult patients with stage 1 or stage 2 polyneuropathy.’ </w:t>
      </w:r>
      <w:r w:rsidRPr="000B7CBF">
        <w:rPr>
          <w:iCs/>
        </w:rPr>
        <w:t xml:space="preserve">Efficacy has been primarily established via 1 pivotal phase 3 clinical study, CS3, a multicentre, randomised, open-label study comparing eplontersen to placebo, via an historical external control group, among adult patients with stage 1 or stage 2 ATTRv-PN. The safety profile of eplontersen has been evaluated based on data from the same pivotal study, a long-term extension study, and 3 phase 1 </w:t>
      </w:r>
      <w:proofErr w:type="gramStart"/>
      <w:r w:rsidRPr="000B7CBF">
        <w:rPr>
          <w:iCs/>
        </w:rPr>
        <w:t>studies</w:t>
      </w:r>
      <w:proofErr w:type="gramEnd"/>
      <w:r w:rsidRPr="000B7CBF">
        <w:rPr>
          <w:iCs/>
        </w:rPr>
        <w:t xml:space="preserve">. Eplontersen is registered in the EU (under the tradename WAINZUA), the United Kingdom, Switzerland and Canada with approved indications that mirror that sought in Australia and is registered in the US (under the tradename </w:t>
      </w:r>
      <w:r w:rsidR="00A606FB">
        <w:rPr>
          <w:iCs/>
        </w:rPr>
        <w:t>Wainua</w:t>
      </w:r>
      <w:r w:rsidRPr="000B7CBF">
        <w:rPr>
          <w:iCs/>
        </w:rPr>
        <w:t>) with an approved indication that does not specify stage of disease for peripheral neuropathy. There are no outstanding clinical, nonclinical, quality or manufacturing evaluation issues that would preclude approval of the application.</w:t>
      </w:r>
    </w:p>
    <w:p w14:paraId="36C4CDE4" w14:textId="4EB1CFFC" w:rsidR="000B7CBF" w:rsidRPr="000B7CBF" w:rsidRDefault="000B7CBF" w:rsidP="000B7CBF">
      <w:pPr>
        <w:pStyle w:val="Heading4"/>
      </w:pPr>
      <w:bookmarkStart w:id="55" w:name="_Toc242958206"/>
      <w:r w:rsidRPr="000B7CBF">
        <w:t xml:space="preserve">Proposed </w:t>
      </w:r>
      <w:r w:rsidR="004B381D">
        <w:t>i</w:t>
      </w:r>
      <w:r w:rsidRPr="000B7CBF">
        <w:t>ndication</w:t>
      </w:r>
      <w:bookmarkEnd w:id="55"/>
    </w:p>
    <w:p w14:paraId="0046B720" w14:textId="77777777" w:rsidR="004B381D" w:rsidRDefault="000B7CBF" w:rsidP="000B7CBF">
      <w:pPr>
        <w:rPr>
          <w:iCs/>
        </w:rPr>
      </w:pPr>
      <w:r w:rsidRPr="000B7CBF">
        <w:rPr>
          <w:iCs/>
        </w:rPr>
        <w:t xml:space="preserve">The proposed therapeutic indication is acceptable on the basis that it reflects the study population in the pivotal efficacy study, CS3. Inclusion criteria for this study specified stages 1 or 2 polyneuropathy, and required documentation of a genetic mutation in the </w:t>
      </w:r>
    </w:p>
    <w:p w14:paraId="12FDB063" w14:textId="77777777" w:rsidR="004B381D" w:rsidRDefault="000B7CBF" w:rsidP="000B7CBF">
      <w:pPr>
        <w:rPr>
          <w:iCs/>
        </w:rPr>
      </w:pPr>
      <w:r w:rsidRPr="000B7CBF">
        <w:rPr>
          <w:iCs/>
        </w:rPr>
        <w:t xml:space="preserve">TTR gene. </w:t>
      </w:r>
      <w:r w:rsidR="00E8386C">
        <w:rPr>
          <w:iCs/>
        </w:rPr>
        <w:t>I</w:t>
      </w:r>
      <w:r w:rsidRPr="000B7CBF">
        <w:rPr>
          <w:iCs/>
        </w:rPr>
        <w:t xml:space="preserve">t is biologically plausible that eplontersen will have efficacy for patients with ATTRv and stage 3 polyneuropathy, a patient cohort with high unmet clinical need, and despite the lack of evaluable clinical data in patients with stage 3 polyneuropathy finds the following statement </w:t>
      </w:r>
      <w:r w:rsidRPr="000B7CBF">
        <w:rPr>
          <w:iCs/>
        </w:rPr>
        <w:lastRenderedPageBreak/>
        <w:t>in the proposed Australian PI to be acceptable, and aligned with other products on the ARTG with similar approved indications: ‘</w:t>
      </w:r>
      <w:r w:rsidRPr="000B7CBF">
        <w:rPr>
          <w:i/>
        </w:rPr>
        <w:t>The decision to continue treatment in those patients whose disease progresses to stage 3 polyneuropathy should be taken at the discretion of the physician based on the overall benefit and risk assessment.’</w:t>
      </w:r>
      <w:r w:rsidRPr="000B7CBF">
        <w:rPr>
          <w:iCs/>
        </w:rPr>
        <w:t xml:space="preserve"> </w:t>
      </w:r>
    </w:p>
    <w:p w14:paraId="371B694A" w14:textId="7431C8ED" w:rsidR="000B7CBF" w:rsidRPr="000B7CBF" w:rsidRDefault="000B7CBF" w:rsidP="000B7CBF">
      <w:pPr>
        <w:rPr>
          <w:iCs/>
        </w:rPr>
      </w:pPr>
      <w:r w:rsidRPr="000B7CBF">
        <w:rPr>
          <w:iCs/>
        </w:rPr>
        <w:t xml:space="preserve">This statement implies that patients were initiated on eplontersen when experiencing stage 1 or 2 polyneuropathy and derived some clinical benefit from </w:t>
      </w:r>
      <w:r w:rsidR="004B381D" w:rsidRPr="000B7CBF">
        <w:rPr>
          <w:iCs/>
        </w:rPr>
        <w:t>treatment and</w:t>
      </w:r>
      <w:r w:rsidRPr="000B7CBF">
        <w:rPr>
          <w:iCs/>
        </w:rPr>
        <w:t xml:space="preserve"> given that ATTRv-PN is typically a progressive disease, represents a pragmatic balance with uncertainty around clinical efficacy.  </w:t>
      </w:r>
    </w:p>
    <w:p w14:paraId="10B01D6A" w14:textId="77777777" w:rsidR="004B381D" w:rsidRDefault="00E8386C" w:rsidP="000B7CBF">
      <w:pPr>
        <w:rPr>
          <w:iCs/>
        </w:rPr>
      </w:pPr>
      <w:r>
        <w:rPr>
          <w:iCs/>
        </w:rPr>
        <w:t xml:space="preserve">During evaluation, </w:t>
      </w:r>
      <w:r w:rsidR="000B7CBF" w:rsidRPr="000B7CBF">
        <w:rPr>
          <w:iCs/>
        </w:rPr>
        <w:t>the prospect of broadening the approved indication to cover wild-type ATTR-PN patients</w:t>
      </w:r>
      <w:r>
        <w:rPr>
          <w:iCs/>
        </w:rPr>
        <w:t xml:space="preserve"> was raised</w:t>
      </w:r>
      <w:r w:rsidR="000B7CBF" w:rsidRPr="000B7CBF">
        <w:rPr>
          <w:iCs/>
        </w:rPr>
        <w:t>, citing high unmet clinical need, the relative rarity of this condition in an Australian context, biological plausibility, and phase 1 clinical study data suggesting efficacy outcomes could also be expected in this cohort.</w:t>
      </w:r>
      <w:r>
        <w:rPr>
          <w:iCs/>
        </w:rPr>
        <w:t xml:space="preserve"> </w:t>
      </w:r>
    </w:p>
    <w:p w14:paraId="31A2FDF9" w14:textId="29648787" w:rsidR="000B7CBF" w:rsidRPr="000B7CBF" w:rsidRDefault="00E8386C" w:rsidP="000B7CBF">
      <w:pPr>
        <w:rPr>
          <w:iCs/>
        </w:rPr>
      </w:pPr>
      <w:r>
        <w:rPr>
          <w:iCs/>
        </w:rPr>
        <w:t>T</w:t>
      </w:r>
      <w:r w:rsidR="000B7CBF" w:rsidRPr="000B7CBF">
        <w:rPr>
          <w:iCs/>
        </w:rPr>
        <w:t xml:space="preserve">he likelihood of benefit for this patient cohort, </w:t>
      </w:r>
      <w:r>
        <w:rPr>
          <w:iCs/>
        </w:rPr>
        <w:t xml:space="preserve">is not disputed, </w:t>
      </w:r>
      <w:r w:rsidR="000B7CBF" w:rsidRPr="000B7CBF">
        <w:rPr>
          <w:iCs/>
        </w:rPr>
        <w:t xml:space="preserve">however, in the absence of robust clinical data, efficacy and safety has </w:t>
      </w:r>
      <w:r>
        <w:rPr>
          <w:iCs/>
        </w:rPr>
        <w:t xml:space="preserve">not </w:t>
      </w:r>
      <w:r w:rsidR="000B7CBF" w:rsidRPr="000B7CBF">
        <w:rPr>
          <w:iCs/>
        </w:rPr>
        <w:t xml:space="preserve">been satisfactorily established for treatment of wild-type ATTR-PN. The </w:t>
      </w:r>
      <w:r>
        <w:rPr>
          <w:iCs/>
        </w:rPr>
        <w:t>TGA</w:t>
      </w:r>
      <w:r w:rsidR="000B7CBF" w:rsidRPr="000B7CBF">
        <w:rPr>
          <w:iCs/>
        </w:rPr>
        <w:t xml:space="preserve"> is also cognisant of products in the ARTG with similar approved indications to that sought by the </w:t>
      </w:r>
      <w:r w:rsidR="00A606FB">
        <w:rPr>
          <w:iCs/>
        </w:rPr>
        <w:t>Sponsor</w:t>
      </w:r>
      <w:r w:rsidR="000B7CBF" w:rsidRPr="000B7CBF">
        <w:rPr>
          <w:iCs/>
        </w:rPr>
        <w:t xml:space="preserve"> in this application which reflect the evaluable clinical data submitted for those products, and the consistency of the indication sought here with approved indications for eplontersen in comparable overseas jurisdictions. </w:t>
      </w:r>
    </w:p>
    <w:p w14:paraId="54F5F4E0" w14:textId="77777777" w:rsidR="000B7CBF" w:rsidRPr="000B7CBF" w:rsidRDefault="000B7CBF" w:rsidP="000B7CBF">
      <w:pPr>
        <w:pStyle w:val="Heading4"/>
      </w:pPr>
      <w:bookmarkStart w:id="56" w:name="_Toc242958207"/>
      <w:r w:rsidRPr="000B7CBF">
        <w:t>Pharmacokinetics and pharmacodynamics</w:t>
      </w:r>
      <w:bookmarkEnd w:id="56"/>
    </w:p>
    <w:p w14:paraId="5F76811A" w14:textId="77777777" w:rsidR="004B381D" w:rsidRDefault="000B7CBF" w:rsidP="000B7CBF">
      <w:pPr>
        <w:rPr>
          <w:iCs/>
        </w:rPr>
      </w:pPr>
      <w:r w:rsidRPr="000B7CBF">
        <w:rPr>
          <w:iCs/>
        </w:rPr>
        <w:t xml:space="preserve">PK and PD aspects were adequately evaluated and detailed in the dossier. Terminal elimination half-life was approximately 3 weeks, with steady-state concentration achieved after around 17 weeks of Q4W dosing. Repeated administration did not show accumulation in </w:t>
      </w:r>
      <w:proofErr w:type="spellStart"/>
      <w:r w:rsidRPr="000B7CBF">
        <w:rPr>
          <w:iCs/>
        </w:rPr>
        <w:t>C</w:t>
      </w:r>
      <w:r w:rsidRPr="000B7CBF">
        <w:rPr>
          <w:iCs/>
          <w:vertAlign w:val="subscript"/>
        </w:rPr>
        <w:t>max</w:t>
      </w:r>
      <w:proofErr w:type="spellEnd"/>
      <w:r w:rsidRPr="000B7CBF">
        <w:rPr>
          <w:iCs/>
          <w:vertAlign w:val="subscript"/>
        </w:rPr>
        <w:t xml:space="preserve"> </w:t>
      </w:r>
      <w:r w:rsidRPr="000B7CBF">
        <w:rPr>
          <w:iCs/>
        </w:rPr>
        <w:t xml:space="preserve">or AUC values. </w:t>
      </w:r>
    </w:p>
    <w:p w14:paraId="1FF16A1D" w14:textId="77777777" w:rsidR="004B381D" w:rsidRDefault="000B7CBF" w:rsidP="000B7CBF">
      <w:r w:rsidRPr="000B7CBF">
        <w:rPr>
          <w:iCs/>
        </w:rPr>
        <w:t>Modelling did not provide any rationale for dose adjustment based on various intrinsic and extrinsic factors. Compared to the vial and syringe presentation used in the pivotal study the autoinjec</w:t>
      </w:r>
      <w:r w:rsidR="00DA4A96">
        <w:rPr>
          <w:iCs/>
        </w:rPr>
        <w:t>t</w:t>
      </w:r>
      <w:r w:rsidRPr="000B7CBF">
        <w:rPr>
          <w:iCs/>
        </w:rPr>
        <w:t xml:space="preserve">or presentation resulted in slightly higher nominal dose delivered, translating to 23% higher steady-state </w:t>
      </w:r>
      <w:proofErr w:type="spellStart"/>
      <w:r w:rsidRPr="000B7CBF">
        <w:rPr>
          <w:iCs/>
        </w:rPr>
        <w:t>C</w:t>
      </w:r>
      <w:r w:rsidRPr="000B7CBF">
        <w:rPr>
          <w:iCs/>
          <w:vertAlign w:val="subscript"/>
        </w:rPr>
        <w:t>max</w:t>
      </w:r>
      <w:proofErr w:type="spellEnd"/>
      <w:r w:rsidRPr="000B7CBF">
        <w:rPr>
          <w:iCs/>
        </w:rPr>
        <w:t xml:space="preserve">, with nominal increases observed in steady-state </w:t>
      </w:r>
      <w:proofErr w:type="spellStart"/>
      <w:r w:rsidRPr="000B7CBF">
        <w:rPr>
          <w:iCs/>
        </w:rPr>
        <w:t>C</w:t>
      </w:r>
      <w:r w:rsidRPr="000B7CBF">
        <w:rPr>
          <w:iCs/>
          <w:vertAlign w:val="subscript"/>
        </w:rPr>
        <w:t>trough</w:t>
      </w:r>
      <w:proofErr w:type="spellEnd"/>
      <w:r w:rsidRPr="000B7CBF">
        <w:rPr>
          <w:iCs/>
          <w:vertAlign w:val="subscript"/>
        </w:rPr>
        <w:t xml:space="preserve"> </w:t>
      </w:r>
      <w:r w:rsidRPr="000B7CBF">
        <w:rPr>
          <w:iCs/>
        </w:rPr>
        <w:t xml:space="preserve">and </w:t>
      </w:r>
      <w:r w:rsidRPr="000B7CBF">
        <w:t>AUC</w:t>
      </w:r>
      <w:r w:rsidRPr="000B7CBF">
        <w:rPr>
          <w:vertAlign w:val="subscript"/>
        </w:rPr>
        <w:t>0-τ</w:t>
      </w:r>
      <w:r w:rsidRPr="000B7CBF">
        <w:t xml:space="preserve">. </w:t>
      </w:r>
    </w:p>
    <w:p w14:paraId="5DEEB999" w14:textId="77777777" w:rsidR="004B381D" w:rsidRDefault="000B7CBF" w:rsidP="000B7CBF">
      <w:r w:rsidRPr="000B7CBF">
        <w:t>Clinical study CS21 was designed to assess bioequivalence between 3 different subcutaneous presentations, including the vial and syringe used in the pivotal study and the pre-filled syringe with autoinjector sought in this application. Whilst prespecified bioequivalence criteria were met between these 2 presentations for the AUC</w:t>
      </w:r>
      <w:r w:rsidRPr="000B7CBF">
        <w:rPr>
          <w:vertAlign w:val="subscript"/>
        </w:rPr>
        <w:t xml:space="preserve">0-168H </w:t>
      </w:r>
      <w:r w:rsidRPr="000B7CBF">
        <w:t xml:space="preserve">endpoint, the upper boundary of the 125% was exceeded for </w:t>
      </w:r>
      <w:proofErr w:type="spellStart"/>
      <w:r w:rsidRPr="000B7CBF">
        <w:t>C</w:t>
      </w:r>
      <w:r w:rsidRPr="000B7CBF">
        <w:rPr>
          <w:vertAlign w:val="subscript"/>
        </w:rPr>
        <w:t>max</w:t>
      </w:r>
      <w:proofErr w:type="spellEnd"/>
      <w:r w:rsidRPr="000B7CBF">
        <w:t xml:space="preserve">. </w:t>
      </w:r>
    </w:p>
    <w:p w14:paraId="7AC010C9" w14:textId="0B808EB0" w:rsidR="000B7CBF" w:rsidRPr="000B7CBF" w:rsidRDefault="00484C23" w:rsidP="000B7CBF">
      <w:r>
        <w:t>T</w:t>
      </w:r>
      <w:r w:rsidR="000B7CBF" w:rsidRPr="000B7CBF">
        <w:t xml:space="preserve">here is no evidence of clinically meaningful impact of these differences in PK parameters between the presentations. Population PK modelling suggested that moderate renal impairment, eGFR &lt;45 mL/min/1.73m², would result in modest increases in steady-state AUC₀-τ, </w:t>
      </w:r>
      <w:proofErr w:type="spellStart"/>
      <w:r w:rsidR="000B7CBF" w:rsidRPr="000B7CBF">
        <w:t>C</w:t>
      </w:r>
      <w:r w:rsidR="000B7CBF" w:rsidRPr="000B7CBF">
        <w:rPr>
          <w:vertAlign w:val="subscript"/>
        </w:rPr>
        <w:t>max</w:t>
      </w:r>
      <w:proofErr w:type="spellEnd"/>
      <w:r w:rsidR="000B7CBF" w:rsidRPr="000B7CBF">
        <w:t xml:space="preserve">, and </w:t>
      </w:r>
      <w:proofErr w:type="spellStart"/>
      <w:r w:rsidR="000B7CBF" w:rsidRPr="000B7CBF">
        <w:t>C</w:t>
      </w:r>
      <w:r w:rsidR="000B7CBF" w:rsidRPr="000B7CBF">
        <w:rPr>
          <w:vertAlign w:val="subscript"/>
        </w:rPr>
        <w:t>trough</w:t>
      </w:r>
      <w:proofErr w:type="spellEnd"/>
      <w:r w:rsidR="000B7CBF" w:rsidRPr="000B7CBF">
        <w:rPr>
          <w:vertAlign w:val="subscript"/>
        </w:rPr>
        <w:t xml:space="preserve"> </w:t>
      </w:r>
      <w:r w:rsidR="000B7CBF" w:rsidRPr="000B7CBF">
        <w:t xml:space="preserve">values; this risk can be adequately mitigated via the Australian PI. PD data showed reduction in serum TTR from week 5 assessment in subjects with ATTRv-PN with mean reduction in serum TTR 82-83% from baseline, in line with a generally accepted threshold for clinical effect of 80% reduction from baseline.  </w:t>
      </w:r>
    </w:p>
    <w:p w14:paraId="3550DFF0" w14:textId="77777777" w:rsidR="000B7CBF" w:rsidRPr="000B7CBF" w:rsidRDefault="000B7CBF" w:rsidP="000B7CBF">
      <w:pPr>
        <w:pStyle w:val="Heading4"/>
      </w:pPr>
      <w:bookmarkStart w:id="57" w:name="_Toc242958208"/>
      <w:r w:rsidRPr="000B7CBF">
        <w:t>Efficacy</w:t>
      </w:r>
      <w:bookmarkEnd w:id="57"/>
    </w:p>
    <w:p w14:paraId="4CCA2B7C" w14:textId="77777777" w:rsidR="004B381D" w:rsidRDefault="000B7CBF" w:rsidP="000B7CBF">
      <w:pPr>
        <w:rPr>
          <w:iCs/>
        </w:rPr>
      </w:pPr>
      <w:r w:rsidRPr="000B7CBF">
        <w:rPr>
          <w:iCs/>
        </w:rPr>
        <w:t xml:space="preserve">The pivotal clinical study, CS3, included 144 subjects randomised to receive eplontersen 45 mg Q4W up to study week 81 with the external historical placebo control cohort of 60 subjects derived from study ISIS 420915-CS2. </w:t>
      </w:r>
    </w:p>
    <w:p w14:paraId="404BFBF1" w14:textId="77777777" w:rsidR="004B381D" w:rsidRDefault="000B7CBF" w:rsidP="000B7CBF">
      <w:pPr>
        <w:rPr>
          <w:iCs/>
        </w:rPr>
      </w:pPr>
      <w:r w:rsidRPr="000B7CBF">
        <w:rPr>
          <w:iCs/>
        </w:rPr>
        <w:lastRenderedPageBreak/>
        <w:t xml:space="preserve">In the eplontersen treatment group </w:t>
      </w:r>
      <w:proofErr w:type="gramStart"/>
      <w:r w:rsidRPr="000B7CBF">
        <w:rPr>
          <w:iCs/>
        </w:rPr>
        <w:t>the majority of</w:t>
      </w:r>
      <w:proofErr w:type="gramEnd"/>
      <w:r w:rsidRPr="000B7CBF">
        <w:rPr>
          <w:iCs/>
        </w:rPr>
        <w:t xml:space="preserve"> subjects were male (69.4%), White ethnicity (78.3%), with a mean age of 53.0 years and mean weight 70.319 kg. Study CS3 also included a historical </w:t>
      </w:r>
      <w:proofErr w:type="spellStart"/>
      <w:r w:rsidRPr="000B7CBF">
        <w:rPr>
          <w:iCs/>
        </w:rPr>
        <w:t>inotersen</w:t>
      </w:r>
      <w:proofErr w:type="spellEnd"/>
      <w:r w:rsidRPr="000B7CBF">
        <w:rPr>
          <w:iCs/>
        </w:rPr>
        <w:t xml:space="preserve"> treatment group comprising 113 subjects, and a concurrent </w:t>
      </w:r>
      <w:proofErr w:type="spellStart"/>
      <w:r w:rsidRPr="000B7CBF">
        <w:rPr>
          <w:iCs/>
        </w:rPr>
        <w:t>inotersen</w:t>
      </w:r>
      <w:proofErr w:type="spellEnd"/>
      <w:r w:rsidRPr="000B7CBF">
        <w:rPr>
          <w:iCs/>
        </w:rPr>
        <w:t xml:space="preserve"> group with 24 subjects. </w:t>
      </w:r>
      <w:proofErr w:type="gramStart"/>
      <w:r w:rsidRPr="000B7CBF">
        <w:rPr>
          <w:iCs/>
        </w:rPr>
        <w:t>The majority of</w:t>
      </w:r>
      <w:proofErr w:type="gramEnd"/>
      <w:r w:rsidRPr="000B7CBF">
        <w:rPr>
          <w:iCs/>
        </w:rPr>
        <w:t xml:space="preserve"> subjects across all treatment groups had stage 1 polyneuropathy at baseline. </w:t>
      </w:r>
    </w:p>
    <w:p w14:paraId="175BEBF7" w14:textId="77777777" w:rsidR="004B381D" w:rsidRDefault="000B7CBF" w:rsidP="000B7CBF">
      <w:pPr>
        <w:rPr>
          <w:iCs/>
        </w:rPr>
      </w:pPr>
      <w:r w:rsidRPr="000B7CBF">
        <w:rPr>
          <w:iCs/>
        </w:rPr>
        <w:t xml:space="preserve">The rationale for the </w:t>
      </w:r>
      <w:proofErr w:type="spellStart"/>
      <w:r w:rsidRPr="000B7CBF">
        <w:rPr>
          <w:iCs/>
        </w:rPr>
        <w:t>inotersen</w:t>
      </w:r>
      <w:proofErr w:type="spellEnd"/>
      <w:r w:rsidRPr="000B7CBF">
        <w:rPr>
          <w:iCs/>
        </w:rPr>
        <w:t xml:space="preserve"> treatment groups was to assess for meaningful differences in treatment response between populations in study ISIS 420915-CS2 and study CS3. An interim analysis at week 35 compared 2 co-primary endpoints between the eplontersen and historical placebo control groups, namely percent change in serum TTR concentration, and change in mNIS+7. If primary and secondary efficacy endpoints were found to be statistically significant at interim analysis, no formal testing was planned for final analysis at study week 66. </w:t>
      </w:r>
    </w:p>
    <w:p w14:paraId="7AABC9D5" w14:textId="3E0D17EE" w:rsidR="000B7CBF" w:rsidRPr="000B7CBF" w:rsidRDefault="000B7CBF" w:rsidP="000B7CBF">
      <w:pPr>
        <w:rPr>
          <w:iCs/>
        </w:rPr>
      </w:pPr>
      <w:r w:rsidRPr="000B7CBF">
        <w:rPr>
          <w:iCs/>
        </w:rPr>
        <w:t>Propensity scoring was used to counteract bias arising from the use of a historical placebo control group applying a logistic regression model with baseline covariates. Baseline demographic and disease characteristics were generally consistent between treatment groups</w:t>
      </w:r>
      <w:r w:rsidR="00484C23">
        <w:rPr>
          <w:iCs/>
        </w:rPr>
        <w:t>. O</w:t>
      </w:r>
      <w:r w:rsidRPr="000B7CBF">
        <w:rPr>
          <w:iCs/>
        </w:rPr>
        <w:t xml:space="preserve">bserved differences in baseline disease characteristics are likely of minimal clinical consequence when considered against the magnitude of treatment effect demonstrated. </w:t>
      </w:r>
    </w:p>
    <w:p w14:paraId="2B6AF3CE" w14:textId="77777777" w:rsidR="000B7CBF" w:rsidRPr="000B7CBF" w:rsidRDefault="000B7CBF" w:rsidP="000B7CBF">
      <w:pPr>
        <w:rPr>
          <w:iCs/>
        </w:rPr>
      </w:pPr>
      <w:r w:rsidRPr="000B7CBF">
        <w:rPr>
          <w:iCs/>
        </w:rPr>
        <w:t xml:space="preserve">At week 35 interim analysis all efficacy endpoints were met; serum TTR reduction was -14.8% (95% CI -18.73%, -10.80%) in the external placebo group compared to -81.2% (95% CI -84.55%, -77.84%) in the eplontersen group (treatment difference -66.4% [-71.39%, -61.47%] p&lt;0.0001), change in mNIS+7 composite score 9.2 (95% CI 5.54, 12.91) in the external placebo group compared to 0.2 (95% CI -3.46, 3.89) in the eplontersen group (treatment difference -9.0 [95% CI -13.48, -4.54] p&lt;0.0001), with Norfolk QoL-DN results also favouring eplontersen and reaching statistical significance. Week 66 results supported durability of response. Analyses for other efficacy endpoints and sensitivity analyses supported the primary efficacy analysis.  </w:t>
      </w:r>
    </w:p>
    <w:p w14:paraId="68C1A0DA" w14:textId="77777777" w:rsidR="004B381D" w:rsidRDefault="000B7CBF" w:rsidP="000B7CBF">
      <w:pPr>
        <w:rPr>
          <w:iCs/>
        </w:rPr>
      </w:pPr>
      <w:r w:rsidRPr="000B7CBF">
        <w:rPr>
          <w:iCs/>
        </w:rPr>
        <w:t>The complex pivotal study design and use of historical external control group as limitations of pivotal study design</w:t>
      </w:r>
      <w:r w:rsidR="00DE3091">
        <w:rPr>
          <w:iCs/>
        </w:rPr>
        <w:t xml:space="preserve"> are noted</w:t>
      </w:r>
      <w:r w:rsidRPr="000B7CBF">
        <w:rPr>
          <w:iCs/>
        </w:rPr>
        <w:t xml:space="preserve">, however, the rationale for this approach, namely that it would be unethical to proceed with a concurrent placebo control group for a progressive and debilitating condition with approved treatment options </w:t>
      </w:r>
      <w:r w:rsidR="00DE3091">
        <w:rPr>
          <w:iCs/>
        </w:rPr>
        <w:t xml:space="preserve">is accepted. </w:t>
      </w:r>
    </w:p>
    <w:p w14:paraId="4117F064" w14:textId="3C7828CA" w:rsidR="000B7CBF" w:rsidRPr="000B7CBF" w:rsidRDefault="00DE3091" w:rsidP="000B7CBF">
      <w:pPr>
        <w:rPr>
          <w:iCs/>
        </w:rPr>
      </w:pPr>
      <w:r>
        <w:rPr>
          <w:iCs/>
        </w:rPr>
        <w:t xml:space="preserve">It is also accepted that </w:t>
      </w:r>
      <w:r w:rsidR="000B7CBF" w:rsidRPr="000B7CBF">
        <w:rPr>
          <w:iCs/>
        </w:rPr>
        <w:t xml:space="preserve">ATTRv-PN is a rare disease with consequent difficulty recruiting adequate participants. It is also noted that design of study CS3 is </w:t>
      </w:r>
      <w:proofErr w:type="gramStart"/>
      <w:r w:rsidR="000B7CBF" w:rsidRPr="000B7CBF">
        <w:rPr>
          <w:iCs/>
        </w:rPr>
        <w:t>similar to</w:t>
      </w:r>
      <w:proofErr w:type="gramEnd"/>
      <w:r w:rsidR="000B7CBF" w:rsidRPr="000B7CBF">
        <w:rPr>
          <w:iCs/>
        </w:rPr>
        <w:t xml:space="preserve"> studies supporting regulatory approval for products with similar approved therapeutic indications. Choice of efficacy endpoints is considered adequate to support claims of efficacy in ATTRv-PN. </w:t>
      </w:r>
    </w:p>
    <w:p w14:paraId="4E6DFBE7" w14:textId="2BCE270B" w:rsidR="000B7CBF" w:rsidRPr="000B7CBF" w:rsidRDefault="000B7CBF" w:rsidP="000B7CBF">
      <w:pPr>
        <w:rPr>
          <w:iCs/>
        </w:rPr>
      </w:pPr>
      <w:r w:rsidRPr="000B7CBF">
        <w:rPr>
          <w:iCs/>
        </w:rPr>
        <w:t xml:space="preserve">Overall, efficacy results in study CS3 are considered clinically meaningful, with a large magnitude of clinical effect, and met prespecified criteria for statistical significance. Changes in the surrogate marker of serum TTR were correlated with stabilisation in deficits due to neuropathy, and improved subject-reported quality of life. Subgroup analysis found similar magnitude of effect across subgroups including age, sex, race, pathogenic variant TTR mutation and disease stage. </w:t>
      </w:r>
      <w:r w:rsidR="00DE3091">
        <w:rPr>
          <w:iCs/>
        </w:rPr>
        <w:t xml:space="preserve">The TGA accepts </w:t>
      </w:r>
      <w:r w:rsidRPr="000B7CBF">
        <w:rPr>
          <w:iCs/>
        </w:rPr>
        <w:t xml:space="preserve">that a recommendation in the PI for monthly dosing, as opposed to Q4W dosing as used in the pivotal study, is reasonable. </w:t>
      </w:r>
    </w:p>
    <w:p w14:paraId="6C65A302" w14:textId="77777777" w:rsidR="000B7CBF" w:rsidRPr="000B7CBF" w:rsidRDefault="000B7CBF" w:rsidP="000B7CBF">
      <w:pPr>
        <w:pStyle w:val="Heading4"/>
      </w:pPr>
      <w:bookmarkStart w:id="58" w:name="_Toc242958209"/>
      <w:r w:rsidRPr="000B7CBF">
        <w:t>Safety</w:t>
      </w:r>
      <w:bookmarkEnd w:id="58"/>
    </w:p>
    <w:p w14:paraId="122B789E" w14:textId="77777777" w:rsidR="000B7CBF" w:rsidRPr="000B7CBF" w:rsidRDefault="000B7CBF" w:rsidP="000B7CBF">
      <w:pPr>
        <w:rPr>
          <w:iCs/>
        </w:rPr>
      </w:pPr>
      <w:r w:rsidRPr="000B7CBF">
        <w:rPr>
          <w:iCs/>
        </w:rPr>
        <w:t xml:space="preserve">The safety profile of eplontersen was adequately described based on evaluable data from the pivotal study CS3, interim data from the long-term extension study CS13, and from 3 phase 1 studies, with an integrated safety summary comprising data from studies CS3 and CS13. There was mean exposure of 22 doses, and 628 days across 167 subjects. </w:t>
      </w:r>
    </w:p>
    <w:p w14:paraId="28BF06AA" w14:textId="77777777" w:rsidR="000B7CBF" w:rsidRPr="000B7CBF" w:rsidRDefault="000B7CBF" w:rsidP="000B7CBF">
      <w:pPr>
        <w:rPr>
          <w:iCs/>
        </w:rPr>
      </w:pPr>
      <w:r w:rsidRPr="000B7CBF">
        <w:rPr>
          <w:iCs/>
        </w:rPr>
        <w:t xml:space="preserve">Overall rates of TEAEs demonstrated vitamin A deficiency, vomiting, proteinuria and blurred vision occurring more frequently in eplontersen-treated subjects compared to historical </w:t>
      </w:r>
      <w:r w:rsidRPr="000B7CBF">
        <w:rPr>
          <w:iCs/>
        </w:rPr>
        <w:lastRenderedPageBreak/>
        <w:t xml:space="preserve">placebo. Injection site reactions were more common in those treated with eplontersen compared to placebo, but with low overall numbers. </w:t>
      </w:r>
    </w:p>
    <w:p w14:paraId="38AC4273" w14:textId="77777777" w:rsidR="00371345" w:rsidRDefault="000B7CBF" w:rsidP="000B7CBF">
      <w:pPr>
        <w:rPr>
          <w:iCs/>
        </w:rPr>
      </w:pPr>
      <w:r w:rsidRPr="000B7CBF">
        <w:rPr>
          <w:iCs/>
        </w:rPr>
        <w:t xml:space="preserve">Vitamin A deficiency is a known class effect for medicines that reduce serum TTR concentration and a predictable effect of eplontersen treatment. TTR protein functions as a carrier for vitamin A through its association with retinol binding protein 4 (RBP4), however, alternative pathways for vitamin A transport include transport of retinyl esters in chylomicrons, not related to serum TTR concentrations. PD results showed most participants having post-baseline vitamin A levels below the LLN after receiving eplontersen. Integrated safety data showed 19 events of vitamin A deficiency in 18 subjects (10.8%) treated with eplontersen, with the incidence of ocular adverse events potentially related to vitamin A deficiency 28.7%, with blurred vision and dry eye the </w:t>
      </w:r>
      <w:proofErr w:type="gramStart"/>
      <w:r w:rsidRPr="000B7CBF">
        <w:rPr>
          <w:iCs/>
        </w:rPr>
        <w:t>most commonly reported</w:t>
      </w:r>
      <w:proofErr w:type="gramEnd"/>
      <w:r w:rsidRPr="000B7CBF">
        <w:rPr>
          <w:iCs/>
        </w:rPr>
        <w:t xml:space="preserve">. </w:t>
      </w:r>
    </w:p>
    <w:p w14:paraId="436F6340" w14:textId="0022232E" w:rsidR="000B7CBF" w:rsidRPr="000B7CBF" w:rsidRDefault="000B7CBF" w:rsidP="000B7CBF">
      <w:pPr>
        <w:rPr>
          <w:iCs/>
        </w:rPr>
      </w:pPr>
      <w:r w:rsidRPr="000B7CBF">
        <w:rPr>
          <w:iCs/>
        </w:rPr>
        <w:t xml:space="preserve">Most reported ocular adverse events were mild to moderate in severity and none led to discontinuation of eplontersen. Presentation of this risk in the Australian PI, including recommendations for vitamin A supplementation while receiving eplontersen in section 4.2 of the PI, is considered adequate. </w:t>
      </w:r>
      <w:r w:rsidR="00DE3091">
        <w:rPr>
          <w:iCs/>
        </w:rPr>
        <w:t>I</w:t>
      </w:r>
      <w:r w:rsidRPr="000B7CBF">
        <w:rPr>
          <w:iCs/>
        </w:rPr>
        <w:t xml:space="preserve">t </w:t>
      </w:r>
      <w:r w:rsidR="00DE3091">
        <w:rPr>
          <w:iCs/>
        </w:rPr>
        <w:t xml:space="preserve">is </w:t>
      </w:r>
      <w:r w:rsidRPr="000B7CBF">
        <w:rPr>
          <w:iCs/>
        </w:rPr>
        <w:t xml:space="preserve">highly likely that the risk of vitamin A deficiency will be appreciated by prescribers experienced in the management of ATTRv-PN, that supplementation is highly accessible in the Australian context, and that monitoring both of vitamin A levels and screening for clinical manifestations of vitamin A deficiency are achievable in clinical practice. </w:t>
      </w:r>
    </w:p>
    <w:p w14:paraId="233F70A2" w14:textId="77777777" w:rsidR="000B7CBF" w:rsidRPr="000B7CBF" w:rsidRDefault="000B7CBF" w:rsidP="000B7CBF">
      <w:pPr>
        <w:rPr>
          <w:iCs/>
        </w:rPr>
      </w:pPr>
      <w:r w:rsidRPr="000B7CBF">
        <w:rPr>
          <w:iCs/>
        </w:rPr>
        <w:t xml:space="preserve">Whilst thrombocytopenia was observed more frequently in subjects treated with eplontersen compared to placebo, changes in platelet count were generally mild, transient and of no clinical consequence with no safety signal for bleeding episodes identified. </w:t>
      </w:r>
    </w:p>
    <w:p w14:paraId="53D0BD49" w14:textId="6BDB7779" w:rsidR="000B7CBF" w:rsidRPr="000B7CBF" w:rsidRDefault="000B7CBF" w:rsidP="000B7CBF">
      <w:pPr>
        <w:rPr>
          <w:iCs/>
        </w:rPr>
      </w:pPr>
      <w:r w:rsidRPr="000B7CBF">
        <w:rPr>
          <w:iCs/>
        </w:rPr>
        <w:t xml:space="preserve">There were 7 deaths recorded across clinical development for subjects treated with eplontersen; based on brief case narratives provided </w:t>
      </w:r>
      <w:proofErr w:type="spellStart"/>
      <w:r w:rsidRPr="000B7CBF">
        <w:rPr>
          <w:iCs/>
        </w:rPr>
        <w:t>t</w:t>
      </w:r>
      <w:proofErr w:type="spellEnd"/>
      <w:r w:rsidRPr="000B7CBF">
        <w:rPr>
          <w:iCs/>
        </w:rPr>
        <w:t xml:space="preserve"> the conclusions of the investigators that reported deaths were unlikely related to eplontersen treated, and more likely associated with underlying effects of ATTRv or other comorbidities</w:t>
      </w:r>
      <w:r w:rsidR="00DE3091">
        <w:rPr>
          <w:iCs/>
        </w:rPr>
        <w:t>, are accepted</w:t>
      </w:r>
      <w:r w:rsidRPr="000B7CBF">
        <w:rPr>
          <w:iCs/>
        </w:rPr>
        <w:t xml:space="preserve">. </w:t>
      </w:r>
    </w:p>
    <w:p w14:paraId="55A2E689" w14:textId="77777777" w:rsidR="00371345" w:rsidRDefault="000B7CBF" w:rsidP="000B7CBF">
      <w:pPr>
        <w:rPr>
          <w:iCs/>
        </w:rPr>
      </w:pPr>
      <w:r w:rsidRPr="000B7CBF">
        <w:rPr>
          <w:iCs/>
        </w:rPr>
        <w:t xml:space="preserve">In terms of potential renal toxicity comparison of baseline eGFR to nadir post-baseline eGFR showed a change to a lower category in 73 (43.7%) of subjects treated with eplontersen, and a higher rate of subjects experiencing ≥ 25% reduction in eGFR from baseline in those treated with eplontersen (38 subjects, 22.8%) compared to placebo (6 subjects, 10.0%), noting low numbers of subjects in each group. Proteinuria was reported as a TEAE in 16 (9.6%) subjects in the eplontersen-treated set. </w:t>
      </w:r>
    </w:p>
    <w:p w14:paraId="09FA6979" w14:textId="437E0C19" w:rsidR="000B7CBF" w:rsidRPr="000B7CBF" w:rsidRDefault="000B7CBF" w:rsidP="000B7CBF">
      <w:pPr>
        <w:rPr>
          <w:iCs/>
        </w:rPr>
      </w:pPr>
      <w:r w:rsidRPr="000B7CBF">
        <w:rPr>
          <w:iCs/>
        </w:rPr>
        <w:t xml:space="preserve">Whilst declining renal function and proteinuria are potential disease manifestations of ATTRv, given apparent differences between placebo and eplontersen treatment groups, the </w:t>
      </w:r>
      <w:r w:rsidR="00A606FB">
        <w:rPr>
          <w:iCs/>
        </w:rPr>
        <w:t>Sponsor</w:t>
      </w:r>
      <w:r w:rsidRPr="000B7CBF">
        <w:rPr>
          <w:iCs/>
        </w:rPr>
        <w:t xml:space="preserve"> will be asked to discuss the clinical significance of these observations. The proposed Australian PI does not include information or recommendations for monitoring of renal function. </w:t>
      </w:r>
    </w:p>
    <w:p w14:paraId="66ACF32A" w14:textId="2FE4ADB3" w:rsidR="000B7CBF" w:rsidRPr="000B7CBF" w:rsidRDefault="000B7CBF" w:rsidP="000B7CBF">
      <w:pPr>
        <w:rPr>
          <w:iCs/>
        </w:rPr>
      </w:pPr>
      <w:r w:rsidRPr="000B7CBF">
        <w:rPr>
          <w:iCs/>
        </w:rPr>
        <w:t xml:space="preserve">There was no evidence to suggest impact of treatment-emergent </w:t>
      </w:r>
      <w:r w:rsidR="00A9412F">
        <w:rPr>
          <w:iCs/>
        </w:rPr>
        <w:t xml:space="preserve">ADAs </w:t>
      </w:r>
      <w:r w:rsidRPr="000B7CBF">
        <w:rPr>
          <w:iCs/>
        </w:rPr>
        <w:t xml:space="preserve">on PK parameters, efficacy or safety. </w:t>
      </w:r>
    </w:p>
    <w:p w14:paraId="13F9728B" w14:textId="008E5A77" w:rsidR="000B7CBF" w:rsidRPr="000B7CBF" w:rsidRDefault="00A9412F" w:rsidP="000B7CBF">
      <w:pPr>
        <w:rPr>
          <w:iCs/>
        </w:rPr>
      </w:pPr>
      <w:r>
        <w:rPr>
          <w:iCs/>
        </w:rPr>
        <w:t>L</w:t>
      </w:r>
      <w:r w:rsidR="000B7CBF" w:rsidRPr="000B7CBF">
        <w:rPr>
          <w:iCs/>
        </w:rPr>
        <w:t>ong-term safety data is being collected as part of the ongoing long-term extension study CS13</w:t>
      </w:r>
      <w:r>
        <w:rPr>
          <w:iCs/>
        </w:rPr>
        <w:t xml:space="preserve">. The </w:t>
      </w:r>
      <w:r w:rsidR="000B7CBF" w:rsidRPr="000B7CBF">
        <w:rPr>
          <w:iCs/>
        </w:rPr>
        <w:t xml:space="preserve">provision of the final clinical study report for study CS13 is included as a condition of registration. </w:t>
      </w:r>
    </w:p>
    <w:p w14:paraId="63AC01A1" w14:textId="77777777" w:rsidR="000B7CBF" w:rsidRPr="000B7CBF" w:rsidRDefault="000B7CBF" w:rsidP="000B7CBF">
      <w:pPr>
        <w:pStyle w:val="Heading4"/>
      </w:pPr>
      <w:bookmarkStart w:id="59" w:name="_Toc242958210"/>
      <w:r w:rsidRPr="000B7CBF">
        <w:t>Other considerations</w:t>
      </w:r>
      <w:bookmarkEnd w:id="59"/>
    </w:p>
    <w:p w14:paraId="04DDAB2B" w14:textId="77777777" w:rsidR="00371345" w:rsidRDefault="00A9412F" w:rsidP="000B7CBF">
      <w:pPr>
        <w:rPr>
          <w:iCs/>
        </w:rPr>
      </w:pPr>
      <w:r>
        <w:rPr>
          <w:iCs/>
        </w:rPr>
        <w:t>T</w:t>
      </w:r>
      <w:r w:rsidR="000B7CBF" w:rsidRPr="000B7CBF">
        <w:rPr>
          <w:iCs/>
        </w:rPr>
        <w:t xml:space="preserve">he TGA tradename committee considered the proposed tradename, </w:t>
      </w:r>
      <w:r w:rsidR="00A606FB">
        <w:rPr>
          <w:iCs/>
        </w:rPr>
        <w:t>Wainua</w:t>
      </w:r>
      <w:r w:rsidR="000B7CBF" w:rsidRPr="000B7CBF">
        <w:rPr>
          <w:iCs/>
        </w:rPr>
        <w:t xml:space="preserve">, and recommended it as acceptable according to TGA requirements for naming of therapeutic goods. </w:t>
      </w:r>
    </w:p>
    <w:p w14:paraId="58C77419" w14:textId="6572EC3C" w:rsidR="000B7CBF" w:rsidRPr="000B7CBF" w:rsidRDefault="000B7CBF" w:rsidP="000B7CBF">
      <w:pPr>
        <w:rPr>
          <w:iCs/>
        </w:rPr>
      </w:pPr>
      <w:r w:rsidRPr="000B7CBF">
        <w:rPr>
          <w:iCs/>
        </w:rPr>
        <w:t>Whilst the name ‘</w:t>
      </w:r>
      <w:r w:rsidR="00A606FB">
        <w:rPr>
          <w:iCs/>
        </w:rPr>
        <w:t>Wainua</w:t>
      </w:r>
      <w:r w:rsidRPr="000B7CBF">
        <w:rPr>
          <w:iCs/>
        </w:rPr>
        <w:t xml:space="preserve">’ could be interpreted as suggesting the product is newer than other therapeutic goods with a similar therapeutic indication, which in turn could be interpreted </w:t>
      </w:r>
      <w:r w:rsidRPr="000B7CBF">
        <w:rPr>
          <w:iCs/>
        </w:rPr>
        <w:lastRenderedPageBreak/>
        <w:t xml:space="preserve">suggesting superiority of the product compared to these other therapeutic goods, the name is not overtly misleading and does not make any claims with regard to safety and efficacy. </w:t>
      </w:r>
      <w:r w:rsidR="00E330FD">
        <w:rPr>
          <w:iCs/>
        </w:rPr>
        <w:t>T</w:t>
      </w:r>
      <w:r w:rsidRPr="000B7CBF">
        <w:rPr>
          <w:iCs/>
        </w:rPr>
        <w:t>he recommendation of the tradename committee</w:t>
      </w:r>
      <w:r w:rsidR="00E330FD">
        <w:rPr>
          <w:iCs/>
        </w:rPr>
        <w:t xml:space="preserve"> was accepted</w:t>
      </w:r>
      <w:r w:rsidRPr="000B7CBF">
        <w:rPr>
          <w:iCs/>
        </w:rPr>
        <w:t xml:space="preserve">. </w:t>
      </w:r>
    </w:p>
    <w:p w14:paraId="76BDD186" w14:textId="18B0C5CB" w:rsidR="000B7CBF" w:rsidRPr="000B7CBF" w:rsidRDefault="000B7CBF" w:rsidP="000B7CBF">
      <w:pPr>
        <w:rPr>
          <w:iCs/>
        </w:rPr>
      </w:pPr>
      <w:r w:rsidRPr="000B7CBF">
        <w:rPr>
          <w:iCs/>
        </w:rPr>
        <w:t>With respect to bioequivalence between the autoinjector presentation and the vial and syringe presentation used in clinical development</w:t>
      </w:r>
      <w:r w:rsidR="00E330FD">
        <w:rPr>
          <w:iCs/>
        </w:rPr>
        <w:t xml:space="preserve">, </w:t>
      </w:r>
      <w:r w:rsidRPr="000B7CBF">
        <w:rPr>
          <w:iCs/>
        </w:rPr>
        <w:t xml:space="preserve">the upper bound of bioequivalence criteria for </w:t>
      </w:r>
      <w:proofErr w:type="spellStart"/>
      <w:r w:rsidRPr="000B7CBF">
        <w:rPr>
          <w:iCs/>
        </w:rPr>
        <w:t>C</w:t>
      </w:r>
      <w:r w:rsidRPr="000B7CBF">
        <w:rPr>
          <w:iCs/>
          <w:vertAlign w:val="subscript"/>
        </w:rPr>
        <w:t>max</w:t>
      </w:r>
      <w:proofErr w:type="spellEnd"/>
      <w:r w:rsidRPr="000B7CBF">
        <w:rPr>
          <w:iCs/>
          <w:vertAlign w:val="subscript"/>
        </w:rPr>
        <w:t xml:space="preserve"> </w:t>
      </w:r>
      <w:r w:rsidRPr="000B7CBF">
        <w:rPr>
          <w:iCs/>
        </w:rPr>
        <w:t xml:space="preserve">was exceeded in study CS21 during the comparison of these 2 presentations, with PK/PD modelling suggesting a slightly higher nominal delivered dose for the autoinjector presentation. Based on lack of significant differences in serum TTR concentration reduction, and no evidence to suggest differences in the safety profile of eplontersen between the 2 presentations, the presentations are </w:t>
      </w:r>
      <w:r w:rsidR="00E330FD">
        <w:rPr>
          <w:iCs/>
        </w:rPr>
        <w:t xml:space="preserve">considered </w:t>
      </w:r>
      <w:r w:rsidRPr="000B7CBF">
        <w:rPr>
          <w:iCs/>
        </w:rPr>
        <w:t xml:space="preserve">therapeutically equivalent. </w:t>
      </w:r>
      <w:r w:rsidRPr="000B7CBF">
        <w:rPr>
          <w:iCs/>
          <w:vertAlign w:val="subscript"/>
        </w:rPr>
        <w:t xml:space="preserve"> </w:t>
      </w:r>
    </w:p>
    <w:p w14:paraId="28CF239B" w14:textId="77777777" w:rsidR="000B7CBF" w:rsidRPr="000B7CBF" w:rsidRDefault="000B7CBF" w:rsidP="000B7CBF">
      <w:pPr>
        <w:pStyle w:val="Heading4"/>
      </w:pPr>
      <w:bookmarkStart w:id="60" w:name="_Toc242958211"/>
      <w:r w:rsidRPr="000B7CBF">
        <w:t>Conclusions</w:t>
      </w:r>
      <w:bookmarkEnd w:id="60"/>
    </w:p>
    <w:p w14:paraId="4127BA46" w14:textId="0421AAB9" w:rsidR="00E330FD" w:rsidRPr="00E330FD" w:rsidRDefault="000B7CBF" w:rsidP="000B7CBF">
      <w:r w:rsidRPr="000B7CBF">
        <w:t xml:space="preserve">The submitted dossier contains adequate evidence to establish safety, quality and efficacy of eplontersen as sodium, in the tradename </w:t>
      </w:r>
      <w:r w:rsidR="00A606FB">
        <w:t>Wainua</w:t>
      </w:r>
      <w:r w:rsidRPr="000B7CBF">
        <w:t>, for the proposed therapeutic indication</w:t>
      </w:r>
      <w:r w:rsidR="00E330FD">
        <w:t>:</w:t>
      </w:r>
    </w:p>
    <w:p w14:paraId="2BB4111A" w14:textId="77777777" w:rsidR="00E330FD" w:rsidRDefault="000B7CBF" w:rsidP="00E330FD">
      <w:pPr>
        <w:pStyle w:val="Indication"/>
      </w:pPr>
      <w:r w:rsidRPr="000B7CBF">
        <w:rPr>
          <w:iCs/>
        </w:rPr>
        <w:t>‘</w:t>
      </w:r>
      <w:r w:rsidRPr="000B7CBF">
        <w:t xml:space="preserve">…for the treatment of hereditary transthyretin-mediated amyloidosis (ATTRv) in adult patients with stage 1 or stage 2 polyneuropathy.’ </w:t>
      </w:r>
    </w:p>
    <w:p w14:paraId="2D95C4DB" w14:textId="2C21E752" w:rsidR="000B7CBF" w:rsidRPr="000B7CBF" w:rsidRDefault="000B7CBF" w:rsidP="000B7CBF">
      <w:pPr>
        <w:rPr>
          <w:iCs/>
        </w:rPr>
      </w:pPr>
      <w:r w:rsidRPr="000B7CBF">
        <w:rPr>
          <w:iCs/>
        </w:rPr>
        <w:t xml:space="preserve">There are no outstanding clinical, nonclinical, manufacturing or quality evaluation issues which would preclude approval of the application. </w:t>
      </w:r>
    </w:p>
    <w:p w14:paraId="307F236C" w14:textId="7FD19BD3" w:rsidR="00C22214" w:rsidRPr="002E238E" w:rsidRDefault="0046285C" w:rsidP="00C22214">
      <w:pPr>
        <w:pStyle w:val="Heading2"/>
      </w:pPr>
      <w:bookmarkStart w:id="61" w:name="_Toc247691532"/>
      <w:bookmarkStart w:id="62" w:name="_Toc314842516"/>
      <w:bookmarkStart w:id="63" w:name="_Toc103679300"/>
      <w:bookmarkStart w:id="64" w:name="_Toc242958212"/>
      <w:r>
        <w:t>Assessment</w:t>
      </w:r>
      <w:r w:rsidR="00190853">
        <w:t xml:space="preserve"> </w:t>
      </w:r>
      <w:r>
        <w:t>o</w:t>
      </w:r>
      <w:r w:rsidR="00C22214">
        <w:t>utcome</w:t>
      </w:r>
      <w:bookmarkEnd w:id="61"/>
      <w:bookmarkEnd w:id="62"/>
      <w:bookmarkEnd w:id="63"/>
      <w:bookmarkEnd w:id="64"/>
    </w:p>
    <w:p w14:paraId="4EF22939" w14:textId="6A26FBAE" w:rsidR="00C22214" w:rsidRDefault="00C22214" w:rsidP="0006104E">
      <w:r w:rsidRPr="0017005C">
        <w:t xml:space="preserve">Based on a review of quality, safety, and efficacy, the TGA </w:t>
      </w:r>
      <w:r w:rsidR="00B46DFB">
        <w:t>decided to</w:t>
      </w:r>
      <w:r w:rsidRPr="0017005C">
        <w:t xml:space="preserve"> regist</w:t>
      </w:r>
      <w:r w:rsidR="00B46DFB">
        <w:t>er</w:t>
      </w:r>
      <w:r w:rsidRPr="0017005C">
        <w:t xml:space="preserve"> </w:t>
      </w:r>
      <w:r w:rsidR="00A606FB">
        <w:t>Wainua</w:t>
      </w:r>
      <w:r w:rsidR="000B7CBF">
        <w:t xml:space="preserve"> (</w:t>
      </w:r>
      <w:r w:rsidR="000B7CBF" w:rsidRPr="000B7CBF">
        <w:t>eplontersen</w:t>
      </w:r>
      <w:r w:rsidR="000B7CBF">
        <w:t>)</w:t>
      </w:r>
      <w:r w:rsidRPr="0017005C">
        <w:t xml:space="preserve"> for the following indications:</w:t>
      </w:r>
    </w:p>
    <w:p w14:paraId="114AFD87" w14:textId="6558A618" w:rsidR="000B7CBF" w:rsidRPr="0017005C" w:rsidRDefault="00A606FB" w:rsidP="000B7CBF">
      <w:pPr>
        <w:pStyle w:val="Indication"/>
      </w:pPr>
      <w:r>
        <w:t>Wainua</w:t>
      </w:r>
      <w:r w:rsidR="000B7CBF" w:rsidRPr="000B7CBF">
        <w:t xml:space="preserve"> is indicated for the treatment of hereditary transthyretin-mediated amyloidosis (ATTRv) in adult patients with stage 1 or stage 2 polyneuropathy.</w:t>
      </w:r>
    </w:p>
    <w:p w14:paraId="2884486F" w14:textId="77777777" w:rsidR="000B7CBF" w:rsidRDefault="00854D98" w:rsidP="004B2938">
      <w:pPr>
        <w:pStyle w:val="Heading4"/>
      </w:pPr>
      <w:bookmarkStart w:id="65" w:name="_Toc242958213"/>
      <w:bookmarkStart w:id="66" w:name="_Toc103679301"/>
      <w:r w:rsidRPr="00D23139">
        <w:t>Specific conditions of registration</w:t>
      </w:r>
      <w:bookmarkEnd w:id="65"/>
    </w:p>
    <w:bookmarkEnd w:id="66"/>
    <w:p w14:paraId="0D39C31F" w14:textId="721E3C29" w:rsidR="000B7CBF" w:rsidRDefault="00A606FB" w:rsidP="000B7CBF">
      <w:pPr>
        <w:pStyle w:val="ListBullet"/>
      </w:pPr>
      <w:r>
        <w:t>Wainua</w:t>
      </w:r>
      <w:r w:rsidR="000B7CBF">
        <w:t xml:space="preserve"> (eplontersen sodium) is to be included in the Black Triangle Scheme. The PI and CMI for </w:t>
      </w:r>
      <w:r>
        <w:t>Wainua</w:t>
      </w:r>
      <w:r w:rsidR="000B7CBF">
        <w:t xml:space="preserve"> must include the black triangle symbol and mandatory accompanying text for five years, which starts from the date of first supply of the product.</w:t>
      </w:r>
    </w:p>
    <w:p w14:paraId="06FCC12A" w14:textId="7769CAF6" w:rsidR="000B7CBF" w:rsidRDefault="000B7CBF" w:rsidP="000B7CBF">
      <w:pPr>
        <w:pStyle w:val="ListBullet"/>
      </w:pPr>
      <w:r>
        <w:t xml:space="preserve">The </w:t>
      </w:r>
      <w:r w:rsidR="00A606FB">
        <w:t>Wainua</w:t>
      </w:r>
      <w:r>
        <w:t xml:space="preserve"> EU-Risk Management Plan (RMP) (version 1 succession 4, dated 10 September 2024, data lock point 7 April 2023), with Australia-Specific Annex (ASA) (version 1 Succession 1, dated 19 May 2025), included with submission PM-2025-02079-1-5, and any subsequent revisions, as agreed with the TGA will be implemented in Australia.</w:t>
      </w:r>
    </w:p>
    <w:p w14:paraId="7ACC36BC" w14:textId="5706BE13" w:rsidR="000B7CBF" w:rsidRDefault="000B7CBF" w:rsidP="000B7CBF">
      <w:pPr>
        <w:pStyle w:val="ListBullet"/>
      </w:pPr>
      <w:r>
        <w:t>An obligatory component of risk management plans is routine pharmacovigilance. Routine pharmacovigilance includes the submission of periodic safety update reports (PSURs).</w:t>
      </w:r>
    </w:p>
    <w:p w14:paraId="0AD1E4B5" w14:textId="77777777" w:rsidR="000B7CBF" w:rsidRDefault="000B7CBF" w:rsidP="000B7CBF">
      <w:pPr>
        <w:pStyle w:val="ListBullet"/>
        <w:numPr>
          <w:ilvl w:val="0"/>
          <w:numId w:val="0"/>
        </w:numPr>
        <w:ind w:left="360"/>
      </w:pPr>
      <w:r>
        <w:t>Reports are to be provided in line with the current published list of EU reference dates and frequency of submission of PSURs until the period covered by such reports is not less than three years from the date of this approval letter. Each report must be submitted within ninety calendar days of the data lock point for that report.</w:t>
      </w:r>
    </w:p>
    <w:p w14:paraId="701989F5" w14:textId="77777777" w:rsidR="000B7CBF" w:rsidRDefault="000B7CBF" w:rsidP="000B7CBF">
      <w:pPr>
        <w:pStyle w:val="ListBullet"/>
        <w:numPr>
          <w:ilvl w:val="0"/>
          <w:numId w:val="0"/>
        </w:numPr>
        <w:ind w:left="360"/>
      </w:pPr>
      <w:r>
        <w:t>The reports are to at least meet the requirements for PSURs as described in the European Medicines Agency’s Guideline on good pharmacovigilance practices (GVP) Module VII-periodic safety update report (Rev 1), Part VII.B Structures and processes. Note that submission of a PSUR does not constitute an application to vary the registration.</w:t>
      </w:r>
    </w:p>
    <w:p w14:paraId="0D732DA4" w14:textId="38B6B7B1" w:rsidR="00854D98" w:rsidRPr="00D23139" w:rsidRDefault="000B7CBF" w:rsidP="000B7CBF">
      <w:pPr>
        <w:pStyle w:val="ListBullet"/>
      </w:pPr>
      <w:r>
        <w:t>Submission of final Clinical Study Report for study ION-682884-CS13</w:t>
      </w:r>
    </w:p>
    <w:p w14:paraId="0F9C1952" w14:textId="46BD475E" w:rsidR="00BA657C" w:rsidRPr="00BA657C" w:rsidRDefault="00BA657C" w:rsidP="004B2938">
      <w:pPr>
        <w:pStyle w:val="Heading4"/>
      </w:pPr>
      <w:bookmarkStart w:id="67" w:name="_Toc242958214"/>
      <w:bookmarkStart w:id="68" w:name="_Toc196738290"/>
      <w:r w:rsidRPr="00BA657C">
        <w:lastRenderedPageBreak/>
        <w:t>Product Information and Consumer Medicine Information</w:t>
      </w:r>
      <w:bookmarkEnd w:id="67"/>
      <w:r w:rsidRPr="00BA657C">
        <w:t xml:space="preserve"> </w:t>
      </w:r>
      <w:bookmarkEnd w:id="68"/>
    </w:p>
    <w:p w14:paraId="5F276616" w14:textId="6667B73D" w:rsidR="004D0933" w:rsidRPr="004D0933" w:rsidRDefault="004D0933" w:rsidP="004D0933">
      <w:bookmarkStart w:id="69" w:name="_Hlk200021736"/>
      <w:r w:rsidRPr="004D0933">
        <w:t xml:space="preserve">For the most recent Product Information (PI) and Consumer Medicine Information (CMI), please refer to the TGA </w:t>
      </w:r>
      <w:hyperlink r:id="rId26" w:history="1">
        <w:r w:rsidRPr="004D0933">
          <w:rPr>
            <w:rStyle w:val="Hyperlink"/>
          </w:rPr>
          <w:t>PI/CMI search facility.</w:t>
        </w:r>
      </w:hyperlink>
    </w:p>
    <w:bookmarkEnd w:id="69"/>
    <w:p w14:paraId="40740B65" w14:textId="5819D664" w:rsidR="00C22214" w:rsidRPr="008B4DA3" w:rsidRDefault="00C22214" w:rsidP="00C22214">
      <w:pPr>
        <w:autoSpaceDE w:val="0"/>
        <w:autoSpaceDN w:val="0"/>
        <w:adjustRightInd w:val="0"/>
        <w:spacing w:after="0"/>
      </w:pPr>
    </w:p>
    <w:p w14:paraId="53357BF3" w14:textId="276457B5" w:rsidR="00C22214" w:rsidRDefault="00C22214" w:rsidP="00C22214">
      <w:pPr>
        <w:rPr>
          <w:lang w:eastAsia="ja-JP"/>
        </w:rPr>
        <w:sectPr w:rsidR="00C22214" w:rsidSect="007452E8">
          <w:headerReference w:type="default" r:id="rId27"/>
          <w:footerReference w:type="default" r:id="rId28"/>
          <w:pgSz w:w="11906" w:h="16838" w:code="9"/>
          <w:pgMar w:top="1134" w:right="1418" w:bottom="1361" w:left="1418" w:header="573" w:footer="567" w:gutter="0"/>
          <w:cols w:space="708"/>
          <w:docGrid w:linePitch="360"/>
        </w:sectPr>
      </w:pPr>
    </w:p>
    <w:tbl>
      <w:tblPr>
        <w:tblW w:w="9145" w:type="dxa"/>
        <w:jc w:val="center"/>
        <w:tblLayout w:type="fixed"/>
        <w:tblCellMar>
          <w:left w:w="0" w:type="dxa"/>
          <w:right w:w="0" w:type="dxa"/>
        </w:tblCellMar>
        <w:tblLook w:val="04A0" w:firstRow="1" w:lastRow="0" w:firstColumn="1" w:lastColumn="0" w:noHBand="0" w:noVBand="1"/>
      </w:tblPr>
      <w:tblGrid>
        <w:gridCol w:w="9145"/>
      </w:tblGrid>
      <w:tr w:rsidR="00F02AEC" w:rsidRPr="00215D48" w14:paraId="3C0C07BF" w14:textId="77777777" w:rsidTr="007452E8">
        <w:trPr>
          <w:trHeight w:hRule="exact" w:val="565"/>
          <w:jc w:val="center"/>
        </w:trPr>
        <w:tc>
          <w:tcPr>
            <w:tcW w:w="9145" w:type="dxa"/>
          </w:tcPr>
          <w:bookmarkEnd w:id="3"/>
          <w:bookmarkEnd w:id="4"/>
          <w:p w14:paraId="7E090B86" w14:textId="77777777" w:rsidR="00F02AEC" w:rsidRPr="00215D48" w:rsidRDefault="00F02AEC" w:rsidP="007452E8">
            <w:pPr>
              <w:pStyle w:val="TGASignoff"/>
            </w:pPr>
            <w:r w:rsidRPr="00215D48">
              <w:lastRenderedPageBreak/>
              <w:t>Therapeutic Goods Administration</w:t>
            </w:r>
          </w:p>
        </w:tc>
      </w:tr>
      <w:tr w:rsidR="00F02AEC" w:rsidRPr="00215D48" w14:paraId="70F47EA1" w14:textId="77777777" w:rsidTr="007452E8">
        <w:trPr>
          <w:trHeight w:val="963"/>
          <w:jc w:val="center"/>
        </w:trPr>
        <w:tc>
          <w:tcPr>
            <w:tcW w:w="9145" w:type="dxa"/>
            <w:tcMar>
              <w:top w:w="28" w:type="dxa"/>
            </w:tcMar>
          </w:tcPr>
          <w:p w14:paraId="3491EBCD" w14:textId="77777777" w:rsidR="00F02AEC" w:rsidRPr="00215D48" w:rsidRDefault="00F02AEC" w:rsidP="007452E8">
            <w:pPr>
              <w:pStyle w:val="Address"/>
              <w:jc w:val="center"/>
            </w:pPr>
            <w:r w:rsidRPr="00215D48">
              <w:t>PO Box 100 Woden ACT 2606 Australia</w:t>
            </w:r>
          </w:p>
          <w:p w14:paraId="5D0FE0E7" w14:textId="53CB9479" w:rsidR="00F02AEC" w:rsidRDefault="00F02AEC">
            <w:pPr>
              <w:pStyle w:val="Address"/>
              <w:jc w:val="center"/>
              <w:rPr>
                <w:sz w:val="22"/>
                <w:szCs w:val="22"/>
              </w:rPr>
            </w:pPr>
            <w:r w:rsidRPr="00215D48">
              <w:t xml:space="preserve">Email: </w:t>
            </w:r>
            <w:hyperlink r:id="rId29" w:history="1">
              <w:r w:rsidRPr="00215D48">
                <w:rPr>
                  <w:rStyle w:val="Hyperlink"/>
                </w:rPr>
                <w:t>info@tga.gov.au</w:t>
              </w:r>
            </w:hyperlink>
            <w:r w:rsidRPr="00215D48">
              <w:t xml:space="preserve">  Phone: 1800 020 </w:t>
            </w:r>
            <w:proofErr w:type="gramStart"/>
            <w:r w:rsidRPr="00215D48">
              <w:t>653  Fax</w:t>
            </w:r>
            <w:proofErr w:type="gramEnd"/>
            <w:r w:rsidRPr="00215D48">
              <w:t xml:space="preserve">: </w:t>
            </w:r>
            <w:r w:rsidRPr="00BA0DFC">
              <w:t>02 6203 1605</w:t>
            </w:r>
          </w:p>
          <w:p w14:paraId="4533D80F" w14:textId="1519D7A3" w:rsidR="00F02AEC" w:rsidRPr="00215D48" w:rsidRDefault="00F02AEC">
            <w:pPr>
              <w:pStyle w:val="Address"/>
              <w:jc w:val="center"/>
              <w:rPr>
                <w:rStyle w:val="Hyperlink"/>
                <w:b/>
                <w:color w:val="auto"/>
                <w:sz w:val="22"/>
              </w:rPr>
            </w:pPr>
            <w:hyperlink r:id="rId30" w:history="1">
              <w:r w:rsidRPr="00C4721A">
                <w:rPr>
                  <w:rStyle w:val="Hyperlink"/>
                  <w:b/>
                </w:rPr>
                <w:t>https://www.tga.gov.au</w:t>
              </w:r>
            </w:hyperlink>
          </w:p>
        </w:tc>
      </w:tr>
      <w:tr w:rsidR="00F02AEC" w:rsidRPr="00215D48" w14:paraId="2AD74347" w14:textId="77777777" w:rsidTr="007452E8">
        <w:trPr>
          <w:trHeight w:val="251"/>
          <w:jc w:val="center"/>
        </w:trPr>
        <w:tc>
          <w:tcPr>
            <w:tcW w:w="9145" w:type="dxa"/>
            <w:tcMar>
              <w:top w:w="28" w:type="dxa"/>
            </w:tcMar>
          </w:tcPr>
          <w:p w14:paraId="6EAAD5C1" w14:textId="77777777" w:rsidR="00F02AEC" w:rsidRPr="00215D48" w:rsidRDefault="00F02AEC" w:rsidP="007452E8">
            <w:pPr>
              <w:pStyle w:val="Address"/>
              <w:jc w:val="center"/>
            </w:pPr>
            <w:r w:rsidRPr="00215D48">
              <w:t>Reference/Publication #</w:t>
            </w:r>
          </w:p>
        </w:tc>
      </w:tr>
    </w:tbl>
    <w:p w14:paraId="788B80FD" w14:textId="77777777" w:rsidR="007452E8" w:rsidRDefault="007452E8"/>
    <w:sectPr w:rsidR="007452E8" w:rsidSect="007452E8">
      <w:headerReference w:type="first" r:id="rId31"/>
      <w:footerReference w:type="first" r:id="rId32"/>
      <w:pgSz w:w="11906" w:h="16838" w:code="9"/>
      <w:pgMar w:top="13571" w:right="1701" w:bottom="567" w:left="1701" w:header="1134" w:footer="7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77C62" w14:textId="77777777" w:rsidR="00A815A7" w:rsidRDefault="00A815A7" w:rsidP="00F02AEC">
      <w:pPr>
        <w:spacing w:after="0" w:line="240" w:lineRule="auto"/>
      </w:pPr>
      <w:r>
        <w:separator/>
      </w:r>
    </w:p>
  </w:endnote>
  <w:endnote w:type="continuationSeparator" w:id="0">
    <w:p w14:paraId="6A3439B8" w14:textId="77777777" w:rsidR="00A815A7" w:rsidRDefault="00A815A7" w:rsidP="00F02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A2E20" w14:textId="32DF121F" w:rsidR="007E4FF8" w:rsidRDefault="007E4FF8">
    <w:pPr>
      <w:pStyle w:val="Footer"/>
    </w:pPr>
    <w:r>
      <w:rPr>
        <w:noProof/>
      </w:rPr>
      <mc:AlternateContent>
        <mc:Choice Requires="wps">
          <w:drawing>
            <wp:anchor distT="0" distB="0" distL="0" distR="0" simplePos="0" relativeHeight="251667456" behindDoc="0" locked="0" layoutInCell="1" allowOverlap="1" wp14:anchorId="32C7110B" wp14:editId="569C8F27">
              <wp:simplePos x="635" y="635"/>
              <wp:positionH relativeFrom="page">
                <wp:align>center</wp:align>
              </wp:positionH>
              <wp:positionV relativeFrom="page">
                <wp:align>bottom</wp:align>
              </wp:positionV>
              <wp:extent cx="622300" cy="391160"/>
              <wp:effectExtent l="0" t="0" r="6350" b="0"/>
              <wp:wrapNone/>
              <wp:docPr id="1774368477"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933EE99" w14:textId="0855600B"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C7110B" id="_x0000_t202" coordsize="21600,21600" o:spt="202" path="m,l,21600r21600,l21600,xe">
              <v:stroke joinstyle="miter"/>
              <v:path gradientshapeok="t" o:connecttype="rect"/>
            </v:shapetype>
            <v:shape id="Text Box 7" o:spid="_x0000_s1028" type="#_x0000_t202" alt="OFFICIAL" style="position:absolute;margin-left:0;margin-top:0;width:49pt;height:30.8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textbox style="mso-fit-shape-to-text:t" inset="0,0,0,15pt">
                <w:txbxContent>
                  <w:p w14:paraId="6933EE99" w14:textId="0855600B"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7452E8" w:rsidRPr="00257138" w14:paraId="162D69C2" w14:textId="77777777" w:rsidTr="007452E8">
      <w:trPr>
        <w:trHeight w:val="423"/>
      </w:trPr>
      <w:tc>
        <w:tcPr>
          <w:tcW w:w="4360" w:type="dxa"/>
          <w:tcBorders>
            <w:top w:val="single" w:sz="4" w:space="0" w:color="auto"/>
          </w:tcBorders>
        </w:tcPr>
        <w:p w14:paraId="32E1B782" w14:textId="7DAC4767" w:rsidR="007452E8" w:rsidRDefault="007E4FF8" w:rsidP="007452E8">
          <w:pPr>
            <w:pStyle w:val="Footer"/>
          </w:pPr>
          <w:r>
            <w:rPr>
              <w:noProof/>
            </w:rPr>
            <mc:AlternateContent>
              <mc:Choice Requires="wps">
                <w:drawing>
                  <wp:anchor distT="0" distB="0" distL="0" distR="0" simplePos="0" relativeHeight="251668480" behindDoc="0" locked="0" layoutInCell="1" allowOverlap="1" wp14:anchorId="553C4243" wp14:editId="46704321">
                    <wp:simplePos x="635" y="635"/>
                    <wp:positionH relativeFrom="page">
                      <wp:align>center</wp:align>
                    </wp:positionH>
                    <wp:positionV relativeFrom="page">
                      <wp:align>bottom</wp:align>
                    </wp:positionV>
                    <wp:extent cx="622300" cy="391160"/>
                    <wp:effectExtent l="0" t="0" r="6350" b="0"/>
                    <wp:wrapNone/>
                    <wp:docPr id="973010959"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1E1F748" w14:textId="24D8435A"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3C4243" id="_x0000_t202" coordsize="21600,21600" o:spt="202" path="m,l,21600r21600,l21600,xe">
                    <v:stroke joinstyle="miter"/>
                    <v:path gradientshapeok="t" o:connecttype="rect"/>
                  </v:shapetype>
                  <v:shape id="Text Box 8" o:spid="_x0000_s1029" type="#_x0000_t202" alt="OFFICIAL" style="position:absolute;margin-left:0;margin-top:0;width:49pt;height:30.8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textbox style="mso-fit-shape-to-text:t" inset="0,0,0,15pt">
                      <w:txbxContent>
                        <w:p w14:paraId="11E1F748" w14:textId="24D8435A"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p>
        <w:p w14:paraId="1849C07C" w14:textId="77777777" w:rsidR="007452E8" w:rsidRPr="00257138" w:rsidRDefault="007452E8" w:rsidP="007452E8">
          <w:pPr>
            <w:pStyle w:val="Footer"/>
          </w:pPr>
          <w:r w:rsidRPr="00257138">
            <w:t>Document title</w:t>
          </w:r>
        </w:p>
      </w:tc>
      <w:tc>
        <w:tcPr>
          <w:tcW w:w="4360" w:type="dxa"/>
          <w:tcBorders>
            <w:top w:val="single" w:sz="4" w:space="0" w:color="auto"/>
          </w:tcBorders>
        </w:tcPr>
        <w:sdt>
          <w:sdtPr>
            <w:id w:val="1087729233"/>
            <w:docPartObj>
              <w:docPartGallery w:val="Page Numbers (Top of Page)"/>
              <w:docPartUnique/>
            </w:docPartObj>
          </w:sdtPr>
          <w:sdtEndPr/>
          <w:sdtContent>
            <w:p w14:paraId="606A08BF" w14:textId="77777777" w:rsidR="007452E8" w:rsidRDefault="007452E8" w:rsidP="007452E8">
              <w:pPr>
                <w:pStyle w:val="Footer"/>
                <w:jc w:val="right"/>
              </w:pPr>
            </w:p>
            <w:p w14:paraId="5EDE6DF6" w14:textId="77777777" w:rsidR="007452E8" w:rsidRPr="00257138" w:rsidRDefault="007452E8" w:rsidP="007452E8">
              <w:pPr>
                <w:pStyle w:val="Footer"/>
                <w:jc w:val="right"/>
              </w:pPr>
              <w:r w:rsidRPr="00257138">
                <w:t xml:space="preserve">Page </w:t>
              </w:r>
              <w:r>
                <w:fldChar w:fldCharType="begin"/>
              </w:r>
              <w:r>
                <w:instrText xml:space="preserve"> PAGE </w:instrText>
              </w:r>
              <w:r>
                <w:fldChar w:fldCharType="separate"/>
              </w:r>
              <w:r>
                <w:rPr>
                  <w:noProof/>
                </w:rPr>
                <w:t>2</w:t>
              </w:r>
              <w:r>
                <w:rPr>
                  <w:noProof/>
                </w:rPr>
                <w:fldChar w:fldCharType="end"/>
              </w:r>
              <w:r w:rsidRPr="00257138">
                <w:t xml:space="preserve"> of </w:t>
              </w:r>
              <w:fldSimple w:instr=" NUMPAGES  ">
                <w:r>
                  <w:rPr>
                    <w:noProof/>
                  </w:rPr>
                  <w:t>2</w:t>
                </w:r>
              </w:fldSimple>
            </w:p>
          </w:sdtContent>
        </w:sdt>
      </w:tc>
    </w:tr>
    <w:tr w:rsidR="007452E8" w:rsidRPr="00257138" w14:paraId="280F09C8" w14:textId="77777777" w:rsidTr="007452E8">
      <w:trPr>
        <w:trHeight w:val="263"/>
      </w:trPr>
      <w:tc>
        <w:tcPr>
          <w:tcW w:w="4360" w:type="dxa"/>
        </w:tcPr>
        <w:p w14:paraId="673F06D3" w14:textId="77777777" w:rsidR="007452E8" w:rsidRPr="00257138" w:rsidRDefault="007452E8" w:rsidP="007452E8">
          <w:pPr>
            <w:pStyle w:val="Footer"/>
          </w:pPr>
          <w:r w:rsidRPr="00257138">
            <w:t xml:space="preserve">V1.0 </w:t>
          </w:r>
          <w:r>
            <w:t>Month</w:t>
          </w:r>
          <w:r w:rsidRPr="00257138">
            <w:t xml:space="preserve"> 201</w:t>
          </w:r>
          <w:r>
            <w:t>2</w:t>
          </w:r>
        </w:p>
      </w:tc>
      <w:tc>
        <w:tcPr>
          <w:tcW w:w="4360" w:type="dxa"/>
        </w:tcPr>
        <w:p w14:paraId="77F5B433" w14:textId="77777777" w:rsidR="007452E8" w:rsidRPr="00257138" w:rsidRDefault="007452E8" w:rsidP="007452E8">
          <w:pPr>
            <w:pStyle w:val="Footer"/>
            <w:jc w:val="right"/>
          </w:pPr>
        </w:p>
      </w:tc>
    </w:tr>
  </w:tbl>
  <w:p w14:paraId="63F6FDDE" w14:textId="77777777" w:rsidR="007452E8" w:rsidRPr="00826007" w:rsidRDefault="007452E8" w:rsidP="007452E8">
    <w:pPr>
      <w:pStyle w:val="Footer"/>
      <w:tabs>
        <w:tab w:val="left" w:pos="7620"/>
        <w:tab w:val="right" w:pos="850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A29C" w14:textId="766C74AA" w:rsidR="007452E8" w:rsidRDefault="007E4FF8" w:rsidP="007452E8">
    <w:pPr>
      <w:pStyle w:val="Footer"/>
      <w:ind w:left="-1701"/>
    </w:pPr>
    <w:r>
      <w:rPr>
        <w:noProof/>
      </w:rPr>
      <mc:AlternateContent>
        <mc:Choice Requires="wps">
          <w:drawing>
            <wp:anchor distT="0" distB="0" distL="0" distR="0" simplePos="0" relativeHeight="251666432" behindDoc="0" locked="0" layoutInCell="1" allowOverlap="1" wp14:anchorId="39C48635" wp14:editId="0BB44853">
              <wp:simplePos x="635" y="635"/>
              <wp:positionH relativeFrom="page">
                <wp:align>center</wp:align>
              </wp:positionH>
              <wp:positionV relativeFrom="page">
                <wp:align>bottom</wp:align>
              </wp:positionV>
              <wp:extent cx="622300" cy="391160"/>
              <wp:effectExtent l="0" t="0" r="6350" b="0"/>
              <wp:wrapNone/>
              <wp:docPr id="38928185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33C04EA" w14:textId="00952F0C"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C48635" id="_x0000_t202" coordsize="21600,21600" o:spt="202" path="m,l,21600r21600,l21600,xe">
              <v:stroke joinstyle="miter"/>
              <v:path gradientshapeok="t" o:connecttype="rect"/>
            </v:shapetype>
            <v:shape id="Text Box 6" o:spid="_x0000_s1031" type="#_x0000_t202" alt="OFFICIAL" style="position:absolute;left:0;text-align:left;margin-left:0;margin-top:0;width:49pt;height:30.8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textbox style="mso-fit-shape-to-text:t" inset="0,0,0,15pt">
                <w:txbxContent>
                  <w:p w14:paraId="133C04EA" w14:textId="00952F0C"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r w:rsidR="007452E8" w:rsidRPr="002B29B2">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tblCellMar>
      <w:tblLook w:val="04A0" w:firstRow="1" w:lastRow="0" w:firstColumn="1" w:lastColumn="0" w:noHBand="0" w:noVBand="1"/>
    </w:tblPr>
    <w:tblGrid>
      <w:gridCol w:w="7338"/>
      <w:gridCol w:w="1734"/>
    </w:tblGrid>
    <w:tr w:rsidR="007452E8" w:rsidRPr="004A3084" w14:paraId="6266BC33" w14:textId="77777777" w:rsidTr="007452E8">
      <w:trPr>
        <w:trHeight w:val="423"/>
      </w:trPr>
      <w:tc>
        <w:tcPr>
          <w:tcW w:w="7338" w:type="dxa"/>
          <w:tcBorders>
            <w:top w:val="single" w:sz="4" w:space="0" w:color="auto"/>
          </w:tcBorders>
        </w:tcPr>
        <w:p w14:paraId="3C421323" w14:textId="1DC85ED6" w:rsidR="007452E8" w:rsidRPr="00B702F0" w:rsidRDefault="007E4FF8" w:rsidP="007452E8">
          <w:pPr>
            <w:pStyle w:val="Footer"/>
          </w:pPr>
          <w:r w:rsidRPr="00B702F0">
            <w:rPr>
              <w:noProof/>
            </w:rPr>
            <mc:AlternateContent>
              <mc:Choice Requires="wps">
                <w:drawing>
                  <wp:anchor distT="0" distB="0" distL="0" distR="0" simplePos="0" relativeHeight="251669504" behindDoc="0" locked="0" layoutInCell="1" allowOverlap="1" wp14:anchorId="17DC9217" wp14:editId="6D91AF89">
                    <wp:simplePos x="0" y="0"/>
                    <wp:positionH relativeFrom="page">
                      <wp:posOffset>2541270</wp:posOffset>
                    </wp:positionH>
                    <wp:positionV relativeFrom="page">
                      <wp:posOffset>137160</wp:posOffset>
                    </wp:positionV>
                    <wp:extent cx="622300" cy="391160"/>
                    <wp:effectExtent l="0" t="0" r="6350" b="0"/>
                    <wp:wrapNone/>
                    <wp:docPr id="841974005"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5169AE7" w14:textId="1F415A19"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DC9217" id="_x0000_t202" coordsize="21600,21600" o:spt="202" path="m,l,21600r21600,l21600,xe">
                    <v:stroke joinstyle="miter"/>
                    <v:path gradientshapeok="t" o:connecttype="rect"/>
                  </v:shapetype>
                  <v:shape id="Text Box 9" o:spid="_x0000_s1033" type="#_x0000_t202" alt="OFFICIAL" style="position:absolute;margin-left:200.1pt;margin-top:10.8pt;width:49pt;height:30.8pt;z-index:251669504;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" filled="f" stroked="f">
                    <v:textbox style="mso-fit-shape-to-text:t" inset="0,0,0,15pt">
                      <w:txbxContent>
                        <w:p w14:paraId="15169AE7" w14:textId="1F415A19"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r w:rsidR="00546C5A" w:rsidRPr="00B702F0">
            <w:rPr>
              <w:noProof/>
            </w:rPr>
            <w:t xml:space="preserve">AusPAR - </w:t>
          </w:r>
          <w:r w:rsidR="00A606FB" w:rsidRPr="00B702F0">
            <w:rPr>
              <w:noProof/>
            </w:rPr>
            <w:t>Wainua</w:t>
          </w:r>
          <w:r w:rsidR="00546C5A" w:rsidRPr="00B702F0">
            <w:rPr>
              <w:noProof/>
            </w:rPr>
            <w:t xml:space="preserve"> - eplontersen - AstraZeneca Pty Ltd - PM-2025-02079-1-5 - Type A</w:t>
          </w:r>
          <w:r w:rsidR="007452E8" w:rsidRPr="00B702F0">
            <w:br/>
            <w:t>Date of Finalisation</w:t>
          </w:r>
          <w:r w:rsidR="00B702F0" w:rsidRPr="00B702F0">
            <w:t>: 1</w:t>
          </w:r>
          <w:r w:rsidR="00420296">
            <w:t>4</w:t>
          </w:r>
          <w:r w:rsidR="00B702F0" w:rsidRPr="00B702F0">
            <w:t xml:space="preserve"> October 2026</w:t>
          </w:r>
        </w:p>
      </w:tc>
      <w:tc>
        <w:tcPr>
          <w:tcW w:w="1734" w:type="dxa"/>
          <w:tcBorders>
            <w:top w:val="single" w:sz="4" w:space="0" w:color="auto"/>
          </w:tcBorders>
        </w:tcPr>
        <w:sdt>
          <w:sdtPr>
            <w:id w:val="11571659"/>
            <w:docPartObj>
              <w:docPartGallery w:val="Page Numbers (Top of Page)"/>
              <w:docPartUnique/>
            </w:docPartObj>
          </w:sdtPr>
          <w:sdtEndPr/>
          <w:sdtContent>
            <w:p w14:paraId="4DE4ED0C" w14:textId="29F65FFD" w:rsidR="007452E8" w:rsidRPr="004A3084" w:rsidRDefault="007452E8" w:rsidP="007452E8">
              <w:pPr>
                <w:pStyle w:val="Footer"/>
                <w:jc w:val="right"/>
              </w:pPr>
              <w:r w:rsidRPr="00B702F0">
                <w:t xml:space="preserve">Page </w:t>
              </w:r>
              <w:r w:rsidRPr="00B702F0">
                <w:fldChar w:fldCharType="begin"/>
              </w:r>
              <w:r w:rsidRPr="00B702F0">
                <w:instrText xml:space="preserve"> PAGE </w:instrText>
              </w:r>
              <w:r w:rsidRPr="00B702F0">
                <w:fldChar w:fldCharType="separate"/>
              </w:r>
              <w:r w:rsidR="006D6B44" w:rsidRPr="00B702F0">
                <w:rPr>
                  <w:noProof/>
                </w:rPr>
                <w:t>13</w:t>
              </w:r>
              <w:r w:rsidRPr="00B702F0">
                <w:rPr>
                  <w:noProof/>
                </w:rPr>
                <w:fldChar w:fldCharType="end"/>
              </w:r>
              <w:r w:rsidRPr="00B702F0">
                <w:t xml:space="preserve"> of </w:t>
              </w:r>
              <w:fldSimple w:instr=" NUMPAGES  ">
                <w:r w:rsidR="006D6B44" w:rsidRPr="00B702F0">
                  <w:rPr>
                    <w:noProof/>
                  </w:rPr>
                  <w:t>17</w:t>
                </w:r>
              </w:fldSimple>
            </w:p>
          </w:sdtContent>
        </w:sdt>
      </w:tc>
    </w:tr>
  </w:tbl>
  <w:p w14:paraId="1A4EDE60" w14:textId="77777777" w:rsidR="007452E8" w:rsidRPr="00826007" w:rsidRDefault="007452E8" w:rsidP="007452E8">
    <w:pPr>
      <w:pStyle w:val="Footer"/>
      <w:tabs>
        <w:tab w:val="left" w:pos="7620"/>
        <w:tab w:val="right" w:pos="8504"/>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3F70A" w14:textId="26045BC3" w:rsidR="007452E8" w:rsidRPr="008E3C43" w:rsidRDefault="007E4FF8" w:rsidP="007452E8">
    <w:pPr>
      <w:pStyle w:val="Footer"/>
    </w:pPr>
    <w:r>
      <w:rPr>
        <w:noProof/>
      </w:rPr>
      <mc:AlternateContent>
        <mc:Choice Requires="wps">
          <w:drawing>
            <wp:anchor distT="0" distB="0" distL="0" distR="0" simplePos="0" relativeHeight="251670528" behindDoc="0" locked="0" layoutInCell="1" allowOverlap="1" wp14:anchorId="104118EA" wp14:editId="6897F4AA">
              <wp:simplePos x="635" y="635"/>
              <wp:positionH relativeFrom="page">
                <wp:align>center</wp:align>
              </wp:positionH>
              <wp:positionV relativeFrom="page">
                <wp:align>bottom</wp:align>
              </wp:positionV>
              <wp:extent cx="622300" cy="391160"/>
              <wp:effectExtent l="0" t="0" r="6350" b="0"/>
              <wp:wrapNone/>
              <wp:docPr id="909700883"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24C2C46" w14:textId="6F4B6194"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4118EA" id="_x0000_t202" coordsize="21600,21600" o:spt="202" path="m,l,21600r21600,l21600,xe">
              <v:stroke joinstyle="miter"/>
              <v:path gradientshapeok="t" o:connecttype="rect"/>
            </v:shapetype>
            <v:shape id="Text Box 10" o:spid="_x0000_s1035" type="#_x0000_t202" alt="OFFICIAL" style="position:absolute;margin-left:0;margin-top:0;width:49pt;height:30.8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MQjDg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fjtOv4X6SEshnPj2Tq5aar0WPjwLJIJpWhJt&#10;eKJDG+grDmeLswbw59/8MZ9wpyhnPQmm4pYUzZn5bomPqK3RwNHYJqO4zT9HeOy+uweSYUEvwslk&#10;kheDGU2N0L2SnJexEYWEldSu4tvRvA8n5dJzkGq5TEkkIyfC2m6cjKUjXBHLl+FVoDsDHoipRxjV&#10;JMp3uJ9y403vlvtA6CdSIrQnIM+IkwQTV+fnEjX+9j9lXR/14h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AkMMQjDgIAABwE&#10;AAAOAAAAAAAAAAAAAAAAAC4CAABkcnMvZTJvRG9jLnhtbFBLAQItABQABgAIAAAAIQCCUZTX2gAA&#10;AAMBAAAPAAAAAAAAAAAAAAAAAGgEAABkcnMvZG93bnJldi54bWxQSwUGAAAAAAQABADzAAAAbwUA&#10;AAAA&#10;" filled="f" stroked="f">
              <v:textbox style="mso-fit-shape-to-text:t" inset="0,0,0,15pt">
                <w:txbxContent>
                  <w:p w14:paraId="724C2C46" w14:textId="6F4B6194"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F822B" w14:textId="77777777" w:rsidR="00A815A7" w:rsidRDefault="00A815A7" w:rsidP="00F02AEC">
      <w:pPr>
        <w:spacing w:after="0" w:line="240" w:lineRule="auto"/>
      </w:pPr>
      <w:r>
        <w:separator/>
      </w:r>
    </w:p>
  </w:footnote>
  <w:footnote w:type="continuationSeparator" w:id="0">
    <w:p w14:paraId="19276E0D" w14:textId="77777777" w:rsidR="00A815A7" w:rsidRDefault="00A815A7" w:rsidP="00F02AEC">
      <w:pPr>
        <w:spacing w:after="0" w:line="240" w:lineRule="auto"/>
      </w:pPr>
      <w:r>
        <w:continuationSeparator/>
      </w:r>
    </w:p>
  </w:footnote>
  <w:footnote w:id="1">
    <w:p w14:paraId="68402A9B" w14:textId="3881BAF9" w:rsidR="007452E8" w:rsidRPr="00A93DC6" w:rsidRDefault="007452E8">
      <w:pPr>
        <w:pStyle w:val="FootnoteText"/>
        <w:rPr>
          <w:lang w:val="en-GB"/>
        </w:rPr>
      </w:pPr>
      <w:r>
        <w:rPr>
          <w:rStyle w:val="FootnoteReference"/>
        </w:rPr>
        <w:footnoteRef/>
      </w:r>
      <w:r>
        <w:t xml:space="preserve"> </w:t>
      </w:r>
      <w:r w:rsidR="00FB236E">
        <w:t xml:space="preserve">This is the original indication proposed by the </w:t>
      </w:r>
      <w:r w:rsidR="00A606FB">
        <w:t>Sponsor</w:t>
      </w:r>
      <w:r w:rsidR="00FB236E">
        <w:rPr>
          <w:lang w:val="en-GB"/>
        </w:rPr>
        <w:t xml:space="preserve"> when the TGA commenced the evaluation of this submission. It </w:t>
      </w:r>
      <w:r w:rsidRPr="007452E8">
        <w:rPr>
          <w:lang w:val="en-GB"/>
        </w:rPr>
        <w:t xml:space="preserve">may </w:t>
      </w:r>
      <w:r w:rsidR="00FB236E">
        <w:rPr>
          <w:lang w:val="en-GB"/>
        </w:rPr>
        <w:t>differ</w:t>
      </w:r>
      <w:r w:rsidRPr="007452E8">
        <w:rPr>
          <w:lang w:val="en-GB"/>
        </w:rPr>
        <w:t xml:space="preserve"> to the final indication approved by th</w:t>
      </w:r>
      <w:r w:rsidR="00FB236E">
        <w:rPr>
          <w:lang w:val="en-GB"/>
        </w:rPr>
        <w:t xml:space="preserve">e TGA and registered </w:t>
      </w:r>
      <w:r w:rsidR="005C4B46">
        <w:rPr>
          <w:lang w:val="en-GB"/>
        </w:rPr>
        <w:t xml:space="preserve">in </w:t>
      </w:r>
      <w:r w:rsidR="00FB236E">
        <w:rPr>
          <w:lang w:val="en-GB"/>
        </w:rPr>
        <w:t>the Australian Register of Therapeutic Goods.</w:t>
      </w:r>
    </w:p>
  </w:footnote>
  <w:footnote w:id="2">
    <w:p w14:paraId="607351B4" w14:textId="77777777" w:rsidR="00342D66" w:rsidRPr="00AB7D4C" w:rsidRDefault="00342D66" w:rsidP="00342D66">
      <w:pPr>
        <w:pStyle w:val="FootnoteText"/>
      </w:pPr>
      <w:r>
        <w:rPr>
          <w:rStyle w:val="FootnoteReference"/>
        </w:rPr>
        <w:footnoteRef/>
      </w:r>
      <w:r>
        <w:t xml:space="preserve"> Manganelli F et al. Hereditary transthyretin amyloidosis overview. </w:t>
      </w:r>
      <w:r>
        <w:rPr>
          <w:i/>
          <w:iCs/>
        </w:rPr>
        <w:t xml:space="preserve">Neurological Sciences. </w:t>
      </w:r>
      <w:r>
        <w:t xml:space="preserve">2022;43(Suppl 2):5595-5604. </w:t>
      </w:r>
    </w:p>
  </w:footnote>
  <w:footnote w:id="3">
    <w:p w14:paraId="43123FEE" w14:textId="77777777" w:rsidR="00342D66" w:rsidRPr="00437C35" w:rsidRDefault="00342D66" w:rsidP="00342D66">
      <w:pPr>
        <w:pStyle w:val="FootnoteText"/>
      </w:pPr>
      <w:r>
        <w:rPr>
          <w:rStyle w:val="FootnoteReference"/>
        </w:rPr>
        <w:footnoteRef/>
      </w:r>
      <w:r>
        <w:t xml:space="preserve"> </w:t>
      </w:r>
      <w:proofErr w:type="spellStart"/>
      <w:r>
        <w:t>Sekijima</w:t>
      </w:r>
      <w:proofErr w:type="spellEnd"/>
      <w:r>
        <w:t xml:space="preserve"> Y and Nakamura K. Hereditary Transthyretin Amyloidosis. </w:t>
      </w:r>
      <w:proofErr w:type="spellStart"/>
      <w:r>
        <w:rPr>
          <w:i/>
          <w:iCs/>
        </w:rPr>
        <w:t>GeneReviews</w:t>
      </w:r>
      <w:proofErr w:type="spellEnd"/>
      <w:r>
        <w:rPr>
          <w:i/>
          <w:iCs/>
        </w:rPr>
        <w:t xml:space="preserve">. </w:t>
      </w:r>
      <w:r>
        <w:t xml:space="preserve">Updated 30 May 2024. </w:t>
      </w:r>
      <w:hyperlink r:id="rId1" w:history="1">
        <w:r w:rsidRPr="000B3F98">
          <w:rPr>
            <w:rStyle w:val="Hyperlink"/>
          </w:rPr>
          <w:t>https://www.ncbi.nlm.nih.gov/books/NBK1194/</w:t>
        </w:r>
      </w:hyperlink>
      <w:r>
        <w:t xml:space="preserve">. </w:t>
      </w:r>
    </w:p>
  </w:footnote>
  <w:footnote w:id="4">
    <w:p w14:paraId="2E2B69A0" w14:textId="77777777" w:rsidR="00342D66" w:rsidRPr="00DE2A4A" w:rsidRDefault="00342D66" w:rsidP="00342D66">
      <w:pPr>
        <w:pStyle w:val="FootnoteText"/>
      </w:pPr>
      <w:r>
        <w:rPr>
          <w:rStyle w:val="FootnoteReference"/>
        </w:rPr>
        <w:footnoteRef/>
      </w:r>
      <w:r>
        <w:t xml:space="preserve"> Carroll AS et al. The spectrum of neuropathy in hereditary transthyretin amyloidosis (ATTRV) in Australia. </w:t>
      </w:r>
      <w:r>
        <w:rPr>
          <w:i/>
          <w:iCs/>
        </w:rPr>
        <w:t xml:space="preserve">BMJ Neurol Open. </w:t>
      </w:r>
      <w:r>
        <w:t>2023;5(suppl 1</w:t>
      </w:r>
      <w:proofErr w:type="gramStart"/>
      <w:r>
        <w:t>):A</w:t>
      </w:r>
      <w:proofErr w:type="gramEnd"/>
      <w:r>
        <w:t xml:space="preserve">1-A63. </w:t>
      </w:r>
    </w:p>
  </w:footnote>
  <w:footnote w:id="5">
    <w:p w14:paraId="27DC059E" w14:textId="77777777" w:rsidR="00342D66" w:rsidRPr="00197E29" w:rsidRDefault="00342D66" w:rsidP="00342D66">
      <w:pPr>
        <w:pStyle w:val="FootnoteText"/>
      </w:pPr>
      <w:r>
        <w:rPr>
          <w:rStyle w:val="FootnoteReference"/>
        </w:rPr>
        <w:footnoteRef/>
      </w:r>
      <w:r>
        <w:t xml:space="preserve"> Karam C et al. Diagnosis and treatment of hereditary transthyretin amyloidosis with polyneuropathy in the United States: Recommendations from a panel of experts. </w:t>
      </w:r>
      <w:r>
        <w:rPr>
          <w:i/>
          <w:iCs/>
        </w:rPr>
        <w:t xml:space="preserve">Muscle and Nerve. </w:t>
      </w:r>
      <w:proofErr w:type="gramStart"/>
      <w:r>
        <w:t>2024;69:273</w:t>
      </w:r>
      <w:proofErr w:type="gramEnd"/>
      <w:r>
        <w:t xml:space="preserve">-287. </w:t>
      </w:r>
    </w:p>
  </w:footnote>
  <w:footnote w:id="6">
    <w:p w14:paraId="716D64FC" w14:textId="56216C03" w:rsidR="008A5065" w:rsidRDefault="008A5065">
      <w:pPr>
        <w:pStyle w:val="FootnoteText"/>
      </w:pPr>
      <w:r>
        <w:rPr>
          <w:rStyle w:val="FootnoteReference"/>
        </w:rPr>
        <w:footnoteRef/>
      </w:r>
      <w:r>
        <w:t xml:space="preserve"> </w:t>
      </w:r>
      <w:r w:rsidRPr="008A5065">
        <w:t xml:space="preserve">International Conference on Harmonisation of Technical Requirements for Registration of Pharmaceuticals for Human Use.  ICH Q3A. </w:t>
      </w:r>
      <w:hyperlink r:id="rId2" w:history="1">
        <w:r w:rsidRPr="008A5065">
          <w:rPr>
            <w:rStyle w:val="Hyperlink"/>
          </w:rPr>
          <w:t>Impurities in New Drug Substances</w:t>
        </w:r>
      </w:hyperlink>
      <w:r>
        <w:t xml:space="preserve">. </w:t>
      </w:r>
      <w:r w:rsidRPr="008A5065">
        <w:t>25 October 2006</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FFCB3" w14:textId="093B1D27" w:rsidR="007E4FF8" w:rsidRDefault="007E4FF8">
    <w:pPr>
      <w:pStyle w:val="Header"/>
    </w:pPr>
    <w:r>
      <w:rPr>
        <w:noProof/>
      </w:rPr>
      <mc:AlternateContent>
        <mc:Choice Requires="wps">
          <w:drawing>
            <wp:anchor distT="0" distB="0" distL="0" distR="0" simplePos="0" relativeHeight="251662336" behindDoc="0" locked="0" layoutInCell="1" allowOverlap="1" wp14:anchorId="3BDA164B" wp14:editId="743987F4">
              <wp:simplePos x="635" y="635"/>
              <wp:positionH relativeFrom="page">
                <wp:align>center</wp:align>
              </wp:positionH>
              <wp:positionV relativeFrom="page">
                <wp:align>top</wp:align>
              </wp:positionV>
              <wp:extent cx="622300" cy="391160"/>
              <wp:effectExtent l="0" t="0" r="6350" b="8890"/>
              <wp:wrapNone/>
              <wp:docPr id="78433167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A1E6F48" w14:textId="2CA00EAD"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DA164B" id="_x0000_t202" coordsize="21600,21600" o:spt="202" path="m,l,21600r21600,l21600,xe">
              <v:stroke joinstyle="miter"/>
              <v:path gradientshapeok="t" o:connecttype="rect"/>
            </v:shapetype>
            <v:shape id="Text Box 2" o:spid="_x0000_s1026" type="#_x0000_t202" alt="OFFICIAL" style="position:absolute;left:0;text-align:left;margin-left:0;margin-top:0;width:49pt;height:30.8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6A1E6F48" w14:textId="2CA00EAD"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3517" w14:textId="495EEAE9" w:rsidR="007452E8" w:rsidRPr="00CB0550" w:rsidRDefault="007E4FF8" w:rsidP="00CB0550">
    <w:pPr>
      <w:pStyle w:val="Header"/>
      <w:jc w:val="left"/>
    </w:pPr>
    <w:r>
      <w:rPr>
        <w:noProof/>
      </w:rPr>
      <mc:AlternateContent>
        <mc:Choice Requires="wps">
          <w:drawing>
            <wp:anchor distT="0" distB="0" distL="0" distR="0" simplePos="0" relativeHeight="251663360" behindDoc="0" locked="0" layoutInCell="1" allowOverlap="1" wp14:anchorId="5966BD6A" wp14:editId="01118435">
              <wp:simplePos x="635" y="635"/>
              <wp:positionH relativeFrom="page">
                <wp:align>center</wp:align>
              </wp:positionH>
              <wp:positionV relativeFrom="page">
                <wp:align>top</wp:align>
              </wp:positionV>
              <wp:extent cx="622300" cy="391160"/>
              <wp:effectExtent l="0" t="0" r="6350" b="8890"/>
              <wp:wrapNone/>
              <wp:docPr id="157789699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962137D" w14:textId="0292724A"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66BD6A" id="_x0000_t202" coordsize="21600,21600" o:spt="202" path="m,l,21600r21600,l21600,xe">
              <v:stroke joinstyle="miter"/>
              <v:path gradientshapeok="t" o:connecttype="rect"/>
            </v:shapetype>
            <v:shape id="Text Box 3" o:spid="_x0000_s1027" type="#_x0000_t202" alt="OFFICIAL" style="position:absolute;margin-left:0;margin-top:0;width:49pt;height:30.8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3962137D" w14:textId="0292724A"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vertAnchor="page" w:horzAnchor="page" w:tblpX="1" w:tblpY="8999"/>
      <w:tblOverlap w:val="never"/>
      <w:tblW w:w="11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964"/>
    </w:tblGrid>
    <w:tr w:rsidR="007452E8" w:rsidRPr="002B29B2" w14:paraId="3E15C3BC" w14:textId="77777777" w:rsidTr="007452E8">
      <w:trPr>
        <w:trHeight w:hRule="exact" w:val="8845"/>
      </w:trPr>
      <w:tc>
        <w:tcPr>
          <w:tcW w:w="11964" w:type="dxa"/>
          <w:vAlign w:val="center"/>
        </w:tcPr>
        <w:p w14:paraId="6FDE4BFB" w14:textId="31E19A61" w:rsidR="007452E8" w:rsidRPr="002B29B2" w:rsidRDefault="007E4FF8" w:rsidP="007452E8">
          <w:pPr>
            <w:ind w:left="-57"/>
            <w:rPr>
              <w:noProof/>
            </w:rPr>
          </w:pPr>
          <w:r>
            <w:rPr>
              <w:noProof/>
            </w:rPr>
            <mc:AlternateContent>
              <mc:Choice Requires="wps">
                <w:drawing>
                  <wp:anchor distT="0" distB="0" distL="0" distR="0" simplePos="0" relativeHeight="251661312" behindDoc="0" locked="0" layoutInCell="1" allowOverlap="1" wp14:anchorId="36EC3BC1" wp14:editId="466B87D6">
                    <wp:simplePos x="635" y="635"/>
                    <wp:positionH relativeFrom="page">
                      <wp:align>center</wp:align>
                    </wp:positionH>
                    <wp:positionV relativeFrom="page">
                      <wp:align>top</wp:align>
                    </wp:positionV>
                    <wp:extent cx="622300" cy="391160"/>
                    <wp:effectExtent l="0" t="0" r="6350" b="8890"/>
                    <wp:wrapNone/>
                    <wp:docPr id="139457432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FFCA075" w14:textId="59A4754E"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EC3BC1" id="_x0000_t202" coordsize="21600,21600" o:spt="202" path="m,l,21600r21600,l21600,xe">
                    <v:stroke joinstyle="miter"/>
                    <v:path gradientshapeok="t" o:connecttype="rect"/>
                  </v:shapetype>
                  <v:shape id="Text Box 1" o:spid="_x0000_s1030" type="#_x0000_t202" alt="OFFICIAL" style="position:absolute;left:0;text-align:left;margin-left:0;margin-top:0;width:49pt;height:30.8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textbox style="mso-fit-shape-to-text:t" inset="0,15pt,0,0">
                      <w:txbxContent>
                        <w:p w14:paraId="3FFCA075" w14:textId="59A4754E"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sdt>
            <w:sdtPr>
              <w:rPr>
                <w:noProof/>
              </w:rPr>
              <w:id w:val="1926993388"/>
              <w:showingPlcHdr/>
              <w:picture/>
            </w:sdtPr>
            <w:sdtEndPr/>
            <w:sdtContent>
              <w:r w:rsidR="007452E8" w:rsidRPr="00F71E1E">
                <w:rPr>
                  <w:noProof/>
                  <w:lang w:val="en-GB" w:eastAsia="en-GB"/>
                </w:rPr>
                <w:drawing>
                  <wp:inline distT="0" distB="0" distL="0" distR="0" wp14:anchorId="5C7F8AC9" wp14:editId="23FC1BBE">
                    <wp:extent cx="7631430" cy="5523865"/>
                    <wp:effectExtent l="0" t="0" r="762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1"/>
                            <pic:cNvPicPr>
                              <a:picLocks noChangeAspect="1" noChangeArrowheads="1"/>
                            </pic:cNvPicPr>
                          </pic:nvPicPr>
                          <pic:blipFill>
                            <a:blip r:embed="rId1" cstate="print"/>
                            <a:srcRect/>
                            <a:stretch>
                              <a:fillRect/>
                            </a:stretch>
                          </pic:blipFill>
                          <pic:spPr bwMode="auto">
                            <a:xfrm>
                              <a:off x="0" y="0"/>
                              <a:ext cx="7631430" cy="5523865"/>
                            </a:xfrm>
                            <a:prstGeom prst="rect">
                              <a:avLst/>
                            </a:prstGeom>
                            <a:noFill/>
                            <a:ln w="9525">
                              <a:noFill/>
                              <a:miter lim="800000"/>
                              <a:headEnd/>
                              <a:tailEnd/>
                            </a:ln>
                          </pic:spPr>
                        </pic:pic>
                      </a:graphicData>
                    </a:graphic>
                  </wp:inline>
                </w:drawing>
              </w:r>
            </w:sdtContent>
          </w:sdt>
        </w:p>
      </w:tc>
    </w:tr>
  </w:tbl>
  <w:p w14:paraId="6402DE55" w14:textId="38802056" w:rsidR="007452E8" w:rsidRDefault="0006693A" w:rsidP="007452E8">
    <w:pPr>
      <w:rPr>
        <w:noProof/>
      </w:rPr>
    </w:pPr>
    <w:r>
      <w:rPr>
        <w:noProof/>
      </w:rPr>
      <w:drawing>
        <wp:inline distT="0" distB="0" distL="0" distR="0" wp14:anchorId="26654E9F" wp14:editId="78E105AB">
          <wp:extent cx="3344545" cy="694055"/>
          <wp:effectExtent l="0" t="0" r="8255" b="0"/>
          <wp:docPr id="1596027861"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027861" name="Picture 2" descr="A black background with a black square&#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4545" cy="694055"/>
                  </a:xfrm>
                  <a:prstGeom prst="rect">
                    <a:avLst/>
                  </a:prstGeom>
                  <a:noFill/>
                  <a:ln>
                    <a:noFill/>
                  </a:ln>
                </pic:spPr>
              </pic:pic>
            </a:graphicData>
          </a:graphic>
        </wp:inline>
      </w:drawing>
    </w:r>
    <w:r w:rsidR="007452E8" w:rsidRPr="002B29B2">
      <w:rPr>
        <w:noProof/>
        <w:lang w:val="en-GB" w:eastAsia="en-GB"/>
      </w:rPr>
      <w:drawing>
        <wp:anchor distT="0" distB="0" distL="114300" distR="114300" simplePos="0" relativeHeight="251660288" behindDoc="0" locked="0" layoutInCell="0" allowOverlap="1" wp14:anchorId="14BBEAC1" wp14:editId="5D9F0498">
          <wp:simplePos x="0" y="0"/>
          <wp:positionH relativeFrom="page">
            <wp:align>left</wp:align>
          </wp:positionH>
          <wp:positionV relativeFrom="page">
            <wp:posOffset>3239495</wp:posOffset>
          </wp:positionV>
          <wp:extent cx="7663815" cy="4323091"/>
          <wp:effectExtent l="0" t="0" r="0" b="127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7663815" cy="432309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1632D" w14:textId="419FC1D7" w:rsidR="007452E8" w:rsidRDefault="007E4FF8" w:rsidP="007452E8">
    <w:pPr>
      <w:pStyle w:val="Header"/>
    </w:pPr>
    <w:r>
      <w:rPr>
        <w:noProof/>
      </w:rPr>
      <mc:AlternateContent>
        <mc:Choice Requires="wps">
          <w:drawing>
            <wp:anchor distT="0" distB="0" distL="0" distR="0" simplePos="0" relativeHeight="251664384" behindDoc="0" locked="0" layoutInCell="1" allowOverlap="1" wp14:anchorId="28DC3F9E" wp14:editId="3D6537B9">
              <wp:simplePos x="899770" y="365760"/>
              <wp:positionH relativeFrom="page">
                <wp:align>center</wp:align>
              </wp:positionH>
              <wp:positionV relativeFrom="page">
                <wp:align>top</wp:align>
              </wp:positionV>
              <wp:extent cx="622300" cy="391160"/>
              <wp:effectExtent l="0" t="0" r="6350" b="8890"/>
              <wp:wrapNone/>
              <wp:docPr id="1773556512"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74DB680" w14:textId="1B5F07C5"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DC3F9E" id="_x0000_t202" coordsize="21600,21600" o:spt="202" path="m,l,21600r21600,l21600,xe">
              <v:stroke joinstyle="miter"/>
              <v:path gradientshapeok="t" o:connecttype="rect"/>
            </v:shapetype>
            <v:shape id="Text Box 4" o:spid="_x0000_s1032" type="#_x0000_t202" alt="OFFICIAL" style="position:absolute;left:0;text-align:left;margin-left:0;margin-top:0;width:49pt;height:30.8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mwRDA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" filled="f" stroked="f">
              <v:textbox style="mso-fit-shape-to-text:t" inset="0,15pt,0,0">
                <w:txbxContent>
                  <w:p w14:paraId="174DB680" w14:textId="1B5F07C5"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r w:rsidR="007452E8" w:rsidRPr="000F5176">
      <w:t>Therapeutic Goods Administration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B477B" w14:textId="766C0B9F" w:rsidR="007452E8" w:rsidRPr="00FE501F" w:rsidRDefault="007E4FF8" w:rsidP="007452E8">
    <w:pPr>
      <w:pStyle w:val="Headernoline"/>
    </w:pPr>
    <w:r>
      <w:rPr>
        <w:noProof/>
      </w:rPr>
      <mc:AlternateContent>
        <mc:Choice Requires="wps">
          <w:drawing>
            <wp:anchor distT="0" distB="0" distL="0" distR="0" simplePos="0" relativeHeight="251665408" behindDoc="0" locked="0" layoutInCell="1" allowOverlap="1" wp14:anchorId="2A06D344" wp14:editId="1647E18A">
              <wp:simplePos x="635" y="635"/>
              <wp:positionH relativeFrom="page">
                <wp:align>center</wp:align>
              </wp:positionH>
              <wp:positionV relativeFrom="page">
                <wp:align>top</wp:align>
              </wp:positionV>
              <wp:extent cx="622300" cy="391160"/>
              <wp:effectExtent l="0" t="0" r="6350" b="8890"/>
              <wp:wrapNone/>
              <wp:docPr id="48777718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E2CFD20" w14:textId="4EF79907"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06D344" id="_x0000_t202" coordsize="21600,21600" o:spt="202" path="m,l,21600r21600,l21600,xe">
              <v:stroke joinstyle="miter"/>
              <v:path gradientshapeok="t" o:connecttype="rect"/>
            </v:shapetype>
            <v:shape id="Text Box 5" o:spid="_x0000_s1034" type="#_x0000_t202" alt="OFFICIAL" style="position:absolute;left:0;text-align:left;margin-left:0;margin-top:0;width:49pt;height:30.8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DXSCeqDQIAABwEAAAO&#10;AAAAAAAAAAAAAAAAAC4CAABkcnMvZTJvRG9jLnhtbFBLAQItABQABgAIAAAAIQBhokho2AAAAAMB&#10;AAAPAAAAAAAAAAAAAAAAAGcEAABkcnMvZG93bnJldi54bWxQSwUGAAAAAAQABADzAAAAbAUAAAAA&#10;" filled="f" stroked="f">
              <v:textbox style="mso-fit-shape-to-text:t" inset="0,15pt,0,0">
                <w:txbxContent>
                  <w:p w14:paraId="6E2CFD20" w14:textId="4EF79907" w:rsidR="007E4FF8" w:rsidRPr="007E4FF8" w:rsidRDefault="007E4FF8" w:rsidP="007E4FF8">
                    <w:pPr>
                      <w:spacing w:after="0"/>
                      <w:rPr>
                        <w:rFonts w:ascii="Aptos" w:eastAsia="Aptos" w:hAnsi="Aptos" w:cs="Aptos"/>
                        <w:noProof/>
                        <w:color w:val="FF0000"/>
                        <w:sz w:val="24"/>
                        <w:szCs w:val="24"/>
                      </w:rPr>
                    </w:pPr>
                    <w:r w:rsidRPr="007E4FF8">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D1E50"/>
    <w:multiLevelType w:val="hybridMultilevel"/>
    <w:tmpl w:val="F28C7B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10053F11"/>
    <w:multiLevelType w:val="multilevel"/>
    <w:tmpl w:val="9B4A173E"/>
    <w:styleLink w:val="NumberBullet"/>
    <w:lvl w:ilvl="0">
      <w:start w:val="1"/>
      <w:numFmt w:val="decimal"/>
      <w:pStyle w:val="Numberbullet0"/>
      <w:lvlText w:val="%1."/>
      <w:lvlJc w:val="left"/>
      <w:pPr>
        <w:ind w:left="360" w:hanging="360"/>
      </w:pPr>
      <w:rPr>
        <w:rFonts w:ascii="Arial" w:hAnsi="Arial" w:hint="default"/>
      </w:rPr>
    </w:lvl>
    <w:lvl w:ilvl="1">
      <w:start w:val="1"/>
      <w:numFmt w:val="lowerLetter"/>
      <w:pStyle w:val="Numberbullet2"/>
      <w:lvlText w:val="%2."/>
      <w:lvlJc w:val="left"/>
      <w:pPr>
        <w:ind w:left="851" w:hanging="426"/>
      </w:pPr>
      <w:rPr>
        <w:rFonts w:hint="default"/>
      </w:rPr>
    </w:lvl>
    <w:lvl w:ilvl="2">
      <w:start w:val="1"/>
      <w:numFmt w:val="lowerRoman"/>
      <w:lvlText w:val="%3."/>
      <w:lvlJc w:val="left"/>
      <w:pPr>
        <w:ind w:left="1276" w:hanging="425"/>
      </w:pPr>
      <w:rPr>
        <w:rFonts w:hint="default"/>
      </w:rPr>
    </w:lvl>
    <w:lvl w:ilvl="3">
      <w:start w:val="1"/>
      <w:numFmt w:val="none"/>
      <w:lvlText w:val=""/>
      <w:lvlJc w:val="left"/>
      <w:pPr>
        <w:ind w:left="1276" w:hanging="425"/>
      </w:pPr>
      <w:rPr>
        <w:rFonts w:hint="default"/>
      </w:rPr>
    </w:lvl>
    <w:lvl w:ilvl="4">
      <w:start w:val="1"/>
      <w:numFmt w:val="none"/>
      <w:lvlText w:val=""/>
      <w:lvlJc w:val="left"/>
      <w:pPr>
        <w:ind w:left="1276" w:hanging="425"/>
      </w:pPr>
      <w:rPr>
        <w:rFonts w:hint="default"/>
      </w:rPr>
    </w:lvl>
    <w:lvl w:ilvl="5">
      <w:start w:val="1"/>
      <w:numFmt w:val="none"/>
      <w:lvlText w:val=""/>
      <w:lvlJc w:val="left"/>
      <w:pPr>
        <w:ind w:left="1276" w:hanging="425"/>
      </w:pPr>
      <w:rPr>
        <w:rFonts w:hint="default"/>
      </w:rPr>
    </w:lvl>
    <w:lvl w:ilvl="6">
      <w:start w:val="1"/>
      <w:numFmt w:val="none"/>
      <w:lvlText w:val="%7"/>
      <w:lvlJc w:val="left"/>
      <w:pPr>
        <w:ind w:left="1276" w:hanging="425"/>
      </w:pPr>
      <w:rPr>
        <w:rFonts w:hint="default"/>
      </w:rPr>
    </w:lvl>
    <w:lvl w:ilvl="7">
      <w:start w:val="1"/>
      <w:numFmt w:val="none"/>
      <w:lvlText w:val=""/>
      <w:lvlJc w:val="left"/>
      <w:pPr>
        <w:ind w:left="1276" w:hanging="425"/>
      </w:pPr>
      <w:rPr>
        <w:rFonts w:hint="default"/>
      </w:rPr>
    </w:lvl>
    <w:lvl w:ilvl="8">
      <w:start w:val="1"/>
      <w:numFmt w:val="none"/>
      <w:lvlText w:val=""/>
      <w:lvlJc w:val="left"/>
      <w:pPr>
        <w:ind w:left="1276" w:hanging="425"/>
      </w:pPr>
      <w:rPr>
        <w:rFonts w:hint="default"/>
      </w:rPr>
    </w:lvl>
  </w:abstractNum>
  <w:abstractNum w:abstractNumId="2" w15:restartNumberingAfterBreak="0">
    <w:nsid w:val="11954162"/>
    <w:multiLevelType w:val="hybridMultilevel"/>
    <w:tmpl w:val="21E0E150"/>
    <w:lvl w:ilvl="0" w:tplc="66A8C192">
      <w:start w:val="1"/>
      <w:numFmt w:val="bullet"/>
      <w:lvlText w:val=""/>
      <w:lvlJc w:val="left"/>
      <w:pPr>
        <w:ind w:left="720" w:hanging="360"/>
      </w:pPr>
      <w:rPr>
        <w:rFonts w:ascii="Symbol" w:hAnsi="Symbol"/>
      </w:rPr>
    </w:lvl>
    <w:lvl w:ilvl="1" w:tplc="816C6ABA">
      <w:start w:val="1"/>
      <w:numFmt w:val="bullet"/>
      <w:lvlText w:val=""/>
      <w:lvlJc w:val="left"/>
      <w:pPr>
        <w:ind w:left="720" w:hanging="360"/>
      </w:pPr>
      <w:rPr>
        <w:rFonts w:ascii="Symbol" w:hAnsi="Symbol"/>
      </w:rPr>
    </w:lvl>
    <w:lvl w:ilvl="2" w:tplc="FA228082">
      <w:start w:val="1"/>
      <w:numFmt w:val="bullet"/>
      <w:lvlText w:val=""/>
      <w:lvlJc w:val="left"/>
      <w:pPr>
        <w:ind w:left="720" w:hanging="360"/>
      </w:pPr>
      <w:rPr>
        <w:rFonts w:ascii="Symbol" w:hAnsi="Symbol"/>
      </w:rPr>
    </w:lvl>
    <w:lvl w:ilvl="3" w:tplc="5FFA528C">
      <w:start w:val="1"/>
      <w:numFmt w:val="bullet"/>
      <w:lvlText w:val=""/>
      <w:lvlJc w:val="left"/>
      <w:pPr>
        <w:ind w:left="720" w:hanging="360"/>
      </w:pPr>
      <w:rPr>
        <w:rFonts w:ascii="Symbol" w:hAnsi="Symbol"/>
      </w:rPr>
    </w:lvl>
    <w:lvl w:ilvl="4" w:tplc="1ADE0C1E">
      <w:start w:val="1"/>
      <w:numFmt w:val="bullet"/>
      <w:lvlText w:val=""/>
      <w:lvlJc w:val="left"/>
      <w:pPr>
        <w:ind w:left="720" w:hanging="360"/>
      </w:pPr>
      <w:rPr>
        <w:rFonts w:ascii="Symbol" w:hAnsi="Symbol"/>
      </w:rPr>
    </w:lvl>
    <w:lvl w:ilvl="5" w:tplc="1FC2A16A">
      <w:start w:val="1"/>
      <w:numFmt w:val="bullet"/>
      <w:lvlText w:val=""/>
      <w:lvlJc w:val="left"/>
      <w:pPr>
        <w:ind w:left="720" w:hanging="360"/>
      </w:pPr>
      <w:rPr>
        <w:rFonts w:ascii="Symbol" w:hAnsi="Symbol"/>
      </w:rPr>
    </w:lvl>
    <w:lvl w:ilvl="6" w:tplc="CC9273EE">
      <w:start w:val="1"/>
      <w:numFmt w:val="bullet"/>
      <w:lvlText w:val=""/>
      <w:lvlJc w:val="left"/>
      <w:pPr>
        <w:ind w:left="720" w:hanging="360"/>
      </w:pPr>
      <w:rPr>
        <w:rFonts w:ascii="Symbol" w:hAnsi="Symbol"/>
      </w:rPr>
    </w:lvl>
    <w:lvl w:ilvl="7" w:tplc="D0167D44">
      <w:start w:val="1"/>
      <w:numFmt w:val="bullet"/>
      <w:lvlText w:val=""/>
      <w:lvlJc w:val="left"/>
      <w:pPr>
        <w:ind w:left="720" w:hanging="360"/>
      </w:pPr>
      <w:rPr>
        <w:rFonts w:ascii="Symbol" w:hAnsi="Symbol"/>
      </w:rPr>
    </w:lvl>
    <w:lvl w:ilvl="8" w:tplc="19C639C8">
      <w:start w:val="1"/>
      <w:numFmt w:val="bullet"/>
      <w:lvlText w:val=""/>
      <w:lvlJc w:val="left"/>
      <w:pPr>
        <w:ind w:left="720" w:hanging="360"/>
      </w:pPr>
      <w:rPr>
        <w:rFonts w:ascii="Symbol" w:hAnsi="Symbol"/>
      </w:rPr>
    </w:lvl>
  </w:abstractNum>
  <w:abstractNum w:abstractNumId="3" w15:restartNumberingAfterBreak="0">
    <w:nsid w:val="11C2062D"/>
    <w:multiLevelType w:val="hybridMultilevel"/>
    <w:tmpl w:val="2EDE7378"/>
    <w:lvl w:ilvl="0" w:tplc="343E7996">
      <w:start w:val="1"/>
      <w:numFmt w:val="lowerLetter"/>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03F4FC0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E0AEED4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1964695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A5704DB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C03C5534">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2B5CE6B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7402E3D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9E76C16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4" w15:restartNumberingAfterBreak="0">
    <w:nsid w:val="163F187C"/>
    <w:multiLevelType w:val="hybridMultilevel"/>
    <w:tmpl w:val="20409048"/>
    <w:lvl w:ilvl="0" w:tplc="669A989C">
      <w:start w:val="4"/>
      <w:numFmt w:val="bullet"/>
      <w:pStyle w:val="ListBullet3"/>
      <w:lvlText w:val="▪"/>
      <w:lvlJc w:val="left"/>
      <w:pPr>
        <w:ind w:left="1571" w:hanging="360"/>
      </w:pPr>
      <w:rPr>
        <w:rFonts w:ascii="Arial" w:eastAsia="Cambria" w:hAnsi="Aria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5" w15:restartNumberingAfterBreak="0">
    <w:nsid w:val="168F13E9"/>
    <w:multiLevelType w:val="multilevel"/>
    <w:tmpl w:val="520883D8"/>
    <w:styleLink w:val="ListBullets"/>
    <w:lvl w:ilvl="0">
      <w:start w:val="4"/>
      <w:numFmt w:val="bullet"/>
      <w:pStyle w:val="ListBullet"/>
      <w:lvlText w:val="•"/>
      <w:lvlJc w:val="left"/>
      <w:pPr>
        <w:ind w:left="360" w:hanging="360"/>
      </w:pPr>
      <w:rPr>
        <w:rFonts w:ascii="Cambria" w:eastAsia="Cambria" w:hAnsi="Cambria" w:hint="default"/>
      </w:rPr>
    </w:lvl>
    <w:lvl w:ilvl="1">
      <w:start w:val="1"/>
      <w:numFmt w:val="bullet"/>
      <w:pStyle w:val="ListBullet2"/>
      <w:lvlText w:val="–"/>
      <w:lvlJc w:val="left"/>
      <w:pPr>
        <w:ind w:left="720" w:hanging="360"/>
      </w:pPr>
      <w:rPr>
        <w:rFonts w:ascii="Arial" w:hAnsi="Arial"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6" w15:restartNumberingAfterBreak="0">
    <w:nsid w:val="17A53F58"/>
    <w:multiLevelType w:val="hybridMultilevel"/>
    <w:tmpl w:val="9006CE9C"/>
    <w:lvl w:ilvl="0" w:tplc="CCE608D2">
      <w:start w:val="1"/>
      <w:numFmt w:val="bullet"/>
      <w:lvlText w:val=""/>
      <w:lvlJc w:val="left"/>
      <w:pPr>
        <w:ind w:left="720" w:hanging="360"/>
      </w:pPr>
      <w:rPr>
        <w:rFonts w:ascii="Symbol" w:hAnsi="Symbol"/>
      </w:rPr>
    </w:lvl>
    <w:lvl w:ilvl="1" w:tplc="DD000D32">
      <w:start w:val="1"/>
      <w:numFmt w:val="bullet"/>
      <w:lvlText w:val=""/>
      <w:lvlJc w:val="left"/>
      <w:pPr>
        <w:ind w:left="720" w:hanging="360"/>
      </w:pPr>
      <w:rPr>
        <w:rFonts w:ascii="Symbol" w:hAnsi="Symbol"/>
      </w:rPr>
    </w:lvl>
    <w:lvl w:ilvl="2" w:tplc="B9A68454">
      <w:start w:val="1"/>
      <w:numFmt w:val="bullet"/>
      <w:lvlText w:val=""/>
      <w:lvlJc w:val="left"/>
      <w:pPr>
        <w:ind w:left="720" w:hanging="360"/>
      </w:pPr>
      <w:rPr>
        <w:rFonts w:ascii="Symbol" w:hAnsi="Symbol"/>
      </w:rPr>
    </w:lvl>
    <w:lvl w:ilvl="3" w:tplc="0F56BB88">
      <w:start w:val="1"/>
      <w:numFmt w:val="bullet"/>
      <w:lvlText w:val=""/>
      <w:lvlJc w:val="left"/>
      <w:pPr>
        <w:ind w:left="720" w:hanging="360"/>
      </w:pPr>
      <w:rPr>
        <w:rFonts w:ascii="Symbol" w:hAnsi="Symbol"/>
      </w:rPr>
    </w:lvl>
    <w:lvl w:ilvl="4" w:tplc="CD46838A">
      <w:start w:val="1"/>
      <w:numFmt w:val="bullet"/>
      <w:lvlText w:val=""/>
      <w:lvlJc w:val="left"/>
      <w:pPr>
        <w:ind w:left="720" w:hanging="360"/>
      </w:pPr>
      <w:rPr>
        <w:rFonts w:ascii="Symbol" w:hAnsi="Symbol"/>
      </w:rPr>
    </w:lvl>
    <w:lvl w:ilvl="5" w:tplc="BBAA1BCC">
      <w:start w:val="1"/>
      <w:numFmt w:val="bullet"/>
      <w:lvlText w:val=""/>
      <w:lvlJc w:val="left"/>
      <w:pPr>
        <w:ind w:left="720" w:hanging="360"/>
      </w:pPr>
      <w:rPr>
        <w:rFonts w:ascii="Symbol" w:hAnsi="Symbol"/>
      </w:rPr>
    </w:lvl>
    <w:lvl w:ilvl="6" w:tplc="BF04908C">
      <w:start w:val="1"/>
      <w:numFmt w:val="bullet"/>
      <w:lvlText w:val=""/>
      <w:lvlJc w:val="left"/>
      <w:pPr>
        <w:ind w:left="720" w:hanging="360"/>
      </w:pPr>
      <w:rPr>
        <w:rFonts w:ascii="Symbol" w:hAnsi="Symbol"/>
      </w:rPr>
    </w:lvl>
    <w:lvl w:ilvl="7" w:tplc="E4DC650E">
      <w:start w:val="1"/>
      <w:numFmt w:val="bullet"/>
      <w:lvlText w:val=""/>
      <w:lvlJc w:val="left"/>
      <w:pPr>
        <w:ind w:left="720" w:hanging="360"/>
      </w:pPr>
      <w:rPr>
        <w:rFonts w:ascii="Symbol" w:hAnsi="Symbol"/>
      </w:rPr>
    </w:lvl>
    <w:lvl w:ilvl="8" w:tplc="2CE8444E">
      <w:start w:val="1"/>
      <w:numFmt w:val="bullet"/>
      <w:lvlText w:val=""/>
      <w:lvlJc w:val="left"/>
      <w:pPr>
        <w:ind w:left="720" w:hanging="360"/>
      </w:pPr>
      <w:rPr>
        <w:rFonts w:ascii="Symbol" w:hAnsi="Symbol"/>
      </w:rPr>
    </w:lvl>
  </w:abstractNum>
  <w:abstractNum w:abstractNumId="7" w15:restartNumberingAfterBreak="0">
    <w:nsid w:val="23FB1C56"/>
    <w:multiLevelType w:val="multilevel"/>
    <w:tmpl w:val="339EBC96"/>
    <w:lvl w:ilvl="0">
      <w:start w:val="1"/>
      <w:numFmt w:val="bullet"/>
      <w:pStyle w:val="ListBullet-dotick"/>
      <w:lvlText w:val=""/>
      <w:lvlJc w:val="left"/>
      <w:pPr>
        <w:ind w:left="360" w:hanging="360"/>
      </w:pPr>
      <w:rPr>
        <w:rFonts w:ascii="Wingdings" w:hAnsi="Wingdings" w:hint="default"/>
        <w:b/>
        <w:i w:val="0"/>
        <w:color w:val="00B050"/>
        <w:sz w:val="24"/>
      </w:rPr>
    </w:lvl>
    <w:lvl w:ilvl="1">
      <w:start w:val="1"/>
      <w:numFmt w:val="bullet"/>
      <w:lvlText w:val="–"/>
      <w:lvlJc w:val="left"/>
      <w:pPr>
        <w:ind w:left="720" w:hanging="360"/>
      </w:pPr>
      <w:rPr>
        <w:rFonts w:ascii="Arial" w:hAnsi="Arial" w:cs="Times New Roman"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8" w15:restartNumberingAfterBreak="0">
    <w:nsid w:val="34BD6DEB"/>
    <w:multiLevelType w:val="multilevel"/>
    <w:tmpl w:val="27846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836578"/>
    <w:multiLevelType w:val="hybridMultilevel"/>
    <w:tmpl w:val="F350D9EC"/>
    <w:lvl w:ilvl="0" w:tplc="B8AAF4A2">
      <w:start w:val="1"/>
      <w:numFmt w:val="bullet"/>
      <w:lvlText w:val=""/>
      <w:lvlJc w:val="left"/>
      <w:pPr>
        <w:ind w:left="720" w:hanging="360"/>
      </w:pPr>
      <w:rPr>
        <w:rFonts w:ascii="Symbol" w:hAnsi="Symbol"/>
      </w:rPr>
    </w:lvl>
    <w:lvl w:ilvl="1" w:tplc="B63ED5FC">
      <w:start w:val="1"/>
      <w:numFmt w:val="bullet"/>
      <w:lvlText w:val=""/>
      <w:lvlJc w:val="left"/>
      <w:pPr>
        <w:ind w:left="720" w:hanging="360"/>
      </w:pPr>
      <w:rPr>
        <w:rFonts w:ascii="Symbol" w:hAnsi="Symbol"/>
      </w:rPr>
    </w:lvl>
    <w:lvl w:ilvl="2" w:tplc="C9C41D84">
      <w:start w:val="1"/>
      <w:numFmt w:val="bullet"/>
      <w:lvlText w:val=""/>
      <w:lvlJc w:val="left"/>
      <w:pPr>
        <w:ind w:left="720" w:hanging="360"/>
      </w:pPr>
      <w:rPr>
        <w:rFonts w:ascii="Symbol" w:hAnsi="Symbol"/>
      </w:rPr>
    </w:lvl>
    <w:lvl w:ilvl="3" w:tplc="A9FCBD70">
      <w:start w:val="1"/>
      <w:numFmt w:val="bullet"/>
      <w:lvlText w:val=""/>
      <w:lvlJc w:val="left"/>
      <w:pPr>
        <w:ind w:left="720" w:hanging="360"/>
      </w:pPr>
      <w:rPr>
        <w:rFonts w:ascii="Symbol" w:hAnsi="Symbol"/>
      </w:rPr>
    </w:lvl>
    <w:lvl w:ilvl="4" w:tplc="28B4DAE8">
      <w:start w:val="1"/>
      <w:numFmt w:val="bullet"/>
      <w:lvlText w:val=""/>
      <w:lvlJc w:val="left"/>
      <w:pPr>
        <w:ind w:left="720" w:hanging="360"/>
      </w:pPr>
      <w:rPr>
        <w:rFonts w:ascii="Symbol" w:hAnsi="Symbol"/>
      </w:rPr>
    </w:lvl>
    <w:lvl w:ilvl="5" w:tplc="7C5A0216">
      <w:start w:val="1"/>
      <w:numFmt w:val="bullet"/>
      <w:lvlText w:val=""/>
      <w:lvlJc w:val="left"/>
      <w:pPr>
        <w:ind w:left="720" w:hanging="360"/>
      </w:pPr>
      <w:rPr>
        <w:rFonts w:ascii="Symbol" w:hAnsi="Symbol"/>
      </w:rPr>
    </w:lvl>
    <w:lvl w:ilvl="6" w:tplc="5D96E20E">
      <w:start w:val="1"/>
      <w:numFmt w:val="bullet"/>
      <w:lvlText w:val=""/>
      <w:lvlJc w:val="left"/>
      <w:pPr>
        <w:ind w:left="720" w:hanging="360"/>
      </w:pPr>
      <w:rPr>
        <w:rFonts w:ascii="Symbol" w:hAnsi="Symbol"/>
      </w:rPr>
    </w:lvl>
    <w:lvl w:ilvl="7" w:tplc="B96E25EA">
      <w:start w:val="1"/>
      <w:numFmt w:val="bullet"/>
      <w:lvlText w:val=""/>
      <w:lvlJc w:val="left"/>
      <w:pPr>
        <w:ind w:left="720" w:hanging="360"/>
      </w:pPr>
      <w:rPr>
        <w:rFonts w:ascii="Symbol" w:hAnsi="Symbol"/>
      </w:rPr>
    </w:lvl>
    <w:lvl w:ilvl="8" w:tplc="ECF04C6A">
      <w:start w:val="1"/>
      <w:numFmt w:val="bullet"/>
      <w:lvlText w:val=""/>
      <w:lvlJc w:val="left"/>
      <w:pPr>
        <w:ind w:left="720" w:hanging="360"/>
      </w:pPr>
      <w:rPr>
        <w:rFonts w:ascii="Symbol" w:hAnsi="Symbol"/>
      </w:rPr>
    </w:lvl>
  </w:abstractNum>
  <w:abstractNum w:abstractNumId="10" w15:restartNumberingAfterBreak="0">
    <w:nsid w:val="492C5FEE"/>
    <w:multiLevelType w:val="hybridMultilevel"/>
    <w:tmpl w:val="2EDE7378"/>
    <w:lvl w:ilvl="0" w:tplc="FFFFFFFF">
      <w:start w:val="1"/>
      <w:numFmt w:val="lowerLetter"/>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11" w15:restartNumberingAfterBreak="0">
    <w:nsid w:val="4F7912C9"/>
    <w:multiLevelType w:val="multilevel"/>
    <w:tmpl w:val="D6F4F1DE"/>
    <w:lvl w:ilvl="0">
      <w:start w:val="1"/>
      <w:numFmt w:val="bullet"/>
      <w:pStyle w:val="ListBullet-donotcross"/>
      <w:lvlText w:val=""/>
      <w:lvlJc w:val="left"/>
      <w:pPr>
        <w:ind w:left="785" w:hanging="360"/>
      </w:pPr>
      <w:rPr>
        <w:rFonts w:ascii="Wingdings" w:hAnsi="Wingdings" w:hint="default"/>
        <w:b/>
        <w:i w:val="0"/>
        <w:color w:val="800000"/>
        <w:sz w:val="26"/>
        <w:szCs w:val="22"/>
      </w:rPr>
    </w:lvl>
    <w:lvl w:ilvl="1">
      <w:start w:val="1"/>
      <w:numFmt w:val="bullet"/>
      <w:lvlText w:val="–"/>
      <w:lvlJc w:val="left"/>
      <w:pPr>
        <w:ind w:left="720" w:hanging="360"/>
      </w:pPr>
      <w:rPr>
        <w:rFonts w:ascii="Arial" w:hAnsi="Arial" w:cs="Times New Roman"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12" w15:restartNumberingAfterBreak="0">
    <w:nsid w:val="4F8D23DB"/>
    <w:multiLevelType w:val="hybridMultilevel"/>
    <w:tmpl w:val="9A4A81D0"/>
    <w:lvl w:ilvl="0" w:tplc="898EA3AA">
      <w:start w:val="1"/>
      <w:numFmt w:val="bullet"/>
      <w:lvlText w:val=""/>
      <w:lvlJc w:val="left"/>
      <w:pPr>
        <w:ind w:left="720" w:hanging="360"/>
      </w:pPr>
      <w:rPr>
        <w:rFonts w:ascii="Symbol" w:hAnsi="Symbol"/>
      </w:rPr>
    </w:lvl>
    <w:lvl w:ilvl="1" w:tplc="403E12E2">
      <w:start w:val="1"/>
      <w:numFmt w:val="bullet"/>
      <w:lvlText w:val=""/>
      <w:lvlJc w:val="left"/>
      <w:pPr>
        <w:ind w:left="720" w:hanging="360"/>
      </w:pPr>
      <w:rPr>
        <w:rFonts w:ascii="Symbol" w:hAnsi="Symbol"/>
      </w:rPr>
    </w:lvl>
    <w:lvl w:ilvl="2" w:tplc="C678A248">
      <w:start w:val="1"/>
      <w:numFmt w:val="bullet"/>
      <w:lvlText w:val=""/>
      <w:lvlJc w:val="left"/>
      <w:pPr>
        <w:ind w:left="720" w:hanging="360"/>
      </w:pPr>
      <w:rPr>
        <w:rFonts w:ascii="Symbol" w:hAnsi="Symbol"/>
      </w:rPr>
    </w:lvl>
    <w:lvl w:ilvl="3" w:tplc="4EE4EEBA">
      <w:start w:val="1"/>
      <w:numFmt w:val="bullet"/>
      <w:lvlText w:val=""/>
      <w:lvlJc w:val="left"/>
      <w:pPr>
        <w:ind w:left="720" w:hanging="360"/>
      </w:pPr>
      <w:rPr>
        <w:rFonts w:ascii="Symbol" w:hAnsi="Symbol"/>
      </w:rPr>
    </w:lvl>
    <w:lvl w:ilvl="4" w:tplc="F31E8080">
      <w:start w:val="1"/>
      <w:numFmt w:val="bullet"/>
      <w:lvlText w:val=""/>
      <w:lvlJc w:val="left"/>
      <w:pPr>
        <w:ind w:left="720" w:hanging="360"/>
      </w:pPr>
      <w:rPr>
        <w:rFonts w:ascii="Symbol" w:hAnsi="Symbol"/>
      </w:rPr>
    </w:lvl>
    <w:lvl w:ilvl="5" w:tplc="261AFD6A">
      <w:start w:val="1"/>
      <w:numFmt w:val="bullet"/>
      <w:lvlText w:val=""/>
      <w:lvlJc w:val="left"/>
      <w:pPr>
        <w:ind w:left="720" w:hanging="360"/>
      </w:pPr>
      <w:rPr>
        <w:rFonts w:ascii="Symbol" w:hAnsi="Symbol"/>
      </w:rPr>
    </w:lvl>
    <w:lvl w:ilvl="6" w:tplc="94FC1AF8">
      <w:start w:val="1"/>
      <w:numFmt w:val="bullet"/>
      <w:lvlText w:val=""/>
      <w:lvlJc w:val="left"/>
      <w:pPr>
        <w:ind w:left="720" w:hanging="360"/>
      </w:pPr>
      <w:rPr>
        <w:rFonts w:ascii="Symbol" w:hAnsi="Symbol"/>
      </w:rPr>
    </w:lvl>
    <w:lvl w:ilvl="7" w:tplc="FF503C7C">
      <w:start w:val="1"/>
      <w:numFmt w:val="bullet"/>
      <w:lvlText w:val=""/>
      <w:lvlJc w:val="left"/>
      <w:pPr>
        <w:ind w:left="720" w:hanging="360"/>
      </w:pPr>
      <w:rPr>
        <w:rFonts w:ascii="Symbol" w:hAnsi="Symbol"/>
      </w:rPr>
    </w:lvl>
    <w:lvl w:ilvl="8" w:tplc="E8B4BDE6">
      <w:start w:val="1"/>
      <w:numFmt w:val="bullet"/>
      <w:lvlText w:val=""/>
      <w:lvlJc w:val="left"/>
      <w:pPr>
        <w:ind w:left="720" w:hanging="360"/>
      </w:pPr>
      <w:rPr>
        <w:rFonts w:ascii="Symbol" w:hAnsi="Symbol"/>
      </w:rPr>
    </w:lvl>
  </w:abstractNum>
  <w:abstractNum w:abstractNumId="13" w15:restartNumberingAfterBreak="0">
    <w:nsid w:val="50336B0D"/>
    <w:multiLevelType w:val="hybridMultilevel"/>
    <w:tmpl w:val="5D54CD1A"/>
    <w:lvl w:ilvl="0" w:tplc="4EDE096A">
      <w:start w:val="1"/>
      <w:numFmt w:val="lowerRoman"/>
      <w:pStyle w:val="Numberbullet3"/>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9D22096"/>
    <w:multiLevelType w:val="hybridMultilevel"/>
    <w:tmpl w:val="9DF2F518"/>
    <w:lvl w:ilvl="0" w:tplc="480AF4BC">
      <w:start w:val="1"/>
      <w:numFmt w:val="bullet"/>
      <w:lvlText w:val=""/>
      <w:lvlJc w:val="left"/>
      <w:pPr>
        <w:ind w:left="720" w:hanging="360"/>
      </w:pPr>
      <w:rPr>
        <w:rFonts w:ascii="Symbol" w:hAnsi="Symbol"/>
      </w:rPr>
    </w:lvl>
    <w:lvl w:ilvl="1" w:tplc="519064D0">
      <w:start w:val="1"/>
      <w:numFmt w:val="bullet"/>
      <w:lvlText w:val=""/>
      <w:lvlJc w:val="left"/>
      <w:pPr>
        <w:ind w:left="720" w:hanging="360"/>
      </w:pPr>
      <w:rPr>
        <w:rFonts w:ascii="Symbol" w:hAnsi="Symbol"/>
      </w:rPr>
    </w:lvl>
    <w:lvl w:ilvl="2" w:tplc="D5968F16">
      <w:start w:val="1"/>
      <w:numFmt w:val="bullet"/>
      <w:lvlText w:val=""/>
      <w:lvlJc w:val="left"/>
      <w:pPr>
        <w:ind w:left="720" w:hanging="360"/>
      </w:pPr>
      <w:rPr>
        <w:rFonts w:ascii="Symbol" w:hAnsi="Symbol"/>
      </w:rPr>
    </w:lvl>
    <w:lvl w:ilvl="3" w:tplc="E800FA06">
      <w:start w:val="1"/>
      <w:numFmt w:val="bullet"/>
      <w:lvlText w:val=""/>
      <w:lvlJc w:val="left"/>
      <w:pPr>
        <w:ind w:left="720" w:hanging="360"/>
      </w:pPr>
      <w:rPr>
        <w:rFonts w:ascii="Symbol" w:hAnsi="Symbol"/>
      </w:rPr>
    </w:lvl>
    <w:lvl w:ilvl="4" w:tplc="6BCA7B38">
      <w:start w:val="1"/>
      <w:numFmt w:val="bullet"/>
      <w:lvlText w:val=""/>
      <w:lvlJc w:val="left"/>
      <w:pPr>
        <w:ind w:left="720" w:hanging="360"/>
      </w:pPr>
      <w:rPr>
        <w:rFonts w:ascii="Symbol" w:hAnsi="Symbol"/>
      </w:rPr>
    </w:lvl>
    <w:lvl w:ilvl="5" w:tplc="AA40038E">
      <w:start w:val="1"/>
      <w:numFmt w:val="bullet"/>
      <w:lvlText w:val=""/>
      <w:lvlJc w:val="left"/>
      <w:pPr>
        <w:ind w:left="720" w:hanging="360"/>
      </w:pPr>
      <w:rPr>
        <w:rFonts w:ascii="Symbol" w:hAnsi="Symbol"/>
      </w:rPr>
    </w:lvl>
    <w:lvl w:ilvl="6" w:tplc="D34480EE">
      <w:start w:val="1"/>
      <w:numFmt w:val="bullet"/>
      <w:lvlText w:val=""/>
      <w:lvlJc w:val="left"/>
      <w:pPr>
        <w:ind w:left="720" w:hanging="360"/>
      </w:pPr>
      <w:rPr>
        <w:rFonts w:ascii="Symbol" w:hAnsi="Symbol"/>
      </w:rPr>
    </w:lvl>
    <w:lvl w:ilvl="7" w:tplc="BABE86B6">
      <w:start w:val="1"/>
      <w:numFmt w:val="bullet"/>
      <w:lvlText w:val=""/>
      <w:lvlJc w:val="left"/>
      <w:pPr>
        <w:ind w:left="720" w:hanging="360"/>
      </w:pPr>
      <w:rPr>
        <w:rFonts w:ascii="Symbol" w:hAnsi="Symbol"/>
      </w:rPr>
    </w:lvl>
    <w:lvl w:ilvl="8" w:tplc="5AD2833C">
      <w:start w:val="1"/>
      <w:numFmt w:val="bullet"/>
      <w:lvlText w:val=""/>
      <w:lvlJc w:val="left"/>
      <w:pPr>
        <w:ind w:left="720" w:hanging="360"/>
      </w:pPr>
      <w:rPr>
        <w:rFonts w:ascii="Symbol" w:hAnsi="Symbol"/>
      </w:rPr>
    </w:lvl>
  </w:abstractNum>
  <w:abstractNum w:abstractNumId="15" w15:restartNumberingAfterBreak="0">
    <w:nsid w:val="62E1248D"/>
    <w:multiLevelType w:val="hybridMultilevel"/>
    <w:tmpl w:val="E18404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A6379A9"/>
    <w:multiLevelType w:val="hybridMultilevel"/>
    <w:tmpl w:val="4FE8D072"/>
    <w:lvl w:ilvl="0" w:tplc="40AA1BA0">
      <w:start w:val="1"/>
      <w:numFmt w:val="bullet"/>
      <w:lvlText w:val=""/>
      <w:lvlJc w:val="left"/>
      <w:pPr>
        <w:ind w:left="720" w:hanging="360"/>
      </w:pPr>
      <w:rPr>
        <w:rFonts w:ascii="Symbol" w:hAnsi="Symbol"/>
      </w:rPr>
    </w:lvl>
    <w:lvl w:ilvl="1" w:tplc="15A0EAC8">
      <w:start w:val="1"/>
      <w:numFmt w:val="bullet"/>
      <w:lvlText w:val=""/>
      <w:lvlJc w:val="left"/>
      <w:pPr>
        <w:ind w:left="720" w:hanging="360"/>
      </w:pPr>
      <w:rPr>
        <w:rFonts w:ascii="Symbol" w:hAnsi="Symbol"/>
      </w:rPr>
    </w:lvl>
    <w:lvl w:ilvl="2" w:tplc="A2A06F8A">
      <w:start w:val="1"/>
      <w:numFmt w:val="bullet"/>
      <w:lvlText w:val=""/>
      <w:lvlJc w:val="left"/>
      <w:pPr>
        <w:ind w:left="720" w:hanging="360"/>
      </w:pPr>
      <w:rPr>
        <w:rFonts w:ascii="Symbol" w:hAnsi="Symbol"/>
      </w:rPr>
    </w:lvl>
    <w:lvl w:ilvl="3" w:tplc="638C4750">
      <w:start w:val="1"/>
      <w:numFmt w:val="bullet"/>
      <w:lvlText w:val=""/>
      <w:lvlJc w:val="left"/>
      <w:pPr>
        <w:ind w:left="720" w:hanging="360"/>
      </w:pPr>
      <w:rPr>
        <w:rFonts w:ascii="Symbol" w:hAnsi="Symbol"/>
      </w:rPr>
    </w:lvl>
    <w:lvl w:ilvl="4" w:tplc="593CA732">
      <w:start w:val="1"/>
      <w:numFmt w:val="bullet"/>
      <w:lvlText w:val=""/>
      <w:lvlJc w:val="left"/>
      <w:pPr>
        <w:ind w:left="720" w:hanging="360"/>
      </w:pPr>
      <w:rPr>
        <w:rFonts w:ascii="Symbol" w:hAnsi="Symbol"/>
      </w:rPr>
    </w:lvl>
    <w:lvl w:ilvl="5" w:tplc="A2B0A4B0">
      <w:start w:val="1"/>
      <w:numFmt w:val="bullet"/>
      <w:lvlText w:val=""/>
      <w:lvlJc w:val="left"/>
      <w:pPr>
        <w:ind w:left="720" w:hanging="360"/>
      </w:pPr>
      <w:rPr>
        <w:rFonts w:ascii="Symbol" w:hAnsi="Symbol"/>
      </w:rPr>
    </w:lvl>
    <w:lvl w:ilvl="6" w:tplc="60CE26AE">
      <w:start w:val="1"/>
      <w:numFmt w:val="bullet"/>
      <w:lvlText w:val=""/>
      <w:lvlJc w:val="left"/>
      <w:pPr>
        <w:ind w:left="720" w:hanging="360"/>
      </w:pPr>
      <w:rPr>
        <w:rFonts w:ascii="Symbol" w:hAnsi="Symbol"/>
      </w:rPr>
    </w:lvl>
    <w:lvl w:ilvl="7" w:tplc="488A39BE">
      <w:start w:val="1"/>
      <w:numFmt w:val="bullet"/>
      <w:lvlText w:val=""/>
      <w:lvlJc w:val="left"/>
      <w:pPr>
        <w:ind w:left="720" w:hanging="360"/>
      </w:pPr>
      <w:rPr>
        <w:rFonts w:ascii="Symbol" w:hAnsi="Symbol"/>
      </w:rPr>
    </w:lvl>
    <w:lvl w:ilvl="8" w:tplc="C188F4DC">
      <w:start w:val="1"/>
      <w:numFmt w:val="bullet"/>
      <w:lvlText w:val=""/>
      <w:lvlJc w:val="left"/>
      <w:pPr>
        <w:ind w:left="720" w:hanging="360"/>
      </w:pPr>
      <w:rPr>
        <w:rFonts w:ascii="Symbol" w:hAnsi="Symbol"/>
      </w:rPr>
    </w:lvl>
  </w:abstractNum>
  <w:num w:numId="1" w16cid:durableId="1032997172">
    <w:abstractNumId w:val="5"/>
  </w:num>
  <w:num w:numId="2" w16cid:durableId="1856573705">
    <w:abstractNumId w:val="1"/>
  </w:num>
  <w:num w:numId="3" w16cid:durableId="357703499">
    <w:abstractNumId w:val="4"/>
  </w:num>
  <w:num w:numId="4" w16cid:durableId="1869176708">
    <w:abstractNumId w:val="13"/>
  </w:num>
  <w:num w:numId="5" w16cid:durableId="1652950129">
    <w:abstractNumId w:val="7"/>
  </w:num>
  <w:num w:numId="6" w16cid:durableId="1053193207">
    <w:abstractNumId w:val="11"/>
  </w:num>
  <w:num w:numId="7" w16cid:durableId="201135927">
    <w:abstractNumId w:val="1"/>
    <w:lvlOverride w:ilvl="0">
      <w:startOverride w:val="1"/>
      <w:lvl w:ilvl="0">
        <w:start w:val="1"/>
        <w:numFmt w:val="decimal"/>
        <w:pStyle w:val="Numberbullet0"/>
        <w:lvlText w:val="%1."/>
        <w:lvlJc w:val="left"/>
        <w:pPr>
          <w:ind w:left="425" w:hanging="425"/>
        </w:pPr>
        <w:rPr>
          <w:rFonts w:ascii="Cambria" w:hAnsi="Cambria" w:hint="default"/>
        </w:rPr>
      </w:lvl>
    </w:lvlOverride>
    <w:lvlOverride w:ilvl="1">
      <w:startOverride w:val="1"/>
      <w:lvl w:ilvl="1">
        <w:start w:val="1"/>
        <w:numFmt w:val="lowerLetter"/>
        <w:pStyle w:val="Numberbullet2"/>
        <w:lvlText w:val="%2."/>
        <w:lvlJc w:val="left"/>
        <w:pPr>
          <w:ind w:left="851" w:hanging="426"/>
        </w:pPr>
        <w:rPr>
          <w:rFonts w:hint="default"/>
        </w:rPr>
      </w:lvl>
    </w:lvlOverride>
    <w:lvlOverride w:ilvl="2">
      <w:startOverride w:val="1"/>
      <w:lvl w:ilvl="2">
        <w:start w:val="1"/>
        <w:numFmt w:val="lowerRoman"/>
        <w:lvlText w:val="%3."/>
        <w:lvlJc w:val="left"/>
        <w:pPr>
          <w:ind w:left="1276" w:hanging="425"/>
        </w:pPr>
        <w:rPr>
          <w:rFonts w:hint="default"/>
        </w:rPr>
      </w:lvl>
    </w:lvlOverride>
    <w:lvlOverride w:ilvl="3">
      <w:startOverride w:val="1"/>
      <w:lvl w:ilvl="3">
        <w:start w:val="1"/>
        <w:numFmt w:val="none"/>
        <w:lvlText w:val=""/>
        <w:lvlJc w:val="left"/>
        <w:pPr>
          <w:ind w:left="1276" w:hanging="425"/>
        </w:pPr>
        <w:rPr>
          <w:rFonts w:hint="default"/>
        </w:rPr>
      </w:lvl>
    </w:lvlOverride>
    <w:lvlOverride w:ilvl="4">
      <w:startOverride w:val="1"/>
      <w:lvl w:ilvl="4">
        <w:start w:val="1"/>
        <w:numFmt w:val="none"/>
        <w:lvlText w:val=""/>
        <w:lvlJc w:val="left"/>
        <w:pPr>
          <w:ind w:left="1276" w:hanging="425"/>
        </w:pPr>
        <w:rPr>
          <w:rFonts w:hint="default"/>
        </w:rPr>
      </w:lvl>
    </w:lvlOverride>
    <w:lvlOverride w:ilvl="5">
      <w:startOverride w:val="1"/>
      <w:lvl w:ilvl="5">
        <w:start w:val="1"/>
        <w:numFmt w:val="none"/>
        <w:lvlText w:val=""/>
        <w:lvlJc w:val="left"/>
        <w:pPr>
          <w:ind w:left="1276" w:hanging="425"/>
        </w:pPr>
        <w:rPr>
          <w:rFonts w:hint="default"/>
        </w:rPr>
      </w:lvl>
    </w:lvlOverride>
    <w:lvlOverride w:ilvl="6">
      <w:startOverride w:val="1"/>
      <w:lvl w:ilvl="6">
        <w:start w:val="1"/>
        <w:numFmt w:val="none"/>
        <w:lvlText w:val="%7"/>
        <w:lvlJc w:val="left"/>
        <w:pPr>
          <w:ind w:left="1276" w:hanging="425"/>
        </w:pPr>
        <w:rPr>
          <w:rFonts w:hint="default"/>
        </w:rPr>
      </w:lvl>
    </w:lvlOverride>
    <w:lvlOverride w:ilvl="7">
      <w:startOverride w:val="1"/>
      <w:lvl w:ilvl="7">
        <w:start w:val="1"/>
        <w:numFmt w:val="none"/>
        <w:lvlText w:val=""/>
        <w:lvlJc w:val="left"/>
        <w:pPr>
          <w:ind w:left="1276" w:hanging="425"/>
        </w:pPr>
        <w:rPr>
          <w:rFonts w:hint="default"/>
        </w:rPr>
      </w:lvl>
    </w:lvlOverride>
    <w:lvlOverride w:ilvl="8">
      <w:startOverride w:val="1"/>
      <w:lvl w:ilvl="8">
        <w:start w:val="1"/>
        <w:numFmt w:val="none"/>
        <w:lvlText w:val=""/>
        <w:lvlJc w:val="left"/>
        <w:pPr>
          <w:ind w:left="1276" w:hanging="425"/>
        </w:pPr>
        <w:rPr>
          <w:rFonts w:hint="default"/>
        </w:rPr>
      </w:lvl>
    </w:lvlOverride>
  </w:num>
  <w:num w:numId="8" w16cid:durableId="1604608059">
    <w:abstractNumId w:val="12"/>
  </w:num>
  <w:num w:numId="9" w16cid:durableId="173421270">
    <w:abstractNumId w:val="2"/>
  </w:num>
  <w:num w:numId="10" w16cid:durableId="2108043357">
    <w:abstractNumId w:val="6"/>
  </w:num>
  <w:num w:numId="11" w16cid:durableId="1725904230">
    <w:abstractNumId w:val="9"/>
  </w:num>
  <w:num w:numId="12" w16cid:durableId="141579354">
    <w:abstractNumId w:val="14"/>
  </w:num>
  <w:num w:numId="13" w16cid:durableId="283735081">
    <w:abstractNumId w:val="16"/>
  </w:num>
  <w:num w:numId="14" w16cid:durableId="811748996">
    <w:abstractNumId w:val="15"/>
  </w:num>
  <w:num w:numId="15" w16cid:durableId="1529030951">
    <w:abstractNumId w:val="8"/>
  </w:num>
  <w:num w:numId="16" w16cid:durableId="754668196">
    <w:abstractNumId w:val="0"/>
  </w:num>
  <w:num w:numId="17" w16cid:durableId="1556964627">
    <w:abstractNumId w:val="3"/>
  </w:num>
  <w:num w:numId="18" w16cid:durableId="20936232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EC2"/>
    <w:rsid w:val="00000E6E"/>
    <w:rsid w:val="00004431"/>
    <w:rsid w:val="00005062"/>
    <w:rsid w:val="00005DFC"/>
    <w:rsid w:val="00010572"/>
    <w:rsid w:val="0001064C"/>
    <w:rsid w:val="0001384A"/>
    <w:rsid w:val="00017850"/>
    <w:rsid w:val="00021C13"/>
    <w:rsid w:val="0002381C"/>
    <w:rsid w:val="00032A0F"/>
    <w:rsid w:val="00040D8D"/>
    <w:rsid w:val="00041F8E"/>
    <w:rsid w:val="00046423"/>
    <w:rsid w:val="000477F5"/>
    <w:rsid w:val="0005067C"/>
    <w:rsid w:val="0006104E"/>
    <w:rsid w:val="000640BD"/>
    <w:rsid w:val="00065839"/>
    <w:rsid w:val="00065FDF"/>
    <w:rsid w:val="0006628C"/>
    <w:rsid w:val="0006693A"/>
    <w:rsid w:val="00073EAF"/>
    <w:rsid w:val="00077844"/>
    <w:rsid w:val="00083763"/>
    <w:rsid w:val="0008763C"/>
    <w:rsid w:val="0009023D"/>
    <w:rsid w:val="00090510"/>
    <w:rsid w:val="000917AE"/>
    <w:rsid w:val="00094B81"/>
    <w:rsid w:val="00095C6A"/>
    <w:rsid w:val="000975AA"/>
    <w:rsid w:val="000A1A6D"/>
    <w:rsid w:val="000B6B15"/>
    <w:rsid w:val="000B7CBF"/>
    <w:rsid w:val="000C25A7"/>
    <w:rsid w:val="000D78EC"/>
    <w:rsid w:val="000D7934"/>
    <w:rsid w:val="000E2434"/>
    <w:rsid w:val="000E2597"/>
    <w:rsid w:val="000E504E"/>
    <w:rsid w:val="000E6746"/>
    <w:rsid w:val="000F2310"/>
    <w:rsid w:val="000F73CC"/>
    <w:rsid w:val="000F7B51"/>
    <w:rsid w:val="00101BEE"/>
    <w:rsid w:val="00101CE6"/>
    <w:rsid w:val="00101FB1"/>
    <w:rsid w:val="0010558A"/>
    <w:rsid w:val="0010623F"/>
    <w:rsid w:val="001101FF"/>
    <w:rsid w:val="00111989"/>
    <w:rsid w:val="00113F9F"/>
    <w:rsid w:val="00114025"/>
    <w:rsid w:val="00117F2A"/>
    <w:rsid w:val="00122EF5"/>
    <w:rsid w:val="0012473C"/>
    <w:rsid w:val="00127A74"/>
    <w:rsid w:val="00131023"/>
    <w:rsid w:val="0013132F"/>
    <w:rsid w:val="001316B3"/>
    <w:rsid w:val="00131B1B"/>
    <w:rsid w:val="0013306D"/>
    <w:rsid w:val="00134298"/>
    <w:rsid w:val="0013528C"/>
    <w:rsid w:val="001374BD"/>
    <w:rsid w:val="001442A2"/>
    <w:rsid w:val="001468CA"/>
    <w:rsid w:val="001500A8"/>
    <w:rsid w:val="00155D85"/>
    <w:rsid w:val="00162BC0"/>
    <w:rsid w:val="001633D9"/>
    <w:rsid w:val="00165D28"/>
    <w:rsid w:val="0017005C"/>
    <w:rsid w:val="00175CD8"/>
    <w:rsid w:val="00182BD8"/>
    <w:rsid w:val="00182D59"/>
    <w:rsid w:val="00190853"/>
    <w:rsid w:val="0019112E"/>
    <w:rsid w:val="001A24B5"/>
    <w:rsid w:val="001A2E56"/>
    <w:rsid w:val="001A76F9"/>
    <w:rsid w:val="001B06FF"/>
    <w:rsid w:val="001B09A7"/>
    <w:rsid w:val="001B1703"/>
    <w:rsid w:val="001B2B5D"/>
    <w:rsid w:val="001C1C2E"/>
    <w:rsid w:val="001C31A1"/>
    <w:rsid w:val="001C3FA2"/>
    <w:rsid w:val="001C5EE2"/>
    <w:rsid w:val="001D0077"/>
    <w:rsid w:val="001D1D12"/>
    <w:rsid w:val="001D5E1A"/>
    <w:rsid w:val="001E407B"/>
    <w:rsid w:val="001E7FC6"/>
    <w:rsid w:val="001F2502"/>
    <w:rsid w:val="001F70A5"/>
    <w:rsid w:val="0020235D"/>
    <w:rsid w:val="0020369B"/>
    <w:rsid w:val="00207B4D"/>
    <w:rsid w:val="00210F9B"/>
    <w:rsid w:val="002117B1"/>
    <w:rsid w:val="00214DA6"/>
    <w:rsid w:val="00217CCE"/>
    <w:rsid w:val="002203B1"/>
    <w:rsid w:val="00224602"/>
    <w:rsid w:val="00225E13"/>
    <w:rsid w:val="00226F39"/>
    <w:rsid w:val="002334AD"/>
    <w:rsid w:val="00236F91"/>
    <w:rsid w:val="00241B60"/>
    <w:rsid w:val="0025785B"/>
    <w:rsid w:val="00257969"/>
    <w:rsid w:val="00261E62"/>
    <w:rsid w:val="00265CD1"/>
    <w:rsid w:val="0027721C"/>
    <w:rsid w:val="00280048"/>
    <w:rsid w:val="0028489E"/>
    <w:rsid w:val="002848DE"/>
    <w:rsid w:val="00286186"/>
    <w:rsid w:val="0028794E"/>
    <w:rsid w:val="002924A1"/>
    <w:rsid w:val="00296F96"/>
    <w:rsid w:val="0029733B"/>
    <w:rsid w:val="002A24D2"/>
    <w:rsid w:val="002A5841"/>
    <w:rsid w:val="002B1EDF"/>
    <w:rsid w:val="002B2061"/>
    <w:rsid w:val="002B33C3"/>
    <w:rsid w:val="002C1232"/>
    <w:rsid w:val="002C1E44"/>
    <w:rsid w:val="002C5C92"/>
    <w:rsid w:val="002C5E29"/>
    <w:rsid w:val="002C74F2"/>
    <w:rsid w:val="002D0478"/>
    <w:rsid w:val="002D6421"/>
    <w:rsid w:val="002D7127"/>
    <w:rsid w:val="002F599E"/>
    <w:rsid w:val="002F7ADC"/>
    <w:rsid w:val="003008D8"/>
    <w:rsid w:val="00301D9A"/>
    <w:rsid w:val="00303959"/>
    <w:rsid w:val="00306E72"/>
    <w:rsid w:val="003106FD"/>
    <w:rsid w:val="003125A6"/>
    <w:rsid w:val="00312AC3"/>
    <w:rsid w:val="00312C47"/>
    <w:rsid w:val="00314430"/>
    <w:rsid w:val="003163BC"/>
    <w:rsid w:val="003212D9"/>
    <w:rsid w:val="0032351A"/>
    <w:rsid w:val="00324B33"/>
    <w:rsid w:val="00327488"/>
    <w:rsid w:val="003302FF"/>
    <w:rsid w:val="0033413A"/>
    <w:rsid w:val="00336411"/>
    <w:rsid w:val="00336FE1"/>
    <w:rsid w:val="00337451"/>
    <w:rsid w:val="00337BD8"/>
    <w:rsid w:val="00342D56"/>
    <w:rsid w:val="00342D66"/>
    <w:rsid w:val="003456E7"/>
    <w:rsid w:val="00346EC2"/>
    <w:rsid w:val="003477F9"/>
    <w:rsid w:val="003478C7"/>
    <w:rsid w:val="0035444D"/>
    <w:rsid w:val="00356D62"/>
    <w:rsid w:val="00363EE3"/>
    <w:rsid w:val="00371345"/>
    <w:rsid w:val="003735F3"/>
    <w:rsid w:val="00374729"/>
    <w:rsid w:val="00374C92"/>
    <w:rsid w:val="0037664E"/>
    <w:rsid w:val="00387298"/>
    <w:rsid w:val="00387984"/>
    <w:rsid w:val="00390A1D"/>
    <w:rsid w:val="00391197"/>
    <w:rsid w:val="00391BAB"/>
    <w:rsid w:val="00395140"/>
    <w:rsid w:val="003A2422"/>
    <w:rsid w:val="003A4BB2"/>
    <w:rsid w:val="003A6871"/>
    <w:rsid w:val="003A7CC2"/>
    <w:rsid w:val="003B149C"/>
    <w:rsid w:val="003B3E04"/>
    <w:rsid w:val="003B5085"/>
    <w:rsid w:val="003B69DF"/>
    <w:rsid w:val="003C0FDB"/>
    <w:rsid w:val="003C1192"/>
    <w:rsid w:val="003C55E2"/>
    <w:rsid w:val="003C63D5"/>
    <w:rsid w:val="003C7AA8"/>
    <w:rsid w:val="003D3800"/>
    <w:rsid w:val="003D71A1"/>
    <w:rsid w:val="003E5126"/>
    <w:rsid w:val="00402465"/>
    <w:rsid w:val="0041688F"/>
    <w:rsid w:val="00420296"/>
    <w:rsid w:val="0042087A"/>
    <w:rsid w:val="00421571"/>
    <w:rsid w:val="0042376F"/>
    <w:rsid w:val="0042397E"/>
    <w:rsid w:val="004246B8"/>
    <w:rsid w:val="004248F1"/>
    <w:rsid w:val="00432F98"/>
    <w:rsid w:val="00433318"/>
    <w:rsid w:val="004411D9"/>
    <w:rsid w:val="00442A56"/>
    <w:rsid w:val="004444B0"/>
    <w:rsid w:val="0045060B"/>
    <w:rsid w:val="00455330"/>
    <w:rsid w:val="004559FB"/>
    <w:rsid w:val="004626FF"/>
    <w:rsid w:val="0046285C"/>
    <w:rsid w:val="00470A52"/>
    <w:rsid w:val="00471BD5"/>
    <w:rsid w:val="00475514"/>
    <w:rsid w:val="00477C4E"/>
    <w:rsid w:val="00477F07"/>
    <w:rsid w:val="00481503"/>
    <w:rsid w:val="00481D12"/>
    <w:rsid w:val="00482D8E"/>
    <w:rsid w:val="00484C23"/>
    <w:rsid w:val="004854A6"/>
    <w:rsid w:val="00491A55"/>
    <w:rsid w:val="00494C3E"/>
    <w:rsid w:val="00497DF1"/>
    <w:rsid w:val="004A20BC"/>
    <w:rsid w:val="004A318E"/>
    <w:rsid w:val="004A45D4"/>
    <w:rsid w:val="004A57E8"/>
    <w:rsid w:val="004B0854"/>
    <w:rsid w:val="004B2938"/>
    <w:rsid w:val="004B3081"/>
    <w:rsid w:val="004B381D"/>
    <w:rsid w:val="004B4A09"/>
    <w:rsid w:val="004B51B0"/>
    <w:rsid w:val="004C138A"/>
    <w:rsid w:val="004C3C07"/>
    <w:rsid w:val="004C41CE"/>
    <w:rsid w:val="004C631B"/>
    <w:rsid w:val="004D0933"/>
    <w:rsid w:val="004D2F00"/>
    <w:rsid w:val="004D31D8"/>
    <w:rsid w:val="004D35D1"/>
    <w:rsid w:val="004D4AD5"/>
    <w:rsid w:val="004D5388"/>
    <w:rsid w:val="004D65C1"/>
    <w:rsid w:val="004E4963"/>
    <w:rsid w:val="004E5E1B"/>
    <w:rsid w:val="004E7F16"/>
    <w:rsid w:val="004F18EC"/>
    <w:rsid w:val="00500D68"/>
    <w:rsid w:val="0052271B"/>
    <w:rsid w:val="00530709"/>
    <w:rsid w:val="00532E25"/>
    <w:rsid w:val="0053377D"/>
    <w:rsid w:val="00535DFE"/>
    <w:rsid w:val="005373B5"/>
    <w:rsid w:val="00537AB7"/>
    <w:rsid w:val="0054669B"/>
    <w:rsid w:val="00546C5A"/>
    <w:rsid w:val="005542BC"/>
    <w:rsid w:val="00557684"/>
    <w:rsid w:val="00560EC1"/>
    <w:rsid w:val="005610D1"/>
    <w:rsid w:val="00562F42"/>
    <w:rsid w:val="0056522D"/>
    <w:rsid w:val="00565739"/>
    <w:rsid w:val="0056766D"/>
    <w:rsid w:val="00575215"/>
    <w:rsid w:val="005775D0"/>
    <w:rsid w:val="005802B1"/>
    <w:rsid w:val="00581138"/>
    <w:rsid w:val="00583F2C"/>
    <w:rsid w:val="0058575E"/>
    <w:rsid w:val="0058783C"/>
    <w:rsid w:val="00590CB6"/>
    <w:rsid w:val="005911AE"/>
    <w:rsid w:val="00591D86"/>
    <w:rsid w:val="005926E2"/>
    <w:rsid w:val="0059313A"/>
    <w:rsid w:val="005A54EA"/>
    <w:rsid w:val="005B023F"/>
    <w:rsid w:val="005B02A2"/>
    <w:rsid w:val="005B1417"/>
    <w:rsid w:val="005B69CF"/>
    <w:rsid w:val="005B70C8"/>
    <w:rsid w:val="005C0C12"/>
    <w:rsid w:val="005C3F07"/>
    <w:rsid w:val="005C4B46"/>
    <w:rsid w:val="005C5DC5"/>
    <w:rsid w:val="005D0E1E"/>
    <w:rsid w:val="005D2089"/>
    <w:rsid w:val="005D4762"/>
    <w:rsid w:val="005D5491"/>
    <w:rsid w:val="005D7514"/>
    <w:rsid w:val="005E0FC6"/>
    <w:rsid w:val="005E1A7B"/>
    <w:rsid w:val="005E231F"/>
    <w:rsid w:val="005F0FD7"/>
    <w:rsid w:val="0060000A"/>
    <w:rsid w:val="00602D6E"/>
    <w:rsid w:val="00605C05"/>
    <w:rsid w:val="006103E6"/>
    <w:rsid w:val="00611351"/>
    <w:rsid w:val="0061217D"/>
    <w:rsid w:val="006129AE"/>
    <w:rsid w:val="0061335C"/>
    <w:rsid w:val="00620816"/>
    <w:rsid w:val="006277A1"/>
    <w:rsid w:val="00633BD7"/>
    <w:rsid w:val="00634580"/>
    <w:rsid w:val="00634884"/>
    <w:rsid w:val="006351D9"/>
    <w:rsid w:val="00637130"/>
    <w:rsid w:val="00637F0E"/>
    <w:rsid w:val="006423F2"/>
    <w:rsid w:val="006428C5"/>
    <w:rsid w:val="00650234"/>
    <w:rsid w:val="00652835"/>
    <w:rsid w:val="0066044B"/>
    <w:rsid w:val="006630AA"/>
    <w:rsid w:val="00663544"/>
    <w:rsid w:val="006659A1"/>
    <w:rsid w:val="00666539"/>
    <w:rsid w:val="00666911"/>
    <w:rsid w:val="00675F81"/>
    <w:rsid w:val="00677A1D"/>
    <w:rsid w:val="0068143E"/>
    <w:rsid w:val="0068507D"/>
    <w:rsid w:val="00691AF2"/>
    <w:rsid w:val="00692B80"/>
    <w:rsid w:val="00692CCD"/>
    <w:rsid w:val="00692D51"/>
    <w:rsid w:val="00694DD7"/>
    <w:rsid w:val="0069636B"/>
    <w:rsid w:val="006A0328"/>
    <w:rsid w:val="006A1465"/>
    <w:rsid w:val="006A1762"/>
    <w:rsid w:val="006A19CE"/>
    <w:rsid w:val="006A1F0B"/>
    <w:rsid w:val="006A277A"/>
    <w:rsid w:val="006A5973"/>
    <w:rsid w:val="006B04F3"/>
    <w:rsid w:val="006B4A37"/>
    <w:rsid w:val="006B4A46"/>
    <w:rsid w:val="006B5E64"/>
    <w:rsid w:val="006B7126"/>
    <w:rsid w:val="006C6B86"/>
    <w:rsid w:val="006D4553"/>
    <w:rsid w:val="006D4A35"/>
    <w:rsid w:val="006D6B44"/>
    <w:rsid w:val="006E0F71"/>
    <w:rsid w:val="006E27FE"/>
    <w:rsid w:val="006E6059"/>
    <w:rsid w:val="006F730E"/>
    <w:rsid w:val="00701110"/>
    <w:rsid w:val="00702E91"/>
    <w:rsid w:val="0070330F"/>
    <w:rsid w:val="00703624"/>
    <w:rsid w:val="007046ED"/>
    <w:rsid w:val="0070541F"/>
    <w:rsid w:val="007072A1"/>
    <w:rsid w:val="0071060C"/>
    <w:rsid w:val="00710BC5"/>
    <w:rsid w:val="007121CA"/>
    <w:rsid w:val="0072003B"/>
    <w:rsid w:val="00721059"/>
    <w:rsid w:val="007211E6"/>
    <w:rsid w:val="007220C4"/>
    <w:rsid w:val="00722E1E"/>
    <w:rsid w:val="007305ED"/>
    <w:rsid w:val="007311B9"/>
    <w:rsid w:val="00732361"/>
    <w:rsid w:val="00734128"/>
    <w:rsid w:val="007357B9"/>
    <w:rsid w:val="00740AB9"/>
    <w:rsid w:val="00741AB9"/>
    <w:rsid w:val="00742D03"/>
    <w:rsid w:val="00744216"/>
    <w:rsid w:val="007452E8"/>
    <w:rsid w:val="00746990"/>
    <w:rsid w:val="00747093"/>
    <w:rsid w:val="00750D70"/>
    <w:rsid w:val="007575D0"/>
    <w:rsid w:val="00764ACE"/>
    <w:rsid w:val="007662E0"/>
    <w:rsid w:val="00767339"/>
    <w:rsid w:val="007707D7"/>
    <w:rsid w:val="0077576D"/>
    <w:rsid w:val="007762CD"/>
    <w:rsid w:val="00776E9C"/>
    <w:rsid w:val="007816D8"/>
    <w:rsid w:val="00784150"/>
    <w:rsid w:val="00793272"/>
    <w:rsid w:val="0079499A"/>
    <w:rsid w:val="00794B64"/>
    <w:rsid w:val="007967C3"/>
    <w:rsid w:val="007A0A33"/>
    <w:rsid w:val="007A3101"/>
    <w:rsid w:val="007A5E1A"/>
    <w:rsid w:val="007B04DE"/>
    <w:rsid w:val="007B0AE6"/>
    <w:rsid w:val="007C0F0B"/>
    <w:rsid w:val="007C57BC"/>
    <w:rsid w:val="007D04CA"/>
    <w:rsid w:val="007D0A2B"/>
    <w:rsid w:val="007D12A1"/>
    <w:rsid w:val="007D40E5"/>
    <w:rsid w:val="007D4138"/>
    <w:rsid w:val="007E1667"/>
    <w:rsid w:val="007E4178"/>
    <w:rsid w:val="007E4FF8"/>
    <w:rsid w:val="007E6443"/>
    <w:rsid w:val="007F0A77"/>
    <w:rsid w:val="007F1E37"/>
    <w:rsid w:val="007F50D3"/>
    <w:rsid w:val="007F6B1F"/>
    <w:rsid w:val="008013F0"/>
    <w:rsid w:val="00803926"/>
    <w:rsid w:val="00804897"/>
    <w:rsid w:val="00816EB2"/>
    <w:rsid w:val="00821D2F"/>
    <w:rsid w:val="00831D42"/>
    <w:rsid w:val="008329DB"/>
    <w:rsid w:val="00834F89"/>
    <w:rsid w:val="008361C5"/>
    <w:rsid w:val="0083628F"/>
    <w:rsid w:val="00837AB9"/>
    <w:rsid w:val="00850637"/>
    <w:rsid w:val="00854D98"/>
    <w:rsid w:val="0085751E"/>
    <w:rsid w:val="00860B29"/>
    <w:rsid w:val="008622E8"/>
    <w:rsid w:val="008645EE"/>
    <w:rsid w:val="008667B7"/>
    <w:rsid w:val="00866DFA"/>
    <w:rsid w:val="0086724B"/>
    <w:rsid w:val="00870144"/>
    <w:rsid w:val="0087072C"/>
    <w:rsid w:val="00871312"/>
    <w:rsid w:val="00873D7A"/>
    <w:rsid w:val="00877CB3"/>
    <w:rsid w:val="008804CF"/>
    <w:rsid w:val="00882D58"/>
    <w:rsid w:val="00882F19"/>
    <w:rsid w:val="00883D35"/>
    <w:rsid w:val="00884569"/>
    <w:rsid w:val="00887A51"/>
    <w:rsid w:val="00887C4E"/>
    <w:rsid w:val="0089038A"/>
    <w:rsid w:val="00890D9B"/>
    <w:rsid w:val="00891C6C"/>
    <w:rsid w:val="00893CCD"/>
    <w:rsid w:val="008955DA"/>
    <w:rsid w:val="008964B3"/>
    <w:rsid w:val="008A0159"/>
    <w:rsid w:val="008A5065"/>
    <w:rsid w:val="008B1CB5"/>
    <w:rsid w:val="008B4302"/>
    <w:rsid w:val="008C2D69"/>
    <w:rsid w:val="008C2FB6"/>
    <w:rsid w:val="008C341F"/>
    <w:rsid w:val="008C417F"/>
    <w:rsid w:val="008C4579"/>
    <w:rsid w:val="008C49C6"/>
    <w:rsid w:val="008C754C"/>
    <w:rsid w:val="008D0CAC"/>
    <w:rsid w:val="008D56C9"/>
    <w:rsid w:val="008D56CA"/>
    <w:rsid w:val="008D6374"/>
    <w:rsid w:val="008D6A54"/>
    <w:rsid w:val="008E2585"/>
    <w:rsid w:val="008E2D7A"/>
    <w:rsid w:val="008F3215"/>
    <w:rsid w:val="008F4A62"/>
    <w:rsid w:val="008F7256"/>
    <w:rsid w:val="009019AC"/>
    <w:rsid w:val="00902A66"/>
    <w:rsid w:val="0090424C"/>
    <w:rsid w:val="0090605E"/>
    <w:rsid w:val="00906C74"/>
    <w:rsid w:val="009108CE"/>
    <w:rsid w:val="00911198"/>
    <w:rsid w:val="0091222D"/>
    <w:rsid w:val="00915A9F"/>
    <w:rsid w:val="00920364"/>
    <w:rsid w:val="009249E6"/>
    <w:rsid w:val="00930D58"/>
    <w:rsid w:val="00935AAA"/>
    <w:rsid w:val="00944FF6"/>
    <w:rsid w:val="0095031E"/>
    <w:rsid w:val="00954297"/>
    <w:rsid w:val="00960A56"/>
    <w:rsid w:val="00966EF1"/>
    <w:rsid w:val="00967223"/>
    <w:rsid w:val="00970EBC"/>
    <w:rsid w:val="009751F7"/>
    <w:rsid w:val="0098168B"/>
    <w:rsid w:val="0098350E"/>
    <w:rsid w:val="0098666B"/>
    <w:rsid w:val="00990C12"/>
    <w:rsid w:val="0099404F"/>
    <w:rsid w:val="00996FA5"/>
    <w:rsid w:val="009B5662"/>
    <w:rsid w:val="009B6EAF"/>
    <w:rsid w:val="009C2211"/>
    <w:rsid w:val="009C40E8"/>
    <w:rsid w:val="009C4207"/>
    <w:rsid w:val="009C45C5"/>
    <w:rsid w:val="009E17D3"/>
    <w:rsid w:val="009E6858"/>
    <w:rsid w:val="009E6F8C"/>
    <w:rsid w:val="009F405F"/>
    <w:rsid w:val="00A01C56"/>
    <w:rsid w:val="00A122DB"/>
    <w:rsid w:val="00A12A03"/>
    <w:rsid w:val="00A1457A"/>
    <w:rsid w:val="00A32C50"/>
    <w:rsid w:val="00A358E7"/>
    <w:rsid w:val="00A4380B"/>
    <w:rsid w:val="00A51A2D"/>
    <w:rsid w:val="00A5596B"/>
    <w:rsid w:val="00A606FB"/>
    <w:rsid w:val="00A63C07"/>
    <w:rsid w:val="00A63D9B"/>
    <w:rsid w:val="00A704DC"/>
    <w:rsid w:val="00A815A7"/>
    <w:rsid w:val="00A87172"/>
    <w:rsid w:val="00A905DF"/>
    <w:rsid w:val="00A91438"/>
    <w:rsid w:val="00A9364C"/>
    <w:rsid w:val="00A93DC6"/>
    <w:rsid w:val="00A9411A"/>
    <w:rsid w:val="00A9412F"/>
    <w:rsid w:val="00AA4A4B"/>
    <w:rsid w:val="00AA6682"/>
    <w:rsid w:val="00AA763D"/>
    <w:rsid w:val="00AB0408"/>
    <w:rsid w:val="00AB0613"/>
    <w:rsid w:val="00AB06C9"/>
    <w:rsid w:val="00AB0BA1"/>
    <w:rsid w:val="00AB3F3C"/>
    <w:rsid w:val="00AB664D"/>
    <w:rsid w:val="00AB7C5C"/>
    <w:rsid w:val="00AB7CBF"/>
    <w:rsid w:val="00AD0111"/>
    <w:rsid w:val="00AD089E"/>
    <w:rsid w:val="00AD0B68"/>
    <w:rsid w:val="00AD3728"/>
    <w:rsid w:val="00AD40C3"/>
    <w:rsid w:val="00AD4C72"/>
    <w:rsid w:val="00AD5451"/>
    <w:rsid w:val="00AE1947"/>
    <w:rsid w:val="00AE1B07"/>
    <w:rsid w:val="00AF1C8B"/>
    <w:rsid w:val="00AF299B"/>
    <w:rsid w:val="00AF7E43"/>
    <w:rsid w:val="00B02AE0"/>
    <w:rsid w:val="00B03F25"/>
    <w:rsid w:val="00B05326"/>
    <w:rsid w:val="00B12590"/>
    <w:rsid w:val="00B14545"/>
    <w:rsid w:val="00B14E60"/>
    <w:rsid w:val="00B15A05"/>
    <w:rsid w:val="00B17BA2"/>
    <w:rsid w:val="00B21BEE"/>
    <w:rsid w:val="00B26DC3"/>
    <w:rsid w:val="00B30B9D"/>
    <w:rsid w:val="00B33AE4"/>
    <w:rsid w:val="00B37A93"/>
    <w:rsid w:val="00B4574D"/>
    <w:rsid w:val="00B468E1"/>
    <w:rsid w:val="00B46BC0"/>
    <w:rsid w:val="00B46DFB"/>
    <w:rsid w:val="00B5141B"/>
    <w:rsid w:val="00B54BA4"/>
    <w:rsid w:val="00B55681"/>
    <w:rsid w:val="00B57AAD"/>
    <w:rsid w:val="00B6374E"/>
    <w:rsid w:val="00B702F0"/>
    <w:rsid w:val="00B72B16"/>
    <w:rsid w:val="00B74A3E"/>
    <w:rsid w:val="00B7537D"/>
    <w:rsid w:val="00B76CD5"/>
    <w:rsid w:val="00B77C6D"/>
    <w:rsid w:val="00B80408"/>
    <w:rsid w:val="00B81397"/>
    <w:rsid w:val="00B925DB"/>
    <w:rsid w:val="00B967FF"/>
    <w:rsid w:val="00B96C49"/>
    <w:rsid w:val="00B974B9"/>
    <w:rsid w:val="00BA3F6D"/>
    <w:rsid w:val="00BA4BE6"/>
    <w:rsid w:val="00BA4FC0"/>
    <w:rsid w:val="00BA61E0"/>
    <w:rsid w:val="00BA657C"/>
    <w:rsid w:val="00BA7F7D"/>
    <w:rsid w:val="00BB0282"/>
    <w:rsid w:val="00BB1C14"/>
    <w:rsid w:val="00BB37C8"/>
    <w:rsid w:val="00BB6847"/>
    <w:rsid w:val="00BB7F8F"/>
    <w:rsid w:val="00BC716A"/>
    <w:rsid w:val="00BD07DF"/>
    <w:rsid w:val="00BD15C7"/>
    <w:rsid w:val="00BD26F4"/>
    <w:rsid w:val="00BD4A9B"/>
    <w:rsid w:val="00BD5DBD"/>
    <w:rsid w:val="00BD5DF6"/>
    <w:rsid w:val="00BE0041"/>
    <w:rsid w:val="00BE640F"/>
    <w:rsid w:val="00BE6D2A"/>
    <w:rsid w:val="00BF4638"/>
    <w:rsid w:val="00BF4EC5"/>
    <w:rsid w:val="00BF502D"/>
    <w:rsid w:val="00BF5130"/>
    <w:rsid w:val="00C00844"/>
    <w:rsid w:val="00C00CC0"/>
    <w:rsid w:val="00C059D0"/>
    <w:rsid w:val="00C07551"/>
    <w:rsid w:val="00C1109F"/>
    <w:rsid w:val="00C12D65"/>
    <w:rsid w:val="00C133AB"/>
    <w:rsid w:val="00C20B56"/>
    <w:rsid w:val="00C22214"/>
    <w:rsid w:val="00C26F72"/>
    <w:rsid w:val="00C309A7"/>
    <w:rsid w:val="00C335AB"/>
    <w:rsid w:val="00C407AB"/>
    <w:rsid w:val="00C46C63"/>
    <w:rsid w:val="00C52B7B"/>
    <w:rsid w:val="00C547CD"/>
    <w:rsid w:val="00C570FF"/>
    <w:rsid w:val="00C57CEA"/>
    <w:rsid w:val="00C60FEC"/>
    <w:rsid w:val="00C62B1C"/>
    <w:rsid w:val="00C6574E"/>
    <w:rsid w:val="00C663D1"/>
    <w:rsid w:val="00C707FD"/>
    <w:rsid w:val="00C76DEB"/>
    <w:rsid w:val="00C80E54"/>
    <w:rsid w:val="00C811D8"/>
    <w:rsid w:val="00C816C6"/>
    <w:rsid w:val="00C863A7"/>
    <w:rsid w:val="00C912F4"/>
    <w:rsid w:val="00C9156F"/>
    <w:rsid w:val="00C9581A"/>
    <w:rsid w:val="00C96D3F"/>
    <w:rsid w:val="00C97D29"/>
    <w:rsid w:val="00CB0550"/>
    <w:rsid w:val="00CB5877"/>
    <w:rsid w:val="00CB6813"/>
    <w:rsid w:val="00CB74F3"/>
    <w:rsid w:val="00CC1AAF"/>
    <w:rsid w:val="00CD75B8"/>
    <w:rsid w:val="00CF6A55"/>
    <w:rsid w:val="00CF6DC6"/>
    <w:rsid w:val="00CF6DCF"/>
    <w:rsid w:val="00D01DDB"/>
    <w:rsid w:val="00D04FBC"/>
    <w:rsid w:val="00D078BE"/>
    <w:rsid w:val="00D13F8A"/>
    <w:rsid w:val="00D16F60"/>
    <w:rsid w:val="00D22981"/>
    <w:rsid w:val="00D268C3"/>
    <w:rsid w:val="00D26FB8"/>
    <w:rsid w:val="00D30121"/>
    <w:rsid w:val="00D306FF"/>
    <w:rsid w:val="00D30AEA"/>
    <w:rsid w:val="00D3349B"/>
    <w:rsid w:val="00D424A8"/>
    <w:rsid w:val="00D53496"/>
    <w:rsid w:val="00D56164"/>
    <w:rsid w:val="00D6036F"/>
    <w:rsid w:val="00D62877"/>
    <w:rsid w:val="00D63760"/>
    <w:rsid w:val="00D6703F"/>
    <w:rsid w:val="00D734EB"/>
    <w:rsid w:val="00D73C71"/>
    <w:rsid w:val="00D82713"/>
    <w:rsid w:val="00D82B8D"/>
    <w:rsid w:val="00D86F00"/>
    <w:rsid w:val="00D917D3"/>
    <w:rsid w:val="00D918D5"/>
    <w:rsid w:val="00D94C8E"/>
    <w:rsid w:val="00DA4A96"/>
    <w:rsid w:val="00DA4C19"/>
    <w:rsid w:val="00DB1372"/>
    <w:rsid w:val="00DB192C"/>
    <w:rsid w:val="00DB1CF3"/>
    <w:rsid w:val="00DB5425"/>
    <w:rsid w:val="00DB72A6"/>
    <w:rsid w:val="00DC1F14"/>
    <w:rsid w:val="00DC33AF"/>
    <w:rsid w:val="00DC4140"/>
    <w:rsid w:val="00DC6611"/>
    <w:rsid w:val="00DD4FF4"/>
    <w:rsid w:val="00DD5AFB"/>
    <w:rsid w:val="00DE1344"/>
    <w:rsid w:val="00DE3091"/>
    <w:rsid w:val="00DE4BBF"/>
    <w:rsid w:val="00DF1CFD"/>
    <w:rsid w:val="00DF5BFE"/>
    <w:rsid w:val="00E0523F"/>
    <w:rsid w:val="00E13FE2"/>
    <w:rsid w:val="00E23453"/>
    <w:rsid w:val="00E23E50"/>
    <w:rsid w:val="00E26213"/>
    <w:rsid w:val="00E274DF"/>
    <w:rsid w:val="00E330FD"/>
    <w:rsid w:val="00E34D66"/>
    <w:rsid w:val="00E362C4"/>
    <w:rsid w:val="00E36ABA"/>
    <w:rsid w:val="00E413C5"/>
    <w:rsid w:val="00E46CC2"/>
    <w:rsid w:val="00E47E0C"/>
    <w:rsid w:val="00E47ED2"/>
    <w:rsid w:val="00E51813"/>
    <w:rsid w:val="00E52C0B"/>
    <w:rsid w:val="00E53D3F"/>
    <w:rsid w:val="00E5579B"/>
    <w:rsid w:val="00E561AD"/>
    <w:rsid w:val="00E57FF4"/>
    <w:rsid w:val="00E62208"/>
    <w:rsid w:val="00E679D1"/>
    <w:rsid w:val="00E67C1C"/>
    <w:rsid w:val="00E73ED4"/>
    <w:rsid w:val="00E833AA"/>
    <w:rsid w:val="00E8386C"/>
    <w:rsid w:val="00E85209"/>
    <w:rsid w:val="00E91F11"/>
    <w:rsid w:val="00E92C52"/>
    <w:rsid w:val="00E9706D"/>
    <w:rsid w:val="00EA3AF4"/>
    <w:rsid w:val="00EA3C8D"/>
    <w:rsid w:val="00EA72A7"/>
    <w:rsid w:val="00ED1726"/>
    <w:rsid w:val="00EE1D00"/>
    <w:rsid w:val="00EE4B01"/>
    <w:rsid w:val="00EF3F0B"/>
    <w:rsid w:val="00EF5583"/>
    <w:rsid w:val="00F0289D"/>
    <w:rsid w:val="00F02AEC"/>
    <w:rsid w:val="00F07572"/>
    <w:rsid w:val="00F157FC"/>
    <w:rsid w:val="00F17FA3"/>
    <w:rsid w:val="00F2614C"/>
    <w:rsid w:val="00F30AF3"/>
    <w:rsid w:val="00F37282"/>
    <w:rsid w:val="00F43CD1"/>
    <w:rsid w:val="00F45AE0"/>
    <w:rsid w:val="00F47620"/>
    <w:rsid w:val="00F55670"/>
    <w:rsid w:val="00F57421"/>
    <w:rsid w:val="00F60CF2"/>
    <w:rsid w:val="00F657B4"/>
    <w:rsid w:val="00F71F24"/>
    <w:rsid w:val="00F72725"/>
    <w:rsid w:val="00F72CD9"/>
    <w:rsid w:val="00F7649F"/>
    <w:rsid w:val="00F8083B"/>
    <w:rsid w:val="00F82D1B"/>
    <w:rsid w:val="00F83E9B"/>
    <w:rsid w:val="00F8448B"/>
    <w:rsid w:val="00F8568E"/>
    <w:rsid w:val="00F865A7"/>
    <w:rsid w:val="00F966BF"/>
    <w:rsid w:val="00FA0754"/>
    <w:rsid w:val="00FA1BC9"/>
    <w:rsid w:val="00FA2028"/>
    <w:rsid w:val="00FA49C3"/>
    <w:rsid w:val="00FB236E"/>
    <w:rsid w:val="00FB3F7B"/>
    <w:rsid w:val="00FB4C2A"/>
    <w:rsid w:val="00FC2107"/>
    <w:rsid w:val="00FC48FE"/>
    <w:rsid w:val="00FC6F56"/>
    <w:rsid w:val="00FD0E10"/>
    <w:rsid w:val="00FE087C"/>
    <w:rsid w:val="00FE79A0"/>
    <w:rsid w:val="00FF0939"/>
    <w:rsid w:val="00FF24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4C024"/>
  <w15:chartTrackingRefBased/>
  <w15:docId w15:val="{3B7A0CE6-F5BB-4D40-8ED5-1531A62F0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49C"/>
    <w:rPr>
      <w:rFonts w:ascii="Cambria" w:hAnsi="Cambria"/>
      <w:sz w:val="22"/>
    </w:rPr>
  </w:style>
  <w:style w:type="paragraph" w:styleId="Heading1">
    <w:name w:val="heading 1"/>
    <w:basedOn w:val="Normal"/>
    <w:next w:val="Normal"/>
    <w:link w:val="Heading1Char"/>
    <w:uiPriority w:val="9"/>
    <w:qFormat/>
    <w:rsid w:val="00D917D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F02AEC"/>
    <w:pPr>
      <w:keepNext/>
      <w:keepLines/>
      <w:spacing w:before="480" w:line="240" w:lineRule="atLeast"/>
      <w:outlineLvl w:val="1"/>
    </w:pPr>
    <w:rPr>
      <w:rFonts w:ascii="Arial" w:eastAsia="Times New Roman" w:hAnsi="Arial" w:cs="Times New Roman"/>
      <w:b/>
      <w:bCs/>
      <w:color w:val="001871"/>
      <w:sz w:val="38"/>
      <w:szCs w:val="38"/>
    </w:rPr>
  </w:style>
  <w:style w:type="paragraph" w:styleId="Heading3">
    <w:name w:val="heading 3"/>
    <w:basedOn w:val="Normal"/>
    <w:next w:val="Normal"/>
    <w:link w:val="Heading3Char"/>
    <w:qFormat/>
    <w:rsid w:val="00F02AEC"/>
    <w:pPr>
      <w:keepNext/>
      <w:keepLines/>
      <w:spacing w:before="480" w:line="240" w:lineRule="atLeast"/>
      <w:outlineLvl w:val="2"/>
    </w:pPr>
    <w:rPr>
      <w:rFonts w:ascii="Arial" w:eastAsia="Times New Roman" w:hAnsi="Arial" w:cs="Times New Roman"/>
      <w:b/>
      <w:bCs/>
      <w:color w:val="001871"/>
      <w:sz w:val="32"/>
      <w:szCs w:val="32"/>
    </w:rPr>
  </w:style>
  <w:style w:type="paragraph" w:styleId="Heading4">
    <w:name w:val="heading 4"/>
    <w:basedOn w:val="Normal"/>
    <w:next w:val="Normal"/>
    <w:link w:val="Heading4Char"/>
    <w:qFormat/>
    <w:rsid w:val="00F02AEC"/>
    <w:pPr>
      <w:keepNext/>
      <w:keepLines/>
      <w:spacing w:before="360" w:line="240" w:lineRule="atLeast"/>
      <w:outlineLvl w:val="3"/>
    </w:pPr>
    <w:rPr>
      <w:rFonts w:ascii="Arial" w:eastAsia="Cambria" w:hAnsi="Arial" w:cs="Times New Roman"/>
      <w:b/>
      <w:bCs/>
      <w:color w:val="001871"/>
      <w:sz w:val="28"/>
      <w:szCs w:val="26"/>
    </w:rPr>
  </w:style>
  <w:style w:type="paragraph" w:styleId="Heading5">
    <w:name w:val="heading 5"/>
    <w:basedOn w:val="Normal"/>
    <w:next w:val="Normal"/>
    <w:link w:val="Heading5Char"/>
    <w:uiPriority w:val="9"/>
    <w:rsid w:val="00F02AEC"/>
    <w:pPr>
      <w:keepNext/>
      <w:keepLines/>
      <w:spacing w:before="240" w:line="240" w:lineRule="atLeast"/>
      <w:outlineLvl w:val="4"/>
    </w:pPr>
    <w:rPr>
      <w:rFonts w:ascii="Arial" w:eastAsia="Times New Roman" w:hAnsi="Arial" w:cs="Times New Roman"/>
      <w:b/>
      <w:bCs/>
      <w:i/>
      <w:color w:val="001871"/>
      <w:sz w:val="26"/>
      <w:szCs w:val="26"/>
    </w:rPr>
  </w:style>
  <w:style w:type="paragraph" w:styleId="Heading6">
    <w:name w:val="heading 6"/>
    <w:basedOn w:val="Normal"/>
    <w:next w:val="Normal"/>
    <w:link w:val="Heading6Char"/>
    <w:uiPriority w:val="9"/>
    <w:rsid w:val="00F02AEC"/>
    <w:pPr>
      <w:keepNext/>
      <w:keepLines/>
      <w:spacing w:before="240" w:line="240" w:lineRule="atLeast"/>
      <w:outlineLvl w:val="5"/>
    </w:pPr>
    <w:rPr>
      <w:rFonts w:ascii="Arial" w:eastAsia="Times New Roman" w:hAnsi="Arial" w:cs="Times New Roman"/>
      <w:b/>
      <w:bCs/>
      <w:i/>
      <w:color w:val="001871"/>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TGAblue2023">
    <w:name w:val="Table TGA blue 2023"/>
    <w:basedOn w:val="TableNormal"/>
    <w:uiPriority w:val="99"/>
    <w:qFormat/>
    <w:rsid w:val="008329DB"/>
    <w:pPr>
      <w:spacing w:before="80" w:after="40" w:line="264" w:lineRule="auto"/>
      <w:ind w:left="113"/>
    </w:pPr>
    <w:rPr>
      <w:rFonts w:ascii="Arial" w:eastAsia="Cambria" w:hAnsi="Arial" w:cs="Times New Roman"/>
      <w:color w:val="000000"/>
      <w:sz w:val="18"/>
      <w:szCs w:val="21"/>
      <w:lang w:eastAsia="en-AU"/>
    </w:rPr>
    <w:tblPr>
      <w:tblBorders>
        <w:top w:val="single" w:sz="4" w:space="0" w:color="263287"/>
        <w:left w:val="single" w:sz="4" w:space="0" w:color="263287"/>
        <w:bottom w:val="single" w:sz="4" w:space="0" w:color="263287"/>
        <w:right w:val="single" w:sz="4" w:space="0" w:color="263287"/>
        <w:insideH w:val="single" w:sz="4" w:space="0" w:color="263287"/>
        <w:insideV w:val="single" w:sz="4" w:space="0" w:color="263287"/>
      </w:tblBorders>
    </w:tblPr>
    <w:trPr>
      <w:cantSplit/>
    </w:trPr>
    <w:tcPr>
      <w:shd w:val="clear" w:color="auto" w:fill="FFFFFF" w:themeFill="background1"/>
    </w:tcPr>
    <w:tblStylePr w:type="firstRow">
      <w:pPr>
        <w:keepNext/>
        <w:wordWrap/>
      </w:pPr>
      <w:rPr>
        <w:rFonts w:ascii="Arial" w:hAnsi="Arial"/>
        <w:b/>
        <w:color w:val="263287"/>
        <w:sz w:val="22"/>
      </w:rPr>
      <w:tblPr/>
      <w:trPr>
        <w:tblHeader/>
      </w:trPr>
      <w:tcPr>
        <w:shd w:val="clear" w:color="auto" w:fill="DEEAF6" w:themeFill="accent5" w:themeFillTint="33"/>
      </w:tcPr>
    </w:tblStylePr>
    <w:tblStylePr w:type="firstCol">
      <w:pPr>
        <w:keepNext w:val="0"/>
        <w:wordWrap/>
      </w:pPr>
    </w:tblStylePr>
  </w:style>
  <w:style w:type="character" w:customStyle="1" w:styleId="Heading2Char">
    <w:name w:val="Heading 2 Char"/>
    <w:basedOn w:val="DefaultParagraphFont"/>
    <w:link w:val="Heading2"/>
    <w:rsid w:val="00F02AEC"/>
    <w:rPr>
      <w:rFonts w:ascii="Arial" w:eastAsia="Times New Roman" w:hAnsi="Arial" w:cs="Times New Roman"/>
      <w:b/>
      <w:bCs/>
      <w:color w:val="001871"/>
      <w:sz w:val="38"/>
      <w:szCs w:val="38"/>
    </w:rPr>
  </w:style>
  <w:style w:type="character" w:customStyle="1" w:styleId="Heading3Char">
    <w:name w:val="Heading 3 Char"/>
    <w:basedOn w:val="DefaultParagraphFont"/>
    <w:link w:val="Heading3"/>
    <w:rsid w:val="00F02AEC"/>
    <w:rPr>
      <w:rFonts w:ascii="Arial" w:eastAsia="Times New Roman" w:hAnsi="Arial" w:cs="Times New Roman"/>
      <w:b/>
      <w:bCs/>
      <w:color w:val="001871"/>
      <w:sz w:val="32"/>
      <w:szCs w:val="32"/>
    </w:rPr>
  </w:style>
  <w:style w:type="character" w:customStyle="1" w:styleId="Heading4Char">
    <w:name w:val="Heading 4 Char"/>
    <w:basedOn w:val="DefaultParagraphFont"/>
    <w:link w:val="Heading4"/>
    <w:rsid w:val="00F02AEC"/>
    <w:rPr>
      <w:rFonts w:ascii="Arial" w:eastAsia="Cambria" w:hAnsi="Arial" w:cs="Times New Roman"/>
      <w:b/>
      <w:bCs/>
      <w:color w:val="001871"/>
      <w:sz w:val="28"/>
      <w:szCs w:val="26"/>
    </w:rPr>
  </w:style>
  <w:style w:type="character" w:customStyle="1" w:styleId="Heading5Char">
    <w:name w:val="Heading 5 Char"/>
    <w:basedOn w:val="DefaultParagraphFont"/>
    <w:link w:val="Heading5"/>
    <w:uiPriority w:val="9"/>
    <w:rsid w:val="00F02AEC"/>
    <w:rPr>
      <w:rFonts w:ascii="Arial" w:eastAsia="Times New Roman" w:hAnsi="Arial" w:cs="Times New Roman"/>
      <w:b/>
      <w:bCs/>
      <w:i/>
      <w:color w:val="001871"/>
      <w:sz w:val="26"/>
      <w:szCs w:val="26"/>
    </w:rPr>
  </w:style>
  <w:style w:type="character" w:customStyle="1" w:styleId="Heading6Char">
    <w:name w:val="Heading 6 Char"/>
    <w:basedOn w:val="DefaultParagraphFont"/>
    <w:link w:val="Heading6"/>
    <w:uiPriority w:val="9"/>
    <w:rsid w:val="00F02AEC"/>
    <w:rPr>
      <w:rFonts w:ascii="Arial" w:eastAsia="Times New Roman" w:hAnsi="Arial" w:cs="Times New Roman"/>
      <w:b/>
      <w:bCs/>
      <w:i/>
      <w:color w:val="001871"/>
      <w:sz w:val="24"/>
      <w:szCs w:val="21"/>
    </w:rPr>
  </w:style>
  <w:style w:type="paragraph" w:styleId="Date">
    <w:name w:val="Date"/>
    <w:basedOn w:val="Normal"/>
    <w:next w:val="Normal"/>
    <w:link w:val="DateChar"/>
    <w:uiPriority w:val="99"/>
    <w:rsid w:val="00F02AEC"/>
    <w:pPr>
      <w:spacing w:before="120" w:after="0" w:line="240" w:lineRule="atLeast"/>
    </w:pPr>
    <w:rPr>
      <w:rFonts w:ascii="Arial" w:eastAsia="Cambria" w:hAnsi="Arial" w:cs="Times New Roman"/>
      <w:color w:val="333F4A"/>
      <w:sz w:val="28"/>
    </w:rPr>
  </w:style>
  <w:style w:type="character" w:customStyle="1" w:styleId="DateChar">
    <w:name w:val="Date Char"/>
    <w:basedOn w:val="DefaultParagraphFont"/>
    <w:link w:val="Date"/>
    <w:uiPriority w:val="99"/>
    <w:rsid w:val="00F02AEC"/>
    <w:rPr>
      <w:rFonts w:ascii="Arial" w:eastAsia="Cambria" w:hAnsi="Arial" w:cs="Times New Roman"/>
      <w:color w:val="333F4A"/>
      <w:sz w:val="28"/>
      <w:szCs w:val="20"/>
    </w:rPr>
  </w:style>
  <w:style w:type="paragraph" w:styleId="Footer">
    <w:name w:val="footer"/>
    <w:basedOn w:val="Normal"/>
    <w:link w:val="FooterChar"/>
    <w:uiPriority w:val="99"/>
    <w:rsid w:val="0056766D"/>
    <w:pPr>
      <w:tabs>
        <w:tab w:val="center" w:pos="4513"/>
        <w:tab w:val="right" w:pos="9026"/>
      </w:tabs>
      <w:spacing w:after="0" w:line="240" w:lineRule="auto"/>
    </w:pPr>
    <w:rPr>
      <w:rFonts w:eastAsia="Cambria" w:cs="Times New Roman"/>
      <w:color w:val="333F4A"/>
      <w:sz w:val="17"/>
    </w:rPr>
  </w:style>
  <w:style w:type="character" w:customStyle="1" w:styleId="FooterChar">
    <w:name w:val="Footer Char"/>
    <w:basedOn w:val="DefaultParagraphFont"/>
    <w:link w:val="Footer"/>
    <w:uiPriority w:val="99"/>
    <w:rsid w:val="0056766D"/>
    <w:rPr>
      <w:rFonts w:ascii="Cambria" w:eastAsia="Cambria" w:hAnsi="Cambria" w:cs="Times New Roman"/>
      <w:color w:val="333F4A"/>
      <w:sz w:val="17"/>
    </w:rPr>
  </w:style>
  <w:style w:type="paragraph" w:styleId="Header">
    <w:name w:val="header"/>
    <w:basedOn w:val="Normal"/>
    <w:link w:val="HeaderChar"/>
    <w:uiPriority w:val="99"/>
    <w:rsid w:val="00F02AEC"/>
    <w:pPr>
      <w:pBdr>
        <w:bottom w:val="single" w:sz="4" w:space="3" w:color="auto"/>
      </w:pBdr>
      <w:tabs>
        <w:tab w:val="center" w:pos="4513"/>
        <w:tab w:val="right" w:pos="9026"/>
      </w:tabs>
      <w:spacing w:after="0" w:line="240" w:lineRule="auto"/>
      <w:jc w:val="right"/>
    </w:pPr>
    <w:rPr>
      <w:rFonts w:ascii="Arial" w:eastAsia="Cambria" w:hAnsi="Arial" w:cs="Times New Roman"/>
      <w:color w:val="333F4A"/>
      <w:sz w:val="17"/>
    </w:rPr>
  </w:style>
  <w:style w:type="character" w:customStyle="1" w:styleId="HeaderChar">
    <w:name w:val="Header Char"/>
    <w:basedOn w:val="DefaultParagraphFont"/>
    <w:link w:val="Header"/>
    <w:uiPriority w:val="99"/>
    <w:rsid w:val="00F02AEC"/>
    <w:rPr>
      <w:rFonts w:ascii="Arial" w:eastAsia="Cambria" w:hAnsi="Arial" w:cs="Times New Roman"/>
      <w:color w:val="333F4A"/>
      <w:sz w:val="17"/>
      <w:szCs w:val="20"/>
    </w:rPr>
  </w:style>
  <w:style w:type="character" w:styleId="Hyperlink">
    <w:name w:val="Hyperlink"/>
    <w:basedOn w:val="DefaultParagraphFont"/>
    <w:uiPriority w:val="99"/>
    <w:unhideWhenUsed/>
    <w:rsid w:val="0056766D"/>
    <w:rPr>
      <w:rFonts w:ascii="Cambria" w:hAnsi="Cambria"/>
      <w:color w:val="0000FF"/>
      <w:u w:val="single"/>
    </w:rPr>
  </w:style>
  <w:style w:type="paragraph" w:customStyle="1" w:styleId="LegalCopy">
    <w:name w:val="Legal Copy"/>
    <w:basedOn w:val="Footer"/>
    <w:rsid w:val="0056766D"/>
  </w:style>
  <w:style w:type="paragraph" w:customStyle="1" w:styleId="LegalSubheading">
    <w:name w:val="Legal Subheading"/>
    <w:basedOn w:val="Footer"/>
    <w:rsid w:val="0056766D"/>
    <w:pPr>
      <w:outlineLvl w:val="1"/>
    </w:pPr>
    <w:rPr>
      <w:b/>
    </w:rPr>
  </w:style>
  <w:style w:type="paragraph" w:styleId="ListBullet">
    <w:name w:val="List Bullet"/>
    <w:basedOn w:val="Normal"/>
    <w:uiPriority w:val="2"/>
    <w:qFormat/>
    <w:rsid w:val="00FC6F56"/>
    <w:pPr>
      <w:numPr>
        <w:numId w:val="1"/>
      </w:numPr>
      <w:spacing w:before="120" w:after="180" w:line="240" w:lineRule="atLeast"/>
    </w:pPr>
    <w:rPr>
      <w:rFonts w:eastAsia="Cambria" w:cs="Times New Roman"/>
      <w:color w:val="000000" w:themeColor="text1"/>
    </w:rPr>
  </w:style>
  <w:style w:type="paragraph" w:styleId="ListBullet2">
    <w:name w:val="List Bullet 2"/>
    <w:basedOn w:val="Normal"/>
    <w:uiPriority w:val="2"/>
    <w:qFormat/>
    <w:rsid w:val="00FC6F56"/>
    <w:pPr>
      <w:numPr>
        <w:ilvl w:val="1"/>
        <w:numId w:val="1"/>
      </w:numPr>
      <w:spacing w:before="120" w:after="180" w:line="240" w:lineRule="atLeast"/>
      <w:ind w:left="850" w:hanging="425"/>
    </w:pPr>
    <w:rPr>
      <w:rFonts w:eastAsia="Cambria" w:cs="Times New Roman"/>
      <w:color w:val="000000" w:themeColor="text1"/>
    </w:rPr>
  </w:style>
  <w:style w:type="paragraph" w:styleId="ListBullet3">
    <w:name w:val="List Bullet 3"/>
    <w:basedOn w:val="Normal"/>
    <w:uiPriority w:val="2"/>
    <w:qFormat/>
    <w:rsid w:val="00FC6F56"/>
    <w:pPr>
      <w:numPr>
        <w:numId w:val="3"/>
      </w:numPr>
      <w:spacing w:before="120" w:after="180" w:line="240" w:lineRule="atLeast"/>
      <w:ind w:left="1276" w:hanging="425"/>
    </w:pPr>
    <w:rPr>
      <w:rFonts w:eastAsia="Cambria" w:cs="Times New Roman"/>
    </w:rPr>
  </w:style>
  <w:style w:type="numbering" w:customStyle="1" w:styleId="ListBullets">
    <w:name w:val="ListBullets"/>
    <w:uiPriority w:val="99"/>
    <w:locked/>
    <w:rsid w:val="00F02AEC"/>
    <w:pPr>
      <w:numPr>
        <w:numId w:val="1"/>
      </w:numPr>
    </w:pPr>
  </w:style>
  <w:style w:type="paragraph" w:customStyle="1" w:styleId="Numberbullet0">
    <w:name w:val="Number bullet"/>
    <w:basedOn w:val="ListBullet"/>
    <w:uiPriority w:val="2"/>
    <w:qFormat/>
    <w:rsid w:val="00FC6F56"/>
    <w:pPr>
      <w:numPr>
        <w:numId w:val="2"/>
      </w:numPr>
    </w:pPr>
  </w:style>
  <w:style w:type="paragraph" w:customStyle="1" w:styleId="Numberbullet2">
    <w:name w:val="Number bullet 2"/>
    <w:basedOn w:val="ListBullet2"/>
    <w:uiPriority w:val="2"/>
    <w:qFormat/>
    <w:rsid w:val="00F02AEC"/>
    <w:pPr>
      <w:numPr>
        <w:numId w:val="2"/>
      </w:numPr>
      <w:ind w:left="850" w:hanging="425"/>
    </w:pPr>
  </w:style>
  <w:style w:type="paragraph" w:customStyle="1" w:styleId="Numberbullet3">
    <w:name w:val="Number bullet 3"/>
    <w:basedOn w:val="Normal"/>
    <w:uiPriority w:val="2"/>
    <w:qFormat/>
    <w:rsid w:val="00F02AEC"/>
    <w:pPr>
      <w:numPr>
        <w:numId w:val="4"/>
      </w:numPr>
      <w:spacing w:before="120" w:after="180" w:line="240" w:lineRule="atLeast"/>
      <w:ind w:left="1361" w:hanging="397"/>
    </w:pPr>
    <w:rPr>
      <w:rFonts w:ascii="Arial" w:eastAsia="Cambria" w:hAnsi="Arial" w:cs="Times New Roman"/>
      <w:color w:val="333F48"/>
    </w:rPr>
  </w:style>
  <w:style w:type="numbering" w:customStyle="1" w:styleId="NumberBullet">
    <w:name w:val="NumberBullet"/>
    <w:uiPriority w:val="99"/>
    <w:locked/>
    <w:rsid w:val="00F02AEC"/>
    <w:pPr>
      <w:numPr>
        <w:numId w:val="2"/>
      </w:numPr>
    </w:pPr>
  </w:style>
  <w:style w:type="paragraph" w:styleId="Subtitle">
    <w:name w:val="Subtitle"/>
    <w:basedOn w:val="Normal"/>
    <w:link w:val="SubtitleChar"/>
    <w:uiPriority w:val="11"/>
    <w:rsid w:val="00F02AEC"/>
    <w:pPr>
      <w:numPr>
        <w:ilvl w:val="1"/>
      </w:numPr>
      <w:spacing w:after="0" w:line="240" w:lineRule="atLeast"/>
      <w:ind w:left="170"/>
    </w:pPr>
    <w:rPr>
      <w:rFonts w:ascii="Arial" w:eastAsia="Times New Roman" w:hAnsi="Arial" w:cs="Times New Roman"/>
      <w:bCs/>
      <w:iCs/>
      <w:color w:val="006BA6"/>
      <w:sz w:val="40"/>
      <w:szCs w:val="24"/>
    </w:rPr>
  </w:style>
  <w:style w:type="character" w:customStyle="1" w:styleId="SubtitleChar">
    <w:name w:val="Subtitle Char"/>
    <w:basedOn w:val="DefaultParagraphFont"/>
    <w:link w:val="Subtitle"/>
    <w:uiPriority w:val="11"/>
    <w:rsid w:val="00F02AEC"/>
    <w:rPr>
      <w:rFonts w:ascii="Arial" w:eastAsia="Times New Roman" w:hAnsi="Arial" w:cs="Times New Roman"/>
      <w:bCs/>
      <w:iCs/>
      <w:color w:val="006BA6"/>
      <w:sz w:val="40"/>
      <w:szCs w:val="24"/>
    </w:rPr>
  </w:style>
  <w:style w:type="table" w:styleId="TableGrid">
    <w:name w:val="Table Grid"/>
    <w:basedOn w:val="TableNormal"/>
    <w:uiPriority w:val="59"/>
    <w:rsid w:val="00F02AEC"/>
    <w:pPr>
      <w:spacing w:after="0" w:line="240" w:lineRule="auto"/>
    </w:pPr>
    <w:rPr>
      <w:rFonts w:ascii="Cambria" w:eastAsia="Cambria" w:hAnsi="Cambria" w:cs="Times New Roman"/>
      <w:sz w:val="21"/>
      <w:szCs w:val="21"/>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GASignoff">
    <w:name w:val="TGA Signoff"/>
    <w:basedOn w:val="Normal"/>
    <w:rsid w:val="00F02AEC"/>
    <w:pPr>
      <w:spacing w:before="120" w:after="360" w:line="240" w:lineRule="atLeast"/>
      <w:jc w:val="center"/>
    </w:pPr>
    <w:rPr>
      <w:rFonts w:ascii="Arial" w:eastAsia="Cambria" w:hAnsi="Arial" w:cs="Times New Roman"/>
      <w:b/>
      <w:color w:val="333F48"/>
      <w:sz w:val="28"/>
    </w:rPr>
  </w:style>
  <w:style w:type="paragraph" w:styleId="Title">
    <w:name w:val="Title"/>
    <w:link w:val="TitleChar"/>
    <w:uiPriority w:val="10"/>
    <w:rsid w:val="00F02AEC"/>
    <w:pPr>
      <w:spacing w:line="240" w:lineRule="auto"/>
      <w:contextualSpacing/>
      <w:outlineLvl w:val="0"/>
    </w:pPr>
    <w:rPr>
      <w:rFonts w:ascii="Arial" w:eastAsia="Times New Roman" w:hAnsi="Arial" w:cs="Times New Roman"/>
      <w:color w:val="001871"/>
      <w:spacing w:val="5"/>
      <w:kern w:val="28"/>
      <w:sz w:val="52"/>
      <w:szCs w:val="52"/>
    </w:rPr>
  </w:style>
  <w:style w:type="character" w:customStyle="1" w:styleId="TitleChar">
    <w:name w:val="Title Char"/>
    <w:basedOn w:val="DefaultParagraphFont"/>
    <w:link w:val="Title"/>
    <w:uiPriority w:val="10"/>
    <w:rsid w:val="00F02AEC"/>
    <w:rPr>
      <w:rFonts w:ascii="Arial" w:eastAsia="Times New Roman" w:hAnsi="Arial" w:cs="Times New Roman"/>
      <w:color w:val="001871"/>
      <w:spacing w:val="5"/>
      <w:kern w:val="28"/>
      <w:sz w:val="52"/>
      <w:szCs w:val="52"/>
    </w:rPr>
  </w:style>
  <w:style w:type="paragraph" w:styleId="TOC1">
    <w:name w:val="toc 1"/>
    <w:basedOn w:val="Normal"/>
    <w:next w:val="Normal"/>
    <w:uiPriority w:val="39"/>
    <w:unhideWhenUsed/>
    <w:rsid w:val="00F02AEC"/>
    <w:pPr>
      <w:keepNext/>
      <w:keepLines/>
      <w:tabs>
        <w:tab w:val="right" w:leader="underscore" w:pos="8505"/>
      </w:tabs>
      <w:spacing w:before="120" w:after="200" w:line="240" w:lineRule="atLeast"/>
    </w:pPr>
    <w:rPr>
      <w:rFonts w:ascii="Arial" w:eastAsia="Cambria" w:hAnsi="Arial" w:cs="Times New Roman"/>
      <w:b/>
      <w:color w:val="333F48"/>
      <w:sz w:val="32"/>
    </w:rPr>
  </w:style>
  <w:style w:type="paragraph" w:styleId="TOC2">
    <w:name w:val="toc 2"/>
    <w:basedOn w:val="Normal"/>
    <w:next w:val="Normal"/>
    <w:uiPriority w:val="39"/>
    <w:unhideWhenUsed/>
    <w:rsid w:val="00F02AEC"/>
    <w:pPr>
      <w:keepNext/>
      <w:keepLines/>
      <w:tabs>
        <w:tab w:val="right" w:leader="underscore" w:pos="8505"/>
      </w:tabs>
      <w:spacing w:before="120" w:after="100" w:line="240" w:lineRule="atLeast"/>
      <w:ind w:left="425"/>
    </w:pPr>
    <w:rPr>
      <w:rFonts w:ascii="Arial" w:eastAsia="Cambria" w:hAnsi="Arial" w:cs="Times New Roman"/>
      <w:b/>
      <w:color w:val="333F48"/>
      <w:sz w:val="25"/>
    </w:rPr>
  </w:style>
  <w:style w:type="paragraph" w:styleId="TOC3">
    <w:name w:val="toc 3"/>
    <w:basedOn w:val="Normal"/>
    <w:next w:val="Normal"/>
    <w:uiPriority w:val="39"/>
    <w:unhideWhenUsed/>
    <w:rsid w:val="00F02AEC"/>
    <w:pPr>
      <w:keepNext/>
      <w:keepLines/>
      <w:tabs>
        <w:tab w:val="right" w:leader="hyphen" w:pos="8505"/>
      </w:tabs>
      <w:spacing w:before="120" w:after="100" w:line="240" w:lineRule="atLeast"/>
      <w:ind w:left="851"/>
    </w:pPr>
    <w:rPr>
      <w:rFonts w:ascii="Arial" w:eastAsia="Cambria" w:hAnsi="Arial" w:cs="Times New Roman"/>
      <w:b/>
      <w:color w:val="333F48"/>
    </w:rPr>
  </w:style>
  <w:style w:type="paragraph" w:styleId="FootnoteText">
    <w:name w:val="footnote text"/>
    <w:basedOn w:val="Normal"/>
    <w:link w:val="FootnoteTextChar"/>
    <w:qFormat/>
    <w:rsid w:val="00FE087C"/>
    <w:pPr>
      <w:keepLines/>
      <w:spacing w:after="0" w:line="240" w:lineRule="atLeast"/>
    </w:pPr>
    <w:rPr>
      <w:rFonts w:eastAsia="Cambria" w:cs="Times New Roman"/>
      <w:color w:val="333F48"/>
      <w:sz w:val="17"/>
    </w:rPr>
  </w:style>
  <w:style w:type="character" w:customStyle="1" w:styleId="FootnoteTextChar">
    <w:name w:val="Footnote Text Char"/>
    <w:basedOn w:val="DefaultParagraphFont"/>
    <w:link w:val="FootnoteText"/>
    <w:rsid w:val="00FE087C"/>
    <w:rPr>
      <w:rFonts w:ascii="Cambria" w:eastAsia="Cambria" w:hAnsi="Cambria" w:cs="Times New Roman"/>
      <w:color w:val="333F48"/>
      <w:sz w:val="17"/>
    </w:rPr>
  </w:style>
  <w:style w:type="character" w:styleId="FootnoteReference">
    <w:name w:val="footnote reference"/>
    <w:basedOn w:val="DefaultParagraphFont"/>
    <w:uiPriority w:val="99"/>
    <w:unhideWhenUsed/>
    <w:rsid w:val="00F02AEC"/>
    <w:rPr>
      <w:vertAlign w:val="superscript"/>
    </w:rPr>
  </w:style>
  <w:style w:type="paragraph" w:customStyle="1" w:styleId="NonTOCheading2">
    <w:name w:val="Non TOC heading 2"/>
    <w:basedOn w:val="Normal"/>
    <w:next w:val="Normal"/>
    <w:rsid w:val="00F02AEC"/>
    <w:pPr>
      <w:keepNext/>
      <w:keepLines/>
      <w:pageBreakBefore/>
      <w:spacing w:after="180" w:line="240" w:lineRule="atLeast"/>
      <w:outlineLvl w:val="1"/>
    </w:pPr>
    <w:rPr>
      <w:rFonts w:ascii="Arial" w:eastAsia="Cambria" w:hAnsi="Arial" w:cs="Times New Roman"/>
      <w:b/>
      <w:color w:val="001871"/>
      <w:sz w:val="38"/>
    </w:rPr>
  </w:style>
  <w:style w:type="paragraph" w:customStyle="1" w:styleId="Headernoline">
    <w:name w:val="Header no line"/>
    <w:basedOn w:val="Header"/>
    <w:rsid w:val="00F02AEC"/>
    <w:pPr>
      <w:pBdr>
        <w:bottom w:val="none" w:sz="0" w:space="0" w:color="auto"/>
      </w:pBdr>
      <w:spacing w:line="240" w:lineRule="atLeast"/>
    </w:pPr>
  </w:style>
  <w:style w:type="paragraph" w:customStyle="1" w:styleId="Address">
    <w:name w:val="Address"/>
    <w:basedOn w:val="Normal"/>
    <w:rsid w:val="00F02AEC"/>
    <w:pPr>
      <w:spacing w:after="0" w:line="240" w:lineRule="auto"/>
    </w:pPr>
    <w:rPr>
      <w:rFonts w:ascii="Arial" w:eastAsia="Cambria" w:hAnsi="Arial" w:cs="Times New Roman"/>
      <w:color w:val="333F48"/>
      <w:sz w:val="21"/>
    </w:rPr>
  </w:style>
  <w:style w:type="paragraph" w:customStyle="1" w:styleId="ListBullet-dotick">
    <w:name w:val="List Bullet - do (tick)"/>
    <w:basedOn w:val="ListBullet"/>
    <w:autoRedefine/>
    <w:uiPriority w:val="1"/>
    <w:rsid w:val="00F02AEC"/>
    <w:pPr>
      <w:numPr>
        <w:numId w:val="5"/>
      </w:numPr>
      <w:tabs>
        <w:tab w:val="left" w:pos="425"/>
      </w:tabs>
    </w:pPr>
  </w:style>
  <w:style w:type="paragraph" w:customStyle="1" w:styleId="ListBullet-donotcross">
    <w:name w:val="List Bullet - do not (cross)"/>
    <w:basedOn w:val="ListBullet"/>
    <w:autoRedefine/>
    <w:uiPriority w:val="1"/>
    <w:rsid w:val="00F02AEC"/>
    <w:pPr>
      <w:numPr>
        <w:numId w:val="6"/>
      </w:numPr>
      <w:ind w:left="357" w:hanging="357"/>
    </w:pPr>
    <w:rPr>
      <w:rFonts w:eastAsiaTheme="minorHAnsi" w:cstheme="minorBidi"/>
      <w:szCs w:val="22"/>
    </w:rPr>
  </w:style>
  <w:style w:type="table" w:customStyle="1" w:styleId="TGABlack2023">
    <w:name w:val="TGA Black 2023"/>
    <w:basedOn w:val="TableTGAblue2023"/>
    <w:uiPriority w:val="99"/>
    <w:rsid w:val="00FA49C3"/>
    <w:pPr>
      <w:spacing w:line="240" w:lineRule="auto"/>
    </w:pPr>
    <w:tblP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Pr>
    <w:tblStylePr w:type="firstRow">
      <w:pPr>
        <w:keepNext/>
        <w:wordWrap/>
      </w:pPr>
      <w:rPr>
        <w:rFonts w:ascii="Arial" w:hAnsi="Arial"/>
        <w:b/>
        <w:color w:val="FFFFFF" w:themeColor="background1"/>
        <w:sz w:val="22"/>
      </w:rPr>
      <w:tblPr/>
      <w:trPr>
        <w:tblHeader/>
      </w:trPr>
      <w:tcPr>
        <w:shd w:val="clear" w:color="auto" w:fill="171717" w:themeFill="background2" w:themeFillShade="1A"/>
      </w:tcPr>
    </w:tblStylePr>
    <w:tblStylePr w:type="firstCol">
      <w:pPr>
        <w:keepNext w:val="0"/>
        <w:wordWrap/>
      </w:pPr>
    </w:tblStylePr>
  </w:style>
  <w:style w:type="paragraph" w:customStyle="1" w:styleId="NonTOCHeading20">
    <w:name w:val="Non TOC Heading 2"/>
    <w:basedOn w:val="Normal"/>
    <w:rsid w:val="00346EC2"/>
    <w:pPr>
      <w:spacing w:before="240" w:line="240" w:lineRule="atLeast"/>
      <w:outlineLvl w:val="1"/>
    </w:pPr>
    <w:rPr>
      <w:rFonts w:ascii="Arial" w:eastAsia="Cambria" w:hAnsi="Arial" w:cs="Times New Roman"/>
      <w:b/>
      <w:sz w:val="32"/>
      <w:szCs w:val="22"/>
    </w:rPr>
  </w:style>
  <w:style w:type="table" w:customStyle="1" w:styleId="TableTGAblue">
    <w:name w:val="Table TGA blue"/>
    <w:basedOn w:val="TableNormal"/>
    <w:uiPriority w:val="99"/>
    <w:qFormat/>
    <w:rsid w:val="00324B33"/>
    <w:pPr>
      <w:spacing w:after="0" w:line="240" w:lineRule="auto"/>
      <w:ind w:left="170" w:right="170"/>
    </w:pPr>
    <w:rPr>
      <w:rFonts w:ascii="Cambria" w:hAnsi="Cambria" w:cs="Times New Roman"/>
      <w:color w:val="000000" w:themeColor="text1"/>
      <w:sz w:val="22"/>
      <w:szCs w:val="21"/>
      <w:lang w:eastAsia="en-AU"/>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auto"/>
    </w:tcPr>
    <w:tblStylePr w:type="firstRow">
      <w:pPr>
        <w:keepNext/>
        <w:wordWrap/>
      </w:pPr>
      <w:rPr>
        <w:rFonts w:ascii="Cambria" w:hAnsi="Cambria"/>
        <w:b/>
        <w:color w:val="FFFFFF" w:themeColor="background1"/>
        <w:sz w:val="22"/>
      </w:rPr>
      <w:tblPr/>
      <w:trPr>
        <w:tblHeader/>
      </w:tr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l2br w:val="nil"/>
          <w:tr2bl w:val="nil"/>
        </w:tcBorders>
        <w:shd w:val="clear" w:color="auto" w:fill="006DA7"/>
      </w:tcPr>
    </w:tblStylePr>
  </w:style>
  <w:style w:type="paragraph" w:customStyle="1" w:styleId="Instructions">
    <w:name w:val="Instructions"/>
    <w:basedOn w:val="Normal"/>
    <w:next w:val="Normal"/>
    <w:uiPriority w:val="1"/>
    <w:qFormat/>
    <w:rsid w:val="00324B33"/>
    <w:pPr>
      <w:spacing w:before="120" w:line="240" w:lineRule="atLeast"/>
    </w:pPr>
    <w:rPr>
      <w:rFonts w:eastAsia="Cambria" w:cs="Times New Roman"/>
      <w:i/>
      <w:color w:val="007099"/>
      <w:szCs w:val="22"/>
    </w:rPr>
  </w:style>
  <w:style w:type="paragraph" w:customStyle="1" w:styleId="TableTitle">
    <w:name w:val="Table Title"/>
    <w:basedOn w:val="Normal"/>
    <w:rsid w:val="00324B33"/>
    <w:pPr>
      <w:keepNext/>
      <w:spacing w:before="120" w:line="240" w:lineRule="atLeast"/>
    </w:pPr>
    <w:rPr>
      <w:rFonts w:eastAsia="Cambria" w:cs="Times New Roman"/>
      <w:b/>
      <w:szCs w:val="22"/>
    </w:rPr>
  </w:style>
  <w:style w:type="paragraph" w:customStyle="1" w:styleId="TableDescription">
    <w:name w:val="Table Description"/>
    <w:basedOn w:val="Normal"/>
    <w:autoRedefine/>
    <w:qFormat/>
    <w:rsid w:val="00B96C49"/>
    <w:pPr>
      <w:spacing w:before="120" w:line="240" w:lineRule="auto"/>
      <w:contextualSpacing/>
    </w:pPr>
    <w:rPr>
      <w:rFonts w:eastAsia="Cambria" w:cs="Times New Roman"/>
      <w:sz w:val="18"/>
      <w:szCs w:val="19"/>
    </w:rPr>
  </w:style>
  <w:style w:type="character" w:styleId="CommentReference">
    <w:name w:val="annotation reference"/>
    <w:basedOn w:val="DefaultParagraphFont"/>
    <w:uiPriority w:val="99"/>
    <w:semiHidden/>
    <w:unhideWhenUsed/>
    <w:rsid w:val="00E47E0C"/>
    <w:rPr>
      <w:sz w:val="16"/>
      <w:szCs w:val="16"/>
    </w:rPr>
  </w:style>
  <w:style w:type="paragraph" w:styleId="CommentText">
    <w:name w:val="annotation text"/>
    <w:basedOn w:val="Normal"/>
    <w:link w:val="CommentTextChar"/>
    <w:uiPriority w:val="99"/>
    <w:unhideWhenUsed/>
    <w:rsid w:val="00E47E0C"/>
    <w:pPr>
      <w:spacing w:line="240" w:lineRule="auto"/>
    </w:pPr>
  </w:style>
  <w:style w:type="character" w:customStyle="1" w:styleId="CommentTextChar">
    <w:name w:val="Comment Text Char"/>
    <w:basedOn w:val="DefaultParagraphFont"/>
    <w:link w:val="CommentText"/>
    <w:uiPriority w:val="99"/>
    <w:rsid w:val="00E47E0C"/>
    <w:rPr>
      <w:rFonts w:ascii="Cambria" w:hAnsi="Cambria"/>
    </w:rPr>
  </w:style>
  <w:style w:type="paragraph" w:styleId="CommentSubject">
    <w:name w:val="annotation subject"/>
    <w:basedOn w:val="CommentText"/>
    <w:next w:val="CommentText"/>
    <w:link w:val="CommentSubjectChar"/>
    <w:uiPriority w:val="99"/>
    <w:semiHidden/>
    <w:unhideWhenUsed/>
    <w:rsid w:val="00E47E0C"/>
    <w:rPr>
      <w:b/>
      <w:bCs/>
    </w:rPr>
  </w:style>
  <w:style w:type="character" w:customStyle="1" w:styleId="CommentSubjectChar">
    <w:name w:val="Comment Subject Char"/>
    <w:basedOn w:val="CommentTextChar"/>
    <w:link w:val="CommentSubject"/>
    <w:uiPriority w:val="99"/>
    <w:semiHidden/>
    <w:rsid w:val="00E47E0C"/>
    <w:rPr>
      <w:rFonts w:ascii="Cambria" w:hAnsi="Cambria"/>
      <w:b/>
      <w:bCs/>
    </w:rPr>
  </w:style>
  <w:style w:type="paragraph" w:styleId="BalloonText">
    <w:name w:val="Balloon Text"/>
    <w:basedOn w:val="Normal"/>
    <w:link w:val="BalloonTextChar"/>
    <w:uiPriority w:val="99"/>
    <w:semiHidden/>
    <w:unhideWhenUsed/>
    <w:rsid w:val="00D637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760"/>
    <w:rPr>
      <w:rFonts w:ascii="Segoe UI" w:hAnsi="Segoe UI" w:cs="Segoe UI"/>
      <w:sz w:val="18"/>
      <w:szCs w:val="18"/>
    </w:rPr>
  </w:style>
  <w:style w:type="character" w:styleId="FollowedHyperlink">
    <w:name w:val="FollowedHyperlink"/>
    <w:basedOn w:val="DefaultParagraphFont"/>
    <w:uiPriority w:val="99"/>
    <w:semiHidden/>
    <w:unhideWhenUsed/>
    <w:rsid w:val="001C1C2E"/>
    <w:rPr>
      <w:color w:val="954F72" w:themeColor="followedHyperlink"/>
      <w:u w:val="single"/>
    </w:rPr>
  </w:style>
  <w:style w:type="paragraph" w:styleId="Revision">
    <w:name w:val="Revision"/>
    <w:hidden/>
    <w:uiPriority w:val="99"/>
    <w:semiHidden/>
    <w:rsid w:val="008964B3"/>
    <w:pPr>
      <w:spacing w:after="0" w:line="240" w:lineRule="auto"/>
    </w:pPr>
    <w:rPr>
      <w:rFonts w:ascii="Cambria" w:hAnsi="Cambria"/>
    </w:rPr>
  </w:style>
  <w:style w:type="character" w:styleId="UnresolvedMention">
    <w:name w:val="Unresolved Mention"/>
    <w:basedOn w:val="DefaultParagraphFont"/>
    <w:uiPriority w:val="99"/>
    <w:semiHidden/>
    <w:unhideWhenUsed/>
    <w:rsid w:val="00966EF1"/>
    <w:rPr>
      <w:color w:val="605E5C"/>
      <w:shd w:val="clear" w:color="auto" w:fill="E1DFDD"/>
    </w:rPr>
  </w:style>
  <w:style w:type="paragraph" w:customStyle="1" w:styleId="TableText">
    <w:name w:val="Table Text"/>
    <w:basedOn w:val="FootnoteText"/>
    <w:qFormat/>
    <w:rsid w:val="005B69CF"/>
    <w:rPr>
      <w:color w:val="000000" w:themeColor="text1"/>
      <w:sz w:val="22"/>
      <w:lang w:val="en-GB"/>
    </w:rPr>
  </w:style>
  <w:style w:type="paragraph" w:customStyle="1" w:styleId="FigureTitle">
    <w:name w:val="Figure Title"/>
    <w:basedOn w:val="Normal"/>
    <w:autoRedefine/>
    <w:qFormat/>
    <w:rsid w:val="00B96C49"/>
    <w:pPr>
      <w:keepNext/>
      <w:spacing w:before="120" w:line="240" w:lineRule="auto"/>
      <w:contextualSpacing/>
    </w:pPr>
    <w:rPr>
      <w:b/>
    </w:rPr>
  </w:style>
  <w:style w:type="paragraph" w:styleId="Caption">
    <w:name w:val="caption"/>
    <w:basedOn w:val="Normal"/>
    <w:next w:val="Normal"/>
    <w:uiPriority w:val="35"/>
    <w:unhideWhenUsed/>
    <w:qFormat/>
    <w:rsid w:val="0098350E"/>
    <w:pPr>
      <w:spacing w:after="200" w:line="240" w:lineRule="auto"/>
    </w:pPr>
    <w:rPr>
      <w:i/>
      <w:iCs/>
      <w:color w:val="44546A" w:themeColor="text2"/>
      <w:sz w:val="18"/>
      <w:szCs w:val="18"/>
    </w:rPr>
  </w:style>
  <w:style w:type="paragraph" w:customStyle="1" w:styleId="FigureDescription">
    <w:name w:val="Figure Description"/>
    <w:basedOn w:val="FigureTitle"/>
    <w:autoRedefine/>
    <w:qFormat/>
    <w:rsid w:val="00B96C49"/>
    <w:rPr>
      <w:b w:val="0"/>
      <w:sz w:val="18"/>
    </w:rPr>
  </w:style>
  <w:style w:type="paragraph" w:styleId="ListParagraph">
    <w:name w:val="List Paragraph"/>
    <w:basedOn w:val="Normal"/>
    <w:link w:val="ListParagraphChar"/>
    <w:uiPriority w:val="34"/>
    <w:qFormat/>
    <w:rsid w:val="006B7126"/>
    <w:pPr>
      <w:spacing w:after="160"/>
      <w:ind w:left="720"/>
      <w:contextualSpacing/>
    </w:pPr>
    <w:rPr>
      <w:rFonts w:ascii="Times New Roman" w:hAnsi="Times New Roman" w:cs="Times New Roman"/>
      <w:sz w:val="24"/>
      <w:szCs w:val="24"/>
    </w:rPr>
  </w:style>
  <w:style w:type="character" w:customStyle="1" w:styleId="ListParagraphChar">
    <w:name w:val="List Paragraph Char"/>
    <w:basedOn w:val="DefaultParagraphFont"/>
    <w:link w:val="ListParagraph"/>
    <w:uiPriority w:val="34"/>
    <w:locked/>
    <w:rsid w:val="006B7126"/>
    <w:rPr>
      <w:rFonts w:ascii="Times New Roman" w:hAnsi="Times New Roman" w:cs="Times New Roman"/>
      <w:sz w:val="24"/>
      <w:szCs w:val="24"/>
    </w:rPr>
  </w:style>
  <w:style w:type="paragraph" w:customStyle="1" w:styleId="Indication">
    <w:name w:val="Indication"/>
    <w:basedOn w:val="Normal"/>
    <w:next w:val="Normal"/>
    <w:qFormat/>
    <w:rsid w:val="00BA3F6D"/>
    <w:pPr>
      <w:spacing w:before="120" w:line="240" w:lineRule="atLeast"/>
      <w:ind w:left="720"/>
      <w:contextualSpacing/>
    </w:pPr>
    <w:rPr>
      <w:i/>
      <w:color w:val="000000" w:themeColor="text1"/>
    </w:rPr>
  </w:style>
  <w:style w:type="paragraph" w:customStyle="1" w:styleId="DelegatesQuestions">
    <w:name w:val="Delegate's Questions"/>
    <w:basedOn w:val="Numberbullet0"/>
    <w:qFormat/>
    <w:rsid w:val="007575D0"/>
    <w:rPr>
      <w:b/>
      <w:bCs/>
      <w:i/>
      <w:iCs/>
    </w:rPr>
  </w:style>
  <w:style w:type="character" w:customStyle="1" w:styleId="Heading1Char">
    <w:name w:val="Heading 1 Char"/>
    <w:basedOn w:val="DefaultParagraphFont"/>
    <w:link w:val="Heading1"/>
    <w:uiPriority w:val="9"/>
    <w:rsid w:val="00D917D3"/>
    <w:rPr>
      <w:rFonts w:asciiTheme="majorHAnsi" w:eastAsiaTheme="majorEastAsia" w:hAnsiTheme="majorHAnsi" w:cstheme="majorBidi"/>
      <w:color w:val="2F5496" w:themeColor="accent1" w:themeShade="BF"/>
      <w:sz w:val="32"/>
      <w:szCs w:val="32"/>
    </w:rPr>
  </w:style>
  <w:style w:type="table" w:customStyle="1" w:styleId="TableGrid1">
    <w:name w:val="Table Grid1"/>
    <w:basedOn w:val="TableNormal"/>
    <w:next w:val="TableGrid"/>
    <w:uiPriority w:val="59"/>
    <w:rsid w:val="00342D66"/>
    <w:pPr>
      <w:spacing w:after="0" w:line="240" w:lineRule="auto"/>
    </w:pPr>
    <w:rPr>
      <w:rFonts w:ascii="Cambria" w:hAnsi="Cambria" w:cs="Times New Roman"/>
      <w:sz w:val="21"/>
      <w:szCs w:val="21"/>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Normal"/>
    <w:link w:val="TabletextChar"/>
    <w:qFormat/>
    <w:rsid w:val="00734128"/>
    <w:pPr>
      <w:spacing w:before="20" w:after="20" w:line="252" w:lineRule="auto"/>
    </w:pPr>
    <w:rPr>
      <w:rFonts w:eastAsia="Times New Roman" w:cs="Times New Roman"/>
      <w:snapToGrid w:val="0"/>
      <w:kern w:val="16"/>
      <w:sz w:val="20"/>
      <w:szCs w:val="24"/>
    </w:rPr>
  </w:style>
  <w:style w:type="character" w:customStyle="1" w:styleId="TabletextChar">
    <w:name w:val="Table text Char"/>
    <w:basedOn w:val="DefaultParagraphFont"/>
    <w:link w:val="Tabletext0"/>
    <w:rsid w:val="00734128"/>
    <w:rPr>
      <w:rFonts w:ascii="Cambria" w:eastAsia="Times New Roman" w:hAnsi="Cambria" w:cs="Times New Roman"/>
      <w:snapToGrid w:val="0"/>
      <w:kern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115028">
      <w:bodyDiv w:val="1"/>
      <w:marLeft w:val="0"/>
      <w:marRight w:val="0"/>
      <w:marTop w:val="0"/>
      <w:marBottom w:val="0"/>
      <w:divBdr>
        <w:top w:val="none" w:sz="0" w:space="0" w:color="auto"/>
        <w:left w:val="none" w:sz="0" w:space="0" w:color="auto"/>
        <w:bottom w:val="none" w:sz="0" w:space="0" w:color="auto"/>
        <w:right w:val="none" w:sz="0" w:space="0" w:color="auto"/>
      </w:divBdr>
    </w:div>
    <w:div w:id="695735718">
      <w:bodyDiv w:val="1"/>
      <w:marLeft w:val="0"/>
      <w:marRight w:val="0"/>
      <w:marTop w:val="0"/>
      <w:marBottom w:val="0"/>
      <w:divBdr>
        <w:top w:val="none" w:sz="0" w:space="0" w:color="auto"/>
        <w:left w:val="none" w:sz="0" w:space="0" w:color="auto"/>
        <w:bottom w:val="none" w:sz="0" w:space="0" w:color="auto"/>
        <w:right w:val="none" w:sz="0" w:space="0" w:color="auto"/>
      </w:divBdr>
    </w:div>
    <w:div w:id="1293705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www.tga.gov.au/black-triangle-scheme" TargetMode="External"/><Relationship Id="rId26" Type="http://schemas.openxmlformats.org/officeDocument/2006/relationships/hyperlink" Target="https://www.ebs.tga.gov.au/" TargetMode="External"/><Relationship Id="rId3" Type="http://schemas.openxmlformats.org/officeDocument/2006/relationships/styles" Target="styles.xml"/><Relationship Id="rId21" Type="http://schemas.openxmlformats.org/officeDocument/2006/relationships/hyperlink" Target="https://www.tga.gov.au/obstetric-drug-information-services"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tga.gov.au/resources/artg/490449" TargetMode="External"/><Relationship Id="rId25" Type="http://schemas.microsoft.com/office/2007/relationships/hdphoto" Target="media/hdphoto1.wdp"/><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tga.copyright@tga.gov.au" TargetMode="External"/><Relationship Id="rId20" Type="http://schemas.openxmlformats.org/officeDocument/2006/relationships/hyperlink" Target="https://www.tga.gov.au/products/medicines/find-information-about-medicine/prescribing-medicines-pregnancy-database" TargetMode="External"/><Relationship Id="rId29" Type="http://schemas.openxmlformats.org/officeDocument/2006/relationships/hyperlink" Target="mailto:info@tga.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s://www.tga.gov.au/australian-public-assessment-report-auspar-guidance" TargetMode="External"/><Relationship Id="rId23" Type="http://schemas.openxmlformats.org/officeDocument/2006/relationships/image" Target="media/image4.png"/><Relationship Id="rId28" Type="http://schemas.openxmlformats.org/officeDocument/2006/relationships/footer" Target="footer4.xml"/><Relationship Id="rId10" Type="http://schemas.openxmlformats.org/officeDocument/2006/relationships/footer" Target="footer1.xml"/><Relationship Id="rId19" Type="http://schemas.openxmlformats.org/officeDocument/2006/relationships/hyperlink" Target="https://www.ebs.tga.gov.au/" TargetMode="External"/><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tga.gov.au/" TargetMode="External"/><Relationship Id="rId22" Type="http://schemas.openxmlformats.org/officeDocument/2006/relationships/hyperlink" Target="https://www.tga.gov.au/how-we-regulate/supply-therapeutic-good-0/supply-prescription-medicine/application-process/prescription-medicines-registration-process" TargetMode="External"/><Relationship Id="rId27" Type="http://schemas.openxmlformats.org/officeDocument/2006/relationships/header" Target="header4.xml"/><Relationship Id="rId30" Type="http://schemas.openxmlformats.org/officeDocument/2006/relationships/hyperlink" Target="https://www.tga.gov.au" TargetMode="External"/><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ich.org/page/quality-guidelines" TargetMode="External"/><Relationship Id="rId1" Type="http://schemas.openxmlformats.org/officeDocument/2006/relationships/hyperlink" Target="https://www.ncbi.nlm.nih.gov/books/NBK1194/"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1AE68-6449-47E6-9F10-0220946BA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36</Pages>
  <Words>13969</Words>
  <Characters>79628</Characters>
  <Application>Microsoft Office Word</Application>
  <DocSecurity>0</DocSecurity>
  <Lines>663</Lines>
  <Paragraphs>186</Paragraphs>
  <ScaleCrop>false</ScaleCrop>
  <HeadingPairs>
    <vt:vector size="2" baseType="variant">
      <vt:variant>
        <vt:lpstr>Title</vt:lpstr>
      </vt:variant>
      <vt:variant>
        <vt:i4>1</vt:i4>
      </vt:variant>
    </vt:vector>
  </HeadingPairs>
  <TitlesOfParts>
    <vt:vector size="1" baseType="lpstr">
      <vt:lpstr>Australian public assessment report for</vt:lpstr>
    </vt:vector>
  </TitlesOfParts>
  <Company>Department of Health, Disability and Ageing</Company>
  <LinksUpToDate>false</LinksUpToDate>
  <CharactersWithSpaces>93411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public assessment report for Wainua</dc:title>
  <dc:subject>Prescription medicines</dc:subject>
  <dc:creator>Therapeutic Goods Administration</dc:creator>
  <cp:keywords/>
  <dc:description/>
  <cp:lastModifiedBy>LACK, Janet</cp:lastModifiedBy>
  <cp:revision>3</cp:revision>
  <dcterms:created xsi:type="dcterms:W3CDTF">2026-10-19T23:05:00Z</dcterms:created>
  <dcterms:modified xsi:type="dcterms:W3CDTF">2026-10-19T23:27:00Z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531f83f9,2ebff39c,5e0ccc27,69b65320,1d12e39c</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1733f83e,69c2b6dd,39fef80f,322f80f5,3638ef13</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2026-01-08T03:49:00Z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813969f0-483d-4e03-912d-ee2c69b78162</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