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72ECE" w14:paraId="08AE1D54" w14:textId="77777777" w:rsidTr="00346EC2">
        <w:trPr>
          <w:trHeight w:val="1558"/>
        </w:trPr>
        <w:tc>
          <w:tcPr>
            <w:tcW w:w="8720" w:type="dxa"/>
          </w:tcPr>
          <w:p w14:paraId="2538A211" w14:textId="6339FFA8" w:rsidR="00F02AEC" w:rsidRPr="00272ECE" w:rsidRDefault="00346EC2" w:rsidP="007452E8">
            <w:pPr>
              <w:pStyle w:val="Title"/>
            </w:pPr>
            <w:r w:rsidRPr="00272ECE">
              <w:t>Australian Public Assessment Report for</w:t>
            </w:r>
            <w:r w:rsidR="00D961EF" w:rsidRPr="00272ECE">
              <w:t xml:space="preserve"> Jaypirca</w:t>
            </w:r>
          </w:p>
        </w:tc>
      </w:tr>
      <w:tr w:rsidR="00F02AEC" w:rsidRPr="00272ECE" w14:paraId="318A40A3" w14:textId="77777777" w:rsidTr="00346EC2">
        <w:trPr>
          <w:trHeight w:val="995"/>
        </w:trPr>
        <w:tc>
          <w:tcPr>
            <w:tcW w:w="8720" w:type="dxa"/>
          </w:tcPr>
          <w:p w14:paraId="1AA7C701" w14:textId="1DC8C23B" w:rsidR="00F02AEC" w:rsidRPr="00272ECE" w:rsidRDefault="00346EC2" w:rsidP="007452E8">
            <w:pPr>
              <w:pStyle w:val="Subtitle"/>
              <w:ind w:left="0"/>
            </w:pPr>
            <w:r w:rsidRPr="00272ECE">
              <w:t xml:space="preserve">Active ingredient/s: </w:t>
            </w:r>
            <w:r w:rsidR="00150AA3" w:rsidRPr="00272ECE">
              <w:t>Pirtobrutinib</w:t>
            </w:r>
          </w:p>
        </w:tc>
      </w:tr>
      <w:tr w:rsidR="00346EC2" w:rsidRPr="00272ECE" w14:paraId="362CCAE4" w14:textId="77777777" w:rsidTr="007452E8">
        <w:trPr>
          <w:trHeight w:val="1916"/>
        </w:trPr>
        <w:tc>
          <w:tcPr>
            <w:tcW w:w="8720" w:type="dxa"/>
          </w:tcPr>
          <w:p w14:paraId="709C45C0" w14:textId="2111BBF0" w:rsidR="00346EC2" w:rsidRPr="00272ECE" w:rsidRDefault="00346EC2" w:rsidP="007452E8">
            <w:pPr>
              <w:pStyle w:val="Subtitle"/>
              <w:ind w:left="0"/>
            </w:pPr>
            <w:r w:rsidRPr="00272ECE">
              <w:t>Sponsor:</w:t>
            </w:r>
            <w:r w:rsidR="00D80B5C" w:rsidRPr="00272ECE">
              <w:t xml:space="preserve"> Eli Lilly Australia Pty Ltd</w:t>
            </w:r>
          </w:p>
        </w:tc>
      </w:tr>
      <w:tr w:rsidR="00F02AEC" w:rsidRPr="00272ECE" w14:paraId="37F2AA1F" w14:textId="77777777" w:rsidTr="007452E8">
        <w:tc>
          <w:tcPr>
            <w:tcW w:w="8720" w:type="dxa"/>
          </w:tcPr>
          <w:p w14:paraId="1FDE8DCD" w14:textId="034C3772" w:rsidR="00F02AEC" w:rsidRPr="00272ECE" w:rsidRDefault="009B376D" w:rsidP="007452E8">
            <w:pPr>
              <w:pStyle w:val="Date"/>
            </w:pPr>
            <w:r>
              <w:t>October</w:t>
            </w:r>
            <w:r w:rsidR="00D80B5C" w:rsidRPr="00272ECE">
              <w:t xml:space="preserve"> 2026</w:t>
            </w:r>
          </w:p>
        </w:tc>
      </w:tr>
    </w:tbl>
    <w:p w14:paraId="73752706" w14:textId="77777777" w:rsidR="00F02AEC" w:rsidRPr="00272ECE" w:rsidRDefault="00F02AEC" w:rsidP="007452E8">
      <w:pPr>
        <w:pStyle w:val="ListBullet"/>
        <w:numPr>
          <w:ilvl w:val="0"/>
          <w:numId w:val="0"/>
        </w:numPr>
        <w:sectPr w:rsidR="00F02AEC" w:rsidRPr="00272ECE" w:rsidSect="00CB055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2170A423" w14:textId="0B5EC645" w:rsidR="00346EC2" w:rsidRPr="00272ECE" w:rsidRDefault="00346EC2" w:rsidP="00346EC2">
      <w:pPr>
        <w:pStyle w:val="NonTOCHeading20"/>
      </w:pPr>
      <w:r w:rsidRPr="00272ECE">
        <w:lastRenderedPageBreak/>
        <w:t>About the Therapeutic Goods Administration (TGA)</w:t>
      </w:r>
    </w:p>
    <w:p w14:paraId="79558AE9" w14:textId="038D0DA4" w:rsidR="00346EC2" w:rsidRPr="00272ECE" w:rsidRDefault="00346EC2" w:rsidP="0056766D">
      <w:pPr>
        <w:pStyle w:val="ListBullet"/>
      </w:pPr>
      <w:r w:rsidRPr="00272ECE">
        <w:t>The Therapeutic Goods Administration (TGA) is part of the Australian Government Department of Health</w:t>
      </w:r>
      <w:r w:rsidR="0006693A" w:rsidRPr="00272ECE">
        <w:t>, Disability</w:t>
      </w:r>
      <w:r w:rsidRPr="00272ECE">
        <w:t xml:space="preserve"> and Ag</w:t>
      </w:r>
      <w:r w:rsidR="0006693A" w:rsidRPr="00272ECE">
        <w:t>eing</w:t>
      </w:r>
      <w:r w:rsidRPr="00272ECE">
        <w:t xml:space="preserve"> and is responsible for regulating therapeutic goods, including medicines, medical devices, and biologicals.</w:t>
      </w:r>
    </w:p>
    <w:p w14:paraId="61BEFDB6" w14:textId="77777777" w:rsidR="00346EC2" w:rsidRPr="00272ECE" w:rsidRDefault="00346EC2" w:rsidP="00346EC2">
      <w:pPr>
        <w:pStyle w:val="ListBullet"/>
      </w:pPr>
      <w:r w:rsidRPr="00272ECE">
        <w:t xml:space="preserve">The TGA administers the </w:t>
      </w:r>
      <w:r w:rsidRPr="00272ECE">
        <w:rPr>
          <w:i/>
          <w:iCs/>
        </w:rPr>
        <w:t>Therapeutic Goods Act 1989</w:t>
      </w:r>
      <w:r w:rsidRPr="00272ECE">
        <w:t xml:space="preserve"> (the Act), applying a risk management approach designed to ensure therapeutic goods supplied in Australia meet acceptable standards of quality, safety, and efficacy.</w:t>
      </w:r>
    </w:p>
    <w:p w14:paraId="77180CB3" w14:textId="77777777" w:rsidR="00346EC2" w:rsidRPr="00272ECE" w:rsidRDefault="00346EC2" w:rsidP="00346EC2">
      <w:pPr>
        <w:pStyle w:val="ListBullet"/>
      </w:pPr>
      <w:r w:rsidRPr="00272ECE">
        <w:t>The work of the TGA is based on applying scientific and clinical expertise to decision-making, to ensure that the benefits to the Australian public outweigh any risks associated with the use of therapeutic goods.</w:t>
      </w:r>
    </w:p>
    <w:p w14:paraId="70AC2A35" w14:textId="77777777" w:rsidR="00346EC2" w:rsidRPr="00272ECE" w:rsidRDefault="00346EC2" w:rsidP="00346EC2">
      <w:pPr>
        <w:pStyle w:val="ListBullet"/>
      </w:pPr>
      <w:r w:rsidRPr="00272ECE">
        <w:t>The TGA relies on the public, healthcare professionals and industry to report problems with therapeutic goods. The TGA investigates reports received to determine any necessary regulatory action.</w:t>
      </w:r>
    </w:p>
    <w:p w14:paraId="17DC24C6" w14:textId="1C976CB8" w:rsidR="00346EC2" w:rsidRPr="00272ECE" w:rsidRDefault="00346EC2" w:rsidP="00346EC2">
      <w:pPr>
        <w:pStyle w:val="ListBullet"/>
      </w:pPr>
      <w:r w:rsidRPr="00272ECE">
        <w:t xml:space="preserve">To report a problem with a therapeutic good, please see the information on the </w:t>
      </w:r>
      <w:hyperlink r:id="rId17" w:history="1">
        <w:r w:rsidRPr="00272ECE">
          <w:rPr>
            <w:rStyle w:val="Hyperlink"/>
          </w:rPr>
          <w:t>TGA website</w:t>
        </w:r>
      </w:hyperlink>
      <w:r w:rsidRPr="00272ECE">
        <w:t>.</w:t>
      </w:r>
    </w:p>
    <w:p w14:paraId="737B7A99" w14:textId="70FD8E7D" w:rsidR="00346EC2" w:rsidRPr="00272ECE" w:rsidRDefault="00346EC2" w:rsidP="00346EC2">
      <w:pPr>
        <w:pStyle w:val="NonTOCHeading20"/>
      </w:pPr>
      <w:r w:rsidRPr="00272ECE">
        <w:t xml:space="preserve">About </w:t>
      </w:r>
      <w:proofErr w:type="spellStart"/>
      <w:r w:rsidRPr="00272ECE">
        <w:t>AusPARs</w:t>
      </w:r>
      <w:proofErr w:type="spellEnd"/>
    </w:p>
    <w:p w14:paraId="631B2209" w14:textId="010FE2EE" w:rsidR="00346EC2" w:rsidRPr="00272ECE" w:rsidRDefault="00346EC2" w:rsidP="00346EC2">
      <w:pPr>
        <w:pStyle w:val="ListBullet"/>
      </w:pPr>
      <w:r w:rsidRPr="00272ECE">
        <w:t xml:space="preserve">The Australian Public Assessment Report (AusPAR) provides information about the evaluation of a prescription medicine and the considerations that led the TGA to approve or not approve a prescription medicine submission. Further information can be found in </w:t>
      </w:r>
      <w:hyperlink r:id="rId18" w:history="1">
        <w:r w:rsidRPr="00272ECE">
          <w:rPr>
            <w:rStyle w:val="Hyperlink"/>
          </w:rPr>
          <w:t>Australian Public Assessment Report (AusPAR) guidance</w:t>
        </w:r>
      </w:hyperlink>
      <w:r w:rsidRPr="00272ECE">
        <w:t>.</w:t>
      </w:r>
    </w:p>
    <w:p w14:paraId="22F5A730" w14:textId="77777777" w:rsidR="00346EC2" w:rsidRPr="00272ECE" w:rsidRDefault="00346EC2" w:rsidP="00346EC2">
      <w:pPr>
        <w:pStyle w:val="ListBullet"/>
      </w:pPr>
      <w:proofErr w:type="spellStart"/>
      <w:r w:rsidRPr="00272ECE">
        <w:t>AusPARs</w:t>
      </w:r>
      <w:proofErr w:type="spellEnd"/>
      <w:r w:rsidRPr="00272ECE">
        <w:t xml:space="preserve"> are prepared and published by the TGA.</w:t>
      </w:r>
    </w:p>
    <w:p w14:paraId="451B8FD7" w14:textId="77777777" w:rsidR="00346EC2" w:rsidRPr="00272ECE" w:rsidRDefault="00346EC2" w:rsidP="00346EC2">
      <w:pPr>
        <w:pStyle w:val="ListBullet"/>
      </w:pPr>
      <w:proofErr w:type="spellStart"/>
      <w:r w:rsidRPr="00272ECE">
        <w:t>AusPARs</w:t>
      </w:r>
      <w:proofErr w:type="spellEnd"/>
      <w:r w:rsidRPr="00272ECE">
        <w:t xml:space="preserve"> are static documents that provide information that relates to a submission at a particular point in time. The publication of an AusPAR is an important part of the transparency of the TGA’s decision-making process.</w:t>
      </w:r>
    </w:p>
    <w:p w14:paraId="4D69F5CF" w14:textId="77777777" w:rsidR="00346EC2" w:rsidRPr="00272ECE" w:rsidRDefault="00346EC2" w:rsidP="00346EC2">
      <w:pPr>
        <w:pStyle w:val="ListBullet"/>
      </w:pPr>
      <w:r w:rsidRPr="00272ECE">
        <w:t>A new AusPAR may be provided to reflect changes to indications or major variations to a prescription medicine subject to evaluation by the TGA.</w:t>
      </w:r>
    </w:p>
    <w:p w14:paraId="7067011F" w14:textId="4A505369" w:rsidR="00F02AEC" w:rsidRPr="00272ECE" w:rsidRDefault="00F02AEC" w:rsidP="00FE087C">
      <w:pPr>
        <w:pStyle w:val="LegalSubheading"/>
        <w:spacing w:before="3600"/>
      </w:pPr>
      <w:r w:rsidRPr="00272ECE">
        <w:t>Copyright</w:t>
      </w:r>
    </w:p>
    <w:p w14:paraId="170A8A5D" w14:textId="48688B49" w:rsidR="00175CD8" w:rsidRPr="00272ECE" w:rsidRDefault="00F02AEC" w:rsidP="00346EC2">
      <w:pPr>
        <w:pStyle w:val="LegalCopy"/>
        <w:rPr>
          <w:rFonts w:cs="Arial"/>
        </w:rPr>
      </w:pPr>
      <w:r w:rsidRPr="00272ECE">
        <w:rPr>
          <w:rFonts w:cs="Arial"/>
        </w:rPr>
        <w:t>© Commonwealth of Australia 202</w:t>
      </w:r>
      <w:r w:rsidR="00AA6080" w:rsidRPr="00272ECE">
        <w:rPr>
          <w:rFonts w:cs="Arial"/>
        </w:rPr>
        <w:t>6</w:t>
      </w:r>
      <w:r w:rsidRPr="00272ECE">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72ECE">
        <w:rPr>
          <w:rFonts w:cs="Arial"/>
          <w:i/>
        </w:rPr>
        <w:t>Copyright Act 1968</w:t>
      </w:r>
      <w:r w:rsidRPr="00272ECE">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9" w:history="1">
        <w:r w:rsidRPr="00272ECE">
          <w:rPr>
            <w:rStyle w:val="Hyperlink"/>
            <w:rFonts w:cs="Arial"/>
          </w:rPr>
          <w:t>tga.copyright@tga.gov.au</w:t>
        </w:r>
      </w:hyperlink>
      <w:r w:rsidRPr="00272ECE">
        <w:rPr>
          <w:rFonts w:cs="Arial"/>
        </w:rPr>
        <w:t>&gt;.</w:t>
      </w:r>
    </w:p>
    <w:sdt>
      <w:sdtPr>
        <w:rPr>
          <w:rFonts w:ascii="Cambria" w:eastAsiaTheme="minorEastAsia" w:hAnsi="Cambria" w:cstheme="minorBidi"/>
          <w:b w:val="0"/>
          <w:color w:val="auto"/>
          <w:sz w:val="22"/>
          <w:szCs w:val="22"/>
        </w:rPr>
        <w:id w:val="21514769"/>
        <w:docPartObj>
          <w:docPartGallery w:val="Table of Contents"/>
          <w:docPartUnique/>
        </w:docPartObj>
      </w:sdtPr>
      <w:sdtEndPr/>
      <w:sdtContent>
        <w:p w14:paraId="0A6ADA2B" w14:textId="4DE901C2" w:rsidR="00F02AEC" w:rsidRPr="00272ECE" w:rsidRDefault="00F02AEC" w:rsidP="007452E8">
          <w:pPr>
            <w:pStyle w:val="NonTOCheading2"/>
          </w:pPr>
          <w:r w:rsidRPr="00272ECE">
            <w:t>Contents</w:t>
          </w:r>
        </w:p>
        <w:p w14:paraId="6944CC70" w14:textId="79299134" w:rsidR="008456FF"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72ECE">
            <w:fldChar w:fldCharType="begin"/>
          </w:r>
          <w:r w:rsidRPr="00272ECE">
            <w:instrText xml:space="preserve"> TOC \h \z \u \t "Heading 2,1,Heading 3,2,Heading 4,3" </w:instrText>
          </w:r>
          <w:r w:rsidRPr="00272ECE">
            <w:fldChar w:fldCharType="separate"/>
          </w:r>
          <w:hyperlink w:anchor="_Toc243316687" w:history="1">
            <w:r w:rsidR="008456FF" w:rsidRPr="00D05E54">
              <w:rPr>
                <w:rStyle w:val="Hyperlink"/>
                <w:noProof/>
              </w:rPr>
              <w:t>List of abbreviations</w:t>
            </w:r>
            <w:r w:rsidR="008456FF">
              <w:rPr>
                <w:noProof/>
                <w:webHidden/>
              </w:rPr>
              <w:tab/>
            </w:r>
            <w:r w:rsidR="008456FF">
              <w:rPr>
                <w:noProof/>
                <w:webHidden/>
              </w:rPr>
              <w:fldChar w:fldCharType="begin"/>
            </w:r>
            <w:r w:rsidR="008456FF">
              <w:rPr>
                <w:noProof/>
                <w:webHidden/>
              </w:rPr>
              <w:instrText xml:space="preserve"> PAGEREF _Toc243316687 \h </w:instrText>
            </w:r>
            <w:r w:rsidR="008456FF">
              <w:rPr>
                <w:noProof/>
                <w:webHidden/>
              </w:rPr>
            </w:r>
            <w:r w:rsidR="008456FF">
              <w:rPr>
                <w:noProof/>
                <w:webHidden/>
              </w:rPr>
              <w:fldChar w:fldCharType="separate"/>
            </w:r>
            <w:r w:rsidR="008456FF">
              <w:rPr>
                <w:noProof/>
                <w:webHidden/>
              </w:rPr>
              <w:t>4</w:t>
            </w:r>
            <w:r w:rsidR="008456FF">
              <w:rPr>
                <w:noProof/>
                <w:webHidden/>
              </w:rPr>
              <w:fldChar w:fldCharType="end"/>
            </w:r>
          </w:hyperlink>
        </w:p>
        <w:p w14:paraId="0F63CC18" w14:textId="09057BBF" w:rsidR="008456FF" w:rsidRDefault="008456FF">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316688" w:history="1">
            <w:r w:rsidRPr="00D05E54">
              <w:rPr>
                <w:rStyle w:val="Hyperlink"/>
                <w:noProof/>
              </w:rPr>
              <w:t>Product submission</w:t>
            </w:r>
            <w:r>
              <w:rPr>
                <w:noProof/>
                <w:webHidden/>
              </w:rPr>
              <w:tab/>
            </w:r>
            <w:r>
              <w:rPr>
                <w:noProof/>
                <w:webHidden/>
              </w:rPr>
              <w:fldChar w:fldCharType="begin"/>
            </w:r>
            <w:r>
              <w:rPr>
                <w:noProof/>
                <w:webHidden/>
              </w:rPr>
              <w:instrText xml:space="preserve"> PAGEREF _Toc243316688 \h </w:instrText>
            </w:r>
            <w:r>
              <w:rPr>
                <w:noProof/>
                <w:webHidden/>
              </w:rPr>
            </w:r>
            <w:r>
              <w:rPr>
                <w:noProof/>
                <w:webHidden/>
              </w:rPr>
              <w:fldChar w:fldCharType="separate"/>
            </w:r>
            <w:r>
              <w:rPr>
                <w:noProof/>
                <w:webHidden/>
              </w:rPr>
              <w:t>6</w:t>
            </w:r>
            <w:r>
              <w:rPr>
                <w:noProof/>
                <w:webHidden/>
              </w:rPr>
              <w:fldChar w:fldCharType="end"/>
            </w:r>
          </w:hyperlink>
        </w:p>
        <w:p w14:paraId="02995B50" w14:textId="7F150880"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689" w:history="1">
            <w:r w:rsidRPr="00D05E54">
              <w:rPr>
                <w:rStyle w:val="Hyperlink"/>
                <w:noProof/>
                <w:lang w:eastAsia="en-AU"/>
              </w:rPr>
              <w:t>Submission details</w:t>
            </w:r>
            <w:r>
              <w:rPr>
                <w:noProof/>
                <w:webHidden/>
              </w:rPr>
              <w:tab/>
            </w:r>
            <w:r>
              <w:rPr>
                <w:noProof/>
                <w:webHidden/>
              </w:rPr>
              <w:fldChar w:fldCharType="begin"/>
            </w:r>
            <w:r>
              <w:rPr>
                <w:noProof/>
                <w:webHidden/>
              </w:rPr>
              <w:instrText xml:space="preserve"> PAGEREF _Toc243316689 \h </w:instrText>
            </w:r>
            <w:r>
              <w:rPr>
                <w:noProof/>
                <w:webHidden/>
              </w:rPr>
            </w:r>
            <w:r>
              <w:rPr>
                <w:noProof/>
                <w:webHidden/>
              </w:rPr>
              <w:fldChar w:fldCharType="separate"/>
            </w:r>
            <w:r>
              <w:rPr>
                <w:noProof/>
                <w:webHidden/>
              </w:rPr>
              <w:t>6</w:t>
            </w:r>
            <w:r>
              <w:rPr>
                <w:noProof/>
                <w:webHidden/>
              </w:rPr>
              <w:fldChar w:fldCharType="end"/>
            </w:r>
          </w:hyperlink>
        </w:p>
        <w:p w14:paraId="5050AE14" w14:textId="025731BB"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690" w:history="1">
            <w:r w:rsidRPr="00D05E54">
              <w:rPr>
                <w:rStyle w:val="Hyperlink"/>
                <w:noProof/>
              </w:rPr>
              <w:t>Product background</w:t>
            </w:r>
            <w:r>
              <w:rPr>
                <w:noProof/>
                <w:webHidden/>
              </w:rPr>
              <w:tab/>
            </w:r>
            <w:r>
              <w:rPr>
                <w:noProof/>
                <w:webHidden/>
              </w:rPr>
              <w:fldChar w:fldCharType="begin"/>
            </w:r>
            <w:r>
              <w:rPr>
                <w:noProof/>
                <w:webHidden/>
              </w:rPr>
              <w:instrText xml:space="preserve"> PAGEREF _Toc243316690 \h </w:instrText>
            </w:r>
            <w:r>
              <w:rPr>
                <w:noProof/>
                <w:webHidden/>
              </w:rPr>
            </w:r>
            <w:r>
              <w:rPr>
                <w:noProof/>
                <w:webHidden/>
              </w:rPr>
              <w:fldChar w:fldCharType="separate"/>
            </w:r>
            <w:r>
              <w:rPr>
                <w:noProof/>
                <w:webHidden/>
              </w:rPr>
              <w:t>7</w:t>
            </w:r>
            <w:r>
              <w:rPr>
                <w:noProof/>
                <w:webHidden/>
              </w:rPr>
              <w:fldChar w:fldCharType="end"/>
            </w:r>
          </w:hyperlink>
        </w:p>
        <w:p w14:paraId="423320F1" w14:textId="4A114F88"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691" w:history="1">
            <w:r w:rsidRPr="00D05E54">
              <w:rPr>
                <w:rStyle w:val="Hyperlink"/>
                <w:noProof/>
              </w:rPr>
              <w:t>Disease or condition</w:t>
            </w:r>
            <w:r>
              <w:rPr>
                <w:noProof/>
                <w:webHidden/>
              </w:rPr>
              <w:tab/>
            </w:r>
            <w:r>
              <w:rPr>
                <w:noProof/>
                <w:webHidden/>
              </w:rPr>
              <w:fldChar w:fldCharType="begin"/>
            </w:r>
            <w:r>
              <w:rPr>
                <w:noProof/>
                <w:webHidden/>
              </w:rPr>
              <w:instrText xml:space="preserve"> PAGEREF _Toc243316691 \h </w:instrText>
            </w:r>
            <w:r>
              <w:rPr>
                <w:noProof/>
                <w:webHidden/>
              </w:rPr>
            </w:r>
            <w:r>
              <w:rPr>
                <w:noProof/>
                <w:webHidden/>
              </w:rPr>
              <w:fldChar w:fldCharType="separate"/>
            </w:r>
            <w:r>
              <w:rPr>
                <w:noProof/>
                <w:webHidden/>
              </w:rPr>
              <w:t>7</w:t>
            </w:r>
            <w:r>
              <w:rPr>
                <w:noProof/>
                <w:webHidden/>
              </w:rPr>
              <w:fldChar w:fldCharType="end"/>
            </w:r>
          </w:hyperlink>
        </w:p>
        <w:p w14:paraId="3E8388B4" w14:textId="47081F36"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692" w:history="1">
            <w:r w:rsidRPr="00D05E54">
              <w:rPr>
                <w:rStyle w:val="Hyperlink"/>
                <w:noProof/>
              </w:rPr>
              <w:t>Current treatment options</w:t>
            </w:r>
            <w:r>
              <w:rPr>
                <w:noProof/>
                <w:webHidden/>
              </w:rPr>
              <w:tab/>
            </w:r>
            <w:r>
              <w:rPr>
                <w:noProof/>
                <w:webHidden/>
              </w:rPr>
              <w:fldChar w:fldCharType="begin"/>
            </w:r>
            <w:r>
              <w:rPr>
                <w:noProof/>
                <w:webHidden/>
              </w:rPr>
              <w:instrText xml:space="preserve"> PAGEREF _Toc243316692 \h </w:instrText>
            </w:r>
            <w:r>
              <w:rPr>
                <w:noProof/>
                <w:webHidden/>
              </w:rPr>
            </w:r>
            <w:r>
              <w:rPr>
                <w:noProof/>
                <w:webHidden/>
              </w:rPr>
              <w:fldChar w:fldCharType="separate"/>
            </w:r>
            <w:r>
              <w:rPr>
                <w:noProof/>
                <w:webHidden/>
              </w:rPr>
              <w:t>8</w:t>
            </w:r>
            <w:r>
              <w:rPr>
                <w:noProof/>
                <w:webHidden/>
              </w:rPr>
              <w:fldChar w:fldCharType="end"/>
            </w:r>
          </w:hyperlink>
        </w:p>
        <w:p w14:paraId="57204259" w14:textId="72618292"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693" w:history="1">
            <w:r w:rsidRPr="00D05E54">
              <w:rPr>
                <w:rStyle w:val="Hyperlink"/>
                <w:noProof/>
              </w:rPr>
              <w:t>Clinical rationale</w:t>
            </w:r>
            <w:r>
              <w:rPr>
                <w:noProof/>
                <w:webHidden/>
              </w:rPr>
              <w:tab/>
            </w:r>
            <w:r>
              <w:rPr>
                <w:noProof/>
                <w:webHidden/>
              </w:rPr>
              <w:fldChar w:fldCharType="begin"/>
            </w:r>
            <w:r>
              <w:rPr>
                <w:noProof/>
                <w:webHidden/>
              </w:rPr>
              <w:instrText xml:space="preserve"> PAGEREF _Toc243316693 \h </w:instrText>
            </w:r>
            <w:r>
              <w:rPr>
                <w:noProof/>
                <w:webHidden/>
              </w:rPr>
            </w:r>
            <w:r>
              <w:rPr>
                <w:noProof/>
                <w:webHidden/>
              </w:rPr>
              <w:fldChar w:fldCharType="separate"/>
            </w:r>
            <w:r>
              <w:rPr>
                <w:noProof/>
                <w:webHidden/>
              </w:rPr>
              <w:t>9</w:t>
            </w:r>
            <w:r>
              <w:rPr>
                <w:noProof/>
                <w:webHidden/>
              </w:rPr>
              <w:fldChar w:fldCharType="end"/>
            </w:r>
          </w:hyperlink>
        </w:p>
        <w:p w14:paraId="0B9E2BD3" w14:textId="6BA00310"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694" w:history="1">
            <w:r w:rsidRPr="00D05E54">
              <w:rPr>
                <w:rStyle w:val="Hyperlink"/>
                <w:noProof/>
              </w:rPr>
              <w:t>Regulatory status</w:t>
            </w:r>
            <w:r>
              <w:rPr>
                <w:noProof/>
                <w:webHidden/>
              </w:rPr>
              <w:tab/>
            </w:r>
            <w:r>
              <w:rPr>
                <w:noProof/>
                <w:webHidden/>
              </w:rPr>
              <w:fldChar w:fldCharType="begin"/>
            </w:r>
            <w:r>
              <w:rPr>
                <w:noProof/>
                <w:webHidden/>
              </w:rPr>
              <w:instrText xml:space="preserve"> PAGEREF _Toc243316694 \h </w:instrText>
            </w:r>
            <w:r>
              <w:rPr>
                <w:noProof/>
                <w:webHidden/>
              </w:rPr>
            </w:r>
            <w:r>
              <w:rPr>
                <w:noProof/>
                <w:webHidden/>
              </w:rPr>
              <w:fldChar w:fldCharType="separate"/>
            </w:r>
            <w:r>
              <w:rPr>
                <w:noProof/>
                <w:webHidden/>
              </w:rPr>
              <w:t>10</w:t>
            </w:r>
            <w:r>
              <w:rPr>
                <w:noProof/>
                <w:webHidden/>
              </w:rPr>
              <w:fldChar w:fldCharType="end"/>
            </w:r>
          </w:hyperlink>
        </w:p>
        <w:p w14:paraId="4E03E8CF" w14:textId="1843F88C"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695" w:history="1">
            <w:r w:rsidRPr="00D05E54">
              <w:rPr>
                <w:rStyle w:val="Hyperlink"/>
                <w:noProof/>
              </w:rPr>
              <w:t>Australian regulatory status</w:t>
            </w:r>
            <w:r>
              <w:rPr>
                <w:noProof/>
                <w:webHidden/>
              </w:rPr>
              <w:tab/>
            </w:r>
            <w:r>
              <w:rPr>
                <w:noProof/>
                <w:webHidden/>
              </w:rPr>
              <w:fldChar w:fldCharType="begin"/>
            </w:r>
            <w:r>
              <w:rPr>
                <w:noProof/>
                <w:webHidden/>
              </w:rPr>
              <w:instrText xml:space="preserve"> PAGEREF _Toc243316695 \h </w:instrText>
            </w:r>
            <w:r>
              <w:rPr>
                <w:noProof/>
                <w:webHidden/>
              </w:rPr>
            </w:r>
            <w:r>
              <w:rPr>
                <w:noProof/>
                <w:webHidden/>
              </w:rPr>
              <w:fldChar w:fldCharType="separate"/>
            </w:r>
            <w:r>
              <w:rPr>
                <w:noProof/>
                <w:webHidden/>
              </w:rPr>
              <w:t>10</w:t>
            </w:r>
            <w:r>
              <w:rPr>
                <w:noProof/>
                <w:webHidden/>
              </w:rPr>
              <w:fldChar w:fldCharType="end"/>
            </w:r>
          </w:hyperlink>
        </w:p>
        <w:p w14:paraId="07073F05" w14:textId="390A29A4"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696" w:history="1">
            <w:r w:rsidRPr="00D05E54">
              <w:rPr>
                <w:rStyle w:val="Hyperlink"/>
                <w:noProof/>
              </w:rPr>
              <w:t>International regulatory status</w:t>
            </w:r>
            <w:r>
              <w:rPr>
                <w:noProof/>
                <w:webHidden/>
              </w:rPr>
              <w:tab/>
            </w:r>
            <w:r>
              <w:rPr>
                <w:noProof/>
                <w:webHidden/>
              </w:rPr>
              <w:fldChar w:fldCharType="begin"/>
            </w:r>
            <w:r>
              <w:rPr>
                <w:noProof/>
                <w:webHidden/>
              </w:rPr>
              <w:instrText xml:space="preserve"> PAGEREF _Toc243316696 \h </w:instrText>
            </w:r>
            <w:r>
              <w:rPr>
                <w:noProof/>
                <w:webHidden/>
              </w:rPr>
            </w:r>
            <w:r>
              <w:rPr>
                <w:noProof/>
                <w:webHidden/>
              </w:rPr>
              <w:fldChar w:fldCharType="separate"/>
            </w:r>
            <w:r>
              <w:rPr>
                <w:noProof/>
                <w:webHidden/>
              </w:rPr>
              <w:t>10</w:t>
            </w:r>
            <w:r>
              <w:rPr>
                <w:noProof/>
                <w:webHidden/>
              </w:rPr>
              <w:fldChar w:fldCharType="end"/>
            </w:r>
          </w:hyperlink>
        </w:p>
        <w:p w14:paraId="3C0952EC" w14:textId="63B017BD" w:rsidR="008456FF" w:rsidRDefault="008456FF">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316697" w:history="1">
            <w:r w:rsidRPr="00D05E54">
              <w:rPr>
                <w:rStyle w:val="Hyperlink"/>
                <w:noProof/>
              </w:rPr>
              <w:t>Registration timeline</w:t>
            </w:r>
            <w:r>
              <w:rPr>
                <w:noProof/>
                <w:webHidden/>
              </w:rPr>
              <w:tab/>
            </w:r>
            <w:r>
              <w:rPr>
                <w:noProof/>
                <w:webHidden/>
              </w:rPr>
              <w:fldChar w:fldCharType="begin"/>
            </w:r>
            <w:r>
              <w:rPr>
                <w:noProof/>
                <w:webHidden/>
              </w:rPr>
              <w:instrText xml:space="preserve"> PAGEREF _Toc243316697 \h </w:instrText>
            </w:r>
            <w:r>
              <w:rPr>
                <w:noProof/>
                <w:webHidden/>
              </w:rPr>
            </w:r>
            <w:r>
              <w:rPr>
                <w:noProof/>
                <w:webHidden/>
              </w:rPr>
              <w:fldChar w:fldCharType="separate"/>
            </w:r>
            <w:r>
              <w:rPr>
                <w:noProof/>
                <w:webHidden/>
              </w:rPr>
              <w:t>11</w:t>
            </w:r>
            <w:r>
              <w:rPr>
                <w:noProof/>
                <w:webHidden/>
              </w:rPr>
              <w:fldChar w:fldCharType="end"/>
            </w:r>
          </w:hyperlink>
        </w:p>
        <w:p w14:paraId="4CBEF2BD" w14:textId="05D41FED" w:rsidR="008456FF" w:rsidRDefault="008456FF">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316698" w:history="1">
            <w:r w:rsidRPr="00D05E54">
              <w:rPr>
                <w:rStyle w:val="Hyperlink"/>
                <w:noProof/>
              </w:rPr>
              <w:t>Assessment overview</w:t>
            </w:r>
            <w:r>
              <w:rPr>
                <w:noProof/>
                <w:webHidden/>
              </w:rPr>
              <w:tab/>
            </w:r>
            <w:r>
              <w:rPr>
                <w:noProof/>
                <w:webHidden/>
              </w:rPr>
              <w:fldChar w:fldCharType="begin"/>
            </w:r>
            <w:r>
              <w:rPr>
                <w:noProof/>
                <w:webHidden/>
              </w:rPr>
              <w:instrText xml:space="preserve"> PAGEREF _Toc243316698 \h </w:instrText>
            </w:r>
            <w:r>
              <w:rPr>
                <w:noProof/>
                <w:webHidden/>
              </w:rPr>
            </w:r>
            <w:r>
              <w:rPr>
                <w:noProof/>
                <w:webHidden/>
              </w:rPr>
              <w:fldChar w:fldCharType="separate"/>
            </w:r>
            <w:r>
              <w:rPr>
                <w:noProof/>
                <w:webHidden/>
              </w:rPr>
              <w:t>12</w:t>
            </w:r>
            <w:r>
              <w:rPr>
                <w:noProof/>
                <w:webHidden/>
              </w:rPr>
              <w:fldChar w:fldCharType="end"/>
            </w:r>
          </w:hyperlink>
        </w:p>
        <w:p w14:paraId="54730FAE" w14:textId="7135029C"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699" w:history="1">
            <w:r w:rsidRPr="00D05E54">
              <w:rPr>
                <w:rStyle w:val="Hyperlink"/>
                <w:noProof/>
              </w:rPr>
              <w:t>Quality evaluation summary</w:t>
            </w:r>
            <w:r>
              <w:rPr>
                <w:noProof/>
                <w:webHidden/>
              </w:rPr>
              <w:tab/>
            </w:r>
            <w:r>
              <w:rPr>
                <w:noProof/>
                <w:webHidden/>
              </w:rPr>
              <w:fldChar w:fldCharType="begin"/>
            </w:r>
            <w:r>
              <w:rPr>
                <w:noProof/>
                <w:webHidden/>
              </w:rPr>
              <w:instrText xml:space="preserve"> PAGEREF _Toc243316699 \h </w:instrText>
            </w:r>
            <w:r>
              <w:rPr>
                <w:noProof/>
                <w:webHidden/>
              </w:rPr>
            </w:r>
            <w:r>
              <w:rPr>
                <w:noProof/>
                <w:webHidden/>
              </w:rPr>
              <w:fldChar w:fldCharType="separate"/>
            </w:r>
            <w:r>
              <w:rPr>
                <w:noProof/>
                <w:webHidden/>
              </w:rPr>
              <w:t>12</w:t>
            </w:r>
            <w:r>
              <w:rPr>
                <w:noProof/>
                <w:webHidden/>
              </w:rPr>
              <w:fldChar w:fldCharType="end"/>
            </w:r>
          </w:hyperlink>
        </w:p>
        <w:p w14:paraId="5D2D69F0" w14:textId="5E1773A4"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700" w:history="1">
            <w:r w:rsidRPr="00D05E54">
              <w:rPr>
                <w:rStyle w:val="Hyperlink"/>
                <w:noProof/>
              </w:rPr>
              <w:t>Nonclinical evaluation summary</w:t>
            </w:r>
            <w:r>
              <w:rPr>
                <w:noProof/>
                <w:webHidden/>
              </w:rPr>
              <w:tab/>
            </w:r>
            <w:r>
              <w:rPr>
                <w:noProof/>
                <w:webHidden/>
              </w:rPr>
              <w:fldChar w:fldCharType="begin"/>
            </w:r>
            <w:r>
              <w:rPr>
                <w:noProof/>
                <w:webHidden/>
              </w:rPr>
              <w:instrText xml:space="preserve"> PAGEREF _Toc243316700 \h </w:instrText>
            </w:r>
            <w:r>
              <w:rPr>
                <w:noProof/>
                <w:webHidden/>
              </w:rPr>
            </w:r>
            <w:r>
              <w:rPr>
                <w:noProof/>
                <w:webHidden/>
              </w:rPr>
              <w:fldChar w:fldCharType="separate"/>
            </w:r>
            <w:r>
              <w:rPr>
                <w:noProof/>
                <w:webHidden/>
              </w:rPr>
              <w:t>13</w:t>
            </w:r>
            <w:r>
              <w:rPr>
                <w:noProof/>
                <w:webHidden/>
              </w:rPr>
              <w:fldChar w:fldCharType="end"/>
            </w:r>
          </w:hyperlink>
        </w:p>
        <w:p w14:paraId="32461353" w14:textId="06333C04"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701" w:history="1">
            <w:r w:rsidRPr="00D05E54">
              <w:rPr>
                <w:rStyle w:val="Hyperlink"/>
                <w:noProof/>
              </w:rPr>
              <w:t>Clinical evaluation summary</w:t>
            </w:r>
            <w:r>
              <w:rPr>
                <w:noProof/>
                <w:webHidden/>
              </w:rPr>
              <w:tab/>
            </w:r>
            <w:r>
              <w:rPr>
                <w:noProof/>
                <w:webHidden/>
              </w:rPr>
              <w:fldChar w:fldCharType="begin"/>
            </w:r>
            <w:r>
              <w:rPr>
                <w:noProof/>
                <w:webHidden/>
              </w:rPr>
              <w:instrText xml:space="preserve"> PAGEREF _Toc243316701 \h </w:instrText>
            </w:r>
            <w:r>
              <w:rPr>
                <w:noProof/>
                <w:webHidden/>
              </w:rPr>
            </w:r>
            <w:r>
              <w:rPr>
                <w:noProof/>
                <w:webHidden/>
              </w:rPr>
              <w:fldChar w:fldCharType="separate"/>
            </w:r>
            <w:r>
              <w:rPr>
                <w:noProof/>
                <w:webHidden/>
              </w:rPr>
              <w:t>14</w:t>
            </w:r>
            <w:r>
              <w:rPr>
                <w:noProof/>
                <w:webHidden/>
              </w:rPr>
              <w:fldChar w:fldCharType="end"/>
            </w:r>
          </w:hyperlink>
        </w:p>
        <w:p w14:paraId="456029A6" w14:textId="5F967FD4"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702" w:history="1">
            <w:r w:rsidRPr="00D05E54">
              <w:rPr>
                <w:rStyle w:val="Hyperlink"/>
                <w:noProof/>
              </w:rPr>
              <w:t>Pharmacology</w:t>
            </w:r>
            <w:r>
              <w:rPr>
                <w:noProof/>
                <w:webHidden/>
              </w:rPr>
              <w:tab/>
            </w:r>
            <w:r>
              <w:rPr>
                <w:noProof/>
                <w:webHidden/>
              </w:rPr>
              <w:fldChar w:fldCharType="begin"/>
            </w:r>
            <w:r>
              <w:rPr>
                <w:noProof/>
                <w:webHidden/>
              </w:rPr>
              <w:instrText xml:space="preserve"> PAGEREF _Toc243316702 \h </w:instrText>
            </w:r>
            <w:r>
              <w:rPr>
                <w:noProof/>
                <w:webHidden/>
              </w:rPr>
            </w:r>
            <w:r>
              <w:rPr>
                <w:noProof/>
                <w:webHidden/>
              </w:rPr>
              <w:fldChar w:fldCharType="separate"/>
            </w:r>
            <w:r>
              <w:rPr>
                <w:noProof/>
                <w:webHidden/>
              </w:rPr>
              <w:t>14</w:t>
            </w:r>
            <w:r>
              <w:rPr>
                <w:noProof/>
                <w:webHidden/>
              </w:rPr>
              <w:fldChar w:fldCharType="end"/>
            </w:r>
          </w:hyperlink>
        </w:p>
        <w:p w14:paraId="152A9E9F" w14:textId="047BB7F5"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703" w:history="1">
            <w:r w:rsidRPr="00D05E54">
              <w:rPr>
                <w:rStyle w:val="Hyperlink"/>
                <w:noProof/>
              </w:rPr>
              <w:t>Efficacy</w:t>
            </w:r>
            <w:r>
              <w:rPr>
                <w:noProof/>
                <w:webHidden/>
              </w:rPr>
              <w:tab/>
            </w:r>
            <w:r>
              <w:rPr>
                <w:noProof/>
                <w:webHidden/>
              </w:rPr>
              <w:fldChar w:fldCharType="begin"/>
            </w:r>
            <w:r>
              <w:rPr>
                <w:noProof/>
                <w:webHidden/>
              </w:rPr>
              <w:instrText xml:space="preserve"> PAGEREF _Toc243316703 \h </w:instrText>
            </w:r>
            <w:r>
              <w:rPr>
                <w:noProof/>
                <w:webHidden/>
              </w:rPr>
            </w:r>
            <w:r>
              <w:rPr>
                <w:noProof/>
                <w:webHidden/>
              </w:rPr>
              <w:fldChar w:fldCharType="separate"/>
            </w:r>
            <w:r>
              <w:rPr>
                <w:noProof/>
                <w:webHidden/>
              </w:rPr>
              <w:t>17</w:t>
            </w:r>
            <w:r>
              <w:rPr>
                <w:noProof/>
                <w:webHidden/>
              </w:rPr>
              <w:fldChar w:fldCharType="end"/>
            </w:r>
          </w:hyperlink>
        </w:p>
        <w:p w14:paraId="1F140105" w14:textId="36B329DB"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704" w:history="1">
            <w:r w:rsidRPr="00D05E54">
              <w:rPr>
                <w:rStyle w:val="Hyperlink"/>
                <w:noProof/>
              </w:rPr>
              <w:t>Safety</w:t>
            </w:r>
            <w:r>
              <w:rPr>
                <w:noProof/>
                <w:webHidden/>
              </w:rPr>
              <w:tab/>
            </w:r>
            <w:r>
              <w:rPr>
                <w:noProof/>
                <w:webHidden/>
              </w:rPr>
              <w:fldChar w:fldCharType="begin"/>
            </w:r>
            <w:r>
              <w:rPr>
                <w:noProof/>
                <w:webHidden/>
              </w:rPr>
              <w:instrText xml:space="preserve"> PAGEREF _Toc243316704 \h </w:instrText>
            </w:r>
            <w:r>
              <w:rPr>
                <w:noProof/>
                <w:webHidden/>
              </w:rPr>
            </w:r>
            <w:r>
              <w:rPr>
                <w:noProof/>
                <w:webHidden/>
              </w:rPr>
              <w:fldChar w:fldCharType="separate"/>
            </w:r>
            <w:r>
              <w:rPr>
                <w:noProof/>
                <w:webHidden/>
              </w:rPr>
              <w:t>26</w:t>
            </w:r>
            <w:r>
              <w:rPr>
                <w:noProof/>
                <w:webHidden/>
              </w:rPr>
              <w:fldChar w:fldCharType="end"/>
            </w:r>
          </w:hyperlink>
        </w:p>
        <w:p w14:paraId="5D77ECB0" w14:textId="0FA0FAC4"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705" w:history="1">
            <w:r w:rsidRPr="00D05E54">
              <w:rPr>
                <w:rStyle w:val="Hyperlink"/>
                <w:noProof/>
                <w:lang w:eastAsia="en-AU"/>
              </w:rPr>
              <w:t>Risk management plan</w:t>
            </w:r>
            <w:r>
              <w:rPr>
                <w:noProof/>
                <w:webHidden/>
              </w:rPr>
              <w:tab/>
            </w:r>
            <w:r>
              <w:rPr>
                <w:noProof/>
                <w:webHidden/>
              </w:rPr>
              <w:fldChar w:fldCharType="begin"/>
            </w:r>
            <w:r>
              <w:rPr>
                <w:noProof/>
                <w:webHidden/>
              </w:rPr>
              <w:instrText xml:space="preserve"> PAGEREF _Toc243316705 \h </w:instrText>
            </w:r>
            <w:r>
              <w:rPr>
                <w:noProof/>
                <w:webHidden/>
              </w:rPr>
            </w:r>
            <w:r>
              <w:rPr>
                <w:noProof/>
                <w:webHidden/>
              </w:rPr>
              <w:fldChar w:fldCharType="separate"/>
            </w:r>
            <w:r>
              <w:rPr>
                <w:noProof/>
                <w:webHidden/>
              </w:rPr>
              <w:t>28</w:t>
            </w:r>
            <w:r>
              <w:rPr>
                <w:noProof/>
                <w:webHidden/>
              </w:rPr>
              <w:fldChar w:fldCharType="end"/>
            </w:r>
          </w:hyperlink>
        </w:p>
        <w:p w14:paraId="5CC00DE7" w14:textId="5DD7E473"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706" w:history="1">
            <w:r w:rsidRPr="00D05E54">
              <w:rPr>
                <w:rStyle w:val="Hyperlink"/>
                <w:noProof/>
              </w:rPr>
              <w:t>Risk-benefit analysis</w:t>
            </w:r>
            <w:r>
              <w:rPr>
                <w:noProof/>
                <w:webHidden/>
              </w:rPr>
              <w:tab/>
            </w:r>
            <w:r>
              <w:rPr>
                <w:noProof/>
                <w:webHidden/>
              </w:rPr>
              <w:fldChar w:fldCharType="begin"/>
            </w:r>
            <w:r>
              <w:rPr>
                <w:noProof/>
                <w:webHidden/>
              </w:rPr>
              <w:instrText xml:space="preserve"> PAGEREF _Toc243316706 \h </w:instrText>
            </w:r>
            <w:r>
              <w:rPr>
                <w:noProof/>
                <w:webHidden/>
              </w:rPr>
            </w:r>
            <w:r>
              <w:rPr>
                <w:noProof/>
                <w:webHidden/>
              </w:rPr>
              <w:fldChar w:fldCharType="separate"/>
            </w:r>
            <w:r>
              <w:rPr>
                <w:noProof/>
                <w:webHidden/>
              </w:rPr>
              <w:t>29</w:t>
            </w:r>
            <w:r>
              <w:rPr>
                <w:noProof/>
                <w:webHidden/>
              </w:rPr>
              <w:fldChar w:fldCharType="end"/>
            </w:r>
          </w:hyperlink>
        </w:p>
        <w:p w14:paraId="4EE23B52" w14:textId="1A1D230A"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707" w:history="1">
            <w:r w:rsidRPr="00D05E54">
              <w:rPr>
                <w:rStyle w:val="Hyperlink"/>
                <w:noProof/>
              </w:rPr>
              <w:t>Delegate’s considerations</w:t>
            </w:r>
            <w:r>
              <w:rPr>
                <w:noProof/>
                <w:webHidden/>
              </w:rPr>
              <w:tab/>
            </w:r>
            <w:r>
              <w:rPr>
                <w:noProof/>
                <w:webHidden/>
              </w:rPr>
              <w:fldChar w:fldCharType="begin"/>
            </w:r>
            <w:r>
              <w:rPr>
                <w:noProof/>
                <w:webHidden/>
              </w:rPr>
              <w:instrText xml:space="preserve"> PAGEREF _Toc243316707 \h </w:instrText>
            </w:r>
            <w:r>
              <w:rPr>
                <w:noProof/>
                <w:webHidden/>
              </w:rPr>
            </w:r>
            <w:r>
              <w:rPr>
                <w:noProof/>
                <w:webHidden/>
              </w:rPr>
              <w:fldChar w:fldCharType="separate"/>
            </w:r>
            <w:r>
              <w:rPr>
                <w:noProof/>
                <w:webHidden/>
              </w:rPr>
              <w:t>29</w:t>
            </w:r>
            <w:r>
              <w:rPr>
                <w:noProof/>
                <w:webHidden/>
              </w:rPr>
              <w:fldChar w:fldCharType="end"/>
            </w:r>
          </w:hyperlink>
        </w:p>
        <w:p w14:paraId="580AA1EA" w14:textId="2C40BD4F" w:rsidR="008456FF" w:rsidRDefault="008456FF">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3316708" w:history="1">
            <w:r w:rsidRPr="00D05E54">
              <w:rPr>
                <w:rStyle w:val="Hyperlink"/>
                <w:noProof/>
              </w:rPr>
              <w:t>Proposed action</w:t>
            </w:r>
            <w:r>
              <w:rPr>
                <w:noProof/>
                <w:webHidden/>
              </w:rPr>
              <w:tab/>
            </w:r>
            <w:r>
              <w:rPr>
                <w:noProof/>
                <w:webHidden/>
              </w:rPr>
              <w:fldChar w:fldCharType="begin"/>
            </w:r>
            <w:r>
              <w:rPr>
                <w:noProof/>
                <w:webHidden/>
              </w:rPr>
              <w:instrText xml:space="preserve"> PAGEREF _Toc243316708 \h </w:instrText>
            </w:r>
            <w:r>
              <w:rPr>
                <w:noProof/>
                <w:webHidden/>
              </w:rPr>
            </w:r>
            <w:r>
              <w:rPr>
                <w:noProof/>
                <w:webHidden/>
              </w:rPr>
              <w:fldChar w:fldCharType="separate"/>
            </w:r>
            <w:r>
              <w:rPr>
                <w:noProof/>
                <w:webHidden/>
              </w:rPr>
              <w:t>30</w:t>
            </w:r>
            <w:r>
              <w:rPr>
                <w:noProof/>
                <w:webHidden/>
              </w:rPr>
              <w:fldChar w:fldCharType="end"/>
            </w:r>
          </w:hyperlink>
        </w:p>
        <w:p w14:paraId="2AF261C7" w14:textId="2A015B88" w:rsidR="008456FF" w:rsidRDefault="008456FF">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316709" w:history="1">
            <w:r w:rsidRPr="00D05E54">
              <w:rPr>
                <w:rStyle w:val="Hyperlink"/>
                <w:noProof/>
              </w:rPr>
              <w:t>Assessment outcome</w:t>
            </w:r>
            <w:r>
              <w:rPr>
                <w:noProof/>
                <w:webHidden/>
              </w:rPr>
              <w:tab/>
            </w:r>
            <w:r>
              <w:rPr>
                <w:noProof/>
                <w:webHidden/>
              </w:rPr>
              <w:fldChar w:fldCharType="begin"/>
            </w:r>
            <w:r>
              <w:rPr>
                <w:noProof/>
                <w:webHidden/>
              </w:rPr>
              <w:instrText xml:space="preserve"> PAGEREF _Toc243316709 \h </w:instrText>
            </w:r>
            <w:r>
              <w:rPr>
                <w:noProof/>
                <w:webHidden/>
              </w:rPr>
            </w:r>
            <w:r>
              <w:rPr>
                <w:noProof/>
                <w:webHidden/>
              </w:rPr>
              <w:fldChar w:fldCharType="separate"/>
            </w:r>
            <w:r>
              <w:rPr>
                <w:noProof/>
                <w:webHidden/>
              </w:rPr>
              <w:t>30</w:t>
            </w:r>
            <w:r>
              <w:rPr>
                <w:noProof/>
                <w:webHidden/>
              </w:rPr>
              <w:fldChar w:fldCharType="end"/>
            </w:r>
          </w:hyperlink>
        </w:p>
        <w:p w14:paraId="2F9DEBFB" w14:textId="42B780C0" w:rsidR="008456FF" w:rsidRDefault="008456FF">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316710" w:history="1">
            <w:r w:rsidRPr="00D05E54">
              <w:rPr>
                <w:rStyle w:val="Hyperlink"/>
                <w:noProof/>
              </w:rPr>
              <w:t>Specific conditions of registration</w:t>
            </w:r>
            <w:r>
              <w:rPr>
                <w:noProof/>
                <w:webHidden/>
              </w:rPr>
              <w:tab/>
            </w:r>
            <w:r>
              <w:rPr>
                <w:noProof/>
                <w:webHidden/>
              </w:rPr>
              <w:fldChar w:fldCharType="begin"/>
            </w:r>
            <w:r>
              <w:rPr>
                <w:noProof/>
                <w:webHidden/>
              </w:rPr>
              <w:instrText xml:space="preserve"> PAGEREF _Toc243316710 \h </w:instrText>
            </w:r>
            <w:r>
              <w:rPr>
                <w:noProof/>
                <w:webHidden/>
              </w:rPr>
            </w:r>
            <w:r>
              <w:rPr>
                <w:noProof/>
                <w:webHidden/>
              </w:rPr>
              <w:fldChar w:fldCharType="separate"/>
            </w:r>
            <w:r>
              <w:rPr>
                <w:noProof/>
                <w:webHidden/>
              </w:rPr>
              <w:t>30</w:t>
            </w:r>
            <w:r>
              <w:rPr>
                <w:noProof/>
                <w:webHidden/>
              </w:rPr>
              <w:fldChar w:fldCharType="end"/>
            </w:r>
          </w:hyperlink>
        </w:p>
        <w:p w14:paraId="5872CA1C" w14:textId="04C59AA2" w:rsidR="008456FF" w:rsidRDefault="008456FF">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3316711" w:history="1">
            <w:r w:rsidRPr="00D05E54">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_Toc243316711 \h </w:instrText>
            </w:r>
            <w:r>
              <w:rPr>
                <w:noProof/>
                <w:webHidden/>
              </w:rPr>
            </w:r>
            <w:r>
              <w:rPr>
                <w:noProof/>
                <w:webHidden/>
              </w:rPr>
              <w:fldChar w:fldCharType="separate"/>
            </w:r>
            <w:r>
              <w:rPr>
                <w:noProof/>
                <w:webHidden/>
              </w:rPr>
              <w:t>30</w:t>
            </w:r>
            <w:r>
              <w:rPr>
                <w:noProof/>
                <w:webHidden/>
              </w:rPr>
              <w:fldChar w:fldCharType="end"/>
            </w:r>
          </w:hyperlink>
        </w:p>
        <w:p w14:paraId="77659F2D" w14:textId="46C06A6A" w:rsidR="00F02AEC" w:rsidRPr="00272ECE" w:rsidRDefault="00F02AEC" w:rsidP="007452E8">
          <w:r w:rsidRPr="00272ECE">
            <w:fldChar w:fldCharType="end"/>
          </w:r>
        </w:p>
      </w:sdtContent>
    </w:sdt>
    <w:p w14:paraId="10987AE2" w14:textId="77777777" w:rsidR="00F02AEC" w:rsidRPr="00272ECE" w:rsidRDefault="00F02AEC" w:rsidP="00705F36">
      <w:r w:rsidRPr="00272ECE">
        <w:br w:type="page"/>
      </w:r>
    </w:p>
    <w:p w14:paraId="58578454" w14:textId="20A621D5" w:rsidR="00324B33" w:rsidRPr="00795F3B" w:rsidRDefault="00324B33" w:rsidP="00795F3B">
      <w:pPr>
        <w:pStyle w:val="Heading2"/>
      </w:pPr>
      <w:bookmarkStart w:id="0" w:name="_Toc98931917"/>
      <w:bookmarkStart w:id="1" w:name="_Toc103679287"/>
      <w:bookmarkStart w:id="2" w:name="_Toc323739589"/>
      <w:bookmarkStart w:id="3" w:name="_Toc356305216"/>
      <w:bookmarkStart w:id="4" w:name="_Toc243316687"/>
      <w:r w:rsidRPr="00272ECE">
        <w:lastRenderedPageBreak/>
        <w:t>List of abbreviations</w:t>
      </w:r>
      <w:bookmarkEnd w:id="0"/>
      <w:bookmarkEnd w:id="1"/>
      <w:bookmarkEnd w:id="4"/>
    </w:p>
    <w:tbl>
      <w:tblPr>
        <w:tblStyle w:val="TableTGAblue2023"/>
        <w:tblW w:w="9430" w:type="dxa"/>
        <w:tblLook w:val="04A0" w:firstRow="1" w:lastRow="0" w:firstColumn="1" w:lastColumn="0" w:noHBand="0" w:noVBand="1"/>
      </w:tblPr>
      <w:tblGrid>
        <w:gridCol w:w="2263"/>
        <w:gridCol w:w="7167"/>
      </w:tblGrid>
      <w:tr w:rsidR="009734FB" w:rsidRPr="003D71A1" w14:paraId="3219950A" w14:textId="77777777" w:rsidTr="00705F36">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263" w:type="dxa"/>
          </w:tcPr>
          <w:p w14:paraId="23324149" w14:textId="77777777" w:rsidR="009734FB" w:rsidRPr="007C71D5" w:rsidRDefault="009734FB" w:rsidP="00705F36">
            <w:bookmarkStart w:id="5" w:name="_Hlk133418605"/>
            <w:r w:rsidRPr="007C71D5">
              <w:t>Abbreviation</w:t>
            </w:r>
          </w:p>
        </w:tc>
        <w:tc>
          <w:tcPr>
            <w:tcW w:w="7167" w:type="dxa"/>
          </w:tcPr>
          <w:p w14:paraId="59FF4C29" w14:textId="77777777" w:rsidR="009734FB" w:rsidRPr="007C71D5" w:rsidRDefault="009734FB" w:rsidP="00705F36">
            <w:pPr>
              <w:cnfStyle w:val="100000000000" w:firstRow="1" w:lastRow="0" w:firstColumn="0" w:lastColumn="0" w:oddVBand="0" w:evenVBand="0" w:oddHBand="0" w:evenHBand="0" w:firstRowFirstColumn="0" w:firstRowLastColumn="0" w:lastRowFirstColumn="0" w:lastRowLastColumn="0"/>
            </w:pPr>
            <w:r w:rsidRPr="007C71D5">
              <w:t>Meaning</w:t>
            </w:r>
          </w:p>
        </w:tc>
      </w:tr>
      <w:tr w:rsidR="009734FB" w:rsidRPr="00855D13" w14:paraId="2FDC51DD"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1A7779CD" w14:textId="77777777" w:rsidR="009734FB" w:rsidRPr="00855D13" w:rsidRDefault="009734FB" w:rsidP="00705F36">
            <w:pPr>
              <w:rPr>
                <w:rFonts w:cstheme="minorHAnsi"/>
                <w:szCs w:val="40"/>
              </w:rPr>
            </w:pPr>
            <w:r w:rsidRPr="00855D13">
              <w:rPr>
                <w:rFonts w:cstheme="minorHAnsi"/>
                <w:szCs w:val="40"/>
              </w:rPr>
              <w:t>AE(s)</w:t>
            </w:r>
          </w:p>
        </w:tc>
        <w:tc>
          <w:tcPr>
            <w:tcW w:w="7167" w:type="dxa"/>
          </w:tcPr>
          <w:p w14:paraId="748866CA"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40"/>
              </w:rPr>
            </w:pPr>
            <w:r w:rsidRPr="00855D13">
              <w:rPr>
                <w:rFonts w:cstheme="minorHAnsi"/>
                <w:szCs w:val="40"/>
              </w:rPr>
              <w:t>Adverse event(s)</w:t>
            </w:r>
          </w:p>
        </w:tc>
      </w:tr>
      <w:tr w:rsidR="009734FB" w:rsidRPr="00855D13" w14:paraId="078ED8DF"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23D5624" w14:textId="77777777" w:rsidR="009734FB" w:rsidRPr="00855D13" w:rsidRDefault="009734FB" w:rsidP="00705F36">
            <w:pPr>
              <w:rPr>
                <w:rFonts w:cstheme="minorHAnsi"/>
                <w:szCs w:val="48"/>
              </w:rPr>
            </w:pPr>
            <w:r w:rsidRPr="00855D13">
              <w:rPr>
                <w:rFonts w:cstheme="minorHAnsi"/>
                <w:szCs w:val="48"/>
              </w:rPr>
              <w:t>AIHW</w:t>
            </w:r>
          </w:p>
        </w:tc>
        <w:tc>
          <w:tcPr>
            <w:tcW w:w="7167" w:type="dxa"/>
          </w:tcPr>
          <w:p w14:paraId="761E682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t>Australian Institute of Health and Welfare</w:t>
            </w:r>
          </w:p>
        </w:tc>
      </w:tr>
      <w:tr w:rsidR="009734FB" w:rsidRPr="00855D13" w14:paraId="3098383C"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0E228CC0" w14:textId="77777777" w:rsidR="009734FB" w:rsidRPr="00855D13" w:rsidRDefault="009734FB" w:rsidP="00705F36">
            <w:pPr>
              <w:rPr>
                <w:rFonts w:cstheme="minorHAnsi"/>
                <w:szCs w:val="48"/>
              </w:rPr>
            </w:pPr>
            <w:r w:rsidRPr="00855D13">
              <w:rPr>
                <w:rFonts w:cstheme="minorHAnsi"/>
                <w:szCs w:val="48"/>
              </w:rPr>
              <w:t>ALT</w:t>
            </w:r>
          </w:p>
        </w:tc>
        <w:tc>
          <w:tcPr>
            <w:tcW w:w="7167" w:type="dxa"/>
          </w:tcPr>
          <w:p w14:paraId="5E7E5BE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rPr>
                <w:szCs w:val="48"/>
              </w:rPr>
              <w:t>Alanine aminotransferase</w:t>
            </w:r>
          </w:p>
        </w:tc>
      </w:tr>
      <w:tr w:rsidR="009734FB" w:rsidRPr="00855D13" w14:paraId="1BED18E4"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AB219AE" w14:textId="77777777" w:rsidR="009734FB" w:rsidRPr="00855D13" w:rsidRDefault="009734FB" w:rsidP="00705F36">
            <w:pPr>
              <w:rPr>
                <w:rFonts w:cstheme="minorHAnsi"/>
                <w:szCs w:val="32"/>
              </w:rPr>
            </w:pPr>
            <w:r w:rsidRPr="00855D13">
              <w:rPr>
                <w:rFonts w:cstheme="minorHAnsi"/>
                <w:szCs w:val="32"/>
              </w:rPr>
              <w:t>ARTG</w:t>
            </w:r>
          </w:p>
        </w:tc>
        <w:tc>
          <w:tcPr>
            <w:tcW w:w="7167" w:type="dxa"/>
          </w:tcPr>
          <w:p w14:paraId="7D9017C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32"/>
              </w:rPr>
            </w:pPr>
            <w:r w:rsidRPr="00855D13">
              <w:rPr>
                <w:rFonts w:cstheme="minorHAnsi"/>
                <w:szCs w:val="32"/>
              </w:rPr>
              <w:t>Australian Register of Therapeutic Goods</w:t>
            </w:r>
          </w:p>
        </w:tc>
      </w:tr>
      <w:tr w:rsidR="009734FB" w:rsidRPr="00855D13" w14:paraId="160D2F79"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1E0B65F" w14:textId="77777777" w:rsidR="009734FB" w:rsidRPr="00855D13" w:rsidRDefault="009734FB" w:rsidP="00705F36">
            <w:pPr>
              <w:rPr>
                <w:szCs w:val="32"/>
              </w:rPr>
            </w:pPr>
            <w:r w:rsidRPr="00855D13">
              <w:rPr>
                <w:szCs w:val="32"/>
              </w:rPr>
              <w:t>ASA</w:t>
            </w:r>
          </w:p>
        </w:tc>
        <w:tc>
          <w:tcPr>
            <w:tcW w:w="7167" w:type="dxa"/>
          </w:tcPr>
          <w:p w14:paraId="54C148A8"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32"/>
              </w:rPr>
            </w:pPr>
            <w:r w:rsidRPr="00855D13">
              <w:rPr>
                <w:szCs w:val="32"/>
              </w:rPr>
              <w:t>Australia-specific annex</w:t>
            </w:r>
          </w:p>
        </w:tc>
      </w:tr>
      <w:tr w:rsidR="009734FB" w:rsidRPr="00855D13" w14:paraId="413CDF94"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12E2F1A7" w14:textId="77777777" w:rsidR="009734FB" w:rsidRPr="00855D13" w:rsidRDefault="009734FB" w:rsidP="00705F36">
            <w:r w:rsidRPr="00855D13">
              <w:t>AUC</w:t>
            </w:r>
          </w:p>
        </w:tc>
        <w:tc>
          <w:tcPr>
            <w:tcW w:w="7167" w:type="dxa"/>
          </w:tcPr>
          <w:p w14:paraId="275D4C1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lang w:val="en-GB"/>
              </w:rPr>
            </w:pPr>
            <w:r w:rsidRPr="00855D13">
              <w:t>Area under the concentration time curve</w:t>
            </w:r>
          </w:p>
        </w:tc>
      </w:tr>
      <w:tr w:rsidR="009734FB" w:rsidRPr="00855D13" w14:paraId="6FB2CD4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75A06B5" w14:textId="77777777" w:rsidR="009734FB" w:rsidRPr="00855D13" w:rsidRDefault="009734FB" w:rsidP="00705F36">
            <w:r w:rsidRPr="00855D13">
              <w:t>AUC</w:t>
            </w:r>
            <w:r w:rsidRPr="00855D13">
              <w:rPr>
                <w:vertAlign w:val="subscript"/>
              </w:rPr>
              <w:t>0–</w:t>
            </w:r>
            <w:proofErr w:type="gramStart"/>
            <w:r w:rsidRPr="00855D13">
              <w:rPr>
                <w:vertAlign w:val="subscript"/>
              </w:rPr>
              <w:t>24,ss</w:t>
            </w:r>
            <w:proofErr w:type="gramEnd"/>
          </w:p>
        </w:tc>
        <w:tc>
          <w:tcPr>
            <w:tcW w:w="7167" w:type="dxa"/>
          </w:tcPr>
          <w:p w14:paraId="33C034B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Area under the concentration time curve from time 0 to 24 hours at steady state</w:t>
            </w:r>
          </w:p>
        </w:tc>
      </w:tr>
      <w:tr w:rsidR="009734FB" w:rsidRPr="00855D13" w14:paraId="3716035E"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9793E16" w14:textId="77777777" w:rsidR="009734FB" w:rsidRPr="00855D13" w:rsidRDefault="009734FB" w:rsidP="00705F36">
            <w:r w:rsidRPr="00855D13">
              <w:t>AUC</w:t>
            </w:r>
            <w:r w:rsidRPr="00855D13">
              <w:rPr>
                <w:vertAlign w:val="subscript"/>
              </w:rPr>
              <w:t>0-inf</w:t>
            </w:r>
          </w:p>
        </w:tc>
        <w:tc>
          <w:tcPr>
            <w:tcW w:w="7167" w:type="dxa"/>
          </w:tcPr>
          <w:p w14:paraId="7B4F950D"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lang w:val="en-GB"/>
              </w:rPr>
            </w:pPr>
            <w:r w:rsidRPr="00855D13">
              <w:t>Area under the concentration time curve from 0 to infinity</w:t>
            </w:r>
          </w:p>
        </w:tc>
      </w:tr>
      <w:tr w:rsidR="009734FB" w:rsidRPr="00855D13" w14:paraId="352F5E33"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28BF980" w14:textId="77777777" w:rsidR="009734FB" w:rsidRPr="00855D13" w:rsidRDefault="009734FB" w:rsidP="00705F36">
            <w:pPr>
              <w:rPr>
                <w:rFonts w:cstheme="minorHAnsi"/>
                <w:szCs w:val="56"/>
              </w:rPr>
            </w:pPr>
            <w:r w:rsidRPr="00855D13">
              <w:rPr>
                <w:rFonts w:cstheme="minorHAnsi"/>
                <w:szCs w:val="56"/>
              </w:rPr>
              <w:t>BCL-2</w:t>
            </w:r>
          </w:p>
        </w:tc>
        <w:tc>
          <w:tcPr>
            <w:tcW w:w="7167" w:type="dxa"/>
          </w:tcPr>
          <w:p w14:paraId="2EEF80DD"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56"/>
              </w:rPr>
            </w:pPr>
            <w:r w:rsidRPr="00855D13">
              <w:t>B-cell lymphoma-2</w:t>
            </w:r>
          </w:p>
        </w:tc>
      </w:tr>
      <w:tr w:rsidR="009734FB" w:rsidRPr="00855D13" w14:paraId="032F2E26"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53DA20A" w14:textId="77777777" w:rsidR="009734FB" w:rsidRPr="00855D13" w:rsidRDefault="009734FB" w:rsidP="00705F36">
            <w:pPr>
              <w:rPr>
                <w:rFonts w:cstheme="minorHAnsi"/>
              </w:rPr>
            </w:pPr>
            <w:proofErr w:type="spellStart"/>
            <w:r w:rsidRPr="00855D13">
              <w:t>BendaR</w:t>
            </w:r>
            <w:proofErr w:type="spellEnd"/>
          </w:p>
        </w:tc>
        <w:tc>
          <w:tcPr>
            <w:tcW w:w="7167" w:type="dxa"/>
          </w:tcPr>
          <w:p w14:paraId="587E5FD4"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Bendamustine plus rituximab</w:t>
            </w:r>
          </w:p>
        </w:tc>
      </w:tr>
      <w:tr w:rsidR="009734FB" w:rsidRPr="00855D13" w14:paraId="00F07523"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40A0B05" w14:textId="77777777" w:rsidR="009734FB" w:rsidRPr="00855D13" w:rsidRDefault="009734FB" w:rsidP="00705F36">
            <w:pPr>
              <w:rPr>
                <w:rFonts w:cstheme="minorHAnsi"/>
              </w:rPr>
            </w:pPr>
            <w:r w:rsidRPr="00855D13">
              <w:rPr>
                <w:rFonts w:cstheme="minorHAnsi"/>
              </w:rPr>
              <w:t>BTK</w:t>
            </w:r>
          </w:p>
        </w:tc>
        <w:tc>
          <w:tcPr>
            <w:tcW w:w="7167" w:type="dxa"/>
          </w:tcPr>
          <w:p w14:paraId="5055A6E5" w14:textId="206CA1ED"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Bruton's tyrosine kinase</w:t>
            </w:r>
          </w:p>
        </w:tc>
      </w:tr>
      <w:tr w:rsidR="009734FB" w:rsidRPr="00855D13" w14:paraId="2F8599B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3CA804E" w14:textId="77777777" w:rsidR="009734FB" w:rsidRPr="00855D13" w:rsidRDefault="009734FB" w:rsidP="00705F36">
            <w:pPr>
              <w:rPr>
                <w:rFonts w:cstheme="minorHAnsi"/>
                <w:szCs w:val="48"/>
              </w:rPr>
            </w:pPr>
            <w:r w:rsidRPr="00855D13">
              <w:rPr>
                <w:rFonts w:cstheme="minorHAnsi"/>
              </w:rPr>
              <w:t>C</w:t>
            </w:r>
            <w:r w:rsidRPr="00855D13">
              <w:rPr>
                <w:rFonts w:cstheme="minorHAnsi"/>
                <w:vertAlign w:val="subscript"/>
              </w:rPr>
              <w:t>av</w:t>
            </w:r>
          </w:p>
        </w:tc>
        <w:tc>
          <w:tcPr>
            <w:tcW w:w="7167" w:type="dxa"/>
          </w:tcPr>
          <w:p w14:paraId="2AA8F9D8"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t>Average concentration</w:t>
            </w:r>
          </w:p>
        </w:tc>
      </w:tr>
      <w:tr w:rsidR="009734FB" w:rsidRPr="00855D13" w14:paraId="20D8691F"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366D331" w14:textId="77777777" w:rsidR="009734FB" w:rsidRPr="00855D13" w:rsidRDefault="009734FB" w:rsidP="00705F36">
            <w:pPr>
              <w:rPr>
                <w:rFonts w:cstheme="minorHAnsi"/>
              </w:rPr>
            </w:pPr>
            <w:r w:rsidRPr="00855D13">
              <w:rPr>
                <w:rFonts w:cstheme="minorHAnsi"/>
              </w:rPr>
              <w:t>CD20</w:t>
            </w:r>
          </w:p>
        </w:tc>
        <w:tc>
          <w:tcPr>
            <w:tcW w:w="7167" w:type="dxa"/>
          </w:tcPr>
          <w:p w14:paraId="0AC0C87F"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Cluster of differentiation 20</w:t>
            </w:r>
          </w:p>
        </w:tc>
      </w:tr>
      <w:tr w:rsidR="009734FB" w:rsidRPr="00855D13" w14:paraId="3109DC9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9459634" w14:textId="77777777" w:rsidR="009734FB" w:rsidRPr="00855D13" w:rsidRDefault="009734FB" w:rsidP="00705F36">
            <w:pPr>
              <w:rPr>
                <w:rFonts w:cstheme="minorHAnsi"/>
                <w:szCs w:val="48"/>
              </w:rPr>
            </w:pPr>
            <w:r w:rsidRPr="00855D13">
              <w:rPr>
                <w:rFonts w:cstheme="minorHAnsi"/>
                <w:szCs w:val="48"/>
              </w:rPr>
              <w:t>CI</w:t>
            </w:r>
          </w:p>
        </w:tc>
        <w:tc>
          <w:tcPr>
            <w:tcW w:w="7167" w:type="dxa"/>
          </w:tcPr>
          <w:p w14:paraId="6DA0131B"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rPr>
                <w:szCs w:val="48"/>
              </w:rPr>
              <w:t>Confidence interval</w:t>
            </w:r>
          </w:p>
        </w:tc>
      </w:tr>
      <w:tr w:rsidR="009734FB" w:rsidRPr="00855D13" w14:paraId="1C0DB2E1"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25FA288" w14:textId="77777777" w:rsidR="009734FB" w:rsidRPr="00855D13" w:rsidRDefault="009734FB" w:rsidP="00705F36">
            <w:pPr>
              <w:rPr>
                <w:szCs w:val="24"/>
              </w:rPr>
            </w:pPr>
            <w:r w:rsidRPr="00855D13">
              <w:rPr>
                <w:szCs w:val="24"/>
              </w:rPr>
              <w:t>CLL</w:t>
            </w:r>
          </w:p>
        </w:tc>
        <w:tc>
          <w:tcPr>
            <w:tcW w:w="7167" w:type="dxa"/>
          </w:tcPr>
          <w:p w14:paraId="09EB1EEA" w14:textId="21C4B7F3"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24"/>
              </w:rPr>
            </w:pPr>
            <w:r w:rsidRPr="00855D13">
              <w:t>Chronic lymphocytic leukemia</w:t>
            </w:r>
          </w:p>
        </w:tc>
      </w:tr>
      <w:tr w:rsidR="009734FB" w:rsidRPr="00855D13" w14:paraId="553986BB"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4941A3C" w14:textId="77777777" w:rsidR="009734FB" w:rsidRPr="00855D13" w:rsidRDefault="009734FB" w:rsidP="00705F36">
            <w:pPr>
              <w:rPr>
                <w:rFonts w:cstheme="minorHAnsi"/>
                <w:szCs w:val="24"/>
              </w:rPr>
            </w:pPr>
            <w:r w:rsidRPr="00855D13">
              <w:rPr>
                <w:szCs w:val="24"/>
              </w:rPr>
              <w:t>C</w:t>
            </w:r>
            <w:r w:rsidRPr="00855D13">
              <w:rPr>
                <w:szCs w:val="24"/>
                <w:vertAlign w:val="subscript"/>
              </w:rPr>
              <w:t>max</w:t>
            </w:r>
          </w:p>
        </w:tc>
        <w:tc>
          <w:tcPr>
            <w:tcW w:w="7167" w:type="dxa"/>
          </w:tcPr>
          <w:p w14:paraId="50BF47FD"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24"/>
              </w:rPr>
            </w:pPr>
            <w:r w:rsidRPr="00855D13">
              <w:rPr>
                <w:rFonts w:cstheme="minorHAnsi"/>
                <w:szCs w:val="24"/>
              </w:rPr>
              <w:t>Maximum concentration</w:t>
            </w:r>
          </w:p>
        </w:tc>
      </w:tr>
      <w:tr w:rsidR="009734FB" w:rsidRPr="00855D13" w14:paraId="3F2D7FA8"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1AF29B43" w14:textId="77777777" w:rsidR="009734FB" w:rsidRPr="00855D13" w:rsidRDefault="009734FB" w:rsidP="00705F36">
            <w:pPr>
              <w:rPr>
                <w:szCs w:val="24"/>
              </w:rPr>
            </w:pPr>
            <w:proofErr w:type="spellStart"/>
            <w:proofErr w:type="gramStart"/>
            <w:r w:rsidRPr="00855D13">
              <w:t>C</w:t>
            </w:r>
            <w:r w:rsidRPr="00855D13">
              <w:rPr>
                <w:vertAlign w:val="subscript"/>
              </w:rPr>
              <w:t>max,ss</w:t>
            </w:r>
            <w:proofErr w:type="spellEnd"/>
            <w:proofErr w:type="gramEnd"/>
          </w:p>
        </w:tc>
        <w:tc>
          <w:tcPr>
            <w:tcW w:w="7167" w:type="dxa"/>
          </w:tcPr>
          <w:p w14:paraId="683B1F52"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24"/>
              </w:rPr>
            </w:pPr>
            <w:r w:rsidRPr="00855D13">
              <w:t>maximum concentration at steady state</w:t>
            </w:r>
          </w:p>
        </w:tc>
      </w:tr>
      <w:tr w:rsidR="009734FB" w:rsidRPr="00855D13" w14:paraId="7A81A87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F8714F7" w14:textId="77777777" w:rsidR="009734FB" w:rsidRPr="00855D13" w:rsidRDefault="009734FB" w:rsidP="00705F36">
            <w:pPr>
              <w:rPr>
                <w:rFonts w:cstheme="minorHAnsi"/>
                <w:color w:val="auto"/>
              </w:rPr>
            </w:pPr>
            <w:r w:rsidRPr="00855D13">
              <w:rPr>
                <w:rFonts w:cstheme="minorHAnsi"/>
                <w:color w:val="auto"/>
              </w:rPr>
              <w:t>CMI</w:t>
            </w:r>
          </w:p>
        </w:tc>
        <w:tc>
          <w:tcPr>
            <w:tcW w:w="7167" w:type="dxa"/>
          </w:tcPr>
          <w:p w14:paraId="0C3C25C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55D13">
              <w:rPr>
                <w:rFonts w:cstheme="minorHAnsi"/>
                <w:color w:val="auto"/>
              </w:rPr>
              <w:t>Consumer Medicines Information</w:t>
            </w:r>
          </w:p>
        </w:tc>
      </w:tr>
      <w:tr w:rsidR="009734FB" w:rsidRPr="00855D13" w14:paraId="6D5F716D"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B28DC62" w14:textId="77777777" w:rsidR="009734FB" w:rsidRPr="00855D13" w:rsidRDefault="009734FB" w:rsidP="00705F36">
            <w:pPr>
              <w:rPr>
                <w:rFonts w:cstheme="minorHAnsi"/>
              </w:rPr>
            </w:pPr>
            <w:proofErr w:type="spellStart"/>
            <w:proofErr w:type="gramStart"/>
            <w:r w:rsidRPr="00855D13">
              <w:t>C</w:t>
            </w:r>
            <w:r w:rsidRPr="00855D13">
              <w:rPr>
                <w:vertAlign w:val="subscript"/>
              </w:rPr>
              <w:t>min,ss</w:t>
            </w:r>
            <w:proofErr w:type="spellEnd"/>
            <w:proofErr w:type="gramEnd"/>
          </w:p>
        </w:tc>
        <w:tc>
          <w:tcPr>
            <w:tcW w:w="7167" w:type="dxa"/>
          </w:tcPr>
          <w:p w14:paraId="499B7EE2"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rPr>
            </w:pPr>
            <w:r w:rsidRPr="00855D13">
              <w:t>Minimum concentration at steady state</w:t>
            </w:r>
          </w:p>
        </w:tc>
      </w:tr>
      <w:tr w:rsidR="009734FB" w:rsidRPr="00855D13" w14:paraId="064C875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018F4DD3" w14:textId="77777777" w:rsidR="009734FB" w:rsidRPr="00855D13" w:rsidRDefault="009734FB" w:rsidP="00705F36">
            <w:pPr>
              <w:rPr>
                <w:rFonts w:cstheme="minorHAnsi"/>
                <w:szCs w:val="40"/>
              </w:rPr>
            </w:pPr>
            <w:r w:rsidRPr="00855D13">
              <w:rPr>
                <w:rFonts w:cstheme="minorHAnsi"/>
              </w:rPr>
              <w:t>COVID-19</w:t>
            </w:r>
          </w:p>
        </w:tc>
        <w:tc>
          <w:tcPr>
            <w:tcW w:w="7167" w:type="dxa"/>
          </w:tcPr>
          <w:p w14:paraId="71A9486E"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40"/>
              </w:rPr>
            </w:pPr>
            <w:r w:rsidRPr="00855D13">
              <w:rPr>
                <w:rFonts w:cstheme="minorHAnsi"/>
              </w:rPr>
              <w:t>Coronavirus disease 2019</w:t>
            </w:r>
          </w:p>
        </w:tc>
      </w:tr>
      <w:tr w:rsidR="009734FB" w:rsidRPr="00855D13" w14:paraId="7D225584"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0F00E42" w14:textId="77777777" w:rsidR="009734FB" w:rsidRPr="00855D13" w:rsidRDefault="009734FB" w:rsidP="00705F36">
            <w:pPr>
              <w:rPr>
                <w:rFonts w:cstheme="minorHAnsi"/>
                <w:szCs w:val="40"/>
              </w:rPr>
            </w:pPr>
            <w:r w:rsidRPr="00855D13">
              <w:rPr>
                <w:rFonts w:cstheme="minorHAnsi"/>
                <w:szCs w:val="40"/>
              </w:rPr>
              <w:t>CR</w:t>
            </w:r>
          </w:p>
        </w:tc>
        <w:tc>
          <w:tcPr>
            <w:tcW w:w="7167" w:type="dxa"/>
          </w:tcPr>
          <w:p w14:paraId="545FE00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40"/>
              </w:rPr>
            </w:pPr>
            <w:r w:rsidRPr="00855D13">
              <w:rPr>
                <w:rFonts w:cstheme="minorHAnsi"/>
                <w:szCs w:val="40"/>
              </w:rPr>
              <w:t>Complete response</w:t>
            </w:r>
          </w:p>
        </w:tc>
      </w:tr>
      <w:tr w:rsidR="009734FB" w:rsidRPr="00855D13" w14:paraId="43D27479"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9379527" w14:textId="77777777" w:rsidR="009734FB" w:rsidRPr="00855D13" w:rsidRDefault="009734FB" w:rsidP="00705F36">
            <w:pPr>
              <w:rPr>
                <w:rFonts w:cstheme="minorHAnsi"/>
                <w:szCs w:val="40"/>
              </w:rPr>
            </w:pPr>
            <w:r w:rsidRPr="00855D13">
              <w:rPr>
                <w:rFonts w:cstheme="minorHAnsi"/>
              </w:rPr>
              <w:t>CV</w:t>
            </w:r>
          </w:p>
        </w:tc>
        <w:tc>
          <w:tcPr>
            <w:tcW w:w="7167" w:type="dxa"/>
          </w:tcPr>
          <w:p w14:paraId="5461B7BB"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0"/>
              </w:rPr>
            </w:pPr>
            <w:r w:rsidRPr="00855D13">
              <w:rPr>
                <w:rFonts w:cstheme="minorHAnsi"/>
              </w:rPr>
              <w:t>Coefficient of variation</w:t>
            </w:r>
          </w:p>
        </w:tc>
      </w:tr>
      <w:tr w:rsidR="009734FB" w:rsidRPr="00855D13" w14:paraId="04A52705"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BCB233D" w14:textId="77777777" w:rsidR="009734FB" w:rsidRPr="00855D13" w:rsidRDefault="009734FB" w:rsidP="00705F36">
            <w:pPr>
              <w:rPr>
                <w:rFonts w:cstheme="minorHAnsi"/>
              </w:rPr>
            </w:pPr>
            <w:r w:rsidRPr="00855D13">
              <w:rPr>
                <w:rFonts w:cstheme="minorHAnsi"/>
              </w:rPr>
              <w:t>CYP3A4</w:t>
            </w:r>
          </w:p>
        </w:tc>
        <w:tc>
          <w:tcPr>
            <w:tcW w:w="7167" w:type="dxa"/>
          </w:tcPr>
          <w:p w14:paraId="3B13E0D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rPr>
            </w:pPr>
            <w:r w:rsidRPr="00855D13">
              <w:t>Cytochrome P450 isoenzyme 3A4</w:t>
            </w:r>
          </w:p>
        </w:tc>
      </w:tr>
      <w:tr w:rsidR="009734FB" w:rsidRPr="00855D13" w14:paraId="0ECA3A90"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ED6A3E9" w14:textId="77777777" w:rsidR="009734FB" w:rsidRPr="00855D13" w:rsidRDefault="009734FB" w:rsidP="00705F36">
            <w:pPr>
              <w:rPr>
                <w:rFonts w:cstheme="minorHAnsi"/>
                <w:szCs w:val="32"/>
              </w:rPr>
            </w:pPr>
            <w:r w:rsidRPr="00855D13">
              <w:rPr>
                <w:rFonts w:cstheme="minorHAnsi"/>
                <w:szCs w:val="32"/>
              </w:rPr>
              <w:t>DLP</w:t>
            </w:r>
          </w:p>
        </w:tc>
        <w:tc>
          <w:tcPr>
            <w:tcW w:w="7167" w:type="dxa"/>
          </w:tcPr>
          <w:p w14:paraId="1B5B0B3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32"/>
              </w:rPr>
            </w:pPr>
            <w:r w:rsidRPr="00855D13">
              <w:rPr>
                <w:rFonts w:cstheme="minorHAnsi"/>
                <w:szCs w:val="32"/>
              </w:rPr>
              <w:t>Data lock point</w:t>
            </w:r>
          </w:p>
        </w:tc>
      </w:tr>
      <w:tr w:rsidR="009734FB" w:rsidRPr="00855D13" w14:paraId="4E3B2E9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F356A45" w14:textId="77777777" w:rsidR="009734FB" w:rsidRPr="00855D13" w:rsidRDefault="009734FB" w:rsidP="00705F36">
            <w:pPr>
              <w:rPr>
                <w:rFonts w:cstheme="minorHAnsi"/>
                <w:szCs w:val="280"/>
              </w:rPr>
            </w:pPr>
            <w:r w:rsidRPr="00855D13">
              <w:rPr>
                <w:rFonts w:cstheme="minorHAnsi"/>
                <w:szCs w:val="280"/>
              </w:rPr>
              <w:t>DOR</w:t>
            </w:r>
          </w:p>
        </w:tc>
        <w:tc>
          <w:tcPr>
            <w:tcW w:w="7167" w:type="dxa"/>
          </w:tcPr>
          <w:p w14:paraId="3F3ACF9A"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280"/>
                <w:lang w:val="en-GB"/>
              </w:rPr>
            </w:pPr>
            <w:r w:rsidRPr="00855D13">
              <w:rPr>
                <w:szCs w:val="280"/>
                <w:lang w:val="en-GB"/>
              </w:rPr>
              <w:t>Duration of response</w:t>
            </w:r>
          </w:p>
        </w:tc>
      </w:tr>
      <w:tr w:rsidR="009734FB" w:rsidRPr="00855D13" w14:paraId="5F768CD5"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F7678E5" w14:textId="77777777" w:rsidR="009734FB" w:rsidRPr="00855D13" w:rsidRDefault="009734FB" w:rsidP="00705F36">
            <w:pPr>
              <w:rPr>
                <w:rFonts w:cstheme="minorHAnsi"/>
                <w:szCs w:val="200"/>
              </w:rPr>
            </w:pPr>
            <w:r w:rsidRPr="00855D13">
              <w:rPr>
                <w:rFonts w:cstheme="minorHAnsi"/>
                <w:szCs w:val="200"/>
              </w:rPr>
              <w:t>EFS</w:t>
            </w:r>
          </w:p>
        </w:tc>
        <w:tc>
          <w:tcPr>
            <w:tcW w:w="7167" w:type="dxa"/>
          </w:tcPr>
          <w:p w14:paraId="0F08CB93"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200"/>
              </w:rPr>
            </w:pPr>
            <w:r w:rsidRPr="00855D13">
              <w:rPr>
                <w:szCs w:val="200"/>
              </w:rPr>
              <w:t>Event free survival</w:t>
            </w:r>
          </w:p>
        </w:tc>
      </w:tr>
      <w:tr w:rsidR="009734FB" w:rsidRPr="00855D13" w14:paraId="0593A84C"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205BDB0" w14:textId="77777777" w:rsidR="009734FB" w:rsidRPr="00855D13" w:rsidRDefault="009734FB" w:rsidP="00705F36">
            <w:pPr>
              <w:rPr>
                <w:rFonts w:cstheme="minorHAnsi"/>
                <w:szCs w:val="200"/>
              </w:rPr>
            </w:pPr>
            <w:r w:rsidRPr="00855D13">
              <w:rPr>
                <w:rFonts w:cstheme="minorHAnsi"/>
                <w:szCs w:val="200"/>
              </w:rPr>
              <w:t>ER</w:t>
            </w:r>
          </w:p>
        </w:tc>
        <w:tc>
          <w:tcPr>
            <w:tcW w:w="7167" w:type="dxa"/>
          </w:tcPr>
          <w:p w14:paraId="114B01E0"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200"/>
              </w:rPr>
            </w:pPr>
            <w:r w:rsidRPr="00855D13">
              <w:rPr>
                <w:szCs w:val="200"/>
              </w:rPr>
              <w:t>Exposure response</w:t>
            </w:r>
          </w:p>
        </w:tc>
      </w:tr>
      <w:tr w:rsidR="009734FB" w:rsidRPr="00855D13" w14:paraId="02D2A64D"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0CAC2EC0" w14:textId="77777777" w:rsidR="009734FB" w:rsidRPr="00855D13" w:rsidRDefault="009734FB" w:rsidP="00705F36">
            <w:pPr>
              <w:rPr>
                <w:rFonts w:cstheme="minorHAnsi"/>
                <w:szCs w:val="160"/>
              </w:rPr>
            </w:pPr>
            <w:r w:rsidRPr="00855D13">
              <w:rPr>
                <w:rFonts w:cstheme="minorHAnsi"/>
                <w:szCs w:val="160"/>
              </w:rPr>
              <w:t>ESMO</w:t>
            </w:r>
          </w:p>
        </w:tc>
        <w:tc>
          <w:tcPr>
            <w:tcW w:w="7167" w:type="dxa"/>
          </w:tcPr>
          <w:p w14:paraId="448A25A3"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160"/>
              </w:rPr>
            </w:pPr>
            <w:r w:rsidRPr="00855D13">
              <w:t>European Society for Medical Oncology</w:t>
            </w:r>
          </w:p>
        </w:tc>
      </w:tr>
      <w:tr w:rsidR="009734FB" w:rsidRPr="00855D13" w14:paraId="51F99AD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6428168" w14:textId="77777777" w:rsidR="009734FB" w:rsidRPr="00855D13" w:rsidRDefault="009734FB" w:rsidP="00705F36">
            <w:pPr>
              <w:rPr>
                <w:rFonts w:cstheme="minorHAnsi"/>
                <w:szCs w:val="160"/>
              </w:rPr>
            </w:pPr>
            <w:r w:rsidRPr="00855D13">
              <w:rPr>
                <w:rFonts w:cstheme="minorHAnsi"/>
                <w:szCs w:val="160"/>
              </w:rPr>
              <w:t>EU</w:t>
            </w:r>
          </w:p>
        </w:tc>
        <w:tc>
          <w:tcPr>
            <w:tcW w:w="7167" w:type="dxa"/>
          </w:tcPr>
          <w:p w14:paraId="206B5DC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160"/>
              </w:rPr>
            </w:pPr>
            <w:r w:rsidRPr="00855D13">
              <w:rPr>
                <w:szCs w:val="160"/>
              </w:rPr>
              <w:t>European Union</w:t>
            </w:r>
          </w:p>
        </w:tc>
      </w:tr>
      <w:tr w:rsidR="009734FB" w:rsidRPr="00855D13" w14:paraId="7186AB41"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FB549F8" w14:textId="77777777" w:rsidR="009734FB" w:rsidRPr="00855D13" w:rsidRDefault="009734FB" w:rsidP="00705F36">
            <w:pPr>
              <w:rPr>
                <w:rFonts w:cstheme="minorHAnsi"/>
              </w:rPr>
            </w:pPr>
            <w:r w:rsidRPr="00855D13">
              <w:rPr>
                <w:rFonts w:cstheme="minorHAnsi"/>
              </w:rPr>
              <w:t>HR</w:t>
            </w:r>
          </w:p>
        </w:tc>
        <w:tc>
          <w:tcPr>
            <w:tcW w:w="7167" w:type="dxa"/>
          </w:tcPr>
          <w:p w14:paraId="18E3AD93"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Hazard ratio</w:t>
            </w:r>
          </w:p>
        </w:tc>
      </w:tr>
      <w:tr w:rsidR="009734FB" w:rsidRPr="00855D13" w14:paraId="24D06600"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664C80F" w14:textId="77777777" w:rsidR="009734FB" w:rsidRPr="00855D13" w:rsidRDefault="009734FB" w:rsidP="00705F36">
            <w:pPr>
              <w:rPr>
                <w:rFonts w:cstheme="minorHAnsi"/>
                <w:szCs w:val="32"/>
              </w:rPr>
            </w:pPr>
            <w:proofErr w:type="spellStart"/>
            <w:r w:rsidRPr="00855D13">
              <w:t>IdelaR</w:t>
            </w:r>
            <w:proofErr w:type="spellEnd"/>
          </w:p>
        </w:tc>
        <w:tc>
          <w:tcPr>
            <w:tcW w:w="7167" w:type="dxa"/>
          </w:tcPr>
          <w:p w14:paraId="735BD391"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32"/>
              </w:rPr>
            </w:pPr>
            <w:proofErr w:type="spellStart"/>
            <w:r w:rsidRPr="00855D13">
              <w:t>Idelalisib</w:t>
            </w:r>
            <w:proofErr w:type="spellEnd"/>
            <w:r w:rsidRPr="00855D13">
              <w:t xml:space="preserve"> plus rituximab</w:t>
            </w:r>
          </w:p>
        </w:tc>
      </w:tr>
      <w:tr w:rsidR="009734FB" w:rsidRPr="00855D13" w14:paraId="251BFBEE"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9E5DF72" w14:textId="77777777" w:rsidR="009734FB" w:rsidRPr="00855D13" w:rsidRDefault="009734FB" w:rsidP="00705F36">
            <w:pPr>
              <w:rPr>
                <w:iCs/>
              </w:rPr>
            </w:pPr>
            <w:r w:rsidRPr="00855D13">
              <w:rPr>
                <w:iCs/>
              </w:rPr>
              <w:lastRenderedPageBreak/>
              <w:t>IRC</w:t>
            </w:r>
          </w:p>
        </w:tc>
        <w:tc>
          <w:tcPr>
            <w:tcW w:w="7167" w:type="dxa"/>
          </w:tcPr>
          <w:p w14:paraId="32BA0343"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iCs/>
              </w:rPr>
            </w:pPr>
            <w:r w:rsidRPr="00855D13">
              <w:rPr>
                <w:iCs/>
              </w:rPr>
              <w:t>Independent review committee</w:t>
            </w:r>
          </w:p>
        </w:tc>
      </w:tr>
      <w:tr w:rsidR="009734FB" w:rsidRPr="00855D13" w14:paraId="3BDA358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D9CA417" w14:textId="77777777" w:rsidR="009734FB" w:rsidRPr="00855D13" w:rsidRDefault="009734FB" w:rsidP="00705F36">
            <w:pPr>
              <w:rPr>
                <w:iCs/>
                <w:szCs w:val="160"/>
              </w:rPr>
            </w:pPr>
            <w:r w:rsidRPr="00855D13">
              <w:rPr>
                <w:iCs/>
                <w:szCs w:val="160"/>
              </w:rPr>
              <w:t>IV</w:t>
            </w:r>
          </w:p>
        </w:tc>
        <w:tc>
          <w:tcPr>
            <w:tcW w:w="7167" w:type="dxa"/>
          </w:tcPr>
          <w:p w14:paraId="3D4FDCE6"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iCs/>
                <w:szCs w:val="160"/>
              </w:rPr>
            </w:pPr>
            <w:r w:rsidRPr="00855D13">
              <w:rPr>
                <w:iCs/>
                <w:szCs w:val="160"/>
              </w:rPr>
              <w:t>Intravenous</w:t>
            </w:r>
          </w:p>
        </w:tc>
      </w:tr>
      <w:tr w:rsidR="009734FB" w:rsidRPr="00855D13" w14:paraId="7D59714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D444AF1" w14:textId="77777777" w:rsidR="009734FB" w:rsidRPr="00855D13" w:rsidRDefault="009734FB" w:rsidP="00705F36">
            <w:pPr>
              <w:rPr>
                <w:iCs/>
                <w:szCs w:val="160"/>
              </w:rPr>
            </w:pPr>
            <w:proofErr w:type="spellStart"/>
            <w:r w:rsidRPr="00855D13">
              <w:t>iwCLL</w:t>
            </w:r>
            <w:proofErr w:type="spellEnd"/>
          </w:p>
        </w:tc>
        <w:tc>
          <w:tcPr>
            <w:tcW w:w="7167" w:type="dxa"/>
          </w:tcPr>
          <w:p w14:paraId="7FFBE3A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iCs/>
                <w:szCs w:val="160"/>
              </w:rPr>
            </w:pPr>
            <w:r w:rsidRPr="00855D13">
              <w:t>International Workshop on Chronic Lymphocytic Leukemia</w:t>
            </w:r>
          </w:p>
        </w:tc>
      </w:tr>
      <w:tr w:rsidR="009734FB" w:rsidRPr="00855D13" w14:paraId="2A4490BB"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B5BBB7C" w14:textId="77777777" w:rsidR="009734FB" w:rsidRPr="00855D13" w:rsidRDefault="009734FB" w:rsidP="00705F36">
            <w:pPr>
              <w:rPr>
                <w:iCs/>
              </w:rPr>
            </w:pPr>
            <w:r w:rsidRPr="00855D13">
              <w:t>KM</w:t>
            </w:r>
          </w:p>
        </w:tc>
        <w:tc>
          <w:tcPr>
            <w:tcW w:w="7167" w:type="dxa"/>
          </w:tcPr>
          <w:p w14:paraId="3934664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Kaplan-Meier</w:t>
            </w:r>
          </w:p>
        </w:tc>
      </w:tr>
      <w:tr w:rsidR="009734FB" w:rsidRPr="00855D13" w14:paraId="4565D38D"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3710EBB" w14:textId="77777777" w:rsidR="009734FB" w:rsidRPr="00855D13" w:rsidRDefault="009734FB" w:rsidP="00705F36">
            <w:pPr>
              <w:rPr>
                <w:iCs/>
              </w:rPr>
            </w:pPr>
            <w:r w:rsidRPr="00855D13">
              <w:rPr>
                <w:iCs/>
              </w:rPr>
              <w:t>LOXO-305</w:t>
            </w:r>
          </w:p>
        </w:tc>
        <w:tc>
          <w:tcPr>
            <w:tcW w:w="7167" w:type="dxa"/>
          </w:tcPr>
          <w:p w14:paraId="434EE9A2"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iCs/>
              </w:rPr>
            </w:pPr>
            <w:r w:rsidRPr="00855D13">
              <w:t>Pirtobrutinib</w:t>
            </w:r>
          </w:p>
        </w:tc>
      </w:tr>
      <w:tr w:rsidR="009734FB" w:rsidRPr="00855D13" w14:paraId="52A555B8"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E71B10B" w14:textId="77777777" w:rsidR="009734FB" w:rsidRPr="00855D13" w:rsidRDefault="009734FB" w:rsidP="00705F36">
            <w:pPr>
              <w:rPr>
                <w:szCs w:val="24"/>
              </w:rPr>
            </w:pPr>
            <w:r w:rsidRPr="00855D13">
              <w:rPr>
                <w:rFonts w:cstheme="minorHAnsi"/>
              </w:rPr>
              <w:t>NE</w:t>
            </w:r>
          </w:p>
        </w:tc>
        <w:tc>
          <w:tcPr>
            <w:tcW w:w="7167" w:type="dxa"/>
          </w:tcPr>
          <w:p w14:paraId="1AA1F79F"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24"/>
              </w:rPr>
            </w:pPr>
            <w:r w:rsidRPr="00855D13">
              <w:t>Not estimable</w:t>
            </w:r>
          </w:p>
        </w:tc>
      </w:tr>
      <w:tr w:rsidR="009734FB" w:rsidRPr="00855D13" w14:paraId="5CEFA38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BD64E35" w14:textId="77777777" w:rsidR="009734FB" w:rsidRPr="00855D13" w:rsidRDefault="009734FB" w:rsidP="00705F36">
            <w:pPr>
              <w:rPr>
                <w:rFonts w:cstheme="minorHAnsi"/>
              </w:rPr>
            </w:pPr>
            <w:r w:rsidRPr="00855D13">
              <w:rPr>
                <w:rFonts w:cstheme="minorHAnsi"/>
              </w:rPr>
              <w:t>NHL</w:t>
            </w:r>
          </w:p>
        </w:tc>
        <w:tc>
          <w:tcPr>
            <w:tcW w:w="7167" w:type="dxa"/>
          </w:tcPr>
          <w:p w14:paraId="5783235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Non-Hodgkin lymphoma</w:t>
            </w:r>
          </w:p>
        </w:tc>
      </w:tr>
      <w:tr w:rsidR="009734FB" w:rsidRPr="00855D13" w14:paraId="0A8C3884"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060A96F" w14:textId="77777777" w:rsidR="009734FB" w:rsidRPr="00855D13" w:rsidRDefault="009734FB" w:rsidP="00705F36">
            <w:pPr>
              <w:rPr>
                <w:rFonts w:cstheme="minorHAnsi"/>
                <w:szCs w:val="40"/>
              </w:rPr>
            </w:pPr>
            <w:r w:rsidRPr="00855D13">
              <w:rPr>
                <w:rFonts w:cstheme="minorHAnsi"/>
                <w:szCs w:val="40"/>
              </w:rPr>
              <w:t>ORR</w:t>
            </w:r>
          </w:p>
        </w:tc>
        <w:tc>
          <w:tcPr>
            <w:tcW w:w="7167" w:type="dxa"/>
          </w:tcPr>
          <w:p w14:paraId="4751072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40"/>
              </w:rPr>
            </w:pPr>
            <w:r w:rsidRPr="00855D13">
              <w:rPr>
                <w:rFonts w:cstheme="minorHAnsi"/>
                <w:szCs w:val="40"/>
              </w:rPr>
              <w:t>Overall response rate</w:t>
            </w:r>
          </w:p>
        </w:tc>
      </w:tr>
      <w:tr w:rsidR="009734FB" w:rsidRPr="00855D13" w14:paraId="35573079"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060CF29" w14:textId="77777777" w:rsidR="009734FB" w:rsidRPr="00855D13" w:rsidRDefault="009734FB" w:rsidP="00705F36">
            <w:pPr>
              <w:rPr>
                <w:rFonts w:cstheme="minorHAnsi"/>
                <w:szCs w:val="32"/>
              </w:rPr>
            </w:pPr>
            <w:r w:rsidRPr="00855D13">
              <w:rPr>
                <w:rFonts w:cstheme="minorHAnsi"/>
                <w:szCs w:val="32"/>
              </w:rPr>
              <w:t>OS</w:t>
            </w:r>
          </w:p>
        </w:tc>
        <w:tc>
          <w:tcPr>
            <w:tcW w:w="7167" w:type="dxa"/>
          </w:tcPr>
          <w:p w14:paraId="5CF81C01"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32"/>
              </w:rPr>
            </w:pPr>
            <w:r w:rsidRPr="00855D13">
              <w:rPr>
                <w:rFonts w:cstheme="minorHAnsi"/>
                <w:szCs w:val="32"/>
              </w:rPr>
              <w:t>Overall survival</w:t>
            </w:r>
          </w:p>
        </w:tc>
      </w:tr>
      <w:tr w:rsidR="009734FB" w:rsidRPr="00855D13" w14:paraId="16439454"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CEB7130" w14:textId="77777777" w:rsidR="009734FB" w:rsidRPr="00855D13" w:rsidRDefault="009734FB" w:rsidP="00705F36">
            <w:pPr>
              <w:rPr>
                <w:rFonts w:cstheme="minorHAnsi"/>
              </w:rPr>
            </w:pPr>
            <w:r w:rsidRPr="00855D13">
              <w:rPr>
                <w:rFonts w:cstheme="minorHAnsi"/>
              </w:rPr>
              <w:t>PD</w:t>
            </w:r>
          </w:p>
        </w:tc>
        <w:tc>
          <w:tcPr>
            <w:tcW w:w="7167" w:type="dxa"/>
          </w:tcPr>
          <w:p w14:paraId="1F62397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Progressive disease</w:t>
            </w:r>
          </w:p>
        </w:tc>
      </w:tr>
      <w:tr w:rsidR="009734FB" w:rsidRPr="00855D13" w14:paraId="0A7C0289"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99E04ED" w14:textId="77777777" w:rsidR="009734FB" w:rsidRPr="00855D13" w:rsidRDefault="009734FB" w:rsidP="00705F36">
            <w:pPr>
              <w:rPr>
                <w:rFonts w:cstheme="minorHAnsi"/>
                <w:szCs w:val="32"/>
              </w:rPr>
            </w:pPr>
            <w:r w:rsidRPr="00855D13">
              <w:rPr>
                <w:rFonts w:cstheme="minorHAnsi"/>
                <w:szCs w:val="32"/>
              </w:rPr>
              <w:t>PFS</w:t>
            </w:r>
          </w:p>
        </w:tc>
        <w:tc>
          <w:tcPr>
            <w:tcW w:w="7167" w:type="dxa"/>
          </w:tcPr>
          <w:p w14:paraId="7E2FCA9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32"/>
              </w:rPr>
            </w:pPr>
            <w:r w:rsidRPr="00855D13">
              <w:rPr>
                <w:szCs w:val="32"/>
              </w:rPr>
              <w:t>Progression free survival</w:t>
            </w:r>
          </w:p>
        </w:tc>
      </w:tr>
      <w:tr w:rsidR="009734FB" w:rsidRPr="00855D13" w14:paraId="0F43D17A"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27A0907" w14:textId="77777777" w:rsidR="009734FB" w:rsidRPr="00855D13" w:rsidRDefault="009734FB" w:rsidP="00705F36">
            <w:pPr>
              <w:rPr>
                <w:rFonts w:cstheme="minorHAnsi"/>
                <w:color w:val="auto"/>
              </w:rPr>
            </w:pPr>
            <w:r w:rsidRPr="00855D13">
              <w:rPr>
                <w:rFonts w:cstheme="minorHAnsi"/>
                <w:color w:val="auto"/>
              </w:rPr>
              <w:t>PI</w:t>
            </w:r>
          </w:p>
        </w:tc>
        <w:tc>
          <w:tcPr>
            <w:tcW w:w="7167" w:type="dxa"/>
          </w:tcPr>
          <w:p w14:paraId="2EB9216B"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55D13">
              <w:rPr>
                <w:rFonts w:cstheme="minorHAnsi"/>
                <w:color w:val="auto"/>
              </w:rPr>
              <w:t>Product Information</w:t>
            </w:r>
          </w:p>
        </w:tc>
      </w:tr>
      <w:tr w:rsidR="009734FB" w:rsidRPr="00855D13" w14:paraId="21A543A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7C7F35D" w14:textId="77777777" w:rsidR="009734FB" w:rsidRPr="00855D13" w:rsidRDefault="009734FB" w:rsidP="00705F36">
            <w:pPr>
              <w:rPr>
                <w:rFonts w:cstheme="minorHAnsi"/>
                <w:szCs w:val="24"/>
              </w:rPr>
            </w:pPr>
            <w:r w:rsidRPr="00855D13">
              <w:rPr>
                <w:rFonts w:cstheme="minorHAnsi"/>
                <w:szCs w:val="24"/>
              </w:rPr>
              <w:t>PK</w:t>
            </w:r>
          </w:p>
        </w:tc>
        <w:tc>
          <w:tcPr>
            <w:tcW w:w="7167" w:type="dxa"/>
          </w:tcPr>
          <w:p w14:paraId="0CCFF98D"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24"/>
              </w:rPr>
            </w:pPr>
            <w:r w:rsidRPr="00855D13">
              <w:rPr>
                <w:rFonts w:cstheme="minorHAnsi"/>
                <w:szCs w:val="24"/>
              </w:rPr>
              <w:t>Pharmacokinetic(s)</w:t>
            </w:r>
          </w:p>
        </w:tc>
      </w:tr>
      <w:tr w:rsidR="009734FB" w:rsidRPr="00855D13" w14:paraId="375F23AC"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C20542C" w14:textId="77777777" w:rsidR="009734FB" w:rsidRPr="00855D13" w:rsidRDefault="009734FB" w:rsidP="00705F36">
            <w:pPr>
              <w:rPr>
                <w:rFonts w:cstheme="minorHAnsi"/>
                <w:szCs w:val="48"/>
              </w:rPr>
            </w:pPr>
            <w:proofErr w:type="spellStart"/>
            <w:r w:rsidRPr="00855D13">
              <w:rPr>
                <w:rFonts w:cstheme="minorHAnsi"/>
                <w:szCs w:val="48"/>
              </w:rPr>
              <w:t>PopPK</w:t>
            </w:r>
            <w:proofErr w:type="spellEnd"/>
          </w:p>
        </w:tc>
        <w:tc>
          <w:tcPr>
            <w:tcW w:w="7167" w:type="dxa"/>
          </w:tcPr>
          <w:p w14:paraId="5F4A1046"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szCs w:val="48"/>
              </w:rPr>
            </w:pPr>
            <w:r w:rsidRPr="00855D13">
              <w:rPr>
                <w:rFonts w:cstheme="minorHAnsi"/>
                <w:szCs w:val="48"/>
              </w:rPr>
              <w:t>Population pharmacokinetic(s)</w:t>
            </w:r>
          </w:p>
        </w:tc>
      </w:tr>
      <w:tr w:rsidR="009734FB" w:rsidRPr="00855D13" w14:paraId="3D46DE3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7E859F2" w14:textId="77777777" w:rsidR="009734FB" w:rsidRPr="00855D13" w:rsidRDefault="009734FB" w:rsidP="00705F36">
            <w:pPr>
              <w:rPr>
                <w:rFonts w:cstheme="minorHAnsi"/>
                <w:szCs w:val="40"/>
              </w:rPr>
            </w:pPr>
            <w:r w:rsidRPr="00855D13">
              <w:rPr>
                <w:rFonts w:cstheme="minorHAnsi"/>
                <w:szCs w:val="40"/>
              </w:rPr>
              <w:t>PR</w:t>
            </w:r>
          </w:p>
        </w:tc>
        <w:tc>
          <w:tcPr>
            <w:tcW w:w="7167" w:type="dxa"/>
          </w:tcPr>
          <w:p w14:paraId="07CF784D"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0"/>
              </w:rPr>
            </w:pPr>
            <w:r w:rsidRPr="00855D13">
              <w:rPr>
                <w:szCs w:val="40"/>
              </w:rPr>
              <w:t>Partial response</w:t>
            </w:r>
          </w:p>
        </w:tc>
      </w:tr>
      <w:tr w:rsidR="009734FB" w:rsidRPr="00855D13" w14:paraId="32FAE692"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62C7BF51" w14:textId="77777777" w:rsidR="009734FB" w:rsidRPr="00855D13" w:rsidRDefault="009734FB" w:rsidP="00705F36">
            <w:pPr>
              <w:rPr>
                <w:rFonts w:cstheme="minorHAnsi"/>
                <w:szCs w:val="40"/>
              </w:rPr>
            </w:pPr>
            <w:r w:rsidRPr="00855D13">
              <w:rPr>
                <w:rFonts w:cstheme="minorHAnsi"/>
                <w:szCs w:val="40"/>
              </w:rPr>
              <w:t>PR-L</w:t>
            </w:r>
          </w:p>
        </w:tc>
        <w:tc>
          <w:tcPr>
            <w:tcW w:w="7167" w:type="dxa"/>
          </w:tcPr>
          <w:p w14:paraId="24037060"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0"/>
              </w:rPr>
            </w:pPr>
            <w:r w:rsidRPr="00855D13">
              <w:t>Partial response with lymphocytosis</w:t>
            </w:r>
          </w:p>
        </w:tc>
      </w:tr>
      <w:tr w:rsidR="009734FB" w:rsidRPr="00855D13" w14:paraId="7E66228B"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E6C44C1" w14:textId="77777777" w:rsidR="009734FB" w:rsidRPr="00855D13" w:rsidRDefault="009734FB" w:rsidP="00705F36">
            <w:pPr>
              <w:rPr>
                <w:rFonts w:cstheme="minorHAnsi"/>
                <w:color w:val="auto"/>
              </w:rPr>
            </w:pPr>
            <w:r w:rsidRPr="00855D13">
              <w:rPr>
                <w:rFonts w:cstheme="minorHAnsi"/>
                <w:color w:val="auto"/>
              </w:rPr>
              <w:t>RMP</w:t>
            </w:r>
          </w:p>
        </w:tc>
        <w:tc>
          <w:tcPr>
            <w:tcW w:w="7167" w:type="dxa"/>
          </w:tcPr>
          <w:p w14:paraId="7A96988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55D13">
              <w:rPr>
                <w:rFonts w:cstheme="minorHAnsi"/>
                <w:color w:val="auto"/>
              </w:rPr>
              <w:t>Risk management plan</w:t>
            </w:r>
          </w:p>
        </w:tc>
      </w:tr>
      <w:tr w:rsidR="009734FB" w:rsidRPr="00855D13" w14:paraId="45A5FD1A"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F4834FE" w14:textId="77777777" w:rsidR="009734FB" w:rsidRPr="00855D13" w:rsidRDefault="009734FB" w:rsidP="00705F36">
            <w:r w:rsidRPr="00855D13">
              <w:t>SAE(s)</w:t>
            </w:r>
          </w:p>
        </w:tc>
        <w:tc>
          <w:tcPr>
            <w:tcW w:w="7167" w:type="dxa"/>
          </w:tcPr>
          <w:p w14:paraId="0025CFEA"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Serious adverse event(s)</w:t>
            </w:r>
          </w:p>
        </w:tc>
      </w:tr>
      <w:tr w:rsidR="009734FB" w:rsidRPr="00855D13" w14:paraId="207B5767"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0BEBB806" w14:textId="77777777" w:rsidR="009734FB" w:rsidRPr="00855D13" w:rsidRDefault="009734FB" w:rsidP="00705F36">
            <w:r w:rsidRPr="00855D13">
              <w:t>SD</w:t>
            </w:r>
          </w:p>
        </w:tc>
        <w:tc>
          <w:tcPr>
            <w:tcW w:w="7167" w:type="dxa"/>
          </w:tcPr>
          <w:p w14:paraId="6CFF7D6B"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Standard deviation</w:t>
            </w:r>
          </w:p>
        </w:tc>
      </w:tr>
      <w:tr w:rsidR="009734FB" w:rsidRPr="00855D13" w14:paraId="2B852FAE"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36D4C2B1" w14:textId="77777777" w:rsidR="009734FB" w:rsidRPr="00855D13" w:rsidRDefault="009734FB" w:rsidP="00705F36">
            <w:r w:rsidRPr="00855D13">
              <w:t>SLL</w:t>
            </w:r>
          </w:p>
        </w:tc>
        <w:tc>
          <w:tcPr>
            <w:tcW w:w="7167" w:type="dxa"/>
          </w:tcPr>
          <w:p w14:paraId="1B3DC397"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pPr>
            <w:r w:rsidRPr="00855D13">
              <w:t>Small lymphocytic lymphoma</w:t>
            </w:r>
          </w:p>
        </w:tc>
      </w:tr>
      <w:tr w:rsidR="009734FB" w:rsidRPr="00855D13" w14:paraId="2BFAA806"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2F82E60D" w14:textId="77777777" w:rsidR="009734FB" w:rsidRPr="00855D13" w:rsidRDefault="009734FB" w:rsidP="00705F36">
            <w:pPr>
              <w:rPr>
                <w:rFonts w:cstheme="minorHAnsi"/>
              </w:rPr>
            </w:pPr>
            <w:r w:rsidRPr="00855D13">
              <w:rPr>
                <w:rFonts w:cstheme="minorHAnsi"/>
              </w:rPr>
              <w:t>TEAE(s)</w:t>
            </w:r>
          </w:p>
        </w:tc>
        <w:tc>
          <w:tcPr>
            <w:tcW w:w="7167" w:type="dxa"/>
          </w:tcPr>
          <w:p w14:paraId="4BC0514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rPr>
            </w:pPr>
            <w:r w:rsidRPr="00855D13">
              <w:rPr>
                <w:lang w:eastAsia="ja-JP"/>
              </w:rPr>
              <w:t>Treatment emergent adverse event(s)</w:t>
            </w:r>
          </w:p>
        </w:tc>
      </w:tr>
      <w:tr w:rsidR="009734FB" w:rsidRPr="00855D13" w14:paraId="40E5DC81"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A0CAD7E" w14:textId="77777777" w:rsidR="009734FB" w:rsidRPr="00855D13" w:rsidRDefault="009734FB" w:rsidP="00705F36">
            <w:pPr>
              <w:rPr>
                <w:rFonts w:cstheme="minorHAnsi"/>
                <w:color w:val="auto"/>
              </w:rPr>
            </w:pPr>
            <w:r w:rsidRPr="00855D13">
              <w:rPr>
                <w:rFonts w:cstheme="minorHAnsi"/>
                <w:color w:val="auto"/>
              </w:rPr>
              <w:t>TGA</w:t>
            </w:r>
          </w:p>
        </w:tc>
        <w:tc>
          <w:tcPr>
            <w:tcW w:w="7167" w:type="dxa"/>
          </w:tcPr>
          <w:p w14:paraId="6368A745"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55D13">
              <w:rPr>
                <w:rFonts w:cstheme="minorHAnsi"/>
                <w:color w:val="auto"/>
              </w:rPr>
              <w:t>Therapeutic Goods Administration</w:t>
            </w:r>
          </w:p>
        </w:tc>
      </w:tr>
      <w:tr w:rsidR="009734FB" w:rsidRPr="00855D13" w14:paraId="691248C0"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4D4923EB" w14:textId="77777777" w:rsidR="009734FB" w:rsidRPr="00855D13" w:rsidRDefault="009734FB" w:rsidP="00705F36">
            <w:pPr>
              <w:rPr>
                <w:rFonts w:cstheme="minorHAnsi"/>
                <w:szCs w:val="48"/>
              </w:rPr>
            </w:pPr>
            <w:proofErr w:type="spellStart"/>
            <w:r w:rsidRPr="00855D13">
              <w:rPr>
                <w:rFonts w:cstheme="minorHAnsi"/>
                <w:szCs w:val="48"/>
              </w:rPr>
              <w:t>T</w:t>
            </w:r>
            <w:r w:rsidRPr="00855D13">
              <w:rPr>
                <w:rFonts w:cstheme="minorHAnsi"/>
                <w:szCs w:val="48"/>
                <w:vertAlign w:val="subscript"/>
              </w:rPr>
              <w:t>max</w:t>
            </w:r>
            <w:proofErr w:type="spellEnd"/>
          </w:p>
        </w:tc>
        <w:tc>
          <w:tcPr>
            <w:tcW w:w="7167" w:type="dxa"/>
          </w:tcPr>
          <w:p w14:paraId="09F3CD2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rPr>
                <w:szCs w:val="48"/>
              </w:rPr>
              <w:t>Time to maximum concentration</w:t>
            </w:r>
          </w:p>
        </w:tc>
      </w:tr>
      <w:tr w:rsidR="009734FB" w:rsidRPr="00855D13" w14:paraId="3D20034A"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7D7DEA0D" w14:textId="77777777" w:rsidR="009734FB" w:rsidRPr="00855D13" w:rsidRDefault="009734FB" w:rsidP="00705F36">
            <w:pPr>
              <w:rPr>
                <w:rFonts w:cstheme="minorHAnsi"/>
                <w:szCs w:val="48"/>
              </w:rPr>
            </w:pPr>
            <w:r w:rsidRPr="00855D13">
              <w:rPr>
                <w:rFonts w:cstheme="minorHAnsi"/>
                <w:szCs w:val="48"/>
              </w:rPr>
              <w:t>TTNT</w:t>
            </w:r>
          </w:p>
        </w:tc>
        <w:tc>
          <w:tcPr>
            <w:tcW w:w="7167" w:type="dxa"/>
          </w:tcPr>
          <w:p w14:paraId="62890209"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t>Time to next treatment</w:t>
            </w:r>
          </w:p>
        </w:tc>
      </w:tr>
      <w:tr w:rsidR="009734FB" w:rsidRPr="00855D13" w14:paraId="075B792B"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102AF691" w14:textId="77777777" w:rsidR="009734FB" w:rsidRPr="00855D13" w:rsidRDefault="009734FB" w:rsidP="00705F36">
            <w:pPr>
              <w:rPr>
                <w:rFonts w:cstheme="minorHAnsi"/>
                <w:szCs w:val="48"/>
              </w:rPr>
            </w:pPr>
            <w:r w:rsidRPr="00855D13">
              <w:rPr>
                <w:rFonts w:cstheme="minorHAnsi"/>
                <w:szCs w:val="48"/>
              </w:rPr>
              <w:t>UGT1A8</w:t>
            </w:r>
          </w:p>
        </w:tc>
        <w:tc>
          <w:tcPr>
            <w:tcW w:w="7167" w:type="dxa"/>
          </w:tcPr>
          <w:p w14:paraId="5B41D37E"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rPr>
                <w:szCs w:val="48"/>
              </w:rPr>
              <w:t xml:space="preserve">UDP-glucuronosyltransferase family 1 member </w:t>
            </w:r>
            <w:proofErr w:type="spellStart"/>
            <w:r w:rsidRPr="00855D13">
              <w:rPr>
                <w:szCs w:val="48"/>
              </w:rPr>
              <w:t>A8</w:t>
            </w:r>
            <w:proofErr w:type="spellEnd"/>
          </w:p>
        </w:tc>
      </w:tr>
      <w:tr w:rsidR="009734FB" w:rsidRPr="00503217" w14:paraId="64221DB3" w14:textId="77777777" w:rsidTr="00705F36">
        <w:trPr>
          <w:trHeight w:val="386"/>
        </w:trPr>
        <w:tc>
          <w:tcPr>
            <w:cnfStyle w:val="001000000000" w:firstRow="0" w:lastRow="0" w:firstColumn="1" w:lastColumn="0" w:oddVBand="0" w:evenVBand="0" w:oddHBand="0" w:evenHBand="0" w:firstRowFirstColumn="0" w:firstRowLastColumn="0" w:lastRowFirstColumn="0" w:lastRowLastColumn="0"/>
            <w:tcW w:w="2263" w:type="dxa"/>
          </w:tcPr>
          <w:p w14:paraId="5B442BC7" w14:textId="77777777" w:rsidR="009734FB" w:rsidRPr="00855D13" w:rsidRDefault="009734FB" w:rsidP="00705F36">
            <w:pPr>
              <w:rPr>
                <w:rFonts w:cstheme="minorHAnsi"/>
                <w:szCs w:val="48"/>
              </w:rPr>
            </w:pPr>
            <w:r w:rsidRPr="00855D13">
              <w:rPr>
                <w:rFonts w:cstheme="minorHAnsi"/>
                <w:szCs w:val="48"/>
              </w:rPr>
              <w:t>UGT1A9</w:t>
            </w:r>
          </w:p>
        </w:tc>
        <w:tc>
          <w:tcPr>
            <w:tcW w:w="7167" w:type="dxa"/>
          </w:tcPr>
          <w:p w14:paraId="6150643B" w14:textId="77777777" w:rsidR="009734FB" w:rsidRPr="00855D13" w:rsidRDefault="009734FB" w:rsidP="00705F36">
            <w:pPr>
              <w:cnfStyle w:val="000000000000" w:firstRow="0" w:lastRow="0" w:firstColumn="0" w:lastColumn="0" w:oddVBand="0" w:evenVBand="0" w:oddHBand="0" w:evenHBand="0" w:firstRowFirstColumn="0" w:firstRowLastColumn="0" w:lastRowFirstColumn="0" w:lastRowLastColumn="0"/>
              <w:rPr>
                <w:szCs w:val="48"/>
              </w:rPr>
            </w:pPr>
            <w:r w:rsidRPr="00855D13">
              <w:t xml:space="preserve">UDP-glucuronosyltransferase family 1 member </w:t>
            </w:r>
            <w:proofErr w:type="spellStart"/>
            <w:r w:rsidRPr="00855D13">
              <w:t>A9</w:t>
            </w:r>
            <w:proofErr w:type="spellEnd"/>
          </w:p>
        </w:tc>
      </w:tr>
    </w:tbl>
    <w:p w14:paraId="44C2A39C" w14:textId="2E948F25" w:rsidR="00324B33" w:rsidRPr="00272ECE" w:rsidRDefault="00324B33" w:rsidP="007B0ED7">
      <w:pPr>
        <w:pStyle w:val="Heading2"/>
        <w:pageBreakBefore/>
      </w:pPr>
      <w:bookmarkStart w:id="6" w:name="_Toc103679288"/>
      <w:bookmarkStart w:id="7" w:name="_Toc243316688"/>
      <w:bookmarkEnd w:id="5"/>
      <w:r w:rsidRPr="00272ECE">
        <w:lastRenderedPageBreak/>
        <w:t>Product submission</w:t>
      </w:r>
      <w:bookmarkEnd w:id="6"/>
      <w:bookmarkEnd w:id="7"/>
    </w:p>
    <w:p w14:paraId="21D559DF" w14:textId="028CC7C2" w:rsidR="00324B33" w:rsidRPr="00272ECE" w:rsidRDefault="00324B33" w:rsidP="00324B33">
      <w:pPr>
        <w:pStyle w:val="Heading3"/>
        <w:rPr>
          <w:lang w:eastAsia="en-AU"/>
        </w:rPr>
      </w:pPr>
      <w:bookmarkStart w:id="8" w:name="_Toc247691502"/>
      <w:bookmarkStart w:id="9" w:name="_Toc314842483"/>
      <w:bookmarkStart w:id="10" w:name="_Toc103679289"/>
      <w:bookmarkStart w:id="11" w:name="_Toc243316689"/>
      <w:r w:rsidRPr="00272ECE">
        <w:rPr>
          <w:lang w:eastAsia="en-AU"/>
        </w:rPr>
        <w:t>Submission details</w:t>
      </w:r>
      <w:bookmarkEnd w:id="8"/>
      <w:bookmarkEnd w:id="9"/>
      <w:bookmarkEnd w:id="10"/>
      <w:bookmarkEnd w:id="11"/>
    </w:p>
    <w:tbl>
      <w:tblPr>
        <w:tblW w:w="5000" w:type="pct"/>
        <w:tblLook w:val="01E0" w:firstRow="1" w:lastRow="1" w:firstColumn="1" w:lastColumn="1" w:noHBand="0" w:noVBand="0"/>
      </w:tblPr>
      <w:tblGrid>
        <w:gridCol w:w="2861"/>
        <w:gridCol w:w="6209"/>
      </w:tblGrid>
      <w:tr w:rsidR="00324B33" w:rsidRPr="00272ECE" w14:paraId="77D11C95" w14:textId="77777777" w:rsidTr="00F865A7">
        <w:tc>
          <w:tcPr>
            <w:tcW w:w="1577" w:type="pct"/>
          </w:tcPr>
          <w:p w14:paraId="10E57D62" w14:textId="24A3C018" w:rsidR="00324B33" w:rsidRPr="00272ECE" w:rsidRDefault="00324B33" w:rsidP="007452E8">
            <w:pPr>
              <w:rPr>
                <w:i/>
                <w:szCs w:val="22"/>
              </w:rPr>
            </w:pPr>
            <w:r w:rsidRPr="00272ECE">
              <w:rPr>
                <w:i/>
                <w:szCs w:val="22"/>
              </w:rPr>
              <w:t>Type of submission:</w:t>
            </w:r>
          </w:p>
        </w:tc>
        <w:tc>
          <w:tcPr>
            <w:tcW w:w="3423" w:type="pct"/>
          </w:tcPr>
          <w:p w14:paraId="4F07C303" w14:textId="374EDCA1" w:rsidR="00324B33" w:rsidRPr="00272ECE" w:rsidRDefault="00324B33" w:rsidP="007452E8">
            <w:pPr>
              <w:rPr>
                <w:szCs w:val="22"/>
              </w:rPr>
            </w:pPr>
            <w:r w:rsidRPr="00272ECE">
              <w:rPr>
                <w:szCs w:val="22"/>
              </w:rPr>
              <w:t>New chemical entity</w:t>
            </w:r>
          </w:p>
        </w:tc>
      </w:tr>
      <w:tr w:rsidR="00324B33" w:rsidRPr="00272ECE" w14:paraId="13482B61" w14:textId="77777777" w:rsidTr="00F865A7">
        <w:tc>
          <w:tcPr>
            <w:tcW w:w="1577" w:type="pct"/>
          </w:tcPr>
          <w:p w14:paraId="2C427FCF" w14:textId="4717E3C3" w:rsidR="00324B33" w:rsidRPr="00272ECE" w:rsidRDefault="00324B33" w:rsidP="007452E8">
            <w:pPr>
              <w:rPr>
                <w:i/>
                <w:szCs w:val="22"/>
              </w:rPr>
            </w:pPr>
            <w:r w:rsidRPr="00272ECE">
              <w:rPr>
                <w:i/>
                <w:szCs w:val="22"/>
              </w:rPr>
              <w:t>Product name:</w:t>
            </w:r>
          </w:p>
        </w:tc>
        <w:tc>
          <w:tcPr>
            <w:tcW w:w="3423" w:type="pct"/>
          </w:tcPr>
          <w:p w14:paraId="0E2DEF76" w14:textId="38B442BC" w:rsidR="00324B33" w:rsidRPr="00272ECE" w:rsidRDefault="001C2688" w:rsidP="007452E8">
            <w:pPr>
              <w:rPr>
                <w:szCs w:val="22"/>
              </w:rPr>
            </w:pPr>
            <w:r w:rsidRPr="00272ECE">
              <w:rPr>
                <w:szCs w:val="22"/>
              </w:rPr>
              <w:t>Jaypirca</w:t>
            </w:r>
          </w:p>
        </w:tc>
      </w:tr>
      <w:tr w:rsidR="00324B33" w:rsidRPr="00272ECE" w14:paraId="01255B5B" w14:textId="77777777" w:rsidTr="00F865A7">
        <w:tc>
          <w:tcPr>
            <w:tcW w:w="1577" w:type="pct"/>
          </w:tcPr>
          <w:p w14:paraId="52B4F3D7" w14:textId="44FCB194" w:rsidR="00324B33" w:rsidRPr="00272ECE" w:rsidRDefault="00324B33" w:rsidP="007452E8">
            <w:pPr>
              <w:rPr>
                <w:i/>
                <w:szCs w:val="22"/>
              </w:rPr>
            </w:pPr>
            <w:r w:rsidRPr="00272ECE">
              <w:rPr>
                <w:i/>
                <w:szCs w:val="22"/>
              </w:rPr>
              <w:t>Active ingredient:</w:t>
            </w:r>
          </w:p>
        </w:tc>
        <w:tc>
          <w:tcPr>
            <w:tcW w:w="3423" w:type="pct"/>
          </w:tcPr>
          <w:p w14:paraId="02FB6383" w14:textId="43FCCBDB" w:rsidR="00324B33" w:rsidRPr="00272ECE" w:rsidRDefault="00385126" w:rsidP="007452E8">
            <w:pPr>
              <w:rPr>
                <w:szCs w:val="22"/>
              </w:rPr>
            </w:pPr>
            <w:r w:rsidRPr="00272ECE">
              <w:rPr>
                <w:szCs w:val="22"/>
              </w:rPr>
              <w:t>Pirtobrutinib</w:t>
            </w:r>
          </w:p>
        </w:tc>
      </w:tr>
      <w:tr w:rsidR="00324B33" w:rsidRPr="00272ECE" w14:paraId="219A281B" w14:textId="77777777" w:rsidTr="00F865A7">
        <w:tc>
          <w:tcPr>
            <w:tcW w:w="1577" w:type="pct"/>
          </w:tcPr>
          <w:p w14:paraId="112E5F78" w14:textId="77777777" w:rsidR="00324B33" w:rsidRPr="00272ECE" w:rsidRDefault="00324B33" w:rsidP="007452E8">
            <w:pPr>
              <w:rPr>
                <w:i/>
                <w:szCs w:val="22"/>
              </w:rPr>
            </w:pPr>
            <w:r w:rsidRPr="00272ECE">
              <w:rPr>
                <w:i/>
                <w:szCs w:val="22"/>
              </w:rPr>
              <w:t>Decision:</w:t>
            </w:r>
          </w:p>
        </w:tc>
        <w:tc>
          <w:tcPr>
            <w:tcW w:w="3423" w:type="pct"/>
          </w:tcPr>
          <w:p w14:paraId="3B114BEA" w14:textId="28558116" w:rsidR="00324B33" w:rsidRPr="00272ECE" w:rsidRDefault="00324B33" w:rsidP="007452E8">
            <w:pPr>
              <w:rPr>
                <w:szCs w:val="22"/>
              </w:rPr>
            </w:pPr>
            <w:r w:rsidRPr="00272ECE">
              <w:rPr>
                <w:szCs w:val="22"/>
              </w:rPr>
              <w:t>Approved</w:t>
            </w:r>
          </w:p>
        </w:tc>
      </w:tr>
      <w:tr w:rsidR="00AE1947" w:rsidRPr="00272ECE" w14:paraId="32B72632" w14:textId="77777777" w:rsidTr="00F865A7">
        <w:tc>
          <w:tcPr>
            <w:tcW w:w="1577" w:type="pct"/>
          </w:tcPr>
          <w:p w14:paraId="332A5CD5" w14:textId="65682B5F" w:rsidR="00AE1947" w:rsidRPr="00272ECE" w:rsidRDefault="00AE1947" w:rsidP="007F1E37">
            <w:r w:rsidRPr="00272ECE">
              <w:rPr>
                <w:i/>
                <w:szCs w:val="22"/>
              </w:rPr>
              <w:t>Date of decision:</w:t>
            </w:r>
          </w:p>
        </w:tc>
        <w:tc>
          <w:tcPr>
            <w:tcW w:w="3423" w:type="pct"/>
          </w:tcPr>
          <w:p w14:paraId="7B381CD6" w14:textId="3472FAB3" w:rsidR="00AE1947" w:rsidRPr="00272ECE" w:rsidRDefault="00F67DE5">
            <w:pPr>
              <w:rPr>
                <w:szCs w:val="22"/>
              </w:rPr>
            </w:pPr>
            <w:r w:rsidRPr="00272ECE">
              <w:rPr>
                <w:szCs w:val="22"/>
              </w:rPr>
              <w:t>4 March 2026</w:t>
            </w:r>
          </w:p>
        </w:tc>
      </w:tr>
      <w:tr w:rsidR="00324B33" w:rsidRPr="00272ECE" w14:paraId="60A25F5A" w14:textId="77777777" w:rsidTr="00F865A7">
        <w:tc>
          <w:tcPr>
            <w:tcW w:w="1577" w:type="pct"/>
          </w:tcPr>
          <w:p w14:paraId="5C5E4CBA" w14:textId="77777777" w:rsidR="00324B33" w:rsidRPr="00272ECE" w:rsidRDefault="00324B33" w:rsidP="007452E8">
            <w:pPr>
              <w:rPr>
                <w:i/>
                <w:szCs w:val="22"/>
              </w:rPr>
            </w:pPr>
            <w:r w:rsidRPr="00272ECE">
              <w:rPr>
                <w:i/>
                <w:szCs w:val="22"/>
              </w:rPr>
              <w:t>Date of entry onto ARTG:</w:t>
            </w:r>
          </w:p>
        </w:tc>
        <w:tc>
          <w:tcPr>
            <w:tcW w:w="3423" w:type="pct"/>
          </w:tcPr>
          <w:p w14:paraId="28B270E9" w14:textId="5C384ABD" w:rsidR="00324B33" w:rsidRPr="00272ECE" w:rsidRDefault="003444BD" w:rsidP="007452E8">
            <w:pPr>
              <w:rPr>
                <w:szCs w:val="22"/>
              </w:rPr>
            </w:pPr>
            <w:r w:rsidRPr="00272ECE">
              <w:rPr>
                <w:szCs w:val="22"/>
              </w:rPr>
              <w:t>5 March 2026</w:t>
            </w:r>
          </w:p>
        </w:tc>
      </w:tr>
      <w:tr w:rsidR="00324B33" w:rsidRPr="00272ECE" w14:paraId="547E08D7" w14:textId="77777777" w:rsidTr="00F865A7">
        <w:tc>
          <w:tcPr>
            <w:tcW w:w="1577" w:type="pct"/>
          </w:tcPr>
          <w:p w14:paraId="5030EF30" w14:textId="77777777" w:rsidR="00324B33" w:rsidRPr="00272ECE" w:rsidRDefault="00324B33" w:rsidP="007452E8">
            <w:pPr>
              <w:rPr>
                <w:i/>
                <w:szCs w:val="22"/>
              </w:rPr>
            </w:pPr>
            <w:r w:rsidRPr="00272ECE">
              <w:rPr>
                <w:i/>
                <w:szCs w:val="22"/>
              </w:rPr>
              <w:t>ARTG number(s):</w:t>
            </w:r>
          </w:p>
        </w:tc>
        <w:tc>
          <w:tcPr>
            <w:tcW w:w="3423" w:type="pct"/>
          </w:tcPr>
          <w:p w14:paraId="0054E912" w14:textId="50CA897C" w:rsidR="00324B33" w:rsidRPr="00272ECE" w:rsidRDefault="00881FB8" w:rsidP="007452E8">
            <w:pPr>
              <w:rPr>
                <w:szCs w:val="22"/>
              </w:rPr>
            </w:pPr>
            <w:r w:rsidRPr="00272ECE">
              <w:rPr>
                <w:szCs w:val="22"/>
              </w:rPr>
              <w:t xml:space="preserve">481185 and </w:t>
            </w:r>
            <w:r w:rsidR="00C40A9B" w:rsidRPr="00272ECE">
              <w:rPr>
                <w:szCs w:val="22"/>
              </w:rPr>
              <w:t>483365</w:t>
            </w:r>
          </w:p>
        </w:tc>
      </w:tr>
      <w:tr w:rsidR="00324B33" w:rsidRPr="00272ECE" w14:paraId="7618393F" w14:textId="77777777" w:rsidTr="00F865A7">
        <w:tc>
          <w:tcPr>
            <w:tcW w:w="1577" w:type="pct"/>
          </w:tcPr>
          <w:p w14:paraId="6C24CEB6" w14:textId="6A7FE944" w:rsidR="00E47E0C" w:rsidRPr="00272ECE" w:rsidRDefault="00324B33" w:rsidP="007452E8">
            <w:pPr>
              <w:rPr>
                <w:rStyle w:val="Hyperlink"/>
                <w:i/>
                <w:szCs w:val="22"/>
              </w:rPr>
            </w:pPr>
            <w:r w:rsidRPr="00272ECE">
              <w:rPr>
                <w:rFonts w:ascii="Wingdings 3" w:hAnsi="Wingdings 3"/>
                <w:szCs w:val="22"/>
                <w:lang w:eastAsia="en-AU"/>
              </w:rPr>
              <w:t></w:t>
            </w:r>
            <w:hyperlink r:id="rId20" w:history="1">
              <w:r w:rsidRPr="00272ECE">
                <w:rPr>
                  <w:rStyle w:val="Hyperlink"/>
                  <w:i/>
                  <w:szCs w:val="22"/>
                </w:rPr>
                <w:t>Black Triangle Scheme</w:t>
              </w:r>
            </w:hyperlink>
          </w:p>
          <w:p w14:paraId="02260DE2" w14:textId="1FC334AE" w:rsidR="00324B33" w:rsidRPr="00272ECE" w:rsidRDefault="00E47E0C" w:rsidP="007452E8">
            <w:pPr>
              <w:rPr>
                <w:i/>
                <w:szCs w:val="22"/>
              </w:rPr>
            </w:pPr>
            <w:r w:rsidRPr="00272ECE">
              <w:rPr>
                <w:i/>
                <w:szCs w:val="22"/>
              </w:rPr>
              <w:t xml:space="preserve">for </w:t>
            </w:r>
            <w:r w:rsidR="007B04DE" w:rsidRPr="00272ECE">
              <w:rPr>
                <w:i/>
                <w:szCs w:val="22"/>
              </w:rPr>
              <w:t>the current</w:t>
            </w:r>
            <w:r w:rsidRPr="00272ECE">
              <w:rPr>
                <w:i/>
                <w:szCs w:val="22"/>
              </w:rPr>
              <w:t xml:space="preserve"> submission</w:t>
            </w:r>
            <w:r w:rsidR="00324B33" w:rsidRPr="00272ECE">
              <w:rPr>
                <w:i/>
                <w:szCs w:val="22"/>
              </w:rPr>
              <w:t>:</w:t>
            </w:r>
          </w:p>
        </w:tc>
        <w:tc>
          <w:tcPr>
            <w:tcW w:w="3423" w:type="pct"/>
          </w:tcPr>
          <w:p w14:paraId="6FF3C6A2" w14:textId="1D78E002" w:rsidR="00324B33" w:rsidRPr="00272ECE" w:rsidRDefault="00324B33" w:rsidP="007452E8">
            <w:pPr>
              <w:rPr>
                <w:szCs w:val="22"/>
              </w:rPr>
            </w:pPr>
            <w:r w:rsidRPr="00272ECE">
              <w:rPr>
                <w:szCs w:val="22"/>
              </w:rPr>
              <w:t>Yes</w:t>
            </w:r>
          </w:p>
        </w:tc>
      </w:tr>
      <w:tr w:rsidR="00324B33" w:rsidRPr="00272ECE" w14:paraId="179E09FE" w14:textId="77777777" w:rsidTr="00F865A7">
        <w:tc>
          <w:tcPr>
            <w:tcW w:w="1577" w:type="pct"/>
          </w:tcPr>
          <w:p w14:paraId="1A592498" w14:textId="77777777" w:rsidR="00324B33" w:rsidRPr="00272ECE" w:rsidRDefault="00324B33" w:rsidP="007452E8">
            <w:pPr>
              <w:rPr>
                <w:i/>
                <w:szCs w:val="22"/>
              </w:rPr>
            </w:pPr>
            <w:r w:rsidRPr="00272ECE">
              <w:rPr>
                <w:i/>
                <w:szCs w:val="22"/>
              </w:rPr>
              <w:t>Sponsor’s name and address:</w:t>
            </w:r>
          </w:p>
        </w:tc>
        <w:tc>
          <w:tcPr>
            <w:tcW w:w="3423" w:type="pct"/>
          </w:tcPr>
          <w:p w14:paraId="126790CF" w14:textId="77777777" w:rsidR="00324B33" w:rsidRPr="00272ECE" w:rsidRDefault="00DE2F08" w:rsidP="007452E8">
            <w:pPr>
              <w:rPr>
                <w:szCs w:val="22"/>
              </w:rPr>
            </w:pPr>
            <w:r w:rsidRPr="00272ECE">
              <w:rPr>
                <w:szCs w:val="22"/>
              </w:rPr>
              <w:t>Eli Lilly Australia Pty Ltd</w:t>
            </w:r>
          </w:p>
          <w:p w14:paraId="71B19B0F" w14:textId="77777777" w:rsidR="00DE2F08" w:rsidRPr="00272ECE" w:rsidRDefault="00DE2F08" w:rsidP="00DE2F08">
            <w:pPr>
              <w:rPr>
                <w:szCs w:val="22"/>
              </w:rPr>
            </w:pPr>
            <w:r w:rsidRPr="00272ECE">
              <w:rPr>
                <w:szCs w:val="22"/>
              </w:rPr>
              <w:t>Level 9 60 Margaret Street</w:t>
            </w:r>
          </w:p>
          <w:p w14:paraId="68DD94B0" w14:textId="45968297" w:rsidR="00DE2F08" w:rsidRPr="00272ECE" w:rsidRDefault="00DE2F08" w:rsidP="00DE2F08">
            <w:pPr>
              <w:rPr>
                <w:szCs w:val="22"/>
              </w:rPr>
            </w:pPr>
            <w:r w:rsidRPr="00272ECE">
              <w:rPr>
                <w:szCs w:val="22"/>
              </w:rPr>
              <w:t>Sydney NSW 2000</w:t>
            </w:r>
          </w:p>
        </w:tc>
      </w:tr>
      <w:tr w:rsidR="00324B33" w:rsidRPr="00272ECE" w14:paraId="5322B989" w14:textId="77777777" w:rsidTr="00F865A7">
        <w:tc>
          <w:tcPr>
            <w:tcW w:w="1577" w:type="pct"/>
          </w:tcPr>
          <w:p w14:paraId="24F217E3" w14:textId="1D37B3EE" w:rsidR="00324B33" w:rsidRPr="00272ECE" w:rsidRDefault="00324B33" w:rsidP="007452E8">
            <w:pPr>
              <w:rPr>
                <w:i/>
                <w:szCs w:val="22"/>
              </w:rPr>
            </w:pPr>
            <w:r w:rsidRPr="00272ECE">
              <w:rPr>
                <w:i/>
                <w:szCs w:val="22"/>
              </w:rPr>
              <w:t>Dose form:</w:t>
            </w:r>
          </w:p>
        </w:tc>
        <w:tc>
          <w:tcPr>
            <w:tcW w:w="3423" w:type="pct"/>
          </w:tcPr>
          <w:p w14:paraId="768B254C" w14:textId="0EBA2755" w:rsidR="00324B33" w:rsidRPr="00272ECE" w:rsidRDefault="00E84D7C" w:rsidP="007452E8">
            <w:pPr>
              <w:rPr>
                <w:szCs w:val="22"/>
              </w:rPr>
            </w:pPr>
            <w:r w:rsidRPr="00272ECE">
              <w:rPr>
                <w:szCs w:val="22"/>
              </w:rPr>
              <w:t>Film coated tablet</w:t>
            </w:r>
          </w:p>
        </w:tc>
      </w:tr>
      <w:tr w:rsidR="00324B33" w:rsidRPr="00272ECE" w14:paraId="115243E6" w14:textId="77777777" w:rsidTr="00F865A7">
        <w:tc>
          <w:tcPr>
            <w:tcW w:w="1577" w:type="pct"/>
          </w:tcPr>
          <w:p w14:paraId="7634B062" w14:textId="7C05FA04" w:rsidR="00324B33" w:rsidRPr="00272ECE" w:rsidRDefault="00324B33" w:rsidP="007452E8">
            <w:pPr>
              <w:rPr>
                <w:i/>
                <w:szCs w:val="22"/>
              </w:rPr>
            </w:pPr>
            <w:r w:rsidRPr="00272ECE">
              <w:rPr>
                <w:i/>
                <w:szCs w:val="22"/>
              </w:rPr>
              <w:t>Strengths:</w:t>
            </w:r>
          </w:p>
        </w:tc>
        <w:tc>
          <w:tcPr>
            <w:tcW w:w="3423" w:type="pct"/>
          </w:tcPr>
          <w:p w14:paraId="5E5F83DB" w14:textId="152E7CA5" w:rsidR="00324B33" w:rsidRPr="00272ECE" w:rsidRDefault="006B1514" w:rsidP="007452E8">
            <w:pPr>
              <w:rPr>
                <w:szCs w:val="22"/>
              </w:rPr>
            </w:pPr>
            <w:r w:rsidRPr="00272ECE">
              <w:rPr>
                <w:szCs w:val="22"/>
              </w:rPr>
              <w:t>50 mg and 100 mg</w:t>
            </w:r>
          </w:p>
        </w:tc>
      </w:tr>
      <w:tr w:rsidR="00324B33" w:rsidRPr="00272ECE" w14:paraId="34B07BA6" w14:textId="77777777" w:rsidTr="00F865A7">
        <w:tc>
          <w:tcPr>
            <w:tcW w:w="1577" w:type="pct"/>
          </w:tcPr>
          <w:p w14:paraId="1C039224" w14:textId="5E900776" w:rsidR="00324B33" w:rsidRPr="00272ECE" w:rsidRDefault="00324B33" w:rsidP="007452E8">
            <w:pPr>
              <w:rPr>
                <w:i/>
                <w:szCs w:val="22"/>
              </w:rPr>
            </w:pPr>
            <w:r w:rsidRPr="00272ECE">
              <w:rPr>
                <w:i/>
                <w:szCs w:val="22"/>
              </w:rPr>
              <w:t>Container:</w:t>
            </w:r>
          </w:p>
        </w:tc>
        <w:tc>
          <w:tcPr>
            <w:tcW w:w="3423" w:type="pct"/>
          </w:tcPr>
          <w:p w14:paraId="500A42C6" w14:textId="31F70C57" w:rsidR="00324B33" w:rsidRPr="00272ECE" w:rsidRDefault="00360208" w:rsidP="007452E8">
            <w:pPr>
              <w:rPr>
                <w:szCs w:val="22"/>
              </w:rPr>
            </w:pPr>
            <w:r w:rsidRPr="00272ECE">
              <w:rPr>
                <w:szCs w:val="22"/>
              </w:rPr>
              <w:t>Blister pack</w:t>
            </w:r>
          </w:p>
        </w:tc>
      </w:tr>
      <w:tr w:rsidR="00324B33" w:rsidRPr="00272ECE" w14:paraId="176B6773" w14:textId="77777777" w:rsidTr="00F865A7">
        <w:tc>
          <w:tcPr>
            <w:tcW w:w="1577" w:type="pct"/>
          </w:tcPr>
          <w:p w14:paraId="71846159" w14:textId="0BA18D65" w:rsidR="00324B33" w:rsidRPr="00272ECE" w:rsidRDefault="00324B33" w:rsidP="007452E8">
            <w:pPr>
              <w:rPr>
                <w:i/>
                <w:szCs w:val="22"/>
              </w:rPr>
            </w:pPr>
            <w:r w:rsidRPr="00272ECE">
              <w:rPr>
                <w:i/>
                <w:szCs w:val="22"/>
              </w:rPr>
              <w:t>Pack size</w:t>
            </w:r>
            <w:r w:rsidR="00A978EE" w:rsidRPr="00272ECE">
              <w:rPr>
                <w:i/>
                <w:szCs w:val="22"/>
              </w:rPr>
              <w:t>s</w:t>
            </w:r>
            <w:r w:rsidRPr="00272ECE">
              <w:rPr>
                <w:i/>
                <w:szCs w:val="22"/>
              </w:rPr>
              <w:t>:</w:t>
            </w:r>
          </w:p>
        </w:tc>
        <w:tc>
          <w:tcPr>
            <w:tcW w:w="3423" w:type="pct"/>
          </w:tcPr>
          <w:p w14:paraId="7E978F8F" w14:textId="287939A5" w:rsidR="00324B33" w:rsidRPr="00272ECE" w:rsidRDefault="00AF77D9" w:rsidP="007452E8">
            <w:pPr>
              <w:rPr>
                <w:szCs w:val="22"/>
              </w:rPr>
            </w:pPr>
            <w:r w:rsidRPr="00272ECE">
              <w:rPr>
                <w:szCs w:val="22"/>
              </w:rPr>
              <w:t>30</w:t>
            </w:r>
            <w:r w:rsidR="00A978EE" w:rsidRPr="00272ECE">
              <w:rPr>
                <w:szCs w:val="22"/>
              </w:rPr>
              <w:t xml:space="preserve"> </w:t>
            </w:r>
            <w:r w:rsidR="009B376D">
              <w:rPr>
                <w:szCs w:val="22"/>
              </w:rPr>
              <w:t xml:space="preserve">(50 mg), 30 and </w:t>
            </w:r>
            <w:r w:rsidR="00A978EE" w:rsidRPr="00272ECE">
              <w:rPr>
                <w:szCs w:val="22"/>
              </w:rPr>
              <w:t xml:space="preserve">60 </w:t>
            </w:r>
            <w:r w:rsidR="009B376D">
              <w:rPr>
                <w:szCs w:val="22"/>
              </w:rPr>
              <w:t>(</w:t>
            </w:r>
            <w:r w:rsidR="00A978EE" w:rsidRPr="00272ECE">
              <w:rPr>
                <w:szCs w:val="22"/>
              </w:rPr>
              <w:t>100</w:t>
            </w:r>
            <w:r w:rsidR="00EA0D33" w:rsidRPr="00272ECE">
              <w:rPr>
                <w:szCs w:val="22"/>
              </w:rPr>
              <w:t> </w:t>
            </w:r>
            <w:r w:rsidR="00A978EE" w:rsidRPr="00272ECE">
              <w:rPr>
                <w:szCs w:val="22"/>
              </w:rPr>
              <w:t>mg)</w:t>
            </w:r>
          </w:p>
        </w:tc>
      </w:tr>
      <w:tr w:rsidR="00324B33" w:rsidRPr="00272ECE" w14:paraId="19A2544A" w14:textId="77777777" w:rsidTr="00F865A7">
        <w:tc>
          <w:tcPr>
            <w:tcW w:w="1577" w:type="pct"/>
          </w:tcPr>
          <w:p w14:paraId="0E6C5C0E" w14:textId="7DB3FC66" w:rsidR="00324B33" w:rsidRPr="00272ECE" w:rsidRDefault="00324B33" w:rsidP="007452E8">
            <w:pPr>
              <w:rPr>
                <w:i/>
                <w:szCs w:val="22"/>
              </w:rPr>
            </w:pPr>
            <w:r w:rsidRPr="00272ECE">
              <w:rPr>
                <w:i/>
                <w:szCs w:val="22"/>
              </w:rPr>
              <w:t>Approved therapeutic use</w:t>
            </w:r>
            <w:r w:rsidR="00E47E0C" w:rsidRPr="00272ECE">
              <w:rPr>
                <w:i/>
                <w:szCs w:val="22"/>
              </w:rPr>
              <w:t xml:space="preserve"> </w:t>
            </w:r>
            <w:r w:rsidR="007B04DE" w:rsidRPr="00272ECE">
              <w:rPr>
                <w:i/>
                <w:szCs w:val="22"/>
              </w:rPr>
              <w:t>for the current</w:t>
            </w:r>
            <w:r w:rsidR="00E47E0C" w:rsidRPr="00272ECE">
              <w:rPr>
                <w:i/>
                <w:szCs w:val="22"/>
              </w:rPr>
              <w:t xml:space="preserve"> submission</w:t>
            </w:r>
            <w:r w:rsidRPr="00272ECE">
              <w:rPr>
                <w:i/>
                <w:szCs w:val="22"/>
              </w:rPr>
              <w:t>:</w:t>
            </w:r>
          </w:p>
        </w:tc>
        <w:tc>
          <w:tcPr>
            <w:tcW w:w="3423" w:type="pct"/>
          </w:tcPr>
          <w:p w14:paraId="6E143E2E" w14:textId="55203D05" w:rsidR="00324B33" w:rsidRPr="00272ECE" w:rsidRDefault="006A0036" w:rsidP="004A551B">
            <w:pPr>
              <w:rPr>
                <w:szCs w:val="22"/>
              </w:rPr>
            </w:pPr>
            <w:r w:rsidRPr="00272ECE">
              <w:rPr>
                <w:szCs w:val="22"/>
              </w:rPr>
              <w:t>J</w:t>
            </w:r>
            <w:r w:rsidR="004A551B" w:rsidRPr="00272ECE">
              <w:rPr>
                <w:szCs w:val="22"/>
              </w:rPr>
              <w:t>aypirca</w:t>
            </w:r>
            <w:r w:rsidRPr="00272ECE">
              <w:rPr>
                <w:szCs w:val="22"/>
              </w:rPr>
              <w:t xml:space="preserve"> as monotherapy is indicated for the treatment of adult patients with relapsed or</w:t>
            </w:r>
            <w:r w:rsidR="00B84377">
              <w:rPr>
                <w:szCs w:val="22"/>
              </w:rPr>
              <w:t xml:space="preserve"> </w:t>
            </w:r>
            <w:r w:rsidRPr="00272ECE">
              <w:rPr>
                <w:szCs w:val="22"/>
              </w:rPr>
              <w:t>refractory chronic lymphocytic leukemia/small lymphocytic lymphoma (CLL/SLL)</w:t>
            </w:r>
            <w:r w:rsidR="004A551B" w:rsidRPr="00272ECE">
              <w:rPr>
                <w:szCs w:val="22"/>
              </w:rPr>
              <w:t xml:space="preserve"> </w:t>
            </w:r>
            <w:r w:rsidRPr="00272ECE">
              <w:rPr>
                <w:szCs w:val="22"/>
              </w:rPr>
              <w:t>who have been previously treated with a covalent Bruton's tyrosine kinase (BTK)</w:t>
            </w:r>
            <w:r w:rsidR="004A551B" w:rsidRPr="00272ECE">
              <w:rPr>
                <w:szCs w:val="22"/>
              </w:rPr>
              <w:t xml:space="preserve"> </w:t>
            </w:r>
            <w:r w:rsidRPr="00272ECE">
              <w:rPr>
                <w:szCs w:val="22"/>
              </w:rPr>
              <w:t>inhibitor.</w:t>
            </w:r>
          </w:p>
        </w:tc>
      </w:tr>
      <w:tr w:rsidR="00324B33" w:rsidRPr="00272ECE" w14:paraId="5AFDEED3" w14:textId="77777777" w:rsidTr="00F865A7">
        <w:tc>
          <w:tcPr>
            <w:tcW w:w="1577" w:type="pct"/>
          </w:tcPr>
          <w:p w14:paraId="03884BD1" w14:textId="587EAC05" w:rsidR="00324B33" w:rsidRPr="00272ECE" w:rsidRDefault="00324B33" w:rsidP="007452E8">
            <w:pPr>
              <w:rPr>
                <w:i/>
                <w:szCs w:val="22"/>
              </w:rPr>
            </w:pPr>
            <w:r w:rsidRPr="00272ECE">
              <w:rPr>
                <w:i/>
                <w:szCs w:val="22"/>
              </w:rPr>
              <w:t>Route of administration:</w:t>
            </w:r>
          </w:p>
        </w:tc>
        <w:tc>
          <w:tcPr>
            <w:tcW w:w="3423" w:type="pct"/>
          </w:tcPr>
          <w:p w14:paraId="1ED1357E" w14:textId="21297C68" w:rsidR="00324B33" w:rsidRPr="00272ECE" w:rsidRDefault="00B660D1" w:rsidP="007452E8">
            <w:pPr>
              <w:rPr>
                <w:szCs w:val="22"/>
              </w:rPr>
            </w:pPr>
            <w:r w:rsidRPr="00272ECE">
              <w:rPr>
                <w:szCs w:val="22"/>
              </w:rPr>
              <w:t>Oral</w:t>
            </w:r>
          </w:p>
        </w:tc>
      </w:tr>
      <w:tr w:rsidR="00324B33" w:rsidRPr="00272ECE" w14:paraId="70D7E9FA" w14:textId="77777777" w:rsidTr="00F865A7">
        <w:tc>
          <w:tcPr>
            <w:tcW w:w="1577" w:type="pct"/>
          </w:tcPr>
          <w:p w14:paraId="5ABFFC80" w14:textId="77777777" w:rsidR="00324B33" w:rsidRPr="00272ECE" w:rsidRDefault="00324B33" w:rsidP="007452E8">
            <w:pPr>
              <w:rPr>
                <w:i/>
                <w:szCs w:val="22"/>
              </w:rPr>
            </w:pPr>
            <w:r w:rsidRPr="00272ECE">
              <w:rPr>
                <w:i/>
                <w:szCs w:val="22"/>
              </w:rPr>
              <w:t>Dosage:</w:t>
            </w:r>
          </w:p>
        </w:tc>
        <w:tc>
          <w:tcPr>
            <w:tcW w:w="3423" w:type="pct"/>
          </w:tcPr>
          <w:p w14:paraId="228D5E9E" w14:textId="324B2320" w:rsidR="002941C7" w:rsidRPr="00272ECE" w:rsidRDefault="002941C7" w:rsidP="002941C7">
            <w:pPr>
              <w:rPr>
                <w:szCs w:val="22"/>
              </w:rPr>
            </w:pPr>
            <w:r w:rsidRPr="00272ECE">
              <w:rPr>
                <w:szCs w:val="22"/>
              </w:rPr>
              <w:t>The recommended dose is 200 mg once daily.</w:t>
            </w:r>
          </w:p>
          <w:p w14:paraId="4BD4ECF7" w14:textId="4B2CCFC0" w:rsidR="00666911" w:rsidRPr="00272ECE" w:rsidRDefault="002941C7" w:rsidP="002941C7">
            <w:pPr>
              <w:rPr>
                <w:szCs w:val="22"/>
              </w:rPr>
            </w:pPr>
            <w:r w:rsidRPr="00272ECE">
              <w:rPr>
                <w:szCs w:val="22"/>
              </w:rPr>
              <w:t>Treatment should be continued until disease progression or unacceptable toxicity.</w:t>
            </w:r>
          </w:p>
          <w:p w14:paraId="3D0B2D5C" w14:textId="6E29920D" w:rsidR="00324B33" w:rsidRPr="00272ECE" w:rsidRDefault="00324B33" w:rsidP="007452E8">
            <w:pPr>
              <w:rPr>
                <w:szCs w:val="22"/>
              </w:rPr>
            </w:pPr>
            <w:r w:rsidRPr="00272ECE">
              <w:rPr>
                <w:szCs w:val="22"/>
              </w:rPr>
              <w:t xml:space="preserve">For further information regarding dosage, </w:t>
            </w:r>
            <w:r w:rsidR="006B7126" w:rsidRPr="00272ECE">
              <w:rPr>
                <w:szCs w:val="22"/>
              </w:rPr>
              <w:t xml:space="preserve">such as dosage modifications to manage adverse reactions, </w:t>
            </w:r>
            <w:r w:rsidRPr="00272ECE">
              <w:rPr>
                <w:szCs w:val="22"/>
              </w:rPr>
              <w:t>refer to the Product Information.</w:t>
            </w:r>
          </w:p>
        </w:tc>
      </w:tr>
      <w:tr w:rsidR="0017005C" w:rsidRPr="00272ECE" w14:paraId="7B7BB6AE" w14:textId="77777777" w:rsidTr="00F865A7">
        <w:tc>
          <w:tcPr>
            <w:tcW w:w="1577" w:type="pct"/>
          </w:tcPr>
          <w:p w14:paraId="3A76AFF7" w14:textId="7C436DD9" w:rsidR="0017005C" w:rsidRPr="00272ECE" w:rsidRDefault="0070330F" w:rsidP="0017005C">
            <w:r w:rsidRPr="00272ECE">
              <w:rPr>
                <w:i/>
                <w:szCs w:val="22"/>
              </w:rPr>
              <w:t>Pregnancy category:</w:t>
            </w:r>
          </w:p>
        </w:tc>
        <w:tc>
          <w:tcPr>
            <w:tcW w:w="3423" w:type="pct"/>
          </w:tcPr>
          <w:p w14:paraId="097FBA46" w14:textId="77777777" w:rsidR="00F96BAB" w:rsidRPr="00272ECE" w:rsidRDefault="00F96BAB" w:rsidP="007967C3">
            <w:r w:rsidRPr="00272ECE">
              <w:t>D</w:t>
            </w:r>
          </w:p>
          <w:p w14:paraId="612131FE" w14:textId="4311C79E" w:rsidR="00083A35" w:rsidRPr="00272ECE" w:rsidRDefault="00083A35" w:rsidP="007967C3">
            <w:r w:rsidRPr="00272ECE">
              <w:t xml:space="preserve">Drugs which have caused, are suspected to have caused or may be expected to cause, an increased incidence of human </w:t>
            </w:r>
            <w:proofErr w:type="spellStart"/>
            <w:r w:rsidRPr="00272ECE">
              <w:t>fetal</w:t>
            </w:r>
            <w:proofErr w:type="spellEnd"/>
            <w:r w:rsidRPr="00272ECE">
              <w:t xml:space="preserve"> malformations or irreversible damage. These drugs may also have adverse pharmacological effects. Accompanying texts should be consulted for further details.</w:t>
            </w:r>
          </w:p>
          <w:p w14:paraId="76497789" w14:textId="7C9B25EC" w:rsidR="0017005C" w:rsidRPr="00272ECE" w:rsidRDefault="0070330F" w:rsidP="00083A35">
            <w:pPr>
              <w:rPr>
                <w:szCs w:val="22"/>
              </w:rPr>
            </w:pPr>
            <w:r w:rsidRPr="00272ECE">
              <w:rPr>
                <w:szCs w:val="22"/>
              </w:rPr>
              <w:t xml:space="preserve">The use of any medicine during pregnancy requires careful consideration of both risks and benefits by the treating health </w:t>
            </w:r>
            <w:r w:rsidRPr="00272ECE">
              <w:rPr>
                <w:szCs w:val="22"/>
              </w:rPr>
              <w:lastRenderedPageBreak/>
              <w:t xml:space="preserve">professional. </w:t>
            </w:r>
            <w:r w:rsidR="00721059" w:rsidRPr="00272ECE">
              <w:rPr>
                <w:szCs w:val="22"/>
              </w:rPr>
              <w:t xml:space="preserve">The </w:t>
            </w:r>
            <w:hyperlink r:id="rId21" w:history="1">
              <w:r w:rsidR="00721059" w:rsidRPr="00272ECE">
                <w:rPr>
                  <w:rStyle w:val="Hyperlink"/>
                  <w:szCs w:val="22"/>
                </w:rPr>
                <w:t>pregnancy database</w:t>
              </w:r>
            </w:hyperlink>
            <w:r w:rsidR="00387984" w:rsidRPr="00272ECE">
              <w:t xml:space="preserve"> </w:t>
            </w:r>
            <w:r w:rsidRPr="00272ECE">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22" w:history="1">
              <w:r w:rsidRPr="00272ECE">
                <w:rPr>
                  <w:rStyle w:val="Hyperlink"/>
                  <w:szCs w:val="22"/>
                </w:rPr>
                <w:t>obstetric drug information services</w:t>
              </w:r>
            </w:hyperlink>
            <w:r w:rsidRPr="00272ECE">
              <w:rPr>
                <w:szCs w:val="22"/>
              </w:rPr>
              <w:t xml:space="preserve"> in your </w:t>
            </w:r>
            <w:r w:rsidR="00306E72" w:rsidRPr="00272ECE">
              <w:rPr>
                <w:szCs w:val="22"/>
              </w:rPr>
              <w:t>s</w:t>
            </w:r>
            <w:r w:rsidRPr="00272ECE">
              <w:rPr>
                <w:szCs w:val="22"/>
              </w:rPr>
              <w:t xml:space="preserve">tate or </w:t>
            </w:r>
            <w:r w:rsidR="00306E72" w:rsidRPr="00272ECE">
              <w:rPr>
                <w:szCs w:val="22"/>
              </w:rPr>
              <w:t>t</w:t>
            </w:r>
            <w:r w:rsidRPr="00272ECE">
              <w:rPr>
                <w:szCs w:val="22"/>
              </w:rPr>
              <w:t>erritory.</w:t>
            </w:r>
          </w:p>
        </w:tc>
      </w:tr>
    </w:tbl>
    <w:p w14:paraId="51F2479F" w14:textId="265211FF" w:rsidR="00324B33" w:rsidRPr="00272ECE" w:rsidRDefault="00324B33" w:rsidP="00324B33">
      <w:pPr>
        <w:pStyle w:val="Heading3"/>
      </w:pPr>
      <w:bookmarkStart w:id="12" w:name="_Toc247691503"/>
      <w:bookmarkStart w:id="13" w:name="_Toc314842484"/>
      <w:bookmarkStart w:id="14" w:name="_Toc103679290"/>
      <w:bookmarkStart w:id="15" w:name="_Toc243316690"/>
      <w:r w:rsidRPr="00272ECE">
        <w:lastRenderedPageBreak/>
        <w:t>Product background</w:t>
      </w:r>
      <w:bookmarkEnd w:id="12"/>
      <w:bookmarkEnd w:id="13"/>
      <w:bookmarkEnd w:id="14"/>
      <w:bookmarkEnd w:id="15"/>
    </w:p>
    <w:p w14:paraId="59BF31D1" w14:textId="7F776DBC" w:rsidR="001500A8" w:rsidRPr="00272ECE" w:rsidRDefault="00324B33" w:rsidP="00705F36">
      <w:r w:rsidRPr="00272ECE">
        <w:t xml:space="preserve">This AusPAR describes the submission by </w:t>
      </w:r>
      <w:r w:rsidR="007746B7" w:rsidRPr="00272ECE">
        <w:t xml:space="preserve">Eli Lilly Australia Pty Ltd </w:t>
      </w:r>
      <w:r w:rsidRPr="00272ECE">
        <w:t xml:space="preserve">(the sponsor) to register </w:t>
      </w:r>
      <w:r w:rsidR="007746B7" w:rsidRPr="00272ECE">
        <w:t xml:space="preserve">Jaypirca (pirtobrutinib) </w:t>
      </w:r>
      <w:r w:rsidR="007A6CEC" w:rsidRPr="00272ECE">
        <w:t>50 mg and 100 mg</w:t>
      </w:r>
      <w:r w:rsidRPr="00272ECE">
        <w:t>,</w:t>
      </w:r>
      <w:r w:rsidR="007A6CEC" w:rsidRPr="00272ECE">
        <w:t xml:space="preserve"> film coated tablet, blister pack</w:t>
      </w:r>
      <w:r w:rsidRPr="00272ECE">
        <w:t xml:space="preserve"> for the following proposed indication:</w:t>
      </w:r>
      <w:r w:rsidR="00D63760" w:rsidRPr="00272ECE">
        <w:rPr>
          <w:vertAlign w:val="superscript"/>
        </w:rPr>
        <w:footnoteReference w:id="1"/>
      </w:r>
    </w:p>
    <w:p w14:paraId="542CDCCE" w14:textId="284DA4D7" w:rsidR="00FF04E0" w:rsidRPr="00705F36" w:rsidRDefault="00FF04E0" w:rsidP="00705F36">
      <w:pPr>
        <w:ind w:left="720"/>
        <w:rPr>
          <w:i/>
          <w:iCs/>
        </w:rPr>
      </w:pPr>
      <w:r w:rsidRPr="00705F36">
        <w:rPr>
          <w:i/>
          <w:iCs/>
        </w:rPr>
        <w:t>Jaypirca is indicated for the treatment of adult patients with chronic lymphocytic leukemia/small lymphocytic lymphoma (CLL/SLL) who have been previously treated with a Bruton's tyrosine kinase (BTK) inhibitor.</w:t>
      </w:r>
    </w:p>
    <w:p w14:paraId="1E63A2AE" w14:textId="38F1EE41" w:rsidR="00CB6813" w:rsidRPr="00272ECE" w:rsidRDefault="00005DFC" w:rsidP="00CB6813">
      <w:pPr>
        <w:pStyle w:val="Heading4"/>
      </w:pPr>
      <w:bookmarkStart w:id="16" w:name="_Toc314842485"/>
      <w:bookmarkStart w:id="17" w:name="_Toc247691504"/>
      <w:bookmarkStart w:id="18" w:name="_Toc243316691"/>
      <w:r w:rsidRPr="00272ECE">
        <w:t>D</w:t>
      </w:r>
      <w:r w:rsidR="00CB6813" w:rsidRPr="00272ECE">
        <w:t>isease</w:t>
      </w:r>
      <w:r w:rsidR="006428C5" w:rsidRPr="00272ECE">
        <w:t xml:space="preserve"> or condition</w:t>
      </w:r>
      <w:bookmarkEnd w:id="18"/>
    </w:p>
    <w:p w14:paraId="30C62108" w14:textId="4BC59C35" w:rsidR="00964E89" w:rsidRPr="00272ECE" w:rsidRDefault="00964E89" w:rsidP="00705F36">
      <w:r w:rsidRPr="00272ECE">
        <w:t>Chronic lymphocytic leukemia (</w:t>
      </w:r>
      <w:r w:rsidRPr="002F5750">
        <w:t>CLL)</w:t>
      </w:r>
      <w:r w:rsidRPr="00272ECE">
        <w:t xml:space="preserve"> is the most frequent type of leukemia. Leukemic transformation is initiated by specific genomic alterations that interfere with the regulation of proliferation and apoptosis in clonal B-cells. Some of the most affected genes in CLL are </w:t>
      </w:r>
      <w:r w:rsidR="00AE1B70" w:rsidRPr="00272ECE">
        <w:t>t</w:t>
      </w:r>
      <w:r w:rsidRPr="00272ECE">
        <w:t>umour protein 53 (</w:t>
      </w:r>
      <w:r w:rsidRPr="00347EB2">
        <w:t>TP53</w:t>
      </w:r>
      <w:r w:rsidRPr="00272ECE">
        <w:t xml:space="preserve">), </w:t>
      </w:r>
      <w:r w:rsidR="00AE1B70" w:rsidRPr="00272ECE">
        <w:t>a</w:t>
      </w:r>
      <w:r w:rsidRPr="00272ECE">
        <w:t>taxia telangiectasia mutated (</w:t>
      </w:r>
      <w:r w:rsidRPr="00347EB2">
        <w:t>ATM</w:t>
      </w:r>
      <w:r w:rsidRPr="00272ECE">
        <w:t xml:space="preserve">), </w:t>
      </w:r>
      <w:r w:rsidR="00AE1B70" w:rsidRPr="00272ECE">
        <w:t>n</w:t>
      </w:r>
      <w:r w:rsidRPr="00272ECE">
        <w:t>eurogenic locus notch homolog protein 1 (</w:t>
      </w:r>
      <w:r w:rsidRPr="00347EB2">
        <w:t>NOTCH1</w:t>
      </w:r>
      <w:r w:rsidRPr="00272ECE">
        <w:t xml:space="preserve">), </w:t>
      </w:r>
      <w:r w:rsidR="00AE1B70" w:rsidRPr="00272ECE">
        <w:t>and s</w:t>
      </w:r>
      <w:r w:rsidRPr="00272ECE">
        <w:t>plicing factor 3B subunit 1 (</w:t>
      </w:r>
      <w:r w:rsidRPr="00347EB2">
        <w:t>SF3B1</w:t>
      </w:r>
      <w:r w:rsidRPr="00272ECE">
        <w:t xml:space="preserve">). The genetic changes in CLL leads to production of abnormal white blood cells (lymphocytes) in the bone marrow. In CLL the abnormal white cells are mainly found in the bone marrow and the bloodstream. If the abnormal white cells are mainly found in the lymph nodes this is diagnosed as small lymphocytic </w:t>
      </w:r>
      <w:r w:rsidRPr="00B4646F">
        <w:t>lymphoma (SLL). The World Health Organization 2022 classification considers SLL</w:t>
      </w:r>
      <w:r w:rsidR="00B4646F" w:rsidRPr="00B4646F">
        <w:t xml:space="preserve"> and</w:t>
      </w:r>
      <w:r w:rsidRPr="00B4646F">
        <w:t xml:space="preserve"> CLL as a single entity/disease and are treated in the same way.</w:t>
      </w:r>
      <w:r w:rsidR="00EE50D3" w:rsidRPr="00B4646F">
        <w:rPr>
          <w:rStyle w:val="FootnoteReference"/>
        </w:rPr>
        <w:footnoteReference w:id="2"/>
      </w:r>
    </w:p>
    <w:p w14:paraId="3BEDF54A" w14:textId="03E0CE4E" w:rsidR="00964E89" w:rsidRPr="00272ECE" w:rsidRDefault="00F97168" w:rsidP="00705F36">
      <w:r w:rsidRPr="00272ECE">
        <w:t xml:space="preserve">Chronic lymphocytic leukemia </w:t>
      </w:r>
      <w:r w:rsidR="00964E89" w:rsidRPr="00272ECE">
        <w:t>is the most diagnosed leukemia in Australia, and it is ranked 16 among the 20 most diagnosed cancers in Australia (</w:t>
      </w:r>
      <w:r w:rsidR="009828ED">
        <w:t xml:space="preserve">Australian Institute of Health and Welfare </w:t>
      </w:r>
      <w:r w:rsidR="00DC4839">
        <w:t>(</w:t>
      </w:r>
      <w:r w:rsidR="00964E89" w:rsidRPr="00272ECE">
        <w:t>AIHW</w:t>
      </w:r>
      <w:r w:rsidR="00DC4839">
        <w:t>)</w:t>
      </w:r>
      <w:r w:rsidR="00964E89" w:rsidRPr="00272ECE">
        <w:t>, 2024). It is estimated that the age</w:t>
      </w:r>
      <w:r w:rsidR="00597220">
        <w:t xml:space="preserve"> </w:t>
      </w:r>
      <w:r w:rsidR="00964E89" w:rsidRPr="00272ECE">
        <w:t>standardised incidence rate of CLL in Australia was 6.8 cases per 100,000 persons with a projected 2401 cases diagnosed in 2024 (AIHW, 2024). It is more prevalent in males with a rise in the age-standardised incidence rate from 333 cases (6.</w:t>
      </w:r>
      <w:r w:rsidR="00964E89" w:rsidRPr="000C7038">
        <w:t>3</w:t>
      </w:r>
      <w:r w:rsidR="000C7038">
        <w:t> </w:t>
      </w:r>
      <w:r w:rsidR="00964E89" w:rsidRPr="000C7038">
        <w:t>cases</w:t>
      </w:r>
      <w:r w:rsidR="00964E89" w:rsidRPr="00272ECE">
        <w:t xml:space="preserve"> per 100,000 males) in 1982 to an estimated 1,475 cases (8.9 cases per 100,000 males) in 2024; similar increase has also been observed in females </w:t>
      </w:r>
      <w:r w:rsidR="00A31BE0" w:rsidRPr="00272ECE">
        <w:t>(</w:t>
      </w:r>
      <w:r w:rsidR="00964E89" w:rsidRPr="00272ECE">
        <w:t>from 215 cases (3.2 cases per 100,000 females) in 1982 to an estimated 926 cases (4.9 cases per 100,000 females) in 2024</w:t>
      </w:r>
      <w:r w:rsidR="00087CC7" w:rsidRPr="00272ECE">
        <w:t>)</w:t>
      </w:r>
      <w:r w:rsidR="00964E89" w:rsidRPr="00272ECE">
        <w:t xml:space="preserve"> (AIHW, 2024). </w:t>
      </w:r>
      <w:r w:rsidR="00087CC7" w:rsidRPr="00272ECE">
        <w:t xml:space="preserve">Chronic lymphocytic leukemia </w:t>
      </w:r>
      <w:r w:rsidR="00964E89" w:rsidRPr="00272ECE">
        <w:t>is associated with an immunocompromised state and an increased rate of complications from infections. Typically, CLL follows a slow progression, but the course of the disease can vary significantly among individuals.</w:t>
      </w:r>
      <w:r w:rsidR="00543DE8" w:rsidRPr="00272ECE">
        <w:rPr>
          <w:rStyle w:val="FootnoteReference"/>
        </w:rPr>
        <w:footnoteReference w:id="3"/>
      </w:r>
      <w:r w:rsidR="00964E89" w:rsidRPr="00272ECE">
        <w:t xml:space="preserve"> </w:t>
      </w:r>
      <w:r w:rsidR="00C82649" w:rsidRPr="00272ECE">
        <w:t>C</w:t>
      </w:r>
      <w:r w:rsidR="00964E89" w:rsidRPr="00272ECE">
        <w:t xml:space="preserve">omprehensive prognostic scores such as the commonly used CLL international prognostic </w:t>
      </w:r>
      <w:r w:rsidR="00964E89" w:rsidRPr="00272ECE">
        <w:lastRenderedPageBreak/>
        <w:t>in</w:t>
      </w:r>
      <w:r w:rsidR="00964E89" w:rsidRPr="00CC085E">
        <w:t>dex (CLL-IPI</w:t>
      </w:r>
      <w:r w:rsidR="00964E89" w:rsidRPr="00272ECE">
        <w:t>) integrates genetic, biological, and clinical variables to identify distinct risk groups of patients with CLL.</w:t>
      </w:r>
      <w:r w:rsidR="00964E89" w:rsidRPr="00272ECE">
        <w:rPr>
          <w:vertAlign w:val="superscript"/>
        </w:rPr>
        <w:footnoteReference w:id="4"/>
      </w:r>
    </w:p>
    <w:p w14:paraId="255E083A" w14:textId="135BFCF6" w:rsidR="00CB6813" w:rsidRPr="00272ECE" w:rsidRDefault="00CB6813" w:rsidP="00CB6813">
      <w:pPr>
        <w:pStyle w:val="Heading4"/>
      </w:pPr>
      <w:bookmarkStart w:id="19" w:name="_Toc243316692"/>
      <w:r w:rsidRPr="00272ECE">
        <w:t>Current treatment options</w:t>
      </w:r>
      <w:bookmarkEnd w:id="19"/>
    </w:p>
    <w:p w14:paraId="26C53312" w14:textId="2242341C" w:rsidR="002B2D1B" w:rsidRPr="00272ECE" w:rsidRDefault="002B2D1B" w:rsidP="002B2D1B">
      <w:r w:rsidRPr="00272ECE">
        <w:t xml:space="preserve">Asymptomatic patients with </w:t>
      </w:r>
      <w:r w:rsidR="007F7051" w:rsidRPr="00272ECE">
        <w:t>early-stage</w:t>
      </w:r>
      <w:r w:rsidRPr="00272ECE">
        <w:t xml:space="preserve"> disease (Rai </w:t>
      </w:r>
      <w:r w:rsidR="00855425" w:rsidRPr="00272ECE">
        <w:t xml:space="preserve">stage </w:t>
      </w:r>
      <w:r w:rsidRPr="00272ECE">
        <w:t>0, Binet</w:t>
      </w:r>
      <w:r w:rsidR="00855425" w:rsidRPr="00272ECE">
        <w:t xml:space="preserve"> stage</w:t>
      </w:r>
      <w:r w:rsidRPr="00272ECE">
        <w:t xml:space="preserve"> A) should be monitored without therapy unless they have evidence of rapid disease progression or until the disease becomes symptomatic. Some of the agents used in treatment of CLL are:</w:t>
      </w:r>
    </w:p>
    <w:p w14:paraId="76450F8E" w14:textId="23BFA1EF" w:rsidR="002B2D1B" w:rsidRPr="00272ECE" w:rsidRDefault="002B2D1B" w:rsidP="00AE78DA">
      <w:pPr>
        <w:pStyle w:val="ListBullet"/>
      </w:pPr>
      <w:r w:rsidRPr="00272ECE">
        <w:t>Cytostatic agents</w:t>
      </w:r>
      <w:r w:rsidR="001A3A3D" w:rsidRPr="00272ECE">
        <w:t xml:space="preserve">: </w:t>
      </w:r>
      <w:r w:rsidRPr="00272ECE">
        <w:t>alkylating agent (</w:t>
      </w:r>
      <w:r w:rsidR="009D5AB0" w:rsidRPr="00272ECE">
        <w:t>c</w:t>
      </w:r>
      <w:r w:rsidRPr="00272ECE">
        <w:t>hlorambucil), purine analogues (</w:t>
      </w:r>
      <w:r w:rsidR="004C01FF" w:rsidRPr="00272ECE">
        <w:t>f</w:t>
      </w:r>
      <w:r w:rsidRPr="00272ECE">
        <w:t xml:space="preserve">ludarabine, </w:t>
      </w:r>
      <w:proofErr w:type="spellStart"/>
      <w:r w:rsidR="004C01FF" w:rsidRPr="00272ECE">
        <w:t>p</w:t>
      </w:r>
      <w:r w:rsidRPr="00272ECE">
        <w:t>entos</w:t>
      </w:r>
      <w:r w:rsidR="00472C96">
        <w:t>t</w:t>
      </w:r>
      <w:r w:rsidRPr="00272ECE">
        <w:t>atin</w:t>
      </w:r>
      <w:proofErr w:type="spellEnd"/>
      <w:r w:rsidRPr="00272ECE">
        <w:t xml:space="preserve"> and </w:t>
      </w:r>
      <w:r w:rsidR="004C01FF" w:rsidRPr="00272ECE">
        <w:t>c</w:t>
      </w:r>
      <w:r w:rsidRPr="00272ECE">
        <w:t xml:space="preserve">ladribine) and </w:t>
      </w:r>
      <w:r w:rsidR="004C01FF" w:rsidRPr="00272ECE">
        <w:t>b</w:t>
      </w:r>
      <w:r w:rsidRPr="00272ECE">
        <w:t>endamustine which is now established as a potent single agent for treatment of CLL.</w:t>
      </w:r>
    </w:p>
    <w:p w14:paraId="5272A881" w14:textId="1C734C35" w:rsidR="002B2D1B" w:rsidRPr="00272ECE" w:rsidRDefault="002B2D1B" w:rsidP="00AF39EA">
      <w:pPr>
        <w:pStyle w:val="ListBullet"/>
      </w:pPr>
      <w:r w:rsidRPr="00272ECE">
        <w:t xml:space="preserve">Monoclonal antibodies: </w:t>
      </w:r>
      <w:r w:rsidR="004C01FF" w:rsidRPr="00272ECE">
        <w:t>a</w:t>
      </w:r>
      <w:r w:rsidRPr="00272ECE">
        <w:t>nti-</w:t>
      </w:r>
      <w:r w:rsidR="00313A39" w:rsidRPr="00272ECE">
        <w:t>cluster of differentiation 20 (</w:t>
      </w:r>
      <w:r w:rsidRPr="00FB1B9C">
        <w:t>CD20</w:t>
      </w:r>
      <w:r w:rsidR="00313A39" w:rsidRPr="00FB1B9C">
        <w:t>)</w:t>
      </w:r>
      <w:r w:rsidRPr="00FB1B9C">
        <w:t xml:space="preserve"> antibodies</w:t>
      </w:r>
      <w:r w:rsidR="001A3A3D" w:rsidRPr="00272ECE">
        <w:t xml:space="preserve">, </w:t>
      </w:r>
      <w:r w:rsidR="004C01FF" w:rsidRPr="00272ECE">
        <w:t>r</w:t>
      </w:r>
      <w:r w:rsidRPr="00272ECE">
        <w:t xml:space="preserve">ituximab, </w:t>
      </w:r>
      <w:r w:rsidR="004C01FF" w:rsidRPr="00272ECE">
        <w:t>o</w:t>
      </w:r>
      <w:r w:rsidRPr="00272ECE">
        <w:t xml:space="preserve">fatumumab and </w:t>
      </w:r>
      <w:r w:rsidR="004C01FF" w:rsidRPr="00272ECE">
        <w:t>o</w:t>
      </w:r>
      <w:r w:rsidRPr="00272ECE">
        <w:t>binutuzumab.</w:t>
      </w:r>
    </w:p>
    <w:p w14:paraId="07EB0063" w14:textId="27C075F4" w:rsidR="00AC0F13" w:rsidRDefault="002B2D1B" w:rsidP="00AE748F">
      <w:pPr>
        <w:pStyle w:val="ListBullet"/>
      </w:pPr>
      <w:r w:rsidRPr="00272ECE">
        <w:t>Targeted therapies:</w:t>
      </w:r>
    </w:p>
    <w:p w14:paraId="2F6AA6BE" w14:textId="5CCE1E60" w:rsidR="00AE748F" w:rsidRPr="009B376D" w:rsidRDefault="00BA381C" w:rsidP="009B376D">
      <w:pPr>
        <w:pStyle w:val="ListBullet2"/>
      </w:pPr>
      <w:r w:rsidRPr="009B376D">
        <w:t>phosphatidylinositol-3-kinase (</w:t>
      </w:r>
      <w:r w:rsidR="002B2D1B" w:rsidRPr="009B376D">
        <w:t>P</w:t>
      </w:r>
      <w:r w:rsidR="00B01AAC" w:rsidRPr="009B376D">
        <w:t>I</w:t>
      </w:r>
      <w:r w:rsidR="002B2D1B" w:rsidRPr="009B376D">
        <w:t>3K</w:t>
      </w:r>
      <w:r w:rsidRPr="009B376D">
        <w:t>)</w:t>
      </w:r>
      <w:r w:rsidR="002B2D1B" w:rsidRPr="009B376D">
        <w:t xml:space="preserve"> inhibitors such as </w:t>
      </w:r>
      <w:proofErr w:type="spellStart"/>
      <w:r w:rsidR="004C01FF" w:rsidRPr="009B376D">
        <w:t>i</w:t>
      </w:r>
      <w:r w:rsidR="002B2D1B" w:rsidRPr="009B376D">
        <w:t>delalisib</w:t>
      </w:r>
      <w:proofErr w:type="spellEnd"/>
      <w:r w:rsidR="004C01FF" w:rsidRPr="009B376D">
        <w:t xml:space="preserve"> and d</w:t>
      </w:r>
      <w:r w:rsidR="002B2D1B" w:rsidRPr="009B376D">
        <w:t xml:space="preserve">uvelisib </w:t>
      </w:r>
      <w:r w:rsidR="00BE5105" w:rsidRPr="009B376D">
        <w:t>(</w:t>
      </w:r>
      <w:r w:rsidR="002B2D1B" w:rsidRPr="009B376D">
        <w:t xml:space="preserve">although reports of side effects including pneumonia, neutropenia and diarrhoea have reduced use and stopped further development of this class of agents for treatment of </w:t>
      </w:r>
      <w:proofErr w:type="spellStart"/>
      <w:r w:rsidR="002B2D1B" w:rsidRPr="009B376D">
        <w:t>CLL</w:t>
      </w:r>
      <w:proofErr w:type="spellEnd"/>
      <w:r w:rsidR="002B2D1B" w:rsidRPr="009B376D">
        <w:t>/SLL.</w:t>
      </w:r>
      <w:r w:rsidR="00432588" w:rsidRPr="008456FF">
        <w:rPr>
          <w:rStyle w:val="FootnoteReference"/>
        </w:rPr>
        <w:footnoteReference w:id="5"/>
      </w:r>
      <w:r w:rsidR="00BE5105" w:rsidRPr="009B376D">
        <w:t>)</w:t>
      </w:r>
    </w:p>
    <w:p w14:paraId="796C4A05" w14:textId="023F19C9" w:rsidR="002B2D1B" w:rsidRPr="009B376D" w:rsidRDefault="002B2D1B" w:rsidP="009B376D">
      <w:pPr>
        <w:pStyle w:val="ListBullet2"/>
      </w:pPr>
      <w:r w:rsidRPr="009B376D">
        <w:t>Covalent</w:t>
      </w:r>
      <w:r w:rsidR="00230054" w:rsidRPr="009B376D">
        <w:t xml:space="preserve"> Bruton's tyrosine kinase</w:t>
      </w:r>
      <w:r w:rsidRPr="009B376D">
        <w:t xml:space="preserve"> </w:t>
      </w:r>
      <w:r w:rsidR="00230054" w:rsidRPr="009B376D">
        <w:t>(</w:t>
      </w:r>
      <w:r w:rsidRPr="009B376D">
        <w:t>BTK</w:t>
      </w:r>
      <w:r w:rsidR="00230054" w:rsidRPr="009B376D">
        <w:t>)</w:t>
      </w:r>
      <w:r w:rsidRPr="009B376D">
        <w:t xml:space="preserve"> inhibitors</w:t>
      </w:r>
      <w:r w:rsidR="00243615" w:rsidRPr="009B376D">
        <w:t>:</w:t>
      </w:r>
      <w:r w:rsidRPr="009B376D">
        <w:t xml:space="preserve"> </w:t>
      </w:r>
      <w:r w:rsidR="00BE5105" w:rsidRPr="009B376D">
        <w:t>i</w:t>
      </w:r>
      <w:r w:rsidRPr="009B376D">
        <w:t xml:space="preserve">brutinib, </w:t>
      </w:r>
      <w:r w:rsidR="00BE5105" w:rsidRPr="009B376D">
        <w:t>a</w:t>
      </w:r>
      <w:r w:rsidRPr="009B376D">
        <w:t>calabrutinib</w:t>
      </w:r>
      <w:r w:rsidR="007F7D3F" w:rsidRPr="009B376D">
        <w:t xml:space="preserve"> and</w:t>
      </w:r>
      <w:r w:rsidRPr="009B376D">
        <w:t xml:space="preserve"> </w:t>
      </w:r>
      <w:proofErr w:type="spellStart"/>
      <w:r w:rsidR="00BE5105" w:rsidRPr="009B376D">
        <w:t>z</w:t>
      </w:r>
      <w:r w:rsidRPr="009B376D">
        <w:t>anubrutinib</w:t>
      </w:r>
      <w:proofErr w:type="spellEnd"/>
      <w:r w:rsidRPr="009B376D">
        <w:t>.</w:t>
      </w:r>
    </w:p>
    <w:p w14:paraId="4A60A9F6" w14:textId="53ABF264" w:rsidR="002B2D1B" w:rsidRPr="009B376D" w:rsidRDefault="00542004" w:rsidP="009B376D">
      <w:pPr>
        <w:pStyle w:val="ListBullet2"/>
      </w:pPr>
      <w:r w:rsidRPr="009B376D">
        <w:t>B-</w:t>
      </w:r>
      <w:r w:rsidR="00313A39" w:rsidRPr="009B376D">
        <w:t>c</w:t>
      </w:r>
      <w:r w:rsidRPr="009B376D">
        <w:t xml:space="preserve">ell </w:t>
      </w:r>
      <w:r w:rsidR="00313A39" w:rsidRPr="009B376D">
        <w:t>l</w:t>
      </w:r>
      <w:r w:rsidRPr="009B376D">
        <w:t>ymphoma-2 (</w:t>
      </w:r>
      <w:r w:rsidR="002B2D1B" w:rsidRPr="009B376D">
        <w:t>BCL-2</w:t>
      </w:r>
      <w:r w:rsidRPr="009B376D">
        <w:t>)</w:t>
      </w:r>
      <w:r w:rsidR="002B2D1B" w:rsidRPr="009B376D">
        <w:t xml:space="preserve"> inhibitors: </w:t>
      </w:r>
      <w:r w:rsidR="00BE5105" w:rsidRPr="009B376D">
        <w:t>v</w:t>
      </w:r>
      <w:r w:rsidR="002B2D1B" w:rsidRPr="009B376D">
        <w:t>enetoclax</w:t>
      </w:r>
    </w:p>
    <w:p w14:paraId="79651DDA" w14:textId="026805B4" w:rsidR="002B2D1B" w:rsidRPr="00272ECE" w:rsidRDefault="002B2D1B" w:rsidP="00AF39EA">
      <w:pPr>
        <w:pStyle w:val="ListBullet"/>
      </w:pPr>
      <w:r w:rsidRPr="00272ECE">
        <w:t xml:space="preserve">CD19 </w:t>
      </w:r>
      <w:r w:rsidR="000C04CA" w:rsidRPr="00272ECE">
        <w:t xml:space="preserve">chimeric antigen receptors </w:t>
      </w:r>
      <w:r w:rsidR="000C04CA" w:rsidRPr="00AE748F">
        <w:t>(</w:t>
      </w:r>
      <w:r w:rsidRPr="00AE748F">
        <w:t>CAR</w:t>
      </w:r>
      <w:r w:rsidR="000C04CA" w:rsidRPr="00AE748F">
        <w:t>)</w:t>
      </w:r>
      <w:r w:rsidR="00D56023" w:rsidRPr="00272ECE">
        <w:t xml:space="preserve"> </w:t>
      </w:r>
      <w:r w:rsidRPr="00272ECE">
        <w:t xml:space="preserve">T cells therapy (although additional clinical studies </w:t>
      </w:r>
      <w:r w:rsidR="000748B5" w:rsidRPr="00272ECE">
        <w:t xml:space="preserve">are </w:t>
      </w:r>
      <w:r w:rsidRPr="00272ECE">
        <w:t>required).</w:t>
      </w:r>
    </w:p>
    <w:p w14:paraId="5AA2ED15" w14:textId="77777777" w:rsidR="002B2D1B" w:rsidRPr="00272ECE" w:rsidRDefault="002B2D1B" w:rsidP="000748B5">
      <w:r w:rsidRPr="00272ECE">
        <w:t>The following treatments are available in Australia for intermediate and advanced stages of CLL:</w:t>
      </w:r>
    </w:p>
    <w:p w14:paraId="376E1519" w14:textId="03F446A8" w:rsidR="002B2D1B" w:rsidRPr="00272ECE" w:rsidRDefault="002B2D1B" w:rsidP="000748B5">
      <w:pPr>
        <w:pStyle w:val="ListBullet"/>
      </w:pPr>
      <w:r w:rsidRPr="00272ECE">
        <w:t>Chemoimmunotherapy (</w:t>
      </w:r>
      <w:r w:rsidR="000748B5" w:rsidRPr="00272ECE">
        <w:t>for example</w:t>
      </w:r>
      <w:r w:rsidRPr="00272ECE">
        <w:t xml:space="preserve">, </w:t>
      </w:r>
      <w:r w:rsidR="00BE5105" w:rsidRPr="00272ECE">
        <w:t>o</w:t>
      </w:r>
      <w:r w:rsidRPr="00272ECE">
        <w:t xml:space="preserve">binutuzumab, </w:t>
      </w:r>
      <w:r w:rsidR="00EA4890" w:rsidRPr="00272ECE">
        <w:t>c</w:t>
      </w:r>
      <w:r w:rsidRPr="00272ECE">
        <w:t>hlorambucil</w:t>
      </w:r>
      <w:r w:rsidR="00C07D98" w:rsidRPr="00272ECE">
        <w:t xml:space="preserve"> and </w:t>
      </w:r>
      <w:r w:rsidR="00BE5105" w:rsidRPr="00272ECE">
        <w:t>r</w:t>
      </w:r>
      <w:r w:rsidRPr="00272ECE">
        <w:t>ituximab)</w:t>
      </w:r>
    </w:p>
    <w:p w14:paraId="152C2B17" w14:textId="7CC2F1FB" w:rsidR="002B2D1B" w:rsidRPr="00272ECE" w:rsidRDefault="002B2D1B" w:rsidP="000748B5">
      <w:pPr>
        <w:pStyle w:val="ListBullet"/>
      </w:pPr>
      <w:r w:rsidRPr="00272ECE">
        <w:t xml:space="preserve">Covalent </w:t>
      </w:r>
      <w:r w:rsidR="0066775B">
        <w:t>BTK</w:t>
      </w:r>
      <w:r w:rsidRPr="00272ECE">
        <w:t xml:space="preserve"> inhibitors (</w:t>
      </w:r>
      <w:r w:rsidR="00047555" w:rsidRPr="00272ECE">
        <w:t>for example,</w:t>
      </w:r>
      <w:r w:rsidRPr="00272ECE">
        <w:t xml:space="preserve"> </w:t>
      </w:r>
      <w:r w:rsidR="00BE5105" w:rsidRPr="00272ECE">
        <w:t>i</w:t>
      </w:r>
      <w:r w:rsidRPr="00272ECE">
        <w:t xml:space="preserve">brutinib, </w:t>
      </w:r>
      <w:r w:rsidR="00BE5105" w:rsidRPr="00272ECE">
        <w:t>a</w:t>
      </w:r>
      <w:r w:rsidRPr="00272ECE">
        <w:t>calabrutinib</w:t>
      </w:r>
      <w:r w:rsidR="00C07D98" w:rsidRPr="00272ECE">
        <w:t xml:space="preserve"> and </w:t>
      </w:r>
      <w:proofErr w:type="spellStart"/>
      <w:r w:rsidR="00BE5105" w:rsidRPr="00272ECE">
        <w:t>z</w:t>
      </w:r>
      <w:r w:rsidRPr="00272ECE">
        <w:t>anubrutinib</w:t>
      </w:r>
      <w:proofErr w:type="spellEnd"/>
      <w:r w:rsidRPr="00272ECE">
        <w:t>)</w:t>
      </w:r>
    </w:p>
    <w:p w14:paraId="5A7DBE03" w14:textId="1BE6CA03" w:rsidR="002B2D1B" w:rsidRPr="00272ECE" w:rsidRDefault="002B2D1B" w:rsidP="000748B5">
      <w:pPr>
        <w:pStyle w:val="ListBullet"/>
      </w:pPr>
      <w:r w:rsidRPr="00272ECE">
        <w:t>BCL-2 inhibitors (</w:t>
      </w:r>
      <w:r w:rsidR="00C07D98" w:rsidRPr="00272ECE">
        <w:t>for example,</w:t>
      </w:r>
      <w:r w:rsidRPr="00272ECE">
        <w:t xml:space="preserve"> </w:t>
      </w:r>
      <w:r w:rsidR="00BE5105" w:rsidRPr="00272ECE">
        <w:t>v</w:t>
      </w:r>
      <w:r w:rsidRPr="00272ECE">
        <w:t>enetoclax)</w:t>
      </w:r>
    </w:p>
    <w:p w14:paraId="24EF5CD2" w14:textId="77777777" w:rsidR="002B2D1B" w:rsidRPr="00272ECE" w:rsidRDefault="002B2D1B" w:rsidP="000748B5">
      <w:pPr>
        <w:pStyle w:val="ListBullet"/>
      </w:pPr>
      <w:r w:rsidRPr="00272ECE">
        <w:t>Allogeneic stem cell transplant</w:t>
      </w:r>
    </w:p>
    <w:p w14:paraId="0DC8B511" w14:textId="77777777" w:rsidR="002B2D1B" w:rsidRPr="00272ECE" w:rsidRDefault="002B2D1B" w:rsidP="000748B5">
      <w:pPr>
        <w:pStyle w:val="ListBullet"/>
      </w:pPr>
      <w:r w:rsidRPr="00272ECE">
        <w:t>Novel targeted treatments available through clinical trials</w:t>
      </w:r>
    </w:p>
    <w:p w14:paraId="67D6F94E" w14:textId="390CF86E" w:rsidR="002B2D1B" w:rsidRPr="00272ECE" w:rsidRDefault="002B2D1B" w:rsidP="000748B5">
      <w:pPr>
        <w:pStyle w:val="ListBullet"/>
        <w:rPr>
          <w:lang w:eastAsia="ja-JP"/>
        </w:rPr>
      </w:pPr>
      <w:r w:rsidRPr="00272ECE">
        <w:t>Supportive care includes other therapies to treat symptoms of CLL and may include antibiotics, blood transfusions and corticosteroids.</w:t>
      </w:r>
    </w:p>
    <w:p w14:paraId="21C3D1B6" w14:textId="69ADEC03" w:rsidR="002B2D1B" w:rsidRPr="00272ECE" w:rsidRDefault="002B2D1B" w:rsidP="0021198B">
      <w:r w:rsidRPr="00272ECE">
        <w:t xml:space="preserve">Bruton’s tyrosine kinase (BTK) inhibitors and BCL-2 inhibitors are the preferred standard of care for the </w:t>
      </w:r>
      <w:r w:rsidR="00D17CDC" w:rsidRPr="00272ECE">
        <w:t>first- and second-line</w:t>
      </w:r>
      <w:r w:rsidRPr="00272ECE">
        <w:t xml:space="preserve"> treatment of CLL/SLL. However, as with long</w:t>
      </w:r>
      <w:r w:rsidR="001D4A41" w:rsidRPr="00272ECE">
        <w:t xml:space="preserve"> </w:t>
      </w:r>
      <w:r w:rsidRPr="00272ECE">
        <w:t>term exposure of most current targeted agents, most patients eventually develop resistance to BTK and BCL-2 inhibitors. As patients continue to relapse, the durations of subsequent treatments shorten with each line of therapy. Different treatment strategies available for first line therapy of CLL</w:t>
      </w:r>
      <w:r w:rsidR="005B4FE8" w:rsidRPr="00272ECE">
        <w:t xml:space="preserve"> are summarised in </w:t>
      </w:r>
      <w:r w:rsidR="001F1B6A" w:rsidRPr="00272ECE">
        <w:fldChar w:fldCharType="begin"/>
      </w:r>
      <w:r w:rsidR="001F1B6A" w:rsidRPr="00272ECE">
        <w:instrText xml:space="preserve"> REF _Ref237359235 \h </w:instrText>
      </w:r>
      <w:r w:rsidR="001F1B6A" w:rsidRPr="00272ECE">
        <w:fldChar w:fldCharType="separate"/>
      </w:r>
      <w:r w:rsidR="001F1B6A" w:rsidRPr="00272ECE">
        <w:t>Figure 1</w:t>
      </w:r>
      <w:r w:rsidR="001F1B6A" w:rsidRPr="00272ECE">
        <w:fldChar w:fldCharType="end"/>
      </w:r>
      <w:r w:rsidRPr="00272ECE">
        <w:t xml:space="preserve">. Recently published </w:t>
      </w:r>
      <w:r w:rsidR="00B9052C" w:rsidRPr="00272ECE">
        <w:t xml:space="preserve">European Society for Medical </w:t>
      </w:r>
      <w:r w:rsidR="00B9052C" w:rsidRPr="0007211B">
        <w:t>Oncology (</w:t>
      </w:r>
      <w:r w:rsidRPr="0007211B">
        <w:t>ESMO</w:t>
      </w:r>
      <w:r w:rsidR="00B9052C" w:rsidRPr="0007211B">
        <w:t>)</w:t>
      </w:r>
      <w:r w:rsidRPr="00272ECE">
        <w:t xml:space="preserve"> </w:t>
      </w:r>
      <w:r w:rsidR="00545AD0" w:rsidRPr="00272ECE">
        <w:t xml:space="preserve">clinical practice guideline interim update on new targeted therapies in first line and at relapse of CLL supports the use of </w:t>
      </w:r>
      <w:r w:rsidR="00A73474" w:rsidRPr="00272ECE">
        <w:t>v</w:t>
      </w:r>
      <w:r w:rsidR="00545AD0" w:rsidRPr="00272ECE">
        <w:t>en</w:t>
      </w:r>
      <w:r w:rsidR="00472C96">
        <w:t>e</w:t>
      </w:r>
      <w:r w:rsidR="00545AD0" w:rsidRPr="00272ECE">
        <w:t>toclax-</w:t>
      </w:r>
      <w:r w:rsidR="00A73474" w:rsidRPr="00272ECE">
        <w:t>r</w:t>
      </w:r>
      <w:r w:rsidR="00545AD0" w:rsidRPr="00272ECE">
        <w:t>ituximab (</w:t>
      </w:r>
      <w:r w:rsidR="00FD7BB1" w:rsidRPr="00272ECE">
        <w:t>Rai</w:t>
      </w:r>
      <w:r w:rsidR="0070725E" w:rsidRPr="00272ECE">
        <w:t xml:space="preserve"> </w:t>
      </w:r>
      <w:r w:rsidR="005B0C18" w:rsidRPr="00272ECE">
        <w:t xml:space="preserve">stage </w:t>
      </w:r>
      <w:r w:rsidR="00545AD0" w:rsidRPr="00272ECE">
        <w:t>III,</w:t>
      </w:r>
      <w:r w:rsidR="0070725E" w:rsidRPr="00272ECE">
        <w:t xml:space="preserve"> Binet</w:t>
      </w:r>
      <w:r w:rsidR="005B0C18" w:rsidRPr="00272ECE">
        <w:t xml:space="preserve"> stage</w:t>
      </w:r>
      <w:r w:rsidR="0070725E" w:rsidRPr="00272ECE">
        <w:t xml:space="preserve"> </w:t>
      </w:r>
      <w:r w:rsidR="00545AD0" w:rsidRPr="00272ECE">
        <w:t xml:space="preserve">A), </w:t>
      </w:r>
      <w:proofErr w:type="spellStart"/>
      <w:r w:rsidR="00A73474" w:rsidRPr="00272ECE">
        <w:t>i</w:t>
      </w:r>
      <w:r w:rsidR="00545AD0" w:rsidRPr="00272ECE">
        <w:t>delalisib</w:t>
      </w:r>
      <w:proofErr w:type="spellEnd"/>
      <w:r w:rsidR="00545AD0" w:rsidRPr="00272ECE">
        <w:t>-</w:t>
      </w:r>
      <w:r w:rsidR="00A73474" w:rsidRPr="00272ECE">
        <w:t>r</w:t>
      </w:r>
      <w:r w:rsidR="00545AD0" w:rsidRPr="00272ECE">
        <w:t xml:space="preserve">ituximab </w:t>
      </w:r>
      <w:r w:rsidR="00545AD0" w:rsidRPr="00272ECE">
        <w:lastRenderedPageBreak/>
        <w:t>(</w:t>
      </w:r>
      <w:r w:rsidR="0070725E" w:rsidRPr="00272ECE">
        <w:t xml:space="preserve">Rai </w:t>
      </w:r>
      <w:r w:rsidR="005B0C18" w:rsidRPr="00272ECE">
        <w:t xml:space="preserve">stage </w:t>
      </w:r>
      <w:r w:rsidR="00545AD0" w:rsidRPr="00272ECE">
        <w:t xml:space="preserve">III, </w:t>
      </w:r>
      <w:r w:rsidR="0070725E" w:rsidRPr="00272ECE">
        <w:t>Bi</w:t>
      </w:r>
      <w:r w:rsidR="00636A60" w:rsidRPr="00272ECE">
        <w:t>n</w:t>
      </w:r>
      <w:r w:rsidR="0070725E" w:rsidRPr="00272ECE">
        <w:t>et</w:t>
      </w:r>
      <w:r w:rsidR="005B0C18" w:rsidRPr="00272ECE">
        <w:t xml:space="preserve"> stage</w:t>
      </w:r>
      <w:r w:rsidR="0070725E" w:rsidRPr="00272ECE">
        <w:t xml:space="preserve"> </w:t>
      </w:r>
      <w:r w:rsidR="00545AD0" w:rsidRPr="00272ECE">
        <w:t xml:space="preserve">B) or </w:t>
      </w:r>
      <w:r w:rsidR="00636A60" w:rsidRPr="00272ECE">
        <w:t>n</w:t>
      </w:r>
      <w:r w:rsidR="00545AD0" w:rsidRPr="00272ECE">
        <w:t>on-covalent BTK</w:t>
      </w:r>
      <w:r w:rsidR="00636A60" w:rsidRPr="00272ECE">
        <w:t xml:space="preserve"> inhibitor</w:t>
      </w:r>
      <w:r w:rsidR="00545AD0" w:rsidRPr="00272ECE">
        <w:t xml:space="preserve"> (</w:t>
      </w:r>
      <w:r w:rsidR="0070725E" w:rsidRPr="00272ECE">
        <w:t>Rai</w:t>
      </w:r>
      <w:r w:rsidR="005B0C18" w:rsidRPr="00272ECE">
        <w:t xml:space="preserve"> stage </w:t>
      </w:r>
      <w:r w:rsidR="00545AD0" w:rsidRPr="00272ECE">
        <w:t xml:space="preserve">III, </w:t>
      </w:r>
      <w:r w:rsidR="0070725E" w:rsidRPr="00272ECE">
        <w:t>Binet</w:t>
      </w:r>
      <w:r w:rsidR="005B0C18" w:rsidRPr="00272ECE">
        <w:t xml:space="preserve"> stage</w:t>
      </w:r>
      <w:r w:rsidR="0070725E" w:rsidRPr="00272ECE">
        <w:t xml:space="preserve"> </w:t>
      </w:r>
      <w:r w:rsidR="00545AD0" w:rsidRPr="00272ECE">
        <w:t xml:space="preserve">A) in treatment of symptomatic relapsed CLL that has progressed on a </w:t>
      </w:r>
      <w:proofErr w:type="spellStart"/>
      <w:r w:rsidR="00545AD0" w:rsidRPr="00272ECE">
        <w:t>BTK</w:t>
      </w:r>
      <w:proofErr w:type="spellEnd"/>
      <w:r w:rsidR="0070725E" w:rsidRPr="00272ECE">
        <w:t xml:space="preserve"> inhibitor</w:t>
      </w:r>
      <w:r w:rsidR="00545AD0" w:rsidRPr="00272ECE">
        <w:t xml:space="preserve"> </w:t>
      </w:r>
      <w:r w:rsidRPr="00272ECE">
        <w:t>(</w:t>
      </w:r>
      <w:r w:rsidR="00312903" w:rsidRPr="00272ECE">
        <w:fldChar w:fldCharType="begin"/>
      </w:r>
      <w:r w:rsidR="00312903" w:rsidRPr="00272ECE">
        <w:instrText xml:space="preserve"> REF _Ref237359235 \h </w:instrText>
      </w:r>
      <w:r w:rsidR="00312903" w:rsidRPr="00272ECE">
        <w:fldChar w:fldCharType="separate"/>
      </w:r>
      <w:r w:rsidR="00312903" w:rsidRPr="00272ECE">
        <w:t>Figure 1</w:t>
      </w:r>
      <w:r w:rsidR="00312903" w:rsidRPr="00272ECE">
        <w:fldChar w:fldCharType="end"/>
      </w:r>
      <w:r w:rsidRPr="00272ECE">
        <w:t>).</w:t>
      </w:r>
    </w:p>
    <w:p w14:paraId="705102FD" w14:textId="3B197625" w:rsidR="002B2D1B" w:rsidRPr="00272ECE" w:rsidRDefault="005B4FE8" w:rsidP="0021198B">
      <w:pPr>
        <w:pStyle w:val="FigureTitle"/>
      </w:pPr>
      <w:bookmarkStart w:id="20" w:name="_Ref237359235"/>
      <w:r w:rsidRPr="00272ECE">
        <w:t xml:space="preserve">Figure </w:t>
      </w:r>
      <w:r w:rsidR="00CA21F6">
        <w:fldChar w:fldCharType="begin"/>
      </w:r>
      <w:r w:rsidR="00CA21F6">
        <w:instrText xml:space="preserve"> SEQ Figure \* ARABIC </w:instrText>
      </w:r>
      <w:r w:rsidR="00CA21F6">
        <w:fldChar w:fldCharType="separate"/>
      </w:r>
      <w:r w:rsidR="00CA21F6" w:rsidRPr="00272ECE">
        <w:t>1</w:t>
      </w:r>
      <w:r w:rsidR="00CA21F6">
        <w:fldChar w:fldCharType="end"/>
      </w:r>
      <w:bookmarkEnd w:id="20"/>
      <w:r w:rsidR="00312903" w:rsidRPr="00272ECE">
        <w:t xml:space="preserve">: Relapse therapy for chronic </w:t>
      </w:r>
      <w:r w:rsidR="008238CD" w:rsidRPr="00272ECE">
        <w:t>lymphocytic leukemia</w:t>
      </w:r>
      <w:r w:rsidR="009C61CA" w:rsidRPr="00272ECE">
        <w:rPr>
          <w:rStyle w:val="FootnoteReference"/>
        </w:rPr>
        <w:footnoteReference w:id="6"/>
      </w:r>
    </w:p>
    <w:p w14:paraId="1322FB97" w14:textId="1E879B47" w:rsidR="00B964D5" w:rsidRPr="00272ECE" w:rsidRDefault="00B964D5" w:rsidP="0021198B">
      <w:r w:rsidRPr="00272ECE">
        <w:rPr>
          <w:noProof/>
        </w:rPr>
        <w:drawing>
          <wp:inline distT="0" distB="0" distL="0" distR="0" wp14:anchorId="535CA37F" wp14:editId="719E7C69">
            <wp:extent cx="5759450" cy="2428875"/>
            <wp:effectExtent l="0" t="0" r="0" b="9525"/>
            <wp:docPr id="949424453" name="Picture 1" descr="Figure 1: Relapse therapy for chronic lymphocytic leukem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24453" name="Picture 1" descr="Figure 1: Relapse therapy for chronic lymphocytic leukemia "/>
                    <pic:cNvPicPr/>
                  </pic:nvPicPr>
                  <pic:blipFill rotWithShape="1">
                    <a:blip r:embed="rId23"/>
                    <a:srcRect t="5874" b="513"/>
                    <a:stretch>
                      <a:fillRect/>
                    </a:stretch>
                  </pic:blipFill>
                  <pic:spPr bwMode="auto">
                    <a:xfrm>
                      <a:off x="0" y="0"/>
                      <a:ext cx="5759450" cy="2428875"/>
                    </a:xfrm>
                    <a:prstGeom prst="rect">
                      <a:avLst/>
                    </a:prstGeom>
                    <a:ln>
                      <a:noFill/>
                    </a:ln>
                    <a:extLst>
                      <a:ext uri="{53640926-AAD7-44D8-BBD7-CCE9431645EC}">
                        <a14:shadowObscured xmlns:a14="http://schemas.microsoft.com/office/drawing/2010/main"/>
                      </a:ext>
                    </a:extLst>
                  </pic:spPr>
                </pic:pic>
              </a:graphicData>
            </a:graphic>
          </wp:inline>
        </w:drawing>
      </w:r>
    </w:p>
    <w:p w14:paraId="35E0D75C" w14:textId="30AFFFAE" w:rsidR="002B2D1B" w:rsidRPr="00272ECE" w:rsidRDefault="00907BD1" w:rsidP="0021198B">
      <w:pPr>
        <w:pStyle w:val="FigureDescription"/>
      </w:pPr>
      <w:r w:rsidRPr="00272ECE">
        <w:t xml:space="preserve">Abbreviations: </w:t>
      </w:r>
      <w:proofErr w:type="spellStart"/>
      <w:r w:rsidR="002B2D1B" w:rsidRPr="00272ECE">
        <w:t>alloSCT</w:t>
      </w:r>
      <w:proofErr w:type="spellEnd"/>
      <w:r w:rsidRPr="00272ECE">
        <w:t> = </w:t>
      </w:r>
      <w:r w:rsidR="002B2D1B" w:rsidRPr="00272ECE">
        <w:t xml:space="preserve">allogeneic stem </w:t>
      </w:r>
      <w:r w:rsidR="002B2D1B" w:rsidRPr="0021198B">
        <w:t>cell</w:t>
      </w:r>
      <w:r w:rsidR="002B2D1B" w:rsidRPr="00272ECE">
        <w:t xml:space="preserve"> transplantation</w:t>
      </w:r>
      <w:r w:rsidRPr="00272ECE">
        <w:t>,</w:t>
      </w:r>
      <w:r w:rsidR="002B2D1B" w:rsidRPr="00272ECE">
        <w:t xml:space="preserve"> BTKi</w:t>
      </w:r>
      <w:r w:rsidRPr="00272ECE">
        <w:t> = </w:t>
      </w:r>
      <w:r w:rsidR="002B2D1B" w:rsidRPr="00272ECE">
        <w:t>Bruton tyrosine kinase inhibitor</w:t>
      </w:r>
      <w:r w:rsidRPr="00272ECE">
        <w:t>,</w:t>
      </w:r>
      <w:r w:rsidR="002B2D1B" w:rsidRPr="00272ECE">
        <w:t xml:space="preserve"> CIT</w:t>
      </w:r>
      <w:r w:rsidRPr="00272ECE">
        <w:t> = </w:t>
      </w:r>
      <w:r w:rsidR="002B2D1B" w:rsidRPr="00272ECE">
        <w:t>chemoimmunotherapy</w:t>
      </w:r>
      <w:r w:rsidRPr="00272ECE">
        <w:t>,</w:t>
      </w:r>
      <w:r w:rsidR="002B2D1B" w:rsidRPr="00272ECE">
        <w:t xml:space="preserve"> CLL</w:t>
      </w:r>
      <w:r w:rsidRPr="00272ECE">
        <w:t> = </w:t>
      </w:r>
      <w:r w:rsidR="002B2D1B" w:rsidRPr="00272ECE">
        <w:t>chronic lymphocytic leukemia</w:t>
      </w:r>
      <w:r w:rsidRPr="00272ECE">
        <w:t>,</w:t>
      </w:r>
      <w:r w:rsidR="002B2D1B" w:rsidRPr="00272ECE">
        <w:t xml:space="preserve"> del</w:t>
      </w:r>
      <w:r w:rsidR="00181C01" w:rsidRPr="00272ECE">
        <w:t> = </w:t>
      </w:r>
      <w:r w:rsidR="002B2D1B" w:rsidRPr="00272ECE">
        <w:t>deletion</w:t>
      </w:r>
      <w:r w:rsidR="00181C01" w:rsidRPr="00272ECE">
        <w:t>,</w:t>
      </w:r>
      <w:r w:rsidR="002B2D1B" w:rsidRPr="00272ECE">
        <w:t xml:space="preserve"> EMA</w:t>
      </w:r>
      <w:r w:rsidR="00181C01" w:rsidRPr="00272ECE">
        <w:t> = </w:t>
      </w:r>
      <w:r w:rsidR="002B2D1B" w:rsidRPr="00272ECE">
        <w:t>European Medicines Agency</w:t>
      </w:r>
      <w:r w:rsidR="00181C01" w:rsidRPr="00272ECE">
        <w:t xml:space="preserve">, </w:t>
      </w:r>
      <w:r w:rsidR="002B2D1B" w:rsidRPr="00272ECE">
        <w:t>FDA</w:t>
      </w:r>
      <w:r w:rsidR="00181C01" w:rsidRPr="00272ECE">
        <w:t> = </w:t>
      </w:r>
      <w:r w:rsidR="002B2D1B" w:rsidRPr="00272ECE">
        <w:t>Food and Drug Administration</w:t>
      </w:r>
      <w:r w:rsidR="00181C01" w:rsidRPr="00272ECE">
        <w:t>,</w:t>
      </w:r>
      <w:r w:rsidR="002B2D1B" w:rsidRPr="00272ECE">
        <w:t xml:space="preserve"> Tx</w:t>
      </w:r>
      <w:r w:rsidR="00C16BD0" w:rsidRPr="00272ECE">
        <w:t> = </w:t>
      </w:r>
      <w:r w:rsidR="002B2D1B" w:rsidRPr="00272ECE">
        <w:t>treatment.</w:t>
      </w:r>
    </w:p>
    <w:p w14:paraId="0DB2AF47" w14:textId="2F5F3BCE" w:rsidR="002B2D1B" w:rsidRPr="00272ECE" w:rsidRDefault="002B2D1B" w:rsidP="0021198B">
      <w:pPr>
        <w:pStyle w:val="FigureDescription"/>
      </w:pPr>
      <w:proofErr w:type="spellStart"/>
      <w:r w:rsidRPr="00272ECE">
        <w:rPr>
          <w:vertAlign w:val="superscript"/>
        </w:rPr>
        <w:t>a</w:t>
      </w:r>
      <w:proofErr w:type="spellEnd"/>
      <w:r w:rsidRPr="00272ECE">
        <w:t xml:space="preserve"> </w:t>
      </w:r>
      <w:proofErr w:type="gramStart"/>
      <w:r w:rsidRPr="00272ECE">
        <w:t>For</w:t>
      </w:r>
      <w:proofErr w:type="gramEnd"/>
      <w:r w:rsidRPr="00272ECE">
        <w:t xml:space="preserve"> relapse after CIT, BTKis or venetoclax</w:t>
      </w:r>
      <w:r w:rsidR="001557CC">
        <w:t>/</w:t>
      </w:r>
      <w:r w:rsidRPr="00272ECE">
        <w:t>rituximab should be considered equally, depending on comorbidities, comedication, access and preference.</w:t>
      </w:r>
    </w:p>
    <w:p w14:paraId="1AFAFBE1" w14:textId="77777777" w:rsidR="002B2D1B" w:rsidRPr="00272ECE" w:rsidRDefault="002B2D1B" w:rsidP="0021198B">
      <w:pPr>
        <w:pStyle w:val="FigureDescription"/>
      </w:pPr>
      <w:r w:rsidRPr="00272ECE">
        <w:rPr>
          <w:vertAlign w:val="superscript"/>
        </w:rPr>
        <w:t>b</w:t>
      </w:r>
      <w:r w:rsidRPr="00272ECE">
        <w:t xml:space="preserve"> Ibrutinib should be considered carefully particularly in older patients with cardiac comorbidities.</w:t>
      </w:r>
    </w:p>
    <w:p w14:paraId="299DAC59" w14:textId="77777777" w:rsidR="002B2D1B" w:rsidRPr="00272ECE" w:rsidRDefault="002B2D1B" w:rsidP="006B2A67">
      <w:pPr>
        <w:pStyle w:val="FigureDescription"/>
      </w:pPr>
      <w:r w:rsidRPr="00272ECE">
        <w:rPr>
          <w:vertAlign w:val="superscript"/>
        </w:rPr>
        <w:t>c</w:t>
      </w:r>
      <w:r w:rsidRPr="00272ECE">
        <w:t xml:space="preserve"> Not EMA approved, not FDA approved in relapse.</w:t>
      </w:r>
    </w:p>
    <w:p w14:paraId="20E9A25C" w14:textId="16B17C84" w:rsidR="002B2D1B" w:rsidRPr="00272ECE" w:rsidRDefault="002B2D1B" w:rsidP="0021198B">
      <w:pPr>
        <w:pStyle w:val="FigureDescription"/>
      </w:pPr>
      <w:r w:rsidRPr="00272ECE">
        <w:rPr>
          <w:vertAlign w:val="superscript"/>
        </w:rPr>
        <w:t>d</w:t>
      </w:r>
      <w:r w:rsidRPr="00272ECE">
        <w:t xml:space="preserve"> If a patient relapses after prior treatment with a BTKi, which was stopped due to side-effects, changing to a different BTKi or rechallenge could be considered </w:t>
      </w:r>
      <w:r w:rsidR="006B2A67" w:rsidRPr="00272ECE">
        <w:t xml:space="preserve">(Rai stage </w:t>
      </w:r>
      <w:r w:rsidRPr="00272ECE">
        <w:t xml:space="preserve">III, </w:t>
      </w:r>
      <w:r w:rsidR="006B2A67" w:rsidRPr="00272ECE">
        <w:t xml:space="preserve">Binet stage </w:t>
      </w:r>
      <w:r w:rsidRPr="00272ECE">
        <w:t>B</w:t>
      </w:r>
      <w:r w:rsidR="006B2A67" w:rsidRPr="00272ECE">
        <w:t>)</w:t>
      </w:r>
      <w:r w:rsidRPr="00272ECE">
        <w:t>.</w:t>
      </w:r>
    </w:p>
    <w:p w14:paraId="37C47E09" w14:textId="24FC5992" w:rsidR="00CB6813" w:rsidRPr="00272ECE" w:rsidRDefault="00CB6813" w:rsidP="0021198B">
      <w:pPr>
        <w:pStyle w:val="Heading4"/>
      </w:pPr>
      <w:bookmarkStart w:id="21" w:name="_Toc243316693"/>
      <w:r w:rsidRPr="00272ECE">
        <w:t>Clinical rational</w:t>
      </w:r>
      <w:r w:rsidR="0025785B" w:rsidRPr="00272ECE">
        <w:t>e</w:t>
      </w:r>
      <w:bookmarkEnd w:id="21"/>
    </w:p>
    <w:p w14:paraId="1BF22332" w14:textId="66D06E60" w:rsidR="00CB0A1A" w:rsidRPr="00272ECE" w:rsidRDefault="00CB0A1A" w:rsidP="0021198B">
      <w:r w:rsidRPr="00272ECE">
        <w:t>The clinical rationale as stated</w:t>
      </w:r>
      <w:r w:rsidR="009C4834" w:rsidRPr="00272ECE">
        <w:t xml:space="preserve"> by the sponsor</w:t>
      </w:r>
      <w:r w:rsidRPr="00272ECE">
        <w:t xml:space="preserve"> is as follows:</w:t>
      </w:r>
    </w:p>
    <w:p w14:paraId="06612575" w14:textId="57E6B43F" w:rsidR="006D7EE9" w:rsidRPr="0021198B" w:rsidRDefault="00CB0A1A" w:rsidP="0021198B">
      <w:pPr>
        <w:ind w:left="720"/>
        <w:rPr>
          <w:i/>
          <w:iCs/>
        </w:rPr>
      </w:pPr>
      <w:r w:rsidRPr="0021198B">
        <w:rPr>
          <w:i/>
          <w:iCs/>
        </w:rPr>
        <w:t>Pirtobrutinib (LOXO-305, LY3527727) is an oral reversible, small molecule, noncovalent inhibitor of BTK. BTK plays a critical role in the proliferation and survival of diverse B-cell malignancies. In B-cells, BTK signalling results in activation of pathways necessary for B-cell proliferation, trafficking, chemotaxis, and adhesion. Pirtobrutinib binds with equal affinity to wild type BTK as well as to BTK harbouring C481 mutations, leading to inhibition of BTK activity.</w:t>
      </w:r>
    </w:p>
    <w:p w14:paraId="434286EA" w14:textId="77777777" w:rsidR="00CB0A1A" w:rsidRPr="0021198B" w:rsidRDefault="00CB0A1A" w:rsidP="0021198B">
      <w:pPr>
        <w:ind w:left="720"/>
        <w:rPr>
          <w:i/>
          <w:iCs/>
        </w:rPr>
      </w:pPr>
      <w:r w:rsidRPr="0021198B">
        <w:rPr>
          <w:i/>
          <w:iCs/>
        </w:rPr>
        <w:t xml:space="preserve">In nonclinical studies, pirtobrutinib inhibited BTK-mediated B-cell CD69 expression and inhibited malignant B-cell proliferation. Pirtobrutinib showed dose dependent </w:t>
      </w:r>
      <w:proofErr w:type="spellStart"/>
      <w:r w:rsidRPr="0021198B">
        <w:rPr>
          <w:i/>
          <w:iCs/>
        </w:rPr>
        <w:t>tumor</w:t>
      </w:r>
      <w:proofErr w:type="spellEnd"/>
      <w:r w:rsidRPr="0021198B">
        <w:rPr>
          <w:i/>
          <w:iCs/>
        </w:rPr>
        <w:t xml:space="preserve"> growth inhibition and induced </w:t>
      </w:r>
      <w:proofErr w:type="spellStart"/>
      <w:r w:rsidRPr="0021198B">
        <w:rPr>
          <w:i/>
          <w:iCs/>
        </w:rPr>
        <w:t>tumor</w:t>
      </w:r>
      <w:proofErr w:type="spellEnd"/>
      <w:r w:rsidRPr="0021198B">
        <w:rPr>
          <w:i/>
          <w:iCs/>
        </w:rPr>
        <w:t xml:space="preserve"> regression in </w:t>
      </w:r>
      <w:proofErr w:type="spellStart"/>
      <w:r w:rsidRPr="0021198B">
        <w:rPr>
          <w:i/>
          <w:iCs/>
        </w:rPr>
        <w:t>BTK</w:t>
      </w:r>
      <w:proofErr w:type="spellEnd"/>
      <w:r w:rsidRPr="0021198B">
        <w:rPr>
          <w:i/>
          <w:iCs/>
        </w:rPr>
        <w:t xml:space="preserve"> wild type and BTK C481S mutant mouse xenograft models.</w:t>
      </w:r>
    </w:p>
    <w:p w14:paraId="7CE540BC" w14:textId="77777777" w:rsidR="00CB0A1A" w:rsidRPr="0021198B" w:rsidRDefault="00CB0A1A" w:rsidP="0021198B">
      <w:pPr>
        <w:ind w:left="720"/>
        <w:rPr>
          <w:i/>
          <w:iCs/>
        </w:rPr>
      </w:pPr>
      <w:r w:rsidRPr="0021198B">
        <w:rPr>
          <w:i/>
          <w:iCs/>
        </w:rPr>
        <w:t xml:space="preserve">Pirtobrutinib is distinct from the other BTK inhibitors (ibrutinib, acalabrutinib, and </w:t>
      </w:r>
      <w:proofErr w:type="spellStart"/>
      <w:r w:rsidRPr="0021198B">
        <w:rPr>
          <w:i/>
          <w:iCs/>
        </w:rPr>
        <w:t>zanubrutinib</w:t>
      </w:r>
      <w:proofErr w:type="spellEnd"/>
      <w:r w:rsidRPr="0021198B">
        <w:rPr>
          <w:i/>
          <w:iCs/>
        </w:rPr>
        <w:t xml:space="preserve">) due to its favourable absorption, distribution, metabolism and excretion (ADME) properties, noncovalent binding mode, and selectivity. At the recommended dosage, pirtobrutinib delivers tonic BTK target inhibition throughout the once daily dosing period, regardless of the intrinsic rate of BTK turnover. This allows pirtobrutinib to retain </w:t>
      </w:r>
      <w:r w:rsidRPr="0021198B">
        <w:rPr>
          <w:i/>
          <w:iCs/>
        </w:rPr>
        <w:lastRenderedPageBreak/>
        <w:t>target coverage through the end of the dosing interval (i.e., trough coverage) and in rapidly proliferating tumours with higher BTK protein turnover.</w:t>
      </w:r>
    </w:p>
    <w:p w14:paraId="26A29340" w14:textId="57FFDC7C" w:rsidR="00CB0A1A" w:rsidRPr="0021198B" w:rsidRDefault="00CB0A1A" w:rsidP="0021198B">
      <w:pPr>
        <w:ind w:left="720"/>
        <w:rPr>
          <w:i/>
          <w:iCs/>
          <w:lang w:eastAsia="ja-JP"/>
        </w:rPr>
      </w:pPr>
      <w:r w:rsidRPr="0021198B">
        <w:rPr>
          <w:i/>
          <w:iCs/>
        </w:rPr>
        <w:t xml:space="preserve">Moreover, the noncovalent binding mode of pirtobrutinib is unaffected by BTK C481 substitutions, which commonly cause resistance to covalent BTK inhibitors, particularly in CLL/SLL. Additionally, pirtobrutinib is a highly selective molecule that is more than 300-fold more selective for BTK versus 98% of 370 non-BTK kinases tested, with no significant inhibition of non-kinase targets at 1 </w:t>
      </w:r>
      <w:proofErr w:type="spellStart"/>
      <w:r w:rsidRPr="0021198B">
        <w:rPr>
          <w:i/>
          <w:iCs/>
        </w:rPr>
        <w:t>μM</w:t>
      </w:r>
      <w:proofErr w:type="spellEnd"/>
      <w:r w:rsidRPr="0021198B">
        <w:rPr>
          <w:i/>
          <w:iCs/>
        </w:rPr>
        <w:t>, thus limiting the potential for off-target mediated toxicities.</w:t>
      </w:r>
    </w:p>
    <w:p w14:paraId="0D615854" w14:textId="751017E6" w:rsidR="00324B33" w:rsidRPr="00272ECE" w:rsidRDefault="00324B33" w:rsidP="0021198B">
      <w:pPr>
        <w:pStyle w:val="Heading3"/>
      </w:pPr>
      <w:bookmarkStart w:id="22" w:name="_Toc103679291"/>
      <w:bookmarkStart w:id="23" w:name="_Toc243316694"/>
      <w:r w:rsidRPr="00272ECE">
        <w:t>Regulatory status</w:t>
      </w:r>
      <w:bookmarkEnd w:id="16"/>
      <w:bookmarkEnd w:id="17"/>
      <w:bookmarkEnd w:id="22"/>
      <w:bookmarkEnd w:id="23"/>
    </w:p>
    <w:p w14:paraId="72C889D6" w14:textId="0450EB80" w:rsidR="0017005C" w:rsidRPr="00272ECE" w:rsidRDefault="0017005C" w:rsidP="0021198B">
      <w:pPr>
        <w:pStyle w:val="Heading4"/>
      </w:pPr>
      <w:bookmarkStart w:id="24" w:name="_Toc243316695"/>
      <w:r w:rsidRPr="00272ECE">
        <w:t>Australian regulatory sta</w:t>
      </w:r>
      <w:r w:rsidR="0025785B" w:rsidRPr="00272ECE">
        <w:t>t</w:t>
      </w:r>
      <w:r w:rsidRPr="00272ECE">
        <w:t>us</w:t>
      </w:r>
      <w:bookmarkEnd w:id="24"/>
    </w:p>
    <w:p w14:paraId="6A8633FA" w14:textId="1B76409C" w:rsidR="00324B33" w:rsidRPr="00272ECE" w:rsidRDefault="00324B33" w:rsidP="0021198B">
      <w:r w:rsidRPr="00272ECE">
        <w:t>This product is considered a new chemical</w:t>
      </w:r>
      <w:r w:rsidR="008C754C" w:rsidRPr="00272ECE">
        <w:t xml:space="preserve"> entity</w:t>
      </w:r>
      <w:r w:rsidRPr="00272ECE">
        <w:t xml:space="preserve"> for Australian regulatory purposes.</w:t>
      </w:r>
    </w:p>
    <w:p w14:paraId="546C1031" w14:textId="00042F3B" w:rsidR="0017005C" w:rsidRPr="00272ECE" w:rsidRDefault="00131B1B" w:rsidP="0021198B">
      <w:pPr>
        <w:pStyle w:val="Heading4"/>
      </w:pPr>
      <w:bookmarkStart w:id="25" w:name="_Toc243316696"/>
      <w:r w:rsidRPr="00272ECE">
        <w:t xml:space="preserve">International </w:t>
      </w:r>
      <w:r w:rsidR="0017005C" w:rsidRPr="00272ECE">
        <w:t>regulatory status</w:t>
      </w:r>
      <w:bookmarkEnd w:id="25"/>
    </w:p>
    <w:p w14:paraId="7FDF4A0B" w14:textId="3F999602" w:rsidR="008F4A62" w:rsidRPr="00272ECE" w:rsidRDefault="008F4A62" w:rsidP="0021198B">
      <w:r w:rsidRPr="00272ECE">
        <w:t>At the time the TGA considered this submission, a similar submission had been considered by other regulatory agencies. The following table summarises these submissions and provides the indications where approved.</w:t>
      </w:r>
    </w:p>
    <w:p w14:paraId="19B9E0AC" w14:textId="16F16AAF" w:rsidR="00324B33" w:rsidRPr="00272ECE" w:rsidRDefault="00324B33" w:rsidP="0021198B">
      <w:pPr>
        <w:pStyle w:val="TableTitle"/>
      </w:pPr>
      <w:bookmarkStart w:id="26" w:name="_Ref99705479"/>
      <w:r w:rsidRPr="00272ECE">
        <w:t xml:space="preserve">Table </w:t>
      </w:r>
      <w:r w:rsidR="00B960D6">
        <w:fldChar w:fldCharType="begin"/>
      </w:r>
      <w:r w:rsidR="00B960D6">
        <w:instrText xml:space="preserve"> SEQ Table \* ARABIC </w:instrText>
      </w:r>
      <w:r w:rsidR="00B960D6">
        <w:fldChar w:fldCharType="separate"/>
      </w:r>
      <w:r w:rsidR="00B960D6" w:rsidRPr="00272ECE">
        <w:t>1</w:t>
      </w:r>
      <w:r w:rsidR="00B960D6">
        <w:fldChar w:fldCharType="end"/>
      </w:r>
      <w:bookmarkEnd w:id="26"/>
      <w:r w:rsidRPr="00272ECE">
        <w:t>: International regulatory status</w:t>
      </w:r>
    </w:p>
    <w:tbl>
      <w:tblPr>
        <w:tblStyle w:val="TableTGAblue2023"/>
        <w:tblW w:w="5000" w:type="pct"/>
        <w:tblLook w:val="04A0" w:firstRow="1" w:lastRow="0" w:firstColumn="1" w:lastColumn="0" w:noHBand="0" w:noVBand="1"/>
      </w:tblPr>
      <w:tblGrid>
        <w:gridCol w:w="1674"/>
        <w:gridCol w:w="2116"/>
        <w:gridCol w:w="2180"/>
        <w:gridCol w:w="3090"/>
      </w:tblGrid>
      <w:tr w:rsidR="00324B33" w:rsidRPr="00272ECE" w14:paraId="405E5D78" w14:textId="16839333" w:rsidTr="002119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Pr>
          <w:p w14:paraId="185B099B" w14:textId="7A4C0E6C" w:rsidR="00324B33" w:rsidRPr="00272ECE" w:rsidRDefault="00324B33" w:rsidP="0021198B">
            <w:r w:rsidRPr="00272ECE">
              <w:t>Region</w:t>
            </w:r>
          </w:p>
        </w:tc>
        <w:tc>
          <w:tcPr>
            <w:tcW w:w="1018" w:type="pct"/>
          </w:tcPr>
          <w:p w14:paraId="778C35C7" w14:textId="52D23C85" w:rsidR="00324B33" w:rsidRPr="00272ECE" w:rsidRDefault="00324B33" w:rsidP="0021198B">
            <w:pPr>
              <w:cnfStyle w:val="100000000000" w:firstRow="1" w:lastRow="0" w:firstColumn="0" w:lastColumn="0" w:oddVBand="0" w:evenVBand="0" w:oddHBand="0" w:evenHBand="0" w:firstRowFirstColumn="0" w:firstRowLastColumn="0" w:lastRowFirstColumn="0" w:lastRowLastColumn="0"/>
            </w:pPr>
            <w:r w:rsidRPr="009A3BAB">
              <w:t>Submission date</w:t>
            </w:r>
          </w:p>
        </w:tc>
        <w:tc>
          <w:tcPr>
            <w:tcW w:w="1173" w:type="pct"/>
          </w:tcPr>
          <w:p w14:paraId="58F81584" w14:textId="66689ABF" w:rsidR="00324B33" w:rsidRPr="00272ECE" w:rsidRDefault="00324B33" w:rsidP="0021198B">
            <w:pPr>
              <w:cnfStyle w:val="100000000000" w:firstRow="1" w:lastRow="0" w:firstColumn="0" w:lastColumn="0" w:oddVBand="0" w:evenVBand="0" w:oddHBand="0" w:evenHBand="0" w:firstRowFirstColumn="0" w:firstRowLastColumn="0" w:lastRowFirstColumn="0" w:lastRowLastColumn="0"/>
            </w:pPr>
            <w:r w:rsidRPr="00272ECE">
              <w:t>Status</w:t>
            </w:r>
          </w:p>
        </w:tc>
        <w:tc>
          <w:tcPr>
            <w:tcW w:w="1795" w:type="pct"/>
          </w:tcPr>
          <w:p w14:paraId="50B2D435" w14:textId="560588D2" w:rsidR="00324B33" w:rsidRPr="00272ECE" w:rsidRDefault="00324B33" w:rsidP="0021198B">
            <w:pPr>
              <w:cnfStyle w:val="100000000000" w:firstRow="1" w:lastRow="0" w:firstColumn="0" w:lastColumn="0" w:oddVBand="0" w:evenVBand="0" w:oddHBand="0" w:evenHBand="0" w:firstRowFirstColumn="0" w:firstRowLastColumn="0" w:lastRowFirstColumn="0" w:lastRowLastColumn="0"/>
            </w:pPr>
            <w:r w:rsidRPr="00272ECE">
              <w:t>Approved indications</w:t>
            </w:r>
          </w:p>
        </w:tc>
      </w:tr>
      <w:tr w:rsidR="00324B33" w:rsidRPr="00272ECE" w14:paraId="38D24E86" w14:textId="77777777" w:rsidTr="0021198B">
        <w:tc>
          <w:tcPr>
            <w:cnfStyle w:val="001000000000" w:firstRow="0" w:lastRow="0" w:firstColumn="1" w:lastColumn="0" w:oddVBand="0" w:evenVBand="0" w:oddHBand="0" w:evenHBand="0" w:firstRowFirstColumn="0" w:firstRowLastColumn="0" w:lastRowFirstColumn="0" w:lastRowLastColumn="0"/>
            <w:tcW w:w="1014" w:type="pct"/>
          </w:tcPr>
          <w:p w14:paraId="4C540DE5" w14:textId="7DB33B5B" w:rsidR="00324B33" w:rsidRPr="00272ECE" w:rsidRDefault="00B36B5C" w:rsidP="0021198B">
            <w:r w:rsidRPr="00272ECE">
              <w:t>United States of America</w:t>
            </w:r>
          </w:p>
        </w:tc>
        <w:tc>
          <w:tcPr>
            <w:tcW w:w="1018" w:type="pct"/>
          </w:tcPr>
          <w:p w14:paraId="4FA5DDA9" w14:textId="737856A7" w:rsidR="00324B33" w:rsidRPr="00272ECE" w:rsidRDefault="00A10900" w:rsidP="0021198B">
            <w:pPr>
              <w:cnfStyle w:val="000000000000" w:firstRow="0" w:lastRow="0" w:firstColumn="0" w:lastColumn="0" w:oddVBand="0" w:evenVBand="0" w:oddHBand="0" w:evenHBand="0" w:firstRowFirstColumn="0" w:firstRowLastColumn="0" w:lastRowFirstColumn="0" w:lastRowLastColumn="0"/>
            </w:pPr>
            <w:r>
              <w:t>0</w:t>
            </w:r>
            <w:r w:rsidR="001F7ABD">
              <w:t>3</w:t>
            </w:r>
            <w:r w:rsidR="009B376D">
              <w:t> </w:t>
            </w:r>
            <w:r>
              <w:t>February</w:t>
            </w:r>
            <w:r w:rsidR="009B376D">
              <w:t> </w:t>
            </w:r>
            <w:r>
              <w:t>2025</w:t>
            </w:r>
          </w:p>
        </w:tc>
        <w:tc>
          <w:tcPr>
            <w:tcW w:w="1173" w:type="pct"/>
          </w:tcPr>
          <w:p w14:paraId="29358393" w14:textId="1438D11E" w:rsidR="00324B33" w:rsidRPr="00272ECE" w:rsidRDefault="00324B33" w:rsidP="0021198B">
            <w:pPr>
              <w:cnfStyle w:val="000000000000" w:firstRow="0" w:lastRow="0" w:firstColumn="0" w:lastColumn="0" w:oddVBand="0" w:evenVBand="0" w:oddHBand="0" w:evenHBand="0" w:firstRowFirstColumn="0" w:firstRowLastColumn="0" w:lastRowFirstColumn="0" w:lastRowLastColumn="0"/>
            </w:pPr>
            <w:r w:rsidRPr="00272ECE">
              <w:t xml:space="preserve">Approved on </w:t>
            </w:r>
            <w:r w:rsidR="002E4C8B" w:rsidRPr="00272ECE">
              <w:t>3 December 2025</w:t>
            </w:r>
          </w:p>
        </w:tc>
        <w:tc>
          <w:tcPr>
            <w:tcW w:w="1795" w:type="pct"/>
          </w:tcPr>
          <w:p w14:paraId="05055674" w14:textId="11A77019" w:rsidR="00324B33" w:rsidRPr="00272ECE" w:rsidRDefault="002E4C8B"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Jaypirca is indicated for the treatment of adult patients with relapsed or refractory chronic lymphocytic leukemia or small lymphocytic lymphoma (CLL/SLL) who have previously been treated with a covalent BTK inhibitor</w:t>
            </w:r>
          </w:p>
        </w:tc>
      </w:tr>
      <w:tr w:rsidR="00324B33" w:rsidRPr="00272ECE" w14:paraId="18B6E2AA" w14:textId="7783D66F" w:rsidTr="0021198B">
        <w:tc>
          <w:tcPr>
            <w:cnfStyle w:val="001000000000" w:firstRow="0" w:lastRow="0" w:firstColumn="1" w:lastColumn="0" w:oddVBand="0" w:evenVBand="0" w:oddHBand="0" w:evenHBand="0" w:firstRowFirstColumn="0" w:firstRowLastColumn="0" w:lastRowFirstColumn="0" w:lastRowLastColumn="0"/>
            <w:tcW w:w="1014" w:type="pct"/>
          </w:tcPr>
          <w:p w14:paraId="7F348960" w14:textId="28608755" w:rsidR="00324B33" w:rsidRPr="00272ECE" w:rsidRDefault="00B36B5C" w:rsidP="0021198B">
            <w:r w:rsidRPr="00272ECE">
              <w:t>European Union</w:t>
            </w:r>
          </w:p>
        </w:tc>
        <w:tc>
          <w:tcPr>
            <w:tcW w:w="1018" w:type="pct"/>
          </w:tcPr>
          <w:p w14:paraId="1D871E57" w14:textId="61564B23" w:rsidR="00324B33" w:rsidRPr="00272ECE" w:rsidRDefault="00980FFA" w:rsidP="0021198B">
            <w:pPr>
              <w:cnfStyle w:val="000000000000" w:firstRow="0" w:lastRow="0" w:firstColumn="0" w:lastColumn="0" w:oddVBand="0" w:evenVBand="0" w:oddHBand="0" w:evenHBand="0" w:firstRowFirstColumn="0" w:firstRowLastColumn="0" w:lastRowFirstColumn="0" w:lastRowLastColumn="0"/>
            </w:pPr>
            <w:r>
              <w:t>11</w:t>
            </w:r>
            <w:r w:rsidR="009B376D">
              <w:t> </w:t>
            </w:r>
            <w:r>
              <w:t>March</w:t>
            </w:r>
            <w:r w:rsidR="009B376D">
              <w:t> </w:t>
            </w:r>
            <w:r>
              <w:t>202</w:t>
            </w:r>
            <w:r w:rsidR="002226F2">
              <w:t>4</w:t>
            </w:r>
          </w:p>
        </w:tc>
        <w:tc>
          <w:tcPr>
            <w:tcW w:w="1173" w:type="pct"/>
          </w:tcPr>
          <w:p w14:paraId="63A3A9D3" w14:textId="2A6F54CF" w:rsidR="00324B33" w:rsidRPr="00272ECE" w:rsidRDefault="002E4C8B" w:rsidP="0021198B">
            <w:pPr>
              <w:cnfStyle w:val="000000000000" w:firstRow="0" w:lastRow="0" w:firstColumn="0" w:lastColumn="0" w:oddVBand="0" w:evenVBand="0" w:oddHBand="0" w:evenHBand="0" w:firstRowFirstColumn="0" w:firstRowLastColumn="0" w:lastRowFirstColumn="0" w:lastRowLastColumn="0"/>
            </w:pPr>
            <w:r w:rsidRPr="00272ECE">
              <w:t>Approved on 28 March 2025</w:t>
            </w:r>
          </w:p>
        </w:tc>
        <w:tc>
          <w:tcPr>
            <w:tcW w:w="1795" w:type="pct"/>
          </w:tcPr>
          <w:p w14:paraId="17C650B8" w14:textId="43065C79" w:rsidR="00324B33" w:rsidRPr="00272ECE" w:rsidRDefault="00CB6B22"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Jaypirca as monotherapy is indicated for the treatment of adult patients with relapsed or refractory chronic lymphocytic leukaemia (CLL) who have been previously treated with a BTK inhibitor.</w:t>
            </w:r>
          </w:p>
        </w:tc>
      </w:tr>
      <w:tr w:rsidR="00B36B5C" w:rsidRPr="00272ECE" w14:paraId="4ECAD79D" w14:textId="77777777" w:rsidTr="0021198B">
        <w:tc>
          <w:tcPr>
            <w:cnfStyle w:val="001000000000" w:firstRow="0" w:lastRow="0" w:firstColumn="1" w:lastColumn="0" w:oddVBand="0" w:evenVBand="0" w:oddHBand="0" w:evenHBand="0" w:firstRowFirstColumn="0" w:firstRowLastColumn="0" w:lastRowFirstColumn="0" w:lastRowLastColumn="0"/>
            <w:tcW w:w="1014" w:type="pct"/>
          </w:tcPr>
          <w:p w14:paraId="0ED19ACE" w14:textId="0F214049" w:rsidR="00B36B5C" w:rsidRPr="00272ECE" w:rsidRDefault="00B36B5C" w:rsidP="0021198B">
            <w:r w:rsidRPr="00272ECE">
              <w:lastRenderedPageBreak/>
              <w:t>Canada</w:t>
            </w:r>
          </w:p>
        </w:tc>
        <w:tc>
          <w:tcPr>
            <w:tcW w:w="1018" w:type="pct"/>
          </w:tcPr>
          <w:p w14:paraId="1A2C7AE0" w14:textId="5D2F3DBD" w:rsidR="00B36B5C" w:rsidRPr="00272ECE" w:rsidRDefault="00D6041C" w:rsidP="0021198B">
            <w:pPr>
              <w:cnfStyle w:val="000000000000" w:firstRow="0" w:lastRow="0" w:firstColumn="0" w:lastColumn="0" w:oddVBand="0" w:evenVBand="0" w:oddHBand="0" w:evenHBand="0" w:firstRowFirstColumn="0" w:firstRowLastColumn="0" w:lastRowFirstColumn="0" w:lastRowLastColumn="0"/>
            </w:pPr>
            <w:r>
              <w:t>27</w:t>
            </w:r>
            <w:r w:rsidR="009B376D">
              <w:t> </w:t>
            </w:r>
            <w:r>
              <w:t>December</w:t>
            </w:r>
            <w:r w:rsidR="009B376D">
              <w:t> </w:t>
            </w:r>
            <w:r>
              <w:t>2024</w:t>
            </w:r>
          </w:p>
        </w:tc>
        <w:tc>
          <w:tcPr>
            <w:tcW w:w="1173" w:type="pct"/>
          </w:tcPr>
          <w:p w14:paraId="37729308" w14:textId="3309717B" w:rsidR="00B36B5C" w:rsidRPr="00272ECE" w:rsidRDefault="00CB6B22" w:rsidP="0021198B">
            <w:pPr>
              <w:cnfStyle w:val="000000000000" w:firstRow="0" w:lastRow="0" w:firstColumn="0" w:lastColumn="0" w:oddVBand="0" w:evenVBand="0" w:oddHBand="0" w:evenHBand="0" w:firstRowFirstColumn="0" w:firstRowLastColumn="0" w:lastRowFirstColumn="0" w:lastRowLastColumn="0"/>
            </w:pPr>
            <w:r w:rsidRPr="00272ECE">
              <w:t>Approved on 17 October 2025</w:t>
            </w:r>
          </w:p>
        </w:tc>
        <w:tc>
          <w:tcPr>
            <w:tcW w:w="1795" w:type="pct"/>
          </w:tcPr>
          <w:p w14:paraId="417F6177" w14:textId="7F4FC67D" w:rsidR="00B36B5C" w:rsidRPr="00272ECE" w:rsidRDefault="0046740F"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Jaypirca (pirtobrutinib) is indicated as monotherapy for the treatment of adult patients with chronic lymphocytic leukemia/small lymphocytic lymphoma (CLL/SLL) who have received at least two prior lines of therapy including a BTK inhibitor and a BCL-2 inhibitor.</w:t>
            </w:r>
          </w:p>
        </w:tc>
      </w:tr>
      <w:tr w:rsidR="00B36B5C" w:rsidRPr="00272ECE" w14:paraId="25C46036" w14:textId="77777777" w:rsidTr="0021198B">
        <w:tc>
          <w:tcPr>
            <w:cnfStyle w:val="001000000000" w:firstRow="0" w:lastRow="0" w:firstColumn="1" w:lastColumn="0" w:oddVBand="0" w:evenVBand="0" w:oddHBand="0" w:evenHBand="0" w:firstRowFirstColumn="0" w:firstRowLastColumn="0" w:lastRowFirstColumn="0" w:lastRowLastColumn="0"/>
            <w:tcW w:w="1014" w:type="pct"/>
          </w:tcPr>
          <w:p w14:paraId="56BE8384" w14:textId="40456732" w:rsidR="00B36B5C" w:rsidRPr="00272ECE" w:rsidRDefault="00B36B5C" w:rsidP="0021198B">
            <w:r w:rsidRPr="00272ECE">
              <w:t>United Kingdom</w:t>
            </w:r>
          </w:p>
        </w:tc>
        <w:tc>
          <w:tcPr>
            <w:tcW w:w="1018" w:type="pct"/>
          </w:tcPr>
          <w:p w14:paraId="65C844DB" w14:textId="6CBE8D5A" w:rsidR="00B36B5C" w:rsidRPr="00272ECE" w:rsidRDefault="00A00E5E" w:rsidP="0021198B">
            <w:pPr>
              <w:cnfStyle w:val="000000000000" w:firstRow="0" w:lastRow="0" w:firstColumn="0" w:lastColumn="0" w:oddVBand="0" w:evenVBand="0" w:oddHBand="0" w:evenHBand="0" w:firstRowFirstColumn="0" w:firstRowLastColumn="0" w:lastRowFirstColumn="0" w:lastRowLastColumn="0"/>
            </w:pPr>
            <w:r>
              <w:t>11</w:t>
            </w:r>
            <w:r w:rsidR="009B376D">
              <w:t> </w:t>
            </w:r>
            <w:r>
              <w:t>March</w:t>
            </w:r>
            <w:r w:rsidR="009B376D">
              <w:t> </w:t>
            </w:r>
            <w:r>
              <w:t>2025</w:t>
            </w:r>
          </w:p>
        </w:tc>
        <w:tc>
          <w:tcPr>
            <w:tcW w:w="1173" w:type="pct"/>
          </w:tcPr>
          <w:p w14:paraId="4F066099" w14:textId="3851A570" w:rsidR="00B36B5C" w:rsidRPr="00272ECE" w:rsidRDefault="0046740F" w:rsidP="0021198B">
            <w:pPr>
              <w:cnfStyle w:val="000000000000" w:firstRow="0" w:lastRow="0" w:firstColumn="0" w:lastColumn="0" w:oddVBand="0" w:evenVBand="0" w:oddHBand="0" w:evenHBand="0" w:firstRowFirstColumn="0" w:firstRowLastColumn="0" w:lastRowFirstColumn="0" w:lastRowLastColumn="0"/>
            </w:pPr>
            <w:r w:rsidRPr="00272ECE">
              <w:t>Approved on 13 August 2025</w:t>
            </w:r>
          </w:p>
        </w:tc>
        <w:tc>
          <w:tcPr>
            <w:tcW w:w="1795" w:type="pct"/>
          </w:tcPr>
          <w:p w14:paraId="42B49BA8" w14:textId="3A558667" w:rsidR="00B36B5C" w:rsidRPr="00272ECE" w:rsidRDefault="00464FDC"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Jaypirca as monotherapy is indicated for the treatment of adult patients with relapsed or refractory chronic lymphocytic leukaemia (CLL) who have been previously treated with a BTK inhibitor.</w:t>
            </w:r>
          </w:p>
        </w:tc>
      </w:tr>
      <w:tr w:rsidR="00B36B5C" w:rsidRPr="00272ECE" w14:paraId="2CE6565A" w14:textId="77777777" w:rsidTr="0021198B">
        <w:tc>
          <w:tcPr>
            <w:cnfStyle w:val="001000000000" w:firstRow="0" w:lastRow="0" w:firstColumn="1" w:lastColumn="0" w:oddVBand="0" w:evenVBand="0" w:oddHBand="0" w:evenHBand="0" w:firstRowFirstColumn="0" w:firstRowLastColumn="0" w:lastRowFirstColumn="0" w:lastRowLastColumn="0"/>
            <w:tcW w:w="1014" w:type="pct"/>
          </w:tcPr>
          <w:p w14:paraId="3C054B3A" w14:textId="363130F7" w:rsidR="00B36B5C" w:rsidRPr="00272ECE" w:rsidRDefault="00B36B5C" w:rsidP="0021198B">
            <w:r w:rsidRPr="00272ECE">
              <w:t>Switzerland</w:t>
            </w:r>
          </w:p>
        </w:tc>
        <w:tc>
          <w:tcPr>
            <w:tcW w:w="1018" w:type="pct"/>
          </w:tcPr>
          <w:p w14:paraId="3223C471" w14:textId="18EC2664" w:rsidR="00B36B5C" w:rsidRPr="00272ECE" w:rsidRDefault="006D5C16" w:rsidP="0021198B">
            <w:pPr>
              <w:cnfStyle w:val="000000000000" w:firstRow="0" w:lastRow="0" w:firstColumn="0" w:lastColumn="0" w:oddVBand="0" w:evenVBand="0" w:oddHBand="0" w:evenHBand="0" w:firstRowFirstColumn="0" w:firstRowLastColumn="0" w:lastRowFirstColumn="0" w:lastRowLastColumn="0"/>
            </w:pPr>
            <w:r>
              <w:t>29</w:t>
            </w:r>
            <w:r w:rsidR="009B376D">
              <w:t> </w:t>
            </w:r>
            <w:r>
              <w:t>March</w:t>
            </w:r>
            <w:r w:rsidR="009B376D">
              <w:t> </w:t>
            </w:r>
            <w:r>
              <w:t>2024</w:t>
            </w:r>
          </w:p>
        </w:tc>
        <w:tc>
          <w:tcPr>
            <w:tcW w:w="1173" w:type="pct"/>
          </w:tcPr>
          <w:p w14:paraId="2133EAC2" w14:textId="76DCAA03" w:rsidR="00B36B5C" w:rsidRPr="00272ECE" w:rsidRDefault="00464FDC" w:rsidP="0021198B">
            <w:pPr>
              <w:cnfStyle w:val="000000000000" w:firstRow="0" w:lastRow="0" w:firstColumn="0" w:lastColumn="0" w:oddVBand="0" w:evenVBand="0" w:oddHBand="0" w:evenHBand="0" w:firstRowFirstColumn="0" w:firstRowLastColumn="0" w:lastRowFirstColumn="0" w:lastRowLastColumn="0"/>
            </w:pPr>
            <w:r w:rsidRPr="00272ECE">
              <w:t>Approved on 23 September 2025</w:t>
            </w:r>
          </w:p>
        </w:tc>
        <w:tc>
          <w:tcPr>
            <w:tcW w:w="1795" w:type="pct"/>
          </w:tcPr>
          <w:p w14:paraId="5FC1E7CC" w14:textId="760068FC" w:rsidR="00B36B5C" w:rsidRPr="00272ECE" w:rsidRDefault="006E1305"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Jaypirca as monotherapy is indicated for the treatment of adult patients with relapsed or refractory chronic lymphocytic leukaemia (CLL) who have received at least two prior lines of therapy, including a BTK inhibitor (see «Clinical efficacy»)</w:t>
            </w:r>
          </w:p>
        </w:tc>
      </w:tr>
      <w:tr w:rsidR="00B36B5C" w:rsidRPr="00272ECE" w14:paraId="1F6CD0B8" w14:textId="77777777" w:rsidTr="0021198B">
        <w:tc>
          <w:tcPr>
            <w:cnfStyle w:val="001000000000" w:firstRow="0" w:lastRow="0" w:firstColumn="1" w:lastColumn="0" w:oddVBand="0" w:evenVBand="0" w:oddHBand="0" w:evenHBand="0" w:firstRowFirstColumn="0" w:firstRowLastColumn="0" w:lastRowFirstColumn="0" w:lastRowLastColumn="0"/>
            <w:tcW w:w="1014" w:type="pct"/>
          </w:tcPr>
          <w:p w14:paraId="1B8B7AFD" w14:textId="509969D4" w:rsidR="00B36B5C" w:rsidRPr="00272ECE" w:rsidRDefault="00B36B5C" w:rsidP="0021198B">
            <w:r w:rsidRPr="00272ECE">
              <w:t>Singapore</w:t>
            </w:r>
          </w:p>
        </w:tc>
        <w:tc>
          <w:tcPr>
            <w:tcW w:w="1018" w:type="pct"/>
          </w:tcPr>
          <w:p w14:paraId="50F9E98A" w14:textId="2CD0AB77" w:rsidR="00B36B5C" w:rsidRPr="00272ECE" w:rsidRDefault="00A92A7A" w:rsidP="0021198B">
            <w:pPr>
              <w:cnfStyle w:val="000000000000" w:firstRow="0" w:lastRow="0" w:firstColumn="0" w:lastColumn="0" w:oddVBand="0" w:evenVBand="0" w:oddHBand="0" w:evenHBand="0" w:firstRowFirstColumn="0" w:firstRowLastColumn="0" w:lastRowFirstColumn="0" w:lastRowLastColumn="0"/>
            </w:pPr>
            <w:r>
              <w:t>28</w:t>
            </w:r>
            <w:r w:rsidR="009B376D">
              <w:t> </w:t>
            </w:r>
            <w:r>
              <w:t>March</w:t>
            </w:r>
            <w:r w:rsidR="009B376D">
              <w:t> </w:t>
            </w:r>
            <w:r>
              <w:t>2025</w:t>
            </w:r>
          </w:p>
        </w:tc>
        <w:tc>
          <w:tcPr>
            <w:tcW w:w="1173" w:type="pct"/>
          </w:tcPr>
          <w:p w14:paraId="1E8144BA" w14:textId="2EABB126" w:rsidR="00B36B5C" w:rsidRPr="00272ECE" w:rsidRDefault="00464FDC" w:rsidP="0021198B">
            <w:pPr>
              <w:cnfStyle w:val="000000000000" w:firstRow="0" w:lastRow="0" w:firstColumn="0" w:lastColumn="0" w:oddVBand="0" w:evenVBand="0" w:oddHBand="0" w:evenHBand="0" w:firstRowFirstColumn="0" w:firstRowLastColumn="0" w:lastRowFirstColumn="0" w:lastRowLastColumn="0"/>
            </w:pPr>
            <w:r w:rsidRPr="00272ECE">
              <w:t>Under consideration</w:t>
            </w:r>
          </w:p>
        </w:tc>
        <w:tc>
          <w:tcPr>
            <w:tcW w:w="1795" w:type="pct"/>
          </w:tcPr>
          <w:p w14:paraId="60365522" w14:textId="57253CB4" w:rsidR="00B36B5C" w:rsidRPr="00272ECE" w:rsidRDefault="00464FDC" w:rsidP="0021198B">
            <w:pPr>
              <w:cnfStyle w:val="000000000000" w:firstRow="0" w:lastRow="0" w:firstColumn="0" w:lastColumn="0" w:oddVBand="0" w:evenVBand="0" w:oddHBand="0" w:evenHBand="0" w:firstRowFirstColumn="0" w:firstRowLastColumn="0" w:lastRowFirstColumn="0" w:lastRowLastColumn="0"/>
              <w:rPr>
                <w:i/>
                <w:iCs/>
              </w:rPr>
            </w:pPr>
            <w:r w:rsidRPr="00272ECE">
              <w:rPr>
                <w:i/>
                <w:iCs/>
              </w:rPr>
              <w:t>Under consideration</w:t>
            </w:r>
          </w:p>
        </w:tc>
      </w:tr>
    </w:tbl>
    <w:p w14:paraId="6D92589C" w14:textId="38BC9E09" w:rsidR="00324B33" w:rsidRPr="00272ECE" w:rsidRDefault="00324B33" w:rsidP="0021198B">
      <w:pPr>
        <w:pStyle w:val="Heading2"/>
      </w:pPr>
      <w:bookmarkStart w:id="27" w:name="_Toc504480011"/>
      <w:bookmarkStart w:id="28" w:name="_Toc103679293"/>
      <w:bookmarkStart w:id="29" w:name="_Toc243316697"/>
      <w:r w:rsidRPr="00272ECE">
        <w:t>Registration timeline</w:t>
      </w:r>
      <w:bookmarkEnd w:id="27"/>
      <w:bookmarkEnd w:id="28"/>
      <w:bookmarkEnd w:id="29"/>
    </w:p>
    <w:p w14:paraId="225E3D87" w14:textId="1F3070CE" w:rsidR="00324B33" w:rsidRPr="00272ECE" w:rsidRDefault="00324B33" w:rsidP="0021198B">
      <w:r w:rsidRPr="00272ECE">
        <w:t>The following table captures the key steps and dates for this submission.</w:t>
      </w:r>
    </w:p>
    <w:p w14:paraId="6BB76942" w14:textId="49C62989" w:rsidR="00477C4E" w:rsidRPr="00272ECE" w:rsidRDefault="00477C4E" w:rsidP="0021198B">
      <w:pPr>
        <w:rPr>
          <w:szCs w:val="22"/>
        </w:rPr>
      </w:pPr>
      <w:r w:rsidRPr="00272ECE">
        <w:rPr>
          <w:szCs w:val="22"/>
        </w:rPr>
        <w:t xml:space="preserve">This submission was evaluated under the </w:t>
      </w:r>
      <w:hyperlink r:id="rId24" w:history="1">
        <w:r w:rsidRPr="00272ECE">
          <w:rPr>
            <w:rStyle w:val="Hyperlink"/>
            <w:szCs w:val="22"/>
          </w:rPr>
          <w:t>standard prescription medicines registration process</w:t>
        </w:r>
      </w:hyperlink>
      <w:r w:rsidRPr="00272ECE">
        <w:rPr>
          <w:szCs w:val="22"/>
        </w:rPr>
        <w:t>.</w:t>
      </w:r>
    </w:p>
    <w:p w14:paraId="44628C5F" w14:textId="32CB5C4B" w:rsidR="00324B33" w:rsidRPr="00272ECE" w:rsidRDefault="00324B33" w:rsidP="0021198B">
      <w:pPr>
        <w:pStyle w:val="TableTitle"/>
      </w:pPr>
      <w:r w:rsidRPr="00272ECE">
        <w:t xml:space="preserve">Table </w:t>
      </w:r>
      <w:r w:rsidR="00B960D6">
        <w:fldChar w:fldCharType="begin"/>
      </w:r>
      <w:r w:rsidR="00B960D6">
        <w:instrText xml:space="preserve"> SEQ Table \* ARABIC </w:instrText>
      </w:r>
      <w:r w:rsidR="00B960D6">
        <w:fldChar w:fldCharType="separate"/>
      </w:r>
      <w:r w:rsidR="00B960D6" w:rsidRPr="00272ECE">
        <w:t>2</w:t>
      </w:r>
      <w:r w:rsidR="00B960D6">
        <w:fldChar w:fldCharType="end"/>
      </w:r>
      <w:r w:rsidRPr="00272ECE">
        <w:t xml:space="preserve">: Timeline for Submission </w:t>
      </w:r>
      <w:r w:rsidR="004104A4" w:rsidRPr="00272ECE">
        <w:t>PM-2025-00498-1-4</w:t>
      </w:r>
    </w:p>
    <w:tbl>
      <w:tblPr>
        <w:tblStyle w:val="TableTGAblue2023"/>
        <w:tblW w:w="8642" w:type="dxa"/>
        <w:tblLook w:val="04A0" w:firstRow="1" w:lastRow="0" w:firstColumn="1" w:lastColumn="0" w:noHBand="0" w:noVBand="1"/>
      </w:tblPr>
      <w:tblGrid>
        <w:gridCol w:w="5665"/>
        <w:gridCol w:w="2977"/>
      </w:tblGrid>
      <w:tr w:rsidR="00324B33" w:rsidRPr="00272ECE" w14:paraId="6C59BE9C" w14:textId="77777777" w:rsidTr="002119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14:paraId="16D80E78" w14:textId="3EC0CCAF" w:rsidR="00324B33" w:rsidRPr="00272ECE" w:rsidRDefault="00324B33" w:rsidP="0021198B">
            <w:r w:rsidRPr="00272ECE">
              <w:t>Description</w:t>
            </w:r>
          </w:p>
        </w:tc>
        <w:tc>
          <w:tcPr>
            <w:tcW w:w="2977" w:type="dxa"/>
          </w:tcPr>
          <w:p w14:paraId="79AFDC4B" w14:textId="05792035" w:rsidR="00324B33" w:rsidRPr="00272ECE" w:rsidRDefault="00324B33" w:rsidP="0021198B">
            <w:pPr>
              <w:cnfStyle w:val="100000000000" w:firstRow="1" w:lastRow="0" w:firstColumn="0" w:lastColumn="0" w:oddVBand="0" w:evenVBand="0" w:oddHBand="0" w:evenHBand="0" w:firstRowFirstColumn="0" w:firstRowLastColumn="0" w:lastRowFirstColumn="0" w:lastRowLastColumn="0"/>
            </w:pPr>
            <w:r w:rsidRPr="00272ECE">
              <w:t>Date</w:t>
            </w:r>
          </w:p>
        </w:tc>
      </w:tr>
      <w:tr w:rsidR="00324B33" w:rsidRPr="00272ECE" w14:paraId="23610C53" w14:textId="77777777" w:rsidTr="0021198B">
        <w:tc>
          <w:tcPr>
            <w:cnfStyle w:val="001000000000" w:firstRow="0" w:lastRow="0" w:firstColumn="1" w:lastColumn="0" w:oddVBand="0" w:evenVBand="0" w:oddHBand="0" w:evenHBand="0" w:firstRowFirstColumn="0" w:firstRowLastColumn="0" w:lastRowFirstColumn="0" w:lastRowLastColumn="0"/>
            <w:tcW w:w="5665" w:type="dxa"/>
          </w:tcPr>
          <w:p w14:paraId="759D2A12" w14:textId="0D705F83" w:rsidR="00324B33" w:rsidRPr="00272ECE" w:rsidRDefault="00324B33" w:rsidP="0021198B">
            <w:r w:rsidRPr="00272ECE">
              <w:t>Submission dossier accepted and first round evaluation commenced</w:t>
            </w:r>
          </w:p>
        </w:tc>
        <w:tc>
          <w:tcPr>
            <w:tcW w:w="2977" w:type="dxa"/>
          </w:tcPr>
          <w:p w14:paraId="2963D9D8" w14:textId="7D55D800" w:rsidR="00324B33" w:rsidRPr="00272ECE" w:rsidRDefault="00E409CF" w:rsidP="0021198B">
            <w:pPr>
              <w:cnfStyle w:val="000000000000" w:firstRow="0" w:lastRow="0" w:firstColumn="0" w:lastColumn="0" w:oddVBand="0" w:evenVBand="0" w:oddHBand="0" w:evenHBand="0" w:firstRowFirstColumn="0" w:firstRowLastColumn="0" w:lastRowFirstColumn="0" w:lastRowLastColumn="0"/>
            </w:pPr>
            <w:r w:rsidRPr="00272ECE">
              <w:t>31</w:t>
            </w:r>
            <w:r w:rsidR="00E85FF3" w:rsidRPr="00272ECE">
              <w:t> </w:t>
            </w:r>
            <w:r w:rsidRPr="00272ECE">
              <w:t>March</w:t>
            </w:r>
            <w:r w:rsidR="00E85FF3" w:rsidRPr="00272ECE">
              <w:t> 2025</w:t>
            </w:r>
          </w:p>
        </w:tc>
      </w:tr>
      <w:tr w:rsidR="00803926" w:rsidRPr="00272ECE" w14:paraId="16D13F79" w14:textId="77777777" w:rsidTr="0021198B">
        <w:tc>
          <w:tcPr>
            <w:cnfStyle w:val="001000000000" w:firstRow="0" w:lastRow="0" w:firstColumn="1" w:lastColumn="0" w:oddVBand="0" w:evenVBand="0" w:oddHBand="0" w:evenHBand="0" w:firstRowFirstColumn="0" w:firstRowLastColumn="0" w:lastRowFirstColumn="0" w:lastRowLastColumn="0"/>
            <w:tcW w:w="5665" w:type="dxa"/>
          </w:tcPr>
          <w:p w14:paraId="6858B45A" w14:textId="50C7C4DC" w:rsidR="00803926" w:rsidRPr="00272ECE" w:rsidDel="00C62B1C" w:rsidRDefault="00803926" w:rsidP="0021198B">
            <w:r w:rsidRPr="00272ECE">
              <w:t>Evaluation completed</w:t>
            </w:r>
          </w:p>
        </w:tc>
        <w:tc>
          <w:tcPr>
            <w:tcW w:w="2977" w:type="dxa"/>
          </w:tcPr>
          <w:p w14:paraId="2E0BD403" w14:textId="64643D45" w:rsidR="00803926" w:rsidRPr="00272ECE" w:rsidRDefault="005857A3" w:rsidP="0021198B">
            <w:pPr>
              <w:cnfStyle w:val="000000000000" w:firstRow="0" w:lastRow="0" w:firstColumn="0" w:lastColumn="0" w:oddVBand="0" w:evenVBand="0" w:oddHBand="0" w:evenHBand="0" w:firstRowFirstColumn="0" w:firstRowLastColumn="0" w:lastRowFirstColumn="0" w:lastRowLastColumn="0"/>
            </w:pPr>
            <w:r w:rsidRPr="00272ECE">
              <w:t>22 January 2026</w:t>
            </w:r>
          </w:p>
        </w:tc>
      </w:tr>
      <w:tr w:rsidR="00324B33" w:rsidRPr="00272ECE" w14:paraId="6E5D32FE" w14:textId="77777777" w:rsidTr="0021198B">
        <w:tc>
          <w:tcPr>
            <w:cnfStyle w:val="001000000000" w:firstRow="0" w:lastRow="0" w:firstColumn="1" w:lastColumn="0" w:oddVBand="0" w:evenVBand="0" w:oddHBand="0" w:evenHBand="0" w:firstRowFirstColumn="0" w:firstRowLastColumn="0" w:lastRowFirstColumn="0" w:lastRowLastColumn="0"/>
            <w:tcW w:w="5665" w:type="dxa"/>
          </w:tcPr>
          <w:p w14:paraId="4E95C44C" w14:textId="7A91C710" w:rsidR="00324B33" w:rsidRPr="00272ECE" w:rsidRDefault="00324B33" w:rsidP="0021198B">
            <w:r w:rsidRPr="00272ECE">
              <w:t>Registration decision (Outcome)</w:t>
            </w:r>
          </w:p>
        </w:tc>
        <w:tc>
          <w:tcPr>
            <w:tcW w:w="2977" w:type="dxa"/>
          </w:tcPr>
          <w:p w14:paraId="62987ABD" w14:textId="4E489362" w:rsidR="00324B33" w:rsidRPr="00272ECE" w:rsidRDefault="005857A3" w:rsidP="0021198B">
            <w:pPr>
              <w:cnfStyle w:val="000000000000" w:firstRow="0" w:lastRow="0" w:firstColumn="0" w:lastColumn="0" w:oddVBand="0" w:evenVBand="0" w:oddHBand="0" w:evenHBand="0" w:firstRowFirstColumn="0" w:firstRowLastColumn="0" w:lastRowFirstColumn="0" w:lastRowLastColumn="0"/>
            </w:pPr>
            <w:r w:rsidRPr="00272ECE">
              <w:t>4 March 2026</w:t>
            </w:r>
          </w:p>
        </w:tc>
      </w:tr>
      <w:tr w:rsidR="00324B33" w:rsidRPr="00272ECE" w14:paraId="6DDCDDA4" w14:textId="77777777" w:rsidTr="0021198B">
        <w:tc>
          <w:tcPr>
            <w:cnfStyle w:val="001000000000" w:firstRow="0" w:lastRow="0" w:firstColumn="1" w:lastColumn="0" w:oddVBand="0" w:evenVBand="0" w:oddHBand="0" w:evenHBand="0" w:firstRowFirstColumn="0" w:firstRowLastColumn="0" w:lastRowFirstColumn="0" w:lastRowLastColumn="0"/>
            <w:tcW w:w="5665" w:type="dxa"/>
          </w:tcPr>
          <w:p w14:paraId="192FD19D" w14:textId="01F998A3" w:rsidR="00324B33" w:rsidRPr="00272ECE" w:rsidRDefault="00C00844" w:rsidP="0021198B">
            <w:r w:rsidRPr="00272ECE">
              <w:t>R</w:t>
            </w:r>
            <w:r w:rsidR="0013132F" w:rsidRPr="00272ECE">
              <w:t xml:space="preserve">egistration </w:t>
            </w:r>
            <w:r w:rsidR="005C4B46" w:rsidRPr="00272ECE">
              <w:t xml:space="preserve">in </w:t>
            </w:r>
            <w:r w:rsidR="0013132F" w:rsidRPr="00272ECE">
              <w:t>the ARTG completed</w:t>
            </w:r>
          </w:p>
        </w:tc>
        <w:tc>
          <w:tcPr>
            <w:tcW w:w="2977" w:type="dxa"/>
          </w:tcPr>
          <w:p w14:paraId="5A8923FD" w14:textId="4EB1AD74" w:rsidR="00324B33" w:rsidRPr="00272ECE" w:rsidRDefault="005857A3" w:rsidP="0021198B">
            <w:pPr>
              <w:cnfStyle w:val="000000000000" w:firstRow="0" w:lastRow="0" w:firstColumn="0" w:lastColumn="0" w:oddVBand="0" w:evenVBand="0" w:oddHBand="0" w:evenHBand="0" w:firstRowFirstColumn="0" w:firstRowLastColumn="0" w:lastRowFirstColumn="0" w:lastRowLastColumn="0"/>
            </w:pPr>
            <w:r w:rsidRPr="00272ECE">
              <w:t>5 March 2026</w:t>
            </w:r>
          </w:p>
        </w:tc>
      </w:tr>
      <w:tr w:rsidR="00324B33" w:rsidRPr="00272ECE" w14:paraId="56D922E2" w14:textId="77777777" w:rsidTr="0021198B">
        <w:tc>
          <w:tcPr>
            <w:cnfStyle w:val="001000000000" w:firstRow="0" w:lastRow="0" w:firstColumn="1" w:lastColumn="0" w:oddVBand="0" w:evenVBand="0" w:oddHBand="0" w:evenHBand="0" w:firstRowFirstColumn="0" w:firstRowLastColumn="0" w:lastRowFirstColumn="0" w:lastRowLastColumn="0"/>
            <w:tcW w:w="5665" w:type="dxa"/>
          </w:tcPr>
          <w:p w14:paraId="787FD8DD" w14:textId="0E0CF97F" w:rsidR="00324B33" w:rsidRPr="00272ECE" w:rsidRDefault="00324B33" w:rsidP="0021198B">
            <w:r w:rsidRPr="00272ECE">
              <w:lastRenderedPageBreak/>
              <w:t>Number of working days from submission dossier acceptance to registration decision*</w:t>
            </w:r>
          </w:p>
        </w:tc>
        <w:tc>
          <w:tcPr>
            <w:tcW w:w="2977" w:type="dxa"/>
          </w:tcPr>
          <w:p w14:paraId="5BAF9FA1" w14:textId="7DB7C304" w:rsidR="00324B33" w:rsidRPr="00272ECE" w:rsidRDefault="003A3151" w:rsidP="0021198B">
            <w:pPr>
              <w:cnfStyle w:val="000000000000" w:firstRow="0" w:lastRow="0" w:firstColumn="0" w:lastColumn="0" w:oddVBand="0" w:evenVBand="0" w:oddHBand="0" w:evenHBand="0" w:firstRowFirstColumn="0" w:firstRowLastColumn="0" w:lastRowFirstColumn="0" w:lastRowLastColumn="0"/>
            </w:pPr>
            <w:r w:rsidRPr="00272ECE">
              <w:t>164</w:t>
            </w:r>
          </w:p>
        </w:tc>
      </w:tr>
    </w:tbl>
    <w:p w14:paraId="7B02554C" w14:textId="77777777" w:rsidR="00433318" w:rsidRPr="00272ECE" w:rsidRDefault="00433318" w:rsidP="0021198B">
      <w:pPr>
        <w:pStyle w:val="TableDescription"/>
      </w:pPr>
      <w:r w:rsidRPr="00272ECE">
        <w:t>*Statutory timeframe for standard submissions is 255 working days</w:t>
      </w:r>
    </w:p>
    <w:p w14:paraId="220925F1" w14:textId="41B6646E" w:rsidR="00C22214" w:rsidRPr="00272ECE" w:rsidRDefault="00083763" w:rsidP="0021198B">
      <w:pPr>
        <w:pStyle w:val="Heading2"/>
      </w:pPr>
      <w:bookmarkStart w:id="30" w:name="_Toc196046504"/>
      <w:bookmarkStart w:id="31" w:name="_Toc247691527"/>
      <w:bookmarkStart w:id="32" w:name="_Toc314842510"/>
      <w:bookmarkStart w:id="33" w:name="_Toc103679294"/>
      <w:bookmarkStart w:id="34" w:name="_Toc243316698"/>
      <w:r w:rsidRPr="00272ECE">
        <w:t xml:space="preserve">Assessment </w:t>
      </w:r>
      <w:r w:rsidR="00C22214" w:rsidRPr="00272ECE">
        <w:t>overview</w:t>
      </w:r>
      <w:bookmarkEnd w:id="30"/>
      <w:bookmarkEnd w:id="31"/>
      <w:bookmarkEnd w:id="32"/>
      <w:bookmarkEnd w:id="33"/>
      <w:bookmarkEnd w:id="34"/>
    </w:p>
    <w:p w14:paraId="540151FC" w14:textId="77777777" w:rsidR="00C22214" w:rsidRPr="00272ECE" w:rsidRDefault="00C22214" w:rsidP="0021198B">
      <w:bookmarkStart w:id="35" w:name="_Toc247691528"/>
      <w:bookmarkStart w:id="36" w:name="_Toc314842511"/>
      <w:r w:rsidRPr="00272ECE">
        <w:t>A summary of the TGA’s assessment for this submission is provided below.</w:t>
      </w:r>
    </w:p>
    <w:p w14:paraId="19020D61" w14:textId="2CB48D27" w:rsidR="005451BE" w:rsidRPr="0021198B" w:rsidRDefault="007072A1" w:rsidP="0021198B">
      <w:r w:rsidRPr="00795F3B">
        <w:t>The following guideline was referred to by the Delegate as being relevant to this submiss</w:t>
      </w:r>
      <w:r w:rsidRPr="0021198B">
        <w:t>ion:</w:t>
      </w:r>
    </w:p>
    <w:p w14:paraId="4DD6CFC1" w14:textId="5629B498" w:rsidR="00D54A1D" w:rsidRPr="00272ECE" w:rsidRDefault="00D54A1D" w:rsidP="005451BE">
      <w:pPr>
        <w:pStyle w:val="ListBullet"/>
      </w:pPr>
      <w:r w:rsidRPr="00272ECE">
        <w:t xml:space="preserve">EMA: ICH Topic </w:t>
      </w:r>
      <w:proofErr w:type="spellStart"/>
      <w:r w:rsidRPr="00272ECE">
        <w:t>S9</w:t>
      </w:r>
      <w:proofErr w:type="spellEnd"/>
      <w:r w:rsidRPr="00272ECE">
        <w:t xml:space="preserve"> </w:t>
      </w:r>
      <w:hyperlink r:id="rId25" w:history="1">
        <w:r w:rsidRPr="00272ECE">
          <w:rPr>
            <w:rStyle w:val="Hyperlink"/>
          </w:rPr>
          <w:t>Guideline on Non-clinical Evaluation for Anticancer Pharmaceuticals</w:t>
        </w:r>
      </w:hyperlink>
      <w:r w:rsidRPr="00272ECE">
        <w:t xml:space="preserve"> (EMA/CHMP/ICH/646107/2008)</w:t>
      </w:r>
    </w:p>
    <w:p w14:paraId="704EB069" w14:textId="2597EBD5" w:rsidR="00EB7FDE" w:rsidRPr="00272ECE" w:rsidRDefault="00EB7FDE" w:rsidP="0021198B">
      <w:pPr>
        <w:pStyle w:val="ListBullet"/>
      </w:pPr>
      <w:r w:rsidRPr="00272ECE">
        <w:t>TGA-adopted, effective date: May 2010</w:t>
      </w:r>
      <w:r w:rsidR="0021198B">
        <w:t>.</w:t>
      </w:r>
    </w:p>
    <w:p w14:paraId="37F5A1C0" w14:textId="503F1BFA" w:rsidR="00C22214" w:rsidRPr="00272ECE" w:rsidRDefault="00095C6A" w:rsidP="0021198B">
      <w:pPr>
        <w:pStyle w:val="Heading3"/>
      </w:pPr>
      <w:bookmarkStart w:id="37" w:name="_Toc103679295"/>
      <w:bookmarkStart w:id="38" w:name="_Toc243316699"/>
      <w:r w:rsidRPr="00272ECE">
        <w:t>Q</w:t>
      </w:r>
      <w:r w:rsidR="00C22214" w:rsidRPr="00272ECE">
        <w:t>uality</w:t>
      </w:r>
      <w:bookmarkEnd w:id="35"/>
      <w:bookmarkEnd w:id="36"/>
      <w:bookmarkEnd w:id="37"/>
      <w:r w:rsidR="007E6443" w:rsidRPr="00272ECE">
        <w:t xml:space="preserve"> evaluation</w:t>
      </w:r>
      <w:r w:rsidRPr="00272ECE">
        <w:t xml:space="preserve"> summary</w:t>
      </w:r>
      <w:bookmarkEnd w:id="38"/>
    </w:p>
    <w:p w14:paraId="3BCDBB8C" w14:textId="56C63833" w:rsidR="002F1CC1" w:rsidRPr="00272ECE" w:rsidRDefault="002F1CC1" w:rsidP="0021198B">
      <w:r w:rsidRPr="00272ECE">
        <w:t xml:space="preserve">Pirtobrutinib (structure shown in </w:t>
      </w:r>
      <w:r w:rsidRPr="00272ECE">
        <w:fldChar w:fldCharType="begin"/>
      </w:r>
      <w:r w:rsidRPr="00272ECE">
        <w:instrText xml:space="preserve"> REF _Ref237359235 \h </w:instrText>
      </w:r>
      <w:r w:rsidR="00D1401D" w:rsidRPr="00272ECE">
        <w:instrText xml:space="preserve"> \* MERGEFORMAT </w:instrText>
      </w:r>
      <w:r w:rsidRPr="00272ECE">
        <w:fldChar w:fldCharType="separate"/>
      </w:r>
      <w:r w:rsidRPr="00272ECE">
        <w:fldChar w:fldCharType="end"/>
      </w:r>
      <w:r w:rsidRPr="00272ECE">
        <w:fldChar w:fldCharType="begin"/>
      </w:r>
      <w:r w:rsidRPr="00272ECE">
        <w:instrText xml:space="preserve"> REF _Ref238120958 \h </w:instrText>
      </w:r>
      <w:r w:rsidR="00D1401D" w:rsidRPr="00272ECE">
        <w:instrText xml:space="preserve"> \* MERGEFORMAT </w:instrText>
      </w:r>
      <w:r w:rsidRPr="00272ECE">
        <w:fldChar w:fldCharType="separate"/>
      </w:r>
      <w:r w:rsidRPr="00272ECE">
        <w:t>Figure 2</w:t>
      </w:r>
      <w:r w:rsidRPr="00272ECE">
        <w:fldChar w:fldCharType="end"/>
      </w:r>
      <w:r w:rsidRPr="00272ECE">
        <w:t>) is an oral reversible, small molecule, noncovalent inhibitor of Bruton’s tyrosine kinase (BTK). BTK plays a critical role in the proliferation and survival of diverse B-cell malignancies. In B-cells, BTK signalling results in activation of pathways necessary for B-cell proliferation, trafficking, chemotaxis, and adhesion. Pirtobrutinib binds with equal affinity to wild type BTK as well as to BTK harbouring C481 mutations, leading to inhibition of BTK activity.</w:t>
      </w:r>
    </w:p>
    <w:p w14:paraId="07399B02" w14:textId="7DB041BE" w:rsidR="002F1CC1" w:rsidRPr="00272ECE" w:rsidRDefault="002F1CC1" w:rsidP="0021198B">
      <w:pPr>
        <w:pStyle w:val="FigureTitle"/>
      </w:pPr>
      <w:bookmarkStart w:id="39" w:name="_Ref238120958"/>
      <w:r w:rsidRPr="00272ECE">
        <w:t xml:space="preserve">Figure </w:t>
      </w:r>
      <w:r w:rsidR="00CA21F6">
        <w:fldChar w:fldCharType="begin"/>
      </w:r>
      <w:r w:rsidR="00CA21F6">
        <w:instrText xml:space="preserve"> SEQ Figure \* ARABIC </w:instrText>
      </w:r>
      <w:r w:rsidR="00CA21F6">
        <w:fldChar w:fldCharType="separate"/>
      </w:r>
      <w:r w:rsidR="00CA21F6" w:rsidRPr="00272ECE">
        <w:t>2</w:t>
      </w:r>
      <w:r w:rsidR="00CA21F6">
        <w:fldChar w:fldCharType="end"/>
      </w:r>
      <w:bookmarkEnd w:id="39"/>
      <w:r w:rsidRPr="00272ECE">
        <w:t xml:space="preserve">: Structure of </w:t>
      </w:r>
      <w:proofErr w:type="spellStart"/>
      <w:r w:rsidRPr="00272ECE">
        <w:t>pirtobrutinib</w:t>
      </w:r>
      <w:proofErr w:type="spellEnd"/>
    </w:p>
    <w:p w14:paraId="5EA0CABD" w14:textId="77777777" w:rsidR="002F1CC1" w:rsidRPr="00272ECE" w:rsidRDefault="002F1CC1" w:rsidP="008456FF">
      <w:r w:rsidRPr="00272ECE">
        <w:rPr>
          <w:noProof/>
        </w:rPr>
        <w:drawing>
          <wp:inline distT="0" distB="0" distL="0" distR="0" wp14:anchorId="4DC5F6DC" wp14:editId="3EC44CD5">
            <wp:extent cx="1152525" cy="1760606"/>
            <wp:effectExtent l="0" t="0" r="0" b="0"/>
            <wp:docPr id="1400136886" name="Picture 1" descr="Figure 2: Structure of pirtobrutin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36886" name="Picture 1" descr="Figure 2: Structure of pirtobrutinib"/>
                    <pic:cNvPicPr/>
                  </pic:nvPicPr>
                  <pic:blipFill>
                    <a:blip r:embed="rId26"/>
                    <a:stretch>
                      <a:fillRect/>
                    </a:stretch>
                  </pic:blipFill>
                  <pic:spPr>
                    <a:xfrm>
                      <a:off x="0" y="0"/>
                      <a:ext cx="1155048" cy="1764461"/>
                    </a:xfrm>
                    <a:prstGeom prst="rect">
                      <a:avLst/>
                    </a:prstGeom>
                  </pic:spPr>
                </pic:pic>
              </a:graphicData>
            </a:graphic>
          </wp:inline>
        </w:drawing>
      </w:r>
    </w:p>
    <w:p w14:paraId="36F7B856" w14:textId="28A5549D" w:rsidR="008B6073" w:rsidRPr="00272ECE" w:rsidRDefault="002F1CC1" w:rsidP="0021198B">
      <w:r w:rsidRPr="00272ECE">
        <w:t xml:space="preserve">The recommended dose </w:t>
      </w:r>
      <w:r w:rsidR="00012763" w:rsidRPr="00272ECE">
        <w:t>of Jaypirca</w:t>
      </w:r>
      <w:r w:rsidR="001201FC" w:rsidRPr="00272ECE">
        <w:t xml:space="preserve"> is</w:t>
      </w:r>
      <w:r w:rsidR="00012763" w:rsidRPr="00272ECE">
        <w:t xml:space="preserve"> </w:t>
      </w:r>
      <w:r w:rsidRPr="00272ECE">
        <w:t>200</w:t>
      </w:r>
      <w:r w:rsidR="00012763" w:rsidRPr="00272ECE">
        <w:t> </w:t>
      </w:r>
      <w:r w:rsidRPr="00272ECE">
        <w:t>mg once daily. The tablet can be taken with or without food.</w:t>
      </w:r>
      <w:r w:rsidR="00884B4D" w:rsidRPr="00272ECE">
        <w:t xml:space="preserve"> </w:t>
      </w:r>
      <w:r w:rsidRPr="00272ECE">
        <w:t>Proposed pack sizes are 30 tablets for 50</w:t>
      </w:r>
      <w:r w:rsidR="00BE1C56" w:rsidRPr="00272ECE">
        <w:t> </w:t>
      </w:r>
      <w:r w:rsidRPr="00272ECE">
        <w:t>mg, and 30 and 60 tablets for 100</w:t>
      </w:r>
      <w:r w:rsidR="00BE1C56" w:rsidRPr="00272ECE">
        <w:t> </w:t>
      </w:r>
      <w:r w:rsidRPr="00272ECE">
        <w:t xml:space="preserve">mg, each contained in a </w:t>
      </w:r>
      <w:r w:rsidR="00D1401D" w:rsidRPr="00272ECE">
        <w:t>c</w:t>
      </w:r>
      <w:r w:rsidRPr="00272ECE">
        <w:t>arton.</w:t>
      </w:r>
      <w:r w:rsidR="00884B4D" w:rsidRPr="00272ECE">
        <w:t xml:space="preserve"> </w:t>
      </w:r>
      <w:r w:rsidR="007E4E8F" w:rsidRPr="00272ECE">
        <w:t xml:space="preserve">The </w:t>
      </w:r>
      <w:r w:rsidR="008B6073" w:rsidRPr="00272ECE">
        <w:t>J</w:t>
      </w:r>
      <w:r w:rsidR="00436F30" w:rsidRPr="00272ECE">
        <w:t>aypirca</w:t>
      </w:r>
      <w:r w:rsidR="008B6073" w:rsidRPr="00272ECE">
        <w:t xml:space="preserve"> 50</w:t>
      </w:r>
      <w:r w:rsidR="00436F30" w:rsidRPr="00272ECE">
        <w:t> </w:t>
      </w:r>
      <w:r w:rsidR="008B6073" w:rsidRPr="00272ECE">
        <w:t>mg film</w:t>
      </w:r>
      <w:r w:rsidR="000A6838" w:rsidRPr="00272ECE">
        <w:t xml:space="preserve"> </w:t>
      </w:r>
      <w:r w:rsidR="008B6073" w:rsidRPr="00272ECE">
        <w:t>coated tablet</w:t>
      </w:r>
      <w:r w:rsidR="007E4E8F" w:rsidRPr="00272ECE">
        <w:t xml:space="preserve"> is a blue, arc-triangle debossed with ‘Lilly’ over ‘</w:t>
      </w:r>
      <w:r w:rsidR="00E60755" w:rsidRPr="00272ECE">
        <w:t xml:space="preserve">50’ on one side and ‘6902’ on the other and is approximately </w:t>
      </w:r>
      <w:r w:rsidR="008B6073" w:rsidRPr="00272ECE">
        <w:t xml:space="preserve">9 x 9 mm </w:t>
      </w:r>
      <w:r w:rsidR="00E60755" w:rsidRPr="00272ECE">
        <w:t>in size.</w:t>
      </w:r>
      <w:r w:rsidR="000A6838" w:rsidRPr="00272ECE">
        <w:t xml:space="preserve"> The </w:t>
      </w:r>
      <w:r w:rsidR="008B6073" w:rsidRPr="00272ECE">
        <w:t>J</w:t>
      </w:r>
      <w:r w:rsidR="000A6838" w:rsidRPr="00272ECE">
        <w:t xml:space="preserve">aypirca </w:t>
      </w:r>
      <w:r w:rsidR="008B6073" w:rsidRPr="00272ECE">
        <w:t>100 mg film coated tablet</w:t>
      </w:r>
      <w:r w:rsidR="000A6838" w:rsidRPr="00272ECE">
        <w:t xml:space="preserve"> is a b</w:t>
      </w:r>
      <w:r w:rsidR="008B6073" w:rsidRPr="00272ECE">
        <w:t>lue,</w:t>
      </w:r>
      <w:r w:rsidR="00A738ED" w:rsidRPr="00272ECE">
        <w:t xml:space="preserve"> round tablet debossed with ‘Lil</w:t>
      </w:r>
      <w:r w:rsidR="005534A5">
        <w:t>l</w:t>
      </w:r>
      <w:r w:rsidR="00A738ED" w:rsidRPr="00272ECE">
        <w:t>y’ over ‘100’ on one side and ‘7026’ on the other</w:t>
      </w:r>
      <w:r w:rsidR="004919D1" w:rsidRPr="00272ECE">
        <w:t xml:space="preserve"> side and is approximately </w:t>
      </w:r>
      <w:r w:rsidR="008B6073" w:rsidRPr="00272ECE">
        <w:t xml:space="preserve">10 mm </w:t>
      </w:r>
      <w:r w:rsidR="004919D1" w:rsidRPr="00272ECE">
        <w:t>in size.</w:t>
      </w:r>
    </w:p>
    <w:p w14:paraId="2CB6AED3" w14:textId="70056B3F" w:rsidR="00BE1C56" w:rsidRPr="00272ECE" w:rsidRDefault="003B2035" w:rsidP="00637F0E">
      <w:r w:rsidRPr="00272ECE">
        <w:t xml:space="preserve">The recommended shelf life of Jaypirca is </w:t>
      </w:r>
      <w:r w:rsidR="006A736B" w:rsidRPr="00272ECE">
        <w:t>36-month</w:t>
      </w:r>
      <w:r w:rsidRPr="00272ECE">
        <w:t>s s</w:t>
      </w:r>
      <w:r w:rsidR="006A736B" w:rsidRPr="00272ECE">
        <w:t>tore</w:t>
      </w:r>
      <w:r w:rsidRPr="00272ECE">
        <w:t>d</w:t>
      </w:r>
      <w:r w:rsidR="006A736B" w:rsidRPr="00272ECE">
        <w:t xml:space="preserve"> below 30</w:t>
      </w:r>
      <w:r w:rsidRPr="00272ECE">
        <w:t xml:space="preserve"> </w:t>
      </w:r>
      <w:r w:rsidR="006D4CF8" w:rsidRPr="00272ECE">
        <w:t>°</w:t>
      </w:r>
      <w:r w:rsidR="006A736B" w:rsidRPr="00272ECE">
        <w:t>C</w:t>
      </w:r>
      <w:r w:rsidR="00F07A0B" w:rsidRPr="00272ECE">
        <w:t>.</w:t>
      </w:r>
    </w:p>
    <w:p w14:paraId="49F7553A" w14:textId="549E0B71" w:rsidR="006A736B" w:rsidRPr="00272ECE" w:rsidRDefault="00A41E87" w:rsidP="0021198B">
      <w:r w:rsidRPr="00272ECE">
        <w:t xml:space="preserve">The application and the supporting data relating to the composition, development, manufacture, quality control, and stability of the product have been assessed and checked for compliance, as applicable, with Australian legislation and requirements for new medicines and in accordance with </w:t>
      </w:r>
      <w:proofErr w:type="spellStart"/>
      <w:r w:rsidRPr="00272ECE">
        <w:t>pharmacopoeial</w:t>
      </w:r>
      <w:proofErr w:type="spellEnd"/>
      <w:r w:rsidRPr="00272ECE">
        <w:t xml:space="preserve"> standards and the technical guidelines adopted by the TGA.</w:t>
      </w:r>
    </w:p>
    <w:p w14:paraId="479FFC94" w14:textId="7BC38AAE" w:rsidR="00AA3E9C" w:rsidRPr="00272ECE" w:rsidRDefault="00AA3E9C" w:rsidP="00637F0E">
      <w:r w:rsidRPr="00272ECE">
        <w:t xml:space="preserve">The </w:t>
      </w:r>
      <w:r w:rsidR="00194CF1" w:rsidRPr="00272ECE">
        <w:t>quality</w:t>
      </w:r>
      <w:r w:rsidRPr="00272ECE">
        <w:t xml:space="preserve"> evaluat</w:t>
      </w:r>
      <w:r w:rsidR="00194CF1" w:rsidRPr="00272ECE">
        <w:t>ion</w:t>
      </w:r>
      <w:r w:rsidRPr="00272ECE">
        <w:t xml:space="preserve"> has confirmed that</w:t>
      </w:r>
      <w:r w:rsidR="00194CF1" w:rsidRPr="00272ECE">
        <w:t xml:space="preserve"> </w:t>
      </w:r>
      <w:r w:rsidRPr="00272ECE">
        <w:t>approval for registration of the proposed product can be recommended from a pharmaceutical chemistry perspective.</w:t>
      </w:r>
    </w:p>
    <w:p w14:paraId="2BE90AAE" w14:textId="7D65A6F0" w:rsidR="00C22214" w:rsidRPr="00272ECE" w:rsidRDefault="00C22214" w:rsidP="0021198B">
      <w:pPr>
        <w:pStyle w:val="Heading3"/>
      </w:pPr>
      <w:bookmarkStart w:id="40" w:name="_Toc314842512"/>
      <w:bookmarkStart w:id="41" w:name="_Toc103679296"/>
      <w:bookmarkStart w:id="42" w:name="_Toc243316700"/>
      <w:r w:rsidRPr="00272ECE">
        <w:lastRenderedPageBreak/>
        <w:t>Nonclinical</w:t>
      </w:r>
      <w:bookmarkEnd w:id="40"/>
      <w:bookmarkEnd w:id="41"/>
      <w:r w:rsidR="007E6443" w:rsidRPr="00272ECE">
        <w:t xml:space="preserve"> evaluation</w:t>
      </w:r>
      <w:r w:rsidR="00095C6A" w:rsidRPr="00272ECE">
        <w:t xml:space="preserve"> summary</w:t>
      </w:r>
      <w:bookmarkEnd w:id="42"/>
    </w:p>
    <w:p w14:paraId="2AEB0249" w14:textId="6A853EC4" w:rsidR="009F7079" w:rsidRPr="00272ECE" w:rsidRDefault="009F7079" w:rsidP="0021198B">
      <w:bookmarkStart w:id="43" w:name="_Toc247691530"/>
      <w:bookmarkStart w:id="44" w:name="_Toc314842513"/>
      <w:bookmarkStart w:id="45" w:name="_Toc103679297"/>
      <w:r w:rsidRPr="00272ECE">
        <w:t xml:space="preserve">The submitted </w:t>
      </w:r>
      <w:r w:rsidR="00D03887" w:rsidRPr="00272ECE">
        <w:t>nonclinical</w:t>
      </w:r>
      <w:r w:rsidRPr="00272ECE">
        <w:t xml:space="preserve"> dossier was in accordance with the relevant ICH guideline for the nonclinical assessment of anticancer pharmaceuticals (ICH S9). All pivotal safety</w:t>
      </w:r>
      <w:r w:rsidR="00EB7FDE" w:rsidRPr="00272ECE">
        <w:t xml:space="preserve"> </w:t>
      </w:r>
      <w:r w:rsidRPr="00272ECE">
        <w:t xml:space="preserve">related studies were </w:t>
      </w:r>
      <w:r w:rsidR="00E14BD9" w:rsidRPr="00272ECE">
        <w:t xml:space="preserve">Good Laboratory Practice </w:t>
      </w:r>
      <w:r w:rsidRPr="00272ECE">
        <w:t>compliant. All safety</w:t>
      </w:r>
      <w:r w:rsidR="00E14BD9" w:rsidRPr="00272ECE">
        <w:t xml:space="preserve"> </w:t>
      </w:r>
      <w:r w:rsidRPr="00272ECE">
        <w:t xml:space="preserve">related nonclinical studies were conducted with crystalline pirtobrutinib suspended in 0.5% </w:t>
      </w:r>
      <w:r w:rsidR="00105270" w:rsidRPr="00272ECE">
        <w:t>hydroxypropyl m</w:t>
      </w:r>
      <w:r w:rsidR="00A739F1" w:rsidRPr="00272ECE">
        <w:t>ethylcellulose</w:t>
      </w:r>
      <w:r w:rsidRPr="00272ECE">
        <w:t xml:space="preserve"> and not with spray</w:t>
      </w:r>
      <w:r w:rsidR="00E14BD9" w:rsidRPr="00272ECE">
        <w:t xml:space="preserve"> </w:t>
      </w:r>
      <w:r w:rsidRPr="00272ECE">
        <w:t xml:space="preserve">dried dispersion form of pirtobrutinib used in commercial product </w:t>
      </w:r>
      <w:proofErr w:type="gramStart"/>
      <w:r w:rsidRPr="00272ECE">
        <w:t>with the exception of</w:t>
      </w:r>
      <w:proofErr w:type="gramEnd"/>
      <w:r w:rsidRPr="00272ECE">
        <w:t xml:space="preserve"> the </w:t>
      </w:r>
      <w:r w:rsidR="00263991" w:rsidRPr="00272ECE">
        <w:t>3- and 9-month</w:t>
      </w:r>
      <w:r w:rsidRPr="00272ECE">
        <w:t xml:space="preserve"> dog studies LOXO-305-TOX-017 and 8003850, respectively.</w:t>
      </w:r>
    </w:p>
    <w:p w14:paraId="14C361E5" w14:textId="489DBE50" w:rsidR="009F7079" w:rsidRPr="00272ECE" w:rsidRDefault="009F7079" w:rsidP="0021198B">
      <w:r w:rsidRPr="00272ECE">
        <w:rPr>
          <w:i/>
          <w:iCs/>
        </w:rPr>
        <w:t>In vitro</w:t>
      </w:r>
      <w:r w:rsidRPr="00272ECE">
        <w:t xml:space="preserve">, pirtobrutinib bound the BTK and BTK C481S mutant with nanomolar affinity and inhibition was observed at </w:t>
      </w:r>
      <w:r w:rsidR="00684BE2" w:rsidRPr="00272ECE">
        <w:t xml:space="preserve">half maximal inhibitory concentration </w:t>
      </w:r>
      <w:r w:rsidRPr="00272ECE">
        <w:t xml:space="preserve">values within expected clinical plasma concentrations. </w:t>
      </w:r>
      <w:r w:rsidRPr="00272ECE">
        <w:rPr>
          <w:i/>
          <w:iCs/>
        </w:rPr>
        <w:t>In vivo</w:t>
      </w:r>
      <w:r w:rsidRPr="00272ECE">
        <w:t xml:space="preserve">, pirtobrutinib demonstrated moderate tumour regression in various human B-cell malignancy xenograft mouse models at exposure level comparable to clinical </w:t>
      </w:r>
      <w:r w:rsidR="00E123FA" w:rsidRPr="00272ECE">
        <w:t xml:space="preserve">maximum </w:t>
      </w:r>
      <w:r w:rsidR="00E123FA" w:rsidRPr="00772559">
        <w:t>concentration (</w:t>
      </w:r>
      <w:r w:rsidRPr="00772559">
        <w:t>C</w:t>
      </w:r>
      <w:r w:rsidRPr="00772559">
        <w:rPr>
          <w:vertAlign w:val="subscript"/>
        </w:rPr>
        <w:t>max</w:t>
      </w:r>
      <w:r w:rsidR="00E123FA" w:rsidRPr="00772559">
        <w:t>)</w:t>
      </w:r>
      <w:r w:rsidRPr="00772559">
        <w:t>, supporting</w:t>
      </w:r>
      <w:r w:rsidRPr="00272ECE">
        <w:t xml:space="preserve"> the proposed clinical indication.</w:t>
      </w:r>
    </w:p>
    <w:p w14:paraId="268F4A96" w14:textId="1748C77C" w:rsidR="009F7079" w:rsidRPr="00272ECE" w:rsidRDefault="009F7079" w:rsidP="0021198B">
      <w:r w:rsidRPr="00573E11">
        <w:t xml:space="preserve">Pirtobrutinib had inhibitory activity against </w:t>
      </w:r>
      <w:r w:rsidR="005A4653" w:rsidRPr="00573E11">
        <w:rPr>
          <w:rFonts w:eastAsia="Times New Roman" w:cs="Calibri"/>
          <w:color w:val="000000"/>
          <w:szCs w:val="22"/>
          <w:lang w:eastAsia="en-AU"/>
        </w:rPr>
        <w:t>erb-b2 receptor tyrosine kinase 4 (</w:t>
      </w:r>
      <w:r w:rsidRPr="00573E11">
        <w:t>ERBB4/HER4</w:t>
      </w:r>
      <w:r w:rsidR="008E1EDA" w:rsidRPr="00573E11">
        <w:t>)</w:t>
      </w:r>
      <w:r w:rsidRPr="00573E11">
        <w:t xml:space="preserve">, </w:t>
      </w:r>
      <w:r w:rsidR="003B5DC8" w:rsidRPr="00573E11">
        <w:t>breast tumour kinase</w:t>
      </w:r>
      <w:r w:rsidR="00DE1495" w:rsidRPr="00573E11">
        <w:t xml:space="preserve"> (</w:t>
      </w:r>
      <w:r w:rsidRPr="00573E11">
        <w:t>BRK</w:t>
      </w:r>
      <w:r w:rsidR="00DE1495" w:rsidRPr="00573E11">
        <w:t>)</w:t>
      </w:r>
      <w:r w:rsidRPr="00573E11">
        <w:t xml:space="preserve">, </w:t>
      </w:r>
      <w:r w:rsidR="00B93841" w:rsidRPr="00573E11">
        <w:t xml:space="preserve">mitogen-activated protein kinase 2 </w:t>
      </w:r>
      <w:r w:rsidR="00CB0398" w:rsidRPr="00573E11">
        <w:t>(</w:t>
      </w:r>
      <w:r w:rsidRPr="00573E11">
        <w:t>MEK2</w:t>
      </w:r>
      <w:r w:rsidR="00CB0398" w:rsidRPr="00573E11">
        <w:t>)</w:t>
      </w:r>
      <w:r w:rsidRPr="00573E11">
        <w:t xml:space="preserve">, </w:t>
      </w:r>
      <w:r w:rsidR="00CB0398" w:rsidRPr="00573E11">
        <w:t>mitogen-activated protein kinase (</w:t>
      </w:r>
      <w:r w:rsidRPr="00573E11">
        <w:t>MEK1</w:t>
      </w:r>
      <w:r w:rsidR="00CB0398" w:rsidRPr="00573E11">
        <w:t>)</w:t>
      </w:r>
      <w:r w:rsidRPr="00573E11">
        <w:t xml:space="preserve">, </w:t>
      </w:r>
      <w:r w:rsidR="00080C8B" w:rsidRPr="00573E11">
        <w:t>tyrosine</w:t>
      </w:r>
      <w:r w:rsidR="00D63252" w:rsidRPr="00573E11">
        <w:t xml:space="preserve"> kinase YES (</w:t>
      </w:r>
      <w:r w:rsidRPr="00573E11">
        <w:t>YES/YES1</w:t>
      </w:r>
      <w:r w:rsidR="00D63252" w:rsidRPr="00573E11">
        <w:t>)</w:t>
      </w:r>
      <w:r w:rsidRPr="00573E11">
        <w:t xml:space="preserve">, </w:t>
      </w:r>
      <w:r w:rsidR="003D07D0" w:rsidRPr="00573E11">
        <w:t>tyrosine kinase (</w:t>
      </w:r>
      <w:proofErr w:type="spellStart"/>
      <w:r w:rsidRPr="00573E11">
        <w:t>TXK</w:t>
      </w:r>
      <w:proofErr w:type="spellEnd"/>
      <w:r w:rsidR="003D07D0" w:rsidRPr="00573E11">
        <w:t>)</w:t>
      </w:r>
      <w:r w:rsidRPr="00573E11">
        <w:t xml:space="preserve">, and </w:t>
      </w:r>
      <w:r w:rsidR="00694B71" w:rsidRPr="00573E11">
        <w:t>C</w:t>
      </w:r>
      <w:r w:rsidR="00A00010" w:rsidRPr="00573E11">
        <w:noBreakHyphen/>
      </w:r>
      <w:r w:rsidR="00694B71" w:rsidRPr="00573E11">
        <w:t xml:space="preserve">terminal </w:t>
      </w:r>
      <w:proofErr w:type="spellStart"/>
      <w:r w:rsidR="00694B71" w:rsidRPr="00573E11">
        <w:t>Src</w:t>
      </w:r>
      <w:proofErr w:type="spellEnd"/>
      <w:r w:rsidR="00694B71" w:rsidRPr="00573E11">
        <w:t xml:space="preserve"> kinase</w:t>
      </w:r>
      <w:r w:rsidR="00A00010" w:rsidRPr="00573E11">
        <w:t xml:space="preserve"> (</w:t>
      </w:r>
      <w:r w:rsidRPr="00573E11">
        <w:t>CSK</w:t>
      </w:r>
      <w:r w:rsidR="00A00010" w:rsidRPr="00573E11">
        <w:t>)</w:t>
      </w:r>
      <w:r w:rsidRPr="00573E11">
        <w:t xml:space="preserve"> kinases at potentially</w:t>
      </w:r>
      <w:r w:rsidRPr="00272ECE">
        <w:t xml:space="preserve"> clinically relevant concentrations.</w:t>
      </w:r>
    </w:p>
    <w:p w14:paraId="622D1F67" w14:textId="6212115C" w:rsidR="009F7079" w:rsidRPr="00272ECE" w:rsidRDefault="009F7079" w:rsidP="0021198B">
      <w:r w:rsidRPr="00272ECE">
        <w:t xml:space="preserve">Dedicated safety pharmacology studies assessed effects of pirtobrutinib on the cardiovascular system. No significant inhibition of </w:t>
      </w:r>
      <w:r w:rsidR="002B6C76" w:rsidRPr="00272ECE">
        <w:t>human ether-a-go-go related gene</w:t>
      </w:r>
      <w:r w:rsidRPr="00272ECE">
        <w:t xml:space="preserve"> </w:t>
      </w:r>
      <w:r w:rsidR="002B6C76" w:rsidRPr="00272ECE">
        <w:t>potassium</w:t>
      </w:r>
      <w:r w:rsidRPr="00272ECE">
        <w:t xml:space="preserve"> channel tail current was observed at clinically relevant concentrations. In conscious male dogs, pirtobrutinib had no effect on </w:t>
      </w:r>
      <w:r w:rsidR="00357A74" w:rsidRPr="00272ECE">
        <w:t xml:space="preserve">electrocardiogram </w:t>
      </w:r>
      <w:r w:rsidRPr="00272ECE">
        <w:t xml:space="preserve">or other haemodynamic parameters at low multiples of clinical exposures. The central nervous system and respiratory safety pharmacology endpoints were assessed in repeat-dose toxicity studies, where no adverse effects on </w:t>
      </w:r>
      <w:r w:rsidR="00357A74" w:rsidRPr="00272ECE">
        <w:t>central nervous system</w:t>
      </w:r>
      <w:r w:rsidRPr="00272ECE">
        <w:t xml:space="preserve"> function were observed in rats. No adverse effects on respiratory rate were seen in dogs treated with oral pirtobrutinib providing only subclinical exposures.</w:t>
      </w:r>
    </w:p>
    <w:p w14:paraId="781A941F" w14:textId="74A6A0BE" w:rsidR="009F7079" w:rsidRPr="00165D88" w:rsidRDefault="009F7079" w:rsidP="0021198B">
      <w:r w:rsidRPr="00272ECE">
        <w:t>Overall, the pharmacokinetic profile in rats and dogs was qualitatively similar to that of humans. Pirtobrutinib (spray-dried dispersion form) was rapidly absorbed (</w:t>
      </w:r>
      <w:r w:rsidR="00B664F6" w:rsidRPr="00272ECE">
        <w:t xml:space="preserve">time to maximum concentration </w:t>
      </w:r>
      <w:r w:rsidR="00B664F6" w:rsidRPr="00165D88">
        <w:t>(</w:t>
      </w:r>
      <w:proofErr w:type="spellStart"/>
      <w:r w:rsidRPr="00165D88">
        <w:t>T</w:t>
      </w:r>
      <w:r w:rsidRPr="00165D88">
        <w:rPr>
          <w:vertAlign w:val="subscript"/>
        </w:rPr>
        <w:t>max</w:t>
      </w:r>
      <w:proofErr w:type="spellEnd"/>
      <w:r w:rsidR="00B664F6" w:rsidRPr="00165D88">
        <w:t>)</w:t>
      </w:r>
      <w:r w:rsidRPr="00165D88">
        <w:t xml:space="preserve"> ≤ </w:t>
      </w:r>
      <w:proofErr w:type="spellStart"/>
      <w:r w:rsidRPr="00165D88">
        <w:t>2h</w:t>
      </w:r>
      <w:proofErr w:type="spellEnd"/>
      <w:r w:rsidRPr="00165D88">
        <w:t xml:space="preserve">) in rats, dogs and humans, but </w:t>
      </w:r>
      <w:proofErr w:type="spellStart"/>
      <w:r w:rsidRPr="00165D88">
        <w:t>T</w:t>
      </w:r>
      <w:r w:rsidRPr="00165D88">
        <w:rPr>
          <w:vertAlign w:val="subscript"/>
        </w:rPr>
        <w:t>max</w:t>
      </w:r>
      <w:proofErr w:type="spellEnd"/>
      <w:r w:rsidRPr="00165D88">
        <w:t xml:space="preserve"> was generally moderate in rats and dogs for crystalline pirtobrutinib. Half-life was longer in humans than nonclinical species. Plasma protein binding of pirtobrutinib was high in mice, rabbits, and humans and it was moderate in rats and dogs. Tissue distribution of pirtobrutinib was relatively high in tissues involved in elimination (liver, kidney, urinary bladder) and the adrenal and thyroid glands, but penetration into brain and spinal cord was very limited. Unchanged pirtobrutinib was by far the dominant circulating species in humans and female rats, while metabolite M1 was dominant circulating species in male rats. Pirtobrutinib was primarily metabolised by</w:t>
      </w:r>
      <w:r w:rsidR="002664B4" w:rsidRPr="00165D88">
        <w:t xml:space="preserve"> cytochrome P450 isoenzyme 3A4 (</w:t>
      </w:r>
      <w:r w:rsidRPr="00165D88">
        <w:t>CYP3A4</w:t>
      </w:r>
      <w:r w:rsidR="002664B4" w:rsidRPr="00165D88">
        <w:t>)</w:t>
      </w:r>
      <w:r w:rsidRPr="00165D88">
        <w:t xml:space="preserve">, </w:t>
      </w:r>
      <w:r w:rsidR="009B0B27" w:rsidRPr="00165D88">
        <w:t xml:space="preserve">UDP-glucuronosyltransferase </w:t>
      </w:r>
      <w:r w:rsidR="00184466" w:rsidRPr="00165D88">
        <w:t>f</w:t>
      </w:r>
      <w:r w:rsidR="009B0B27" w:rsidRPr="00165D88">
        <w:t xml:space="preserve">amily 1 </w:t>
      </w:r>
      <w:r w:rsidR="00184466" w:rsidRPr="00165D88">
        <w:t>m</w:t>
      </w:r>
      <w:r w:rsidR="009B0B27" w:rsidRPr="00165D88">
        <w:t xml:space="preserve">ember </w:t>
      </w:r>
      <w:r w:rsidR="0024282B" w:rsidRPr="00165D88">
        <w:t>A</w:t>
      </w:r>
      <w:r w:rsidR="009B0B27" w:rsidRPr="00165D88">
        <w:t xml:space="preserve">8 </w:t>
      </w:r>
      <w:r w:rsidR="0024282B" w:rsidRPr="00165D88">
        <w:t>(</w:t>
      </w:r>
      <w:r w:rsidRPr="00165D88">
        <w:t>UGT1A8</w:t>
      </w:r>
      <w:r w:rsidR="0024282B" w:rsidRPr="00165D88">
        <w:t>)</w:t>
      </w:r>
      <w:r w:rsidRPr="00165D88">
        <w:t xml:space="preserve"> and </w:t>
      </w:r>
      <w:r w:rsidR="006E3DFC" w:rsidRPr="00165D88">
        <w:t>UDP-glucuronosyltransferase family 1 member A9 (</w:t>
      </w:r>
      <w:r w:rsidRPr="00165D88">
        <w:t>UGT1A9</w:t>
      </w:r>
      <w:r w:rsidR="006E3DFC" w:rsidRPr="00165D88">
        <w:t>)</w:t>
      </w:r>
      <w:r w:rsidRPr="00165D88">
        <w:t>. Drug</w:t>
      </w:r>
      <w:r w:rsidR="006E3DFC" w:rsidRPr="00165D88">
        <w:t xml:space="preserve"> </w:t>
      </w:r>
      <w:r w:rsidRPr="00165D88">
        <w:t>related material was excreted via urine and faeces with urine as the predominant route of excretion in humans while faeces predominated for rats.</w:t>
      </w:r>
    </w:p>
    <w:p w14:paraId="2EB16412" w14:textId="0A7AE5F5" w:rsidR="009F7079" w:rsidRPr="00272ECE" w:rsidRDefault="009F7079" w:rsidP="0021198B">
      <w:r w:rsidRPr="00165D88">
        <w:t xml:space="preserve">As pirtobrutinib is predominantly metabolised by CYP3A4, CYP3A4 inhibitors/inducers may alter the systemic exposure to pirtobrutinib. </w:t>
      </w:r>
      <w:r w:rsidRPr="00165D88">
        <w:rPr>
          <w:i/>
          <w:iCs/>
        </w:rPr>
        <w:t>In vitro</w:t>
      </w:r>
      <w:r w:rsidRPr="00165D88">
        <w:t xml:space="preserve"> data suggested that pirtobrutinib may increase the exposure of </w:t>
      </w:r>
      <w:r w:rsidR="002A16BB" w:rsidRPr="00165D88">
        <w:t>cytochrome P450 isoenzyme 2C8 (</w:t>
      </w:r>
      <w:r w:rsidRPr="00165D88">
        <w:t>CYP2C8</w:t>
      </w:r>
      <w:r w:rsidR="00FB03AF" w:rsidRPr="00165D88">
        <w:t>)</w:t>
      </w:r>
      <w:r w:rsidRPr="00165D88">
        <w:t xml:space="preserve"> and/or </w:t>
      </w:r>
      <w:r w:rsidR="00EA3A10" w:rsidRPr="00165D88">
        <w:t>cytochrome P450 isoenzyme 2C9 (</w:t>
      </w:r>
      <w:r w:rsidRPr="00165D88">
        <w:t>CYP2C9</w:t>
      </w:r>
      <w:r w:rsidR="002A16BB" w:rsidRPr="00165D88">
        <w:t>)</w:t>
      </w:r>
      <w:r w:rsidRPr="00165D88">
        <w:t xml:space="preserve"> substrates</w:t>
      </w:r>
      <w:r w:rsidRPr="00272ECE">
        <w:t xml:space="preserve"> when coadministered. Pirtobrutinib exhibited mechanism</w:t>
      </w:r>
      <w:r w:rsidR="00FB03AF" w:rsidRPr="00272ECE">
        <w:t xml:space="preserve"> d</w:t>
      </w:r>
      <w:r w:rsidRPr="00272ECE">
        <w:t xml:space="preserve">ependent irreversible inhibition of systemic and intestinal CYP3A enzymes, direct inhibition of intestinal CYP3A enzymes, and induction of systemic and intestinal CYP3A enzymes </w:t>
      </w:r>
      <w:r w:rsidRPr="00272ECE">
        <w:rPr>
          <w:i/>
          <w:iCs/>
        </w:rPr>
        <w:t>in vitro</w:t>
      </w:r>
      <w:r w:rsidRPr="00272ECE">
        <w:t>; thus, pirtobrutinib may cause net inhibition of CYP3A enzymes and increase exposures of oral co</w:t>
      </w:r>
      <w:r w:rsidR="00E72913" w:rsidRPr="00272ECE">
        <w:t>a</w:t>
      </w:r>
      <w:r w:rsidRPr="00272ECE">
        <w:t xml:space="preserve">dministered drugs that are CYP3A substrates. Pirtobrutinib may increase the exposure of coadministered drugs that are substrates of P-glycoprotein or </w:t>
      </w:r>
      <w:r w:rsidR="00984370" w:rsidRPr="00272ECE">
        <w:t>breast cancer resistance protein</w:t>
      </w:r>
      <w:r w:rsidRPr="00272ECE">
        <w:t>.</w:t>
      </w:r>
    </w:p>
    <w:p w14:paraId="62CA72A7" w14:textId="24A7A4CD" w:rsidR="000105AC" w:rsidRPr="00272ECE" w:rsidRDefault="000105AC" w:rsidP="0021198B">
      <w:r w:rsidRPr="00DD05A0">
        <w:lastRenderedPageBreak/>
        <w:t xml:space="preserve">Pirtobrutinib may also increase systemic exposure to a coadministered drug that is a substrate of the </w:t>
      </w:r>
      <w:r w:rsidR="00DC7B6F" w:rsidRPr="00DD05A0">
        <w:t>bile salt export pump</w:t>
      </w:r>
      <w:r w:rsidRPr="00DD05A0">
        <w:t xml:space="preserve">, </w:t>
      </w:r>
      <w:r w:rsidR="00B845F4" w:rsidRPr="00DD05A0">
        <w:t>o</w:t>
      </w:r>
      <w:r w:rsidR="002F3044" w:rsidRPr="00DD05A0">
        <w:t xml:space="preserve">rganic </w:t>
      </w:r>
      <w:r w:rsidR="00B845F4" w:rsidRPr="00DD05A0">
        <w:t>a</w:t>
      </w:r>
      <w:r w:rsidR="002F3044" w:rsidRPr="00DD05A0">
        <w:t xml:space="preserve">nion </w:t>
      </w:r>
      <w:r w:rsidR="00B845F4" w:rsidRPr="00DD05A0">
        <w:t>t</w:t>
      </w:r>
      <w:r w:rsidR="002F3044" w:rsidRPr="00DD05A0">
        <w:t xml:space="preserve">ransporting </w:t>
      </w:r>
      <w:r w:rsidR="00B845F4" w:rsidRPr="00DD05A0">
        <w:t>p</w:t>
      </w:r>
      <w:r w:rsidR="002F3044" w:rsidRPr="00DD05A0">
        <w:t>olypeptide 1B1</w:t>
      </w:r>
      <w:r w:rsidR="00025F97" w:rsidRPr="00DD05A0">
        <w:t xml:space="preserve"> (</w:t>
      </w:r>
      <w:r w:rsidRPr="00DD05A0">
        <w:t>OATP1B1</w:t>
      </w:r>
      <w:r w:rsidR="00025F97" w:rsidRPr="00DD05A0">
        <w:t>)</w:t>
      </w:r>
      <w:r w:rsidRPr="00DD05A0">
        <w:t xml:space="preserve">, </w:t>
      </w:r>
      <w:r w:rsidR="00025F97" w:rsidRPr="00DD05A0">
        <w:t>o</w:t>
      </w:r>
      <w:r w:rsidR="00933B28" w:rsidRPr="00DD05A0">
        <w:t xml:space="preserve">rganic </w:t>
      </w:r>
      <w:r w:rsidR="00025F97" w:rsidRPr="00DD05A0">
        <w:t>a</w:t>
      </w:r>
      <w:r w:rsidR="00933B28" w:rsidRPr="00DD05A0">
        <w:t xml:space="preserve">nion </w:t>
      </w:r>
      <w:r w:rsidR="00025F97" w:rsidRPr="00DD05A0">
        <w:t>t</w:t>
      </w:r>
      <w:r w:rsidR="00933B28" w:rsidRPr="00DD05A0">
        <w:t xml:space="preserve">ransporting </w:t>
      </w:r>
      <w:r w:rsidR="00025F97" w:rsidRPr="00DD05A0">
        <w:t>p</w:t>
      </w:r>
      <w:r w:rsidR="00933B28" w:rsidRPr="00DD05A0">
        <w:t>olypeptide 1B3</w:t>
      </w:r>
      <w:r w:rsidR="00025F97" w:rsidRPr="00DD05A0">
        <w:t xml:space="preserve"> (</w:t>
      </w:r>
      <w:r w:rsidRPr="00DD05A0">
        <w:t>OATP1B3</w:t>
      </w:r>
      <w:r w:rsidR="00025F97" w:rsidRPr="00DD05A0">
        <w:t>)</w:t>
      </w:r>
      <w:r w:rsidRPr="00DD05A0">
        <w:t>,</w:t>
      </w:r>
      <w:r w:rsidR="00991CF9" w:rsidRPr="00DD05A0">
        <w:t xml:space="preserve"> </w:t>
      </w:r>
      <w:r w:rsidR="003A379C" w:rsidRPr="00DD05A0">
        <w:t>o</w:t>
      </w:r>
      <w:r w:rsidR="00991CF9" w:rsidRPr="00DD05A0">
        <w:t xml:space="preserve">rganic </w:t>
      </w:r>
      <w:r w:rsidR="003A379C" w:rsidRPr="00DD05A0">
        <w:t>a</w:t>
      </w:r>
      <w:r w:rsidR="00991CF9" w:rsidRPr="00DD05A0">
        <w:t xml:space="preserve">nion </w:t>
      </w:r>
      <w:r w:rsidR="003A379C" w:rsidRPr="00DD05A0">
        <w:t>t</w:t>
      </w:r>
      <w:r w:rsidR="00991CF9" w:rsidRPr="00DD05A0">
        <w:t>ransporter 3</w:t>
      </w:r>
      <w:r w:rsidRPr="00DD05A0">
        <w:t xml:space="preserve"> </w:t>
      </w:r>
      <w:r w:rsidR="003A379C" w:rsidRPr="00DD05A0">
        <w:t>(</w:t>
      </w:r>
      <w:r w:rsidRPr="00DD05A0">
        <w:t>OAT3</w:t>
      </w:r>
      <w:r w:rsidR="003A379C" w:rsidRPr="00DD05A0">
        <w:t>)</w:t>
      </w:r>
      <w:r w:rsidRPr="00DD05A0">
        <w:t xml:space="preserve">, </w:t>
      </w:r>
      <w:r w:rsidR="003A379C" w:rsidRPr="00DD05A0">
        <w:t>o</w:t>
      </w:r>
      <w:r w:rsidR="003E1F12" w:rsidRPr="00DD05A0">
        <w:t xml:space="preserve">rganic </w:t>
      </w:r>
      <w:r w:rsidR="003A379C" w:rsidRPr="00DD05A0">
        <w:t>c</w:t>
      </w:r>
      <w:r w:rsidR="003E1F12" w:rsidRPr="00DD05A0">
        <w:t xml:space="preserve">ation </w:t>
      </w:r>
      <w:r w:rsidR="003A379C" w:rsidRPr="00DD05A0">
        <w:t>t</w:t>
      </w:r>
      <w:r w:rsidR="003E1F12" w:rsidRPr="00DD05A0">
        <w:t>ransporter 2</w:t>
      </w:r>
      <w:r w:rsidR="003A379C" w:rsidRPr="00DD05A0">
        <w:t xml:space="preserve"> (</w:t>
      </w:r>
      <w:r w:rsidRPr="00DD05A0">
        <w:t>OCT2</w:t>
      </w:r>
      <w:r w:rsidR="009A4A66" w:rsidRPr="00DD05A0">
        <w:t>)</w:t>
      </w:r>
      <w:r w:rsidRPr="00DD05A0">
        <w:t xml:space="preserve">, </w:t>
      </w:r>
      <w:r w:rsidR="00B146B5" w:rsidRPr="00DD05A0">
        <w:t xml:space="preserve">multidrug and toxin extrusion transporter 1 </w:t>
      </w:r>
      <w:r w:rsidR="009A4A66" w:rsidRPr="00DD05A0">
        <w:t>(</w:t>
      </w:r>
      <w:r w:rsidRPr="00DD05A0">
        <w:t>MATE1</w:t>
      </w:r>
      <w:r w:rsidR="009A4A66" w:rsidRPr="00DD05A0">
        <w:t>)</w:t>
      </w:r>
      <w:r w:rsidRPr="00DD05A0">
        <w:t xml:space="preserve">, or </w:t>
      </w:r>
      <w:r w:rsidR="009A4A66" w:rsidRPr="00DD05A0">
        <w:t>m</w:t>
      </w:r>
      <w:r w:rsidR="007C39C0" w:rsidRPr="00DD05A0">
        <w:t xml:space="preserve">ultidrug and toxin extrusion protein 2 </w:t>
      </w:r>
      <w:r w:rsidR="00762416" w:rsidRPr="00DD05A0">
        <w:t>(</w:t>
      </w:r>
      <w:r w:rsidRPr="00DD05A0">
        <w:t>MATE2-K</w:t>
      </w:r>
      <w:r w:rsidR="00762416" w:rsidRPr="00DD05A0">
        <w:t>)</w:t>
      </w:r>
      <w:r w:rsidRPr="00DD05A0">
        <w:t xml:space="preserve"> transporter.</w:t>
      </w:r>
    </w:p>
    <w:p w14:paraId="0B9D60C4" w14:textId="5E48BA87" w:rsidR="000105AC" w:rsidRPr="00272ECE" w:rsidRDefault="000105AC" w:rsidP="0021198B">
      <w:r w:rsidRPr="00272ECE">
        <w:t>Pirtobrutinib had a high to very high order of acute oral toxicity in rats and dogs, respectively.</w:t>
      </w:r>
    </w:p>
    <w:p w14:paraId="2F95E87D" w14:textId="67B6F367" w:rsidR="000105AC" w:rsidRPr="00272ECE" w:rsidRDefault="000105AC" w:rsidP="0021198B">
      <w:r w:rsidRPr="00272ECE">
        <w:t>Repeat-dose toxicity studies by the oral route were conducted in rats (up to 6 months) and dogs (up to 9 months). Maximum exposures (</w:t>
      </w:r>
      <w:r w:rsidR="0003613E" w:rsidRPr="00272ECE">
        <w:t xml:space="preserve">area under the concentration time </w:t>
      </w:r>
      <w:r w:rsidR="0003613E" w:rsidRPr="00FD78B3">
        <w:t>curve (</w:t>
      </w:r>
      <w:r w:rsidRPr="00FD78B3">
        <w:t>AUC</w:t>
      </w:r>
      <w:r w:rsidR="0003613E" w:rsidRPr="00FD78B3">
        <w:t>)</w:t>
      </w:r>
      <w:r w:rsidRPr="00FD78B3">
        <w:t>)</w:t>
      </w:r>
      <w:r w:rsidRPr="00272ECE">
        <w:t xml:space="preserve"> were low in female rats and subclinical in male rats and dogs. Pirtobrutinib was not tolerated in male rats and dogs at or beyond clinical exposures. Target organs for toxicity were the lymphoid organs (lymphoid depletion, decreased B-cells), immune system (decreased T-cell dependent antibody response to antigens), erythroid parameters (decreased </w:t>
      </w:r>
      <w:r w:rsidR="00480B6B" w:rsidRPr="00272ECE">
        <w:t>red blood cell</w:t>
      </w:r>
      <w:r w:rsidRPr="00272ECE">
        <w:t>, haemoglobin, haematocrit), lungs (vascular/perivascular necrosis/inflammation), and eyes (epithelial hyperplasia, stromal fibrosis).</w:t>
      </w:r>
    </w:p>
    <w:p w14:paraId="2504E079" w14:textId="1A4B679C" w:rsidR="000105AC" w:rsidRPr="00272ECE" w:rsidRDefault="000105AC" w:rsidP="0021198B">
      <w:r w:rsidRPr="00272ECE">
        <w:t xml:space="preserve">Pirtobrutinib was not mutagenic (bacterial mutation assay/Ames test) or clastogenic </w:t>
      </w:r>
      <w:r w:rsidRPr="00272ECE">
        <w:rPr>
          <w:i/>
          <w:iCs/>
        </w:rPr>
        <w:t>in vivo</w:t>
      </w:r>
      <w:r w:rsidRPr="00272ECE">
        <w:t xml:space="preserve"> (rat micronucleus test). </w:t>
      </w:r>
      <w:r w:rsidRPr="00272ECE">
        <w:rPr>
          <w:i/>
          <w:iCs/>
        </w:rPr>
        <w:t>In vitro</w:t>
      </w:r>
      <w:r w:rsidRPr="00272ECE">
        <w:t xml:space="preserve">, pirtobrutinib induced micronuclei (in human peripheral blood lymphocytes) through an </w:t>
      </w:r>
      <w:proofErr w:type="spellStart"/>
      <w:r w:rsidRPr="00272ECE">
        <w:t>aneugenic</w:t>
      </w:r>
      <w:proofErr w:type="spellEnd"/>
      <w:r w:rsidRPr="00272ECE">
        <w:t xml:space="preserve"> mechanism. No carcinogenicity studies were conducted, which is considered acceptable. However, there may be a risk for secondary malignancies in patients as pirtobrutinib is an immunosuppressant.</w:t>
      </w:r>
    </w:p>
    <w:p w14:paraId="56924D6C" w14:textId="4E4015AF" w:rsidR="000105AC" w:rsidRPr="00272ECE" w:rsidRDefault="000105AC" w:rsidP="0021198B">
      <w:r w:rsidRPr="00272ECE">
        <w:t xml:space="preserve">Fertility was unaffected in male and female rats treated with pirtobrutinib at exposure levels 0.3- and 2.5-times the clinical AUC, respectively. Decreased </w:t>
      </w:r>
      <w:proofErr w:type="spellStart"/>
      <w:r w:rsidRPr="00272ECE">
        <w:t>fetal</w:t>
      </w:r>
      <w:proofErr w:type="spellEnd"/>
      <w:r w:rsidRPr="00272ECE">
        <w:t xml:space="preserve"> weight, increased resorptions and increased skeletal and visceral abnormalities (dilated ureters, absent kidneys, </w:t>
      </w:r>
      <w:proofErr w:type="spellStart"/>
      <w:r w:rsidRPr="00272ECE">
        <w:t>malpositioned</w:t>
      </w:r>
      <w:proofErr w:type="spellEnd"/>
      <w:r w:rsidRPr="00272ECE">
        <w:t xml:space="preserve"> ovaries, misshapen </w:t>
      </w:r>
      <w:proofErr w:type="spellStart"/>
      <w:r w:rsidRPr="00272ECE">
        <w:t>sternebrae</w:t>
      </w:r>
      <w:proofErr w:type="spellEnd"/>
      <w:r w:rsidRPr="00272ECE">
        <w:t xml:space="preserve">) were seen in rat embryofetal development study without accompanying maternal toxicity, at exposures (AUC) slightly higher than clinical exposure. Pirtobrutinib </w:t>
      </w:r>
      <w:proofErr w:type="gramStart"/>
      <w:r w:rsidRPr="00272ECE">
        <w:t>is considered to be</w:t>
      </w:r>
      <w:proofErr w:type="gramEnd"/>
      <w:r w:rsidRPr="00272ECE">
        <w:t xml:space="preserve"> teratogenic.</w:t>
      </w:r>
      <w:r w:rsidR="00FA4450">
        <w:t xml:space="preserve"> </w:t>
      </w:r>
      <w:r w:rsidRPr="00272ECE">
        <w:t>Pirtobrutinib is not phototoxic.</w:t>
      </w:r>
    </w:p>
    <w:p w14:paraId="45B10692" w14:textId="58C12A39" w:rsidR="000105AC" w:rsidRPr="00272ECE" w:rsidRDefault="000105AC" w:rsidP="00DC4D81">
      <w:r w:rsidRPr="00272ECE">
        <w:t>The proposed limits for impurities in the drug product have not been adequately qualified by submitted toxicity data</w:t>
      </w:r>
      <w:r w:rsidR="00A46741" w:rsidRPr="00272ECE">
        <w:t>.</w:t>
      </w:r>
    </w:p>
    <w:p w14:paraId="209EE28B" w14:textId="3077F93E" w:rsidR="009F7079" w:rsidRPr="00272ECE" w:rsidRDefault="000105AC" w:rsidP="0021198B">
      <w:r w:rsidRPr="00272ECE">
        <w:t>There are no nonclinical objections to registration of J</w:t>
      </w:r>
      <w:r w:rsidR="00A46741" w:rsidRPr="00272ECE">
        <w:t>aypirca</w:t>
      </w:r>
      <w:r w:rsidRPr="00272ECE">
        <w:t xml:space="preserve"> for the proposed indications provided a commitment is supplied that outstanding concerns on the clastogenic potential of two specified impurities are resolved with </w:t>
      </w:r>
      <w:proofErr w:type="spellStart"/>
      <w:r w:rsidRPr="00272ECE">
        <w:t>clastogenicity</w:t>
      </w:r>
      <w:proofErr w:type="spellEnd"/>
      <w:r w:rsidRPr="00272ECE">
        <w:t xml:space="preserve"> studies and that data will be provided in a subsequent submission to the TGA.</w:t>
      </w:r>
    </w:p>
    <w:p w14:paraId="35B580A5" w14:textId="12FB74D9" w:rsidR="00C22214" w:rsidRPr="00272ECE" w:rsidRDefault="00C22214" w:rsidP="0021198B">
      <w:pPr>
        <w:pStyle w:val="Heading3"/>
      </w:pPr>
      <w:bookmarkStart w:id="46" w:name="_Toc243316701"/>
      <w:r w:rsidRPr="00272ECE">
        <w:t>Clinical</w:t>
      </w:r>
      <w:bookmarkEnd w:id="43"/>
      <w:bookmarkEnd w:id="44"/>
      <w:bookmarkEnd w:id="45"/>
      <w:r w:rsidR="00095C6A" w:rsidRPr="00272ECE">
        <w:t xml:space="preserve"> evaluation summary</w:t>
      </w:r>
      <w:bookmarkEnd w:id="46"/>
    </w:p>
    <w:p w14:paraId="32B0DEDA" w14:textId="21CC6915" w:rsidR="00C22214" w:rsidRPr="00272ECE" w:rsidRDefault="0041742B" w:rsidP="0021198B">
      <w:pPr>
        <w:pStyle w:val="Heading4"/>
      </w:pPr>
      <w:bookmarkStart w:id="47" w:name="_Toc243316702"/>
      <w:r w:rsidRPr="00272ECE">
        <w:t>Pharmacology</w:t>
      </w:r>
      <w:bookmarkEnd w:id="47"/>
    </w:p>
    <w:p w14:paraId="2A7FAE29" w14:textId="705A01F5" w:rsidR="0041742B" w:rsidRPr="00580C86" w:rsidRDefault="00A85F7A" w:rsidP="00606401">
      <w:r w:rsidRPr="00580C86">
        <w:t>There were 13 pharmacokinetic-pharmacodynamic studies, population pharmacokinetic (</w:t>
      </w:r>
      <w:proofErr w:type="spellStart"/>
      <w:r w:rsidRPr="00580C86">
        <w:t>popPK</w:t>
      </w:r>
      <w:proofErr w:type="spellEnd"/>
      <w:r w:rsidR="00E76443" w:rsidRPr="00580C86">
        <w:t>)</w:t>
      </w:r>
      <w:r w:rsidRPr="00580C86">
        <w:t xml:space="preserve"> analysis and </w:t>
      </w:r>
      <w:r w:rsidR="00E76443" w:rsidRPr="00580C86">
        <w:t>exposure response (</w:t>
      </w:r>
      <w:r w:rsidRPr="00580C86">
        <w:t>ER</w:t>
      </w:r>
      <w:r w:rsidR="00E76443" w:rsidRPr="00580C86">
        <w:t>)</w:t>
      </w:r>
      <w:r w:rsidRPr="00580C86">
        <w:t xml:space="preserve"> analysis which provided a comprehensive evaluation of the clinical pharmacology of pirtobrutinib for the proposed indication.</w:t>
      </w:r>
    </w:p>
    <w:p w14:paraId="24C5DAEE" w14:textId="419E0B62" w:rsidR="00870752" w:rsidRPr="00580C86" w:rsidRDefault="00870752" w:rsidP="0021198B">
      <w:pPr>
        <w:pStyle w:val="Heading5"/>
      </w:pPr>
      <w:r w:rsidRPr="00580C86">
        <w:t>Pharmacokinetics</w:t>
      </w:r>
    </w:p>
    <w:p w14:paraId="0CC1562A" w14:textId="478DC39A" w:rsidR="00E105D2" w:rsidRPr="00580C86" w:rsidRDefault="00E105D2" w:rsidP="0021198B">
      <w:pPr>
        <w:pStyle w:val="ListBullet"/>
      </w:pPr>
      <w:r w:rsidRPr="00580C86">
        <w:t xml:space="preserve">Pirtobrutinib (LOXO-305) was steadily absorbed following a single oral dose of 200 mg LOXO-305 as 2 100 mg tablets, with a median </w:t>
      </w:r>
      <w:proofErr w:type="spellStart"/>
      <w:r w:rsidRPr="00580C86">
        <w:t>t</w:t>
      </w:r>
      <w:r w:rsidRPr="00580C86">
        <w:rPr>
          <w:vertAlign w:val="subscript"/>
        </w:rPr>
        <w:t>max</w:t>
      </w:r>
      <w:proofErr w:type="spellEnd"/>
      <w:r w:rsidRPr="00580C86">
        <w:t xml:space="preserve"> value of 5 hours, and a geometric mean half-life of 18.6 hours.</w:t>
      </w:r>
    </w:p>
    <w:p w14:paraId="70133C48" w14:textId="3483E5BE" w:rsidR="00E105D2" w:rsidRPr="00272ECE" w:rsidRDefault="00E105D2" w:rsidP="00606401">
      <w:pPr>
        <w:pStyle w:val="ListBullet"/>
      </w:pPr>
      <w:r w:rsidRPr="00580C86">
        <w:t>The geometric mean absolute bioavailability</w:t>
      </w:r>
      <w:r w:rsidR="00755FC4" w:rsidRPr="00580C86">
        <w:t xml:space="preserve"> </w:t>
      </w:r>
      <w:r w:rsidRPr="00580C86">
        <w:t xml:space="preserve">of pirtobrutinib was 85.5% (ranging from 75.9% to 90.9%) based on the ratio of </w:t>
      </w:r>
      <w:r w:rsidR="00584F72" w:rsidRPr="00580C86">
        <w:t>area under the concentration time curve from 0 to infinity (</w:t>
      </w:r>
      <w:r w:rsidRPr="00580C86">
        <w:t>AUC</w:t>
      </w:r>
      <w:r w:rsidRPr="00580C86">
        <w:rPr>
          <w:vertAlign w:val="subscript"/>
        </w:rPr>
        <w:t>0-inf</w:t>
      </w:r>
      <w:r w:rsidR="00584F72" w:rsidRPr="00580C86">
        <w:t>)</w:t>
      </w:r>
      <w:r w:rsidRPr="00580C86">
        <w:t xml:space="preserve"> after oral dosing</w:t>
      </w:r>
      <w:r w:rsidRPr="00272ECE">
        <w:t xml:space="preserve"> versus</w:t>
      </w:r>
      <w:r w:rsidR="000943CD">
        <w:t xml:space="preserve"> intravenous (</w:t>
      </w:r>
      <w:r w:rsidRPr="00272ECE">
        <w:t>IV</w:t>
      </w:r>
      <w:r w:rsidR="000943CD">
        <w:t>)</w:t>
      </w:r>
      <w:r w:rsidRPr="00272ECE">
        <w:t xml:space="preserve"> dosing (</w:t>
      </w:r>
      <w:r w:rsidR="00584F72" w:rsidRPr="00272ECE">
        <w:t>S</w:t>
      </w:r>
      <w:r w:rsidRPr="00272ECE">
        <w:t>tudy 20007)</w:t>
      </w:r>
      <w:r w:rsidR="00584F72" w:rsidRPr="00272ECE">
        <w:t>.</w:t>
      </w:r>
    </w:p>
    <w:p w14:paraId="2CFC8ABF" w14:textId="4A3AD3BE" w:rsidR="00E105D2" w:rsidRPr="00272ECE" w:rsidRDefault="00E105D2" w:rsidP="00606401">
      <w:pPr>
        <w:pStyle w:val="ListBullet"/>
      </w:pPr>
      <w:r w:rsidRPr="00272ECE">
        <w:lastRenderedPageBreak/>
        <w:t>Consumption of a high-fat meal prior to administration of LOXO-305 had no effect on the overall exposure (AUC</w:t>
      </w:r>
      <w:r w:rsidRPr="00272ECE">
        <w:rPr>
          <w:vertAlign w:val="subscript"/>
        </w:rPr>
        <w:t>0-inf</w:t>
      </w:r>
      <w:r w:rsidR="005F4BF1" w:rsidRPr="00272ECE">
        <w:t xml:space="preserve"> </w:t>
      </w:r>
      <w:r w:rsidRPr="00272ECE">
        <w:t xml:space="preserve">and </w:t>
      </w:r>
      <w:r w:rsidR="005B2E82" w:rsidRPr="00272ECE">
        <w:t>area under the concentration time curve from time 0 to the time of the last measurable concentration</w:t>
      </w:r>
      <w:r w:rsidRPr="00272ECE">
        <w:t xml:space="preserve"> of pirtobrutinib LOXO-305. The C</w:t>
      </w:r>
      <w:r w:rsidRPr="00272ECE">
        <w:rPr>
          <w:vertAlign w:val="subscript"/>
        </w:rPr>
        <w:t xml:space="preserve">max </w:t>
      </w:r>
      <w:r w:rsidRPr="00272ECE">
        <w:t xml:space="preserve">decreased by 22.5% and median </w:t>
      </w:r>
      <w:proofErr w:type="spellStart"/>
      <w:r w:rsidRPr="00272ECE">
        <w:t>t</w:t>
      </w:r>
      <w:r w:rsidRPr="00272ECE">
        <w:rPr>
          <w:vertAlign w:val="subscript"/>
        </w:rPr>
        <w:t>max</w:t>
      </w:r>
      <w:proofErr w:type="spellEnd"/>
      <w:r w:rsidRPr="00272ECE">
        <w:t xml:space="preserve"> was delayed by 1 hour (</w:t>
      </w:r>
      <w:r w:rsidR="00E572A0" w:rsidRPr="00272ECE">
        <w:t>S</w:t>
      </w:r>
      <w:r w:rsidRPr="00272ECE">
        <w:t>tudy 20009).</w:t>
      </w:r>
    </w:p>
    <w:p w14:paraId="6F638D23" w14:textId="669ACC57" w:rsidR="00E105D2" w:rsidRPr="00272ECE" w:rsidRDefault="00E105D2" w:rsidP="00E572A0">
      <w:pPr>
        <w:pStyle w:val="ListBullet"/>
      </w:pPr>
      <w:r w:rsidRPr="00272ECE">
        <w:t>Hepatic metabolism is the main route of clearance for pirtobrutinib. Pirtobrutinib is metabolised to several inactive metabolites by CYP3A4, UGT1A8, and UGT1A9.</w:t>
      </w:r>
    </w:p>
    <w:p w14:paraId="592A6A0E" w14:textId="4E76030A" w:rsidR="00E105D2" w:rsidRPr="00272ECE" w:rsidRDefault="00E105D2" w:rsidP="00606401">
      <w:pPr>
        <w:pStyle w:val="ListBullet"/>
      </w:pPr>
      <w:r w:rsidRPr="00272ECE">
        <w:t>In the metabolite profiling and characteri</w:t>
      </w:r>
      <w:r w:rsidR="00EA0D89" w:rsidRPr="00272ECE">
        <w:t>s</w:t>
      </w:r>
      <w:r w:rsidRPr="00272ECE">
        <w:t>ation, LOXO-305 was the primary drug</w:t>
      </w:r>
      <w:r w:rsidR="00EA0D89" w:rsidRPr="00272ECE">
        <w:t xml:space="preserve"> </w:t>
      </w:r>
      <w:r w:rsidRPr="00272ECE">
        <w:t>related component. Three minor metabolites were observed, M1, M2, and M4, each accounting for a mean of 7.8%, 3.3%, and 2.3%, respectively, of circulating radioactivity. The primary clearance pathways involved in pirtobrutinib metabolism were oxidative, hydrolytic, and direct glucuronidation.</w:t>
      </w:r>
    </w:p>
    <w:p w14:paraId="4B337C1E" w14:textId="434B3A70" w:rsidR="00E105D2" w:rsidRPr="00272ECE" w:rsidRDefault="00E105D2" w:rsidP="00FD01BA">
      <w:pPr>
        <w:pStyle w:val="ListBullet"/>
      </w:pPr>
      <w:r w:rsidRPr="00272ECE">
        <w:t>The mean systemic volume of distribution of pirtobrutinib after an IV dose is 36.3</w:t>
      </w:r>
      <w:r w:rsidR="00FD01BA" w:rsidRPr="00272ECE">
        <w:t> </w:t>
      </w:r>
      <w:r w:rsidRPr="00272ECE">
        <w:t>L in healthy participants. The mean apparent central volume of distribution of pirtobrutinib is 32.8</w:t>
      </w:r>
      <w:r w:rsidR="00FD01BA" w:rsidRPr="00272ECE">
        <w:t> </w:t>
      </w:r>
      <w:r w:rsidRPr="00272ECE">
        <w:t>L in cancer patients. Pirtobrutinib is moderately bound to plasma proteins and serum albumin, with a mean bound fraction of approximately 95% and 98%, respectively.</w:t>
      </w:r>
    </w:p>
    <w:p w14:paraId="66264B7C" w14:textId="2ED91761" w:rsidR="00870752" w:rsidRPr="00272ECE" w:rsidRDefault="00E105D2" w:rsidP="00606401">
      <w:pPr>
        <w:pStyle w:val="ListBullet"/>
      </w:pPr>
      <w:r w:rsidRPr="00272ECE">
        <w:t>The mean apparent clearance of pirtobrutinib is 2.02</w:t>
      </w:r>
      <w:r w:rsidR="00FD01BA" w:rsidRPr="00272ECE">
        <w:t> </w:t>
      </w:r>
      <w:r w:rsidRPr="00272ECE">
        <w:t>L/h with an effective half-life of approximately 19 hours. Following a single radiolabelled dose of pirtobrutinib 200</w:t>
      </w:r>
      <w:r w:rsidR="00FD01BA" w:rsidRPr="00272ECE">
        <w:t> </w:t>
      </w:r>
      <w:r w:rsidRPr="00272ECE">
        <w:t>mg to healthy subjects, 37% of the dose was recovered in faeces (18% unchanged) and 57% in urine (10% unchanged).</w:t>
      </w:r>
    </w:p>
    <w:p w14:paraId="3681A764" w14:textId="70BF11E0" w:rsidR="00F52132" w:rsidRPr="00606401" w:rsidRDefault="00F52132" w:rsidP="00F52132">
      <w:pPr>
        <w:pStyle w:val="Heading5"/>
      </w:pPr>
      <w:r w:rsidRPr="00272ECE">
        <w:t>Population pharmacokinetic dat</w:t>
      </w:r>
      <w:r w:rsidRPr="00606401">
        <w:t>a</w:t>
      </w:r>
    </w:p>
    <w:p w14:paraId="6FCC221F" w14:textId="77777777" w:rsidR="008A7DDF" w:rsidRPr="00272ECE" w:rsidRDefault="00F52132" w:rsidP="00606401">
      <w:pPr>
        <w:rPr>
          <w:lang w:eastAsia="en-AU"/>
        </w:rPr>
      </w:pPr>
      <w:r w:rsidRPr="00272ECE">
        <w:rPr>
          <w:lang w:eastAsia="en-AU"/>
        </w:rPr>
        <w:t xml:space="preserve">The conduct, modelling and analyses for the submitted </w:t>
      </w:r>
      <w:proofErr w:type="spellStart"/>
      <w:r w:rsidRPr="00272ECE">
        <w:rPr>
          <w:lang w:eastAsia="en-AU"/>
        </w:rPr>
        <w:t>PopPK</w:t>
      </w:r>
      <w:proofErr w:type="spellEnd"/>
      <w:r w:rsidRPr="00272ECE">
        <w:rPr>
          <w:lang w:eastAsia="en-AU"/>
        </w:rPr>
        <w:t xml:space="preserve"> reports was satisfactory and complied with the US Guidance for Industry: Population Pharmacokinetics</w:t>
      </w:r>
      <w:r w:rsidRPr="00272ECE">
        <w:rPr>
          <w:vertAlign w:val="superscript"/>
          <w:lang w:eastAsia="en-AU"/>
        </w:rPr>
        <w:footnoteReference w:id="7"/>
      </w:r>
      <w:r w:rsidRPr="00272ECE">
        <w:rPr>
          <w:vertAlign w:val="superscript"/>
          <w:lang w:eastAsia="en-AU"/>
        </w:rPr>
        <w:t xml:space="preserve"> </w:t>
      </w:r>
      <w:r w:rsidRPr="00272ECE">
        <w:rPr>
          <w:lang w:eastAsia="en-AU"/>
        </w:rPr>
        <w:t>and the TGA</w:t>
      </w:r>
      <w:r w:rsidR="00833FFE" w:rsidRPr="00272ECE">
        <w:rPr>
          <w:lang w:eastAsia="en-AU"/>
        </w:rPr>
        <w:noBreakHyphen/>
      </w:r>
      <w:r w:rsidRPr="00272ECE">
        <w:rPr>
          <w:lang w:eastAsia="en-AU"/>
        </w:rPr>
        <w:t>adopted EMA Guideline on Reporting the Results of Population Pharmacokinetic Analyses.</w:t>
      </w:r>
      <w:r w:rsidRPr="00272ECE">
        <w:rPr>
          <w:vertAlign w:val="superscript"/>
          <w:lang w:eastAsia="en-AU"/>
        </w:rPr>
        <w:footnoteReference w:id="8"/>
      </w:r>
    </w:p>
    <w:p w14:paraId="371D1E2F" w14:textId="1A729924" w:rsidR="00F52132" w:rsidRPr="00272ECE" w:rsidRDefault="00F52132" w:rsidP="00606401">
      <w:r w:rsidRPr="00272ECE">
        <w:t xml:space="preserve">The </w:t>
      </w:r>
      <w:r w:rsidR="00660B14">
        <w:t>pharmacokinetics (</w:t>
      </w:r>
      <w:r w:rsidRPr="00272ECE">
        <w:t>PK</w:t>
      </w:r>
      <w:r w:rsidR="00660B14">
        <w:t>)</w:t>
      </w:r>
      <w:r w:rsidRPr="00272ECE">
        <w:t xml:space="preserve"> of pirtobrutinib in patients with haematological malignancies in Study</w:t>
      </w:r>
      <w:r w:rsidR="00A950F0" w:rsidRPr="00272ECE">
        <w:t> </w:t>
      </w:r>
      <w:r w:rsidRPr="00272ECE">
        <w:t>18001 was well characteri</w:t>
      </w:r>
      <w:r w:rsidR="00A950F0" w:rsidRPr="00272ECE">
        <w:t>s</w:t>
      </w:r>
      <w:r w:rsidRPr="00272ECE">
        <w:t xml:space="preserve">ed by a 2-compartment distribution model with linear clearance and 4 transit compartments for absorption. The precision of the final parameter estimates was confirmed by bootstrap </w:t>
      </w:r>
      <w:proofErr w:type="gramStart"/>
      <w:r w:rsidRPr="00272ECE">
        <w:t>analysis</w:t>
      </w:r>
      <w:proofErr w:type="gramEnd"/>
      <w:r w:rsidRPr="00272ECE">
        <w:t xml:space="preserve"> and visual predictive check was performed to ensure that the developed </w:t>
      </w:r>
      <w:proofErr w:type="spellStart"/>
      <w:r w:rsidRPr="00272ECE">
        <w:t>PopPK</w:t>
      </w:r>
      <w:proofErr w:type="spellEnd"/>
      <w:r w:rsidRPr="00272ECE">
        <w:t xml:space="preserve"> model reflected the observed data. The main findings from the </w:t>
      </w:r>
      <w:proofErr w:type="spellStart"/>
      <w:r w:rsidRPr="00272ECE">
        <w:t>PopPK</w:t>
      </w:r>
      <w:proofErr w:type="spellEnd"/>
      <w:r w:rsidRPr="00272ECE">
        <w:t xml:space="preserve"> analyses were as follows:</w:t>
      </w:r>
    </w:p>
    <w:p w14:paraId="731BD567" w14:textId="5C8A59B2" w:rsidR="00F52132" w:rsidRPr="00F6056A" w:rsidRDefault="00F52132" w:rsidP="00306EF6">
      <w:pPr>
        <w:pStyle w:val="ListBullet"/>
      </w:pPr>
      <w:r w:rsidRPr="00272ECE">
        <w:t xml:space="preserve">The final model included 3 covariates (body weight, renal function, serum albumin) which were selected based on prespecified criteria in the population PK model analysis plan. While these changes were statistically significant, they were within the range of normal variability in the </w:t>
      </w:r>
      <w:r w:rsidRPr="00F6056A">
        <w:t>patient population and were not considered clinically meaningful.</w:t>
      </w:r>
    </w:p>
    <w:p w14:paraId="0DD6B294" w14:textId="2D01EEB0" w:rsidR="00F52132" w:rsidRPr="00F6056A" w:rsidRDefault="00F52132" w:rsidP="00606401">
      <w:pPr>
        <w:pStyle w:val="ListBullet"/>
      </w:pPr>
      <w:r w:rsidRPr="00F6056A">
        <w:t xml:space="preserve">The mean elimination half-life of pirtobrutinib in patients with haematological malignancies (in </w:t>
      </w:r>
      <w:r w:rsidR="00033197" w:rsidRPr="00F6056A">
        <w:t>S</w:t>
      </w:r>
      <w:r w:rsidRPr="00F6056A">
        <w:t>tudy 18001) was estimated to be 18.8 hours. At a dose of 200</w:t>
      </w:r>
      <w:r w:rsidR="00033197" w:rsidRPr="00F6056A">
        <w:t> </w:t>
      </w:r>
      <w:r w:rsidRPr="00F6056A">
        <w:t xml:space="preserve">mg </w:t>
      </w:r>
      <w:r w:rsidR="002F2CB5" w:rsidRPr="00F6056A">
        <w:t xml:space="preserve">once </w:t>
      </w:r>
      <w:r w:rsidR="009A32CF">
        <w:t>daily</w:t>
      </w:r>
      <w:r w:rsidR="002F2CB5" w:rsidRPr="00F6056A">
        <w:t xml:space="preserve"> </w:t>
      </w:r>
      <w:r w:rsidRPr="00F6056A">
        <w:t xml:space="preserve">in Phase </w:t>
      </w:r>
      <w:r w:rsidR="002F2CB5" w:rsidRPr="00F6056A">
        <w:t>II</w:t>
      </w:r>
      <w:r w:rsidRPr="00F6056A">
        <w:t xml:space="preserve"> patients, the mean </w:t>
      </w:r>
      <w:r w:rsidR="00AA5BF9" w:rsidRPr="00F6056A">
        <w:t>maximum concentration at steady state (</w:t>
      </w:r>
      <w:proofErr w:type="spellStart"/>
      <w:r w:rsidRPr="00F6056A">
        <w:t>C</w:t>
      </w:r>
      <w:r w:rsidRPr="009A32CF">
        <w:rPr>
          <w:vertAlign w:val="subscript"/>
        </w:rPr>
        <w:t>max,ss</w:t>
      </w:r>
      <w:proofErr w:type="spellEnd"/>
      <w:r w:rsidR="00AA5BF9" w:rsidRPr="009A32CF">
        <w:rPr>
          <w:vertAlign w:val="subscript"/>
        </w:rPr>
        <w:t>)</w:t>
      </w:r>
      <w:r w:rsidRPr="009A32CF">
        <w:rPr>
          <w:vertAlign w:val="subscript"/>
        </w:rPr>
        <w:t xml:space="preserve"> </w:t>
      </w:r>
      <w:r w:rsidRPr="00F6056A">
        <w:t>was 6460</w:t>
      </w:r>
      <w:r w:rsidR="00AA5BF9" w:rsidRPr="00F6056A">
        <w:t> </w:t>
      </w:r>
      <w:r w:rsidRPr="00F6056A">
        <w:t xml:space="preserve">ng/mL (26% </w:t>
      </w:r>
      <w:r w:rsidR="00A208E9" w:rsidRPr="00F6056A">
        <w:t>coefficient of variation (</w:t>
      </w:r>
      <w:r w:rsidRPr="00F6056A">
        <w:t>CV</w:t>
      </w:r>
      <w:r w:rsidR="00A208E9" w:rsidRPr="00F6056A">
        <w:t>)</w:t>
      </w:r>
      <w:r w:rsidRPr="00F6056A">
        <w:t xml:space="preserve">), </w:t>
      </w:r>
      <w:r w:rsidR="003629AF" w:rsidRPr="00F6056A">
        <w:t>minimum concentration at steady state (</w:t>
      </w:r>
      <w:proofErr w:type="spellStart"/>
      <w:r w:rsidRPr="00F6056A">
        <w:t>C</w:t>
      </w:r>
      <w:r w:rsidRPr="009A32CF">
        <w:rPr>
          <w:vertAlign w:val="subscript"/>
        </w:rPr>
        <w:t>min,ss</w:t>
      </w:r>
      <w:proofErr w:type="spellEnd"/>
      <w:r w:rsidR="003629AF" w:rsidRPr="00F6056A">
        <w:t>)</w:t>
      </w:r>
      <w:r w:rsidRPr="009A32CF">
        <w:rPr>
          <w:vertAlign w:val="subscript"/>
        </w:rPr>
        <w:t xml:space="preserve"> </w:t>
      </w:r>
      <w:r w:rsidRPr="00F6056A">
        <w:t>was 2260</w:t>
      </w:r>
      <w:r w:rsidR="008D49DF" w:rsidRPr="00F6056A">
        <w:t> </w:t>
      </w:r>
      <w:r w:rsidRPr="00F6056A">
        <w:t xml:space="preserve">ng/mL (65% CV), and </w:t>
      </w:r>
      <w:r w:rsidR="00106773" w:rsidRPr="00F6056A">
        <w:t xml:space="preserve">area under the concentration time curve from </w:t>
      </w:r>
      <w:r w:rsidR="00935D92" w:rsidRPr="00F6056A">
        <w:t>time 0 to 24 hours at steady state (</w:t>
      </w:r>
      <w:r w:rsidRPr="00F6056A">
        <w:t>AUC</w:t>
      </w:r>
      <w:r w:rsidRPr="009A32CF">
        <w:rPr>
          <w:vertAlign w:val="subscript"/>
        </w:rPr>
        <w:t>0-24,ss</w:t>
      </w:r>
      <w:r w:rsidR="00935D92" w:rsidRPr="00F6056A">
        <w:t>)</w:t>
      </w:r>
      <w:r w:rsidRPr="00F6056A">
        <w:t xml:space="preserve"> was 91300</w:t>
      </w:r>
      <w:r w:rsidR="00935D92" w:rsidRPr="00F6056A">
        <w:t> </w:t>
      </w:r>
      <w:r w:rsidRPr="00F6056A">
        <w:t>ng*h/mL (41% CV).</w:t>
      </w:r>
    </w:p>
    <w:p w14:paraId="008D8973" w14:textId="76EE6FDB" w:rsidR="00F52132" w:rsidRPr="00F6056A" w:rsidRDefault="00F52132" w:rsidP="00606401">
      <w:pPr>
        <w:pStyle w:val="ListBullet"/>
      </w:pPr>
      <w:r w:rsidRPr="00F6056A">
        <w:t xml:space="preserve">The geometric mean elimination half-life of pirtobrutinib in Study 20020 was estimated to be 20 hours (31% CV). For patients from Study 20020, </w:t>
      </w:r>
      <w:proofErr w:type="spellStart"/>
      <w:proofErr w:type="gramStart"/>
      <w:r w:rsidRPr="00F6056A">
        <w:t>C</w:t>
      </w:r>
      <w:r w:rsidRPr="00F6056A">
        <w:rPr>
          <w:vertAlign w:val="subscript"/>
        </w:rPr>
        <w:t>max,ss</w:t>
      </w:r>
      <w:proofErr w:type="spellEnd"/>
      <w:proofErr w:type="gramEnd"/>
      <w:r w:rsidRPr="00F6056A">
        <w:rPr>
          <w:vertAlign w:val="subscript"/>
        </w:rPr>
        <w:t xml:space="preserve"> </w:t>
      </w:r>
      <w:r w:rsidRPr="00F6056A">
        <w:t>was 6</w:t>
      </w:r>
      <w:r w:rsidR="00015853">
        <w:t>8</w:t>
      </w:r>
      <w:r w:rsidR="00015853" w:rsidRPr="00F6056A">
        <w:t>6</w:t>
      </w:r>
      <w:r w:rsidRPr="00F6056A">
        <w:t>8</w:t>
      </w:r>
      <w:r w:rsidR="0076771A" w:rsidRPr="00F6056A">
        <w:t> </w:t>
      </w:r>
      <w:r w:rsidRPr="00F6056A">
        <w:t xml:space="preserve">ng/mL (23% CV), </w:t>
      </w:r>
      <w:proofErr w:type="spellStart"/>
      <w:proofErr w:type="gramStart"/>
      <w:r w:rsidRPr="00F6056A">
        <w:lastRenderedPageBreak/>
        <w:t>C</w:t>
      </w:r>
      <w:r w:rsidRPr="00F6056A">
        <w:rPr>
          <w:vertAlign w:val="subscript"/>
        </w:rPr>
        <w:t>min,ss</w:t>
      </w:r>
      <w:proofErr w:type="spellEnd"/>
      <w:proofErr w:type="gramEnd"/>
      <w:r w:rsidRPr="00F6056A">
        <w:rPr>
          <w:vertAlign w:val="subscript"/>
        </w:rPr>
        <w:t xml:space="preserve"> </w:t>
      </w:r>
      <w:r w:rsidRPr="00F6056A">
        <w:t>was 2618</w:t>
      </w:r>
      <w:r w:rsidR="0076771A" w:rsidRPr="00F6056A">
        <w:t> </w:t>
      </w:r>
      <w:r w:rsidRPr="00F6056A">
        <w:t>ng/mL (52% CV), AUC</w:t>
      </w:r>
      <w:r w:rsidRPr="00F6056A">
        <w:rPr>
          <w:vertAlign w:val="subscript"/>
        </w:rPr>
        <w:t>0–</w:t>
      </w:r>
      <w:proofErr w:type="gramStart"/>
      <w:r w:rsidRPr="00F6056A">
        <w:rPr>
          <w:vertAlign w:val="subscript"/>
        </w:rPr>
        <w:t>24</w:t>
      </w:r>
      <w:r w:rsidR="009F428C" w:rsidRPr="00F6056A">
        <w:rPr>
          <w:vertAlign w:val="subscript"/>
        </w:rPr>
        <w:t>,</w:t>
      </w:r>
      <w:r w:rsidRPr="00F6056A">
        <w:rPr>
          <w:vertAlign w:val="subscript"/>
        </w:rPr>
        <w:t>ss</w:t>
      </w:r>
      <w:proofErr w:type="gramEnd"/>
      <w:r w:rsidRPr="00F6056A">
        <w:rPr>
          <w:vertAlign w:val="subscript"/>
        </w:rPr>
        <w:t xml:space="preserve"> </w:t>
      </w:r>
      <w:r w:rsidRPr="00F6056A">
        <w:t>was 100370</w:t>
      </w:r>
      <w:r w:rsidR="0076771A" w:rsidRPr="00F6056A">
        <w:t> </w:t>
      </w:r>
      <w:r w:rsidRPr="00F6056A">
        <w:t>ng*h/mL (35% CV) and the average concentration during a dosing interval</w:t>
      </w:r>
      <w:r w:rsidR="00AE034E" w:rsidRPr="00F6056A">
        <w:t xml:space="preserve"> at steady state</w:t>
      </w:r>
      <w:r w:rsidRPr="00F6056A">
        <w:t xml:space="preserve"> was 4182</w:t>
      </w:r>
      <w:r w:rsidR="00B927A4" w:rsidRPr="00F6056A">
        <w:t> </w:t>
      </w:r>
      <w:r w:rsidRPr="00F6056A">
        <w:t>ng/mL (35% CV).</w:t>
      </w:r>
    </w:p>
    <w:p w14:paraId="50DE9E4C" w14:textId="7E992A4D" w:rsidR="00F52132" w:rsidRPr="00F6056A" w:rsidRDefault="00F52132" w:rsidP="00606401">
      <w:pPr>
        <w:pStyle w:val="ListBullet"/>
      </w:pPr>
      <w:r w:rsidRPr="00F6056A">
        <w:t>The pirtobrutinib PK exposure of patients receiving 200</w:t>
      </w:r>
      <w:r w:rsidR="00B927A4" w:rsidRPr="00F6056A">
        <w:t> </w:t>
      </w:r>
      <w:r w:rsidRPr="00F6056A">
        <w:t xml:space="preserve">mg </w:t>
      </w:r>
      <w:r w:rsidR="00B927A4" w:rsidRPr="00F6056A">
        <w:t xml:space="preserve">once </w:t>
      </w:r>
      <w:r w:rsidR="009A32CF">
        <w:t>daily</w:t>
      </w:r>
      <w:r w:rsidRPr="00F6056A">
        <w:t xml:space="preserve"> was slightly higher in </w:t>
      </w:r>
      <w:r w:rsidR="00B927A4" w:rsidRPr="00F6056A">
        <w:t>S</w:t>
      </w:r>
      <w:r w:rsidRPr="00F6056A">
        <w:t>tudy</w:t>
      </w:r>
      <w:r w:rsidR="00B927A4" w:rsidRPr="00F6056A">
        <w:t> </w:t>
      </w:r>
      <w:r w:rsidRPr="00F6056A">
        <w:t>20020 in CLL/</w:t>
      </w:r>
      <w:r w:rsidR="005869AE" w:rsidRPr="00F6056A">
        <w:t>S</w:t>
      </w:r>
      <w:r w:rsidRPr="00F6056A">
        <w:t xml:space="preserve">LL patients compared to </w:t>
      </w:r>
      <w:r w:rsidR="00072A27" w:rsidRPr="00F6056A">
        <w:t>S</w:t>
      </w:r>
      <w:r w:rsidRPr="00F6056A">
        <w:t>tudy</w:t>
      </w:r>
      <w:r w:rsidR="00072A27" w:rsidRPr="00F6056A">
        <w:t> </w:t>
      </w:r>
      <w:r w:rsidRPr="00F6056A">
        <w:t>18001 (in patients with CLL/</w:t>
      </w:r>
      <w:r w:rsidR="005869AE" w:rsidRPr="00F6056A">
        <w:t>S</w:t>
      </w:r>
      <w:r w:rsidRPr="00F6056A">
        <w:t xml:space="preserve">LL, </w:t>
      </w:r>
      <w:r w:rsidR="00042C59" w:rsidRPr="00F6056A">
        <w:t>m</w:t>
      </w:r>
      <w:r w:rsidR="003F3B63" w:rsidRPr="00F6056A">
        <w:t xml:space="preserve">antle </w:t>
      </w:r>
      <w:r w:rsidR="00042C59" w:rsidRPr="00F6056A">
        <w:t>c</w:t>
      </w:r>
      <w:r w:rsidR="003F3B63" w:rsidRPr="00F6056A">
        <w:t xml:space="preserve">ell </w:t>
      </w:r>
      <w:r w:rsidR="00042C59" w:rsidRPr="00F6056A">
        <w:t>l</w:t>
      </w:r>
      <w:r w:rsidR="003F3B63" w:rsidRPr="00F6056A">
        <w:t>ymphoma</w:t>
      </w:r>
      <w:r w:rsidRPr="00F6056A">
        <w:t xml:space="preserve"> and </w:t>
      </w:r>
      <w:r w:rsidR="00113AEB" w:rsidRPr="00F6056A">
        <w:t>non-Hodgkin</w:t>
      </w:r>
      <w:r w:rsidR="00232D85" w:rsidRPr="00F6056A">
        <w:t xml:space="preserve"> </w:t>
      </w:r>
      <w:r w:rsidR="00516978" w:rsidRPr="00F6056A">
        <w:t>l</w:t>
      </w:r>
      <w:r w:rsidR="00232D85" w:rsidRPr="00F6056A">
        <w:t>ymphoma (</w:t>
      </w:r>
      <w:r w:rsidRPr="00F6056A">
        <w:t>NHL)</w:t>
      </w:r>
      <w:r w:rsidR="00232D85" w:rsidRPr="00F6056A">
        <w:t xml:space="preserve">) </w:t>
      </w:r>
      <w:r w:rsidRPr="00F6056A">
        <w:t>but was generally similar between the two main studies.</w:t>
      </w:r>
    </w:p>
    <w:p w14:paraId="076BB92F" w14:textId="43B8939B" w:rsidR="00F52132" w:rsidRPr="00272ECE" w:rsidRDefault="00F52132" w:rsidP="00606401">
      <w:pPr>
        <w:pStyle w:val="ListBullet"/>
      </w:pPr>
      <w:r w:rsidRPr="00272ECE">
        <w:t>Pirtobrutinib disposition was not affected by formulation (initial tablet and commercial formulation, age, sex, cancer type, race, ethnicity and mild hepatic impairment.</w:t>
      </w:r>
    </w:p>
    <w:p w14:paraId="4AABEA69" w14:textId="096B3090" w:rsidR="00F52132" w:rsidRPr="00272ECE" w:rsidRDefault="00F52132" w:rsidP="00606401">
      <w:pPr>
        <w:pStyle w:val="Heading5"/>
      </w:pPr>
      <w:r w:rsidRPr="00272ECE">
        <w:t>Pharmacodynamics</w:t>
      </w:r>
    </w:p>
    <w:p w14:paraId="534A68EB" w14:textId="72E3F9CF" w:rsidR="00F52132" w:rsidRPr="00272ECE" w:rsidRDefault="00F52132" w:rsidP="00606401">
      <w:r w:rsidRPr="00272ECE">
        <w:t>Pirtobrutinib is a reversible, noncovalent inhibitor of BTK. BTK is a signalling protein of the</w:t>
      </w:r>
      <w:r w:rsidR="007D464F" w:rsidRPr="00272ECE">
        <w:t xml:space="preserve"> </w:t>
      </w:r>
      <w:r w:rsidRPr="00272ECE">
        <w:t>B</w:t>
      </w:r>
      <w:r w:rsidR="00237FD2">
        <w:noBreakHyphen/>
      </w:r>
      <w:r w:rsidRPr="00272ECE">
        <w:t>cell antigen receptor (BCR) and cytokine receptor pathways. In B</w:t>
      </w:r>
      <w:r w:rsidR="00237FD2">
        <w:noBreakHyphen/>
      </w:r>
      <w:r w:rsidRPr="00272ECE">
        <w:t>cells, BTK signalling results in activation of pathways necessary for B</w:t>
      </w:r>
      <w:r w:rsidR="00237FD2">
        <w:noBreakHyphen/>
      </w:r>
      <w:r w:rsidRPr="00272ECE">
        <w:t>cell proliferation, trafficking, chemotaxis, and adhesion. Pirtobrutinib binds to wild type BTK as well as BTK harbouring C481mutations leading to inhibition of BTK kinase activity.</w:t>
      </w:r>
    </w:p>
    <w:p w14:paraId="1B8217F5" w14:textId="22FB62C4" w:rsidR="00F52132" w:rsidRPr="00272ECE" w:rsidRDefault="00F52132" w:rsidP="00606401">
      <w:r w:rsidRPr="00272ECE">
        <w:t>At proposed dose of pirtobrutinib 200</w:t>
      </w:r>
      <w:r w:rsidR="007D464F" w:rsidRPr="00272ECE">
        <w:t> </w:t>
      </w:r>
      <w:r w:rsidRPr="00272ECE">
        <w:t xml:space="preserve">mg </w:t>
      </w:r>
      <w:r w:rsidR="007D464F" w:rsidRPr="00272ECE">
        <w:t xml:space="preserve">once </w:t>
      </w:r>
      <w:r w:rsidR="009A32CF">
        <w:t>daily</w:t>
      </w:r>
      <w:r w:rsidRPr="00272ECE">
        <w:t>, BTK inhibition was expected to exceed 96% in most patients (66%) from the combined population of Study</w:t>
      </w:r>
      <w:r w:rsidR="007D464F" w:rsidRPr="00272ECE">
        <w:t> </w:t>
      </w:r>
      <w:r w:rsidRPr="00272ECE">
        <w:t>18001 and Study</w:t>
      </w:r>
      <w:r w:rsidR="007D464F" w:rsidRPr="00272ECE">
        <w:t> </w:t>
      </w:r>
      <w:r w:rsidRPr="00272ECE">
        <w:t>20020 over the entire dosing interval at steady state, indicating extensive and consistent engagement of the drug target.</w:t>
      </w:r>
    </w:p>
    <w:p w14:paraId="68DDCE2B" w14:textId="77DF4EE9" w:rsidR="00F52132" w:rsidRPr="00C05E73" w:rsidRDefault="00F52132" w:rsidP="00606401">
      <w:r w:rsidRPr="00272ECE">
        <w:t xml:space="preserve">The ER analysis for </w:t>
      </w:r>
      <w:r w:rsidR="00E20E1C" w:rsidRPr="00C05E73">
        <w:t>progression free survival (</w:t>
      </w:r>
      <w:r w:rsidRPr="00C05E73">
        <w:t>PFS</w:t>
      </w:r>
      <w:r w:rsidR="00E20E1C" w:rsidRPr="00C05E73">
        <w:t>)</w:t>
      </w:r>
      <w:r w:rsidRPr="00C05E73">
        <w:t xml:space="preserve"> showed that a higher pirtobrutinib trough concentration was associated with longer PFS in CLL/SLL patients. Within the range of exposures achieved at a dose level of pirtobrutinib 200</w:t>
      </w:r>
      <w:r w:rsidR="00E20E1C" w:rsidRPr="00C05E73">
        <w:t> </w:t>
      </w:r>
      <w:r w:rsidRPr="00C05E73">
        <w:t>mg</w:t>
      </w:r>
      <w:r w:rsidR="00E20E1C" w:rsidRPr="00C05E73">
        <w:t xml:space="preserve"> onc</w:t>
      </w:r>
      <w:r w:rsidR="009A32CF" w:rsidRPr="00C05E73">
        <w:t>e daily</w:t>
      </w:r>
      <w:r w:rsidRPr="00C05E73">
        <w:t>, there was lack of any apparent relationship between pirtobrutinib exposure (</w:t>
      </w:r>
      <w:r w:rsidR="002E73A2" w:rsidRPr="00C05E73">
        <w:t>average concentration (</w:t>
      </w:r>
      <w:r w:rsidRPr="00C05E73">
        <w:t>C</w:t>
      </w:r>
      <w:r w:rsidRPr="00C05E73">
        <w:rPr>
          <w:vertAlign w:val="subscript"/>
        </w:rPr>
        <w:t>av</w:t>
      </w:r>
      <w:r w:rsidR="002E73A2" w:rsidRPr="00C05E73">
        <w:t>)</w:t>
      </w:r>
      <w:r w:rsidRPr="00C05E73">
        <w:t xml:space="preserve"> and</w:t>
      </w:r>
      <w:r w:rsidR="002E73A2" w:rsidRPr="00C05E73">
        <w:t xml:space="preserve"> minimum concentration)</w:t>
      </w:r>
      <w:r w:rsidRPr="00C05E73">
        <w:t xml:space="preserve"> and</w:t>
      </w:r>
      <w:r w:rsidR="006654F0" w:rsidRPr="00C05E73">
        <w:t xml:space="preserve"> overall response rate</w:t>
      </w:r>
      <w:r w:rsidRPr="00C05E73">
        <w:t xml:space="preserve"> </w:t>
      </w:r>
      <w:r w:rsidR="006654F0" w:rsidRPr="00C05E73">
        <w:t>(</w:t>
      </w:r>
      <w:r w:rsidRPr="00C05E73">
        <w:t>ORR</w:t>
      </w:r>
      <w:r w:rsidR="006654F0" w:rsidRPr="00C05E73">
        <w:t>)</w:t>
      </w:r>
      <w:r w:rsidRPr="00C05E73">
        <w:t xml:space="preserve"> in CLL/SLL patients from Stud</w:t>
      </w:r>
      <w:r w:rsidR="006654F0" w:rsidRPr="00C05E73">
        <w:t>y </w:t>
      </w:r>
      <w:r w:rsidRPr="00C05E73">
        <w:t>20020.</w:t>
      </w:r>
    </w:p>
    <w:p w14:paraId="1C6D64C4" w14:textId="61C29065" w:rsidR="00F52132" w:rsidRPr="00272ECE" w:rsidRDefault="00F52132" w:rsidP="007D464F">
      <w:r w:rsidRPr="00C05E73">
        <w:t>The safety ER analysis explored the potential relationship between pirtobrutinib exposure (C</w:t>
      </w:r>
      <w:r w:rsidRPr="00C05E73">
        <w:rPr>
          <w:vertAlign w:val="subscript"/>
        </w:rPr>
        <w:t xml:space="preserve">av </w:t>
      </w:r>
      <w:r w:rsidRPr="00C05E73">
        <w:t>and C</w:t>
      </w:r>
      <w:r w:rsidRPr="00C05E73">
        <w:rPr>
          <w:vertAlign w:val="subscript"/>
        </w:rPr>
        <w:t>max</w:t>
      </w:r>
      <w:r w:rsidRPr="00C05E73">
        <w:t xml:space="preserve">) and the following </w:t>
      </w:r>
      <w:r w:rsidR="006710BD" w:rsidRPr="00C05E73">
        <w:t>adverse events (</w:t>
      </w:r>
      <w:r w:rsidRPr="00C05E73">
        <w:t>AEs</w:t>
      </w:r>
      <w:r w:rsidR="006710BD" w:rsidRPr="00C05E73">
        <w:t>)</w:t>
      </w:r>
      <w:r w:rsidRPr="00C05E73">
        <w:t>:</w:t>
      </w:r>
    </w:p>
    <w:p w14:paraId="2BBF8686" w14:textId="2CBAEDCE" w:rsidR="00F52132" w:rsidRPr="00272ECE" w:rsidRDefault="00F52132" w:rsidP="00606401">
      <w:pPr>
        <w:pStyle w:val="ListBullet"/>
      </w:pPr>
      <w:r w:rsidRPr="00272ECE">
        <w:t>7 safety treatment-emergent adverse events of interest (Grade</w:t>
      </w:r>
      <w:r w:rsidR="00B4636C" w:rsidRPr="00272ECE">
        <w:t> </w:t>
      </w:r>
      <w:r w:rsidRPr="00272ECE">
        <w:t>≥3 anaemia, Grade</w:t>
      </w:r>
      <w:r w:rsidR="00B4636C" w:rsidRPr="00272ECE">
        <w:t> </w:t>
      </w:r>
      <w:r w:rsidRPr="00272ECE">
        <w:t>≥3 neutropenia, Grade</w:t>
      </w:r>
      <w:r w:rsidR="00B4636C" w:rsidRPr="00272ECE">
        <w:t> </w:t>
      </w:r>
      <w:r w:rsidRPr="00272ECE">
        <w:t>≥3 thrombocytopenia, Grade</w:t>
      </w:r>
      <w:r w:rsidR="00B4636C" w:rsidRPr="00272ECE">
        <w:t> </w:t>
      </w:r>
      <w:r w:rsidRPr="00272ECE">
        <w:t>≥3 infection/infestation, any grade hypertension, any grade bleeding, and Grade</w:t>
      </w:r>
      <w:r w:rsidR="00B4636C" w:rsidRPr="00272ECE">
        <w:t> </w:t>
      </w:r>
      <w:r w:rsidRPr="00272ECE">
        <w:t>≥3 any adverse event) for patients with CLL from Study</w:t>
      </w:r>
      <w:r w:rsidR="00B4636C" w:rsidRPr="00272ECE">
        <w:t> </w:t>
      </w:r>
      <w:r w:rsidRPr="00272ECE">
        <w:t>20020 and Study</w:t>
      </w:r>
      <w:r w:rsidR="00B4636C" w:rsidRPr="00272ECE">
        <w:t> </w:t>
      </w:r>
      <w:r w:rsidRPr="00272ECE">
        <w:t>18001.</w:t>
      </w:r>
    </w:p>
    <w:p w14:paraId="6D989BEB" w14:textId="52A05366" w:rsidR="00F52132" w:rsidRPr="00272ECE" w:rsidRDefault="00F52132" w:rsidP="00606401">
      <w:pPr>
        <w:pStyle w:val="ListBullet"/>
        <w:rPr>
          <w:rFonts w:eastAsia="CMR10" w:cs="CMR10"/>
        </w:rPr>
      </w:pPr>
      <w:r w:rsidRPr="00272ECE">
        <w:t>5 continuous safety measures over time (neutrophil count, platelet count, haemoglobin, systolic blood pressure, and diastolic blood pressure) for patients with CLL from Study</w:t>
      </w:r>
      <w:r w:rsidR="000929B9" w:rsidRPr="00272ECE">
        <w:t> </w:t>
      </w:r>
      <w:r w:rsidRPr="00272ECE">
        <w:t>20020 and Study</w:t>
      </w:r>
      <w:r w:rsidR="000929B9" w:rsidRPr="00272ECE">
        <w:t> </w:t>
      </w:r>
      <w:r w:rsidRPr="00272ECE">
        <w:t>18001.</w:t>
      </w:r>
    </w:p>
    <w:p w14:paraId="57B27051" w14:textId="18A2ED6F" w:rsidR="00F52132" w:rsidRPr="00272ECE" w:rsidRDefault="00F52132" w:rsidP="00606401">
      <w:r w:rsidRPr="00272ECE">
        <w:t>Pirtobrutinib exposure did not negatively impact safety measures (</w:t>
      </w:r>
      <w:r w:rsidR="006B5A3B" w:rsidRPr="00272ECE">
        <w:t>n</w:t>
      </w:r>
      <w:r w:rsidRPr="00272ECE">
        <w:t xml:space="preserve">eutrophil count, </w:t>
      </w:r>
      <w:r w:rsidR="006B5A3B" w:rsidRPr="00272ECE">
        <w:t>p</w:t>
      </w:r>
      <w:r w:rsidRPr="00272ECE">
        <w:t xml:space="preserve">latelet count, </w:t>
      </w:r>
      <w:r w:rsidR="006B5A3B" w:rsidRPr="00272ECE">
        <w:t>h</w:t>
      </w:r>
      <w:r w:rsidRPr="00272ECE">
        <w:t xml:space="preserve">aemoglobin, </w:t>
      </w:r>
      <w:r w:rsidR="006B5A3B" w:rsidRPr="00272ECE">
        <w:t>s</w:t>
      </w:r>
      <w:r w:rsidRPr="00272ECE">
        <w:t xml:space="preserve">ystolic blood pressure, and </w:t>
      </w:r>
      <w:r w:rsidR="006B5A3B" w:rsidRPr="00272ECE">
        <w:t>d</w:t>
      </w:r>
      <w:r w:rsidRPr="00272ECE">
        <w:t xml:space="preserve">iastolic blood pressure) at the range of exposures in the pivotal Phase </w:t>
      </w:r>
      <w:r w:rsidR="006B5A3B" w:rsidRPr="00272ECE">
        <w:t>III</w:t>
      </w:r>
      <w:r w:rsidRPr="00272ECE">
        <w:t xml:space="preserve"> study CLL/SLL patients at the proposed starting dose of 200</w:t>
      </w:r>
      <w:r w:rsidR="006B5A3B" w:rsidRPr="00272ECE">
        <w:t> </w:t>
      </w:r>
      <w:r w:rsidRPr="00272ECE">
        <w:t xml:space="preserve">mg </w:t>
      </w:r>
      <w:r w:rsidR="006B5A3B" w:rsidRPr="00272ECE">
        <w:t xml:space="preserve">once </w:t>
      </w:r>
      <w:r w:rsidR="009A32CF">
        <w:t>daily</w:t>
      </w:r>
      <w:r w:rsidRPr="00272ECE">
        <w:t>.</w:t>
      </w:r>
    </w:p>
    <w:p w14:paraId="4E17DC29" w14:textId="52B4B400" w:rsidR="00F1076F" w:rsidRPr="00272ECE" w:rsidRDefault="00F52132" w:rsidP="00606401">
      <w:r w:rsidRPr="00272ECE">
        <w:t>The single</w:t>
      </w:r>
      <w:r w:rsidR="006B5A3B" w:rsidRPr="00272ECE">
        <w:t xml:space="preserve"> </w:t>
      </w:r>
      <w:r w:rsidRPr="00272ECE">
        <w:t>dose, randomi</w:t>
      </w:r>
      <w:r w:rsidR="006B5A3B" w:rsidRPr="00272ECE">
        <w:t>s</w:t>
      </w:r>
      <w:r w:rsidRPr="00272ECE">
        <w:t>ed, partially double</w:t>
      </w:r>
      <w:r w:rsidR="006B5A3B" w:rsidRPr="00272ECE">
        <w:t xml:space="preserve"> </w:t>
      </w:r>
      <w:r w:rsidRPr="00272ECE">
        <w:t>blind, placebo and positive</w:t>
      </w:r>
      <w:r w:rsidR="006B5A3B" w:rsidRPr="00272ECE">
        <w:t xml:space="preserve"> </w:t>
      </w:r>
      <w:r w:rsidRPr="00272ECE">
        <w:t xml:space="preserve">controlled, 3-way crossover design </w:t>
      </w:r>
      <w:r w:rsidR="006B5A3B" w:rsidRPr="00272ECE">
        <w:t>S</w:t>
      </w:r>
      <w:r w:rsidRPr="00272ECE">
        <w:t>tudy LOXO-BTK-20011 evaluated the effect of a supratherapeutic dose of pirtobrutinib (900</w:t>
      </w:r>
      <w:r w:rsidR="006B5A3B" w:rsidRPr="00272ECE">
        <w:t> </w:t>
      </w:r>
      <w:r w:rsidRPr="00272ECE">
        <w:t>mg) on the QTc interval corrected for heart rate compared with placebo in 30 healthy subjects (moxifloxacin 400</w:t>
      </w:r>
      <w:r w:rsidR="006B5A3B" w:rsidRPr="00272ECE">
        <w:t> </w:t>
      </w:r>
      <w:r w:rsidRPr="00272ECE">
        <w:t xml:space="preserve">mg was the positive control). The effect on </w:t>
      </w:r>
      <w:proofErr w:type="spellStart"/>
      <w:r w:rsidRPr="00272ECE">
        <w:t>ΔΔQTcF</w:t>
      </w:r>
      <w:proofErr w:type="spellEnd"/>
      <w:r w:rsidRPr="00272ECE">
        <w:t xml:space="preserve"> larger than 10</w:t>
      </w:r>
      <w:r w:rsidR="006B5A3B" w:rsidRPr="00272ECE">
        <w:t> </w:t>
      </w:r>
      <w:r w:rsidRPr="00272ECE">
        <w:t>m</w:t>
      </w:r>
      <w:r w:rsidR="00521E7C" w:rsidRPr="00272ECE">
        <w:t>illi</w:t>
      </w:r>
      <w:r w:rsidRPr="00272ECE">
        <w:t>sec</w:t>
      </w:r>
      <w:r w:rsidR="00521E7C" w:rsidRPr="00272ECE">
        <w:t>onds</w:t>
      </w:r>
      <w:r w:rsidRPr="00272ECE">
        <w:t xml:space="preserve"> could be excluded across the observed range of LOXO-305 plasma concentrations (approximately 25100</w:t>
      </w:r>
      <w:r w:rsidR="00521E7C" w:rsidRPr="00272ECE">
        <w:t> </w:t>
      </w:r>
      <w:r w:rsidRPr="00272ECE">
        <w:t>ng/mL) based on this concentration</w:t>
      </w:r>
      <w:r w:rsidR="00521E7C" w:rsidRPr="00272ECE">
        <w:t xml:space="preserve"> </w:t>
      </w:r>
      <w:r w:rsidRPr="00272ECE">
        <w:t>QTc analysis. Pirtobrutinib at supratherapeutic dose of 900</w:t>
      </w:r>
      <w:r w:rsidR="00521E7C" w:rsidRPr="00272ECE">
        <w:t> </w:t>
      </w:r>
      <w:r w:rsidRPr="00272ECE">
        <w:t xml:space="preserve">mg did not </w:t>
      </w:r>
      <w:proofErr w:type="gramStart"/>
      <w:r w:rsidRPr="00272ECE">
        <w:t>have an effect on</w:t>
      </w:r>
      <w:proofErr w:type="gramEnd"/>
      <w:r w:rsidRPr="00272ECE">
        <w:t xml:space="preserve"> </w:t>
      </w:r>
      <w:r w:rsidR="00505D55">
        <w:t>heart rate</w:t>
      </w:r>
      <w:r w:rsidRPr="00272ECE">
        <w:t xml:space="preserve"> or cardiac conduction (</w:t>
      </w:r>
      <w:r w:rsidR="00521E7C" w:rsidRPr="00272ECE">
        <w:t>that is,</w:t>
      </w:r>
      <w:r w:rsidRPr="00272ECE">
        <w:t xml:space="preserve"> PR and QRS intervals).</w:t>
      </w:r>
    </w:p>
    <w:p w14:paraId="4D70FF59" w14:textId="6B4043C0" w:rsidR="00FC3C18" w:rsidRPr="00272ECE" w:rsidRDefault="00FC3C18" w:rsidP="00606401">
      <w:pPr>
        <w:pStyle w:val="Heading4"/>
      </w:pPr>
      <w:bookmarkStart w:id="48" w:name="_Toc243316703"/>
      <w:r w:rsidRPr="00272ECE">
        <w:lastRenderedPageBreak/>
        <w:t>Efficacy</w:t>
      </w:r>
      <w:bookmarkEnd w:id="48"/>
    </w:p>
    <w:p w14:paraId="0300DA38" w14:textId="072C610B" w:rsidR="00FC3C18" w:rsidRPr="00272ECE" w:rsidRDefault="00FC3C18" w:rsidP="00606401">
      <w:r w:rsidRPr="00272ECE">
        <w:t>The dose of 200</w:t>
      </w:r>
      <w:r w:rsidR="00ED1ED6" w:rsidRPr="00272ECE">
        <w:t> </w:t>
      </w:r>
      <w:r w:rsidRPr="00272ECE">
        <w:t>mg</w:t>
      </w:r>
      <w:r w:rsidR="00ED1ED6" w:rsidRPr="00272ECE">
        <w:t xml:space="preserve"> once </w:t>
      </w:r>
      <w:r w:rsidR="009A32CF">
        <w:t>daily</w:t>
      </w:r>
      <w:r w:rsidRPr="00272ECE">
        <w:t xml:space="preserve"> (orally with or without food) selected for the pivotal Phase</w:t>
      </w:r>
      <w:r w:rsidR="00ED1ED6" w:rsidRPr="00272ECE">
        <w:t> III</w:t>
      </w:r>
      <w:r w:rsidRPr="00272ECE">
        <w:t xml:space="preserve"> </w:t>
      </w:r>
      <w:r w:rsidR="00ED1ED6" w:rsidRPr="00272ECE">
        <w:t>S</w:t>
      </w:r>
      <w:r w:rsidRPr="00272ECE">
        <w:t>tudy</w:t>
      </w:r>
      <w:r w:rsidR="00ED1ED6" w:rsidRPr="00272ECE">
        <w:t> </w:t>
      </w:r>
      <w:r w:rsidRPr="00272ECE">
        <w:t xml:space="preserve">20020 was justified based on results from the Phase </w:t>
      </w:r>
      <w:r w:rsidR="00ED1ED6" w:rsidRPr="00272ECE">
        <w:t>I</w:t>
      </w:r>
      <w:r w:rsidRPr="00272ECE">
        <w:t>/</w:t>
      </w:r>
      <w:r w:rsidR="00ED1ED6" w:rsidRPr="00272ECE">
        <w:t>II</w:t>
      </w:r>
      <w:r w:rsidRPr="00272ECE">
        <w:t xml:space="preserve"> </w:t>
      </w:r>
      <w:r w:rsidR="00ED1ED6" w:rsidRPr="00272ECE">
        <w:t>S</w:t>
      </w:r>
      <w:r w:rsidRPr="00272ECE">
        <w:t>tudy</w:t>
      </w:r>
      <w:r w:rsidR="00ED1ED6" w:rsidRPr="00272ECE">
        <w:t> </w:t>
      </w:r>
      <w:r w:rsidRPr="00272ECE">
        <w:t>1</w:t>
      </w:r>
      <w:r w:rsidR="00BE3B9B">
        <w:t>8</w:t>
      </w:r>
      <w:r w:rsidRPr="00272ECE">
        <w:t>001.</w:t>
      </w:r>
    </w:p>
    <w:p w14:paraId="52C04480" w14:textId="5E062765" w:rsidR="00FC3C18" w:rsidRPr="00272ECE" w:rsidRDefault="00FC3C18" w:rsidP="00EE775A">
      <w:r w:rsidRPr="00272ECE">
        <w:t>Pivotal study:</w:t>
      </w:r>
    </w:p>
    <w:p w14:paraId="3510B825" w14:textId="7D7C2834" w:rsidR="00FC3C18" w:rsidRPr="00272ECE" w:rsidRDefault="00EE775A" w:rsidP="00606401">
      <w:pPr>
        <w:pStyle w:val="ListBullet"/>
      </w:pPr>
      <w:r w:rsidRPr="00272ECE">
        <w:t xml:space="preserve">Study </w:t>
      </w:r>
      <w:r w:rsidR="00FC3C18" w:rsidRPr="00272ECE">
        <w:t xml:space="preserve">LOXO-BTK-20020 (also </w:t>
      </w:r>
      <w:r w:rsidR="00C760FD" w:rsidRPr="00272ECE">
        <w:t xml:space="preserve">known as </w:t>
      </w:r>
      <w:r w:rsidR="00FC3C18" w:rsidRPr="00272ECE">
        <w:t xml:space="preserve">Study 20020, J2N-OX-JZNN): </w:t>
      </w:r>
      <w:r w:rsidR="00725CC3" w:rsidRPr="00272ECE">
        <w:t>a</w:t>
      </w:r>
      <w:r w:rsidR="00FC3C18" w:rsidRPr="00272ECE">
        <w:t xml:space="preserve"> Phase </w:t>
      </w:r>
      <w:r w:rsidR="00C760FD" w:rsidRPr="00272ECE">
        <w:t>III</w:t>
      </w:r>
      <w:r w:rsidR="00FC3C18" w:rsidRPr="00272ECE">
        <w:t xml:space="preserve"> </w:t>
      </w:r>
      <w:r w:rsidR="00C760FD" w:rsidRPr="00272ECE">
        <w:t>o</w:t>
      </w:r>
      <w:r w:rsidR="00FC3C18" w:rsidRPr="00272ECE">
        <w:t>pen</w:t>
      </w:r>
      <w:r w:rsidR="00C760FD" w:rsidRPr="00272ECE">
        <w:t xml:space="preserve"> l</w:t>
      </w:r>
      <w:r w:rsidR="00FC3C18" w:rsidRPr="00272ECE">
        <w:t xml:space="preserve">abel, </w:t>
      </w:r>
      <w:r w:rsidR="00C760FD" w:rsidRPr="00272ECE">
        <w:t>r</w:t>
      </w:r>
      <w:r w:rsidR="00FC3C18" w:rsidRPr="00272ECE">
        <w:t>andomi</w:t>
      </w:r>
      <w:r w:rsidR="00C760FD" w:rsidRPr="00272ECE">
        <w:t>s</w:t>
      </w:r>
      <w:r w:rsidR="00FC3C18" w:rsidRPr="00272ECE">
        <w:t xml:space="preserve">ed </w:t>
      </w:r>
      <w:r w:rsidR="00C760FD" w:rsidRPr="00272ECE">
        <w:t>s</w:t>
      </w:r>
      <w:r w:rsidR="00FC3C18" w:rsidRPr="00272ECE">
        <w:t xml:space="preserve">tudy of LOXO-305 versus </w:t>
      </w:r>
      <w:r w:rsidR="00C760FD" w:rsidRPr="00272ECE">
        <w:t>i</w:t>
      </w:r>
      <w:r w:rsidR="00FC3C18" w:rsidRPr="00272ECE">
        <w:t xml:space="preserve">nvestigator’s </w:t>
      </w:r>
      <w:r w:rsidR="00C760FD" w:rsidRPr="00272ECE">
        <w:t>c</w:t>
      </w:r>
      <w:r w:rsidR="00FC3C18" w:rsidRPr="00272ECE">
        <w:t xml:space="preserve">hoice of </w:t>
      </w:r>
      <w:proofErr w:type="spellStart"/>
      <w:r w:rsidR="00AF7D3E" w:rsidRPr="00272ECE">
        <w:t>i</w:t>
      </w:r>
      <w:r w:rsidR="00FC3C18" w:rsidRPr="00272ECE">
        <w:t>delalisib</w:t>
      </w:r>
      <w:proofErr w:type="spellEnd"/>
      <w:r w:rsidR="00FC3C18" w:rsidRPr="00272ECE">
        <w:t xml:space="preserve"> plus </w:t>
      </w:r>
      <w:r w:rsidR="00AF7D3E" w:rsidRPr="00272ECE">
        <w:t>r</w:t>
      </w:r>
      <w:r w:rsidR="00FC3C18" w:rsidRPr="00272ECE">
        <w:t xml:space="preserve">ituximab or </w:t>
      </w:r>
      <w:r w:rsidR="00AF7D3E" w:rsidRPr="00272ECE">
        <w:t>b</w:t>
      </w:r>
      <w:r w:rsidR="00FC3C18" w:rsidRPr="00272ECE">
        <w:t xml:space="preserve">endamustine plus </w:t>
      </w:r>
      <w:r w:rsidR="00AF7D3E" w:rsidRPr="00272ECE">
        <w:t>r</w:t>
      </w:r>
      <w:r w:rsidR="00FC3C18" w:rsidRPr="00272ECE">
        <w:t xml:space="preserve">ituximab in BTK </w:t>
      </w:r>
      <w:r w:rsidR="00AF7D3E" w:rsidRPr="00272ECE">
        <w:t>i</w:t>
      </w:r>
      <w:r w:rsidR="00FC3C18" w:rsidRPr="00272ECE">
        <w:t xml:space="preserve">nhibitor </w:t>
      </w:r>
      <w:r w:rsidR="00AF7D3E" w:rsidRPr="00272ECE">
        <w:t>p</w:t>
      </w:r>
      <w:r w:rsidR="00FC3C18" w:rsidRPr="00272ECE">
        <w:t xml:space="preserve">retreated </w:t>
      </w:r>
      <w:r w:rsidR="00AF7D3E" w:rsidRPr="00272ECE">
        <w:t>c</w:t>
      </w:r>
      <w:r w:rsidR="00FC3C18" w:rsidRPr="00272ECE">
        <w:t xml:space="preserve">hronic </w:t>
      </w:r>
      <w:r w:rsidR="00AF7D3E" w:rsidRPr="00272ECE">
        <w:t>l</w:t>
      </w:r>
      <w:r w:rsidR="00FC3C18" w:rsidRPr="00272ECE">
        <w:t xml:space="preserve">ymphocytic </w:t>
      </w:r>
      <w:r w:rsidR="00AF7D3E" w:rsidRPr="00272ECE">
        <w:t>l</w:t>
      </w:r>
      <w:r w:rsidR="00FC3C18" w:rsidRPr="00272ECE">
        <w:t>eukemia/</w:t>
      </w:r>
      <w:r w:rsidR="00774AC9" w:rsidRPr="00272ECE">
        <w:t>s</w:t>
      </w:r>
      <w:r w:rsidR="00FC3C18" w:rsidRPr="00272ECE">
        <w:t xml:space="preserve">mall </w:t>
      </w:r>
      <w:r w:rsidR="00774AC9" w:rsidRPr="00272ECE">
        <w:t>l</w:t>
      </w:r>
      <w:r w:rsidR="00FC3C18" w:rsidRPr="00272ECE">
        <w:t xml:space="preserve">ymphocytic </w:t>
      </w:r>
      <w:r w:rsidR="00774AC9" w:rsidRPr="00272ECE">
        <w:t>l</w:t>
      </w:r>
      <w:r w:rsidR="00FC3C18" w:rsidRPr="00272ECE">
        <w:t>ymphoma.</w:t>
      </w:r>
    </w:p>
    <w:p w14:paraId="5D754585" w14:textId="16267FEB" w:rsidR="00FC3C18" w:rsidRPr="00272ECE" w:rsidRDefault="00FC3C18" w:rsidP="00774AC9">
      <w:r w:rsidRPr="00272ECE">
        <w:t>Supportive studies:</w:t>
      </w:r>
    </w:p>
    <w:p w14:paraId="76F8F699" w14:textId="1F1F563E" w:rsidR="00FC3C18" w:rsidRPr="00272ECE" w:rsidRDefault="00725CC3" w:rsidP="00606401">
      <w:pPr>
        <w:pStyle w:val="ListBullet"/>
      </w:pPr>
      <w:r w:rsidRPr="00272ECE">
        <w:t xml:space="preserve">Study </w:t>
      </w:r>
      <w:r w:rsidR="00FC3C18" w:rsidRPr="00272ECE">
        <w:t>LOXO-BTK-18001 (</w:t>
      </w:r>
      <w:r w:rsidRPr="00272ECE">
        <w:t xml:space="preserve">also known as </w:t>
      </w:r>
      <w:r w:rsidR="00FC3C18" w:rsidRPr="00272ECE">
        <w:t>Study</w:t>
      </w:r>
      <w:r w:rsidRPr="00272ECE">
        <w:t> </w:t>
      </w:r>
      <w:r w:rsidR="00FC3C18" w:rsidRPr="00272ECE">
        <w:t xml:space="preserve">18001): </w:t>
      </w:r>
      <w:r w:rsidRPr="00272ECE">
        <w:t>a</w:t>
      </w:r>
      <w:r w:rsidR="00FC3C18" w:rsidRPr="00272ECE">
        <w:t xml:space="preserve"> Phase </w:t>
      </w:r>
      <w:r w:rsidRPr="00272ECE">
        <w:t>I</w:t>
      </w:r>
      <w:r w:rsidR="00FC3C18" w:rsidRPr="00272ECE">
        <w:t>/</w:t>
      </w:r>
      <w:r w:rsidRPr="00272ECE">
        <w:t>II</w:t>
      </w:r>
      <w:r w:rsidR="00FC3C18" w:rsidRPr="00272ECE">
        <w:t xml:space="preserve"> Study of </w:t>
      </w:r>
      <w:r w:rsidR="00794086" w:rsidRPr="00272ECE">
        <w:t>o</w:t>
      </w:r>
      <w:r w:rsidR="00FC3C18" w:rsidRPr="00272ECE">
        <w:t xml:space="preserve">ral LOXO-305 in </w:t>
      </w:r>
      <w:r w:rsidR="00794086" w:rsidRPr="00272ECE">
        <w:t>p</w:t>
      </w:r>
      <w:r w:rsidR="00FC3C18" w:rsidRPr="00272ECE">
        <w:t xml:space="preserve">atients with </w:t>
      </w:r>
      <w:r w:rsidR="00794086" w:rsidRPr="00272ECE">
        <w:t>p</w:t>
      </w:r>
      <w:r w:rsidR="00FC3C18" w:rsidRPr="00272ECE">
        <w:t xml:space="preserve">reviously </w:t>
      </w:r>
      <w:r w:rsidR="00794086" w:rsidRPr="00272ECE">
        <w:t>t</w:t>
      </w:r>
      <w:r w:rsidR="00FC3C18" w:rsidRPr="00272ECE">
        <w:t xml:space="preserve">reated </w:t>
      </w:r>
      <w:r w:rsidR="00794086" w:rsidRPr="00272ECE">
        <w:t>c</w:t>
      </w:r>
      <w:r w:rsidR="00FC3C18" w:rsidRPr="00272ECE">
        <w:t xml:space="preserve">hronic </w:t>
      </w:r>
      <w:r w:rsidR="00794086" w:rsidRPr="00272ECE">
        <w:t>l</w:t>
      </w:r>
      <w:r w:rsidR="00FC3C18" w:rsidRPr="00272ECE">
        <w:t xml:space="preserve">ymphocytic </w:t>
      </w:r>
      <w:r w:rsidR="00794086" w:rsidRPr="00272ECE">
        <w:t>l</w:t>
      </w:r>
      <w:r w:rsidR="00FC3C18" w:rsidRPr="00272ECE">
        <w:t>eukemia/</w:t>
      </w:r>
      <w:r w:rsidR="00794086" w:rsidRPr="00272ECE">
        <w:t>s</w:t>
      </w:r>
      <w:r w:rsidR="00FC3C18" w:rsidRPr="00272ECE">
        <w:t xml:space="preserve">mall </w:t>
      </w:r>
      <w:r w:rsidR="00794086" w:rsidRPr="00272ECE">
        <w:t>l</w:t>
      </w:r>
      <w:r w:rsidR="00FC3C18" w:rsidRPr="00272ECE">
        <w:t xml:space="preserve">ymphocytic </w:t>
      </w:r>
      <w:r w:rsidR="00794086" w:rsidRPr="00272ECE">
        <w:t>l</w:t>
      </w:r>
      <w:r w:rsidR="00FC3C18" w:rsidRPr="00272ECE">
        <w:t xml:space="preserve">ymphoma (CLL/SLL) or </w:t>
      </w:r>
      <w:r w:rsidR="00ED5873">
        <w:t>n</w:t>
      </w:r>
      <w:r w:rsidR="00FC3C18" w:rsidRPr="00272ECE">
        <w:t xml:space="preserve">on-Hodgkin </w:t>
      </w:r>
      <w:r w:rsidR="00794086" w:rsidRPr="00272ECE">
        <w:t>l</w:t>
      </w:r>
      <w:r w:rsidR="00FC3C18" w:rsidRPr="00272ECE">
        <w:t>ymphoma (NHL).</w:t>
      </w:r>
    </w:p>
    <w:p w14:paraId="48195261" w14:textId="1E39010E" w:rsidR="00FC3C18" w:rsidRPr="00272ECE" w:rsidRDefault="00FC3C18" w:rsidP="00606401">
      <w:pPr>
        <w:pStyle w:val="Heading5"/>
      </w:pPr>
      <w:bookmarkStart w:id="49" w:name="_Ref243301615"/>
      <w:bookmarkStart w:id="50" w:name="_Ref271040927"/>
      <w:bookmarkStart w:id="51" w:name="_Ref271040932"/>
      <w:bookmarkStart w:id="52" w:name="_Toc272414653"/>
      <w:bookmarkStart w:id="53" w:name="_Toc290888501"/>
      <w:bookmarkStart w:id="54" w:name="_Toc416353717"/>
      <w:r w:rsidRPr="00272ECE">
        <w:t xml:space="preserve">Study </w:t>
      </w:r>
      <w:bookmarkEnd w:id="49"/>
      <w:proofErr w:type="spellStart"/>
      <w:r w:rsidRPr="00272ECE">
        <w:t>LOXO</w:t>
      </w:r>
      <w:proofErr w:type="spellEnd"/>
      <w:r w:rsidRPr="00272ECE">
        <w:t>-</w:t>
      </w:r>
      <w:proofErr w:type="spellStart"/>
      <w:r w:rsidRPr="00272ECE">
        <w:t>BTK</w:t>
      </w:r>
      <w:proofErr w:type="spellEnd"/>
      <w:r w:rsidRPr="00272ECE">
        <w:t>-20020</w:t>
      </w:r>
      <w:bookmarkEnd w:id="50"/>
      <w:bookmarkEnd w:id="51"/>
      <w:bookmarkEnd w:id="52"/>
      <w:bookmarkEnd w:id="53"/>
      <w:bookmarkEnd w:id="54"/>
    </w:p>
    <w:p w14:paraId="0E7A2464" w14:textId="390652B0" w:rsidR="00FC3C18" w:rsidRPr="00272ECE" w:rsidRDefault="00FC3C18" w:rsidP="00606401">
      <w:r w:rsidRPr="00D12E4A">
        <w:t xml:space="preserve">This was a Phase </w:t>
      </w:r>
      <w:r w:rsidR="00794086" w:rsidRPr="00D12E4A">
        <w:t>III</w:t>
      </w:r>
      <w:r w:rsidRPr="00D12E4A">
        <w:t>, open</w:t>
      </w:r>
      <w:r w:rsidR="00794086" w:rsidRPr="00D12E4A">
        <w:t xml:space="preserve"> </w:t>
      </w:r>
      <w:r w:rsidRPr="00D12E4A">
        <w:t>label, randomi</w:t>
      </w:r>
      <w:r w:rsidR="00794086" w:rsidRPr="00D12E4A">
        <w:t>s</w:t>
      </w:r>
      <w:r w:rsidRPr="00D12E4A">
        <w:t xml:space="preserve">ed study of pirtobrutinib (LOXO-305) versus </w:t>
      </w:r>
      <w:r w:rsidR="00794086" w:rsidRPr="00D12E4A">
        <w:t>i</w:t>
      </w:r>
      <w:r w:rsidRPr="00D12E4A">
        <w:t xml:space="preserve">nvestigator’s </w:t>
      </w:r>
      <w:r w:rsidR="00794086" w:rsidRPr="00D12E4A">
        <w:t>c</w:t>
      </w:r>
      <w:r w:rsidRPr="00D12E4A">
        <w:t xml:space="preserve">hoice of </w:t>
      </w:r>
      <w:proofErr w:type="spellStart"/>
      <w:r w:rsidR="00794086" w:rsidRPr="00D12E4A">
        <w:t>i</w:t>
      </w:r>
      <w:r w:rsidRPr="00D12E4A">
        <w:t>delalisib</w:t>
      </w:r>
      <w:proofErr w:type="spellEnd"/>
      <w:r w:rsidRPr="00D12E4A">
        <w:t xml:space="preserve"> plus </w:t>
      </w:r>
      <w:r w:rsidR="00794086" w:rsidRPr="00D12E4A">
        <w:t>r</w:t>
      </w:r>
      <w:r w:rsidRPr="00D12E4A">
        <w:t>ituximab (</w:t>
      </w:r>
      <w:proofErr w:type="spellStart"/>
      <w:r w:rsidRPr="00D12E4A">
        <w:t>IdelaR</w:t>
      </w:r>
      <w:proofErr w:type="spellEnd"/>
      <w:r w:rsidRPr="00D12E4A">
        <w:t xml:space="preserve">) or </w:t>
      </w:r>
      <w:r w:rsidR="00794086" w:rsidRPr="00D12E4A">
        <w:t>b</w:t>
      </w:r>
      <w:r w:rsidRPr="00D12E4A">
        <w:t xml:space="preserve">endamustine plus </w:t>
      </w:r>
      <w:r w:rsidR="00794086" w:rsidRPr="00D12E4A">
        <w:t>r</w:t>
      </w:r>
      <w:r w:rsidRPr="00D12E4A">
        <w:t>ituximab (</w:t>
      </w:r>
      <w:proofErr w:type="spellStart"/>
      <w:r w:rsidRPr="00D12E4A">
        <w:t>BendaR</w:t>
      </w:r>
      <w:proofErr w:type="spellEnd"/>
      <w:r w:rsidRPr="00D12E4A">
        <w:t xml:space="preserve">) in </w:t>
      </w:r>
      <w:proofErr w:type="spellStart"/>
      <w:r w:rsidRPr="00D12E4A">
        <w:t>BTK</w:t>
      </w:r>
      <w:proofErr w:type="spellEnd"/>
      <w:r w:rsidRPr="00D12E4A">
        <w:t xml:space="preserve"> Inhibitor pretreated adult CLL/SLL patients with an indication for treatment as defined by </w:t>
      </w:r>
      <w:r w:rsidR="00E760B9" w:rsidRPr="00D12E4A">
        <w:t>International Workshop on Chronic Lymphocytic Leukemia (</w:t>
      </w:r>
      <w:proofErr w:type="spellStart"/>
      <w:r w:rsidRPr="00D12E4A">
        <w:t>iwCLL</w:t>
      </w:r>
      <w:proofErr w:type="spellEnd"/>
      <w:r w:rsidR="00E760B9" w:rsidRPr="00D12E4A">
        <w:t>)</w:t>
      </w:r>
      <w:r w:rsidRPr="00D12E4A">
        <w:t xml:space="preserve"> 2018 criteria</w:t>
      </w:r>
      <w:r w:rsidR="00E760B9" w:rsidRPr="00D12E4A">
        <w:t>.</w:t>
      </w:r>
      <w:bookmarkStart w:id="55" w:name="_Ref240297915"/>
      <w:r w:rsidR="00E760B9" w:rsidRPr="00D12E4A">
        <w:rPr>
          <w:rStyle w:val="FootnoteReference"/>
        </w:rPr>
        <w:footnoteReference w:id="9"/>
      </w:r>
      <w:bookmarkEnd w:id="55"/>
    </w:p>
    <w:p w14:paraId="7ED2B8F0" w14:textId="15686EFB" w:rsidR="00FC3C18" w:rsidRPr="00272ECE" w:rsidRDefault="00FC3C18" w:rsidP="00606401">
      <w:r w:rsidRPr="00272ECE">
        <w:t>This study was conducted at 235 centres that enrolled patients in regions of Europe, North America, Asia, and Australia. The first patient was enrolled on 9</w:t>
      </w:r>
      <w:r w:rsidR="00982922" w:rsidRPr="00272ECE">
        <w:t> </w:t>
      </w:r>
      <w:r w:rsidRPr="00272ECE">
        <w:t>March</w:t>
      </w:r>
      <w:r w:rsidR="00982922" w:rsidRPr="00272ECE">
        <w:t> </w:t>
      </w:r>
      <w:r w:rsidRPr="00272ECE">
        <w:t>2021, and the last patient was enrolled on 17</w:t>
      </w:r>
      <w:r w:rsidR="00982922" w:rsidRPr="00272ECE">
        <w:t> </w:t>
      </w:r>
      <w:r w:rsidRPr="00272ECE">
        <w:t>July</w:t>
      </w:r>
      <w:r w:rsidR="00982922" w:rsidRPr="00272ECE">
        <w:t> </w:t>
      </w:r>
      <w:r w:rsidRPr="00272ECE">
        <w:t>2023.</w:t>
      </w:r>
    </w:p>
    <w:p w14:paraId="0B6478BC" w14:textId="3CB2ED96" w:rsidR="00001EB1" w:rsidRPr="00272ECE" w:rsidRDefault="00001EB1" w:rsidP="00606401">
      <w:pPr>
        <w:pStyle w:val="FigureTitle"/>
        <w:rPr>
          <w:bCs/>
        </w:rPr>
      </w:pPr>
      <w:r w:rsidRPr="00272ECE">
        <w:t xml:space="preserve">Figure </w:t>
      </w:r>
      <w:r w:rsidR="00CA21F6">
        <w:fldChar w:fldCharType="begin"/>
      </w:r>
      <w:r w:rsidR="00CA21F6">
        <w:instrText xml:space="preserve"> SEQ Figure \* ARABIC </w:instrText>
      </w:r>
      <w:r w:rsidR="00CA21F6">
        <w:fldChar w:fldCharType="separate"/>
      </w:r>
      <w:r w:rsidR="00CA21F6" w:rsidRPr="00272ECE">
        <w:t>3</w:t>
      </w:r>
      <w:r w:rsidR="00CA21F6">
        <w:fldChar w:fldCharType="end"/>
      </w:r>
      <w:r w:rsidRPr="00272ECE">
        <w:t xml:space="preserve">: </w:t>
      </w:r>
      <w:r w:rsidRPr="00272ECE">
        <w:rPr>
          <w:bCs/>
        </w:rPr>
        <w:t xml:space="preserve">Study </w:t>
      </w:r>
      <w:proofErr w:type="spellStart"/>
      <w:r w:rsidRPr="00272ECE">
        <w:rPr>
          <w:bCs/>
        </w:rPr>
        <w:t>LOXO</w:t>
      </w:r>
      <w:proofErr w:type="spellEnd"/>
      <w:r w:rsidRPr="00272ECE">
        <w:rPr>
          <w:bCs/>
        </w:rPr>
        <w:t>-</w:t>
      </w:r>
      <w:proofErr w:type="spellStart"/>
      <w:r w:rsidRPr="00272ECE">
        <w:rPr>
          <w:bCs/>
        </w:rPr>
        <w:t>BTK</w:t>
      </w:r>
      <w:proofErr w:type="spellEnd"/>
      <w:r w:rsidRPr="00272ECE">
        <w:rPr>
          <w:bCs/>
        </w:rPr>
        <w:t>-20020</w:t>
      </w:r>
      <w:r w:rsidRPr="00272ECE">
        <w:t xml:space="preserve"> schematic</w:t>
      </w:r>
    </w:p>
    <w:p w14:paraId="2AAF658C" w14:textId="6DF5EACB" w:rsidR="00FC3C18" w:rsidRPr="00272ECE" w:rsidRDefault="00001EB1" w:rsidP="00606401">
      <w:r w:rsidRPr="00272ECE">
        <w:rPr>
          <w:noProof/>
        </w:rPr>
        <w:drawing>
          <wp:inline distT="0" distB="0" distL="0" distR="0" wp14:anchorId="0E3D6E8D" wp14:editId="484C838B">
            <wp:extent cx="4410075" cy="3231218"/>
            <wp:effectExtent l="0" t="0" r="0" b="7620"/>
            <wp:docPr id="543764017" name="Picture 1" descr="Figure 3: Study LOXO-BTK-20020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64017" name="Picture 1" descr="Figure 3: Study LOXO-BTK-20020 schematic"/>
                    <pic:cNvPicPr/>
                  </pic:nvPicPr>
                  <pic:blipFill rotWithShape="1">
                    <a:blip r:embed="rId27"/>
                    <a:srcRect l="6351" r="-5432" b="1222"/>
                    <a:stretch>
                      <a:fillRect/>
                    </a:stretch>
                  </pic:blipFill>
                  <pic:spPr bwMode="auto">
                    <a:xfrm>
                      <a:off x="0" y="0"/>
                      <a:ext cx="4415910" cy="3235493"/>
                    </a:xfrm>
                    <a:prstGeom prst="rect">
                      <a:avLst/>
                    </a:prstGeom>
                    <a:ln>
                      <a:noFill/>
                    </a:ln>
                    <a:extLst>
                      <a:ext uri="{53640926-AAD7-44D8-BBD7-CCE9431645EC}">
                        <a14:shadowObscured xmlns:a14="http://schemas.microsoft.com/office/drawing/2010/main"/>
                      </a:ext>
                    </a:extLst>
                  </pic:spPr>
                </pic:pic>
              </a:graphicData>
            </a:graphic>
          </wp:inline>
        </w:drawing>
      </w:r>
    </w:p>
    <w:p w14:paraId="25A01F2C" w14:textId="50B229CE" w:rsidR="00F802C3" w:rsidRPr="00272ECE" w:rsidRDefault="00F802C3" w:rsidP="00606401">
      <w:pPr>
        <w:pStyle w:val="FigureDescription"/>
      </w:pPr>
      <w:r w:rsidRPr="00272ECE">
        <w:rPr>
          <w:vertAlign w:val="superscript"/>
        </w:rPr>
        <w:t>a</w:t>
      </w:r>
      <w:r w:rsidRPr="00272ECE">
        <w:t xml:space="preserve"> Detailed study treatment dosing instructions were provided in the dossier.</w:t>
      </w:r>
    </w:p>
    <w:p w14:paraId="33B28CF4" w14:textId="1FF72108" w:rsidR="00F802C3" w:rsidRPr="00272ECE" w:rsidRDefault="00F802C3" w:rsidP="00606401">
      <w:pPr>
        <w:pStyle w:val="FigureDescription"/>
      </w:pPr>
      <w:r w:rsidRPr="00272ECE">
        <w:rPr>
          <w:vertAlign w:val="superscript"/>
        </w:rPr>
        <w:t>b</w:t>
      </w:r>
      <w:r w:rsidRPr="00272ECE">
        <w:t xml:space="preserve"> Day 1 of Cycle 1, first dose of rituximab at 375 mg/m</w:t>
      </w:r>
      <w:r w:rsidRPr="00272ECE">
        <w:rPr>
          <w:vertAlign w:val="superscript"/>
        </w:rPr>
        <w:t>2</w:t>
      </w:r>
      <w:r w:rsidRPr="00272ECE">
        <w:t>, next 4 infusions at 500 mg/m</w:t>
      </w:r>
      <w:r w:rsidRPr="00272ECE">
        <w:rPr>
          <w:vertAlign w:val="superscript"/>
        </w:rPr>
        <w:t>2</w:t>
      </w:r>
      <w:r w:rsidRPr="00272ECE">
        <w:t xml:space="preserve"> </w:t>
      </w:r>
      <w:r w:rsidR="00973190" w:rsidRPr="00272ECE">
        <w:t>every 2 weeks,</w:t>
      </w:r>
      <w:r w:rsidRPr="00272ECE">
        <w:t xml:space="preserve"> next 3 infusions at 500</w:t>
      </w:r>
      <w:r w:rsidR="00973190" w:rsidRPr="00272ECE">
        <w:t> </w:t>
      </w:r>
      <w:r w:rsidRPr="00272ECE">
        <w:t>mg/m</w:t>
      </w:r>
      <w:r w:rsidRPr="00272ECE">
        <w:rPr>
          <w:vertAlign w:val="superscript"/>
        </w:rPr>
        <w:t>2</w:t>
      </w:r>
      <w:r w:rsidRPr="00272ECE">
        <w:t xml:space="preserve"> </w:t>
      </w:r>
      <w:r w:rsidR="00B43B27" w:rsidRPr="00272ECE">
        <w:t>every 4 weeks</w:t>
      </w:r>
      <w:r w:rsidRPr="00272ECE">
        <w:t>.</w:t>
      </w:r>
    </w:p>
    <w:p w14:paraId="25D7712C" w14:textId="6A120974" w:rsidR="00FC3C18" w:rsidRPr="00272ECE" w:rsidRDefault="00F802C3" w:rsidP="00606401">
      <w:pPr>
        <w:pStyle w:val="FigureDescription"/>
      </w:pPr>
      <w:r w:rsidRPr="00272ECE">
        <w:rPr>
          <w:vertAlign w:val="superscript"/>
        </w:rPr>
        <w:lastRenderedPageBreak/>
        <w:t>c</w:t>
      </w:r>
      <w:r w:rsidRPr="00272ECE">
        <w:t xml:space="preserve"> Day 1 of Cycle 1, first dose of rituximab at 375</w:t>
      </w:r>
      <w:r w:rsidR="00B43B27" w:rsidRPr="00272ECE">
        <w:t> </w:t>
      </w:r>
      <w:r w:rsidRPr="00272ECE">
        <w:t>mg/m</w:t>
      </w:r>
      <w:r w:rsidRPr="00272ECE">
        <w:rPr>
          <w:vertAlign w:val="superscript"/>
        </w:rPr>
        <w:t>2</w:t>
      </w:r>
      <w:r w:rsidRPr="00272ECE">
        <w:t>, next 5 infusions Day 1 of Cycle 2 through Cycle 6 at</w:t>
      </w:r>
      <w:r w:rsidR="00B43B27" w:rsidRPr="00272ECE">
        <w:t xml:space="preserve"> </w:t>
      </w:r>
      <w:r w:rsidRPr="00272ECE">
        <w:t>500</w:t>
      </w:r>
      <w:r w:rsidR="00B43B27" w:rsidRPr="00272ECE">
        <w:t> </w:t>
      </w:r>
      <w:r w:rsidRPr="00272ECE">
        <w:t>mg/m</w:t>
      </w:r>
      <w:r w:rsidRPr="00272ECE">
        <w:rPr>
          <w:vertAlign w:val="superscript"/>
        </w:rPr>
        <w:t>2</w:t>
      </w:r>
      <w:r w:rsidRPr="00272ECE">
        <w:t>.</w:t>
      </w:r>
    </w:p>
    <w:p w14:paraId="551D5922" w14:textId="7838371C" w:rsidR="00FC3C18" w:rsidRPr="00272ECE" w:rsidRDefault="00C01AB8" w:rsidP="00606401">
      <w:pPr>
        <w:pStyle w:val="TableTitle"/>
      </w:pPr>
      <w:r w:rsidRPr="00272ECE">
        <w:t xml:space="preserve">Table </w:t>
      </w:r>
      <w:r w:rsidR="00B960D6">
        <w:fldChar w:fldCharType="begin"/>
      </w:r>
      <w:r w:rsidR="00B960D6">
        <w:instrText xml:space="preserve"> SEQ Table \* ARABIC </w:instrText>
      </w:r>
      <w:r w:rsidR="00B960D6">
        <w:fldChar w:fldCharType="separate"/>
      </w:r>
      <w:r w:rsidR="00B960D6" w:rsidRPr="00272ECE">
        <w:t>3</w:t>
      </w:r>
      <w:r w:rsidR="00B960D6">
        <w:fldChar w:fldCharType="end"/>
      </w:r>
      <w:r w:rsidRPr="00272ECE">
        <w:t>:</w:t>
      </w:r>
      <w:r w:rsidR="00FC3C18" w:rsidRPr="00272ECE">
        <w:t xml:space="preserve"> Objectives and endpoints of </w:t>
      </w:r>
      <w:r w:rsidR="00116404" w:rsidRPr="00272ECE">
        <w:t>S</w:t>
      </w:r>
      <w:r w:rsidR="00FC3C18" w:rsidRPr="00272ECE">
        <w:t>tudy</w:t>
      </w:r>
      <w:r w:rsidR="00116404" w:rsidRPr="00272ECE">
        <w:t> </w:t>
      </w:r>
      <w:proofErr w:type="spellStart"/>
      <w:r w:rsidR="00116404" w:rsidRPr="00272ECE">
        <w:t>LOXO</w:t>
      </w:r>
      <w:proofErr w:type="spellEnd"/>
      <w:r w:rsidR="00116404" w:rsidRPr="00272ECE">
        <w:t>-</w:t>
      </w:r>
      <w:proofErr w:type="spellStart"/>
      <w:r w:rsidR="00116404" w:rsidRPr="00272ECE">
        <w:t>BTK</w:t>
      </w:r>
      <w:proofErr w:type="spellEnd"/>
      <w:r w:rsidR="00116404" w:rsidRPr="00272ECE">
        <w:t>-</w:t>
      </w:r>
      <w:r w:rsidR="00FC3C18" w:rsidRPr="00272ECE">
        <w:t>20020</w:t>
      </w:r>
    </w:p>
    <w:p w14:paraId="61F15760" w14:textId="28351C2A" w:rsidR="00FC3C18" w:rsidRPr="00272ECE" w:rsidRDefault="00ED2C60" w:rsidP="00606401">
      <w:r w:rsidRPr="00272ECE">
        <w:rPr>
          <w:noProof/>
        </w:rPr>
        <w:drawing>
          <wp:inline distT="0" distB="0" distL="0" distR="0" wp14:anchorId="188641AA" wp14:editId="185B0E17">
            <wp:extent cx="5449060" cy="4734586"/>
            <wp:effectExtent l="0" t="0" r="0" b="8890"/>
            <wp:docPr id="1082998395" name="Picture 1" descr="Table 3: Objectives and endpoints of Study LOXO-BTK-2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98395" name="Picture 1" descr="Table 3: Objectives and endpoints of Study LOXO-BTK-20020"/>
                    <pic:cNvPicPr/>
                  </pic:nvPicPr>
                  <pic:blipFill>
                    <a:blip r:embed="rId28"/>
                    <a:stretch>
                      <a:fillRect/>
                    </a:stretch>
                  </pic:blipFill>
                  <pic:spPr>
                    <a:xfrm>
                      <a:off x="0" y="0"/>
                      <a:ext cx="5449060" cy="4734586"/>
                    </a:xfrm>
                    <a:prstGeom prst="rect">
                      <a:avLst/>
                    </a:prstGeom>
                  </pic:spPr>
                </pic:pic>
              </a:graphicData>
            </a:graphic>
          </wp:inline>
        </w:drawing>
      </w:r>
    </w:p>
    <w:p w14:paraId="0795FA16" w14:textId="6FA2387B" w:rsidR="00D26B74" w:rsidRPr="00272ECE" w:rsidRDefault="00ED2C60" w:rsidP="003B2C66">
      <w:pPr>
        <w:pStyle w:val="TableDescription"/>
      </w:pPr>
      <w:r w:rsidRPr="00272ECE">
        <w:t xml:space="preserve">Abbreviations: </w:t>
      </w:r>
      <w:r w:rsidR="00402170" w:rsidRPr="00272ECE">
        <w:t xml:space="preserve">AE = adverse event, </w:t>
      </w:r>
      <w:proofErr w:type="spellStart"/>
      <w:r w:rsidR="00402170" w:rsidRPr="00272ECE">
        <w:t>BendaR</w:t>
      </w:r>
      <w:proofErr w:type="spellEnd"/>
      <w:r w:rsidR="00402170" w:rsidRPr="00272ECE">
        <w:t xml:space="preserve"> = bendamustine plus rituximab, </w:t>
      </w:r>
      <w:proofErr w:type="spellStart"/>
      <w:r w:rsidR="00402170" w:rsidRPr="00272ECE">
        <w:t>CLL</w:t>
      </w:r>
      <w:proofErr w:type="spellEnd"/>
      <w:r w:rsidR="00402170" w:rsidRPr="00272ECE">
        <w:t> = chronic lymphocytic leukemia, DOR = duration of response, EFS = event-free survival, EORTC = European Organisation for Research and Treatment of Cancer, EQ</w:t>
      </w:r>
      <w:r w:rsidR="00402170" w:rsidRPr="00272ECE">
        <w:noBreakHyphen/>
      </w:r>
      <w:proofErr w:type="spellStart"/>
      <w:r w:rsidR="00402170" w:rsidRPr="00272ECE">
        <w:t>5D</w:t>
      </w:r>
      <w:proofErr w:type="spellEnd"/>
      <w:r w:rsidR="00402170" w:rsidRPr="00272ECE">
        <w:noBreakHyphen/>
      </w:r>
      <w:proofErr w:type="spellStart"/>
      <w:r w:rsidR="00402170" w:rsidRPr="00272ECE">
        <w:t>5L</w:t>
      </w:r>
      <w:proofErr w:type="spellEnd"/>
      <w:r w:rsidR="00402170" w:rsidRPr="00272ECE">
        <w:t> = 5</w:t>
      </w:r>
      <w:r w:rsidR="00402170" w:rsidRPr="00272ECE">
        <w:noBreakHyphen/>
        <w:t>level</w:t>
      </w:r>
      <w:r w:rsidR="00402170" w:rsidRPr="00272ECE">
        <w:noBreakHyphen/>
      </w:r>
      <w:proofErr w:type="spellStart"/>
      <w:r w:rsidR="00402170" w:rsidRPr="00272ECE">
        <w:t>EuroQol</w:t>
      </w:r>
      <w:proofErr w:type="spellEnd"/>
      <w:r w:rsidR="00402170" w:rsidRPr="00272ECE">
        <w:t xml:space="preserve">, </w:t>
      </w:r>
      <w:proofErr w:type="spellStart"/>
      <w:r w:rsidR="00402170" w:rsidRPr="00272ECE">
        <w:t>IdelaR</w:t>
      </w:r>
      <w:proofErr w:type="spellEnd"/>
      <w:r w:rsidR="00D26B74" w:rsidRPr="00272ECE">
        <w:t> </w:t>
      </w:r>
      <w:r w:rsidR="00402170" w:rsidRPr="00272ECE">
        <w:t>=</w:t>
      </w:r>
      <w:r w:rsidR="00D26B74" w:rsidRPr="00272ECE">
        <w:t> </w:t>
      </w:r>
      <w:proofErr w:type="spellStart"/>
      <w:r w:rsidR="00402170" w:rsidRPr="00272ECE">
        <w:t>idelalisib</w:t>
      </w:r>
      <w:proofErr w:type="spellEnd"/>
      <w:r w:rsidR="00402170" w:rsidRPr="00272ECE">
        <w:t xml:space="preserve"> plus rituximab, IRC</w:t>
      </w:r>
      <w:r w:rsidR="00A36E11" w:rsidRPr="00272ECE">
        <w:t> = </w:t>
      </w:r>
      <w:r w:rsidR="00402170" w:rsidRPr="00272ECE">
        <w:t xml:space="preserve">Independent Review Committee, </w:t>
      </w:r>
      <w:proofErr w:type="spellStart"/>
      <w:r w:rsidR="00402170" w:rsidRPr="00272ECE">
        <w:t>iwCLL</w:t>
      </w:r>
      <w:proofErr w:type="spellEnd"/>
      <w:r w:rsidR="00A36E11" w:rsidRPr="00272ECE">
        <w:t> </w:t>
      </w:r>
      <w:r w:rsidR="00402170" w:rsidRPr="00272ECE">
        <w:t>=</w:t>
      </w:r>
      <w:r w:rsidR="00A36E11" w:rsidRPr="00272ECE">
        <w:t> </w:t>
      </w:r>
      <w:r w:rsidR="00402170" w:rsidRPr="00272ECE">
        <w:t>International Workshop on Chronic Lymphocytic Leukemia, NCI CTCAE v5.0</w:t>
      </w:r>
      <w:r w:rsidR="00A36E11" w:rsidRPr="00272ECE">
        <w:t> </w:t>
      </w:r>
      <w:r w:rsidR="00402170" w:rsidRPr="00272ECE">
        <w:t>=</w:t>
      </w:r>
      <w:r w:rsidR="00A36E11" w:rsidRPr="00272ECE">
        <w:t> </w:t>
      </w:r>
      <w:r w:rsidR="00402170" w:rsidRPr="00272ECE">
        <w:t>National Cancer Institute Common Terminology Criteria in Adverse Events v5.0,</w:t>
      </w:r>
      <w:r w:rsidR="00AA4239" w:rsidRPr="00272ECE">
        <w:t xml:space="preserve"> ORR</w:t>
      </w:r>
      <w:r w:rsidR="00A36E11" w:rsidRPr="00272ECE">
        <w:t> </w:t>
      </w:r>
      <w:r w:rsidR="00AA4239" w:rsidRPr="00272ECE">
        <w:t>=</w:t>
      </w:r>
      <w:r w:rsidR="00A36E11" w:rsidRPr="00272ECE">
        <w:t> </w:t>
      </w:r>
      <w:r w:rsidR="00AA4239" w:rsidRPr="00272ECE">
        <w:t>overall response rate, OS</w:t>
      </w:r>
      <w:r w:rsidR="00A36E11" w:rsidRPr="00272ECE">
        <w:t> </w:t>
      </w:r>
      <w:r w:rsidR="00AA4239" w:rsidRPr="00272ECE">
        <w:t>=</w:t>
      </w:r>
      <w:r w:rsidR="00A36E11" w:rsidRPr="00272ECE">
        <w:t> </w:t>
      </w:r>
      <w:r w:rsidR="00AA4239" w:rsidRPr="00272ECE">
        <w:t>overall survival, PD</w:t>
      </w:r>
      <w:r w:rsidR="00A36E11" w:rsidRPr="00272ECE">
        <w:t> </w:t>
      </w:r>
      <w:r w:rsidR="00AA4239" w:rsidRPr="00272ECE">
        <w:t>=</w:t>
      </w:r>
      <w:r w:rsidR="00A36E11" w:rsidRPr="00272ECE">
        <w:t> </w:t>
      </w:r>
      <w:r w:rsidR="00AA4239" w:rsidRPr="00272ECE">
        <w:t>progressive disease, PFS</w:t>
      </w:r>
      <w:r w:rsidR="00A36E11" w:rsidRPr="00272ECE">
        <w:t> </w:t>
      </w:r>
      <w:r w:rsidR="00AA4239" w:rsidRPr="00272ECE">
        <w:t>=</w:t>
      </w:r>
      <w:r w:rsidR="00A36E11" w:rsidRPr="00272ECE">
        <w:t> </w:t>
      </w:r>
      <w:r w:rsidR="00AA4239" w:rsidRPr="00272ECE">
        <w:t>progression</w:t>
      </w:r>
      <w:r w:rsidR="00A36E11" w:rsidRPr="00272ECE">
        <w:t xml:space="preserve"> </w:t>
      </w:r>
      <w:r w:rsidR="00AA4239" w:rsidRPr="00272ECE">
        <w:t>free survival, PROs</w:t>
      </w:r>
      <w:r w:rsidR="00A36E11" w:rsidRPr="00272ECE">
        <w:t> </w:t>
      </w:r>
      <w:r w:rsidR="00AA4239" w:rsidRPr="00272ECE">
        <w:t>=</w:t>
      </w:r>
      <w:r w:rsidR="00A36E11" w:rsidRPr="00272ECE">
        <w:t> </w:t>
      </w:r>
      <w:r w:rsidR="00AA4239" w:rsidRPr="00272ECE">
        <w:t xml:space="preserve">patient reported outcomes, </w:t>
      </w:r>
      <w:r w:rsidR="00D26B74" w:rsidRPr="00272ECE">
        <w:t>QLQ</w:t>
      </w:r>
      <w:r w:rsidR="00A36E11" w:rsidRPr="00272ECE">
        <w:noBreakHyphen/>
      </w:r>
      <w:r w:rsidR="00D26B74" w:rsidRPr="00272ECE">
        <w:t>C30</w:t>
      </w:r>
      <w:r w:rsidR="00A36E11" w:rsidRPr="00272ECE">
        <w:t> </w:t>
      </w:r>
      <w:r w:rsidR="00D26B74" w:rsidRPr="00272ECE">
        <w:t>=</w:t>
      </w:r>
      <w:r w:rsidR="00A36E11" w:rsidRPr="00272ECE">
        <w:t> </w:t>
      </w:r>
      <w:r w:rsidR="00D26B74" w:rsidRPr="00272ECE">
        <w:t>Quality of Life Questionnaire Core 30, SAE</w:t>
      </w:r>
      <w:r w:rsidR="00A36E11" w:rsidRPr="00272ECE">
        <w:t> </w:t>
      </w:r>
      <w:r w:rsidR="00D26B74" w:rsidRPr="00272ECE">
        <w:t>=</w:t>
      </w:r>
      <w:r w:rsidR="00A36E11" w:rsidRPr="00272ECE">
        <w:t> </w:t>
      </w:r>
      <w:r w:rsidR="00D26B74" w:rsidRPr="00272ECE">
        <w:t>serious adverse event, SL</w:t>
      </w:r>
      <w:r w:rsidR="00A36E11" w:rsidRPr="00272ECE">
        <w:t>L </w:t>
      </w:r>
      <w:r w:rsidR="00D26B74" w:rsidRPr="00272ECE">
        <w:t>=</w:t>
      </w:r>
      <w:r w:rsidR="00A36E11" w:rsidRPr="00272ECE">
        <w:t> </w:t>
      </w:r>
      <w:r w:rsidR="00D26B74" w:rsidRPr="00272ECE">
        <w:t xml:space="preserve">small lymphocytic lymphoma, </w:t>
      </w:r>
      <w:r w:rsidR="00AA4239" w:rsidRPr="00272ECE">
        <w:t>TTNT</w:t>
      </w:r>
      <w:r w:rsidR="00A36E11" w:rsidRPr="00272ECE">
        <w:t> </w:t>
      </w:r>
      <w:r w:rsidR="00AA4239" w:rsidRPr="00272ECE">
        <w:t>=</w:t>
      </w:r>
      <w:r w:rsidR="00A36E11" w:rsidRPr="00272ECE">
        <w:t> </w:t>
      </w:r>
      <w:r w:rsidR="00AA4239" w:rsidRPr="00272ECE">
        <w:t>time to next treatment,</w:t>
      </w:r>
      <w:r w:rsidR="00D26B74" w:rsidRPr="00272ECE">
        <w:t xml:space="preserve"> TTW</w:t>
      </w:r>
      <w:r w:rsidR="00A36E11" w:rsidRPr="00272ECE">
        <w:t> </w:t>
      </w:r>
      <w:r w:rsidR="00D26B74" w:rsidRPr="00272ECE">
        <w:t>=</w:t>
      </w:r>
      <w:r w:rsidR="00A36E11" w:rsidRPr="00272ECE">
        <w:t> </w:t>
      </w:r>
      <w:r w:rsidR="00D26B74" w:rsidRPr="00272ECE">
        <w:t>time to worsening.</w:t>
      </w:r>
    </w:p>
    <w:p w14:paraId="791BE58B" w14:textId="3E0CCEE4" w:rsidR="00F524DB" w:rsidRPr="00272ECE" w:rsidRDefault="00F524DB" w:rsidP="003B2C66">
      <w:pPr>
        <w:pStyle w:val="TableDescription"/>
      </w:pPr>
      <w:proofErr w:type="gramStart"/>
      <w:r w:rsidRPr="00272ECE">
        <w:rPr>
          <w:vertAlign w:val="superscript"/>
        </w:rPr>
        <w:t>a</w:t>
      </w:r>
      <w:proofErr w:type="gramEnd"/>
      <w:r w:rsidRPr="00272ECE">
        <w:t xml:space="preserve"> IRC assessments were the principal data source for ORR, DOR, and PFS. Supplemental analyses based on investigator assessments are provided.</w:t>
      </w:r>
    </w:p>
    <w:p w14:paraId="06C48BA3" w14:textId="44AF0CCB" w:rsidR="00F524DB" w:rsidRPr="00272ECE" w:rsidRDefault="00F524DB" w:rsidP="003B2C66">
      <w:pPr>
        <w:pStyle w:val="TableDescription"/>
      </w:pPr>
      <w:r w:rsidRPr="00272ECE">
        <w:rPr>
          <w:vertAlign w:val="superscript"/>
        </w:rPr>
        <w:t>b</w:t>
      </w:r>
      <w:r w:rsidRPr="00272ECE">
        <w:t xml:space="preserve"> TTNT is defined as time from the date of randomization to the date of the next systemic anticancer therapy for CLL (Protocol Section 9.0, Protocol version 6.0, dated 15 September 2023, Appendix 16.1.1).</w:t>
      </w:r>
    </w:p>
    <w:p w14:paraId="383E0D00" w14:textId="53C3B7F9" w:rsidR="00F524DB" w:rsidRPr="00272ECE" w:rsidRDefault="00F524DB" w:rsidP="006400D8">
      <w:pPr>
        <w:pStyle w:val="TableDescription"/>
      </w:pPr>
      <w:r w:rsidRPr="00272ECE">
        <w:rPr>
          <w:vertAlign w:val="superscript"/>
        </w:rPr>
        <w:t xml:space="preserve">c </w:t>
      </w:r>
      <w:r w:rsidRPr="00272ECE">
        <w:t>EFS is defined as the time from date of randomization to the date of PD or start of new treatment for CLL or discontinuation from treatment due to toxicity or death, whichever occurs first.</w:t>
      </w:r>
    </w:p>
    <w:p w14:paraId="02B1D88B" w14:textId="43D642A8" w:rsidR="00FC3C18" w:rsidRPr="00272ECE" w:rsidRDefault="00FC3C18" w:rsidP="003B2C66">
      <w:r w:rsidRPr="00532B9B">
        <w:t>The primary efficacy endpoint of PFS was defined as the time from the date of randomi</w:t>
      </w:r>
      <w:r w:rsidR="000E0812" w:rsidRPr="00532B9B">
        <w:t>s</w:t>
      </w:r>
      <w:r w:rsidRPr="00532B9B">
        <w:t xml:space="preserve">ation until </w:t>
      </w:r>
      <w:r w:rsidR="00E22838" w:rsidRPr="00532B9B">
        <w:t>progressive disease (</w:t>
      </w:r>
      <w:r w:rsidRPr="00532B9B">
        <w:t>PD</w:t>
      </w:r>
      <w:r w:rsidR="00E22838" w:rsidRPr="00532B9B">
        <w:t xml:space="preserve">, </w:t>
      </w:r>
      <w:r w:rsidRPr="00532B9B">
        <w:t xml:space="preserve">assessed by the </w:t>
      </w:r>
      <w:r w:rsidR="00174CA1" w:rsidRPr="00532B9B">
        <w:t xml:space="preserve">independent review committee </w:t>
      </w:r>
      <w:r w:rsidR="00E22838" w:rsidRPr="00532B9B">
        <w:t>(</w:t>
      </w:r>
      <w:r w:rsidRPr="00532B9B">
        <w:t>IRC</w:t>
      </w:r>
      <w:r w:rsidR="00E22838" w:rsidRPr="00532B9B">
        <w:t>)</w:t>
      </w:r>
      <w:r w:rsidRPr="00532B9B">
        <w:t xml:space="preserve"> per </w:t>
      </w:r>
      <w:proofErr w:type="spellStart"/>
      <w:r w:rsidRPr="00532B9B">
        <w:t>iwCLL</w:t>
      </w:r>
      <w:proofErr w:type="spellEnd"/>
      <w:r w:rsidRPr="00532B9B">
        <w:t xml:space="preserve"> 2018 criteria) or death from any cause, whichever occurs first. Patients known to be alive and without PD will be censored at the time of the last adequate disease assessment</w:t>
      </w:r>
      <w:r w:rsidRPr="00272ECE">
        <w:t>.</w:t>
      </w:r>
    </w:p>
    <w:p w14:paraId="47CEF519" w14:textId="62A274AA" w:rsidR="002F2F39" w:rsidRPr="00272ECE" w:rsidRDefault="0062056B" w:rsidP="003B2C66">
      <w:pPr>
        <w:pStyle w:val="Heading6"/>
      </w:pPr>
      <w:r w:rsidRPr="00272ECE">
        <w:t>Main inclusion criteria</w:t>
      </w:r>
    </w:p>
    <w:p w14:paraId="7BCCF7BA" w14:textId="1E3350E4" w:rsidR="00FC3C18" w:rsidRPr="00272ECE" w:rsidRDefault="00FC3C18" w:rsidP="003B2C66">
      <w:r w:rsidRPr="00272ECE">
        <w:t>The main inclusion criteria were:</w:t>
      </w:r>
    </w:p>
    <w:p w14:paraId="0148935C" w14:textId="77777777" w:rsidR="00FC3C18" w:rsidRPr="00272ECE" w:rsidRDefault="00FC3C18" w:rsidP="003B2C66">
      <w:pPr>
        <w:pStyle w:val="ListBullet"/>
      </w:pPr>
      <w:r w:rsidRPr="00272ECE">
        <w:rPr>
          <w:lang w:eastAsia="ja-JP"/>
        </w:rPr>
        <w:lastRenderedPageBreak/>
        <w:t xml:space="preserve">Patients aged &gt; 18 years with confirmed </w:t>
      </w:r>
      <w:r w:rsidRPr="00272ECE">
        <w:t xml:space="preserve">diagnosis by redacted local laboratory report of CLL/SLL as defined by </w:t>
      </w:r>
      <w:proofErr w:type="spellStart"/>
      <w:r w:rsidRPr="00272ECE">
        <w:t>iwCLL</w:t>
      </w:r>
      <w:proofErr w:type="spellEnd"/>
      <w:r w:rsidRPr="00272ECE">
        <w:t xml:space="preserve"> 2018 criteria.</w:t>
      </w:r>
    </w:p>
    <w:p w14:paraId="5849F37B" w14:textId="77777777" w:rsidR="00FC3C18" w:rsidRPr="00272ECE" w:rsidRDefault="00FC3C18" w:rsidP="00174CA1">
      <w:pPr>
        <w:pStyle w:val="ListBullet"/>
        <w:rPr>
          <w:lang w:eastAsia="ja-JP"/>
        </w:rPr>
      </w:pPr>
      <w:r w:rsidRPr="00272ECE">
        <w:t xml:space="preserve">Requirement for therapy consistent with </w:t>
      </w:r>
      <w:proofErr w:type="spellStart"/>
      <w:r w:rsidRPr="00272ECE">
        <w:t>iwCLL</w:t>
      </w:r>
      <w:proofErr w:type="spellEnd"/>
      <w:r w:rsidRPr="00272ECE">
        <w:t xml:space="preserve"> 2018 criteria for initiation of therapy.</w:t>
      </w:r>
    </w:p>
    <w:p w14:paraId="280EA554" w14:textId="5E78E9B8" w:rsidR="00FC3C18" w:rsidRPr="00272ECE" w:rsidRDefault="00FC3C18" w:rsidP="00174CA1">
      <w:pPr>
        <w:pStyle w:val="ListBullet"/>
        <w:rPr>
          <w:lang w:eastAsia="ja-JP"/>
        </w:rPr>
      </w:pPr>
      <w:r w:rsidRPr="00272ECE">
        <w:rPr>
          <w:rFonts w:eastAsia="TimesNewRomanPSMT" w:cs="TimesNewRomanPSMT"/>
        </w:rPr>
        <w:t xml:space="preserve">Known 17p deletion status (wildtype for 17p locus or positive for 17p deletion) by </w:t>
      </w:r>
      <w:r w:rsidR="00F12B33" w:rsidRPr="00272ECE">
        <w:rPr>
          <w:rFonts w:eastAsia="TimesNewRomanPSMT" w:cs="TimesNewRomanPSMT"/>
        </w:rPr>
        <w:t>fluorescence in situ hybridisation</w:t>
      </w:r>
      <w:r w:rsidR="005D6923">
        <w:rPr>
          <w:rFonts w:eastAsia="TimesNewRomanPSMT" w:cs="TimesNewRomanPSMT"/>
        </w:rPr>
        <w:t>.</w:t>
      </w:r>
    </w:p>
    <w:p w14:paraId="54E95F2E" w14:textId="77777777" w:rsidR="00FC3C18" w:rsidRPr="00272ECE" w:rsidRDefault="00FC3C18" w:rsidP="003B2C66">
      <w:pPr>
        <w:pStyle w:val="ListBullet"/>
      </w:pPr>
      <w:r w:rsidRPr="00272ECE">
        <w:t>Previously treated with a covalent BTK inhibitor, investigational or approved, and either alone or in combination with other agents. Patients may have received an unlimited number of lines of prior therapy.</w:t>
      </w:r>
    </w:p>
    <w:p w14:paraId="17F5557C" w14:textId="77777777" w:rsidR="00FC3C18" w:rsidRPr="00272ECE" w:rsidRDefault="00FC3C18" w:rsidP="003B2C66">
      <w:pPr>
        <w:pStyle w:val="ListBullet"/>
        <w:rPr>
          <w:rFonts w:eastAsiaTheme="minorHAnsi" w:cstheme="minorBidi"/>
          <w:lang w:eastAsia="ja-JP"/>
        </w:rPr>
      </w:pPr>
      <w:r w:rsidRPr="00272ECE">
        <w:t>Adequate organ function.</w:t>
      </w:r>
    </w:p>
    <w:p w14:paraId="543E5CEA" w14:textId="7BAD7997" w:rsidR="0062056B" w:rsidRPr="00272ECE" w:rsidRDefault="0062056B" w:rsidP="003B2C66">
      <w:pPr>
        <w:pStyle w:val="Heading6"/>
        <w:rPr>
          <w:lang w:eastAsia="ja-JP"/>
        </w:rPr>
      </w:pPr>
      <w:r w:rsidRPr="00272ECE">
        <w:rPr>
          <w:rFonts w:eastAsia="TimesNewRomanPSMT"/>
        </w:rPr>
        <w:t>Main exclusion criteria</w:t>
      </w:r>
    </w:p>
    <w:p w14:paraId="39DD2D7F" w14:textId="0B129FFC" w:rsidR="00FC3C18" w:rsidRPr="00272ECE" w:rsidRDefault="00FC3C18" w:rsidP="008C54DB">
      <w:pPr>
        <w:rPr>
          <w:lang w:eastAsia="ja-JP"/>
        </w:rPr>
      </w:pPr>
      <w:r w:rsidRPr="00272ECE">
        <w:rPr>
          <w:lang w:eastAsia="ja-JP"/>
        </w:rPr>
        <w:t>The main exclusion criteria were:</w:t>
      </w:r>
    </w:p>
    <w:p w14:paraId="7527247F" w14:textId="103C4C09" w:rsidR="00FC3C18" w:rsidRPr="00272ECE" w:rsidRDefault="00FC3C18" w:rsidP="003B2C66">
      <w:pPr>
        <w:pStyle w:val="ListBullet"/>
      </w:pPr>
      <w:r w:rsidRPr="00272ECE">
        <w:t>Known or suspected Richter’s transformation to</w:t>
      </w:r>
      <w:r w:rsidR="000C0DBF" w:rsidRPr="00272ECE">
        <w:t xml:space="preserve"> diffuse large B-cell lymphoma</w:t>
      </w:r>
      <w:r w:rsidRPr="00272ECE">
        <w:t>, prolymphocytic leukemia, or Hodgkin’s lymphoma at any time preceding enrolment.</w:t>
      </w:r>
    </w:p>
    <w:p w14:paraId="79B00149" w14:textId="133BDF5E" w:rsidR="00FC3C18" w:rsidRPr="00272ECE" w:rsidRDefault="00FC3C18" w:rsidP="008C54DB">
      <w:pPr>
        <w:pStyle w:val="ListBullet"/>
      </w:pPr>
      <w:r w:rsidRPr="00272ECE">
        <w:t xml:space="preserve">Known or suspected history of </w:t>
      </w:r>
      <w:r w:rsidR="0022256B" w:rsidRPr="00272ECE">
        <w:t>cent</w:t>
      </w:r>
      <w:r w:rsidR="00D24346" w:rsidRPr="00272ECE">
        <w:t>ral nervous system</w:t>
      </w:r>
      <w:r w:rsidRPr="00272ECE">
        <w:t xml:space="preserve"> involvement by CLL/SLL.</w:t>
      </w:r>
    </w:p>
    <w:p w14:paraId="702E561C" w14:textId="77777777" w:rsidR="00FC3C18" w:rsidRPr="00272ECE" w:rsidRDefault="00FC3C18" w:rsidP="003B2C66">
      <w:pPr>
        <w:pStyle w:val="ListBullet"/>
      </w:pPr>
      <w:r w:rsidRPr="00272ECE">
        <w:t>Patients who experienced a major bleeding event</w:t>
      </w:r>
      <w:r w:rsidRPr="00272ECE">
        <w:rPr>
          <w:vertAlign w:val="superscript"/>
        </w:rPr>
        <w:footnoteReference w:id="10"/>
      </w:r>
      <w:r w:rsidRPr="00272ECE">
        <w:rPr>
          <w:vertAlign w:val="superscript"/>
        </w:rPr>
        <w:t xml:space="preserve"> </w:t>
      </w:r>
      <w:r w:rsidRPr="00272ECE">
        <w:t>on a prior BTK inhibitor.</w:t>
      </w:r>
    </w:p>
    <w:p w14:paraId="3CAA7578" w14:textId="649046FC" w:rsidR="00FC3C18" w:rsidRPr="00272ECE" w:rsidRDefault="00FC3C18" w:rsidP="003B2C66">
      <w:pPr>
        <w:pStyle w:val="ListBullet"/>
      </w:pPr>
      <w:r w:rsidRPr="00272ECE">
        <w:t>Prior exposure to non-covalent (reversible) BTK inhibitor.</w:t>
      </w:r>
    </w:p>
    <w:p w14:paraId="72695BD3" w14:textId="2CE62CE4" w:rsidR="00FC3C18" w:rsidRPr="00272ECE" w:rsidRDefault="004F6D7B" w:rsidP="003B2C66">
      <w:pPr>
        <w:pStyle w:val="Heading6"/>
      </w:pPr>
      <w:r w:rsidRPr="00272ECE">
        <w:t>S</w:t>
      </w:r>
      <w:r w:rsidR="00FC3C18" w:rsidRPr="00272ECE">
        <w:t>tudy treatment</w:t>
      </w:r>
    </w:p>
    <w:p w14:paraId="486FE620" w14:textId="3CD96AB2" w:rsidR="003A0D76" w:rsidRPr="002C4900" w:rsidRDefault="003A0D76" w:rsidP="002C4900">
      <w:pPr>
        <w:pStyle w:val="TableTitle"/>
      </w:pPr>
      <w:r w:rsidRPr="002C4900">
        <w:t xml:space="preserve">Table </w:t>
      </w:r>
      <w:r w:rsidR="00B960D6" w:rsidRPr="002C4900">
        <w:fldChar w:fldCharType="begin"/>
      </w:r>
      <w:r w:rsidR="00B960D6" w:rsidRPr="002C4900">
        <w:instrText xml:space="preserve"> SEQ Table \* ARABIC </w:instrText>
      </w:r>
      <w:r w:rsidR="00B960D6" w:rsidRPr="002C4900">
        <w:fldChar w:fldCharType="separate"/>
      </w:r>
      <w:r w:rsidR="00B960D6" w:rsidRPr="002C4900">
        <w:t>4</w:t>
      </w:r>
      <w:r w:rsidR="00B960D6" w:rsidRPr="002C4900">
        <w:fldChar w:fldCharType="end"/>
      </w:r>
      <w:r w:rsidRPr="002C4900">
        <w:t>: Study interventions, dose, and mode of administration</w:t>
      </w:r>
    </w:p>
    <w:p w14:paraId="1AF8254E" w14:textId="7E3AAC14" w:rsidR="00FC3C18" w:rsidRPr="00272ECE" w:rsidRDefault="009E1BE7" w:rsidP="002C4900">
      <w:r w:rsidRPr="00272ECE">
        <w:rPr>
          <w:noProof/>
        </w:rPr>
        <w:drawing>
          <wp:inline distT="0" distB="0" distL="0" distR="0" wp14:anchorId="2BE88533" wp14:editId="38B40E2D">
            <wp:extent cx="5759450" cy="2789555"/>
            <wp:effectExtent l="0" t="0" r="0" b="0"/>
            <wp:docPr id="336773031" name="Picture 1" descr="Table 4: Study interventions, dose, and mode of 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73031" name="Picture 1" descr="Table 4: Study interventions, dose, and mode of administration"/>
                    <pic:cNvPicPr/>
                  </pic:nvPicPr>
                  <pic:blipFill>
                    <a:blip r:embed="rId29"/>
                    <a:stretch>
                      <a:fillRect/>
                    </a:stretch>
                  </pic:blipFill>
                  <pic:spPr>
                    <a:xfrm>
                      <a:off x="0" y="0"/>
                      <a:ext cx="5759450" cy="2789555"/>
                    </a:xfrm>
                    <a:prstGeom prst="rect">
                      <a:avLst/>
                    </a:prstGeom>
                  </pic:spPr>
                </pic:pic>
              </a:graphicData>
            </a:graphic>
          </wp:inline>
        </w:drawing>
      </w:r>
    </w:p>
    <w:p w14:paraId="51F6D3CD" w14:textId="53ACD8BA" w:rsidR="00C73114" w:rsidRPr="00272ECE" w:rsidRDefault="00723AA9" w:rsidP="002C4900">
      <w:pPr>
        <w:pStyle w:val="TableDescription"/>
      </w:pPr>
      <w:r w:rsidRPr="00272ECE">
        <w:t>Abbreviations:</w:t>
      </w:r>
      <w:r w:rsidR="000B3F3D" w:rsidRPr="00272ECE">
        <w:t xml:space="preserve"> </w:t>
      </w:r>
      <w:proofErr w:type="spellStart"/>
      <w:r w:rsidR="000B3F3D" w:rsidRPr="00272ECE">
        <w:t>BendaR</w:t>
      </w:r>
      <w:proofErr w:type="spellEnd"/>
      <w:r w:rsidR="000B3F3D" w:rsidRPr="00272ECE">
        <w:t> = bendamustine plus rituximab, BID = twice a day, C1D1 = Cycle 1 Day 1,</w:t>
      </w:r>
      <w:r w:rsidR="00C73114" w:rsidRPr="00272ECE">
        <w:t xml:space="preserve"> </w:t>
      </w:r>
      <w:proofErr w:type="spellStart"/>
      <w:r w:rsidR="00C73114" w:rsidRPr="00272ECE">
        <w:t>IdelaR</w:t>
      </w:r>
      <w:proofErr w:type="spellEnd"/>
      <w:r w:rsidR="00C73114" w:rsidRPr="00272ECE">
        <w:t> = </w:t>
      </w:r>
      <w:proofErr w:type="spellStart"/>
      <w:r w:rsidR="00C73114" w:rsidRPr="00272ECE">
        <w:t>idelalisib</w:t>
      </w:r>
      <w:proofErr w:type="spellEnd"/>
      <w:r w:rsidR="00C73114" w:rsidRPr="00272ECE">
        <w:t xml:space="preserve"> plus rituximab, IV = intravenous, QD = once daily.</w:t>
      </w:r>
    </w:p>
    <w:p w14:paraId="0B5E0D26" w14:textId="0187854E" w:rsidR="007052A2" w:rsidRPr="00272ECE" w:rsidRDefault="00FC3C18" w:rsidP="002C4900">
      <w:pPr>
        <w:pStyle w:val="Heading7"/>
      </w:pPr>
      <w:r w:rsidRPr="00272ECE">
        <w:t>Duration of treatment</w:t>
      </w:r>
    </w:p>
    <w:p w14:paraId="3CBBF21C" w14:textId="62B17371" w:rsidR="00FC3C18" w:rsidRPr="00272ECE" w:rsidRDefault="00FC3C18" w:rsidP="002C4900">
      <w:r w:rsidRPr="00272ECE">
        <w:t xml:space="preserve">Patients assigned to Arm A were allowed to continue pirtobrutinib treatment beyond progression (with prior </w:t>
      </w:r>
      <w:r w:rsidR="007052A2" w:rsidRPr="00272ECE">
        <w:t>s</w:t>
      </w:r>
      <w:r w:rsidRPr="00272ECE">
        <w:t xml:space="preserve">ponsor approval) if the patient was tolerating study treatment and was, </w:t>
      </w:r>
      <w:r w:rsidRPr="00272ECE">
        <w:lastRenderedPageBreak/>
        <w:t xml:space="preserve">in the opinion of the </w:t>
      </w:r>
      <w:r w:rsidR="007052A2" w:rsidRPr="00272ECE">
        <w:t>i</w:t>
      </w:r>
      <w:r w:rsidRPr="00272ECE">
        <w:t>nvestigator, deriving ongoing clinical benefit; patients in Arm A were not allowed to cross over.</w:t>
      </w:r>
    </w:p>
    <w:p w14:paraId="1143EEAC" w14:textId="6CCEF69E" w:rsidR="00FC3C18" w:rsidRPr="00272ECE" w:rsidRDefault="00FC3C18" w:rsidP="007052A2">
      <w:r w:rsidRPr="00272ECE">
        <w:t xml:space="preserve">Patients assigned to Arm B were allowed to cross over to Arm A upon meeting eligibility criteria for crossover treatment, </w:t>
      </w:r>
      <w:r w:rsidR="00D768F2" w:rsidRPr="00272ECE">
        <w:t>that is</w:t>
      </w:r>
      <w:r w:rsidRPr="00272ECE">
        <w:t xml:space="preserve">, IRC confirmation of PD according to </w:t>
      </w:r>
      <w:proofErr w:type="spellStart"/>
      <w:r w:rsidRPr="00272ECE">
        <w:t>iwCLL</w:t>
      </w:r>
      <w:proofErr w:type="spellEnd"/>
      <w:r w:rsidRPr="00272ECE">
        <w:t xml:space="preserve"> 2018 and this included Arm B patients who discontinued treatment for toxicity.</w:t>
      </w:r>
    </w:p>
    <w:p w14:paraId="7627EF6F" w14:textId="67B9566E" w:rsidR="00FC3C18" w:rsidRPr="00272ECE" w:rsidRDefault="00FC3C18" w:rsidP="002C4900">
      <w:pPr>
        <w:pStyle w:val="Heading6"/>
      </w:pPr>
      <w:r w:rsidRPr="00272ECE">
        <w:t>Participant flow</w:t>
      </w:r>
    </w:p>
    <w:p w14:paraId="751962F1" w14:textId="60E29ACB" w:rsidR="00FC3C18" w:rsidRPr="00272ECE" w:rsidRDefault="00FC3C18" w:rsidP="002C4900">
      <w:r w:rsidRPr="00272ECE">
        <w:t xml:space="preserve">Overall, 238 patients were randomised (119 patients to each treatment arm): </w:t>
      </w:r>
      <w:r w:rsidR="0021231D" w:rsidRPr="00272ECE">
        <w:t>A</w:t>
      </w:r>
      <w:r w:rsidRPr="00272ECE">
        <w:t>rm A (pirtobrutinib, n</w:t>
      </w:r>
      <w:r w:rsidR="00D768F2" w:rsidRPr="00272ECE">
        <w:t> </w:t>
      </w:r>
      <w:r w:rsidRPr="00272ECE">
        <w:t>=</w:t>
      </w:r>
      <w:r w:rsidR="00D768F2" w:rsidRPr="00272ECE">
        <w:t> </w:t>
      </w:r>
      <w:r w:rsidRPr="00272ECE">
        <w:t xml:space="preserve">119) or </w:t>
      </w:r>
      <w:r w:rsidR="0021231D" w:rsidRPr="00272ECE">
        <w:t xml:space="preserve">Arm </w:t>
      </w:r>
      <w:r w:rsidRPr="00272ECE">
        <w:t>B (</w:t>
      </w:r>
      <w:proofErr w:type="spellStart"/>
      <w:r w:rsidRPr="00272ECE">
        <w:t>IdelaR</w:t>
      </w:r>
      <w:proofErr w:type="spellEnd"/>
      <w:r w:rsidR="0021231D" w:rsidRPr="00272ECE">
        <w:t> </w:t>
      </w:r>
      <w:r w:rsidRPr="00272ECE">
        <w:t>=</w:t>
      </w:r>
      <w:r w:rsidR="0021231D" w:rsidRPr="00272ECE">
        <w:t> </w:t>
      </w:r>
      <w:r w:rsidRPr="00272ECE">
        <w:t xml:space="preserve">82 or </w:t>
      </w:r>
      <w:proofErr w:type="spellStart"/>
      <w:r w:rsidRPr="00272ECE">
        <w:t>BendaR</w:t>
      </w:r>
      <w:proofErr w:type="spellEnd"/>
      <w:r w:rsidR="0021231D" w:rsidRPr="00272ECE">
        <w:t> </w:t>
      </w:r>
      <w:r w:rsidRPr="00272ECE">
        <w:t>=</w:t>
      </w:r>
      <w:r w:rsidR="0021231D" w:rsidRPr="00272ECE">
        <w:t> </w:t>
      </w:r>
      <w:r w:rsidRPr="00272ECE">
        <w:t>37).</w:t>
      </w:r>
    </w:p>
    <w:p w14:paraId="721E96B6" w14:textId="1A7D1E89" w:rsidR="00FC3C18" w:rsidRPr="00272ECE" w:rsidRDefault="00936715" w:rsidP="002C4900">
      <w:pPr>
        <w:pStyle w:val="TableTitle"/>
      </w:pPr>
      <w:r w:rsidRPr="00272ECE">
        <w:t xml:space="preserve">Table </w:t>
      </w:r>
      <w:r w:rsidR="00B960D6">
        <w:fldChar w:fldCharType="begin"/>
      </w:r>
      <w:r w:rsidR="00B960D6">
        <w:instrText xml:space="preserve"> SEQ Table \* ARABIC </w:instrText>
      </w:r>
      <w:r w:rsidR="00B960D6">
        <w:fldChar w:fldCharType="separate"/>
      </w:r>
      <w:r w:rsidR="00B960D6" w:rsidRPr="00272ECE">
        <w:t>5</w:t>
      </w:r>
      <w:r w:rsidR="00B960D6">
        <w:fldChar w:fldCharType="end"/>
      </w:r>
      <w:r w:rsidRPr="00272ECE">
        <w:t>: Patient disposition and analysis set summary</w:t>
      </w:r>
    </w:p>
    <w:p w14:paraId="30B77C6D" w14:textId="34A925A1" w:rsidR="008443A3" w:rsidRPr="00272ECE" w:rsidRDefault="009D2AF3" w:rsidP="002C4900">
      <w:r w:rsidRPr="00272ECE">
        <w:rPr>
          <w:noProof/>
        </w:rPr>
        <w:drawing>
          <wp:inline distT="0" distB="0" distL="0" distR="0" wp14:anchorId="58156BED" wp14:editId="6634BCFA">
            <wp:extent cx="5759450" cy="4344035"/>
            <wp:effectExtent l="0" t="0" r="0" b="0"/>
            <wp:docPr id="187588880" name="Picture 1" descr="Table 5: Patient disposition and analysis se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8880" name="Picture 1" descr="Table 5: Patient disposition and analysis set summary"/>
                    <pic:cNvPicPr/>
                  </pic:nvPicPr>
                  <pic:blipFill>
                    <a:blip r:embed="rId30"/>
                    <a:stretch>
                      <a:fillRect/>
                    </a:stretch>
                  </pic:blipFill>
                  <pic:spPr>
                    <a:xfrm>
                      <a:off x="0" y="0"/>
                      <a:ext cx="5759450" cy="4344035"/>
                    </a:xfrm>
                    <a:prstGeom prst="rect">
                      <a:avLst/>
                    </a:prstGeom>
                  </pic:spPr>
                </pic:pic>
              </a:graphicData>
            </a:graphic>
          </wp:inline>
        </w:drawing>
      </w:r>
    </w:p>
    <w:p w14:paraId="3238607B" w14:textId="3953093F" w:rsidR="00156E71" w:rsidRPr="00272ECE" w:rsidRDefault="008F76F9" w:rsidP="002C4900">
      <w:pPr>
        <w:pStyle w:val="TableDescription"/>
      </w:pPr>
      <w:r w:rsidRPr="00272ECE">
        <w:t xml:space="preserve">Abbreviations: </w:t>
      </w:r>
      <w:proofErr w:type="spellStart"/>
      <w:r w:rsidRPr="00272ECE">
        <w:t>BendaR</w:t>
      </w:r>
      <w:proofErr w:type="spellEnd"/>
      <w:r w:rsidRPr="00272ECE">
        <w:t> = bendamustine plus rituximab</w:t>
      </w:r>
      <w:r w:rsidR="003031A8" w:rsidRPr="00272ECE">
        <w:t xml:space="preserve">, </w:t>
      </w:r>
      <w:proofErr w:type="spellStart"/>
      <w:r w:rsidRPr="00272ECE">
        <w:t>IdelaR</w:t>
      </w:r>
      <w:proofErr w:type="spellEnd"/>
      <w:r w:rsidRPr="00272ECE">
        <w:t> = </w:t>
      </w:r>
      <w:proofErr w:type="spellStart"/>
      <w:r w:rsidRPr="00272ECE">
        <w:t>idelalisib</w:t>
      </w:r>
      <w:proofErr w:type="spellEnd"/>
      <w:r w:rsidRPr="00272ECE">
        <w:t xml:space="preserve"> plus rituximab</w:t>
      </w:r>
      <w:r w:rsidR="003031A8" w:rsidRPr="00272ECE">
        <w:t xml:space="preserve">, ITT = intention to treat, </w:t>
      </w:r>
      <w:r w:rsidR="00156E71" w:rsidRPr="00272ECE">
        <w:t>n = number</w:t>
      </w:r>
      <w:r w:rsidR="003031A8" w:rsidRPr="00272ECE">
        <w:t>.</w:t>
      </w:r>
      <w:r w:rsidR="004C4721">
        <w:t xml:space="preserve"> Data cutoff date 29</w:t>
      </w:r>
      <w:r w:rsidR="00B12C36">
        <w:t> </w:t>
      </w:r>
      <w:r w:rsidR="004C4721">
        <w:t>Aug</w:t>
      </w:r>
      <w:r w:rsidR="00B12C36">
        <w:t>ust </w:t>
      </w:r>
      <w:r w:rsidR="004C4721">
        <w:t>2023.</w:t>
      </w:r>
    </w:p>
    <w:p w14:paraId="08BFCA96" w14:textId="688AD98E" w:rsidR="008F76F9" w:rsidRPr="00272ECE" w:rsidRDefault="008F76F9" w:rsidP="004F2044">
      <w:pPr>
        <w:pStyle w:val="TableDescription"/>
      </w:pPr>
      <w:proofErr w:type="spellStart"/>
      <w:r w:rsidRPr="00272ECE">
        <w:rPr>
          <w:vertAlign w:val="superscript"/>
        </w:rPr>
        <w:t>a</w:t>
      </w:r>
      <w:proofErr w:type="spellEnd"/>
      <w:r w:rsidRPr="00272ECE">
        <w:t xml:space="preserve"> </w:t>
      </w:r>
      <w:proofErr w:type="gramStart"/>
      <w:r w:rsidRPr="00272ECE">
        <w:t>All randomi</w:t>
      </w:r>
      <w:r w:rsidR="003031A8" w:rsidRPr="00272ECE">
        <w:t>s</w:t>
      </w:r>
      <w:r w:rsidRPr="00272ECE">
        <w:t>ed</w:t>
      </w:r>
      <w:proofErr w:type="gramEnd"/>
      <w:r w:rsidRPr="00272ECE">
        <w:t xml:space="preserve"> patients.</w:t>
      </w:r>
    </w:p>
    <w:p w14:paraId="40CB9BF5" w14:textId="09F5337C" w:rsidR="008F76F9" w:rsidRPr="00272ECE" w:rsidRDefault="008F76F9" w:rsidP="004F2044">
      <w:pPr>
        <w:pStyle w:val="TableDescription"/>
      </w:pPr>
      <w:r w:rsidRPr="00272ECE">
        <w:rPr>
          <w:vertAlign w:val="superscript"/>
        </w:rPr>
        <w:t>b</w:t>
      </w:r>
      <w:r w:rsidRPr="00272ECE">
        <w:t xml:space="preserve"> All randomi</w:t>
      </w:r>
      <w:r w:rsidR="003031A8" w:rsidRPr="00272ECE">
        <w:t>s</w:t>
      </w:r>
      <w:r w:rsidRPr="00272ECE">
        <w:t>ed patients who received at least 1 dose (including a partial dose) of study treatment.</w:t>
      </w:r>
    </w:p>
    <w:p w14:paraId="2CFCDD1A" w14:textId="4F322699" w:rsidR="008F76F9" w:rsidRPr="00272ECE" w:rsidRDefault="008F76F9" w:rsidP="004F2044">
      <w:pPr>
        <w:pStyle w:val="TableDescription"/>
      </w:pPr>
      <w:r w:rsidRPr="00272ECE">
        <w:rPr>
          <w:vertAlign w:val="superscript"/>
        </w:rPr>
        <w:t>c</w:t>
      </w:r>
      <w:r w:rsidRPr="00272ECE">
        <w:t xml:space="preserve"> A subpopulation of patients in the ITT population who were random</w:t>
      </w:r>
      <w:r w:rsidR="004F2044" w:rsidRPr="00272ECE">
        <w:t>is</w:t>
      </w:r>
      <w:r w:rsidRPr="00272ECE">
        <w:t>ed to Arm B and crossed over to</w:t>
      </w:r>
      <w:r w:rsidR="004F2044" w:rsidRPr="00272ECE">
        <w:t xml:space="preserve"> </w:t>
      </w:r>
      <w:r w:rsidRPr="00272ECE">
        <w:t>Arm A and received at least 1 dose of pirtobrutinib.</w:t>
      </w:r>
    </w:p>
    <w:p w14:paraId="4CF83B35" w14:textId="3EBDD357" w:rsidR="008F76F9" w:rsidRPr="00272ECE" w:rsidRDefault="008F76F9" w:rsidP="002C4900">
      <w:pPr>
        <w:pStyle w:val="TableDescription"/>
      </w:pPr>
      <w:r w:rsidRPr="00272ECE">
        <w:rPr>
          <w:vertAlign w:val="superscript"/>
        </w:rPr>
        <w:t>d</w:t>
      </w:r>
      <w:r w:rsidRPr="00272ECE">
        <w:t xml:space="preserve"> Europe included Austria, Belgium, Croatia, Czech Republic, France, Germany, Hungary, Ireland, Israel,</w:t>
      </w:r>
      <w:r w:rsidR="004F2044" w:rsidRPr="00272ECE">
        <w:t xml:space="preserve"> </w:t>
      </w:r>
      <w:r w:rsidRPr="00272ECE">
        <w:t>Italy, Poland, Russian Federation, Spain, Switzerland, Turkey, and the U</w:t>
      </w:r>
      <w:r w:rsidR="004F2044" w:rsidRPr="00272ECE">
        <w:t xml:space="preserve">nited </w:t>
      </w:r>
      <w:r w:rsidRPr="00272ECE">
        <w:t>K</w:t>
      </w:r>
      <w:r w:rsidR="004F2044" w:rsidRPr="00272ECE">
        <w:t>ingdom</w:t>
      </w:r>
      <w:r w:rsidRPr="00272ECE">
        <w:t>.</w:t>
      </w:r>
    </w:p>
    <w:p w14:paraId="6A042EB4" w14:textId="2785810E" w:rsidR="008F76F9" w:rsidRPr="00272ECE" w:rsidRDefault="008F76F9" w:rsidP="004F2044">
      <w:pPr>
        <w:pStyle w:val="TableDescription"/>
      </w:pPr>
      <w:r w:rsidRPr="00272ECE">
        <w:rPr>
          <w:vertAlign w:val="superscript"/>
        </w:rPr>
        <w:t>e</w:t>
      </w:r>
      <w:r w:rsidRPr="00272ECE">
        <w:t xml:space="preserve"> North America included Canada and the U</w:t>
      </w:r>
      <w:r w:rsidR="004F2044" w:rsidRPr="00272ECE">
        <w:t xml:space="preserve">nited </w:t>
      </w:r>
      <w:r w:rsidRPr="00272ECE">
        <w:t>S</w:t>
      </w:r>
      <w:r w:rsidR="004F2044" w:rsidRPr="00272ECE">
        <w:t>tates of America</w:t>
      </w:r>
      <w:r w:rsidRPr="00272ECE">
        <w:t>.</w:t>
      </w:r>
    </w:p>
    <w:p w14:paraId="3D80900C" w14:textId="77777777" w:rsidR="008F76F9" w:rsidRPr="00272ECE" w:rsidRDefault="008F76F9" w:rsidP="002C4900">
      <w:pPr>
        <w:pStyle w:val="TableDescription"/>
      </w:pPr>
      <w:r w:rsidRPr="00272ECE">
        <w:rPr>
          <w:vertAlign w:val="superscript"/>
        </w:rPr>
        <w:t>f</w:t>
      </w:r>
      <w:r w:rsidRPr="00272ECE">
        <w:t xml:space="preserve"> Asia included China, Japan, Korea (Republic of), and Taiwan.</w:t>
      </w:r>
    </w:p>
    <w:p w14:paraId="1A88A97F" w14:textId="08230257" w:rsidR="00FC3C18" w:rsidRPr="00272ECE" w:rsidRDefault="008F76F9" w:rsidP="004F2044">
      <w:pPr>
        <w:pStyle w:val="TableDescription"/>
      </w:pPr>
      <w:r w:rsidRPr="00272ECE">
        <w:rPr>
          <w:vertAlign w:val="superscript"/>
        </w:rPr>
        <w:t>g</w:t>
      </w:r>
      <w:r w:rsidRPr="00272ECE">
        <w:t xml:space="preserve"> Australia included Australia only.</w:t>
      </w:r>
    </w:p>
    <w:p w14:paraId="07DB3DD7" w14:textId="77777777" w:rsidR="00FC3C18" w:rsidRPr="00272ECE" w:rsidRDefault="00FC3C18" w:rsidP="002C4900">
      <w:r w:rsidRPr="00272ECE">
        <w:t xml:space="preserve">Overall, most baseline disease characteristics were similar across study Arms A and B, and in Arm B were similar across the </w:t>
      </w:r>
      <w:proofErr w:type="spellStart"/>
      <w:r w:rsidRPr="00272ECE">
        <w:t>IdelaR</w:t>
      </w:r>
      <w:proofErr w:type="spellEnd"/>
      <w:r w:rsidRPr="00272ECE">
        <w:t xml:space="preserve"> and </w:t>
      </w:r>
      <w:proofErr w:type="spellStart"/>
      <w:r w:rsidRPr="00272ECE">
        <w:t>BendaR</w:t>
      </w:r>
      <w:proofErr w:type="spellEnd"/>
      <w:r w:rsidRPr="00272ECE">
        <w:t xml:space="preserve"> treatment groups.</w:t>
      </w:r>
    </w:p>
    <w:p w14:paraId="00E00646" w14:textId="61FB0B23" w:rsidR="00FC3C18" w:rsidRPr="00B232E5" w:rsidRDefault="00FC3C18" w:rsidP="002C4900">
      <w:pPr>
        <w:pStyle w:val="Heading6"/>
      </w:pPr>
      <w:r w:rsidRPr="00B232E5">
        <w:lastRenderedPageBreak/>
        <w:t>Results for the primary efficacy outcome</w:t>
      </w:r>
    </w:p>
    <w:p w14:paraId="2D5D6281" w14:textId="5DAB449C" w:rsidR="00FC3C18" w:rsidRPr="00272ECE" w:rsidRDefault="00FC3C18" w:rsidP="002C4900">
      <w:r w:rsidRPr="00B232E5">
        <w:t>Pirtobrutinib monotherapy showed a statistically significant longer IRC</w:t>
      </w:r>
      <w:r w:rsidR="008E245B" w:rsidRPr="00B232E5">
        <w:t xml:space="preserve"> </w:t>
      </w:r>
      <w:r w:rsidRPr="00B232E5">
        <w:t xml:space="preserve">assessed PFS compared to </w:t>
      </w:r>
      <w:r w:rsidR="008E245B" w:rsidRPr="00B232E5">
        <w:t>i</w:t>
      </w:r>
      <w:r w:rsidRPr="00B232E5">
        <w:t xml:space="preserve">nvestigator’s </w:t>
      </w:r>
      <w:r w:rsidR="008E245B" w:rsidRPr="00B232E5">
        <w:t>c</w:t>
      </w:r>
      <w:r w:rsidRPr="00B232E5">
        <w:t xml:space="preserve">hoice of </w:t>
      </w:r>
      <w:proofErr w:type="spellStart"/>
      <w:r w:rsidRPr="00B232E5">
        <w:t>IdelaR</w:t>
      </w:r>
      <w:proofErr w:type="spellEnd"/>
      <w:r w:rsidRPr="00B232E5">
        <w:t xml:space="preserve"> or </w:t>
      </w:r>
      <w:proofErr w:type="spellStart"/>
      <w:r w:rsidRPr="00B232E5">
        <w:t>BendaR</w:t>
      </w:r>
      <w:proofErr w:type="spellEnd"/>
      <w:r w:rsidRPr="00B232E5">
        <w:t xml:space="preserve"> Arm B </w:t>
      </w:r>
      <w:r w:rsidR="008E245B" w:rsidRPr="00B232E5">
        <w:t>(</w:t>
      </w:r>
      <w:r w:rsidRPr="00B232E5">
        <w:t>PFS events</w:t>
      </w:r>
      <w:r w:rsidR="008E245B" w:rsidRPr="00B232E5">
        <w:t> </w:t>
      </w:r>
      <w:r w:rsidRPr="00B232E5">
        <w:t>=</w:t>
      </w:r>
      <w:r w:rsidR="008E245B" w:rsidRPr="00B232E5">
        <w:t> </w:t>
      </w:r>
      <w:r w:rsidRPr="00B232E5">
        <w:t>37.8% (45</w:t>
      </w:r>
      <w:r w:rsidR="008E245B" w:rsidRPr="00B232E5">
        <w:t xml:space="preserve"> out of </w:t>
      </w:r>
      <w:r w:rsidRPr="00B232E5">
        <w:t xml:space="preserve">119) </w:t>
      </w:r>
      <w:r w:rsidR="008E245B" w:rsidRPr="00B232E5">
        <w:t>versus</w:t>
      </w:r>
      <w:r w:rsidRPr="00B232E5">
        <w:t xml:space="preserve"> 42% (50</w:t>
      </w:r>
      <w:r w:rsidR="008E245B" w:rsidRPr="00B232E5">
        <w:t xml:space="preserve"> out of </w:t>
      </w:r>
      <w:r w:rsidRPr="00B232E5">
        <w:t xml:space="preserve">119); </w:t>
      </w:r>
      <w:r w:rsidR="008E245B" w:rsidRPr="00B232E5">
        <w:t>hazard ratio (</w:t>
      </w:r>
      <w:r w:rsidRPr="00B232E5">
        <w:t>HR</w:t>
      </w:r>
      <w:r w:rsidR="008E245B" w:rsidRPr="00B232E5">
        <w:t>) </w:t>
      </w:r>
      <w:r w:rsidRPr="00B232E5">
        <w:t>=</w:t>
      </w:r>
      <w:r w:rsidR="008E245B" w:rsidRPr="00B232E5">
        <w:t> </w:t>
      </w:r>
      <w:r w:rsidRPr="00B232E5">
        <w:t xml:space="preserve">0.583 (95% </w:t>
      </w:r>
      <w:r w:rsidR="008E245B" w:rsidRPr="00B232E5">
        <w:t>confidence interval (</w:t>
      </w:r>
      <w:r w:rsidRPr="00B232E5">
        <w:t>CI</w:t>
      </w:r>
      <w:r w:rsidR="008E245B" w:rsidRPr="00B232E5">
        <w:t>)</w:t>
      </w:r>
      <w:r w:rsidRPr="00B232E5">
        <w:t>: 0.383, 0.887), p</w:t>
      </w:r>
      <w:r w:rsidR="008E245B" w:rsidRPr="00B232E5">
        <w:t> </w:t>
      </w:r>
      <w:r w:rsidRPr="00B232E5">
        <w:t>=</w:t>
      </w:r>
      <w:r w:rsidR="008E245B" w:rsidRPr="00B232E5">
        <w:t> </w:t>
      </w:r>
      <w:r w:rsidRPr="00B232E5">
        <w:t>0.0105</w:t>
      </w:r>
      <w:r w:rsidR="008E245B" w:rsidRPr="00B232E5">
        <w:t>)</w:t>
      </w:r>
      <w:r w:rsidRPr="00B232E5">
        <w:t>. The median PFS by IRC assessment was 11.24 months (95% CI: 9.46, 11.43) and was 8.74 months (95% CI: 7.20, 10.15) for Arms A and B, respectively; median follow-up time was 8.31 months (95% CI: 5.85, 9.0) and 6.05 months (95% CI: 4.83, 8.34), respectively.</w:t>
      </w:r>
    </w:p>
    <w:p w14:paraId="7860D835" w14:textId="284E1EFC" w:rsidR="0002755A" w:rsidRPr="00272ECE" w:rsidRDefault="0002755A" w:rsidP="002C4900">
      <w:pPr>
        <w:pStyle w:val="TableTitle"/>
      </w:pPr>
      <w:r w:rsidRPr="00272ECE">
        <w:t xml:space="preserve">Table </w:t>
      </w:r>
      <w:r w:rsidR="00B960D6">
        <w:rPr>
          <w:b w:val="0"/>
        </w:rPr>
        <w:fldChar w:fldCharType="begin"/>
      </w:r>
      <w:r w:rsidR="00B960D6">
        <w:rPr>
          <w:b w:val="0"/>
        </w:rPr>
        <w:instrText xml:space="preserve"> SEQ Table \* ARABIC </w:instrText>
      </w:r>
      <w:r w:rsidR="00B960D6">
        <w:rPr>
          <w:b w:val="0"/>
        </w:rPr>
        <w:fldChar w:fldCharType="separate"/>
      </w:r>
      <w:r w:rsidR="00B960D6" w:rsidRPr="00272ECE">
        <w:t>6</w:t>
      </w:r>
      <w:r w:rsidR="00B960D6">
        <w:rPr>
          <w:b w:val="0"/>
        </w:rPr>
        <w:fldChar w:fldCharType="end"/>
      </w:r>
      <w:r w:rsidRPr="00272ECE">
        <w:t>: Progression</w:t>
      </w:r>
      <w:r w:rsidR="0030308C" w:rsidRPr="00272ECE">
        <w:t xml:space="preserve"> </w:t>
      </w:r>
      <w:r w:rsidRPr="00272ECE">
        <w:t>free survival based on independent review committee assessments, intention to treat population</w:t>
      </w:r>
    </w:p>
    <w:tbl>
      <w:tblPr>
        <w:tblStyle w:val="TableTGAblue2023"/>
        <w:tblW w:w="0" w:type="auto"/>
        <w:tblLook w:val="04A0" w:firstRow="1" w:lastRow="0" w:firstColumn="1" w:lastColumn="0" w:noHBand="0" w:noVBand="1"/>
      </w:tblPr>
      <w:tblGrid>
        <w:gridCol w:w="3020"/>
        <w:gridCol w:w="3020"/>
        <w:gridCol w:w="3020"/>
      </w:tblGrid>
      <w:tr w:rsidR="00536D07" w14:paraId="56285B15" w14:textId="77777777" w:rsidTr="002C49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1474168" w14:textId="77777777" w:rsidR="00536D07" w:rsidRDefault="00536D07" w:rsidP="002C4900"/>
        </w:tc>
        <w:tc>
          <w:tcPr>
            <w:tcW w:w="3020" w:type="dxa"/>
          </w:tcPr>
          <w:p w14:paraId="15A50009" w14:textId="32F4D34D" w:rsidR="00536D07" w:rsidRPr="00C87B72" w:rsidRDefault="00536D07" w:rsidP="002C4900">
            <w:pPr>
              <w:cnfStyle w:val="100000000000" w:firstRow="1" w:lastRow="0" w:firstColumn="0" w:lastColumn="0" w:oddVBand="0" w:evenVBand="0" w:oddHBand="0" w:evenHBand="0" w:firstRowFirstColumn="0" w:firstRowLastColumn="0" w:lastRowFirstColumn="0" w:lastRowLastColumn="0"/>
              <w:rPr>
                <w:bCs/>
              </w:rPr>
            </w:pPr>
            <w:r w:rsidRPr="00C87B72">
              <w:rPr>
                <w:bCs/>
              </w:rPr>
              <w:t>Arm A (n</w:t>
            </w:r>
            <w:r w:rsidR="00184181">
              <w:rPr>
                <w:bCs/>
              </w:rPr>
              <w:t> </w:t>
            </w:r>
            <w:r w:rsidRPr="00C87B72">
              <w:rPr>
                <w:bCs/>
              </w:rPr>
              <w:t>=</w:t>
            </w:r>
            <w:r w:rsidR="00184181">
              <w:rPr>
                <w:bCs/>
              </w:rPr>
              <w:t> </w:t>
            </w:r>
            <w:r w:rsidRPr="00C87B72">
              <w:rPr>
                <w:bCs/>
              </w:rPr>
              <w:t>119)</w:t>
            </w:r>
          </w:p>
        </w:tc>
        <w:tc>
          <w:tcPr>
            <w:tcW w:w="3020" w:type="dxa"/>
          </w:tcPr>
          <w:p w14:paraId="75FF1728" w14:textId="3D8A43F7" w:rsidR="00536D07" w:rsidRPr="00C87B72" w:rsidRDefault="00536D07" w:rsidP="002C4900">
            <w:pPr>
              <w:cnfStyle w:val="100000000000" w:firstRow="1" w:lastRow="0" w:firstColumn="0" w:lastColumn="0" w:oddVBand="0" w:evenVBand="0" w:oddHBand="0" w:evenHBand="0" w:firstRowFirstColumn="0" w:firstRowLastColumn="0" w:lastRowFirstColumn="0" w:lastRowLastColumn="0"/>
              <w:rPr>
                <w:bCs/>
              </w:rPr>
            </w:pPr>
            <w:r w:rsidRPr="00C87B72">
              <w:rPr>
                <w:bCs/>
              </w:rPr>
              <w:t>Arm B (n</w:t>
            </w:r>
            <w:r w:rsidR="00184181">
              <w:rPr>
                <w:bCs/>
              </w:rPr>
              <w:t> </w:t>
            </w:r>
            <w:r w:rsidRPr="00C87B72">
              <w:rPr>
                <w:bCs/>
              </w:rPr>
              <w:t>=</w:t>
            </w:r>
            <w:r w:rsidR="00184181">
              <w:rPr>
                <w:bCs/>
              </w:rPr>
              <w:t> </w:t>
            </w:r>
            <w:r w:rsidRPr="00C87B72">
              <w:rPr>
                <w:bCs/>
              </w:rPr>
              <w:t>119)</w:t>
            </w:r>
          </w:p>
        </w:tc>
      </w:tr>
      <w:tr w:rsidR="00536D07" w14:paraId="637BAA06"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653B10B7" w14:textId="77777777" w:rsidR="00536D07" w:rsidRPr="00C87B72" w:rsidRDefault="00536D07" w:rsidP="002C4900">
            <w:pPr>
              <w:rPr>
                <w:b/>
                <w:bCs/>
              </w:rPr>
            </w:pPr>
            <w:r w:rsidRPr="00C87B72">
              <w:rPr>
                <w:b/>
                <w:bCs/>
              </w:rPr>
              <w:t>Number of Events, n (%)</w:t>
            </w:r>
          </w:p>
        </w:tc>
        <w:tc>
          <w:tcPr>
            <w:tcW w:w="3020" w:type="dxa"/>
          </w:tcPr>
          <w:p w14:paraId="25FD1F63" w14:textId="36357E5B" w:rsidR="00536D07" w:rsidRPr="006530DE" w:rsidRDefault="00B17769" w:rsidP="002C4900">
            <w:pPr>
              <w:cnfStyle w:val="000000000000" w:firstRow="0" w:lastRow="0" w:firstColumn="0" w:lastColumn="0" w:oddVBand="0" w:evenVBand="0" w:oddHBand="0" w:evenHBand="0" w:firstRowFirstColumn="0" w:firstRowLastColumn="0" w:lastRowFirstColumn="0" w:lastRowLastColumn="0"/>
            </w:pPr>
            <w:r>
              <w:t>45</w:t>
            </w:r>
            <w:r w:rsidR="00536D07" w:rsidRPr="00B56EC5">
              <w:t xml:space="preserve"> (</w:t>
            </w:r>
            <w:r>
              <w:t>37.8</w:t>
            </w:r>
            <w:r w:rsidR="00536D07" w:rsidRPr="00B56EC5">
              <w:t>)</w:t>
            </w:r>
          </w:p>
        </w:tc>
        <w:tc>
          <w:tcPr>
            <w:tcW w:w="3020" w:type="dxa"/>
          </w:tcPr>
          <w:p w14:paraId="7AA9E9CF" w14:textId="37415F81" w:rsidR="00536D07" w:rsidRPr="00250A17" w:rsidRDefault="00B17769" w:rsidP="002C4900">
            <w:pPr>
              <w:cnfStyle w:val="000000000000" w:firstRow="0" w:lastRow="0" w:firstColumn="0" w:lastColumn="0" w:oddVBand="0" w:evenVBand="0" w:oddHBand="0" w:evenHBand="0" w:firstRowFirstColumn="0" w:firstRowLastColumn="0" w:lastRowFirstColumn="0" w:lastRowLastColumn="0"/>
            </w:pPr>
            <w:r>
              <w:t>50</w:t>
            </w:r>
            <w:r w:rsidR="00536D07" w:rsidRPr="00B56EC5">
              <w:t xml:space="preserve"> (</w:t>
            </w:r>
            <w:r>
              <w:t>42.0</w:t>
            </w:r>
            <w:r w:rsidR="00536D07" w:rsidRPr="00B56EC5">
              <w:t>)</w:t>
            </w:r>
          </w:p>
        </w:tc>
      </w:tr>
      <w:tr w:rsidR="00536D07" w14:paraId="3D3A1109" w14:textId="77777777" w:rsidTr="002C4900">
        <w:tc>
          <w:tcPr>
            <w:cnfStyle w:val="001000000000" w:firstRow="0" w:lastRow="0" w:firstColumn="1" w:lastColumn="0" w:oddVBand="0" w:evenVBand="0" w:oddHBand="0" w:evenHBand="0" w:firstRowFirstColumn="0" w:firstRowLastColumn="0" w:lastRowFirstColumn="0" w:lastRowLastColumn="0"/>
            <w:tcW w:w="9060" w:type="dxa"/>
            <w:gridSpan w:val="3"/>
          </w:tcPr>
          <w:p w14:paraId="1A36A3E4" w14:textId="77777777" w:rsidR="00536D07" w:rsidRPr="00B56EC5" w:rsidRDefault="00536D07" w:rsidP="002C4900">
            <w:r w:rsidRPr="00C87B72">
              <w:rPr>
                <w:b/>
                <w:bCs/>
              </w:rPr>
              <w:t>PFS (months)</w:t>
            </w:r>
          </w:p>
        </w:tc>
      </w:tr>
      <w:tr w:rsidR="00536D07" w14:paraId="22422159"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77AC4A60" w14:textId="77777777" w:rsidR="00536D07" w:rsidRPr="00BC560A" w:rsidRDefault="00536D07" w:rsidP="002C4900">
            <w:r w:rsidRPr="00D419BD">
              <w:t>Median (95% CI)</w:t>
            </w:r>
          </w:p>
        </w:tc>
        <w:tc>
          <w:tcPr>
            <w:tcW w:w="3020" w:type="dxa"/>
          </w:tcPr>
          <w:p w14:paraId="27AE495A" w14:textId="0361EA84" w:rsidR="00536D07" w:rsidRPr="00B56EC5" w:rsidRDefault="00DA4773" w:rsidP="002C4900">
            <w:pPr>
              <w:cnfStyle w:val="000000000000" w:firstRow="0" w:lastRow="0" w:firstColumn="0" w:lastColumn="0" w:oddVBand="0" w:evenVBand="0" w:oddHBand="0" w:evenHBand="0" w:firstRowFirstColumn="0" w:firstRowLastColumn="0" w:lastRowFirstColumn="0" w:lastRowLastColumn="0"/>
            </w:pPr>
            <w:r>
              <w:t>11.24</w:t>
            </w:r>
            <w:r w:rsidR="00536D07" w:rsidRPr="00D419BD">
              <w:t xml:space="preserve"> (</w:t>
            </w:r>
            <w:r>
              <w:t>9.46</w:t>
            </w:r>
            <w:r w:rsidR="00536D07" w:rsidRPr="00D419BD">
              <w:t xml:space="preserve">, </w:t>
            </w:r>
            <w:r>
              <w:t>11.43</w:t>
            </w:r>
            <w:r w:rsidR="00536D07" w:rsidRPr="00D419BD">
              <w:t>)</w:t>
            </w:r>
          </w:p>
        </w:tc>
        <w:tc>
          <w:tcPr>
            <w:tcW w:w="3020" w:type="dxa"/>
          </w:tcPr>
          <w:p w14:paraId="6440BA90" w14:textId="0AD977F0" w:rsidR="00536D07" w:rsidRPr="00B56EC5" w:rsidRDefault="00536D07" w:rsidP="002C4900">
            <w:pPr>
              <w:cnfStyle w:val="000000000000" w:firstRow="0" w:lastRow="0" w:firstColumn="0" w:lastColumn="0" w:oddVBand="0" w:evenVBand="0" w:oddHBand="0" w:evenHBand="0" w:firstRowFirstColumn="0" w:firstRowLastColumn="0" w:lastRowFirstColumn="0" w:lastRowLastColumn="0"/>
            </w:pPr>
            <w:r w:rsidRPr="00B91F10">
              <w:t>8.74 (</w:t>
            </w:r>
            <w:r w:rsidR="00DA4773">
              <w:t>7.20</w:t>
            </w:r>
            <w:r w:rsidRPr="00B91F10">
              <w:t>, 10.</w:t>
            </w:r>
            <w:r w:rsidR="00DA4773">
              <w:t>15</w:t>
            </w:r>
            <w:r w:rsidRPr="00B91F10">
              <w:t>)</w:t>
            </w:r>
          </w:p>
        </w:tc>
      </w:tr>
      <w:tr w:rsidR="00536D07" w14:paraId="3AC97E30"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5E06108C" w14:textId="77777777" w:rsidR="00536D07" w:rsidRPr="00D419BD" w:rsidRDefault="00536D07" w:rsidP="002C4900">
            <w:r w:rsidRPr="00BD3029">
              <w:t>HR (95%CI)</w:t>
            </w:r>
          </w:p>
        </w:tc>
        <w:tc>
          <w:tcPr>
            <w:tcW w:w="6040" w:type="dxa"/>
            <w:gridSpan w:val="2"/>
          </w:tcPr>
          <w:p w14:paraId="29B5B40F" w14:textId="580FFDEC" w:rsidR="00536D07" w:rsidRPr="00B91F10" w:rsidRDefault="00536D07" w:rsidP="002C4900">
            <w:pPr>
              <w:cnfStyle w:val="000000000000" w:firstRow="0" w:lastRow="0" w:firstColumn="0" w:lastColumn="0" w:oddVBand="0" w:evenVBand="0" w:oddHBand="0" w:evenHBand="0" w:firstRowFirstColumn="0" w:firstRowLastColumn="0" w:lastRowFirstColumn="0" w:lastRowLastColumn="0"/>
            </w:pPr>
            <w:r w:rsidRPr="00BD3029">
              <w:t>0.5</w:t>
            </w:r>
            <w:r w:rsidR="00810823">
              <w:t>83</w:t>
            </w:r>
            <w:r w:rsidRPr="00BD3029">
              <w:t xml:space="preserve"> (0.38</w:t>
            </w:r>
            <w:r w:rsidR="00810823">
              <w:t>3</w:t>
            </w:r>
            <w:r w:rsidRPr="00BD3029">
              <w:t>, 0.</w:t>
            </w:r>
            <w:r w:rsidR="00810823">
              <w:t>887</w:t>
            </w:r>
            <w:r w:rsidRPr="00BD3029">
              <w:t>)</w:t>
            </w:r>
          </w:p>
        </w:tc>
      </w:tr>
      <w:tr w:rsidR="00536D07" w14:paraId="4990407A"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5EFAD000" w14:textId="77777777" w:rsidR="00536D07" w:rsidRPr="00BD3029" w:rsidRDefault="00536D07" w:rsidP="002C4900">
            <w:r w:rsidRPr="00D34D5C">
              <w:t>p-value</w:t>
            </w:r>
          </w:p>
        </w:tc>
        <w:tc>
          <w:tcPr>
            <w:tcW w:w="6040" w:type="dxa"/>
            <w:gridSpan w:val="2"/>
          </w:tcPr>
          <w:p w14:paraId="570A84AA" w14:textId="1CBF9087" w:rsidR="00536D07" w:rsidRPr="00B91F10" w:rsidRDefault="00184181" w:rsidP="002C4900">
            <w:pPr>
              <w:cnfStyle w:val="000000000000" w:firstRow="0" w:lastRow="0" w:firstColumn="0" w:lastColumn="0" w:oddVBand="0" w:evenVBand="0" w:oddHBand="0" w:evenHBand="0" w:firstRowFirstColumn="0" w:firstRowLastColumn="0" w:lastRowFirstColumn="0" w:lastRowLastColumn="0"/>
            </w:pPr>
            <w:r>
              <w:t>p </w:t>
            </w:r>
            <w:r w:rsidR="00536D07" w:rsidRPr="00D34D5C">
              <w:t>=</w:t>
            </w:r>
            <w:r>
              <w:t> </w:t>
            </w:r>
            <w:r w:rsidR="00536D07" w:rsidRPr="00D34D5C">
              <w:t>0.</w:t>
            </w:r>
            <w:r w:rsidR="009778F8">
              <w:t>0105</w:t>
            </w:r>
            <w:r w:rsidR="00943AB2" w:rsidRPr="00943AB2">
              <w:rPr>
                <w:vertAlign w:val="superscript"/>
              </w:rPr>
              <w:t>a</w:t>
            </w:r>
          </w:p>
        </w:tc>
      </w:tr>
      <w:tr w:rsidR="00536D07" w14:paraId="18FE6D64" w14:textId="77777777" w:rsidTr="002C4900">
        <w:tc>
          <w:tcPr>
            <w:cnfStyle w:val="001000000000" w:firstRow="0" w:lastRow="0" w:firstColumn="1" w:lastColumn="0" w:oddVBand="0" w:evenVBand="0" w:oddHBand="0" w:evenHBand="0" w:firstRowFirstColumn="0" w:firstRowLastColumn="0" w:lastRowFirstColumn="0" w:lastRowLastColumn="0"/>
            <w:tcW w:w="9060" w:type="dxa"/>
            <w:gridSpan w:val="3"/>
          </w:tcPr>
          <w:p w14:paraId="3E06768A" w14:textId="77777777" w:rsidR="00536D07" w:rsidRPr="002C6C94" w:rsidRDefault="00536D07" w:rsidP="002C4900">
            <w:pPr>
              <w:rPr>
                <w:b/>
                <w:bCs/>
              </w:rPr>
            </w:pPr>
            <w:r w:rsidRPr="002C6C94">
              <w:rPr>
                <w:b/>
                <w:bCs/>
              </w:rPr>
              <w:t>PFS follow-up time (months)</w:t>
            </w:r>
          </w:p>
        </w:tc>
      </w:tr>
      <w:tr w:rsidR="00536D07" w14:paraId="06E00784"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73B76653" w14:textId="77777777" w:rsidR="00536D07" w:rsidRPr="003167FB" w:rsidRDefault="00536D07" w:rsidP="002C4900">
            <w:r w:rsidRPr="00625134">
              <w:t>Median (95% CI)</w:t>
            </w:r>
          </w:p>
        </w:tc>
        <w:tc>
          <w:tcPr>
            <w:tcW w:w="3020" w:type="dxa"/>
          </w:tcPr>
          <w:p w14:paraId="5DDD658D" w14:textId="3CD7D917" w:rsidR="00536D07" w:rsidRPr="00D34D5C" w:rsidRDefault="000813A8" w:rsidP="002C4900">
            <w:pPr>
              <w:cnfStyle w:val="000000000000" w:firstRow="0" w:lastRow="0" w:firstColumn="0" w:lastColumn="0" w:oddVBand="0" w:evenVBand="0" w:oddHBand="0" w:evenHBand="0" w:firstRowFirstColumn="0" w:firstRowLastColumn="0" w:lastRowFirstColumn="0" w:lastRowLastColumn="0"/>
            </w:pPr>
            <w:r>
              <w:t>8.31</w:t>
            </w:r>
            <w:r w:rsidR="00536D07" w:rsidRPr="00D9233C">
              <w:t xml:space="preserve"> (</w:t>
            </w:r>
            <w:r w:rsidR="00B43381">
              <w:t>5.85</w:t>
            </w:r>
            <w:r w:rsidR="00536D07" w:rsidRPr="00D9233C">
              <w:t xml:space="preserve">, </w:t>
            </w:r>
            <w:r w:rsidR="00EB01A9">
              <w:t>9.00</w:t>
            </w:r>
            <w:r w:rsidR="00536D07" w:rsidRPr="00D9233C">
              <w:t>)</w:t>
            </w:r>
          </w:p>
        </w:tc>
        <w:tc>
          <w:tcPr>
            <w:tcW w:w="3020" w:type="dxa"/>
          </w:tcPr>
          <w:p w14:paraId="118DC58A" w14:textId="484FF9D7" w:rsidR="00536D07" w:rsidRPr="00B91F10" w:rsidRDefault="00EB01A9" w:rsidP="002C4900">
            <w:pPr>
              <w:cnfStyle w:val="000000000000" w:firstRow="0" w:lastRow="0" w:firstColumn="0" w:lastColumn="0" w:oddVBand="0" w:evenVBand="0" w:oddHBand="0" w:evenHBand="0" w:firstRowFirstColumn="0" w:firstRowLastColumn="0" w:lastRowFirstColumn="0" w:lastRowLastColumn="0"/>
            </w:pPr>
            <w:r>
              <w:t>6.05</w:t>
            </w:r>
            <w:r w:rsidR="00536D07" w:rsidRPr="001F31A4">
              <w:t xml:space="preserve"> (</w:t>
            </w:r>
            <w:r>
              <w:t>4.83</w:t>
            </w:r>
            <w:r w:rsidR="00536D07" w:rsidRPr="001F31A4">
              <w:t xml:space="preserve">, </w:t>
            </w:r>
            <w:r>
              <w:t>8.34</w:t>
            </w:r>
            <w:r w:rsidR="00536D07" w:rsidRPr="001F31A4">
              <w:t>)</w:t>
            </w:r>
          </w:p>
        </w:tc>
      </w:tr>
    </w:tbl>
    <w:p w14:paraId="4D33523F" w14:textId="65C753BE" w:rsidR="000643E9" w:rsidRPr="00272ECE" w:rsidRDefault="00077221" w:rsidP="002C4900">
      <w:pPr>
        <w:pStyle w:val="TableDescription"/>
      </w:pPr>
      <w:r w:rsidRPr="00272ECE">
        <w:t>Abbreviations:</w:t>
      </w:r>
      <w:r w:rsidR="008931E3" w:rsidRPr="00272ECE">
        <w:t xml:space="preserve"> </w:t>
      </w:r>
      <w:r w:rsidR="008E43C7" w:rsidRPr="00272ECE">
        <w:t>CI</w:t>
      </w:r>
      <w:r w:rsidR="00497540" w:rsidRPr="00272ECE">
        <w:t xml:space="preserve"> = confidence interval, </w:t>
      </w:r>
      <w:r w:rsidR="00B966AB">
        <w:t>HR= hazard ratio</w:t>
      </w:r>
      <w:r w:rsidR="00A36537">
        <w:t xml:space="preserve">, </w:t>
      </w:r>
      <w:r w:rsidR="00F903E2">
        <w:t xml:space="preserve">ITT = intent-to-treat, </w:t>
      </w:r>
      <w:r w:rsidR="00497540" w:rsidRPr="00272ECE">
        <w:t>n = number</w:t>
      </w:r>
      <w:r w:rsidR="00F903E2">
        <w:t xml:space="preserve"> of patients</w:t>
      </w:r>
      <w:r w:rsidR="00497540" w:rsidRPr="00272ECE">
        <w:t xml:space="preserve">, </w:t>
      </w:r>
      <w:r w:rsidR="000643E9" w:rsidRPr="00272ECE">
        <w:t>PFS</w:t>
      </w:r>
      <w:r w:rsidR="0030308C" w:rsidRPr="00272ECE">
        <w:t> = progression free survival</w:t>
      </w:r>
      <w:r w:rsidR="00497540" w:rsidRPr="00272ECE">
        <w:t>.</w:t>
      </w:r>
    </w:p>
    <w:p w14:paraId="1FA95AC9" w14:textId="5B9E182B" w:rsidR="00FC3C18" w:rsidRPr="00272ECE" w:rsidRDefault="00077221" w:rsidP="004945A9">
      <w:pPr>
        <w:pStyle w:val="TableDescription"/>
        <w:rPr>
          <w:b/>
          <w:bCs/>
        </w:rPr>
      </w:pPr>
      <w:r w:rsidRPr="00272ECE">
        <w:rPr>
          <w:vertAlign w:val="superscript"/>
        </w:rPr>
        <w:t>*a</w:t>
      </w:r>
      <w:r w:rsidRPr="00272ECE">
        <w:t xml:space="preserve"> </w:t>
      </w:r>
      <w:r w:rsidR="00943AB2" w:rsidRPr="00C87B72">
        <w:t xml:space="preserve">2-sided </w:t>
      </w:r>
      <w:r w:rsidR="004945A9">
        <w:t xml:space="preserve">p-value </w:t>
      </w:r>
      <w:r w:rsidR="00943AB2" w:rsidRPr="00C87B72">
        <w:t>based on stratified log-rank test</w:t>
      </w:r>
      <w:r w:rsidR="00943AB2">
        <w:t>.</w:t>
      </w:r>
    </w:p>
    <w:p w14:paraId="3F0C829F" w14:textId="75DB4352" w:rsidR="00FC3C18" w:rsidRPr="00272ECE" w:rsidRDefault="00FC3C18" w:rsidP="002C4900">
      <w:r w:rsidRPr="000C66B4">
        <w:t xml:space="preserve">The </w:t>
      </w:r>
      <w:r w:rsidR="00E452D1" w:rsidRPr="000C66B4">
        <w:t xml:space="preserve">Kaplan-Meier </w:t>
      </w:r>
      <w:r w:rsidR="00907D5A" w:rsidRPr="000C66B4">
        <w:t>(</w:t>
      </w:r>
      <w:r w:rsidRPr="000C66B4">
        <w:t>KM</w:t>
      </w:r>
      <w:r w:rsidR="00907D5A" w:rsidRPr="000C66B4">
        <w:t>)</w:t>
      </w:r>
      <w:r w:rsidRPr="000C66B4">
        <w:t xml:space="preserve"> estimate for the probability of being progression-free by IRC assessment was higher in the pirtobrutinib compared to the </w:t>
      </w:r>
      <w:proofErr w:type="spellStart"/>
      <w:r w:rsidRPr="000C66B4">
        <w:t>IdelaR</w:t>
      </w:r>
      <w:proofErr w:type="spellEnd"/>
      <w:r w:rsidRPr="000C66B4">
        <w:t xml:space="preserve"> or </w:t>
      </w:r>
      <w:proofErr w:type="spellStart"/>
      <w:r w:rsidRPr="000C66B4">
        <w:t>BendaR</w:t>
      </w:r>
      <w:proofErr w:type="spellEnd"/>
      <w:r w:rsidRPr="000C66B4">
        <w:t xml:space="preserve"> treatment arm at 6 months </w:t>
      </w:r>
      <w:r w:rsidR="00907D5A" w:rsidRPr="000C66B4">
        <w:t>(</w:t>
      </w:r>
      <w:r w:rsidRPr="000C66B4">
        <w:t>74.7% (95% CI: 64.2, 82.5) v</w:t>
      </w:r>
      <w:r w:rsidR="00907D5A" w:rsidRPr="000C66B4">
        <w:t>ersus</w:t>
      </w:r>
      <w:r w:rsidRPr="000C66B4">
        <w:t xml:space="preserve"> 62.0% (95% CI: 50.3, 71.7)</w:t>
      </w:r>
      <w:r w:rsidR="00907D5A" w:rsidRPr="000C66B4">
        <w:t>)</w:t>
      </w:r>
      <w:r w:rsidRPr="000C66B4">
        <w:t xml:space="preserve"> and at 9 months </w:t>
      </w:r>
      <w:r w:rsidR="00907D5A" w:rsidRPr="000C66B4">
        <w:t>(</w:t>
      </w:r>
      <w:r w:rsidRPr="000C66B4">
        <w:t>64.3% (95% CI: 52.2, 74.1</w:t>
      </w:r>
      <w:r w:rsidR="00907D5A" w:rsidRPr="000C66B4">
        <w:t>)</w:t>
      </w:r>
      <w:r w:rsidRPr="000C66B4">
        <w:t xml:space="preserve"> v</w:t>
      </w:r>
      <w:r w:rsidR="00907D5A" w:rsidRPr="000C66B4">
        <w:t>ersus</w:t>
      </w:r>
      <w:r w:rsidR="009734FB">
        <w:t xml:space="preserve"> </w:t>
      </w:r>
      <w:r w:rsidRPr="000C66B4">
        <w:t>42.6% (95% CI: 29.5, 55.0)</w:t>
      </w:r>
      <w:r w:rsidR="00907D5A" w:rsidRPr="000C66B4">
        <w:t>)</w:t>
      </w:r>
      <w:r w:rsidRPr="000C66B4">
        <w:t xml:space="preserve">; difference was much lesser at 12 months </w:t>
      </w:r>
      <w:r w:rsidR="00907D5A" w:rsidRPr="000C66B4">
        <w:t>(</w:t>
      </w:r>
      <w:r w:rsidRPr="000C66B4">
        <w:t>34.9% (17.2, 46.0) v</w:t>
      </w:r>
      <w:r w:rsidR="00907D5A" w:rsidRPr="000C66B4">
        <w:t>ersus</w:t>
      </w:r>
      <w:r w:rsidRPr="000C66B4">
        <w:t xml:space="preserve"> 26.6% (14.6, 40.2</w:t>
      </w:r>
      <w:r w:rsidR="00907D5A" w:rsidRPr="000C66B4">
        <w:t>))</w:t>
      </w:r>
      <w:r w:rsidRPr="000C66B4">
        <w:t xml:space="preserve"> although interpretation was limited by smaller number of patients at risk (n</w:t>
      </w:r>
      <w:r w:rsidR="00907D5A" w:rsidRPr="000C66B4">
        <w:t> </w:t>
      </w:r>
      <w:r w:rsidRPr="000C66B4">
        <w:t>=</w:t>
      </w:r>
      <w:r w:rsidR="00907D5A" w:rsidRPr="000C66B4">
        <w:t> </w:t>
      </w:r>
      <w:r w:rsidRPr="000C66B4">
        <w:t>11 and 9 in Arms A and B, respectively).</w:t>
      </w:r>
    </w:p>
    <w:p w14:paraId="35E2A047" w14:textId="33FE7868" w:rsidR="00427772" w:rsidRPr="00272ECE" w:rsidRDefault="00C03019" w:rsidP="002C4900">
      <w:pPr>
        <w:pStyle w:val="FigureTitle"/>
      </w:pPr>
      <w:r w:rsidRPr="00272ECE">
        <w:lastRenderedPageBreak/>
        <w:t xml:space="preserve">Figure </w:t>
      </w:r>
      <w:r w:rsidR="00CA21F6">
        <w:fldChar w:fldCharType="begin"/>
      </w:r>
      <w:r w:rsidR="00CA21F6">
        <w:instrText xml:space="preserve"> SEQ Figure \* ARABIC </w:instrText>
      </w:r>
      <w:r w:rsidR="00CA21F6">
        <w:fldChar w:fldCharType="separate"/>
      </w:r>
      <w:r w:rsidR="00CA21F6" w:rsidRPr="00272ECE">
        <w:t>4</w:t>
      </w:r>
      <w:r w:rsidR="00CA21F6">
        <w:fldChar w:fldCharType="end"/>
      </w:r>
      <w:r w:rsidRPr="00272ECE">
        <w:t>: Kaplan-Meier plot of progression free survival based on independent review committee assessments, intention to treat population</w:t>
      </w:r>
    </w:p>
    <w:p w14:paraId="6A8245C6" w14:textId="77777777" w:rsidR="00FC3C18" w:rsidRPr="00272ECE" w:rsidRDefault="00FC3C18" w:rsidP="002C4900">
      <w:pPr>
        <w:rPr>
          <w:b/>
        </w:rPr>
      </w:pPr>
      <w:r w:rsidRPr="00272ECE">
        <w:rPr>
          <w:noProof/>
          <w:lang w:eastAsia="en-AU"/>
        </w:rPr>
        <w:drawing>
          <wp:inline distT="0" distB="0" distL="0" distR="0" wp14:anchorId="61C377C4" wp14:editId="2B27304E">
            <wp:extent cx="5541010" cy="3463925"/>
            <wp:effectExtent l="0" t="0" r="2540" b="3175"/>
            <wp:docPr id="18" name="Picture 18" descr="Figure 4: Kaplan-Meier plot of progression free survival based on independent review committee assessments, intention to treat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4: Kaplan-Meier plot of progression free survival based on independent review committee assessments, intention to treat population"/>
                    <pic:cNvPicPr/>
                  </pic:nvPicPr>
                  <pic:blipFill rotWithShape="1">
                    <a:blip r:embed="rId31"/>
                    <a:srcRect l="3324"/>
                    <a:stretch>
                      <a:fillRect/>
                    </a:stretch>
                  </pic:blipFill>
                  <pic:spPr bwMode="auto">
                    <a:xfrm>
                      <a:off x="0" y="0"/>
                      <a:ext cx="5541010" cy="3463925"/>
                    </a:xfrm>
                    <a:prstGeom prst="rect">
                      <a:avLst/>
                    </a:prstGeom>
                    <a:ln>
                      <a:noFill/>
                    </a:ln>
                    <a:extLst>
                      <a:ext uri="{53640926-AAD7-44D8-BBD7-CCE9431645EC}">
                        <a14:shadowObscured xmlns:a14="http://schemas.microsoft.com/office/drawing/2010/main"/>
                      </a:ext>
                    </a:extLst>
                  </pic:spPr>
                </pic:pic>
              </a:graphicData>
            </a:graphic>
          </wp:inline>
        </w:drawing>
      </w:r>
    </w:p>
    <w:p w14:paraId="22BBA096" w14:textId="2E43E13F" w:rsidR="00FC3C18" w:rsidRPr="00272ECE" w:rsidRDefault="00FC3C18" w:rsidP="002C4900">
      <w:r w:rsidRPr="00272ECE">
        <w:t>Sensitivity analyses of IRC</w:t>
      </w:r>
      <w:r w:rsidR="00C03019" w:rsidRPr="00272ECE">
        <w:t xml:space="preserve"> </w:t>
      </w:r>
      <w:r w:rsidRPr="00272ECE">
        <w:t>assessed PFS were consistent with primary efficacy results.</w:t>
      </w:r>
    </w:p>
    <w:p w14:paraId="130C644D" w14:textId="54B366DA" w:rsidR="00FC3C18" w:rsidRPr="00272ECE" w:rsidRDefault="005B69FF" w:rsidP="002C4900">
      <w:pPr>
        <w:pStyle w:val="Heading6"/>
      </w:pPr>
      <w:r w:rsidRPr="00272ECE">
        <w:t>Results for k</w:t>
      </w:r>
      <w:r w:rsidR="00FC3C18" w:rsidRPr="00272ECE">
        <w:t>ey secondary endpoint</w:t>
      </w:r>
      <w:r w:rsidRPr="00272ECE">
        <w:t>s</w:t>
      </w:r>
    </w:p>
    <w:p w14:paraId="7CF5AC0A" w14:textId="2F2FA76C" w:rsidR="005B69FF" w:rsidRPr="00272ECE" w:rsidRDefault="005B69FF" w:rsidP="002C4900">
      <w:pPr>
        <w:pStyle w:val="Heading7"/>
      </w:pPr>
      <w:r w:rsidRPr="00272ECE">
        <w:t>Overall survival</w:t>
      </w:r>
    </w:p>
    <w:p w14:paraId="5D708E3A" w14:textId="4986A8AB" w:rsidR="00FC3C18" w:rsidRPr="00272ECE" w:rsidRDefault="00FC3C18" w:rsidP="002C4900">
      <w:r w:rsidRPr="00272ECE">
        <w:t xml:space="preserve">At the time of data cutoff for original </w:t>
      </w:r>
      <w:r w:rsidR="00720E51" w:rsidRPr="00272ECE">
        <w:t>clinical study report</w:t>
      </w:r>
      <w:r w:rsidRPr="00272ECE">
        <w:t xml:space="preserve">, </w:t>
      </w:r>
      <w:r w:rsidR="00720E51" w:rsidRPr="00272ECE">
        <w:t xml:space="preserve">overall </w:t>
      </w:r>
      <w:r w:rsidR="00720E51" w:rsidRPr="00DD7A9A">
        <w:t>survival (</w:t>
      </w:r>
      <w:r w:rsidRPr="00DD7A9A">
        <w:t>OS</w:t>
      </w:r>
      <w:r w:rsidR="00720E51" w:rsidRPr="00DD7A9A">
        <w:t>)</w:t>
      </w:r>
      <w:r w:rsidRPr="00DD7A9A">
        <w:t xml:space="preserve"> data</w:t>
      </w:r>
      <w:r w:rsidRPr="00272ECE">
        <w:t xml:space="preserve"> were immature, though no OS detriment for pirtobrutinib was observed [16.8% (20</w:t>
      </w:r>
      <w:r w:rsidR="00751CAB" w:rsidRPr="00272ECE">
        <w:t xml:space="preserve"> out of </w:t>
      </w:r>
      <w:r w:rsidRPr="00272ECE">
        <w:t>119) v</w:t>
      </w:r>
      <w:r w:rsidR="00751CAB" w:rsidRPr="00272ECE">
        <w:t xml:space="preserve">ersus </w:t>
      </w:r>
      <w:r w:rsidRPr="00272ECE">
        <w:t>18.5% (22</w:t>
      </w:r>
      <w:r w:rsidR="00751CAB" w:rsidRPr="00272ECE">
        <w:t xml:space="preserve"> out of </w:t>
      </w:r>
      <w:r w:rsidRPr="00272ECE">
        <w:t>119); HR</w:t>
      </w:r>
      <w:r w:rsidR="00751CAB" w:rsidRPr="00272ECE">
        <w:t> </w:t>
      </w:r>
      <w:r w:rsidRPr="00272ECE">
        <w:t>=</w:t>
      </w:r>
      <w:r w:rsidR="00751CAB" w:rsidRPr="00272ECE">
        <w:t> </w:t>
      </w:r>
      <w:r w:rsidRPr="00272ECE">
        <w:t>0.869, 95% CI 0.473, 1.596, p</w:t>
      </w:r>
      <w:r w:rsidR="00751CAB" w:rsidRPr="00272ECE">
        <w:t> </w:t>
      </w:r>
      <w:r w:rsidRPr="00272ECE">
        <w:t>=</w:t>
      </w:r>
      <w:r w:rsidR="00751CAB" w:rsidRPr="00272ECE">
        <w:t> </w:t>
      </w:r>
      <w:r w:rsidRPr="00272ECE">
        <w:t>0.649</w:t>
      </w:r>
      <w:r w:rsidR="00751CAB" w:rsidRPr="00272ECE">
        <w:t>)</w:t>
      </w:r>
      <w:r w:rsidRPr="00272ECE">
        <w:t>. The OS rate at 9</w:t>
      </w:r>
      <w:r w:rsidR="00751CAB" w:rsidRPr="00272ECE">
        <w:t> </w:t>
      </w:r>
      <w:r w:rsidRPr="00272ECE">
        <w:t xml:space="preserve">months was 83.9% and 83.2% in treatment arms A and B, respectively. In the sensitivity analysis, 5 patients with deaths after crossover from Arm B were censored, resulting in 20 (16.8%) patient deaths that occurred in Arm A, and 17 (14.3%) patient deaths that occurred in Arm B </w:t>
      </w:r>
      <w:r w:rsidR="00751CAB" w:rsidRPr="00272ECE">
        <w:t>(</w:t>
      </w:r>
      <w:r w:rsidRPr="00272ECE">
        <w:t>HR was 0.895 (95% CI: 0.464, 1.724)</w:t>
      </w:r>
      <w:r w:rsidR="00751CAB" w:rsidRPr="00272ECE">
        <w:t>)</w:t>
      </w:r>
      <w:r w:rsidRPr="00272ECE">
        <w:t xml:space="preserve"> and these results were consistent with the primary OS analysis.</w:t>
      </w:r>
    </w:p>
    <w:p w14:paraId="29232037" w14:textId="34EDE69C" w:rsidR="00751CAB" w:rsidRPr="00272ECE" w:rsidRDefault="00FC3C18" w:rsidP="002C4900">
      <w:pPr>
        <w:pStyle w:val="Heading7"/>
      </w:pPr>
      <w:r w:rsidRPr="00272ECE">
        <w:t>Investigator</w:t>
      </w:r>
      <w:r w:rsidR="00751CAB" w:rsidRPr="00272ECE">
        <w:t xml:space="preserve"> </w:t>
      </w:r>
      <w:r w:rsidRPr="00272ECE">
        <w:t xml:space="preserve">assessed </w:t>
      </w:r>
      <w:r w:rsidR="00751CAB" w:rsidRPr="00272ECE">
        <w:t>progression free survival</w:t>
      </w:r>
    </w:p>
    <w:p w14:paraId="420D2003" w14:textId="74D3EA4D" w:rsidR="00FC3C18" w:rsidRPr="00272ECE" w:rsidRDefault="00FC3C18" w:rsidP="002C4900">
      <w:r w:rsidRPr="00272ECE">
        <w:t>Investigator</w:t>
      </w:r>
      <w:r w:rsidR="00751CAB" w:rsidRPr="00272ECE">
        <w:t xml:space="preserve"> </w:t>
      </w:r>
      <w:r w:rsidRPr="00272ECE">
        <w:t>assessed PFS showed improvement for pirtobrutinib monotherapy compared to Arm B (HR</w:t>
      </w:r>
      <w:r w:rsidR="00A77C83" w:rsidRPr="00272ECE">
        <w:t> </w:t>
      </w:r>
      <w:r w:rsidRPr="00272ECE">
        <w:t>=</w:t>
      </w:r>
      <w:r w:rsidR="00A77C83" w:rsidRPr="00272ECE">
        <w:t> </w:t>
      </w:r>
      <w:r w:rsidRPr="00272ECE">
        <w:t>0.467; 95% CI: 0.303, 0.721) with results consistent with IRC</w:t>
      </w:r>
      <w:r w:rsidR="00A77C83" w:rsidRPr="00272ECE">
        <w:t xml:space="preserve"> </w:t>
      </w:r>
      <w:r w:rsidRPr="00272ECE">
        <w:t>assessed PFS discussed above. The concordance rate between IRC</w:t>
      </w:r>
      <w:r w:rsidR="00A77C83" w:rsidRPr="00272ECE">
        <w:t xml:space="preserve"> </w:t>
      </w:r>
      <w:r w:rsidRPr="00272ECE">
        <w:t xml:space="preserve">and </w:t>
      </w:r>
      <w:r w:rsidR="00B96F0C" w:rsidRPr="00272ECE">
        <w:t>i</w:t>
      </w:r>
      <w:r w:rsidRPr="00272ECE">
        <w:t>nvestigator</w:t>
      </w:r>
      <w:r w:rsidR="00A77C83" w:rsidRPr="00272ECE">
        <w:t xml:space="preserve"> </w:t>
      </w:r>
      <w:r w:rsidRPr="00272ECE">
        <w:t xml:space="preserve">assessed </w:t>
      </w:r>
      <w:r w:rsidRPr="00DD7A9A">
        <w:t>PD</w:t>
      </w:r>
      <w:r w:rsidRPr="00272ECE">
        <w:t xml:space="preserve"> was similar in the pirtobrutinib </w:t>
      </w:r>
      <w:r w:rsidR="00A77C83" w:rsidRPr="00272ECE">
        <w:t>(</w:t>
      </w:r>
      <w:r w:rsidRPr="00272ECE">
        <w:t>86.6% (95% CI: 79.1, 92.1)</w:t>
      </w:r>
      <w:r w:rsidR="00A77C83" w:rsidRPr="00272ECE">
        <w:t>)</w:t>
      </w:r>
      <w:r w:rsidRPr="00272ECE">
        <w:t xml:space="preserve"> and </w:t>
      </w:r>
      <w:proofErr w:type="spellStart"/>
      <w:r w:rsidRPr="00272ECE">
        <w:t>IdelaR</w:t>
      </w:r>
      <w:proofErr w:type="spellEnd"/>
      <w:r w:rsidRPr="00272ECE">
        <w:t xml:space="preserve"> or </w:t>
      </w:r>
      <w:proofErr w:type="spellStart"/>
      <w:r w:rsidRPr="00272ECE">
        <w:t>BendaR</w:t>
      </w:r>
      <w:proofErr w:type="spellEnd"/>
      <w:r w:rsidRPr="00272ECE">
        <w:t xml:space="preserve"> </w:t>
      </w:r>
      <w:r w:rsidR="00A77C83" w:rsidRPr="00272ECE">
        <w:t>(</w:t>
      </w:r>
      <w:r w:rsidRPr="00272ECE">
        <w:t>89.9% (95% CI: 83.0, 94.7)</w:t>
      </w:r>
      <w:r w:rsidR="00A77C83" w:rsidRPr="00272ECE">
        <w:t>)</w:t>
      </w:r>
      <w:r w:rsidRPr="00272ECE">
        <w:t xml:space="preserve"> groups.</w:t>
      </w:r>
    </w:p>
    <w:p w14:paraId="712C8AA7" w14:textId="3E09502A" w:rsidR="00A77C83" w:rsidRPr="00272ECE" w:rsidRDefault="00FC3C18" w:rsidP="00A77C83">
      <w:pPr>
        <w:pStyle w:val="Heading7"/>
      </w:pPr>
      <w:r w:rsidRPr="00272ECE">
        <w:t>O</w:t>
      </w:r>
      <w:r w:rsidR="000E5929" w:rsidRPr="00272ECE">
        <w:t>verall response rate</w:t>
      </w:r>
    </w:p>
    <w:p w14:paraId="0C91DDDF" w14:textId="3F69CBA7" w:rsidR="00FC3C18" w:rsidRPr="00272ECE" w:rsidRDefault="000E5929" w:rsidP="002C4900">
      <w:r w:rsidRPr="00272ECE">
        <w:t>Independent review committee (</w:t>
      </w:r>
      <w:r w:rsidR="00FC3C18" w:rsidRPr="00272ECE">
        <w:t>IRC</w:t>
      </w:r>
      <w:r w:rsidRPr="00272ECE">
        <w:t>)</w:t>
      </w:r>
      <w:r w:rsidR="00A77C83" w:rsidRPr="00272ECE">
        <w:t xml:space="preserve"> a</w:t>
      </w:r>
      <w:r w:rsidR="00FC3C18" w:rsidRPr="00272ECE">
        <w:t xml:space="preserve">ssessed ORR was comparable between pirtobrutinib (Arm A) and </w:t>
      </w:r>
      <w:proofErr w:type="spellStart"/>
      <w:r w:rsidR="00FC3C18" w:rsidRPr="00272ECE">
        <w:t>IdelaR</w:t>
      </w:r>
      <w:proofErr w:type="spellEnd"/>
      <w:r w:rsidR="00FC3C18" w:rsidRPr="00272ECE">
        <w:t xml:space="preserve"> or </w:t>
      </w:r>
      <w:proofErr w:type="spellStart"/>
      <w:r w:rsidR="00FC3C18" w:rsidRPr="00272ECE">
        <w:t>BendaR</w:t>
      </w:r>
      <w:proofErr w:type="spellEnd"/>
      <w:r w:rsidR="00FC3C18" w:rsidRPr="00272ECE">
        <w:t xml:space="preserve"> (Arm B) groups (31.1% v</w:t>
      </w:r>
      <w:r w:rsidRPr="00272ECE">
        <w:t>ersus</w:t>
      </w:r>
      <w:r w:rsidR="00FC3C18" w:rsidRPr="00272ECE">
        <w:t xml:space="preserve"> 29.4%).</w:t>
      </w:r>
      <w:r w:rsidR="005B1AC2" w:rsidRPr="00272ECE">
        <w:t xml:space="preserve"> </w:t>
      </w:r>
      <w:r w:rsidR="00FC3C18" w:rsidRPr="00272ECE">
        <w:t xml:space="preserve">The incidence of </w:t>
      </w:r>
      <w:r w:rsidR="003F7DD0" w:rsidRPr="00272ECE">
        <w:t xml:space="preserve">complete </w:t>
      </w:r>
      <w:r w:rsidR="003F7DD0" w:rsidRPr="00112D2D">
        <w:t>response (</w:t>
      </w:r>
      <w:r w:rsidR="00FC3C18" w:rsidRPr="00112D2D">
        <w:t>CR</w:t>
      </w:r>
      <w:r w:rsidR="003F7DD0" w:rsidRPr="00112D2D">
        <w:t>)</w:t>
      </w:r>
      <w:r w:rsidR="00FC3C18" w:rsidRPr="00112D2D">
        <w:t xml:space="preserve"> was lower in the pirtobrutinib compared to the </w:t>
      </w:r>
      <w:proofErr w:type="spellStart"/>
      <w:r w:rsidR="00FC3C18" w:rsidRPr="00112D2D">
        <w:t>IdelaR</w:t>
      </w:r>
      <w:proofErr w:type="spellEnd"/>
      <w:r w:rsidR="00FC3C18" w:rsidRPr="00112D2D">
        <w:t xml:space="preserve"> or </w:t>
      </w:r>
      <w:proofErr w:type="spellStart"/>
      <w:r w:rsidR="00FC3C18" w:rsidRPr="00112D2D">
        <w:t>BendaR</w:t>
      </w:r>
      <w:proofErr w:type="spellEnd"/>
      <w:r w:rsidR="00FC3C18" w:rsidRPr="00112D2D">
        <w:t xml:space="preserve"> treatment arm (1.7% v</w:t>
      </w:r>
      <w:r w:rsidR="003F7DD0" w:rsidRPr="00112D2D">
        <w:t>ersus</w:t>
      </w:r>
      <w:r w:rsidR="00FC3C18" w:rsidRPr="00112D2D">
        <w:t xml:space="preserve"> 4.2%) while that of </w:t>
      </w:r>
      <w:r w:rsidR="00692D26" w:rsidRPr="00112D2D">
        <w:t>partial response (</w:t>
      </w:r>
      <w:r w:rsidR="00FC3C18" w:rsidRPr="00112D2D">
        <w:t>PR</w:t>
      </w:r>
      <w:r w:rsidR="00692D26" w:rsidRPr="00112D2D">
        <w:t>)</w:t>
      </w:r>
      <w:r w:rsidR="00FC3C18" w:rsidRPr="00112D2D">
        <w:t xml:space="preserve"> (28.6% v</w:t>
      </w:r>
      <w:r w:rsidR="00692D26" w:rsidRPr="00112D2D">
        <w:t>ersus</w:t>
      </w:r>
      <w:r w:rsidR="00FC3C18" w:rsidRPr="00112D2D">
        <w:t xml:space="preserve"> 25.2%), </w:t>
      </w:r>
      <w:r w:rsidR="00E56111" w:rsidRPr="00112D2D">
        <w:t xml:space="preserve">partial </w:t>
      </w:r>
      <w:r w:rsidR="000945D2" w:rsidRPr="00112D2D">
        <w:t>response</w:t>
      </w:r>
      <w:r w:rsidR="00E56111" w:rsidRPr="00112D2D">
        <w:t xml:space="preserve"> with lymphocytosis (</w:t>
      </w:r>
      <w:r w:rsidR="00FC3C18" w:rsidRPr="00112D2D">
        <w:t>PR-L</w:t>
      </w:r>
      <w:r w:rsidR="00E56111" w:rsidRPr="00112D2D">
        <w:t>)</w:t>
      </w:r>
      <w:r w:rsidR="00FC3C18" w:rsidRPr="00112D2D">
        <w:t xml:space="preserve"> (7.6% vs 0</w:t>
      </w:r>
      <w:r w:rsidR="00D152B3">
        <w:t>.8</w:t>
      </w:r>
      <w:r w:rsidR="00FC3C18" w:rsidRPr="00112D2D">
        <w:t xml:space="preserve">%), </w:t>
      </w:r>
      <w:r w:rsidR="005B1AC2" w:rsidRPr="00112D2D">
        <w:t xml:space="preserve">and </w:t>
      </w:r>
      <w:r w:rsidR="00CE1FA7" w:rsidRPr="00112D2D">
        <w:t>standard deviation (</w:t>
      </w:r>
      <w:r w:rsidR="00FC3C18" w:rsidRPr="00112D2D">
        <w:t>SD</w:t>
      </w:r>
      <w:r w:rsidR="00CE1FA7" w:rsidRPr="00112D2D">
        <w:t>)</w:t>
      </w:r>
      <w:r w:rsidR="00FC3C18" w:rsidRPr="00112D2D">
        <w:t xml:space="preserve"> (40.3% v</w:t>
      </w:r>
      <w:r w:rsidR="00CE1FA7" w:rsidRPr="00112D2D">
        <w:t>ersus</w:t>
      </w:r>
      <w:r w:rsidR="00FC3C18" w:rsidRPr="00112D2D">
        <w:t xml:space="preserve"> 29.4%) was higher in the pirtobrutinib arm.</w:t>
      </w:r>
    </w:p>
    <w:p w14:paraId="652C686B" w14:textId="406CBBAB" w:rsidR="005B1AC2" w:rsidRPr="00272ECE" w:rsidRDefault="00A64FB9" w:rsidP="002C4900">
      <w:pPr>
        <w:pStyle w:val="Heading7"/>
      </w:pPr>
      <w:r w:rsidRPr="00272ECE">
        <w:lastRenderedPageBreak/>
        <w:t>Duration of response</w:t>
      </w:r>
    </w:p>
    <w:p w14:paraId="52F97220" w14:textId="78E549C2" w:rsidR="00FC3C18" w:rsidRPr="00272ECE" w:rsidRDefault="00FC3C18" w:rsidP="002C4900">
      <w:r w:rsidRPr="00272ECE">
        <w:t>At the time of data cutoff, the HR comparing IRC</w:t>
      </w:r>
      <w:r w:rsidR="008F51AC" w:rsidRPr="00272ECE">
        <w:t xml:space="preserve"> </w:t>
      </w:r>
      <w:r w:rsidRPr="00272ECE">
        <w:t>assessed</w:t>
      </w:r>
      <w:r w:rsidR="00073BA3">
        <w:t xml:space="preserve"> duration of response</w:t>
      </w:r>
      <w:r w:rsidRPr="00272ECE">
        <w:t xml:space="preserve"> </w:t>
      </w:r>
      <w:r w:rsidR="00073BA3">
        <w:t>(</w:t>
      </w:r>
      <w:r w:rsidRPr="00073BA3">
        <w:t>DOR</w:t>
      </w:r>
      <w:r w:rsidR="00073BA3">
        <w:t>)</w:t>
      </w:r>
      <w:r w:rsidRPr="00272ECE">
        <w:t xml:space="preserve"> of PR or better between Arm A and Arm B was 0.909 (95% CI: 0.379, 2.176), and the CI includes unity </w:t>
      </w:r>
      <w:r w:rsidR="00233948" w:rsidRPr="00272ECE">
        <w:t>(</w:t>
      </w:r>
      <w:r w:rsidRPr="00272ECE">
        <w:t xml:space="preserve">median DOR at time of </w:t>
      </w:r>
      <w:r w:rsidR="006306EB" w:rsidRPr="00272ECE">
        <w:t>data cutoff</w:t>
      </w:r>
      <w:r w:rsidRPr="00272ECE">
        <w:t xml:space="preserve"> was 8.57 and 9.43 months in arms A and B, respectively</w:t>
      </w:r>
      <w:r w:rsidR="00233948" w:rsidRPr="00272ECE">
        <w:t>)</w:t>
      </w:r>
      <w:r w:rsidRPr="00272ECE">
        <w:t>. For IRC</w:t>
      </w:r>
      <w:r w:rsidR="006306EB" w:rsidRPr="00272ECE">
        <w:t xml:space="preserve"> </w:t>
      </w:r>
      <w:r w:rsidRPr="00272ECE">
        <w:t xml:space="preserve">assessed DOR of PR-L or better, the HR comparing Arm A and Arm B is 0.640 (95% CI: 0.277, 1.482) </w:t>
      </w:r>
      <w:r w:rsidR="006306EB" w:rsidRPr="00272ECE">
        <w:t>(</w:t>
      </w:r>
      <w:r w:rsidRPr="00272ECE">
        <w:t>median DOR was 11.07 and 9.43 months, respectively</w:t>
      </w:r>
      <w:r w:rsidR="006306EB" w:rsidRPr="00272ECE">
        <w:t>)</w:t>
      </w:r>
      <w:r w:rsidRPr="00272ECE">
        <w:rPr>
          <w:b/>
        </w:rPr>
        <w:t>.</w:t>
      </w:r>
    </w:p>
    <w:p w14:paraId="469C25B8" w14:textId="460E2A52" w:rsidR="00FC3C18" w:rsidRPr="00272ECE" w:rsidRDefault="00FC3C18" w:rsidP="002C4900">
      <w:r w:rsidRPr="00272ECE">
        <w:t xml:space="preserve">Similar results were observed for HR comparing </w:t>
      </w:r>
      <w:r w:rsidR="00B96F0C" w:rsidRPr="00272ECE">
        <w:t>i</w:t>
      </w:r>
      <w:r w:rsidRPr="00272ECE">
        <w:t>nvestigator</w:t>
      </w:r>
      <w:r w:rsidR="00B96F0C" w:rsidRPr="00272ECE">
        <w:t xml:space="preserve"> </w:t>
      </w:r>
      <w:r w:rsidRPr="00272ECE">
        <w:t xml:space="preserve">assessed DOR of PR or better between arms </w:t>
      </w:r>
      <w:r w:rsidR="00D76E46" w:rsidRPr="00272ECE">
        <w:t>(</w:t>
      </w:r>
      <w:r w:rsidRPr="00272ECE">
        <w:t>0.531 (95% CI: 0.251, 1.125); median DOR was 11.07 v</w:t>
      </w:r>
      <w:r w:rsidR="00D76E46" w:rsidRPr="00272ECE">
        <w:t>ersus</w:t>
      </w:r>
      <w:r w:rsidRPr="00272ECE">
        <w:t xml:space="preserve"> 8.64 months</w:t>
      </w:r>
      <w:r w:rsidR="00D76E46" w:rsidRPr="00272ECE">
        <w:t>)</w:t>
      </w:r>
      <w:r w:rsidRPr="00272ECE">
        <w:t xml:space="preserve"> and </w:t>
      </w:r>
      <w:r w:rsidR="00D76E46" w:rsidRPr="00272ECE">
        <w:t>i</w:t>
      </w:r>
      <w:r w:rsidRPr="00272ECE">
        <w:t>nvestigator</w:t>
      </w:r>
      <w:r w:rsidR="00D76E46" w:rsidRPr="00272ECE">
        <w:t xml:space="preserve"> </w:t>
      </w:r>
      <w:r w:rsidRPr="00272ECE">
        <w:t xml:space="preserve">assessed DOR of PR-L or better </w:t>
      </w:r>
      <w:r w:rsidR="00D76E46" w:rsidRPr="00272ECE">
        <w:t>(</w:t>
      </w:r>
      <w:r w:rsidRPr="00272ECE">
        <w:t xml:space="preserve">0.625 (95% CI: 0.303, 1.290); median DOR was 11.07 </w:t>
      </w:r>
      <w:r w:rsidR="00D76E46" w:rsidRPr="00272ECE">
        <w:t xml:space="preserve">versus </w:t>
      </w:r>
      <w:r w:rsidRPr="00272ECE">
        <w:t>11.07 months</w:t>
      </w:r>
      <w:r w:rsidR="00D76E46" w:rsidRPr="00272ECE">
        <w:t>)</w:t>
      </w:r>
      <w:r w:rsidRPr="00272ECE">
        <w:t>.</w:t>
      </w:r>
    </w:p>
    <w:p w14:paraId="5494F946" w14:textId="2E055870" w:rsidR="007A1C0A" w:rsidRPr="00272ECE" w:rsidRDefault="007A1C0A" w:rsidP="002C4900">
      <w:pPr>
        <w:pStyle w:val="Heading7"/>
      </w:pPr>
      <w:r w:rsidRPr="00272ECE">
        <w:t>Event free survival</w:t>
      </w:r>
    </w:p>
    <w:p w14:paraId="6F5FD37D" w14:textId="4172611C" w:rsidR="00FC3C18" w:rsidRPr="00272ECE" w:rsidRDefault="00FC3C18" w:rsidP="002C4900">
      <w:r w:rsidRPr="00272ECE">
        <w:t xml:space="preserve">The </w:t>
      </w:r>
      <w:r w:rsidR="00A1632B">
        <w:t xml:space="preserve">event free </w:t>
      </w:r>
      <w:r w:rsidR="00A1632B" w:rsidRPr="00D65152">
        <w:t>survival (</w:t>
      </w:r>
      <w:r w:rsidRPr="00D65152">
        <w:t>EFS</w:t>
      </w:r>
      <w:r w:rsidR="00A1632B" w:rsidRPr="00D65152">
        <w:t>)</w:t>
      </w:r>
      <w:r w:rsidRPr="00D65152">
        <w:t xml:space="preserve"> results</w:t>
      </w:r>
      <w:r w:rsidRPr="00272ECE">
        <w:t xml:space="preserve"> based on Investigator assessments showed improvement for pirtobrutinib monotherapy compared to Arm B (HR</w:t>
      </w:r>
      <w:r w:rsidR="003B6973" w:rsidRPr="00272ECE">
        <w:t> </w:t>
      </w:r>
      <w:r w:rsidRPr="00272ECE">
        <w:t>=</w:t>
      </w:r>
      <w:r w:rsidR="003B6973" w:rsidRPr="00272ECE">
        <w:t> </w:t>
      </w:r>
      <w:r w:rsidRPr="00272ECE">
        <w:t xml:space="preserve">0.398; 95% CI: 0.265, 0.599). The median EFS by </w:t>
      </w:r>
      <w:r w:rsidR="003B6973" w:rsidRPr="00272ECE">
        <w:t>i</w:t>
      </w:r>
      <w:r w:rsidRPr="00272ECE">
        <w:t xml:space="preserve">nvestigator assessment was 11.40 and 7.26 months for Arm A and B, respectively; median EFS follow-up time was 8.28 and 8.34 months, respectively. The EFS rates were higher in the </w:t>
      </w:r>
      <w:proofErr w:type="spellStart"/>
      <w:r w:rsidRPr="00272ECE">
        <w:t>pirtobrutinib</w:t>
      </w:r>
      <w:proofErr w:type="spellEnd"/>
      <w:r w:rsidRPr="00272ECE">
        <w:t xml:space="preserve"> v</w:t>
      </w:r>
      <w:r w:rsidR="00867A39" w:rsidRPr="00272ECE">
        <w:t>ersus</w:t>
      </w:r>
      <w:r w:rsidRPr="00272ECE">
        <w:t xml:space="preserve"> </w:t>
      </w:r>
      <w:proofErr w:type="spellStart"/>
      <w:r w:rsidRPr="00272ECE">
        <w:t>IdelaR</w:t>
      </w:r>
      <w:proofErr w:type="spellEnd"/>
      <w:r w:rsidRPr="00272ECE">
        <w:t xml:space="preserve"> or </w:t>
      </w:r>
      <w:proofErr w:type="spellStart"/>
      <w:r w:rsidRPr="00272ECE">
        <w:t>BendaR</w:t>
      </w:r>
      <w:proofErr w:type="spellEnd"/>
      <w:r w:rsidRPr="00272ECE">
        <w:t xml:space="preserve"> group at 6 months (73.5% v</w:t>
      </w:r>
      <w:r w:rsidR="00867A39" w:rsidRPr="00272ECE">
        <w:t>ersus</w:t>
      </w:r>
      <w:r w:rsidRPr="00272ECE">
        <w:t xml:space="preserve"> 52.8%) and at 9</w:t>
      </w:r>
      <w:r w:rsidR="00867A39" w:rsidRPr="00272ECE">
        <w:t> </w:t>
      </w:r>
      <w:r w:rsidRPr="00272ECE">
        <w:t>months (65.5% v</w:t>
      </w:r>
      <w:r w:rsidR="00867A39" w:rsidRPr="00272ECE">
        <w:t>ersus</w:t>
      </w:r>
      <w:r w:rsidRPr="00272ECE">
        <w:t xml:space="preserve"> 37.8%).</w:t>
      </w:r>
    </w:p>
    <w:p w14:paraId="6B455159" w14:textId="11C406CB" w:rsidR="00867A39" w:rsidRPr="00272ECE" w:rsidRDefault="009B7C61" w:rsidP="002C4900">
      <w:pPr>
        <w:pStyle w:val="Heading7"/>
      </w:pPr>
      <w:r w:rsidRPr="00272ECE">
        <w:t>Time to next treatment</w:t>
      </w:r>
    </w:p>
    <w:p w14:paraId="4A4165D6" w14:textId="5BC8B956" w:rsidR="00FC3C18" w:rsidRPr="00272ECE" w:rsidRDefault="00FC3C18" w:rsidP="002C4900">
      <w:r w:rsidRPr="00272ECE">
        <w:t xml:space="preserve">The </w:t>
      </w:r>
      <w:r w:rsidR="00E17873">
        <w:t xml:space="preserve">time to next </w:t>
      </w:r>
      <w:r w:rsidR="00E17873" w:rsidRPr="00E17873">
        <w:t>treatment (</w:t>
      </w:r>
      <w:r w:rsidRPr="00E17873">
        <w:t>TTNT</w:t>
      </w:r>
      <w:r w:rsidR="00E17873">
        <w:t>)</w:t>
      </w:r>
      <w:r w:rsidRPr="00272ECE">
        <w:t xml:space="preserve"> results based on </w:t>
      </w:r>
      <w:r w:rsidR="009B7C61" w:rsidRPr="00272ECE">
        <w:t>i</w:t>
      </w:r>
      <w:r w:rsidRPr="00272ECE">
        <w:t>nvestigator assessments showed improvement for pirtobrutinib monotherapy compared to Arm B (HR</w:t>
      </w:r>
      <w:r w:rsidR="009B7C61" w:rsidRPr="00272ECE">
        <w:t> </w:t>
      </w:r>
      <w:r w:rsidRPr="00272ECE">
        <w:t>=</w:t>
      </w:r>
      <w:r w:rsidR="009B7C61" w:rsidRPr="00272ECE">
        <w:t> </w:t>
      </w:r>
      <w:r w:rsidRPr="00272ECE">
        <w:t>0.402; 95% CI: 0.251, 0.645; p</w:t>
      </w:r>
      <w:r w:rsidR="009B7C61" w:rsidRPr="00272ECE">
        <w:t> </w:t>
      </w:r>
      <w:r w:rsidRPr="00272ECE">
        <w:t>=</w:t>
      </w:r>
      <w:r w:rsidR="009B7C61" w:rsidRPr="00272ECE">
        <w:t> </w:t>
      </w:r>
      <w:r w:rsidRPr="00272ECE">
        <w:t>&lt;0.001). Median TTNT was not reached for Arm A, and it was 10.64 months for Arm B</w:t>
      </w:r>
      <w:r w:rsidR="0083598E" w:rsidRPr="00272ECE">
        <w:t xml:space="preserve">. </w:t>
      </w:r>
      <w:r w:rsidRPr="00272ECE">
        <w:t xml:space="preserve">Subsequent anticancer therapy was received by 11 (9.2%) patients in Arm A and by 9 (7.6%) patients in Arm B (not including therapy after crossover in this study). Subsequent therapy of pirtobrutinib after crossover was received by 29 (24.4%) patients in Arm B who had previously received </w:t>
      </w:r>
      <w:proofErr w:type="spellStart"/>
      <w:r w:rsidRPr="00272ECE">
        <w:t>IdelaR</w:t>
      </w:r>
      <w:proofErr w:type="spellEnd"/>
      <w:r w:rsidRPr="00272ECE">
        <w:t xml:space="preserve"> or </w:t>
      </w:r>
      <w:proofErr w:type="spellStart"/>
      <w:r w:rsidRPr="00272ECE">
        <w:t>BendaR</w:t>
      </w:r>
      <w:proofErr w:type="spellEnd"/>
      <w:r w:rsidRPr="00272ECE">
        <w:t xml:space="preserve">. The proportion of patients remaining free of next treatment was numerically higher for </w:t>
      </w:r>
      <w:proofErr w:type="spellStart"/>
      <w:r w:rsidRPr="00272ECE">
        <w:t>pirtobrutinib</w:t>
      </w:r>
      <w:proofErr w:type="spellEnd"/>
      <w:r w:rsidRPr="00272ECE">
        <w:t xml:space="preserve"> </w:t>
      </w:r>
      <w:r w:rsidR="0083598E" w:rsidRPr="00272ECE">
        <w:t>versus</w:t>
      </w:r>
      <w:r w:rsidRPr="00272ECE">
        <w:t xml:space="preserve"> </w:t>
      </w:r>
      <w:proofErr w:type="spellStart"/>
      <w:r w:rsidRPr="00272ECE">
        <w:t>IdelaR</w:t>
      </w:r>
      <w:proofErr w:type="spellEnd"/>
      <w:r w:rsidRPr="00272ECE">
        <w:t xml:space="preserve"> or </w:t>
      </w:r>
      <w:proofErr w:type="spellStart"/>
      <w:r w:rsidRPr="00272ECE">
        <w:t>BendaR</w:t>
      </w:r>
      <w:proofErr w:type="spellEnd"/>
      <w:r w:rsidRPr="00272ECE">
        <w:t xml:space="preserve"> group beginning at 3 months (95.5% v</w:t>
      </w:r>
      <w:r w:rsidR="0083598E" w:rsidRPr="00272ECE">
        <w:t>ersus</w:t>
      </w:r>
      <w:r w:rsidRPr="00272ECE">
        <w:t xml:space="preserve"> 84.3%) and continuing through 18 months (54.6% v</w:t>
      </w:r>
      <w:r w:rsidR="0083598E" w:rsidRPr="00272ECE">
        <w:t>ersus</w:t>
      </w:r>
      <w:r w:rsidRPr="00272ECE">
        <w:t xml:space="preserve"> 29.6%).</w:t>
      </w:r>
    </w:p>
    <w:p w14:paraId="2E2279E5" w14:textId="58F4DDDF" w:rsidR="00F525AF" w:rsidRPr="002C4900" w:rsidRDefault="00FC3C18" w:rsidP="002C4900">
      <w:pPr>
        <w:pStyle w:val="Heading6"/>
      </w:pPr>
      <w:r w:rsidRPr="002C4900">
        <w:rPr>
          <w:rStyle w:val="Heading6Char"/>
          <w:b/>
          <w:bCs/>
          <w:i/>
        </w:rPr>
        <w:t xml:space="preserve">Results from the updated </w:t>
      </w:r>
      <w:r w:rsidR="00E6025C" w:rsidRPr="002C4900">
        <w:rPr>
          <w:rStyle w:val="Heading6Char"/>
          <w:b/>
          <w:bCs/>
          <w:i/>
        </w:rPr>
        <w:t xml:space="preserve">clinical study report </w:t>
      </w:r>
      <w:r w:rsidRPr="002C4900">
        <w:rPr>
          <w:rStyle w:val="Heading6Char"/>
          <w:b/>
          <w:bCs/>
          <w:i/>
        </w:rPr>
        <w:t>addendum</w:t>
      </w:r>
    </w:p>
    <w:p w14:paraId="12F56C30" w14:textId="0D7C6CDA" w:rsidR="00FC3C18" w:rsidRPr="00272ECE" w:rsidRDefault="00FC3C18" w:rsidP="002C4900">
      <w:r w:rsidRPr="00272ECE">
        <w:t xml:space="preserve">The </w:t>
      </w:r>
      <w:r w:rsidR="00644B3E" w:rsidRPr="00272ECE">
        <w:t>clinical study report a</w:t>
      </w:r>
      <w:r w:rsidRPr="00272ECE">
        <w:t xml:space="preserve">ddendum presented follow-up efficacy and safety analyses, and a prespecified final </w:t>
      </w:r>
      <w:r w:rsidR="008268EA">
        <w:t>OS</w:t>
      </w:r>
      <w:r w:rsidRPr="00272ECE">
        <w:t xml:space="preserve"> analysis, at a time point that is 12 months after the database cutoff for the primary analysis.</w:t>
      </w:r>
      <w:r w:rsidR="00644B3E" w:rsidRPr="00272ECE">
        <w:t xml:space="preserve"> Data cutoff of 29 August 2024.</w:t>
      </w:r>
    </w:p>
    <w:p w14:paraId="5818710E" w14:textId="1EABE46A" w:rsidR="00A0181C" w:rsidRPr="00272ECE" w:rsidRDefault="00FC3C18" w:rsidP="002C4900">
      <w:pPr>
        <w:pStyle w:val="Heading7"/>
      </w:pPr>
      <w:r w:rsidRPr="00272ECE">
        <w:t>Progression free survival</w:t>
      </w:r>
    </w:p>
    <w:p w14:paraId="6C441D2A" w14:textId="159DFB6E" w:rsidR="00FC3C18" w:rsidRPr="00272ECE" w:rsidRDefault="00FC3C18" w:rsidP="002C4900">
      <w:r w:rsidRPr="00272ECE">
        <w:t>Longer follow-up from the primary analysis (median follow-up time was 19.35 and 17.74</w:t>
      </w:r>
      <w:r w:rsidR="00A0181C" w:rsidRPr="00272ECE">
        <w:t> </w:t>
      </w:r>
      <w:r w:rsidRPr="00272ECE">
        <w:t>months in Arms A and B, respectively) allowed the PFS data to further mature and pirtobrutinib monotherapy continued to show a clinically meaningful benefit in IRC</w:t>
      </w:r>
      <w:r w:rsidR="00E90045" w:rsidRPr="00272ECE">
        <w:t xml:space="preserve"> </w:t>
      </w:r>
      <w:r w:rsidRPr="00272ECE">
        <w:t>assessed PFS compared to Arm B (</w:t>
      </w:r>
      <w:proofErr w:type="spellStart"/>
      <w:r w:rsidRPr="00272ECE">
        <w:t>IdelaR</w:t>
      </w:r>
      <w:proofErr w:type="spellEnd"/>
      <w:r w:rsidRPr="00272ECE">
        <w:t xml:space="preserve"> or </w:t>
      </w:r>
      <w:proofErr w:type="spellStart"/>
      <w:r w:rsidRPr="00272ECE">
        <w:t>BendaR</w:t>
      </w:r>
      <w:proofErr w:type="spellEnd"/>
      <w:r w:rsidRPr="00272ECE">
        <w:t>) with a HR of 0.536 (95% CI: 0.385, 0.746; p</w:t>
      </w:r>
      <w:r w:rsidR="00E90045" w:rsidRPr="00272ECE">
        <w:t> </w:t>
      </w:r>
      <w:r w:rsidRPr="00272ECE">
        <w:t>=</w:t>
      </w:r>
      <w:r w:rsidR="00E90045" w:rsidRPr="00272ECE">
        <w:t> </w:t>
      </w:r>
      <w:r w:rsidRPr="00272ECE">
        <w:t>0.0002). Estimated PFS rates were consistently higher in the pirtobrutinib treatment arm at all time points up to 24 months.</w:t>
      </w:r>
    </w:p>
    <w:p w14:paraId="3A747811" w14:textId="5142C464" w:rsidR="00FC3C18" w:rsidRPr="00272ECE" w:rsidRDefault="00E90045" w:rsidP="002C4900">
      <w:pPr>
        <w:pStyle w:val="TableTitle"/>
      </w:pPr>
      <w:r w:rsidRPr="00272ECE">
        <w:t xml:space="preserve">Table </w:t>
      </w:r>
      <w:r w:rsidR="00B960D6">
        <w:rPr>
          <w:b w:val="0"/>
        </w:rPr>
        <w:fldChar w:fldCharType="begin"/>
      </w:r>
      <w:r w:rsidR="00B960D6">
        <w:rPr>
          <w:b w:val="0"/>
        </w:rPr>
        <w:instrText xml:space="preserve"> SEQ Table \* ARABIC </w:instrText>
      </w:r>
      <w:r w:rsidR="00B960D6">
        <w:rPr>
          <w:b w:val="0"/>
        </w:rPr>
        <w:fldChar w:fldCharType="separate"/>
      </w:r>
      <w:r w:rsidR="00B960D6" w:rsidRPr="00272ECE">
        <w:t>7</w:t>
      </w:r>
      <w:r w:rsidR="00B960D6">
        <w:rPr>
          <w:b w:val="0"/>
        </w:rPr>
        <w:fldChar w:fldCharType="end"/>
      </w:r>
      <w:r w:rsidRPr="00272ECE">
        <w:t xml:space="preserve">: Study 20020 </w:t>
      </w:r>
      <w:r w:rsidR="00145CFD" w:rsidRPr="00272ECE">
        <w:t xml:space="preserve">clinical study report </w:t>
      </w:r>
      <w:r w:rsidRPr="00272ECE">
        <w:t xml:space="preserve">addendum </w:t>
      </w:r>
      <w:r w:rsidR="00145CFD" w:rsidRPr="00272ECE">
        <w:t>progressions free survival b</w:t>
      </w:r>
      <w:r w:rsidRPr="00272ECE">
        <w:t xml:space="preserve">ased on </w:t>
      </w:r>
      <w:r w:rsidR="00145CFD" w:rsidRPr="00272ECE">
        <w:t>independent review committee a</w:t>
      </w:r>
      <w:r w:rsidRPr="00272ECE">
        <w:t>ssessments</w:t>
      </w:r>
      <w:r w:rsidR="00145CFD" w:rsidRPr="00272ECE">
        <w:t>, intention to treat p</w:t>
      </w:r>
      <w:r w:rsidRPr="00272ECE">
        <w:t>opulation</w:t>
      </w:r>
    </w:p>
    <w:tbl>
      <w:tblPr>
        <w:tblStyle w:val="TableTGAblue2023"/>
        <w:tblW w:w="0" w:type="auto"/>
        <w:tblLook w:val="04A0" w:firstRow="1" w:lastRow="0" w:firstColumn="1" w:lastColumn="0" w:noHBand="0" w:noVBand="1"/>
      </w:tblPr>
      <w:tblGrid>
        <w:gridCol w:w="3020"/>
        <w:gridCol w:w="3020"/>
        <w:gridCol w:w="3020"/>
      </w:tblGrid>
      <w:tr w:rsidR="00344E91" w14:paraId="1D802CF7" w14:textId="77777777" w:rsidTr="002C49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A053453" w14:textId="77777777" w:rsidR="00344E91" w:rsidRDefault="00344E91" w:rsidP="002C4900"/>
        </w:tc>
        <w:tc>
          <w:tcPr>
            <w:tcW w:w="3020" w:type="dxa"/>
          </w:tcPr>
          <w:p w14:paraId="14B53257" w14:textId="4D76A72B" w:rsidR="00344E91" w:rsidRPr="00C87B72" w:rsidRDefault="006530DE" w:rsidP="002C4900">
            <w:pPr>
              <w:cnfStyle w:val="100000000000" w:firstRow="1" w:lastRow="0" w:firstColumn="0" w:lastColumn="0" w:oddVBand="0" w:evenVBand="0" w:oddHBand="0" w:evenHBand="0" w:firstRowFirstColumn="0" w:firstRowLastColumn="0" w:lastRowFirstColumn="0" w:lastRowLastColumn="0"/>
              <w:rPr>
                <w:bCs/>
              </w:rPr>
            </w:pPr>
            <w:r w:rsidRPr="00C87B72">
              <w:rPr>
                <w:bCs/>
              </w:rPr>
              <w:t>Arm A (n</w:t>
            </w:r>
            <w:r w:rsidR="00184181">
              <w:rPr>
                <w:bCs/>
              </w:rPr>
              <w:t> </w:t>
            </w:r>
            <w:r w:rsidRPr="00C87B72">
              <w:rPr>
                <w:bCs/>
              </w:rPr>
              <w:t>=</w:t>
            </w:r>
            <w:r w:rsidR="00184181">
              <w:rPr>
                <w:bCs/>
              </w:rPr>
              <w:t> </w:t>
            </w:r>
            <w:r w:rsidRPr="00C87B72">
              <w:rPr>
                <w:bCs/>
              </w:rPr>
              <w:t>119)</w:t>
            </w:r>
          </w:p>
        </w:tc>
        <w:tc>
          <w:tcPr>
            <w:tcW w:w="3020" w:type="dxa"/>
          </w:tcPr>
          <w:p w14:paraId="0658F373" w14:textId="3331CB72" w:rsidR="00344E91" w:rsidRPr="00C87B72" w:rsidRDefault="00250A17" w:rsidP="002C4900">
            <w:pPr>
              <w:cnfStyle w:val="100000000000" w:firstRow="1" w:lastRow="0" w:firstColumn="0" w:lastColumn="0" w:oddVBand="0" w:evenVBand="0" w:oddHBand="0" w:evenHBand="0" w:firstRowFirstColumn="0" w:firstRowLastColumn="0" w:lastRowFirstColumn="0" w:lastRowLastColumn="0"/>
              <w:rPr>
                <w:bCs/>
              </w:rPr>
            </w:pPr>
            <w:r w:rsidRPr="00C87B72">
              <w:rPr>
                <w:bCs/>
              </w:rPr>
              <w:t>Arm B (n</w:t>
            </w:r>
            <w:r w:rsidR="00184181">
              <w:rPr>
                <w:bCs/>
              </w:rPr>
              <w:t> </w:t>
            </w:r>
            <w:r w:rsidRPr="00C87B72">
              <w:rPr>
                <w:bCs/>
              </w:rPr>
              <w:t>=</w:t>
            </w:r>
            <w:r w:rsidR="00184181">
              <w:rPr>
                <w:bCs/>
              </w:rPr>
              <w:t> </w:t>
            </w:r>
            <w:r w:rsidRPr="00C87B72">
              <w:rPr>
                <w:bCs/>
              </w:rPr>
              <w:t>119)</w:t>
            </w:r>
          </w:p>
        </w:tc>
      </w:tr>
      <w:tr w:rsidR="00250A17" w14:paraId="2BAD073E"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33118B68" w14:textId="38A431FF" w:rsidR="00250A17" w:rsidRPr="00C87B72" w:rsidRDefault="00250A17" w:rsidP="002C4900">
            <w:pPr>
              <w:rPr>
                <w:b/>
                <w:bCs/>
              </w:rPr>
            </w:pPr>
            <w:r w:rsidRPr="00C87B72">
              <w:rPr>
                <w:b/>
                <w:bCs/>
              </w:rPr>
              <w:t>Number of Events, n (%)</w:t>
            </w:r>
          </w:p>
        </w:tc>
        <w:tc>
          <w:tcPr>
            <w:tcW w:w="3020" w:type="dxa"/>
          </w:tcPr>
          <w:p w14:paraId="431DE8C7" w14:textId="2AD73863" w:rsidR="00250A17" w:rsidRPr="006530DE" w:rsidRDefault="00B56EC5" w:rsidP="002C4900">
            <w:pPr>
              <w:cnfStyle w:val="000000000000" w:firstRow="0" w:lastRow="0" w:firstColumn="0" w:lastColumn="0" w:oddVBand="0" w:evenVBand="0" w:oddHBand="0" w:evenHBand="0" w:firstRowFirstColumn="0" w:firstRowLastColumn="0" w:lastRowFirstColumn="0" w:lastRowLastColumn="0"/>
            </w:pPr>
            <w:r w:rsidRPr="00B56EC5">
              <w:t>74 (62.2)</w:t>
            </w:r>
          </w:p>
        </w:tc>
        <w:tc>
          <w:tcPr>
            <w:tcW w:w="3020" w:type="dxa"/>
          </w:tcPr>
          <w:p w14:paraId="6D77E585" w14:textId="081B3645" w:rsidR="00250A17" w:rsidRPr="00250A17" w:rsidRDefault="00B56EC5" w:rsidP="002C4900">
            <w:pPr>
              <w:cnfStyle w:val="000000000000" w:firstRow="0" w:lastRow="0" w:firstColumn="0" w:lastColumn="0" w:oddVBand="0" w:evenVBand="0" w:oddHBand="0" w:evenHBand="0" w:firstRowFirstColumn="0" w:firstRowLastColumn="0" w:lastRowFirstColumn="0" w:lastRowLastColumn="0"/>
            </w:pPr>
            <w:r w:rsidRPr="00B56EC5">
              <w:t>79 (66.4)</w:t>
            </w:r>
          </w:p>
        </w:tc>
      </w:tr>
      <w:tr w:rsidR="00C87B72" w14:paraId="298EDA8F" w14:textId="77777777" w:rsidTr="002C4900">
        <w:tc>
          <w:tcPr>
            <w:cnfStyle w:val="001000000000" w:firstRow="0" w:lastRow="0" w:firstColumn="1" w:lastColumn="0" w:oddVBand="0" w:evenVBand="0" w:oddHBand="0" w:evenHBand="0" w:firstRowFirstColumn="0" w:firstRowLastColumn="0" w:lastRowFirstColumn="0" w:lastRowLastColumn="0"/>
            <w:tcW w:w="9060" w:type="dxa"/>
            <w:gridSpan w:val="3"/>
          </w:tcPr>
          <w:p w14:paraId="074CD4DD" w14:textId="29019737" w:rsidR="00C87B72" w:rsidRPr="00B56EC5" w:rsidRDefault="00C87B72" w:rsidP="002C4900">
            <w:r w:rsidRPr="00C87B72">
              <w:rPr>
                <w:b/>
                <w:bCs/>
              </w:rPr>
              <w:t>PFS (months)</w:t>
            </w:r>
          </w:p>
        </w:tc>
      </w:tr>
      <w:tr w:rsidR="00BC560A" w14:paraId="41A7608C"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28ECF64D" w14:textId="3CDE89EF" w:rsidR="00BC560A" w:rsidRPr="00BC560A" w:rsidRDefault="00D419BD" w:rsidP="002C4900">
            <w:r w:rsidRPr="00D419BD">
              <w:t>Median (95% CI)</w:t>
            </w:r>
          </w:p>
        </w:tc>
        <w:tc>
          <w:tcPr>
            <w:tcW w:w="3020" w:type="dxa"/>
          </w:tcPr>
          <w:p w14:paraId="25B1A6D7" w14:textId="4F8CC5E2" w:rsidR="00BC560A" w:rsidRPr="00B56EC5" w:rsidRDefault="00D419BD" w:rsidP="002C4900">
            <w:pPr>
              <w:cnfStyle w:val="000000000000" w:firstRow="0" w:lastRow="0" w:firstColumn="0" w:lastColumn="0" w:oddVBand="0" w:evenVBand="0" w:oddHBand="0" w:evenHBand="0" w:firstRowFirstColumn="0" w:firstRowLastColumn="0" w:lastRowFirstColumn="0" w:lastRowLastColumn="0"/>
            </w:pPr>
            <w:r w:rsidRPr="00D419BD">
              <w:t>13.96 (11.24, 16.56)</w:t>
            </w:r>
          </w:p>
        </w:tc>
        <w:tc>
          <w:tcPr>
            <w:tcW w:w="3020" w:type="dxa"/>
          </w:tcPr>
          <w:p w14:paraId="2B5A48CB" w14:textId="6C5403DF" w:rsidR="00BC560A" w:rsidRPr="00B56EC5" w:rsidRDefault="00B91F10" w:rsidP="002C4900">
            <w:pPr>
              <w:cnfStyle w:val="000000000000" w:firstRow="0" w:lastRow="0" w:firstColumn="0" w:lastColumn="0" w:oddVBand="0" w:evenVBand="0" w:oddHBand="0" w:evenHBand="0" w:firstRowFirstColumn="0" w:firstRowLastColumn="0" w:lastRowFirstColumn="0" w:lastRowLastColumn="0"/>
            </w:pPr>
            <w:r w:rsidRPr="00B91F10">
              <w:t>8.74 (8.08, 10.38)</w:t>
            </w:r>
          </w:p>
        </w:tc>
      </w:tr>
      <w:tr w:rsidR="00C87B72" w14:paraId="55CE25E8"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3B0C6484" w14:textId="1E10746B" w:rsidR="00C87B72" w:rsidRPr="00D419BD" w:rsidRDefault="00C87B72" w:rsidP="002C4900">
            <w:r w:rsidRPr="00BD3029">
              <w:lastRenderedPageBreak/>
              <w:t>HR (95%CI)</w:t>
            </w:r>
          </w:p>
        </w:tc>
        <w:tc>
          <w:tcPr>
            <w:tcW w:w="6040" w:type="dxa"/>
            <w:gridSpan w:val="2"/>
          </w:tcPr>
          <w:p w14:paraId="6DBF0FCD" w14:textId="2D9470B3" w:rsidR="00C87B72" w:rsidRPr="00B91F10" w:rsidRDefault="00C87B72" w:rsidP="002C4900">
            <w:pPr>
              <w:cnfStyle w:val="000000000000" w:firstRow="0" w:lastRow="0" w:firstColumn="0" w:lastColumn="0" w:oddVBand="0" w:evenVBand="0" w:oddHBand="0" w:evenHBand="0" w:firstRowFirstColumn="0" w:firstRowLastColumn="0" w:lastRowFirstColumn="0" w:lastRowLastColumn="0"/>
            </w:pPr>
            <w:r w:rsidRPr="00BD3029">
              <w:t>0.536 (0.385, 0.746)</w:t>
            </w:r>
          </w:p>
        </w:tc>
      </w:tr>
      <w:tr w:rsidR="00C87B72" w14:paraId="446F18CC"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3064FABA" w14:textId="450AE772" w:rsidR="00C87B72" w:rsidRPr="00BD3029" w:rsidRDefault="00C87B72" w:rsidP="002C4900">
            <w:r w:rsidRPr="00D34D5C">
              <w:t>p-value</w:t>
            </w:r>
          </w:p>
        </w:tc>
        <w:tc>
          <w:tcPr>
            <w:tcW w:w="6040" w:type="dxa"/>
            <w:gridSpan w:val="2"/>
          </w:tcPr>
          <w:p w14:paraId="150A3A66" w14:textId="3DF90A97" w:rsidR="00C87B72" w:rsidRPr="00B91F10" w:rsidRDefault="00184181" w:rsidP="002C4900">
            <w:pPr>
              <w:cnfStyle w:val="000000000000" w:firstRow="0" w:lastRow="0" w:firstColumn="0" w:lastColumn="0" w:oddVBand="0" w:evenVBand="0" w:oddHBand="0" w:evenHBand="0" w:firstRowFirstColumn="0" w:firstRowLastColumn="0" w:lastRowFirstColumn="0" w:lastRowLastColumn="0"/>
            </w:pPr>
            <w:r>
              <w:t>p </w:t>
            </w:r>
            <w:r w:rsidR="00C87B72" w:rsidRPr="00D34D5C">
              <w:t>=</w:t>
            </w:r>
            <w:r>
              <w:t> </w:t>
            </w:r>
            <w:r w:rsidR="00C87B72" w:rsidRPr="00D34D5C">
              <w:t>0.0002</w:t>
            </w:r>
            <w:r w:rsidR="00C87B72" w:rsidRPr="007F1B6D">
              <w:rPr>
                <w:vertAlign w:val="superscript"/>
              </w:rPr>
              <w:t>a</w:t>
            </w:r>
          </w:p>
        </w:tc>
      </w:tr>
      <w:tr w:rsidR="006D0D37" w14:paraId="6A3C136B" w14:textId="77777777" w:rsidTr="002C4900">
        <w:tc>
          <w:tcPr>
            <w:cnfStyle w:val="001000000000" w:firstRow="0" w:lastRow="0" w:firstColumn="1" w:lastColumn="0" w:oddVBand="0" w:evenVBand="0" w:oddHBand="0" w:evenHBand="0" w:firstRowFirstColumn="0" w:firstRowLastColumn="0" w:lastRowFirstColumn="0" w:lastRowLastColumn="0"/>
            <w:tcW w:w="9060" w:type="dxa"/>
            <w:gridSpan w:val="3"/>
          </w:tcPr>
          <w:p w14:paraId="4C6217E9" w14:textId="101EB775" w:rsidR="006D0D37" w:rsidRPr="002C6C94" w:rsidRDefault="006D0D37" w:rsidP="002C4900">
            <w:pPr>
              <w:rPr>
                <w:b/>
                <w:bCs/>
              </w:rPr>
            </w:pPr>
            <w:r w:rsidRPr="002C6C94">
              <w:rPr>
                <w:b/>
                <w:bCs/>
              </w:rPr>
              <w:t>PFS follow-up time (months)</w:t>
            </w:r>
          </w:p>
        </w:tc>
      </w:tr>
      <w:tr w:rsidR="003167FB" w14:paraId="602F6D0E" w14:textId="77777777" w:rsidTr="002C4900">
        <w:tc>
          <w:tcPr>
            <w:cnfStyle w:val="001000000000" w:firstRow="0" w:lastRow="0" w:firstColumn="1" w:lastColumn="0" w:oddVBand="0" w:evenVBand="0" w:oddHBand="0" w:evenHBand="0" w:firstRowFirstColumn="0" w:firstRowLastColumn="0" w:lastRowFirstColumn="0" w:lastRowLastColumn="0"/>
            <w:tcW w:w="3020" w:type="dxa"/>
          </w:tcPr>
          <w:p w14:paraId="12461F5A" w14:textId="064EE697" w:rsidR="003167FB" w:rsidRPr="003167FB" w:rsidRDefault="00625134" w:rsidP="002C4900">
            <w:r w:rsidRPr="00625134">
              <w:t>Median (95% CI)</w:t>
            </w:r>
          </w:p>
        </w:tc>
        <w:tc>
          <w:tcPr>
            <w:tcW w:w="3020" w:type="dxa"/>
          </w:tcPr>
          <w:p w14:paraId="272D848E" w14:textId="421C3A41" w:rsidR="003167FB" w:rsidRPr="00D34D5C" w:rsidRDefault="00D9233C" w:rsidP="002C4900">
            <w:pPr>
              <w:cnfStyle w:val="000000000000" w:firstRow="0" w:lastRow="0" w:firstColumn="0" w:lastColumn="0" w:oddVBand="0" w:evenVBand="0" w:oddHBand="0" w:evenHBand="0" w:firstRowFirstColumn="0" w:firstRowLastColumn="0" w:lastRowFirstColumn="0" w:lastRowLastColumn="0"/>
            </w:pPr>
            <w:r w:rsidRPr="00D9233C">
              <w:t>19.35 (16.66, 22.14)</w:t>
            </w:r>
          </w:p>
        </w:tc>
        <w:tc>
          <w:tcPr>
            <w:tcW w:w="3020" w:type="dxa"/>
          </w:tcPr>
          <w:p w14:paraId="184312A8" w14:textId="3C6FDF48" w:rsidR="003167FB" w:rsidRPr="00B91F10" w:rsidRDefault="001F31A4" w:rsidP="002C4900">
            <w:pPr>
              <w:cnfStyle w:val="000000000000" w:firstRow="0" w:lastRow="0" w:firstColumn="0" w:lastColumn="0" w:oddVBand="0" w:evenVBand="0" w:oddHBand="0" w:evenHBand="0" w:firstRowFirstColumn="0" w:firstRowLastColumn="0" w:lastRowFirstColumn="0" w:lastRowLastColumn="0"/>
            </w:pPr>
            <w:r w:rsidRPr="001F31A4">
              <w:t>17.74 (13.93, 22.90)</w:t>
            </w:r>
          </w:p>
        </w:tc>
      </w:tr>
    </w:tbl>
    <w:p w14:paraId="45306F55" w14:textId="44B1EF7A" w:rsidR="0058315A" w:rsidRPr="00272ECE" w:rsidRDefault="0058315A" w:rsidP="002C4900">
      <w:pPr>
        <w:pStyle w:val="TableDescription"/>
      </w:pPr>
      <w:r w:rsidRPr="00272ECE">
        <w:t>Abbreviations: CI</w:t>
      </w:r>
      <w:r w:rsidR="002C24FB" w:rsidRPr="00272ECE">
        <w:t> </w:t>
      </w:r>
      <w:r w:rsidRPr="00272ECE">
        <w:t>=</w:t>
      </w:r>
      <w:r w:rsidR="002C24FB" w:rsidRPr="00272ECE">
        <w:t> </w:t>
      </w:r>
      <w:r w:rsidRPr="00272ECE">
        <w:t>confidence interval</w:t>
      </w:r>
      <w:r w:rsidR="002C24FB" w:rsidRPr="00272ECE">
        <w:t>,</w:t>
      </w:r>
      <w:r w:rsidRPr="00272ECE">
        <w:t xml:space="preserve"> </w:t>
      </w:r>
      <w:r w:rsidR="004B187E" w:rsidRPr="004B187E">
        <w:t>HR = hazard ratio</w:t>
      </w:r>
      <w:r w:rsidR="00A36537">
        <w:t>,</w:t>
      </w:r>
      <w:r w:rsidR="005445CF">
        <w:t xml:space="preserve"> </w:t>
      </w:r>
      <w:r w:rsidR="00FC4A2A" w:rsidRPr="00FC4A2A">
        <w:t>ITT = intent-to-treat</w:t>
      </w:r>
      <w:r w:rsidR="00A36537">
        <w:t xml:space="preserve">, </w:t>
      </w:r>
      <w:r w:rsidRPr="00272ECE">
        <w:t>n</w:t>
      </w:r>
      <w:r w:rsidR="002C24FB" w:rsidRPr="00272ECE">
        <w:t> </w:t>
      </w:r>
      <w:r w:rsidRPr="00272ECE">
        <w:t>=</w:t>
      </w:r>
      <w:r w:rsidR="002C24FB" w:rsidRPr="00272ECE">
        <w:t> </w:t>
      </w:r>
      <w:r w:rsidRPr="00272ECE">
        <w:t>number of</w:t>
      </w:r>
      <w:r w:rsidR="002C24FB" w:rsidRPr="00272ECE">
        <w:t xml:space="preserve"> </w:t>
      </w:r>
      <w:r w:rsidRPr="00272ECE">
        <w:t>patients</w:t>
      </w:r>
      <w:r w:rsidR="002C24FB" w:rsidRPr="00272ECE">
        <w:t>,</w:t>
      </w:r>
      <w:r w:rsidRPr="00272ECE">
        <w:t xml:space="preserve"> PFS</w:t>
      </w:r>
      <w:r w:rsidR="002C24FB" w:rsidRPr="00272ECE">
        <w:t> </w:t>
      </w:r>
      <w:r w:rsidRPr="00272ECE">
        <w:t>=</w:t>
      </w:r>
      <w:r w:rsidR="002C24FB" w:rsidRPr="00272ECE">
        <w:t> </w:t>
      </w:r>
      <w:r w:rsidRPr="00272ECE">
        <w:t>progression</w:t>
      </w:r>
      <w:r w:rsidR="002C24FB" w:rsidRPr="00272ECE">
        <w:t xml:space="preserve"> </w:t>
      </w:r>
      <w:r w:rsidRPr="00272ECE">
        <w:t>free survival.</w:t>
      </w:r>
    </w:p>
    <w:p w14:paraId="07951734" w14:textId="5B121F68" w:rsidR="00DF6CE3" w:rsidRDefault="0058315A" w:rsidP="002C4900">
      <w:pPr>
        <w:pStyle w:val="TableDescription"/>
      </w:pPr>
      <w:r w:rsidRPr="00272ECE">
        <w:rPr>
          <w:vertAlign w:val="superscript"/>
        </w:rPr>
        <w:t>*a</w:t>
      </w:r>
      <w:r w:rsidRPr="00272ECE">
        <w:t xml:space="preserve"> </w:t>
      </w:r>
      <w:r w:rsidR="00C87B72" w:rsidRPr="00C87B72">
        <w:t>This analysis was descriptive and not alpha-controlled for statistical testing. P-value is 2-sided based on stratified log-rank test.</w:t>
      </w:r>
    </w:p>
    <w:p w14:paraId="2407434A" w14:textId="77777777" w:rsidR="00FC3C18" w:rsidRPr="00272ECE" w:rsidRDefault="00FC3C18" w:rsidP="002C4900">
      <w:r w:rsidRPr="00272ECE">
        <w:t>The median PFS was 13.96 months (95% CI: 11.24, 16.56) and 8.74 months (95% CI: 8.08, 10.38) in Arms A and B, respectively.</w:t>
      </w:r>
    </w:p>
    <w:p w14:paraId="4DEF82EE" w14:textId="707D6249" w:rsidR="00D42B78" w:rsidRPr="00272ECE" w:rsidRDefault="00D42B78" w:rsidP="002C4900">
      <w:pPr>
        <w:pStyle w:val="FigureTitle"/>
      </w:pPr>
      <w:r w:rsidRPr="00272ECE">
        <w:t xml:space="preserve">Figure </w:t>
      </w:r>
      <w:r w:rsidR="00CA21F6">
        <w:fldChar w:fldCharType="begin"/>
      </w:r>
      <w:r w:rsidR="00CA21F6">
        <w:instrText xml:space="preserve"> SEQ Figure \* ARABIC </w:instrText>
      </w:r>
      <w:r w:rsidR="00CA21F6">
        <w:fldChar w:fldCharType="separate"/>
      </w:r>
      <w:r w:rsidR="00CA21F6" w:rsidRPr="00272ECE">
        <w:t>5</w:t>
      </w:r>
      <w:r w:rsidR="00CA21F6">
        <w:fldChar w:fldCharType="end"/>
      </w:r>
      <w:r w:rsidRPr="00272ECE">
        <w:t xml:space="preserve">: </w:t>
      </w:r>
      <w:r w:rsidR="004D45C2" w:rsidRPr="00272ECE">
        <w:t>Kaplan-Meier plot of progression free survival based on independent review committee assessments, intention to treat population</w:t>
      </w:r>
    </w:p>
    <w:p w14:paraId="22821DA1" w14:textId="498DC351" w:rsidR="00D42B78" w:rsidRPr="00272ECE" w:rsidRDefault="0057682E" w:rsidP="002C4900">
      <w:r w:rsidRPr="00272ECE">
        <w:rPr>
          <w:noProof/>
        </w:rPr>
        <w:drawing>
          <wp:inline distT="0" distB="0" distL="0" distR="0" wp14:anchorId="5E8AC893" wp14:editId="551C79F4">
            <wp:extent cx="5692775" cy="3384550"/>
            <wp:effectExtent l="0" t="0" r="3175" b="6350"/>
            <wp:docPr id="953440705" name="Picture 1" descr="Figure 5: Kaplan-Meier plot of progression free survival based on independent review committee assessments, intention to treat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40705" name="Picture 1" descr="Figure 5: Kaplan-Meier plot of progression free survival based on independent review committee assessments, intention to treat population"/>
                    <pic:cNvPicPr/>
                  </pic:nvPicPr>
                  <pic:blipFill rotWithShape="1">
                    <a:blip r:embed="rId32"/>
                    <a:srcRect l="1158" r="-1"/>
                    <a:stretch>
                      <a:fillRect/>
                    </a:stretch>
                  </pic:blipFill>
                  <pic:spPr bwMode="auto">
                    <a:xfrm>
                      <a:off x="0" y="0"/>
                      <a:ext cx="5692775" cy="3384550"/>
                    </a:xfrm>
                    <a:prstGeom prst="rect">
                      <a:avLst/>
                    </a:prstGeom>
                    <a:ln>
                      <a:noFill/>
                    </a:ln>
                    <a:extLst>
                      <a:ext uri="{53640926-AAD7-44D8-BBD7-CCE9431645EC}">
                        <a14:shadowObscured xmlns:a14="http://schemas.microsoft.com/office/drawing/2010/main"/>
                      </a:ext>
                    </a:extLst>
                  </pic:spPr>
                </pic:pic>
              </a:graphicData>
            </a:graphic>
          </wp:inline>
        </w:drawing>
      </w:r>
    </w:p>
    <w:p w14:paraId="20BCD760" w14:textId="6A8ECE32" w:rsidR="00FC3C18" w:rsidRPr="00272ECE" w:rsidRDefault="00FC3C18" w:rsidP="002C4900">
      <w:pPr>
        <w:pStyle w:val="Heading7"/>
      </w:pPr>
      <w:r w:rsidRPr="00272ECE">
        <w:t>Overall survival</w:t>
      </w:r>
    </w:p>
    <w:p w14:paraId="079F5073" w14:textId="705B55A8" w:rsidR="00FC3C18" w:rsidRPr="00272ECE" w:rsidRDefault="00FC3C18" w:rsidP="002C4900">
      <w:r w:rsidRPr="00272ECE">
        <w:t xml:space="preserve">The prespecified final analysis occurred with the preplanned 70 OS events following the longer follow-up. Median OS was 29.67 months (95% CI: 27.10, not estimable </w:t>
      </w:r>
      <w:r w:rsidR="00F430EF" w:rsidRPr="00272ECE">
        <w:t>(</w:t>
      </w:r>
      <w:r w:rsidRPr="00CD3991">
        <w:t>NE</w:t>
      </w:r>
      <w:r w:rsidR="00F430EF" w:rsidRPr="00272ECE">
        <w:t>)</w:t>
      </w:r>
      <w:r w:rsidRPr="00272ECE">
        <w:t xml:space="preserve">) in Arm A and was not reached in Arm B (95% CI: 28.88, NE). The </w:t>
      </w:r>
      <w:r w:rsidR="00F430EF" w:rsidRPr="00272ECE">
        <w:t>HR</w:t>
      </w:r>
      <w:r w:rsidRPr="00272ECE">
        <w:t xml:space="preserve"> for OS was 1.090 (95% CI: 0.679, 1.749) with interpretation limited by wide CIs and overlapping K</w:t>
      </w:r>
      <w:r w:rsidR="009A494E">
        <w:t>M</w:t>
      </w:r>
      <w:r w:rsidRPr="00272ECE">
        <w:t xml:space="preserve"> curves for pirtobrutinib monotherapy (Arm A) compared to </w:t>
      </w:r>
      <w:r w:rsidR="001570F5" w:rsidRPr="00272ECE">
        <w:t>i</w:t>
      </w:r>
      <w:r w:rsidRPr="00272ECE">
        <w:t xml:space="preserve">nvestigator’s choice of </w:t>
      </w:r>
      <w:proofErr w:type="spellStart"/>
      <w:r w:rsidRPr="00272ECE">
        <w:t>IdelaR</w:t>
      </w:r>
      <w:proofErr w:type="spellEnd"/>
      <w:r w:rsidRPr="00272ECE">
        <w:t xml:space="preserve"> or </w:t>
      </w:r>
      <w:proofErr w:type="spellStart"/>
      <w:r w:rsidRPr="00272ECE">
        <w:t>BendaR</w:t>
      </w:r>
      <w:proofErr w:type="spellEnd"/>
      <w:r w:rsidRPr="00272ECE">
        <w:t xml:space="preserve"> (Arm B) at the prespecified final OS analysis. At the final OS analysis, the 18</w:t>
      </w:r>
      <w:r w:rsidR="009A494E">
        <w:t>-</w:t>
      </w:r>
      <w:r w:rsidRPr="00272ECE">
        <w:t>month OS rate was 73.4% (95% CI: 63.9, 80.7) and 70.8% (95% CI: 60.9, 78.7) in Arms A and B, respectively.</w:t>
      </w:r>
    </w:p>
    <w:p w14:paraId="05DE05B3" w14:textId="00BCCFE3" w:rsidR="00FC3C18" w:rsidRPr="00272ECE" w:rsidRDefault="00FC3C18" w:rsidP="002C4900">
      <w:r w:rsidRPr="00272ECE">
        <w:t>Interpretation of results for OS was confounded by crossover of eligible patients from Arm B (</w:t>
      </w:r>
      <w:proofErr w:type="spellStart"/>
      <w:r w:rsidRPr="00272ECE">
        <w:t>IdelaR</w:t>
      </w:r>
      <w:proofErr w:type="spellEnd"/>
      <w:r w:rsidRPr="00272ECE">
        <w:t xml:space="preserve"> or </w:t>
      </w:r>
      <w:proofErr w:type="spellStart"/>
      <w:r w:rsidRPr="00272ECE">
        <w:t>BendaR</w:t>
      </w:r>
      <w:proofErr w:type="spellEnd"/>
      <w:r w:rsidRPr="00272ECE">
        <w:t xml:space="preserve">) to receive pirtobrutinib monotherapy. The crossover rate was 75.8% as 50 of the 66 patients with </w:t>
      </w:r>
      <w:r w:rsidR="008C01BF" w:rsidRPr="00272ECE">
        <w:t>i</w:t>
      </w:r>
      <w:r w:rsidRPr="00272ECE">
        <w:t>nvestigator</w:t>
      </w:r>
      <w:r w:rsidR="008C01BF" w:rsidRPr="00272ECE">
        <w:t xml:space="preserve"> </w:t>
      </w:r>
      <w:r w:rsidRPr="00272ECE">
        <w:t>assessed PD in Arm B crossed over to pirtobrutinib treatment. Three commonly used OS sensitivity analyses in the oncology setting were performed to evaluate the effect of crossover on the OS analysis. The pre-specified sensitivity analysis of OS that censored patients at the time of crossover resulted in an HR of 0.986 (95% CI: 0.570, 1.706).</w:t>
      </w:r>
    </w:p>
    <w:p w14:paraId="318D672A" w14:textId="22C90A2A" w:rsidR="00FC3C18" w:rsidRPr="00272ECE" w:rsidRDefault="00FC3C18" w:rsidP="002C4900">
      <w:pPr>
        <w:pStyle w:val="Heading7"/>
      </w:pPr>
      <w:r w:rsidRPr="00272ECE">
        <w:lastRenderedPageBreak/>
        <w:t>Objective response rate</w:t>
      </w:r>
    </w:p>
    <w:p w14:paraId="18BB8682" w14:textId="73B18A5D" w:rsidR="00FC3C18" w:rsidRPr="00272ECE" w:rsidRDefault="00FC3C18" w:rsidP="002C4900">
      <w:r w:rsidRPr="00272ECE">
        <w:t>The IRC</w:t>
      </w:r>
      <w:r w:rsidR="00024E34" w:rsidRPr="00272ECE">
        <w:t xml:space="preserve"> </w:t>
      </w:r>
      <w:r w:rsidRPr="00272ECE">
        <w:t xml:space="preserve">assessed ORR of PR or better was greater following pirtobrutinib monotherapy </w:t>
      </w:r>
      <w:r w:rsidR="00024E34" w:rsidRPr="00272ECE">
        <w:t>(</w:t>
      </w:r>
      <w:r w:rsidRPr="00272ECE">
        <w:t>Arm</w:t>
      </w:r>
      <w:r w:rsidR="00024E34" w:rsidRPr="00272ECE">
        <w:t> </w:t>
      </w:r>
      <w:r w:rsidRPr="00272ECE">
        <w:t xml:space="preserve">A </w:t>
      </w:r>
      <w:r w:rsidR="00024E34" w:rsidRPr="00272ECE">
        <w:t>versus</w:t>
      </w:r>
      <w:r w:rsidRPr="00272ECE">
        <w:t xml:space="preserve"> Arm B: 48.7% (95% CI: 39.47, 58.07) v</w:t>
      </w:r>
      <w:r w:rsidR="00024E34" w:rsidRPr="00272ECE">
        <w:t>ersus</w:t>
      </w:r>
      <w:r w:rsidRPr="00272ECE">
        <w:t xml:space="preserve"> 38.7% (95% CI: 29.87, 48.02); p</w:t>
      </w:r>
      <w:r w:rsidR="00A52C15" w:rsidRPr="00272ECE">
        <w:t> </w:t>
      </w:r>
      <w:r w:rsidRPr="00272ECE">
        <w:t>=</w:t>
      </w:r>
      <w:r w:rsidR="00A52C15" w:rsidRPr="00272ECE">
        <w:t> </w:t>
      </w:r>
      <w:r w:rsidRPr="00272ECE">
        <w:t>0.110</w:t>
      </w:r>
      <w:r w:rsidR="00A52C15" w:rsidRPr="00272ECE">
        <w:t>)</w:t>
      </w:r>
      <w:r w:rsidRPr="00272ECE">
        <w:t>. Similar results were observed for OR</w:t>
      </w:r>
      <w:r w:rsidR="00D12BB8">
        <w:t>R</w:t>
      </w:r>
      <w:r w:rsidRPr="00272ECE">
        <w:t xml:space="preserve"> of PR-L or better (52.9% v</w:t>
      </w:r>
      <w:r w:rsidR="00A52C15" w:rsidRPr="00272ECE">
        <w:t xml:space="preserve">ersus </w:t>
      </w:r>
      <w:r w:rsidRPr="00272ECE">
        <w:t>39.5%, p</w:t>
      </w:r>
      <w:r w:rsidR="00A52C15" w:rsidRPr="00272ECE">
        <w:t> </w:t>
      </w:r>
      <w:r w:rsidRPr="00272ECE">
        <w:t>=</w:t>
      </w:r>
      <w:r w:rsidR="00A52C15" w:rsidRPr="00272ECE">
        <w:t> </w:t>
      </w:r>
      <w:r w:rsidRPr="00272ECE">
        <w:t xml:space="preserve">0.0341). The incidence of CR was lower in the pirtobrutinib compared to the </w:t>
      </w:r>
      <w:proofErr w:type="spellStart"/>
      <w:r w:rsidRPr="00272ECE">
        <w:t>IdelaR</w:t>
      </w:r>
      <w:proofErr w:type="spellEnd"/>
      <w:r w:rsidRPr="00272ECE">
        <w:t xml:space="preserve"> or </w:t>
      </w:r>
      <w:proofErr w:type="spellStart"/>
      <w:r w:rsidRPr="00272ECE">
        <w:t>BendaR</w:t>
      </w:r>
      <w:proofErr w:type="spellEnd"/>
      <w:r w:rsidRPr="00272ECE">
        <w:t xml:space="preserve"> group </w:t>
      </w:r>
      <w:r w:rsidR="00A52C15" w:rsidRPr="00272ECE">
        <w:t>(</w:t>
      </w:r>
      <w:r w:rsidRPr="00272ECE">
        <w:t>1.7% (2</w:t>
      </w:r>
      <w:r w:rsidR="00A52C15" w:rsidRPr="00272ECE">
        <w:t xml:space="preserve"> out of </w:t>
      </w:r>
      <w:r w:rsidRPr="00272ECE">
        <w:t>119) v</w:t>
      </w:r>
      <w:r w:rsidR="00A52C15" w:rsidRPr="00272ECE">
        <w:t>ersus</w:t>
      </w:r>
      <w:r w:rsidRPr="00272ECE">
        <w:t xml:space="preserve"> 4.2% (5</w:t>
      </w:r>
      <w:r w:rsidR="00A52C15" w:rsidRPr="00272ECE">
        <w:t xml:space="preserve"> out of </w:t>
      </w:r>
      <w:r w:rsidRPr="00272ECE">
        <w:t>119)</w:t>
      </w:r>
      <w:r w:rsidR="00A52C15" w:rsidRPr="00272ECE">
        <w:t>)</w:t>
      </w:r>
      <w:r w:rsidRPr="00272ECE">
        <w:t>; incidence of PR (47.1% v</w:t>
      </w:r>
      <w:r w:rsidR="00A52C15" w:rsidRPr="00272ECE">
        <w:t>ersus</w:t>
      </w:r>
      <w:r w:rsidRPr="00272ECE">
        <w:t xml:space="preserve"> 34.5%) and SD (34.5% v</w:t>
      </w:r>
      <w:r w:rsidR="00A52C15" w:rsidRPr="00272ECE">
        <w:t>ersus</w:t>
      </w:r>
      <w:r w:rsidRPr="00272ECE">
        <w:t xml:space="preserve"> 26.9%) was higher in the pirtobrutinib group.</w:t>
      </w:r>
    </w:p>
    <w:p w14:paraId="6D23F14E" w14:textId="50600A77" w:rsidR="00FC3C18" w:rsidRPr="00272ECE" w:rsidRDefault="00FC3C18" w:rsidP="002C4900">
      <w:r w:rsidRPr="00272ECE">
        <w:t>Investigator</w:t>
      </w:r>
      <w:r w:rsidR="00A52C15" w:rsidRPr="00272ECE">
        <w:t xml:space="preserve"> </w:t>
      </w:r>
      <w:r w:rsidRPr="00272ECE">
        <w:t xml:space="preserve">assessed ORR of PR or better showed significantly greater improvement in the pirtobrutinib compared to the </w:t>
      </w:r>
      <w:proofErr w:type="spellStart"/>
      <w:r w:rsidRPr="00272ECE">
        <w:t>IdelaR</w:t>
      </w:r>
      <w:proofErr w:type="spellEnd"/>
      <w:r w:rsidRPr="00272ECE">
        <w:t xml:space="preserve"> or </w:t>
      </w:r>
      <w:proofErr w:type="spellStart"/>
      <w:r w:rsidRPr="00272ECE">
        <w:t>BendaR</w:t>
      </w:r>
      <w:proofErr w:type="spellEnd"/>
      <w:r w:rsidRPr="00272ECE">
        <w:t xml:space="preserve"> group </w:t>
      </w:r>
      <w:r w:rsidR="00EC307E" w:rsidRPr="00272ECE">
        <w:t>(</w:t>
      </w:r>
      <w:r w:rsidRPr="00272ECE">
        <w:t>66.4% v</w:t>
      </w:r>
      <w:r w:rsidR="00EC307E" w:rsidRPr="00272ECE">
        <w:t>ersus</w:t>
      </w:r>
      <w:r w:rsidRPr="00272ECE">
        <w:t xml:space="preserve"> 48.7%, p</w:t>
      </w:r>
      <w:r w:rsidR="00EC307E" w:rsidRPr="00272ECE">
        <w:t> </w:t>
      </w:r>
      <w:r w:rsidRPr="00272ECE">
        <w:t>=</w:t>
      </w:r>
      <w:r w:rsidR="00EC307E" w:rsidRPr="00272ECE">
        <w:t> </w:t>
      </w:r>
      <w:r w:rsidRPr="00272ECE">
        <w:t>0.0062) with similar results observed for ORR including PR-L or better (68.9% v</w:t>
      </w:r>
      <w:r w:rsidR="00EC307E" w:rsidRPr="00272ECE">
        <w:t>ersus</w:t>
      </w:r>
      <w:r w:rsidRPr="00272ECE">
        <w:t xml:space="preserve"> 49.6%, p</w:t>
      </w:r>
      <w:r w:rsidR="00EC307E" w:rsidRPr="00272ECE">
        <w:t> </w:t>
      </w:r>
      <w:r w:rsidRPr="00272ECE">
        <w:t>=</w:t>
      </w:r>
      <w:r w:rsidR="00EC307E" w:rsidRPr="00272ECE">
        <w:t> </w:t>
      </w:r>
      <w:r w:rsidRPr="00272ECE">
        <w:t>0.0025). Investigator</w:t>
      </w:r>
      <w:r w:rsidR="00EC307E" w:rsidRPr="00272ECE">
        <w:t xml:space="preserve"> </w:t>
      </w:r>
      <w:r w:rsidRPr="00272ECE">
        <w:t xml:space="preserve">based assessment led to equal number of CRs in both groups </w:t>
      </w:r>
      <w:r w:rsidR="00EC307E" w:rsidRPr="00272ECE">
        <w:t>(</w:t>
      </w:r>
      <w:r w:rsidRPr="00272ECE">
        <w:t>6 subjects (5%) each</w:t>
      </w:r>
      <w:r w:rsidR="00EC307E" w:rsidRPr="00272ECE">
        <w:t>)</w:t>
      </w:r>
      <w:r w:rsidRPr="00272ECE">
        <w:t>, higher incidence of PR (59.7% v</w:t>
      </w:r>
      <w:r w:rsidR="00EC307E" w:rsidRPr="00272ECE">
        <w:t xml:space="preserve">ersus </w:t>
      </w:r>
      <w:r w:rsidRPr="00272ECE">
        <w:t>42%) and lower incidence of SD (15.1% v</w:t>
      </w:r>
      <w:r w:rsidR="00EC307E" w:rsidRPr="00272ECE">
        <w:t>ersus</w:t>
      </w:r>
      <w:r w:rsidRPr="00272ECE">
        <w:t xml:space="preserve"> 13.4%) compared to the IRC</w:t>
      </w:r>
      <w:r w:rsidR="00EC307E" w:rsidRPr="00272ECE">
        <w:t xml:space="preserve"> a</w:t>
      </w:r>
      <w:r w:rsidRPr="00272ECE">
        <w:t>ssessed ORR.</w:t>
      </w:r>
    </w:p>
    <w:p w14:paraId="16ED3380" w14:textId="4BDD2C45" w:rsidR="00FC3C18" w:rsidRPr="00272ECE" w:rsidRDefault="00FC3C18" w:rsidP="001644C5">
      <w:pPr>
        <w:pStyle w:val="Heading5"/>
      </w:pPr>
      <w:bookmarkStart w:id="56" w:name="_Toc290888504"/>
      <w:bookmarkStart w:id="57" w:name="_Toc416353720"/>
      <w:bookmarkStart w:id="58" w:name="_Ref203993819"/>
      <w:bookmarkStart w:id="59" w:name="_Ref203994422"/>
      <w:bookmarkStart w:id="60" w:name="_Ref203994468"/>
      <w:bookmarkStart w:id="61" w:name="_Ref203994535"/>
      <w:r w:rsidRPr="00272ECE">
        <w:t>Study</w:t>
      </w:r>
      <w:bookmarkEnd w:id="56"/>
      <w:r w:rsidRPr="00272ECE">
        <w:t xml:space="preserve"> </w:t>
      </w:r>
      <w:proofErr w:type="spellStart"/>
      <w:r w:rsidRPr="00272ECE">
        <w:t>LOXO</w:t>
      </w:r>
      <w:proofErr w:type="spellEnd"/>
      <w:r w:rsidRPr="00272ECE">
        <w:t>-</w:t>
      </w:r>
      <w:proofErr w:type="spellStart"/>
      <w:r w:rsidRPr="00272ECE">
        <w:t>BTK</w:t>
      </w:r>
      <w:proofErr w:type="spellEnd"/>
      <w:r w:rsidRPr="00272ECE">
        <w:t>-18001</w:t>
      </w:r>
      <w:bookmarkEnd w:id="57"/>
      <w:bookmarkEnd w:id="58"/>
      <w:bookmarkEnd w:id="59"/>
      <w:bookmarkEnd w:id="60"/>
      <w:bookmarkEnd w:id="61"/>
    </w:p>
    <w:p w14:paraId="24DD7A36" w14:textId="3FF79B47" w:rsidR="00FC3C18" w:rsidRPr="00272ECE" w:rsidRDefault="00FC3C18" w:rsidP="002C4900">
      <w:r w:rsidRPr="00272ECE">
        <w:t xml:space="preserve">This is a </w:t>
      </w:r>
      <w:r w:rsidRPr="00272ECE">
        <w:rPr>
          <w:bCs/>
        </w:rPr>
        <w:t xml:space="preserve">Phase </w:t>
      </w:r>
      <w:r w:rsidR="001644C5" w:rsidRPr="00272ECE">
        <w:rPr>
          <w:bCs/>
        </w:rPr>
        <w:t>I</w:t>
      </w:r>
      <w:r w:rsidRPr="00272ECE">
        <w:rPr>
          <w:bCs/>
        </w:rPr>
        <w:t>/</w:t>
      </w:r>
      <w:r w:rsidR="001644C5" w:rsidRPr="00272ECE">
        <w:rPr>
          <w:bCs/>
        </w:rPr>
        <w:t>II</w:t>
      </w:r>
      <w:r w:rsidRPr="00272ECE">
        <w:rPr>
          <w:bCs/>
        </w:rPr>
        <w:t xml:space="preserve"> </w:t>
      </w:r>
      <w:r w:rsidRPr="00272ECE">
        <w:t>open</w:t>
      </w:r>
      <w:r w:rsidR="001644C5" w:rsidRPr="00272ECE">
        <w:t xml:space="preserve"> </w:t>
      </w:r>
      <w:r w:rsidRPr="00272ECE">
        <w:t>label, multicentre study of oral pirtobrutinib to evaluate safety and efficacy in patients with</w:t>
      </w:r>
      <w:r w:rsidRPr="00272ECE">
        <w:rPr>
          <w:bCs/>
        </w:rPr>
        <w:t xml:space="preserve"> CLL/SLL or</w:t>
      </w:r>
      <w:r w:rsidR="00B74A9C" w:rsidRPr="00272ECE">
        <w:rPr>
          <w:bCs/>
        </w:rPr>
        <w:t xml:space="preserve"> </w:t>
      </w:r>
      <w:r w:rsidRPr="00272ECE">
        <w:rPr>
          <w:bCs/>
        </w:rPr>
        <w:t>NHL</w:t>
      </w:r>
      <w:r w:rsidRPr="00272ECE">
        <w:t xml:space="preserve"> who have failed or were intolerant to standard of care</w:t>
      </w:r>
      <w:r w:rsidRPr="00272ECE">
        <w:rPr>
          <w:bCs/>
        </w:rPr>
        <w:t xml:space="preserve">. </w:t>
      </w:r>
      <w:r w:rsidRPr="00272ECE">
        <w:t>This study includes two portions: pirtobrutinib monotherapy and combination therapy.</w:t>
      </w:r>
    </w:p>
    <w:p w14:paraId="5FA632BF" w14:textId="44E7C6C0" w:rsidR="00FC3C18" w:rsidRPr="00272ECE" w:rsidRDefault="00FC3C18" w:rsidP="002C4900">
      <w:r w:rsidRPr="00272ECE">
        <w:t xml:space="preserve">The monotherapy portion includes a Phase </w:t>
      </w:r>
      <w:r w:rsidR="001446F7" w:rsidRPr="00272ECE">
        <w:t>I</w:t>
      </w:r>
      <w:r w:rsidRPr="00272ECE">
        <w:t xml:space="preserve"> dose escalation and dose expansion, as well as Phase </w:t>
      </w:r>
      <w:r w:rsidR="001446F7" w:rsidRPr="00272ECE">
        <w:t>II</w:t>
      </w:r>
      <w:r w:rsidRPr="00272ECE">
        <w:t xml:space="preserve">. The combination therapy Phase </w:t>
      </w:r>
      <w:proofErr w:type="spellStart"/>
      <w:r w:rsidR="001446F7" w:rsidRPr="00272ECE">
        <w:t>I</w:t>
      </w:r>
      <w:r w:rsidRPr="00272ECE">
        <w:t>b</w:t>
      </w:r>
      <w:proofErr w:type="spellEnd"/>
      <w:r w:rsidRPr="00272ECE">
        <w:t xml:space="preserve"> portion is a safety assessment and expansion of pirtobrutinib in combination with venetoclax with or without anti-CD20 therapy (rituximab).</w:t>
      </w:r>
    </w:p>
    <w:p w14:paraId="0156B111" w14:textId="653CE487" w:rsidR="00CA21F6" w:rsidRPr="00272ECE" w:rsidRDefault="00CA21F6" w:rsidP="002C4900">
      <w:pPr>
        <w:pStyle w:val="FigureTitle"/>
      </w:pPr>
      <w:r w:rsidRPr="00272ECE">
        <w:t xml:space="preserve">Figure </w:t>
      </w:r>
      <w:r>
        <w:fldChar w:fldCharType="begin"/>
      </w:r>
      <w:r>
        <w:instrText xml:space="preserve"> SEQ Figure \* ARABIC </w:instrText>
      </w:r>
      <w:r>
        <w:fldChar w:fldCharType="separate"/>
      </w:r>
      <w:r w:rsidRPr="00272ECE">
        <w:t>6</w:t>
      </w:r>
      <w:r>
        <w:fldChar w:fldCharType="end"/>
      </w:r>
      <w:r w:rsidRPr="00272ECE">
        <w:t>: Study</w:t>
      </w:r>
      <w:r w:rsidR="00157EEC" w:rsidRPr="00272ECE">
        <w:t xml:space="preserve"> </w:t>
      </w:r>
      <w:proofErr w:type="spellStart"/>
      <w:r w:rsidR="00157EEC" w:rsidRPr="00272ECE">
        <w:t>LOXO</w:t>
      </w:r>
      <w:proofErr w:type="spellEnd"/>
      <w:r w:rsidR="00157EEC" w:rsidRPr="00272ECE">
        <w:t>-</w:t>
      </w:r>
      <w:proofErr w:type="spellStart"/>
      <w:r w:rsidR="00157EEC" w:rsidRPr="00272ECE">
        <w:t>BTK</w:t>
      </w:r>
      <w:proofErr w:type="spellEnd"/>
      <w:r w:rsidR="00157EEC" w:rsidRPr="00272ECE">
        <w:t>-18001 schematic</w:t>
      </w:r>
    </w:p>
    <w:p w14:paraId="05F5AE05" w14:textId="5B9F9AC7" w:rsidR="00FC3C18" w:rsidRPr="00272ECE" w:rsidRDefault="00773E40" w:rsidP="002C4900">
      <w:r w:rsidRPr="00272ECE">
        <w:rPr>
          <w:noProof/>
        </w:rPr>
        <w:drawing>
          <wp:inline distT="0" distB="0" distL="0" distR="0" wp14:anchorId="5FC0FF27" wp14:editId="6B9BF3B9">
            <wp:extent cx="5759450" cy="3750310"/>
            <wp:effectExtent l="0" t="0" r="0" b="2540"/>
            <wp:docPr id="1298401064" name="Picture 1" descr="Figure 6: Study LOXO-BTK-18001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01064" name="Picture 1" descr="Figure 6: Study LOXO-BTK-18001 schematic"/>
                    <pic:cNvPicPr/>
                  </pic:nvPicPr>
                  <pic:blipFill>
                    <a:blip r:embed="rId33"/>
                    <a:stretch>
                      <a:fillRect/>
                    </a:stretch>
                  </pic:blipFill>
                  <pic:spPr>
                    <a:xfrm>
                      <a:off x="0" y="0"/>
                      <a:ext cx="5759450" cy="3750310"/>
                    </a:xfrm>
                    <a:prstGeom prst="rect">
                      <a:avLst/>
                    </a:prstGeom>
                  </pic:spPr>
                </pic:pic>
              </a:graphicData>
            </a:graphic>
          </wp:inline>
        </w:drawing>
      </w:r>
    </w:p>
    <w:p w14:paraId="3D21A71F" w14:textId="61F26D27" w:rsidR="00FC3C18" w:rsidRPr="00272ECE" w:rsidRDefault="00FC3C18" w:rsidP="002C4900">
      <w:r w:rsidRPr="00272ECE">
        <w:t xml:space="preserve">Supportive evidence in this submission was provided by results from the Phase </w:t>
      </w:r>
      <w:r w:rsidR="008C1267" w:rsidRPr="00272ECE">
        <w:t>I</w:t>
      </w:r>
      <w:r w:rsidRPr="00272ECE">
        <w:t>/</w:t>
      </w:r>
      <w:r w:rsidR="008C1267" w:rsidRPr="00272ECE">
        <w:t>II</w:t>
      </w:r>
      <w:r w:rsidRPr="00272ECE">
        <w:t xml:space="preserve"> </w:t>
      </w:r>
      <w:r w:rsidR="008C1267" w:rsidRPr="00272ECE">
        <w:t>S</w:t>
      </w:r>
      <w:r w:rsidRPr="00272ECE">
        <w:t>tudy</w:t>
      </w:r>
      <w:r w:rsidR="008C1267" w:rsidRPr="00272ECE">
        <w:t> </w:t>
      </w:r>
      <w:r w:rsidRPr="00272ECE">
        <w:t>LOXO</w:t>
      </w:r>
      <w:r w:rsidR="00824344" w:rsidRPr="00272ECE">
        <w:noBreakHyphen/>
      </w:r>
      <w:r w:rsidRPr="00272ECE">
        <w:t>BTK</w:t>
      </w:r>
      <w:r w:rsidR="00824344" w:rsidRPr="00272ECE">
        <w:noBreakHyphen/>
      </w:r>
      <w:r w:rsidRPr="00272ECE">
        <w:t xml:space="preserve">18001 (Study 18001), where pirtobrutinib demonstrated a manageable safety profile and durable antitumor activity against a variety of B-cell malignancies, including CLL/SLL, regardless of prior treatment, and including in patients previously treated with covalent BTK inhibitors. A total of 263 patients with CLL/SLL in Cohort 2 and 19 patients with </w:t>
      </w:r>
      <w:r w:rsidRPr="00272ECE">
        <w:lastRenderedPageBreak/>
        <w:t>CLL/SLL in Cohort 7 treated with pirtobrutinib 200</w:t>
      </w:r>
      <w:r w:rsidR="00824344" w:rsidRPr="00272ECE">
        <w:t> </w:t>
      </w:r>
      <w:r w:rsidRPr="00272ECE">
        <w:t xml:space="preserve">mg </w:t>
      </w:r>
      <w:r w:rsidR="00A24D2B" w:rsidRPr="00272ECE">
        <w:t xml:space="preserve">once daily </w:t>
      </w:r>
      <w:r w:rsidRPr="00272ECE">
        <w:t>monotherapy are relevant to the current submission. In these cohorts, treatment with pirtobrutinib demonstrated clinically meaningful and durable evidence of efficacy in terms of:</w:t>
      </w:r>
    </w:p>
    <w:p w14:paraId="4F1517AB" w14:textId="69182005" w:rsidR="00FC3C18" w:rsidRPr="00272ECE" w:rsidRDefault="00FC3C18" w:rsidP="002C4900">
      <w:pPr>
        <w:pStyle w:val="ListBullet"/>
      </w:pPr>
      <w:r w:rsidRPr="00272ECE">
        <w:t>ORR of PR or better: 63</w:t>
      </w:r>
      <w:r w:rsidR="00A24D2B" w:rsidRPr="00272ECE">
        <w:t xml:space="preserve"> to </w:t>
      </w:r>
      <w:r w:rsidRPr="00272ECE">
        <w:t>68%; ORR including PR-L: 68</w:t>
      </w:r>
      <w:r w:rsidR="00A24D2B" w:rsidRPr="00272ECE">
        <w:t xml:space="preserve"> to </w:t>
      </w:r>
      <w:r w:rsidRPr="00272ECE">
        <w:t>75%</w:t>
      </w:r>
      <w:r w:rsidR="00A24D2B" w:rsidRPr="00272ECE">
        <w:t>.</w:t>
      </w:r>
    </w:p>
    <w:p w14:paraId="7739D8EE" w14:textId="3BDF0145" w:rsidR="00FC3C18" w:rsidRPr="00272ECE" w:rsidRDefault="00FC3C18" w:rsidP="00A24D2B">
      <w:pPr>
        <w:pStyle w:val="ListBullet"/>
      </w:pPr>
      <w:r w:rsidRPr="00272ECE">
        <w:t>DOR: median of about 18 months; by KM analysis, an estimated 69.4%, 58.3% and 51.5% were maintaining response at 12, 15, and 18 months, respectively.</w:t>
      </w:r>
    </w:p>
    <w:p w14:paraId="01440C30" w14:textId="30157934" w:rsidR="00FC3C18" w:rsidRPr="00272ECE" w:rsidRDefault="00FC3C18" w:rsidP="00A24D2B">
      <w:pPr>
        <w:pStyle w:val="ListBullet"/>
      </w:pPr>
      <w:r w:rsidRPr="00272ECE">
        <w:t>PFS: median of 19.4 months; the probability of being progression</w:t>
      </w:r>
      <w:r w:rsidR="00A24D2B" w:rsidRPr="00272ECE">
        <w:t xml:space="preserve"> </w:t>
      </w:r>
      <w:r w:rsidRPr="00272ECE">
        <w:t>free was 68.9%, 52.4% and 37.0% at 12, 18, and 24 months, respectively.</w:t>
      </w:r>
    </w:p>
    <w:p w14:paraId="2A944C4E" w14:textId="0D58E5FD" w:rsidR="00FC3C18" w:rsidRPr="00272ECE" w:rsidRDefault="00FC3C18" w:rsidP="002C4900">
      <w:pPr>
        <w:pStyle w:val="ListBullet"/>
      </w:pPr>
      <w:r w:rsidRPr="00272ECE">
        <w:t>OS: the median OS was not reached with 79 (30.0%) deaths observed in 263 patients after a median follow-up of 27.40 months. The KM estimate for OS rate was 84.9%, 78.7% and 72.8% at 12, 18, and 24 months, respectively.</w:t>
      </w:r>
    </w:p>
    <w:p w14:paraId="0A781D7A" w14:textId="0D527BF8" w:rsidR="00E23EA0" w:rsidRPr="00272ECE" w:rsidRDefault="00E23EA0" w:rsidP="002C4900">
      <w:pPr>
        <w:pStyle w:val="Heading4"/>
      </w:pPr>
      <w:bookmarkStart w:id="62" w:name="_Toc243316704"/>
      <w:r w:rsidRPr="00272ECE">
        <w:t>Safety</w:t>
      </w:r>
      <w:bookmarkEnd w:id="62"/>
    </w:p>
    <w:p w14:paraId="3D0F74D6" w14:textId="614BC74C" w:rsidR="00E23EA0" w:rsidRPr="00272ECE" w:rsidRDefault="00E23EA0" w:rsidP="002C4900">
      <w:r w:rsidRPr="00272ECE">
        <w:t>The main studies providing evidence for safety of pirtobrutinib in the proposed indication are</w:t>
      </w:r>
      <w:r w:rsidR="008D31BE" w:rsidRPr="00272ECE">
        <w:t xml:space="preserve"> outlined in </w:t>
      </w:r>
      <w:r w:rsidR="00B960D6" w:rsidRPr="00272ECE">
        <w:fldChar w:fldCharType="begin"/>
      </w:r>
      <w:r w:rsidR="00B960D6" w:rsidRPr="00272ECE">
        <w:instrText xml:space="preserve"> REF _Ref240297741 \h </w:instrText>
      </w:r>
      <w:r w:rsidR="00B960D6" w:rsidRPr="00272ECE">
        <w:fldChar w:fldCharType="separate"/>
      </w:r>
      <w:r w:rsidR="00B960D6" w:rsidRPr="00272ECE">
        <w:t>Table 8</w:t>
      </w:r>
      <w:r w:rsidR="00B960D6" w:rsidRPr="00272ECE">
        <w:fldChar w:fldCharType="end"/>
      </w:r>
      <w:r w:rsidR="00B960D6" w:rsidRPr="00272ECE">
        <w:t xml:space="preserve"> </w:t>
      </w:r>
      <w:r w:rsidR="008D31BE" w:rsidRPr="00272ECE">
        <w:t>below.</w:t>
      </w:r>
    </w:p>
    <w:p w14:paraId="5DE23F5A" w14:textId="04780609" w:rsidR="00B960D6" w:rsidRPr="00272ECE" w:rsidRDefault="00B960D6" w:rsidP="002C4900">
      <w:pPr>
        <w:pStyle w:val="TableTitle"/>
      </w:pPr>
      <w:bookmarkStart w:id="63" w:name="_Ref240297741"/>
      <w:r w:rsidRPr="00272ECE">
        <w:t xml:space="preserve">Table </w:t>
      </w:r>
      <w:r>
        <w:fldChar w:fldCharType="begin"/>
      </w:r>
      <w:r>
        <w:instrText xml:space="preserve"> SEQ Table \* ARABIC </w:instrText>
      </w:r>
      <w:r>
        <w:fldChar w:fldCharType="separate"/>
      </w:r>
      <w:r w:rsidRPr="00272ECE">
        <w:t>8</w:t>
      </w:r>
      <w:r>
        <w:fldChar w:fldCharType="end"/>
      </w:r>
      <w:bookmarkEnd w:id="63"/>
      <w:r w:rsidR="000A3480" w:rsidRPr="00272ECE">
        <w:t>: Analysis population for safety assessment</w:t>
      </w:r>
    </w:p>
    <w:p w14:paraId="0BAC5257" w14:textId="77777777" w:rsidR="00E23EA0" w:rsidRPr="00272ECE" w:rsidRDefault="00E23EA0" w:rsidP="002C4900">
      <w:pPr>
        <w:rPr>
          <w:b/>
        </w:rPr>
      </w:pPr>
      <w:r w:rsidRPr="00272ECE">
        <w:rPr>
          <w:noProof/>
          <w:lang w:eastAsia="en-AU"/>
        </w:rPr>
        <w:drawing>
          <wp:inline distT="0" distB="0" distL="0" distR="0" wp14:anchorId="50EF0091" wp14:editId="048518E9">
            <wp:extent cx="5731510" cy="3266440"/>
            <wp:effectExtent l="0" t="0" r="2540" b="0"/>
            <wp:docPr id="21" name="Picture 21" descr="Table 8: Analysis population for safety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 8: Analysis population for safety assessment"/>
                    <pic:cNvPicPr/>
                  </pic:nvPicPr>
                  <pic:blipFill>
                    <a:blip r:embed="rId34"/>
                    <a:stretch>
                      <a:fillRect/>
                    </a:stretch>
                  </pic:blipFill>
                  <pic:spPr>
                    <a:xfrm>
                      <a:off x="0" y="0"/>
                      <a:ext cx="5731510" cy="3266440"/>
                    </a:xfrm>
                    <a:prstGeom prst="rect">
                      <a:avLst/>
                    </a:prstGeom>
                  </pic:spPr>
                </pic:pic>
              </a:graphicData>
            </a:graphic>
          </wp:inline>
        </w:drawing>
      </w:r>
    </w:p>
    <w:p w14:paraId="6CDF7865" w14:textId="5BC76449" w:rsidR="00E23EA0" w:rsidRPr="00272ECE" w:rsidRDefault="00E23EA0" w:rsidP="002C4900">
      <w:r w:rsidRPr="00272ECE">
        <w:t xml:space="preserve">The main evidence for safety of pirtobrutinib in proposed indication was provided by the pivotal Phase </w:t>
      </w:r>
      <w:r w:rsidR="00E255E1" w:rsidRPr="00272ECE">
        <w:t>III</w:t>
      </w:r>
      <w:r w:rsidRPr="00272ECE">
        <w:t>, global, randomised, open</w:t>
      </w:r>
      <w:r w:rsidR="00E255E1" w:rsidRPr="00272ECE">
        <w:t xml:space="preserve"> </w:t>
      </w:r>
      <w:r w:rsidRPr="00272ECE">
        <w:t xml:space="preserve">label study conducted in 238 adult patients with CLL/SLL previously treated with any BTK inhibitor who had an indication for treatment as defined by </w:t>
      </w:r>
      <w:proofErr w:type="spellStart"/>
      <w:r w:rsidRPr="00272ECE">
        <w:t>iwCLL</w:t>
      </w:r>
      <w:proofErr w:type="spellEnd"/>
      <w:r w:rsidRPr="00272ECE">
        <w:t xml:space="preserve"> 2018 </w:t>
      </w:r>
      <w:proofErr w:type="spellStart"/>
      <w:r w:rsidRPr="00272ECE">
        <w:t>criteria</w:t>
      </w:r>
      <w:r w:rsidR="003546B9" w:rsidRPr="00272ECE">
        <w:t>,</w:t>
      </w:r>
      <w:r w:rsidR="00E255E1" w:rsidRPr="00272ECE">
        <w:fldChar w:fldCharType="begin"/>
      </w:r>
      <w:r w:rsidR="00E255E1" w:rsidRPr="00272ECE">
        <w:instrText xml:space="preserve"> NOTEREF _Ref240297915 \f \h </w:instrText>
      </w:r>
      <w:r w:rsidR="00E255E1" w:rsidRPr="00272ECE">
        <w:fldChar w:fldCharType="separate"/>
      </w:r>
      <w:r w:rsidR="00E255E1" w:rsidRPr="00272ECE">
        <w:rPr>
          <w:rStyle w:val="FootnoteReference"/>
        </w:rPr>
        <w:t>9</w:t>
      </w:r>
      <w:proofErr w:type="spellEnd"/>
      <w:r w:rsidR="00E255E1" w:rsidRPr="00272ECE">
        <w:fldChar w:fldCharType="end"/>
      </w:r>
      <w:r w:rsidRPr="00272ECE">
        <w:t xml:space="preserve"> including those who discontinued prior covalent BTK therapy due to PD or intolerance. The initial </w:t>
      </w:r>
      <w:r w:rsidR="003546B9" w:rsidRPr="00272ECE">
        <w:t xml:space="preserve">clinical study report </w:t>
      </w:r>
      <w:r w:rsidRPr="00272ECE">
        <w:t>with data cutoff date of 29</w:t>
      </w:r>
      <w:r w:rsidR="003546B9" w:rsidRPr="00272ECE">
        <w:t> </w:t>
      </w:r>
      <w:r w:rsidRPr="00272ECE">
        <w:t>August</w:t>
      </w:r>
      <w:r w:rsidR="003546B9" w:rsidRPr="00272ECE">
        <w:t> </w:t>
      </w:r>
      <w:r w:rsidRPr="00272ECE">
        <w:t>2023 provided the safety data for primary analysis and the updated safety data (</w:t>
      </w:r>
      <w:r w:rsidR="003546B9" w:rsidRPr="00272ECE">
        <w:t>data cutoff</w:t>
      </w:r>
      <w:r w:rsidRPr="00272ECE">
        <w:t xml:space="preserve"> of 29</w:t>
      </w:r>
      <w:r w:rsidR="003546B9" w:rsidRPr="00272ECE">
        <w:t> </w:t>
      </w:r>
      <w:r w:rsidRPr="00272ECE">
        <w:t>August</w:t>
      </w:r>
      <w:r w:rsidR="003546B9" w:rsidRPr="00272ECE">
        <w:t> </w:t>
      </w:r>
      <w:r w:rsidRPr="00272ECE">
        <w:t>2024) provided 12 months of additional follow-up for 116 patients treated with pirtobrutinib.</w:t>
      </w:r>
    </w:p>
    <w:p w14:paraId="541A9BA6" w14:textId="5CD0C5F6" w:rsidR="00E23EA0" w:rsidRPr="00272ECE" w:rsidRDefault="00E23EA0" w:rsidP="002C4900">
      <w:r w:rsidRPr="00272ECE">
        <w:t xml:space="preserve">Overall, pirtobrutinib monotherapy demonstrated a favourable safety profile as compared to </w:t>
      </w:r>
      <w:proofErr w:type="spellStart"/>
      <w:r w:rsidRPr="00272ECE">
        <w:t>IdelaR</w:t>
      </w:r>
      <w:proofErr w:type="spellEnd"/>
      <w:r w:rsidRPr="00272ECE">
        <w:t xml:space="preserve"> or </w:t>
      </w:r>
      <w:proofErr w:type="spellStart"/>
      <w:r w:rsidRPr="00272ECE">
        <w:t>BendaR</w:t>
      </w:r>
      <w:proofErr w:type="spellEnd"/>
      <w:r w:rsidRPr="00272ECE">
        <w:t xml:space="preserve">. </w:t>
      </w:r>
      <w:r w:rsidRPr="00BB7838">
        <w:t xml:space="preserve">Patients treated with </w:t>
      </w:r>
      <w:proofErr w:type="spellStart"/>
      <w:r w:rsidRPr="00BB7838">
        <w:t>pirtobrutinib</w:t>
      </w:r>
      <w:proofErr w:type="spellEnd"/>
      <w:r w:rsidRPr="00BB7838">
        <w:t xml:space="preserve"> (</w:t>
      </w:r>
      <w:r w:rsidR="003546B9" w:rsidRPr="00BB7838">
        <w:t>versus</w:t>
      </w:r>
      <w:r w:rsidRPr="00BB7838">
        <w:t xml:space="preserve"> </w:t>
      </w:r>
      <w:proofErr w:type="spellStart"/>
      <w:r w:rsidRPr="00BB7838">
        <w:t>IdelaR</w:t>
      </w:r>
      <w:proofErr w:type="spellEnd"/>
      <w:r w:rsidRPr="00BB7838">
        <w:t xml:space="preserve"> or </w:t>
      </w:r>
      <w:proofErr w:type="spellStart"/>
      <w:r w:rsidRPr="00BB7838">
        <w:t>BendaR</w:t>
      </w:r>
      <w:proofErr w:type="spellEnd"/>
      <w:r w:rsidRPr="00BB7838">
        <w:t xml:space="preserve">) experienced fewer Grade 3 or 4 </w:t>
      </w:r>
      <w:r w:rsidR="003546B9" w:rsidRPr="00BB7838">
        <w:t>adverse events (</w:t>
      </w:r>
      <w:r w:rsidRPr="00BB7838">
        <w:t>AEs</w:t>
      </w:r>
      <w:r w:rsidR="003546B9" w:rsidRPr="00BB7838">
        <w:t>)</w:t>
      </w:r>
      <w:r w:rsidRPr="00BB7838">
        <w:t xml:space="preserve"> (38.8% versus 54.1%), treatment discontinuations due to AEs (10.3% versus 23.9%), and </w:t>
      </w:r>
      <w:r w:rsidR="003546B9" w:rsidRPr="00BB7838">
        <w:t>serious adverse events (</w:t>
      </w:r>
      <w:r w:rsidRPr="00BB7838">
        <w:t>SAEs</w:t>
      </w:r>
      <w:r w:rsidR="003546B9" w:rsidRPr="00BB7838">
        <w:t>)</w:t>
      </w:r>
      <w:r w:rsidRPr="00BB7838">
        <w:t xml:space="preserve"> (31</w:t>
      </w:r>
      <w:r w:rsidRPr="00272ECE">
        <w:t>.0% versus 35.8%).</w:t>
      </w:r>
    </w:p>
    <w:p w14:paraId="1BD20AF2" w14:textId="7F6C9E77" w:rsidR="00E23EA0" w:rsidRPr="0018113D" w:rsidRDefault="00E23EA0" w:rsidP="002C4900">
      <w:r w:rsidRPr="00272ECE">
        <w:lastRenderedPageBreak/>
        <w:t>The most common AEs (occurring in ≥</w:t>
      </w:r>
      <w:r w:rsidR="00E124B1" w:rsidRPr="00272ECE">
        <w:t> </w:t>
      </w:r>
      <w:r w:rsidRPr="00272ECE">
        <w:t>15% of patients) in the pirtobrutinib treatment arm were pneumonia, anaemia, neutropenia, cough and diarrhoea. The most common AEs (occurring in ≥</w:t>
      </w:r>
      <w:r w:rsidR="00E124B1" w:rsidRPr="00272ECE">
        <w:t> </w:t>
      </w:r>
      <w:r w:rsidRPr="00272ECE">
        <w:t xml:space="preserve">15% of patients) in Arm B in patients treated with </w:t>
      </w:r>
      <w:proofErr w:type="spellStart"/>
      <w:r w:rsidRPr="00272ECE">
        <w:t>IdelaR</w:t>
      </w:r>
      <w:proofErr w:type="spellEnd"/>
      <w:r w:rsidRPr="00272ECE">
        <w:t xml:space="preserve"> were diarrhoea, cough, pyrexia, </w:t>
      </w:r>
      <w:r w:rsidRPr="0018113D">
        <w:t xml:space="preserve">COVID-19, fatigue, nausea, </w:t>
      </w:r>
      <w:r w:rsidR="00E9016B" w:rsidRPr="0018113D">
        <w:t>alanine aminotransferase (</w:t>
      </w:r>
      <w:r w:rsidRPr="0018113D">
        <w:t>ALT</w:t>
      </w:r>
      <w:r w:rsidR="00E9016B" w:rsidRPr="0018113D">
        <w:t>)</w:t>
      </w:r>
      <w:r w:rsidRPr="0018113D">
        <w:t xml:space="preserve"> increased, </w:t>
      </w:r>
      <w:r w:rsidR="00601FD2" w:rsidRPr="0018113D">
        <w:t>aspartate aminotransferase</w:t>
      </w:r>
      <w:r w:rsidRPr="0018113D">
        <w:t xml:space="preserve"> increased, headache, vomiting, weight decreased, pneumonia and neutropenia. The most common AEs (occurring in ≥</w:t>
      </w:r>
      <w:r w:rsidR="00601FD2" w:rsidRPr="0018113D">
        <w:t> </w:t>
      </w:r>
      <w:r w:rsidRPr="0018113D">
        <w:t xml:space="preserve">15% of patients) in Arm B in patients treated with </w:t>
      </w:r>
      <w:proofErr w:type="spellStart"/>
      <w:r w:rsidRPr="0018113D">
        <w:t>BendaR</w:t>
      </w:r>
      <w:proofErr w:type="spellEnd"/>
      <w:r w:rsidRPr="0018113D">
        <w:t xml:space="preserve"> were anaemia, neutropenia, nausea, neutrophil count decreased, vomiting, weight decreased, infusion-related reaction.</w:t>
      </w:r>
    </w:p>
    <w:p w14:paraId="63FA9F02" w14:textId="6FCD29AA" w:rsidR="00E23EA0" w:rsidRPr="00272ECE" w:rsidRDefault="00E23EA0" w:rsidP="002C4900">
      <w:r w:rsidRPr="0018113D">
        <w:t xml:space="preserve">The incidence of pneumonia was higher in the pirtobrutinib </w:t>
      </w:r>
      <w:r w:rsidR="005C7CBE">
        <w:t xml:space="preserve">arm </w:t>
      </w:r>
      <w:r w:rsidRPr="0018113D">
        <w:t xml:space="preserve">compared to the </w:t>
      </w:r>
      <w:proofErr w:type="spellStart"/>
      <w:r w:rsidRPr="0018113D">
        <w:t>IdelaR</w:t>
      </w:r>
      <w:proofErr w:type="spellEnd"/>
      <w:r w:rsidRPr="0018113D">
        <w:t xml:space="preserve"> or </w:t>
      </w:r>
      <w:proofErr w:type="spellStart"/>
      <w:r w:rsidRPr="0018113D">
        <w:t>BendaR</w:t>
      </w:r>
      <w:proofErr w:type="spellEnd"/>
      <w:r w:rsidRPr="0018113D">
        <w:t xml:space="preserve"> treatment arm in the original and the updated </w:t>
      </w:r>
      <w:r w:rsidR="007C18F9" w:rsidRPr="0018113D">
        <w:t>clinical study report</w:t>
      </w:r>
      <w:r w:rsidRPr="0018113D">
        <w:t xml:space="preserve">: </w:t>
      </w:r>
      <w:r w:rsidR="007C18F9" w:rsidRPr="0018113D">
        <w:t>p</w:t>
      </w:r>
      <w:r w:rsidRPr="0018113D">
        <w:t>neumonia: any grade (22.4% v</w:t>
      </w:r>
      <w:r w:rsidR="007C18F9" w:rsidRPr="0018113D">
        <w:t>ersus</w:t>
      </w:r>
      <w:r w:rsidRPr="0018113D">
        <w:t xml:space="preserve"> 11.9%); Grade 3/4 (15.5% v</w:t>
      </w:r>
      <w:r w:rsidR="007C18F9" w:rsidRPr="0018113D">
        <w:t>ersus</w:t>
      </w:r>
      <w:r w:rsidRPr="0018113D">
        <w:t xml:space="preserve"> 8.3%); Grade 5 (1.7% v</w:t>
      </w:r>
      <w:r w:rsidR="007C18F9" w:rsidRPr="0018113D">
        <w:t>ersus</w:t>
      </w:r>
      <w:r w:rsidRPr="0018113D">
        <w:t xml:space="preserve"> 2.8%). Incidence of </w:t>
      </w:r>
      <w:r w:rsidR="002229E3" w:rsidRPr="0018113D">
        <w:t>upper resp</w:t>
      </w:r>
      <w:r w:rsidR="005612C9" w:rsidRPr="0018113D">
        <w:t>iratory tract infection</w:t>
      </w:r>
      <w:r w:rsidRPr="0018113D">
        <w:t xml:space="preserve"> was also slightly higher in the pirtobrutinib arm: any grade (10.3% v</w:t>
      </w:r>
      <w:r w:rsidR="005612C9" w:rsidRPr="0018113D">
        <w:t>ersus</w:t>
      </w:r>
      <w:r w:rsidRPr="0018113D">
        <w:t xml:space="preserve"> 6.4%); Grade 3/4</w:t>
      </w:r>
      <w:r w:rsidR="00370F9F" w:rsidRPr="0018113D">
        <w:t xml:space="preserve"> </w:t>
      </w:r>
      <w:r w:rsidRPr="0018113D">
        <w:t>(0.9% v</w:t>
      </w:r>
      <w:r w:rsidR="005612C9" w:rsidRPr="0018113D">
        <w:t>ersus</w:t>
      </w:r>
      <w:r w:rsidRPr="0018113D">
        <w:t xml:space="preserve"> 0%). Other common </w:t>
      </w:r>
      <w:r w:rsidR="005612C9" w:rsidRPr="0018113D">
        <w:t>treatment emergent adverse events (</w:t>
      </w:r>
      <w:r w:rsidRPr="0018113D">
        <w:t>TEAEs</w:t>
      </w:r>
      <w:r w:rsidR="005612C9" w:rsidRPr="0018113D">
        <w:t>)</w:t>
      </w:r>
      <w:r w:rsidRPr="0018113D">
        <w:t xml:space="preserve"> were</w:t>
      </w:r>
      <w:r w:rsidRPr="00272ECE">
        <w:t xml:space="preserve"> reported at a higher incidence in the </w:t>
      </w:r>
      <w:proofErr w:type="spellStart"/>
      <w:r w:rsidRPr="00272ECE">
        <w:t>IdelaR</w:t>
      </w:r>
      <w:proofErr w:type="spellEnd"/>
      <w:r w:rsidRPr="00272ECE">
        <w:t xml:space="preserve"> or </w:t>
      </w:r>
      <w:proofErr w:type="spellStart"/>
      <w:r w:rsidRPr="00272ECE">
        <w:t>BendaR</w:t>
      </w:r>
      <w:proofErr w:type="spellEnd"/>
      <w:r w:rsidRPr="00272ECE">
        <w:t xml:space="preserve"> treatment arm (Arm A v</w:t>
      </w:r>
      <w:r w:rsidR="005612C9" w:rsidRPr="00272ECE">
        <w:t>ersus</w:t>
      </w:r>
      <w:r w:rsidRPr="00272ECE">
        <w:t xml:space="preserve"> B): pyrexia (12.9% v</w:t>
      </w:r>
      <w:r w:rsidR="005612C9" w:rsidRPr="00272ECE">
        <w:t xml:space="preserve">ersus </w:t>
      </w:r>
      <w:r w:rsidRPr="00272ECE">
        <w:t>26.6%), fatigue (11.2% v</w:t>
      </w:r>
      <w:r w:rsidR="005612C9" w:rsidRPr="00272ECE">
        <w:t>ersus</w:t>
      </w:r>
      <w:r w:rsidRPr="00272ECE">
        <w:t xml:space="preserve"> 20.2%), diarrhoea (16.4% v</w:t>
      </w:r>
      <w:r w:rsidR="005612C9" w:rsidRPr="00272ECE">
        <w:t>ersus</w:t>
      </w:r>
      <w:r w:rsidRPr="00272ECE">
        <w:t xml:space="preserve"> 31.2%), nausea (11.2% v</w:t>
      </w:r>
      <w:r w:rsidR="005612C9" w:rsidRPr="00272ECE">
        <w:t>ersus</w:t>
      </w:r>
      <w:r w:rsidRPr="00272ECE">
        <w:t xml:space="preserve"> 20.2%), vomiting (6.9% v</w:t>
      </w:r>
      <w:r w:rsidR="005612C9" w:rsidRPr="00272ECE">
        <w:t>ersus</w:t>
      </w:r>
      <w:r w:rsidRPr="00272ECE">
        <w:t xml:space="preserve"> 17.4%), neutrophil count decreased (7.8% v</w:t>
      </w:r>
      <w:r w:rsidR="005612C9" w:rsidRPr="00272ECE">
        <w:t>ersus</w:t>
      </w:r>
      <w:r w:rsidRPr="00272ECE">
        <w:t xml:space="preserve"> 17.4%) and infusion-related reaction (0% v</w:t>
      </w:r>
      <w:r w:rsidR="005612C9" w:rsidRPr="00272ECE">
        <w:t>ersus</w:t>
      </w:r>
      <w:r w:rsidRPr="00272ECE">
        <w:t xml:space="preserve"> 17.4%).</w:t>
      </w:r>
    </w:p>
    <w:p w14:paraId="20B2F94E" w14:textId="6E872089" w:rsidR="00E23EA0" w:rsidRPr="00272ECE" w:rsidRDefault="00E23EA0" w:rsidP="002C4900">
      <w:r w:rsidRPr="00272ECE">
        <w:t xml:space="preserve">Overall incidence of TEAEs of Grade 3/4 severity was lower in the </w:t>
      </w:r>
      <w:proofErr w:type="spellStart"/>
      <w:r w:rsidRPr="00272ECE">
        <w:t>pirtobrutinib</w:t>
      </w:r>
      <w:proofErr w:type="spellEnd"/>
      <w:r w:rsidRPr="00272ECE">
        <w:t xml:space="preserve"> </w:t>
      </w:r>
      <w:r w:rsidR="0095180F">
        <w:t xml:space="preserve">arm </w:t>
      </w:r>
      <w:r w:rsidRPr="00272ECE">
        <w:t>v</w:t>
      </w:r>
      <w:r w:rsidR="00370F9F" w:rsidRPr="00272ECE">
        <w:t>ersus</w:t>
      </w:r>
      <w:r w:rsidRPr="00272ECE">
        <w:t xml:space="preserve"> </w:t>
      </w:r>
      <w:proofErr w:type="spellStart"/>
      <w:r w:rsidRPr="00272ECE">
        <w:t>IdelaR</w:t>
      </w:r>
      <w:proofErr w:type="spellEnd"/>
      <w:r w:rsidRPr="00272ECE">
        <w:t xml:space="preserve"> or </w:t>
      </w:r>
      <w:proofErr w:type="spellStart"/>
      <w:r w:rsidRPr="00272ECE">
        <w:t>BendaR</w:t>
      </w:r>
      <w:proofErr w:type="spellEnd"/>
      <w:r w:rsidRPr="00272ECE">
        <w:t xml:space="preserve"> treatment arm (Arm A v</w:t>
      </w:r>
      <w:r w:rsidR="00370F9F" w:rsidRPr="00272ECE">
        <w:t>ersus</w:t>
      </w:r>
      <w:r w:rsidRPr="00272ECE">
        <w:t xml:space="preserve"> B: 47.4% v</w:t>
      </w:r>
      <w:r w:rsidR="00370F9F" w:rsidRPr="00272ECE">
        <w:t>ersus</w:t>
      </w:r>
      <w:r w:rsidRPr="00272ECE">
        <w:t xml:space="preserve"> 67.2%); however, it was noted that incidence was higher in the pirtobrutinib arm for </w:t>
      </w:r>
      <w:r w:rsidR="00370F9F" w:rsidRPr="00272ECE">
        <w:t>G</w:t>
      </w:r>
      <w:r w:rsidRPr="00272ECE">
        <w:t>rade 3/4 TEAEs of pneumonia (15.5% v</w:t>
      </w:r>
      <w:r w:rsidR="00370F9F" w:rsidRPr="00272ECE">
        <w:t>ersus</w:t>
      </w:r>
      <w:r w:rsidRPr="00272ECE">
        <w:t xml:space="preserve"> 8.3%), anaemia (11.2% v</w:t>
      </w:r>
      <w:r w:rsidR="00370F9F" w:rsidRPr="00272ECE">
        <w:t>ersus</w:t>
      </w:r>
      <w:r w:rsidRPr="00272ECE">
        <w:t xml:space="preserve"> 7.3%) and neutropenia (14.7% v</w:t>
      </w:r>
      <w:r w:rsidR="00370F9F" w:rsidRPr="00272ECE">
        <w:t>ersus</w:t>
      </w:r>
      <w:r w:rsidRPr="00272ECE">
        <w:t xml:space="preserve"> 11.9%).</w:t>
      </w:r>
    </w:p>
    <w:p w14:paraId="0D12D631" w14:textId="02A4D8CB" w:rsidR="00E23EA0" w:rsidRPr="00272ECE" w:rsidRDefault="00E23EA0" w:rsidP="00D827C4">
      <w:r w:rsidRPr="00272ECE">
        <w:t>Of the most common treatment-related AEs, patients treated with pirtobrutinib reported higher incidence of pneumonia (Arm A v</w:t>
      </w:r>
      <w:r w:rsidR="00797D48" w:rsidRPr="00272ECE">
        <w:t>ersus</w:t>
      </w:r>
      <w:r w:rsidRPr="00272ECE">
        <w:t xml:space="preserve"> B: any </w:t>
      </w:r>
      <w:r w:rsidR="00797D48" w:rsidRPr="00272ECE">
        <w:t>Gr</w:t>
      </w:r>
      <w:r w:rsidRPr="00272ECE">
        <w:t>ade</w:t>
      </w:r>
      <w:r w:rsidR="00797D48" w:rsidRPr="00272ECE">
        <w:t> </w:t>
      </w:r>
      <w:r w:rsidRPr="00272ECE">
        <w:t>=</w:t>
      </w:r>
      <w:r w:rsidR="00797D48" w:rsidRPr="00272ECE">
        <w:t> </w:t>
      </w:r>
      <w:r w:rsidRPr="00272ECE">
        <w:t>6.9% v</w:t>
      </w:r>
      <w:r w:rsidR="00797D48" w:rsidRPr="00272ECE">
        <w:t>ersus</w:t>
      </w:r>
      <w:r w:rsidRPr="00272ECE">
        <w:t xml:space="preserve"> 2.8%; Grade 3/4: 5.2% v</w:t>
      </w:r>
      <w:r w:rsidR="00797D48" w:rsidRPr="00272ECE">
        <w:t>ersus</w:t>
      </w:r>
      <w:r w:rsidRPr="00272ECE">
        <w:t xml:space="preserve"> 2.8%) and neutropenia (any </w:t>
      </w:r>
      <w:r w:rsidR="00797D48" w:rsidRPr="00272ECE">
        <w:t>G</w:t>
      </w:r>
      <w:r w:rsidRPr="00272ECE">
        <w:t>rade</w:t>
      </w:r>
      <w:r w:rsidR="00797D48" w:rsidRPr="00272ECE">
        <w:t> </w:t>
      </w:r>
      <w:r w:rsidRPr="00272ECE">
        <w:t>=</w:t>
      </w:r>
      <w:r w:rsidR="00797D48" w:rsidRPr="00272ECE">
        <w:t> </w:t>
      </w:r>
      <w:r w:rsidRPr="00272ECE">
        <w:t>12.9% v</w:t>
      </w:r>
      <w:r w:rsidR="00797D48" w:rsidRPr="00272ECE">
        <w:t>ersus</w:t>
      </w:r>
      <w:r w:rsidRPr="00272ECE">
        <w:t xml:space="preserve"> 8.3%; Grade 3/4: 9.5% v</w:t>
      </w:r>
      <w:r w:rsidR="00797D48" w:rsidRPr="00272ECE">
        <w:t xml:space="preserve">ersus </w:t>
      </w:r>
      <w:r w:rsidRPr="00272ECE">
        <w:t xml:space="preserve">7.3%) in both the original and updated </w:t>
      </w:r>
      <w:r w:rsidR="00797D48" w:rsidRPr="00272ECE">
        <w:t>clinical study report d</w:t>
      </w:r>
      <w:r w:rsidRPr="00272ECE">
        <w:t xml:space="preserve">iarrhoea, anaemia and fatigue were more common in the </w:t>
      </w:r>
      <w:proofErr w:type="spellStart"/>
      <w:r w:rsidRPr="00272ECE">
        <w:t>IdelaR</w:t>
      </w:r>
      <w:proofErr w:type="spellEnd"/>
      <w:r w:rsidRPr="00272ECE">
        <w:t xml:space="preserve"> or </w:t>
      </w:r>
      <w:proofErr w:type="spellStart"/>
      <w:r w:rsidRPr="00272ECE">
        <w:t>BendaR</w:t>
      </w:r>
      <w:proofErr w:type="spellEnd"/>
      <w:r w:rsidRPr="00272ECE">
        <w:t xml:space="preserve"> treatment arm.</w:t>
      </w:r>
    </w:p>
    <w:p w14:paraId="5C2131B7" w14:textId="4D99DD91" w:rsidR="005B5A96" w:rsidRPr="00272ECE" w:rsidRDefault="00E23EA0" w:rsidP="002C4900">
      <w:r w:rsidRPr="00272ECE">
        <w:t>Deaths due to AEs (Arm A v</w:t>
      </w:r>
      <w:r w:rsidR="00F50C38" w:rsidRPr="00272ECE">
        <w:t>ersus</w:t>
      </w:r>
      <w:r w:rsidRPr="00272ECE">
        <w:t xml:space="preserve"> B) were reported in 9 (7.8%) v</w:t>
      </w:r>
      <w:r w:rsidR="00F50C38" w:rsidRPr="00272ECE">
        <w:t>ersus</w:t>
      </w:r>
      <w:r w:rsidRPr="00272ECE">
        <w:t xml:space="preserve"> 7 (6.4%) patients. There were no deaths during treatment with pirtobrutinib. </w:t>
      </w:r>
      <w:proofErr w:type="gramStart"/>
      <w:r w:rsidRPr="00272ECE">
        <w:t>The majority of</w:t>
      </w:r>
      <w:proofErr w:type="gramEnd"/>
      <w:r w:rsidRPr="00272ECE">
        <w:t xml:space="preserve"> deaths due to AEs were under the </w:t>
      </w:r>
      <w:r w:rsidR="00CE7410" w:rsidRPr="00272ECE">
        <w:t xml:space="preserve">system organ class </w:t>
      </w:r>
      <w:r w:rsidRPr="00272ECE">
        <w:t xml:space="preserve">of infections and infestations (11 of 15) and were predominantly associated with COVID-19 (7 of 11). None of the deaths were considered related to pirtobrutinib by the </w:t>
      </w:r>
      <w:r w:rsidR="00CE7410" w:rsidRPr="00272ECE">
        <w:t>i</w:t>
      </w:r>
      <w:r w:rsidRPr="00272ECE">
        <w:t xml:space="preserve">nvestigator. </w:t>
      </w:r>
      <w:r w:rsidR="00CE7410" w:rsidRPr="00272ECE">
        <w:t xml:space="preserve">Serious </w:t>
      </w:r>
      <w:r w:rsidRPr="00272ECE">
        <w:t>AEs were reported at similar frequencies in both treatment arms (Arm A v</w:t>
      </w:r>
      <w:r w:rsidR="00CE7410" w:rsidRPr="00272ECE">
        <w:t>ersus</w:t>
      </w:r>
      <w:r w:rsidRPr="00272ECE">
        <w:t xml:space="preserve"> B: 47.4% v</w:t>
      </w:r>
      <w:r w:rsidR="00CE7410" w:rsidRPr="00272ECE">
        <w:t>ersus</w:t>
      </w:r>
      <w:r w:rsidRPr="00272ECE">
        <w:t>46.8%). However, incidence of SAE of pneumonia was slightly higher in the pirtobrutinib group (15.5% v</w:t>
      </w:r>
      <w:r w:rsidR="00124754" w:rsidRPr="00272ECE">
        <w:t>ersus</w:t>
      </w:r>
      <w:r w:rsidRPr="00272ECE">
        <w:t xml:space="preserve"> 11%) </w:t>
      </w:r>
      <w:r w:rsidRPr="00510B4C">
        <w:t>while that of COVID-19 was</w:t>
      </w:r>
      <w:r w:rsidRPr="00272ECE">
        <w:t xml:space="preserve"> slightly higher in the </w:t>
      </w:r>
      <w:proofErr w:type="spellStart"/>
      <w:r w:rsidRPr="00272ECE">
        <w:t>IdelaR</w:t>
      </w:r>
      <w:proofErr w:type="spellEnd"/>
      <w:r w:rsidRPr="00272ECE">
        <w:t xml:space="preserve"> or </w:t>
      </w:r>
      <w:proofErr w:type="spellStart"/>
      <w:r w:rsidRPr="00272ECE">
        <w:t>BendaR</w:t>
      </w:r>
      <w:proofErr w:type="spellEnd"/>
      <w:r w:rsidRPr="00272ECE">
        <w:t xml:space="preserve"> group (1.7% v</w:t>
      </w:r>
      <w:r w:rsidR="00124754" w:rsidRPr="00272ECE">
        <w:t>ersus</w:t>
      </w:r>
      <w:r w:rsidRPr="00272ECE">
        <w:t xml:space="preserve"> 4.6%); most of the other SAEs occurred at similar rate in both treatment arms</w:t>
      </w:r>
      <w:r w:rsidR="00124754" w:rsidRPr="00272ECE">
        <w:t>.</w:t>
      </w:r>
    </w:p>
    <w:p w14:paraId="672CD7D8" w14:textId="77777777" w:rsidR="00B641D9" w:rsidRPr="00272ECE" w:rsidRDefault="00124754" w:rsidP="002C4900">
      <w:r w:rsidRPr="00272ECE">
        <w:t>Adverse events</w:t>
      </w:r>
      <w:r w:rsidR="00E23EA0" w:rsidRPr="00272ECE">
        <w:t xml:space="preserve"> that led to permanent discontinuation of study drug were reported at lower frequency in the pirtobrutinib treatment arm (Arm A v</w:t>
      </w:r>
      <w:r w:rsidR="00C0246D" w:rsidRPr="00272ECE">
        <w:t>ersus</w:t>
      </w:r>
      <w:r w:rsidR="00E23EA0" w:rsidRPr="00272ECE">
        <w:t xml:space="preserve"> B): any grade (17.2% v</w:t>
      </w:r>
      <w:r w:rsidR="00C0246D" w:rsidRPr="00272ECE">
        <w:t>ersus</w:t>
      </w:r>
      <w:r w:rsidR="00E23EA0" w:rsidRPr="00272ECE">
        <w:t xml:space="preserve"> 34.9%; treatment-related: 5.2% v</w:t>
      </w:r>
      <w:r w:rsidR="00C0246D" w:rsidRPr="00272ECE">
        <w:t>ersus</w:t>
      </w:r>
      <w:r w:rsidR="00E23EA0" w:rsidRPr="00272ECE">
        <w:t xml:space="preserve"> 21.1%) and Grade 3/4 (6.9% v</w:t>
      </w:r>
      <w:r w:rsidR="00C0246D" w:rsidRPr="00272ECE">
        <w:t>ersus</w:t>
      </w:r>
      <w:r w:rsidR="00E23EA0" w:rsidRPr="00272ECE">
        <w:t xml:space="preserve"> 20.2%; treatment-related: 3.4% v</w:t>
      </w:r>
      <w:r w:rsidR="00C0246D" w:rsidRPr="00272ECE">
        <w:t>ersus</w:t>
      </w:r>
      <w:r w:rsidR="00E23EA0" w:rsidRPr="00272ECE">
        <w:t xml:space="preserve"> 13.8%). In Arm B, discontinuations due to AEs occurred more frequently in patients treated with </w:t>
      </w:r>
      <w:proofErr w:type="spellStart"/>
      <w:r w:rsidR="00E23EA0" w:rsidRPr="00272ECE">
        <w:t>IdelaR</w:t>
      </w:r>
      <w:proofErr w:type="spellEnd"/>
      <w:r w:rsidR="00E23EA0" w:rsidRPr="00272ECE">
        <w:t xml:space="preserve"> (45.0%) than with </w:t>
      </w:r>
      <w:proofErr w:type="spellStart"/>
      <w:r w:rsidR="00E23EA0" w:rsidRPr="00272ECE">
        <w:t>BendaR</w:t>
      </w:r>
      <w:proofErr w:type="spellEnd"/>
      <w:r w:rsidR="00E23EA0" w:rsidRPr="00272ECE">
        <w:t>. The most common AEs (in ≥</w:t>
      </w:r>
      <w:r w:rsidR="00C0246D" w:rsidRPr="00272ECE">
        <w:t> 1</w:t>
      </w:r>
      <w:r w:rsidR="00E23EA0" w:rsidRPr="00272ECE">
        <w:t>% of patients) that led to discontinuation of study drug in the pirtobrutinib arm were infections including COVID-19 and COVID-19 pneumonia whereas those in Arm B were COVID-19, pneumonia, ALT increased, diarrhoea, hypercalcemia, and rash. Dose reductions due to AEs occurred in fewer patients in the pirtobrutinib treatment arm (A v</w:t>
      </w:r>
      <w:r w:rsidR="0019429F" w:rsidRPr="00272ECE">
        <w:t xml:space="preserve">ersus </w:t>
      </w:r>
      <w:r w:rsidR="00E23EA0" w:rsidRPr="00272ECE">
        <w:t>B: 9.5% v</w:t>
      </w:r>
      <w:r w:rsidR="0019429F" w:rsidRPr="00272ECE">
        <w:t>ersus</w:t>
      </w:r>
      <w:r w:rsidR="00E23EA0" w:rsidRPr="00272ECE">
        <w:t xml:space="preserve"> 27.5% treatment-related: 4.3% v</w:t>
      </w:r>
      <w:r w:rsidR="0019429F" w:rsidRPr="00272ECE">
        <w:t xml:space="preserve">ersus </w:t>
      </w:r>
      <w:r w:rsidR="00E23EA0" w:rsidRPr="00272ECE">
        <w:t xml:space="preserve">18.3%) and in more Arm B patients receiving </w:t>
      </w:r>
      <w:proofErr w:type="spellStart"/>
      <w:r w:rsidR="00E23EA0" w:rsidRPr="00272ECE">
        <w:t>IdelaR</w:t>
      </w:r>
      <w:proofErr w:type="spellEnd"/>
      <w:r w:rsidR="00E23EA0" w:rsidRPr="00272ECE">
        <w:t xml:space="preserve"> (22 </w:t>
      </w:r>
      <w:r w:rsidR="0019429F" w:rsidRPr="00272ECE">
        <w:t>(</w:t>
      </w:r>
      <w:r w:rsidR="00E23EA0" w:rsidRPr="00272ECE">
        <w:t>28.6%</w:t>
      </w:r>
      <w:r w:rsidR="0019429F" w:rsidRPr="00272ECE">
        <w:t>)</w:t>
      </w:r>
      <w:r w:rsidR="00E23EA0" w:rsidRPr="00272ECE">
        <w:t xml:space="preserve">) than </w:t>
      </w:r>
      <w:proofErr w:type="spellStart"/>
      <w:r w:rsidR="00E23EA0" w:rsidRPr="00272ECE">
        <w:t>BendaR</w:t>
      </w:r>
      <w:proofErr w:type="spellEnd"/>
      <w:r w:rsidR="00E23EA0" w:rsidRPr="00272ECE">
        <w:t xml:space="preserve"> (4 </w:t>
      </w:r>
      <w:r w:rsidR="00B641D9" w:rsidRPr="00272ECE">
        <w:t>(</w:t>
      </w:r>
      <w:r w:rsidR="00E23EA0" w:rsidRPr="00272ECE">
        <w:t>12.5%</w:t>
      </w:r>
      <w:r w:rsidR="00B641D9" w:rsidRPr="00272ECE">
        <w:t>)</w:t>
      </w:r>
      <w:r w:rsidR="00E23EA0" w:rsidRPr="00272ECE">
        <w:t>). The most common AE leading to dose reductions in the pirtobrutinib treatment arm was neutropenia.</w:t>
      </w:r>
    </w:p>
    <w:p w14:paraId="3E16C45E" w14:textId="48DF69D9" w:rsidR="00E23EA0" w:rsidRPr="00272ECE" w:rsidRDefault="00E23EA0" w:rsidP="002C4900">
      <w:r w:rsidRPr="00272ECE">
        <w:lastRenderedPageBreak/>
        <w:t xml:space="preserve">Overall, the proportion of patients reporting </w:t>
      </w:r>
      <w:r w:rsidR="00B641D9" w:rsidRPr="00272ECE">
        <w:t>greater</w:t>
      </w:r>
      <w:r w:rsidRPr="00272ECE">
        <w:t xml:space="preserve"> </w:t>
      </w:r>
      <w:r w:rsidR="004C3F03" w:rsidRPr="00272ECE">
        <w:t>adverse events of potential clinical significance</w:t>
      </w:r>
      <w:r w:rsidRPr="00272ECE">
        <w:t xml:space="preserve"> of any grade was similar in the two treatment arms (A v</w:t>
      </w:r>
      <w:r w:rsidR="004C3F03" w:rsidRPr="00272ECE">
        <w:t>ersus</w:t>
      </w:r>
      <w:r w:rsidRPr="00272ECE">
        <w:t xml:space="preserve"> B: 33.6% v</w:t>
      </w:r>
      <w:r w:rsidR="004C3F03" w:rsidRPr="00272ECE">
        <w:t>ersus</w:t>
      </w:r>
      <w:r w:rsidRPr="00272ECE">
        <w:t xml:space="preserve"> 31.2%; Grade 3/4: 11.2% v</w:t>
      </w:r>
      <w:r w:rsidR="004C3F03" w:rsidRPr="00272ECE">
        <w:t>ersus</w:t>
      </w:r>
      <w:r w:rsidRPr="00272ECE">
        <w:t xml:space="preserve"> 10.1%). Second primary malignancy was reported for 8 (6.9%) patients in Arm A and 2 (1.8%) patients in Arm B. Of these, 4 patients (3.4%) in Arm</w:t>
      </w:r>
      <w:r w:rsidR="004C3F03" w:rsidRPr="00272ECE">
        <w:t> </w:t>
      </w:r>
      <w:r w:rsidRPr="00272ECE">
        <w:t>A had 5</w:t>
      </w:r>
      <w:r w:rsidR="00D45D93" w:rsidRPr="00272ECE">
        <w:t> </w:t>
      </w:r>
      <w:r w:rsidRPr="00272ECE">
        <w:t xml:space="preserve">events of nonmelanoma skin cancer and </w:t>
      </w:r>
      <w:r w:rsidR="004C3F03" w:rsidRPr="00272ECE">
        <w:t>one</w:t>
      </w:r>
      <w:r w:rsidRPr="00272ECE">
        <w:t xml:space="preserve"> patient in Arm B had </w:t>
      </w:r>
      <w:r w:rsidR="004C3F03" w:rsidRPr="00272ECE">
        <w:t>one</w:t>
      </w:r>
      <w:r w:rsidRPr="00272ECE">
        <w:t xml:space="preserve"> event of nonmelanoma skin cancer (squamous cell carcinoma). Majority of these events in Arm A were Grade 1 or 2 (6</w:t>
      </w:r>
      <w:r w:rsidR="007E287A" w:rsidRPr="00272ECE">
        <w:t> </w:t>
      </w:r>
      <w:r w:rsidRPr="00272ECE">
        <w:t xml:space="preserve">patients </w:t>
      </w:r>
      <w:r w:rsidR="004C3F03" w:rsidRPr="00272ECE">
        <w:t>(</w:t>
      </w:r>
      <w:r w:rsidRPr="00272ECE">
        <w:t>5.1%</w:t>
      </w:r>
      <w:r w:rsidR="004C3F03" w:rsidRPr="00272ECE">
        <w:t>)</w:t>
      </w:r>
      <w:r w:rsidRPr="00272ECE">
        <w:t>).</w:t>
      </w:r>
    </w:p>
    <w:p w14:paraId="2858B006" w14:textId="2CF53A72" w:rsidR="00C22214" w:rsidRPr="00272ECE" w:rsidRDefault="00C22214" w:rsidP="002C4900">
      <w:pPr>
        <w:pStyle w:val="Heading3"/>
        <w:rPr>
          <w:lang w:eastAsia="en-AU"/>
        </w:rPr>
      </w:pPr>
      <w:bookmarkStart w:id="64" w:name="_Toc314842514"/>
      <w:bookmarkStart w:id="65" w:name="_Toc103679298"/>
      <w:bookmarkStart w:id="66" w:name="_Toc243316705"/>
      <w:r w:rsidRPr="00272ECE">
        <w:rPr>
          <w:lang w:eastAsia="en-AU"/>
        </w:rPr>
        <w:t>Risk management plan</w:t>
      </w:r>
      <w:bookmarkEnd w:id="64"/>
      <w:bookmarkEnd w:id="65"/>
      <w:bookmarkEnd w:id="66"/>
    </w:p>
    <w:p w14:paraId="3760D8EB" w14:textId="71007C2D" w:rsidR="00B22AA2" w:rsidRPr="00272ECE" w:rsidRDefault="00B22AA2" w:rsidP="002C4900">
      <w:bookmarkStart w:id="67" w:name="_Toc247691531"/>
      <w:bookmarkStart w:id="68" w:name="_Toc314842515"/>
      <w:r w:rsidRPr="003970F1">
        <w:t>Eli Lilly Australia Pty Ltd has submitted European Union (EU) risk management plan (RMP) version 3.1 (date 19 November 2024; data lock point (DLP) 29 August 2023) and Australia</w:t>
      </w:r>
      <w:r w:rsidR="003970F1">
        <w:noBreakHyphen/>
      </w:r>
      <w:r w:rsidRPr="003970F1">
        <w:t>specific annex (ASA) version 1.0 (date 13 February 2025) in support of this application.</w:t>
      </w:r>
    </w:p>
    <w:p w14:paraId="39F3CD1D" w14:textId="50DE3067" w:rsidR="0072003B" w:rsidRPr="00272ECE" w:rsidRDefault="00C22214" w:rsidP="002C4900">
      <w:r w:rsidRPr="00272ECE">
        <w:t>The summary of safety concerns and their associated risk monitoring and mitigation strategies are summarised in</w:t>
      </w:r>
      <w:r w:rsidR="003B149C" w:rsidRPr="00272ECE">
        <w:t xml:space="preserve"> </w:t>
      </w:r>
      <w:r w:rsidR="003B149C" w:rsidRPr="00272ECE">
        <w:fldChar w:fldCharType="begin"/>
      </w:r>
      <w:r w:rsidR="003B149C" w:rsidRPr="00272ECE">
        <w:instrText xml:space="preserve"> REF _Ref97629131 \h  \* MERGEFORMAT </w:instrText>
      </w:r>
      <w:r w:rsidR="003B149C" w:rsidRPr="00272ECE">
        <w:fldChar w:fldCharType="separate"/>
      </w:r>
      <w:r w:rsidR="00B22AA2" w:rsidRPr="00272ECE">
        <w:t>Table 9</w:t>
      </w:r>
      <w:r w:rsidR="003B149C" w:rsidRPr="00272ECE">
        <w:fldChar w:fldCharType="end"/>
      </w:r>
      <w:r w:rsidR="008C49C6" w:rsidRPr="00272ECE">
        <w:t>.</w:t>
      </w:r>
      <w:r w:rsidR="0072003B" w:rsidRPr="00272ECE">
        <w:t xml:space="preserve"> The TGA</w:t>
      </w:r>
      <w:r w:rsidR="00C07551" w:rsidRPr="00272ECE">
        <w:t xml:space="preserve"> may</w:t>
      </w:r>
      <w:r w:rsidR="0072003B" w:rsidRPr="00272ECE">
        <w:t xml:space="preserve"> request an updated RMP at any stage of a product's </w:t>
      </w:r>
      <w:r w:rsidR="00B22AA2" w:rsidRPr="00272ECE">
        <w:t>life cycle</w:t>
      </w:r>
      <w:r w:rsidR="0072003B" w:rsidRPr="00272ECE">
        <w:t>, during both the pre-approval and post-approval phases.</w:t>
      </w:r>
    </w:p>
    <w:p w14:paraId="54C4C1FD" w14:textId="2A973F3E" w:rsidR="00CE5104" w:rsidRPr="00272ECE" w:rsidRDefault="00C22214" w:rsidP="002C4900">
      <w:pPr>
        <w:pStyle w:val="TableTitle"/>
      </w:pPr>
      <w:bookmarkStart w:id="69" w:name="_Ref97629131"/>
      <w:r w:rsidRPr="00272ECE">
        <w:t xml:space="preserve">Table </w:t>
      </w:r>
      <w:r w:rsidR="00B22AA2">
        <w:fldChar w:fldCharType="begin"/>
      </w:r>
      <w:r w:rsidR="00B22AA2">
        <w:instrText xml:space="preserve"> SEQ Table \* ARABIC </w:instrText>
      </w:r>
      <w:r w:rsidR="00B22AA2">
        <w:fldChar w:fldCharType="separate"/>
      </w:r>
      <w:r w:rsidR="00B22AA2" w:rsidRPr="00272ECE">
        <w:t>9</w:t>
      </w:r>
      <w:r w:rsidR="00B22AA2">
        <w:fldChar w:fldCharType="end"/>
      </w:r>
      <w:bookmarkEnd w:id="69"/>
      <w:r w:rsidRPr="00272ECE">
        <w:t>: Summary of safety concerns</w:t>
      </w:r>
    </w:p>
    <w:tbl>
      <w:tblPr>
        <w:tblStyle w:val="TableTGAblue2023"/>
        <w:tblW w:w="9572" w:type="dxa"/>
        <w:tblLayout w:type="fixed"/>
        <w:tblLook w:val="04A0" w:firstRow="1" w:lastRow="0" w:firstColumn="1" w:lastColumn="0" w:noHBand="0" w:noVBand="1"/>
      </w:tblPr>
      <w:tblGrid>
        <w:gridCol w:w="1555"/>
        <w:gridCol w:w="2976"/>
        <w:gridCol w:w="1134"/>
        <w:gridCol w:w="1317"/>
        <w:gridCol w:w="8"/>
        <w:gridCol w:w="1126"/>
        <w:gridCol w:w="1434"/>
        <w:gridCol w:w="22"/>
      </w:tblGrid>
      <w:tr w:rsidR="00CE5104" w:rsidRPr="00272ECE" w14:paraId="2670F3A1" w14:textId="77777777" w:rsidTr="008D2741">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4531" w:type="dxa"/>
            <w:gridSpan w:val="2"/>
            <w:vMerge w:val="restart"/>
          </w:tcPr>
          <w:p w14:paraId="1B52E83F" w14:textId="77777777" w:rsidR="00CE5104" w:rsidRPr="00272ECE" w:rsidRDefault="00CE5104">
            <w:pPr>
              <w:pStyle w:val="Tabletext0"/>
              <w:rPr>
                <w:b w:val="0"/>
                <w:kern w:val="0"/>
                <w:sz w:val="20"/>
                <w:szCs w:val="20"/>
              </w:rPr>
            </w:pPr>
            <w:r w:rsidRPr="00272ECE">
              <w:rPr>
                <w:kern w:val="0"/>
                <w:sz w:val="20"/>
                <w:szCs w:val="20"/>
              </w:rPr>
              <w:t>Summary of safety concerns</w:t>
            </w:r>
          </w:p>
        </w:tc>
        <w:tc>
          <w:tcPr>
            <w:tcW w:w="2459" w:type="dxa"/>
            <w:gridSpan w:val="3"/>
          </w:tcPr>
          <w:p w14:paraId="56A46A7D" w14:textId="77777777" w:rsidR="00CE5104" w:rsidRPr="00272ECE" w:rsidRDefault="00CE5104">
            <w:pPr>
              <w:pStyle w:val="Tabletext0"/>
              <w:cnfStyle w:val="100000000000" w:firstRow="1" w:lastRow="0" w:firstColumn="0" w:lastColumn="0" w:oddVBand="0" w:evenVBand="0" w:oddHBand="0" w:evenHBand="0" w:firstRowFirstColumn="0" w:firstRowLastColumn="0" w:lastRowFirstColumn="0" w:lastRowLastColumn="0"/>
              <w:rPr>
                <w:b w:val="0"/>
                <w:kern w:val="0"/>
                <w:sz w:val="20"/>
                <w:szCs w:val="20"/>
              </w:rPr>
            </w:pPr>
            <w:r w:rsidRPr="00272ECE">
              <w:rPr>
                <w:kern w:val="0"/>
                <w:sz w:val="20"/>
                <w:szCs w:val="20"/>
              </w:rPr>
              <w:t>Pharmacovigilance</w:t>
            </w:r>
          </w:p>
        </w:tc>
        <w:tc>
          <w:tcPr>
            <w:tcW w:w="2582" w:type="dxa"/>
            <w:gridSpan w:val="3"/>
          </w:tcPr>
          <w:p w14:paraId="7C9620B0" w14:textId="77777777" w:rsidR="00CE5104" w:rsidRPr="00272ECE" w:rsidRDefault="00CE5104">
            <w:pPr>
              <w:pStyle w:val="Tabletext0"/>
              <w:cnfStyle w:val="100000000000" w:firstRow="1" w:lastRow="0" w:firstColumn="0" w:lastColumn="0" w:oddVBand="0" w:evenVBand="0" w:oddHBand="0" w:evenHBand="0" w:firstRowFirstColumn="0" w:firstRowLastColumn="0" w:lastRowFirstColumn="0" w:lastRowLastColumn="0"/>
              <w:rPr>
                <w:b w:val="0"/>
                <w:kern w:val="0"/>
                <w:sz w:val="20"/>
                <w:szCs w:val="20"/>
              </w:rPr>
            </w:pPr>
            <w:r w:rsidRPr="00272ECE">
              <w:rPr>
                <w:kern w:val="0"/>
                <w:sz w:val="20"/>
                <w:szCs w:val="20"/>
              </w:rPr>
              <w:t>Risk Minimisation</w:t>
            </w:r>
          </w:p>
        </w:tc>
      </w:tr>
      <w:tr w:rsidR="00CE5104" w:rsidRPr="00272ECE" w14:paraId="3523F1F8" w14:textId="77777777" w:rsidTr="008D2741">
        <w:trPr>
          <w:gridAfter w:val="1"/>
          <w:wAfter w:w="22" w:type="dxa"/>
          <w:trHeight w:val="150"/>
        </w:trPr>
        <w:tc>
          <w:tcPr>
            <w:cnfStyle w:val="001000000000" w:firstRow="0" w:lastRow="0" w:firstColumn="1" w:lastColumn="0" w:oddVBand="0" w:evenVBand="0" w:oddHBand="0" w:evenHBand="0" w:firstRowFirstColumn="0" w:firstRowLastColumn="0" w:lastRowFirstColumn="0" w:lastRowLastColumn="0"/>
            <w:tcW w:w="4531" w:type="dxa"/>
            <w:gridSpan w:val="2"/>
            <w:vMerge/>
          </w:tcPr>
          <w:p w14:paraId="563F2C59" w14:textId="77777777" w:rsidR="00CE5104" w:rsidRPr="00272ECE" w:rsidRDefault="00CE5104">
            <w:pPr>
              <w:pStyle w:val="Tabletext0"/>
              <w:rPr>
                <w:b/>
                <w:kern w:val="0"/>
                <w:sz w:val="20"/>
                <w:szCs w:val="20"/>
              </w:rPr>
            </w:pPr>
          </w:p>
        </w:tc>
        <w:tc>
          <w:tcPr>
            <w:tcW w:w="1134" w:type="dxa"/>
            <w:shd w:val="clear" w:color="auto" w:fill="DEEAF6" w:themeFill="accent5" w:themeFillTint="33"/>
          </w:tcPr>
          <w:p w14:paraId="50952966" w14:textId="77777777" w:rsidR="00CE5104" w:rsidRPr="00272ECE" w:rsidRDefault="00CE5104" w:rsidP="00CE5104">
            <w:pPr>
              <w:pStyle w:val="Tabletext0"/>
              <w:keepNext/>
              <w:cnfStyle w:val="000000000000" w:firstRow="0" w:lastRow="0" w:firstColumn="0" w:lastColumn="0" w:oddVBand="0" w:evenVBand="0" w:oddHBand="0" w:evenHBand="0" w:firstRowFirstColumn="0" w:firstRowLastColumn="0" w:lastRowFirstColumn="0" w:lastRowLastColumn="0"/>
              <w:rPr>
                <w:b/>
                <w:color w:val="263287"/>
                <w:kern w:val="0"/>
                <w:sz w:val="20"/>
                <w:szCs w:val="20"/>
              </w:rPr>
            </w:pPr>
            <w:r w:rsidRPr="00272ECE">
              <w:rPr>
                <w:b/>
                <w:color w:val="263287"/>
                <w:kern w:val="0"/>
                <w:sz w:val="20"/>
                <w:szCs w:val="20"/>
              </w:rPr>
              <w:t>Routine</w:t>
            </w:r>
          </w:p>
        </w:tc>
        <w:tc>
          <w:tcPr>
            <w:tcW w:w="1317" w:type="dxa"/>
            <w:shd w:val="clear" w:color="auto" w:fill="DEEAF6" w:themeFill="accent5" w:themeFillTint="33"/>
          </w:tcPr>
          <w:p w14:paraId="05620A72" w14:textId="77777777" w:rsidR="00CE5104" w:rsidRPr="00272ECE" w:rsidRDefault="00CE5104" w:rsidP="00CE5104">
            <w:pPr>
              <w:pStyle w:val="Tabletext0"/>
              <w:keepNext/>
              <w:cnfStyle w:val="000000000000" w:firstRow="0" w:lastRow="0" w:firstColumn="0" w:lastColumn="0" w:oddVBand="0" w:evenVBand="0" w:oddHBand="0" w:evenHBand="0" w:firstRowFirstColumn="0" w:firstRowLastColumn="0" w:lastRowFirstColumn="0" w:lastRowLastColumn="0"/>
              <w:rPr>
                <w:b/>
                <w:color w:val="263287"/>
                <w:kern w:val="0"/>
                <w:sz w:val="20"/>
                <w:szCs w:val="20"/>
              </w:rPr>
            </w:pPr>
            <w:r w:rsidRPr="00272ECE">
              <w:rPr>
                <w:b/>
                <w:color w:val="263287"/>
                <w:kern w:val="0"/>
                <w:sz w:val="20"/>
                <w:szCs w:val="20"/>
              </w:rPr>
              <w:t>Additional</w:t>
            </w:r>
          </w:p>
        </w:tc>
        <w:tc>
          <w:tcPr>
            <w:tcW w:w="1134" w:type="dxa"/>
            <w:gridSpan w:val="2"/>
            <w:shd w:val="clear" w:color="auto" w:fill="DEEAF6" w:themeFill="accent5" w:themeFillTint="33"/>
          </w:tcPr>
          <w:p w14:paraId="1D376978" w14:textId="77777777" w:rsidR="00CE5104" w:rsidRPr="00272ECE" w:rsidRDefault="00CE5104" w:rsidP="00CE5104">
            <w:pPr>
              <w:pStyle w:val="Tabletext0"/>
              <w:keepNext/>
              <w:cnfStyle w:val="000000000000" w:firstRow="0" w:lastRow="0" w:firstColumn="0" w:lastColumn="0" w:oddVBand="0" w:evenVBand="0" w:oddHBand="0" w:evenHBand="0" w:firstRowFirstColumn="0" w:firstRowLastColumn="0" w:lastRowFirstColumn="0" w:lastRowLastColumn="0"/>
              <w:rPr>
                <w:b/>
                <w:color w:val="263287"/>
                <w:kern w:val="0"/>
                <w:sz w:val="20"/>
                <w:szCs w:val="20"/>
              </w:rPr>
            </w:pPr>
            <w:r w:rsidRPr="00272ECE">
              <w:rPr>
                <w:b/>
                <w:color w:val="263287"/>
                <w:kern w:val="0"/>
                <w:sz w:val="20"/>
                <w:szCs w:val="20"/>
              </w:rPr>
              <w:t>Routine</w:t>
            </w:r>
          </w:p>
        </w:tc>
        <w:tc>
          <w:tcPr>
            <w:tcW w:w="1434" w:type="dxa"/>
            <w:shd w:val="clear" w:color="auto" w:fill="DEEAF6" w:themeFill="accent5" w:themeFillTint="33"/>
          </w:tcPr>
          <w:p w14:paraId="71D5E0F4" w14:textId="77777777" w:rsidR="00CE5104" w:rsidRPr="00272ECE" w:rsidRDefault="00CE5104" w:rsidP="00CE5104">
            <w:pPr>
              <w:pStyle w:val="Tabletext0"/>
              <w:keepNext/>
              <w:cnfStyle w:val="000000000000" w:firstRow="0" w:lastRow="0" w:firstColumn="0" w:lastColumn="0" w:oddVBand="0" w:evenVBand="0" w:oddHBand="0" w:evenHBand="0" w:firstRowFirstColumn="0" w:firstRowLastColumn="0" w:lastRowFirstColumn="0" w:lastRowLastColumn="0"/>
              <w:rPr>
                <w:b/>
                <w:color w:val="263287"/>
                <w:kern w:val="0"/>
                <w:sz w:val="20"/>
                <w:szCs w:val="20"/>
              </w:rPr>
            </w:pPr>
            <w:r w:rsidRPr="00272ECE">
              <w:rPr>
                <w:b/>
                <w:color w:val="263287"/>
                <w:kern w:val="0"/>
                <w:sz w:val="20"/>
                <w:szCs w:val="20"/>
              </w:rPr>
              <w:t>Additional</w:t>
            </w:r>
          </w:p>
        </w:tc>
      </w:tr>
      <w:tr w:rsidR="00CE5104" w:rsidRPr="00272ECE" w14:paraId="3096897C" w14:textId="77777777" w:rsidTr="008D2741">
        <w:trPr>
          <w:gridAfter w:val="1"/>
          <w:wAfter w:w="22" w:type="dxa"/>
          <w:trHeight w:val="137"/>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3F067E5A" w14:textId="77777777" w:rsidR="00CE5104" w:rsidRPr="00272ECE" w:rsidRDefault="00CE5104">
            <w:pPr>
              <w:pStyle w:val="Tabletext0"/>
              <w:rPr>
                <w:b/>
                <w:kern w:val="0"/>
                <w:sz w:val="20"/>
                <w:szCs w:val="20"/>
              </w:rPr>
            </w:pPr>
            <w:proofErr w:type="gramStart"/>
            <w:r w:rsidRPr="00272ECE">
              <w:rPr>
                <w:b/>
                <w:kern w:val="0"/>
                <w:sz w:val="20"/>
                <w:szCs w:val="20"/>
              </w:rPr>
              <w:t>Important identified</w:t>
            </w:r>
            <w:proofErr w:type="gramEnd"/>
            <w:r w:rsidRPr="00272ECE">
              <w:rPr>
                <w:b/>
                <w:kern w:val="0"/>
                <w:sz w:val="20"/>
                <w:szCs w:val="20"/>
              </w:rPr>
              <w:t xml:space="preserve"> risks</w:t>
            </w:r>
          </w:p>
        </w:tc>
        <w:tc>
          <w:tcPr>
            <w:tcW w:w="2976" w:type="dxa"/>
          </w:tcPr>
          <w:p w14:paraId="772A1291"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sz w:val="20"/>
                <w:szCs w:val="20"/>
              </w:rPr>
            </w:pPr>
            <w:r w:rsidRPr="00272ECE">
              <w:rPr>
                <w:sz w:val="20"/>
                <w:szCs w:val="20"/>
              </w:rPr>
              <w:t xml:space="preserve">Serious </w:t>
            </w:r>
            <w:r w:rsidRPr="00272ECE">
              <w:rPr>
                <w:kern w:val="0"/>
                <w:sz w:val="20"/>
                <w:szCs w:val="20"/>
              </w:rPr>
              <w:t>haemorrhage</w:t>
            </w:r>
          </w:p>
        </w:tc>
        <w:tc>
          <w:tcPr>
            <w:tcW w:w="1134" w:type="dxa"/>
          </w:tcPr>
          <w:p w14:paraId="241736A5"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317" w:type="dxa"/>
          </w:tcPr>
          <w:p w14:paraId="2998160F"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c>
          <w:tcPr>
            <w:tcW w:w="1134" w:type="dxa"/>
            <w:gridSpan w:val="2"/>
          </w:tcPr>
          <w:p w14:paraId="4A93072E"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434" w:type="dxa"/>
          </w:tcPr>
          <w:p w14:paraId="05873F5D"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eastAsia="Cambria"/>
                <w:kern w:val="0"/>
                <w:sz w:val="20"/>
                <w:szCs w:val="20"/>
              </w:rPr>
              <w:t>–</w:t>
            </w:r>
          </w:p>
        </w:tc>
      </w:tr>
      <w:tr w:rsidR="00CE5104" w:rsidRPr="00272ECE" w14:paraId="41D9E998" w14:textId="77777777" w:rsidTr="008D2741">
        <w:trPr>
          <w:gridAfter w:val="1"/>
          <w:wAfter w:w="22" w:type="dxa"/>
          <w:trHeight w:val="94"/>
        </w:trPr>
        <w:tc>
          <w:tcPr>
            <w:cnfStyle w:val="001000000000" w:firstRow="0" w:lastRow="0" w:firstColumn="1" w:lastColumn="0" w:oddVBand="0" w:evenVBand="0" w:oddHBand="0" w:evenHBand="0" w:firstRowFirstColumn="0" w:firstRowLastColumn="0" w:lastRowFirstColumn="0" w:lastRowLastColumn="0"/>
            <w:tcW w:w="1555" w:type="dxa"/>
            <w:vMerge/>
          </w:tcPr>
          <w:p w14:paraId="1A252474" w14:textId="77777777" w:rsidR="00CE5104" w:rsidRPr="00272ECE" w:rsidRDefault="00CE5104">
            <w:pPr>
              <w:pStyle w:val="Tabletext0"/>
              <w:rPr>
                <w:b/>
                <w:kern w:val="0"/>
                <w:sz w:val="20"/>
                <w:szCs w:val="20"/>
              </w:rPr>
            </w:pPr>
          </w:p>
        </w:tc>
        <w:tc>
          <w:tcPr>
            <w:tcW w:w="2976" w:type="dxa"/>
          </w:tcPr>
          <w:p w14:paraId="1DF437C8"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Serious infections</w:t>
            </w:r>
          </w:p>
        </w:tc>
        <w:tc>
          <w:tcPr>
            <w:tcW w:w="1134" w:type="dxa"/>
          </w:tcPr>
          <w:p w14:paraId="3D0CABA1"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317" w:type="dxa"/>
          </w:tcPr>
          <w:p w14:paraId="2A210D44"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eastAsia="Cambria"/>
                <w:kern w:val="0"/>
                <w:sz w:val="20"/>
                <w:szCs w:val="20"/>
              </w:rPr>
              <w:t>–</w:t>
            </w:r>
          </w:p>
        </w:tc>
        <w:tc>
          <w:tcPr>
            <w:tcW w:w="1134" w:type="dxa"/>
            <w:gridSpan w:val="2"/>
          </w:tcPr>
          <w:p w14:paraId="5106B202"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434" w:type="dxa"/>
          </w:tcPr>
          <w:p w14:paraId="08E7DB6F"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r>
      <w:tr w:rsidR="00CE5104" w:rsidRPr="00272ECE" w14:paraId="7DDC300B" w14:textId="77777777" w:rsidTr="008D2741">
        <w:trPr>
          <w:gridAfter w:val="1"/>
          <w:wAfter w:w="22" w:type="dxa"/>
          <w:trHeight w:val="187"/>
        </w:trPr>
        <w:tc>
          <w:tcPr>
            <w:cnfStyle w:val="001000000000" w:firstRow="0" w:lastRow="0" w:firstColumn="1" w:lastColumn="0" w:oddVBand="0" w:evenVBand="0" w:oddHBand="0" w:evenHBand="0" w:firstRowFirstColumn="0" w:firstRowLastColumn="0" w:lastRowFirstColumn="0" w:lastRowLastColumn="0"/>
            <w:tcW w:w="1555" w:type="dxa"/>
            <w:vMerge/>
          </w:tcPr>
          <w:p w14:paraId="5FE355DE" w14:textId="77777777" w:rsidR="00CE5104" w:rsidRPr="00272ECE" w:rsidRDefault="00CE5104">
            <w:pPr>
              <w:pStyle w:val="Tabletext0"/>
              <w:rPr>
                <w:b/>
                <w:kern w:val="0"/>
                <w:sz w:val="20"/>
                <w:szCs w:val="20"/>
              </w:rPr>
            </w:pPr>
          </w:p>
        </w:tc>
        <w:tc>
          <w:tcPr>
            <w:tcW w:w="2976" w:type="dxa"/>
          </w:tcPr>
          <w:p w14:paraId="2F6203D6"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sz w:val="20"/>
                <w:szCs w:val="20"/>
              </w:rPr>
            </w:pPr>
            <w:r w:rsidRPr="00272ECE">
              <w:rPr>
                <w:sz w:val="20"/>
                <w:szCs w:val="20"/>
              </w:rPr>
              <w:t xml:space="preserve">Atrial fibrillation and </w:t>
            </w:r>
            <w:r w:rsidRPr="00272ECE">
              <w:rPr>
                <w:kern w:val="0"/>
                <w:sz w:val="20"/>
                <w:szCs w:val="20"/>
              </w:rPr>
              <w:t>atrial flutter</w:t>
            </w:r>
          </w:p>
        </w:tc>
        <w:tc>
          <w:tcPr>
            <w:tcW w:w="1134" w:type="dxa"/>
          </w:tcPr>
          <w:p w14:paraId="5E39E894"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317" w:type="dxa"/>
          </w:tcPr>
          <w:p w14:paraId="6E9C6CAD"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c>
          <w:tcPr>
            <w:tcW w:w="1134" w:type="dxa"/>
            <w:gridSpan w:val="2"/>
          </w:tcPr>
          <w:p w14:paraId="02020CCE"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434" w:type="dxa"/>
          </w:tcPr>
          <w:p w14:paraId="23B1FA4D"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r>
      <w:tr w:rsidR="00CE5104" w:rsidRPr="00272ECE" w14:paraId="544B620E" w14:textId="77777777" w:rsidTr="008D2741">
        <w:trPr>
          <w:gridAfter w:val="1"/>
          <w:wAfter w:w="22" w:type="dxa"/>
          <w:trHeight w:val="159"/>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032BFF33" w14:textId="77777777" w:rsidR="00CE5104" w:rsidRPr="00272ECE" w:rsidRDefault="00CE5104">
            <w:pPr>
              <w:pStyle w:val="Tabletext0"/>
              <w:rPr>
                <w:b/>
                <w:kern w:val="0"/>
                <w:sz w:val="20"/>
                <w:szCs w:val="20"/>
              </w:rPr>
            </w:pPr>
            <w:r w:rsidRPr="00272ECE">
              <w:rPr>
                <w:b/>
                <w:kern w:val="0"/>
                <w:sz w:val="20"/>
                <w:szCs w:val="20"/>
              </w:rPr>
              <w:t>Important potential risks</w:t>
            </w:r>
          </w:p>
        </w:tc>
        <w:tc>
          <w:tcPr>
            <w:tcW w:w="2976" w:type="dxa"/>
          </w:tcPr>
          <w:p w14:paraId="49E9FBE7"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sz w:val="20"/>
                <w:szCs w:val="20"/>
              </w:rPr>
            </w:pPr>
            <w:r w:rsidRPr="00272ECE">
              <w:rPr>
                <w:sz w:val="20"/>
                <w:szCs w:val="20"/>
              </w:rPr>
              <w:t xml:space="preserve">Second primary malignancies other than non-melanoma </w:t>
            </w:r>
            <w:r w:rsidRPr="00272ECE">
              <w:rPr>
                <w:kern w:val="0"/>
                <w:sz w:val="20"/>
                <w:szCs w:val="20"/>
              </w:rPr>
              <w:t>skin cancer</w:t>
            </w:r>
          </w:p>
        </w:tc>
        <w:tc>
          <w:tcPr>
            <w:tcW w:w="1134" w:type="dxa"/>
          </w:tcPr>
          <w:p w14:paraId="3071A57D"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317" w:type="dxa"/>
          </w:tcPr>
          <w:p w14:paraId="12E66B5A"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r w:rsidRPr="00272ECE">
              <w:rPr>
                <w:kern w:val="0"/>
                <w:sz w:val="20"/>
                <w:szCs w:val="20"/>
              </w:rPr>
              <w:t>*</w:t>
            </w:r>
          </w:p>
        </w:tc>
        <w:tc>
          <w:tcPr>
            <w:tcW w:w="1134" w:type="dxa"/>
            <w:gridSpan w:val="2"/>
          </w:tcPr>
          <w:p w14:paraId="2CB1255A"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434" w:type="dxa"/>
          </w:tcPr>
          <w:p w14:paraId="22F2B661"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r>
      <w:tr w:rsidR="00CE5104" w:rsidRPr="00272ECE" w14:paraId="4ECAF509" w14:textId="77777777" w:rsidTr="008D2741">
        <w:trPr>
          <w:gridAfter w:val="1"/>
          <w:wAfter w:w="22" w:type="dxa"/>
          <w:trHeight w:val="592"/>
        </w:trPr>
        <w:tc>
          <w:tcPr>
            <w:cnfStyle w:val="001000000000" w:firstRow="0" w:lastRow="0" w:firstColumn="1" w:lastColumn="0" w:oddVBand="0" w:evenVBand="0" w:oddHBand="0" w:evenHBand="0" w:firstRowFirstColumn="0" w:firstRowLastColumn="0" w:lastRowFirstColumn="0" w:lastRowLastColumn="0"/>
            <w:tcW w:w="1555" w:type="dxa"/>
            <w:vMerge/>
          </w:tcPr>
          <w:p w14:paraId="6AFDA37A" w14:textId="77777777" w:rsidR="00CE5104" w:rsidRPr="00272ECE" w:rsidRDefault="00CE5104">
            <w:pPr>
              <w:pStyle w:val="Tabletext0"/>
              <w:rPr>
                <w:b/>
                <w:kern w:val="0"/>
                <w:sz w:val="20"/>
                <w:szCs w:val="20"/>
              </w:rPr>
            </w:pPr>
          </w:p>
        </w:tc>
        <w:tc>
          <w:tcPr>
            <w:tcW w:w="2976" w:type="dxa"/>
          </w:tcPr>
          <w:p w14:paraId="1F756AD8"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sz w:val="20"/>
                <w:szCs w:val="20"/>
              </w:rPr>
            </w:pPr>
            <w:r w:rsidRPr="00272ECE">
              <w:rPr>
                <w:sz w:val="20"/>
                <w:szCs w:val="20"/>
              </w:rPr>
              <w:t xml:space="preserve">Second primary non-melanoma skin </w:t>
            </w:r>
            <w:r w:rsidRPr="00272ECE">
              <w:rPr>
                <w:kern w:val="0"/>
                <w:sz w:val="20"/>
                <w:szCs w:val="20"/>
              </w:rPr>
              <w:t>cancer</w:t>
            </w:r>
          </w:p>
        </w:tc>
        <w:tc>
          <w:tcPr>
            <w:tcW w:w="1134" w:type="dxa"/>
          </w:tcPr>
          <w:p w14:paraId="7690AD1E"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317" w:type="dxa"/>
          </w:tcPr>
          <w:p w14:paraId="274E5122"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r w:rsidRPr="00272ECE">
              <w:rPr>
                <w:kern w:val="0"/>
                <w:sz w:val="20"/>
                <w:szCs w:val="20"/>
              </w:rPr>
              <w:t>*</w:t>
            </w:r>
          </w:p>
        </w:tc>
        <w:tc>
          <w:tcPr>
            <w:tcW w:w="1134" w:type="dxa"/>
            <w:gridSpan w:val="2"/>
          </w:tcPr>
          <w:p w14:paraId="028B5B4C"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rFonts w:ascii="Wingdings" w:eastAsia="Wingdings" w:hAnsi="Wingdings" w:cs="Wingdings"/>
                <w:kern w:val="0"/>
                <w:sz w:val="20"/>
                <w:szCs w:val="20"/>
              </w:rPr>
              <w:sym w:font="Wingdings" w:char="F0FC"/>
            </w:r>
          </w:p>
        </w:tc>
        <w:tc>
          <w:tcPr>
            <w:tcW w:w="1434" w:type="dxa"/>
          </w:tcPr>
          <w:p w14:paraId="373A3333"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r>
      <w:tr w:rsidR="00CE5104" w:rsidRPr="00272ECE" w14:paraId="62C8CE4C" w14:textId="77777777" w:rsidTr="008D2741">
        <w:trPr>
          <w:gridAfter w:val="1"/>
          <w:wAfter w:w="22" w:type="dxa"/>
          <w:trHeight w:val="592"/>
        </w:trPr>
        <w:tc>
          <w:tcPr>
            <w:cnfStyle w:val="001000000000" w:firstRow="0" w:lastRow="0" w:firstColumn="1" w:lastColumn="0" w:oddVBand="0" w:evenVBand="0" w:oddHBand="0" w:evenHBand="0" w:firstRowFirstColumn="0" w:firstRowLastColumn="0" w:lastRowFirstColumn="0" w:lastRowLastColumn="0"/>
            <w:tcW w:w="1555" w:type="dxa"/>
          </w:tcPr>
          <w:p w14:paraId="5B272C04" w14:textId="77777777" w:rsidR="00CE5104" w:rsidRPr="00272ECE" w:rsidRDefault="00CE5104">
            <w:pPr>
              <w:pStyle w:val="Tabletext0"/>
              <w:rPr>
                <w:b/>
                <w:kern w:val="0"/>
                <w:sz w:val="20"/>
                <w:szCs w:val="20"/>
              </w:rPr>
            </w:pPr>
            <w:r w:rsidRPr="00272ECE">
              <w:rPr>
                <w:b/>
                <w:kern w:val="0"/>
                <w:sz w:val="20"/>
                <w:szCs w:val="20"/>
              </w:rPr>
              <w:t>Missing information</w:t>
            </w:r>
          </w:p>
        </w:tc>
        <w:tc>
          <w:tcPr>
            <w:tcW w:w="2976" w:type="dxa"/>
          </w:tcPr>
          <w:p w14:paraId="08D075D1" w14:textId="77777777" w:rsidR="00CE5104" w:rsidRPr="00272ECE" w:rsidRDefault="00CE5104">
            <w:pPr>
              <w:pStyle w:val="Tabletext0"/>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None</w:t>
            </w:r>
          </w:p>
        </w:tc>
        <w:tc>
          <w:tcPr>
            <w:tcW w:w="1134" w:type="dxa"/>
          </w:tcPr>
          <w:p w14:paraId="404476AB"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c>
          <w:tcPr>
            <w:tcW w:w="1317" w:type="dxa"/>
          </w:tcPr>
          <w:p w14:paraId="1D894A40" w14:textId="77777777" w:rsidR="00CE5104" w:rsidRPr="00272ECE" w:rsidRDefault="00CE5104" w:rsidP="00DF4D3A">
            <w:pPr>
              <w:pStyle w:val="Tabletext0"/>
              <w:keepNext/>
              <w:jc w:val="center"/>
              <w:cnfStyle w:val="000000000000" w:firstRow="0" w:lastRow="0" w:firstColumn="0" w:lastColumn="0" w:oddVBand="0" w:evenVBand="0" w:oddHBand="0" w:evenHBand="0" w:firstRowFirstColumn="0" w:firstRowLastColumn="0" w:lastRowFirstColumn="0" w:lastRowLastColumn="0"/>
              <w:rPr>
                <w:b/>
                <w:color w:val="263287"/>
                <w:kern w:val="0"/>
                <w:sz w:val="20"/>
                <w:szCs w:val="20"/>
              </w:rPr>
            </w:pPr>
            <w:r w:rsidRPr="00272ECE">
              <w:rPr>
                <w:b/>
                <w:color w:val="263287"/>
                <w:kern w:val="0"/>
                <w:sz w:val="20"/>
                <w:szCs w:val="20"/>
              </w:rPr>
              <w:t>–</w:t>
            </w:r>
          </w:p>
        </w:tc>
        <w:tc>
          <w:tcPr>
            <w:tcW w:w="1134" w:type="dxa"/>
            <w:gridSpan w:val="2"/>
          </w:tcPr>
          <w:p w14:paraId="36F241B5"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c>
          <w:tcPr>
            <w:tcW w:w="1434" w:type="dxa"/>
          </w:tcPr>
          <w:p w14:paraId="06CF8909" w14:textId="77777777" w:rsidR="00CE5104" w:rsidRPr="00272ECE" w:rsidRDefault="00CE5104">
            <w:pPr>
              <w:pStyle w:val="Tabletext0"/>
              <w:jc w:val="center"/>
              <w:cnfStyle w:val="000000000000" w:firstRow="0" w:lastRow="0" w:firstColumn="0" w:lastColumn="0" w:oddVBand="0" w:evenVBand="0" w:oddHBand="0" w:evenHBand="0" w:firstRowFirstColumn="0" w:firstRowLastColumn="0" w:lastRowFirstColumn="0" w:lastRowLastColumn="0"/>
              <w:rPr>
                <w:kern w:val="0"/>
                <w:sz w:val="20"/>
                <w:szCs w:val="20"/>
              </w:rPr>
            </w:pPr>
            <w:r w:rsidRPr="00272ECE">
              <w:rPr>
                <w:kern w:val="0"/>
                <w:sz w:val="20"/>
                <w:szCs w:val="20"/>
              </w:rPr>
              <w:t>–</w:t>
            </w:r>
          </w:p>
        </w:tc>
      </w:tr>
    </w:tbl>
    <w:p w14:paraId="4C9F2402" w14:textId="52FA6222" w:rsidR="00CE5104" w:rsidRPr="002C4900" w:rsidRDefault="00904FE5" w:rsidP="002C4900">
      <w:pPr>
        <w:pStyle w:val="TableDescription"/>
      </w:pPr>
      <w:r w:rsidRPr="00272ECE">
        <w:t>*</w:t>
      </w:r>
      <w:r w:rsidR="00CE5104" w:rsidRPr="00272ECE">
        <w:t xml:space="preserve">Integrated analysis of 5 years clinical trials </w:t>
      </w:r>
      <w:proofErr w:type="gramStart"/>
      <w:r w:rsidR="00CE5104" w:rsidRPr="00272ECE">
        <w:t>follow</w:t>
      </w:r>
      <w:proofErr w:type="gramEnd"/>
      <w:r w:rsidR="00CE5104" w:rsidRPr="00272ECE">
        <w:t xml:space="preserve"> up supplemented with post market </w:t>
      </w:r>
      <w:r w:rsidR="00CE5104" w:rsidRPr="002C4900">
        <w:t>reports</w:t>
      </w:r>
    </w:p>
    <w:p w14:paraId="17CF773D" w14:textId="69BBB275" w:rsidR="00F74515" w:rsidRPr="00272ECE" w:rsidRDefault="00F74515" w:rsidP="002C4900">
      <w:r w:rsidRPr="00272ECE">
        <w:t>The summary of safety concerns in the ASA aligns with the approved EU</w:t>
      </w:r>
      <w:r w:rsidR="002273B1">
        <w:noBreakHyphen/>
      </w:r>
      <w:r w:rsidRPr="00272ECE">
        <w:t>RMP and generally includes important class risks of BTK inhibitors. The summary of safety concerns is acceptable from an RMP perspective.</w:t>
      </w:r>
    </w:p>
    <w:p w14:paraId="03B168E9" w14:textId="616644DD" w:rsidR="001D07C6" w:rsidRPr="00272ECE" w:rsidRDefault="00F74515" w:rsidP="002C4900">
      <w:r w:rsidRPr="00272ECE">
        <w:t xml:space="preserve">Routine pharmacovigilance is proposed for all safety concerns. Additional pharmacovigilance is proposed for the important potential risks, in the form of an integrated safety analysis of clinical trial data supplemented with </w:t>
      </w:r>
      <w:r w:rsidR="001D07C6" w:rsidRPr="00272ECE">
        <w:t>post market</w:t>
      </w:r>
      <w:r w:rsidRPr="00272ECE">
        <w:t xml:space="preserve"> reports. The pharmacovigilance plan in the ASA aligns with the EU</w:t>
      </w:r>
      <w:r w:rsidR="002273B1">
        <w:noBreakHyphen/>
      </w:r>
      <w:r w:rsidRPr="00272ECE">
        <w:t>RMP and is acceptable.</w:t>
      </w:r>
    </w:p>
    <w:p w14:paraId="54EED232" w14:textId="07D9C256" w:rsidR="00F74515" w:rsidRPr="00272ECE" w:rsidRDefault="00F74515" w:rsidP="00E71FCE">
      <w:r w:rsidRPr="00272ECE">
        <w:t>Routine risk minimisation is proposed for all safety concerns. Additional risk minimisation activities are not proposed. This aligns with the EU</w:t>
      </w:r>
      <w:r w:rsidR="002273B1">
        <w:noBreakHyphen/>
      </w:r>
      <w:r w:rsidRPr="00272ECE">
        <w:t>RMP and with the risk minimisation plans of other BTK inhibitors and is acceptable.</w:t>
      </w:r>
    </w:p>
    <w:p w14:paraId="456C7934" w14:textId="5BF5AB5F" w:rsidR="00FA1BC9" w:rsidRPr="002C4900" w:rsidRDefault="00032A0F" w:rsidP="002C4900">
      <w:r w:rsidRPr="00272ECE">
        <w:t>The RMP evaluation recommended conditions of registration relating to the versions of the risk management plan, requirement for periodic safety update reports, and inclusion of the medicine in the Black Tr</w:t>
      </w:r>
      <w:r w:rsidRPr="002C4900">
        <w:t>iangle Scheme.</w:t>
      </w:r>
      <w:bookmarkStart w:id="70" w:name="_Toc103679299"/>
    </w:p>
    <w:p w14:paraId="74A4F87F" w14:textId="2A2D188B" w:rsidR="00C22214" w:rsidRPr="00272ECE" w:rsidRDefault="00C22214" w:rsidP="002C4900">
      <w:pPr>
        <w:pStyle w:val="Heading3"/>
      </w:pPr>
      <w:bookmarkStart w:id="71" w:name="_Toc243316706"/>
      <w:r w:rsidRPr="00272ECE">
        <w:lastRenderedPageBreak/>
        <w:t>Risk-benefit analysis</w:t>
      </w:r>
      <w:bookmarkEnd w:id="67"/>
      <w:bookmarkEnd w:id="68"/>
      <w:bookmarkEnd w:id="70"/>
      <w:bookmarkEnd w:id="71"/>
    </w:p>
    <w:p w14:paraId="77DE2655" w14:textId="43090784" w:rsidR="00C22214" w:rsidRPr="00272ECE" w:rsidRDefault="00C22214" w:rsidP="002C4900">
      <w:pPr>
        <w:pStyle w:val="Heading4"/>
      </w:pPr>
      <w:bookmarkStart w:id="72" w:name="_Toc98931932"/>
      <w:bookmarkStart w:id="73" w:name="_Toc243316707"/>
      <w:r w:rsidRPr="00272ECE">
        <w:t>Delegate’s considerations</w:t>
      </w:r>
      <w:bookmarkEnd w:id="72"/>
      <w:bookmarkEnd w:id="73"/>
    </w:p>
    <w:p w14:paraId="352E599A" w14:textId="33D5DCD2" w:rsidR="00C227EA" w:rsidRPr="00272ECE" w:rsidRDefault="00C227EA" w:rsidP="002C4900">
      <w:pPr>
        <w:pStyle w:val="Heading5"/>
      </w:pPr>
      <w:r w:rsidRPr="00272ECE">
        <w:t>Quality</w:t>
      </w:r>
    </w:p>
    <w:p w14:paraId="4E303A8B" w14:textId="3329ABBE" w:rsidR="00C227EA" w:rsidRPr="00272ECE" w:rsidRDefault="00C227EA" w:rsidP="002C4900">
      <w:r w:rsidRPr="00272ECE">
        <w:t>The quality evaluation has confirmed that approval for registration of the proposed product can be recommended from a pharmaceutical chemistry perspective.</w:t>
      </w:r>
    </w:p>
    <w:p w14:paraId="2B42B8EB" w14:textId="3EED86DC" w:rsidR="00C227EA" w:rsidRPr="00272ECE" w:rsidRDefault="00C227EA" w:rsidP="002C4900">
      <w:pPr>
        <w:pStyle w:val="Heading5"/>
      </w:pPr>
      <w:r w:rsidRPr="00272ECE">
        <w:t>Efficacy</w:t>
      </w:r>
    </w:p>
    <w:p w14:paraId="39BCE1B8" w14:textId="222012DB" w:rsidR="00C227EA" w:rsidRPr="00272ECE" w:rsidRDefault="00C227EA" w:rsidP="002C4900">
      <w:r w:rsidRPr="00272ECE">
        <w:t xml:space="preserve">There were 13 </w:t>
      </w:r>
      <w:r w:rsidR="00B40D70">
        <w:t>pharmacokinetic-pharmacodynamic</w:t>
      </w:r>
      <w:r w:rsidRPr="00272ECE">
        <w:t xml:space="preserve"> studies, </w:t>
      </w:r>
      <w:proofErr w:type="spellStart"/>
      <w:r w:rsidRPr="00272ECE">
        <w:t>popPK</w:t>
      </w:r>
      <w:proofErr w:type="spellEnd"/>
      <w:r w:rsidRPr="00272ECE">
        <w:t xml:space="preserve"> analysis, and ER analysis, which offered a thorough assessment of the clinical pharmacology of pirtobrutinib for the proposed indication.</w:t>
      </w:r>
    </w:p>
    <w:p w14:paraId="1E2C1B39" w14:textId="39D80D67" w:rsidR="00C227EA" w:rsidRPr="00272ECE" w:rsidRDefault="00C227EA" w:rsidP="002C4900">
      <w:r w:rsidRPr="00272ECE">
        <w:t>Pirtobrutinib is a reversible, noncovalent inhibitor of BTK. BTK is a signalling protein of the B</w:t>
      </w:r>
      <w:r w:rsidR="00D51129">
        <w:noBreakHyphen/>
      </w:r>
      <w:r w:rsidRPr="00272ECE">
        <w:t>cell antigen receptor (BCR) and cytokine receptor pathways. In B</w:t>
      </w:r>
      <w:r w:rsidR="00347C11">
        <w:noBreakHyphen/>
      </w:r>
      <w:r w:rsidRPr="00272ECE">
        <w:t>cells, BTK signalling results in activation of pathways necessary for B</w:t>
      </w:r>
      <w:r w:rsidR="00347C11">
        <w:noBreakHyphen/>
      </w:r>
      <w:r w:rsidRPr="00272ECE">
        <w:t>cell proliferation, trafficking, chemotaxis, and adhesion. Pirtobrutinib binds to wild type BTK as well as BTK harbouring C481</w:t>
      </w:r>
      <w:r w:rsidR="00213303">
        <w:t xml:space="preserve"> </w:t>
      </w:r>
      <w:r w:rsidRPr="00272ECE">
        <w:t>mutations leading to inhibition of BTK kinase activity.</w:t>
      </w:r>
    </w:p>
    <w:p w14:paraId="1D1D2935" w14:textId="2072CADD" w:rsidR="00C227EA" w:rsidRPr="00272ECE" w:rsidRDefault="00C227EA" w:rsidP="00C227EA">
      <w:r w:rsidRPr="00272ECE">
        <w:t xml:space="preserve">Pirtobrutinib exposure did not adversely affect safety parameters (neutrophil count, platelet count, haemoglobin levels, systolic blood pressure, and diastolic blood pressure) across the range of exposures observed in the pivotal Phase </w:t>
      </w:r>
      <w:r w:rsidR="00077990" w:rsidRPr="00272ECE">
        <w:t>III</w:t>
      </w:r>
      <w:r w:rsidRPr="00272ECE">
        <w:t xml:space="preserve"> study involving CLL/SLL patients at the proposed initial dose of 200</w:t>
      </w:r>
      <w:r w:rsidR="00077990" w:rsidRPr="00272ECE">
        <w:t> </w:t>
      </w:r>
      <w:r w:rsidRPr="00272ECE">
        <w:t>mg once daily.</w:t>
      </w:r>
    </w:p>
    <w:p w14:paraId="02C2A562" w14:textId="3BFEE2C5" w:rsidR="00C227EA" w:rsidRPr="00272ECE" w:rsidRDefault="00C227EA" w:rsidP="002C4900">
      <w:r w:rsidRPr="00272ECE">
        <w:t>The 200</w:t>
      </w:r>
      <w:r w:rsidR="00077990" w:rsidRPr="00272ECE">
        <w:t> </w:t>
      </w:r>
      <w:r w:rsidRPr="00272ECE">
        <w:t xml:space="preserve">mg </w:t>
      </w:r>
      <w:r w:rsidR="00077990" w:rsidRPr="00272ECE">
        <w:t>once daily</w:t>
      </w:r>
      <w:r w:rsidRPr="00272ECE">
        <w:t xml:space="preserve"> dose (administered orally with or without food) chosen for the pivotal Phase </w:t>
      </w:r>
      <w:r w:rsidR="00077990" w:rsidRPr="00272ECE">
        <w:t>III S</w:t>
      </w:r>
      <w:r w:rsidRPr="00272ECE">
        <w:t xml:space="preserve">tudy 20020 was supported by findings from the Phase </w:t>
      </w:r>
      <w:r w:rsidR="00077990" w:rsidRPr="00272ECE">
        <w:t>I</w:t>
      </w:r>
      <w:r w:rsidRPr="00272ECE">
        <w:t>/</w:t>
      </w:r>
      <w:r w:rsidR="00077990" w:rsidRPr="00272ECE">
        <w:t>II</w:t>
      </w:r>
      <w:r w:rsidRPr="00272ECE">
        <w:t xml:space="preserve"> </w:t>
      </w:r>
      <w:r w:rsidR="00077990" w:rsidRPr="00272ECE">
        <w:t>S</w:t>
      </w:r>
      <w:r w:rsidRPr="00272ECE">
        <w:t>tudy 1</w:t>
      </w:r>
      <w:r w:rsidR="00C014D0">
        <w:t>8</w:t>
      </w:r>
      <w:r w:rsidRPr="00272ECE">
        <w:t>001.</w:t>
      </w:r>
    </w:p>
    <w:p w14:paraId="004F4CE3" w14:textId="141B8468" w:rsidR="00C227EA" w:rsidRPr="00272ECE" w:rsidRDefault="00C227EA" w:rsidP="002C4900">
      <w:r w:rsidRPr="00272ECE">
        <w:t>Efficacy was assessed in Study 20020, a randomised, open</w:t>
      </w:r>
      <w:r w:rsidR="00987DE7" w:rsidRPr="00272ECE">
        <w:t xml:space="preserve"> </w:t>
      </w:r>
      <w:r w:rsidRPr="00272ECE">
        <w:t>label, active</w:t>
      </w:r>
      <w:r w:rsidR="00987DE7" w:rsidRPr="00272ECE">
        <w:t xml:space="preserve"> </w:t>
      </w:r>
      <w:r w:rsidRPr="00272ECE">
        <w:t xml:space="preserve">controlled trial. The trial enrolled 238 patients previously treated for CLL/SLL, including those who received a covalent BTK inhibitor. Patients were randomised in a 1:1 ratio to receive either pirtobrutinib or the investigator's choice of </w:t>
      </w:r>
      <w:proofErr w:type="spellStart"/>
      <w:r w:rsidRPr="00272ECE">
        <w:t>idelalisib</w:t>
      </w:r>
      <w:proofErr w:type="spellEnd"/>
      <w:r w:rsidRPr="00272ECE">
        <w:t xml:space="preserve"> combined with a rituximab product (</w:t>
      </w:r>
      <w:proofErr w:type="spellStart"/>
      <w:r w:rsidR="0051621C" w:rsidRPr="00272ECE">
        <w:t>IdelaR</w:t>
      </w:r>
      <w:proofErr w:type="spellEnd"/>
      <w:r w:rsidRPr="00272ECE">
        <w:t xml:space="preserve">) or bendamustine combined with a rituximab product </w:t>
      </w:r>
      <w:r w:rsidR="0051621C" w:rsidRPr="00272ECE">
        <w:t>(</w:t>
      </w:r>
      <w:proofErr w:type="spellStart"/>
      <w:r w:rsidR="0051621C" w:rsidRPr="00272ECE">
        <w:t>BendaR</w:t>
      </w:r>
      <w:proofErr w:type="spellEnd"/>
      <w:r w:rsidRPr="00272ECE">
        <w:t>). Crossover to J</w:t>
      </w:r>
      <w:r w:rsidR="0051621C" w:rsidRPr="00272ECE">
        <w:t>aypirca</w:t>
      </w:r>
      <w:r w:rsidRPr="00272ECE">
        <w:t xml:space="preserve"> monotherapy was permitted for patients in the investigator's choice arm upon confirmed disease progression.</w:t>
      </w:r>
    </w:p>
    <w:p w14:paraId="7D45615A" w14:textId="4803CC19" w:rsidR="00C227EA" w:rsidRPr="00272ECE" w:rsidRDefault="00C227EA" w:rsidP="00C227EA">
      <w:r w:rsidRPr="00272ECE">
        <w:t>The primary efficacy outcome was progression</w:t>
      </w:r>
      <w:r w:rsidR="008C73CB" w:rsidRPr="00272ECE">
        <w:t xml:space="preserve"> </w:t>
      </w:r>
      <w:r w:rsidRPr="00272ECE">
        <w:t>free survival (PFS), evaluated by an independent review committee</w:t>
      </w:r>
      <w:r w:rsidR="009A6BEC">
        <w:t xml:space="preserve"> (IRC)</w:t>
      </w:r>
      <w:r w:rsidRPr="00272ECE">
        <w:t xml:space="preserve"> in accordance with the 2018 </w:t>
      </w:r>
      <w:proofErr w:type="spellStart"/>
      <w:r w:rsidRPr="00272ECE">
        <w:t>iwCLL</w:t>
      </w:r>
      <w:proofErr w:type="spellEnd"/>
      <w:r w:rsidRPr="00272ECE">
        <w:t xml:space="preserve"> criteria. Median PFS was 11.2 months (95% CI: 9.5, 11.4) in the pirtobrutinib arm and 8.7 months (95% CI: 7.2, 10.2) in the investigator’s choice of </w:t>
      </w:r>
      <w:proofErr w:type="spellStart"/>
      <w:r w:rsidR="008C73CB" w:rsidRPr="00272ECE">
        <w:t>IdelaR</w:t>
      </w:r>
      <w:proofErr w:type="spellEnd"/>
      <w:r w:rsidRPr="00272ECE">
        <w:t>/</w:t>
      </w:r>
      <w:proofErr w:type="spellStart"/>
      <w:r w:rsidR="008C73CB" w:rsidRPr="00272ECE">
        <w:t>BendaR</w:t>
      </w:r>
      <w:proofErr w:type="spellEnd"/>
      <w:r w:rsidR="008C73CB" w:rsidRPr="00272ECE">
        <w:t xml:space="preserve"> </w:t>
      </w:r>
      <w:r w:rsidRPr="00272ECE">
        <w:t>arm (H</w:t>
      </w:r>
      <w:r w:rsidR="008C73CB" w:rsidRPr="00272ECE">
        <w:t>R</w:t>
      </w:r>
      <w:r w:rsidRPr="00272ECE">
        <w:t xml:space="preserve"> 0.58 </w:t>
      </w:r>
      <w:r w:rsidR="008C73CB" w:rsidRPr="00272ECE">
        <w:t>(</w:t>
      </w:r>
      <w:r w:rsidRPr="00272ECE">
        <w:t>95% CI: 0.38, 0.89</w:t>
      </w:r>
      <w:r w:rsidR="008C73CB" w:rsidRPr="00272ECE">
        <w:t>)</w:t>
      </w:r>
      <w:r w:rsidRPr="00272ECE">
        <w:t>; p-value 0.0105). Of the 119 patients in the investigator’s choice arm, 50 crossed over to receive Jaypirca therapy. According to an updated analysis with a median follow-up duration of 19.8 months, the HR for overall survival (OS) was 1.09 (95% CI: 0.68, 1.75).</w:t>
      </w:r>
    </w:p>
    <w:p w14:paraId="54B9AE46" w14:textId="00A42481" w:rsidR="00C227EA" w:rsidRPr="00272ECE" w:rsidRDefault="00C227EA" w:rsidP="002C4900">
      <w:pPr>
        <w:pStyle w:val="Heading5"/>
      </w:pPr>
      <w:r w:rsidRPr="00272ECE">
        <w:t>Safety</w:t>
      </w:r>
    </w:p>
    <w:p w14:paraId="725F962F" w14:textId="39E01010" w:rsidR="00C227EA" w:rsidRPr="00272ECE" w:rsidRDefault="00C227EA" w:rsidP="002C4900">
      <w:r w:rsidRPr="00272ECE">
        <w:t xml:space="preserve">In the pivotal Phase </w:t>
      </w:r>
      <w:r w:rsidR="0019094A" w:rsidRPr="00272ECE">
        <w:t>III</w:t>
      </w:r>
      <w:r w:rsidRPr="00272ECE">
        <w:t xml:space="preserve"> </w:t>
      </w:r>
      <w:r w:rsidR="0019094A" w:rsidRPr="00272ECE">
        <w:t>S</w:t>
      </w:r>
      <w:r w:rsidRPr="00272ECE">
        <w:t>tudy 20020 involving 238 adult patients with relapsed/refractory CLL/SLL, those receiving pirtobrutinib experienced a lower incidence of Grade 3 or 4 adverse events (38.8% v</w:t>
      </w:r>
      <w:r w:rsidR="00A37175" w:rsidRPr="00272ECE">
        <w:t>ersus</w:t>
      </w:r>
      <w:r w:rsidRPr="00272ECE">
        <w:t> 54.1%), treatment discontinuations due to adverse events (10.3% v</w:t>
      </w:r>
      <w:r w:rsidR="00A37175" w:rsidRPr="00272ECE">
        <w:t xml:space="preserve">ersus </w:t>
      </w:r>
      <w:r w:rsidRPr="00272ECE">
        <w:t>23.9%), and serious adverse events (31.0% v</w:t>
      </w:r>
      <w:r w:rsidR="00A37175" w:rsidRPr="00272ECE">
        <w:t>ersus</w:t>
      </w:r>
      <w:r w:rsidRPr="00272ECE">
        <w:t xml:space="preserve"> 35.8%) compared to the </w:t>
      </w:r>
      <w:proofErr w:type="spellStart"/>
      <w:r w:rsidRPr="00272ECE">
        <w:t>IdelaR</w:t>
      </w:r>
      <w:proofErr w:type="spellEnd"/>
      <w:r w:rsidRPr="00272ECE">
        <w:t xml:space="preserve"> or </w:t>
      </w:r>
      <w:proofErr w:type="spellStart"/>
      <w:r w:rsidRPr="00272ECE">
        <w:t>BendaR</w:t>
      </w:r>
      <w:proofErr w:type="spellEnd"/>
      <w:r w:rsidRPr="00272ECE">
        <w:t xml:space="preserve"> treatment arm.</w:t>
      </w:r>
    </w:p>
    <w:p w14:paraId="58117259" w14:textId="60AE5889" w:rsidR="00C227EA" w:rsidRPr="00272ECE" w:rsidRDefault="00C227EA" w:rsidP="002C4900">
      <w:r w:rsidRPr="00272ECE">
        <w:t xml:space="preserve">The product information </w:t>
      </w:r>
      <w:r w:rsidR="001F2412" w:rsidRPr="00272ECE">
        <w:t>(</w:t>
      </w:r>
      <w:r w:rsidR="001F2412" w:rsidRPr="009734FB">
        <w:t>PI)</w:t>
      </w:r>
      <w:r w:rsidR="001F2412" w:rsidRPr="00272ECE">
        <w:t xml:space="preserve"> </w:t>
      </w:r>
      <w:r w:rsidRPr="00272ECE">
        <w:t xml:space="preserve">includes special warnings and precautions for infections, </w:t>
      </w:r>
      <w:r w:rsidR="009C2167" w:rsidRPr="00272ECE">
        <w:t>haemorrhage</w:t>
      </w:r>
      <w:r w:rsidRPr="00272ECE">
        <w:t>, cytopenias, atrial fibrillation/flutter, secondary primary malignancies, and tumour lysis syndrome to help mitigate the main safety concerns and risks associated with pirtobrutinib monotherapy in the proposed indication.</w:t>
      </w:r>
    </w:p>
    <w:p w14:paraId="3916F296" w14:textId="41D1D2E9" w:rsidR="00C22214" w:rsidRPr="00272ECE" w:rsidRDefault="00C22214" w:rsidP="002C4900">
      <w:pPr>
        <w:pStyle w:val="Heading4"/>
      </w:pPr>
      <w:bookmarkStart w:id="74" w:name="_Toc98931933"/>
      <w:bookmarkStart w:id="75" w:name="_Toc243316708"/>
      <w:r w:rsidRPr="00272ECE">
        <w:lastRenderedPageBreak/>
        <w:t>Proposed action</w:t>
      </w:r>
      <w:bookmarkEnd w:id="74"/>
      <w:bookmarkEnd w:id="75"/>
    </w:p>
    <w:p w14:paraId="3B85F2BF" w14:textId="20A9B13F" w:rsidR="0034370A" w:rsidRPr="00272ECE" w:rsidRDefault="0034370A" w:rsidP="002C4900">
      <w:r w:rsidRPr="00272ECE">
        <w:t>Overall, based on the review of data on quality, safety and efficacy, the Delegate considers that the benefit-risk balance of J</w:t>
      </w:r>
      <w:r w:rsidR="00701830">
        <w:t>aypirca</w:t>
      </w:r>
      <w:r w:rsidRPr="00272ECE">
        <w:t xml:space="preserve"> (pirtobrutinib) is favourable in the following indication:</w:t>
      </w:r>
    </w:p>
    <w:p w14:paraId="1CBE6D91" w14:textId="743DC1FE" w:rsidR="0034370A" w:rsidRPr="002C4900" w:rsidRDefault="0034370A" w:rsidP="002C4900">
      <w:pPr>
        <w:ind w:left="720"/>
        <w:rPr>
          <w:i/>
          <w:iCs/>
        </w:rPr>
      </w:pPr>
      <w:r w:rsidRPr="002C4900">
        <w:rPr>
          <w:i/>
          <w:iCs/>
        </w:rPr>
        <w:t>Jaypirca as monotherapy is indicated for the treatment of adult patients with relapsed or refractory chronic lymphocytic leukemia/small lymphocytic lymphoma (CLL/SLL) who have been previously treated with a covalent BTK inhibitor.</w:t>
      </w:r>
    </w:p>
    <w:p w14:paraId="307F236C" w14:textId="628B1646" w:rsidR="00C22214" w:rsidRPr="00272ECE" w:rsidRDefault="0046285C" w:rsidP="002C4900">
      <w:pPr>
        <w:pStyle w:val="Heading2"/>
      </w:pPr>
      <w:bookmarkStart w:id="76" w:name="_Toc247691532"/>
      <w:bookmarkStart w:id="77" w:name="_Toc314842516"/>
      <w:bookmarkStart w:id="78" w:name="_Toc103679300"/>
      <w:bookmarkStart w:id="79" w:name="_Toc243316709"/>
      <w:r w:rsidRPr="00272ECE">
        <w:t>Assessment</w:t>
      </w:r>
      <w:r w:rsidR="00190853" w:rsidRPr="00272ECE">
        <w:t xml:space="preserve"> </w:t>
      </w:r>
      <w:r w:rsidRPr="00272ECE">
        <w:t>o</w:t>
      </w:r>
      <w:r w:rsidR="00C22214" w:rsidRPr="00272ECE">
        <w:t>utcome</w:t>
      </w:r>
      <w:bookmarkEnd w:id="76"/>
      <w:bookmarkEnd w:id="77"/>
      <w:bookmarkEnd w:id="78"/>
      <w:bookmarkEnd w:id="79"/>
    </w:p>
    <w:p w14:paraId="4EF22939" w14:textId="592CBC87" w:rsidR="00C22214" w:rsidRDefault="00C22214" w:rsidP="002C4900">
      <w:r w:rsidRPr="00272ECE">
        <w:t xml:space="preserve">Based on a review of quality, safety, and efficacy, the TGA </w:t>
      </w:r>
      <w:r w:rsidR="00B46DFB" w:rsidRPr="00272ECE">
        <w:t>decided to</w:t>
      </w:r>
      <w:r w:rsidRPr="00272ECE">
        <w:t xml:space="preserve"> regist</w:t>
      </w:r>
      <w:r w:rsidR="00B46DFB" w:rsidRPr="00272ECE">
        <w:t>er</w:t>
      </w:r>
      <w:r w:rsidRPr="00272ECE">
        <w:t xml:space="preserve"> </w:t>
      </w:r>
      <w:r w:rsidR="00E1606D" w:rsidRPr="00272ECE">
        <w:t>Jaypirca (pirtobrutinib) 50 mg and 100 mg, film coated tablet, blister pack</w:t>
      </w:r>
      <w:r w:rsidRPr="00272ECE">
        <w:t>, indicated for:</w:t>
      </w:r>
    </w:p>
    <w:p w14:paraId="3BDD3EF4" w14:textId="776ABEA2" w:rsidR="00DE6F94" w:rsidRPr="002C4900" w:rsidRDefault="002F08DC" w:rsidP="002C4900">
      <w:pPr>
        <w:ind w:left="720"/>
        <w:rPr>
          <w:i/>
          <w:iCs/>
        </w:rPr>
      </w:pPr>
      <w:r w:rsidRPr="002C4900">
        <w:rPr>
          <w:i/>
          <w:iCs/>
        </w:rPr>
        <w:t>J</w:t>
      </w:r>
      <w:r w:rsidR="00733F0A" w:rsidRPr="002C4900">
        <w:rPr>
          <w:i/>
          <w:iCs/>
        </w:rPr>
        <w:t>aypirca</w:t>
      </w:r>
      <w:r w:rsidRPr="002C4900">
        <w:rPr>
          <w:i/>
          <w:iCs/>
        </w:rPr>
        <w:t xml:space="preserve"> as monotherapy is indicated for the treatment of adult patients with relapsed or</w:t>
      </w:r>
      <w:r w:rsidR="00B84377" w:rsidRPr="002C4900">
        <w:rPr>
          <w:i/>
          <w:iCs/>
        </w:rPr>
        <w:t xml:space="preserve"> </w:t>
      </w:r>
      <w:r w:rsidRPr="002C4900">
        <w:rPr>
          <w:i/>
          <w:iCs/>
        </w:rPr>
        <w:t>refractory chronic lymphocytic leukemia/small lymphocytic lymphoma (CLL/SLL) who have been previously treated with a covalent Bruton's tyrosine kinase (BTK) inhibitor.</w:t>
      </w:r>
    </w:p>
    <w:p w14:paraId="0D732DA4" w14:textId="4D350EDC" w:rsidR="00854D98" w:rsidRPr="00272ECE" w:rsidRDefault="00854D98" w:rsidP="002C4900">
      <w:pPr>
        <w:pStyle w:val="Heading2"/>
      </w:pPr>
      <w:bookmarkStart w:id="80" w:name="_Toc103679301"/>
      <w:bookmarkStart w:id="81" w:name="_Toc243316710"/>
      <w:r w:rsidRPr="00272ECE">
        <w:t>Specific conditions of registration</w:t>
      </w:r>
      <w:bookmarkEnd w:id="80"/>
      <w:bookmarkEnd w:id="81"/>
    </w:p>
    <w:p w14:paraId="58F985EC" w14:textId="6CBA082D" w:rsidR="001E58AD" w:rsidRPr="001E58AD" w:rsidRDefault="001E58AD" w:rsidP="002C4900">
      <w:pPr>
        <w:pStyle w:val="ListBullet"/>
      </w:pPr>
      <w:r w:rsidRPr="001E58AD">
        <w:t>Jaypirca (pirtobrutinib) is to be included in the Black Triangle Scheme. The PI and CMI for Jaypirca must include the black triangle symbol and mandatory accompanying text for five years, which starts from the date of first supply of the product.</w:t>
      </w:r>
    </w:p>
    <w:p w14:paraId="2A9BDB28" w14:textId="4CB0EDF7" w:rsidR="001E58AD" w:rsidRPr="0046474A" w:rsidRDefault="001E58AD" w:rsidP="0046474A">
      <w:pPr>
        <w:pStyle w:val="ListBullet"/>
      </w:pPr>
      <w:r w:rsidRPr="001E58AD">
        <w:t>The Jaypirca EU-Risk Management Plan (RMP) (version 3.1, dated 19</w:t>
      </w:r>
      <w:r w:rsidR="00FC6A8D">
        <w:t> </w:t>
      </w:r>
      <w:r w:rsidRPr="001E58AD">
        <w:t>November</w:t>
      </w:r>
      <w:r w:rsidR="00FC6A8D">
        <w:t> </w:t>
      </w:r>
      <w:r w:rsidRPr="001E58AD">
        <w:t>2024, data lock point 29</w:t>
      </w:r>
      <w:r w:rsidR="00FC6A8D">
        <w:t> </w:t>
      </w:r>
      <w:r w:rsidRPr="001E58AD">
        <w:t>August</w:t>
      </w:r>
      <w:r w:rsidR="00FC6A8D">
        <w:t> </w:t>
      </w:r>
      <w:r w:rsidRPr="001E58AD">
        <w:t>2023), with Australia</w:t>
      </w:r>
      <w:r w:rsidR="008C2B75">
        <w:t xml:space="preserve"> s</w:t>
      </w:r>
      <w:r w:rsidRPr="001E58AD">
        <w:t xml:space="preserve">pecific </w:t>
      </w:r>
      <w:r w:rsidR="008C2B75">
        <w:t>a</w:t>
      </w:r>
      <w:r w:rsidRPr="001E58AD">
        <w:t>nnex (version 1.0, dated 13</w:t>
      </w:r>
      <w:r w:rsidR="008C2B75">
        <w:t> </w:t>
      </w:r>
      <w:r w:rsidRPr="001E58AD">
        <w:t>February</w:t>
      </w:r>
      <w:r w:rsidR="008C2B75">
        <w:t> </w:t>
      </w:r>
      <w:r w:rsidRPr="001E58AD">
        <w:t xml:space="preserve">2025), included with submission PM-2025-00498-1-4, and any subsequent revisions, as agreed </w:t>
      </w:r>
      <w:r w:rsidRPr="0046474A">
        <w:t>with the TGA will be implemented in Australia.</w:t>
      </w:r>
    </w:p>
    <w:p w14:paraId="1C121164" w14:textId="1408F670" w:rsidR="001E58AD" w:rsidRPr="0046474A" w:rsidRDefault="001E58AD" w:rsidP="002C4900">
      <w:pPr>
        <w:pStyle w:val="ListBullet"/>
      </w:pPr>
      <w:r w:rsidRPr="0046474A">
        <w:t>An obligatory component of risk management plans is routine pharmacovigilance. Routine pharmacovigilance includes the submission of periodic safety update reports (PSURs).</w:t>
      </w:r>
    </w:p>
    <w:p w14:paraId="77682993" w14:textId="799CC9A2" w:rsidR="00733F0A" w:rsidRPr="0046474A" w:rsidRDefault="001E58AD" w:rsidP="00FC6A8D">
      <w:pPr>
        <w:pStyle w:val="ListBullet"/>
        <w:numPr>
          <w:ilvl w:val="0"/>
          <w:numId w:val="0"/>
        </w:numPr>
        <w:ind w:left="360"/>
      </w:pPr>
      <w:r w:rsidRPr="0046474A">
        <w:t>Reports are to be provided in line with the current published list of EU reference dates and frequency of submission of PSURs until the period covered by such reports is not less than three years from the date of th</w:t>
      </w:r>
      <w:r w:rsidR="00541816">
        <w:t>e</w:t>
      </w:r>
      <w:r w:rsidRPr="0046474A">
        <w:t xml:space="preserve"> approval letter. Each report must be submitted within ninety calendar days of the data lock point for that report.</w:t>
      </w:r>
    </w:p>
    <w:p w14:paraId="29B52F03" w14:textId="301ECF63" w:rsidR="001E58AD" w:rsidRPr="0046474A" w:rsidRDefault="001E58AD" w:rsidP="002C4900">
      <w:pPr>
        <w:pStyle w:val="ListBullet"/>
      </w:pPr>
      <w:r w:rsidRPr="0046474A">
        <w:t>The reports are to at least meet the requirements for PSURs as described in the European Medicines Agency’s Guideline on good pharmacovigilance practices (GVP) Module VII</w:t>
      </w:r>
      <w:r w:rsidR="00541816">
        <w:noBreakHyphen/>
      </w:r>
      <w:r w:rsidRPr="0046474A">
        <w:t>periodic safety update report (Rev 1), Part VII.B Structures and processes.</w:t>
      </w:r>
      <w:r w:rsidR="0046474A" w:rsidRPr="0046474A">
        <w:t xml:space="preserve"> </w:t>
      </w:r>
      <w:r w:rsidRPr="0046474A">
        <w:t>Note that submission of a PSUR does not constitute an application to vary the</w:t>
      </w:r>
      <w:r w:rsidR="0046474A" w:rsidRPr="0046474A">
        <w:t xml:space="preserve"> </w:t>
      </w:r>
      <w:r w:rsidRPr="0046474A">
        <w:t>registration.</w:t>
      </w:r>
    </w:p>
    <w:p w14:paraId="05234D62" w14:textId="41ED41B6" w:rsidR="001E58AD" w:rsidRPr="0046474A" w:rsidRDefault="001E58AD" w:rsidP="0046474A">
      <w:pPr>
        <w:pStyle w:val="ListBullet"/>
      </w:pPr>
      <w:r w:rsidRPr="0046474A">
        <w:t>An empirical assessment of the clastogenic potential of the two specified impurities</w:t>
      </w:r>
      <w:r w:rsidR="0046474A" w:rsidRPr="0046474A">
        <w:t xml:space="preserve"> </w:t>
      </w:r>
      <w:r w:rsidRPr="0046474A">
        <w:t>(LSN3849804 and LSN3849825), in the drug product, should be provided to the TGA in</w:t>
      </w:r>
      <w:r w:rsidR="0046474A" w:rsidRPr="0046474A">
        <w:t xml:space="preserve"> </w:t>
      </w:r>
      <w:r w:rsidRPr="0046474A">
        <w:t>a subsequent filing submitted no later than two years from th</w:t>
      </w:r>
      <w:r w:rsidR="00FD76A1">
        <w:t>e</w:t>
      </w:r>
      <w:r w:rsidRPr="0046474A">
        <w:t xml:space="preserve"> approval letter.</w:t>
      </w:r>
    </w:p>
    <w:p w14:paraId="0F9C1952" w14:textId="7223F489" w:rsidR="00BA657C" w:rsidRPr="00272ECE" w:rsidRDefault="00BA657C" w:rsidP="002C4900">
      <w:pPr>
        <w:pStyle w:val="Heading3"/>
      </w:pPr>
      <w:bookmarkStart w:id="82" w:name="_Toc196738290"/>
      <w:bookmarkStart w:id="83" w:name="_Toc243316711"/>
      <w:r w:rsidRPr="00272ECE">
        <w:t>Product Information and Consumer Medicine Information</w:t>
      </w:r>
      <w:bookmarkEnd w:id="82"/>
      <w:bookmarkEnd w:id="83"/>
    </w:p>
    <w:p w14:paraId="0C57DE07" w14:textId="6D762A5F" w:rsidR="00675F81" w:rsidRPr="00272ECE" w:rsidRDefault="004D0933" w:rsidP="002C4900">
      <w:bookmarkStart w:id="84" w:name="_Hlk200021736"/>
      <w:r w:rsidRPr="00272ECE">
        <w:t xml:space="preserve">For the most recent Product Information (PI) and Consumer Medicine Information (CMI), please refer to the TGA </w:t>
      </w:r>
      <w:hyperlink r:id="rId35" w:history="1">
        <w:r w:rsidRPr="00272ECE">
          <w:rPr>
            <w:rStyle w:val="Hyperlink"/>
          </w:rPr>
          <w:t>PI/CMI search facility.</w:t>
        </w:r>
      </w:hyperlink>
      <w:bookmarkEnd w:id="84"/>
    </w:p>
    <w:p w14:paraId="40740B65" w14:textId="5819D664" w:rsidR="00C22214" w:rsidRPr="00272ECE" w:rsidRDefault="00C22214" w:rsidP="00C22214">
      <w:pPr>
        <w:autoSpaceDE w:val="0"/>
        <w:autoSpaceDN w:val="0"/>
        <w:adjustRightInd w:val="0"/>
        <w:spacing w:after="0"/>
      </w:pPr>
    </w:p>
    <w:p w14:paraId="53357BF3" w14:textId="276457B5" w:rsidR="00C22214" w:rsidRPr="00272ECE" w:rsidRDefault="00C22214" w:rsidP="00C22214">
      <w:pPr>
        <w:rPr>
          <w:lang w:eastAsia="ja-JP"/>
        </w:rPr>
        <w:sectPr w:rsidR="00C22214" w:rsidRPr="00272ECE" w:rsidSect="007452E8">
          <w:headerReference w:type="default" r:id="rId36"/>
          <w:footerReference w:type="default" r:id="rId37"/>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72ECE" w14:paraId="3C0C07BF" w14:textId="77777777" w:rsidTr="007452E8">
        <w:trPr>
          <w:trHeight w:hRule="exact" w:val="565"/>
          <w:jc w:val="center"/>
        </w:trPr>
        <w:tc>
          <w:tcPr>
            <w:tcW w:w="9145" w:type="dxa"/>
          </w:tcPr>
          <w:bookmarkEnd w:id="2"/>
          <w:bookmarkEnd w:id="3"/>
          <w:p w14:paraId="7E090B86" w14:textId="77777777" w:rsidR="00F02AEC" w:rsidRPr="00272ECE" w:rsidRDefault="00F02AEC" w:rsidP="007452E8">
            <w:pPr>
              <w:pStyle w:val="TGASignoff"/>
            </w:pPr>
            <w:r w:rsidRPr="00272ECE">
              <w:lastRenderedPageBreak/>
              <w:t>Therapeutic Goods Administration</w:t>
            </w:r>
          </w:p>
        </w:tc>
      </w:tr>
      <w:tr w:rsidR="00F02AEC" w:rsidRPr="00272ECE" w14:paraId="70F47EA1" w14:textId="77777777" w:rsidTr="007452E8">
        <w:trPr>
          <w:trHeight w:val="963"/>
          <w:jc w:val="center"/>
        </w:trPr>
        <w:tc>
          <w:tcPr>
            <w:tcW w:w="9145" w:type="dxa"/>
            <w:tcMar>
              <w:top w:w="28" w:type="dxa"/>
            </w:tcMar>
          </w:tcPr>
          <w:p w14:paraId="3491EBCD" w14:textId="77777777" w:rsidR="00F02AEC" w:rsidRPr="00272ECE" w:rsidRDefault="00F02AEC" w:rsidP="007452E8">
            <w:pPr>
              <w:pStyle w:val="Address"/>
              <w:jc w:val="center"/>
            </w:pPr>
            <w:r w:rsidRPr="00272ECE">
              <w:t>PO Box 100 Woden ACT 2606 Australia</w:t>
            </w:r>
          </w:p>
          <w:p w14:paraId="5D0FE0E7" w14:textId="56093434" w:rsidR="00F02AEC" w:rsidRPr="00272ECE" w:rsidRDefault="00F02AEC">
            <w:pPr>
              <w:pStyle w:val="Address"/>
              <w:jc w:val="center"/>
              <w:rPr>
                <w:sz w:val="22"/>
                <w:szCs w:val="22"/>
              </w:rPr>
            </w:pPr>
            <w:r w:rsidRPr="00272ECE">
              <w:t xml:space="preserve">Email: </w:t>
            </w:r>
            <w:hyperlink r:id="rId38" w:history="1">
              <w:r w:rsidRPr="00272ECE">
                <w:rPr>
                  <w:rStyle w:val="Hyperlink"/>
                </w:rPr>
                <w:t>info@tga.gov.au</w:t>
              </w:r>
            </w:hyperlink>
            <w:r w:rsidR="009734FB">
              <w:t xml:space="preserve"> </w:t>
            </w:r>
            <w:r w:rsidRPr="00272ECE">
              <w:t>Phone: 1800 020 653 Fax: 02 6203 1605</w:t>
            </w:r>
          </w:p>
          <w:p w14:paraId="4533D80F" w14:textId="1519D7A3" w:rsidR="00F02AEC" w:rsidRPr="00272ECE" w:rsidRDefault="00F02AEC">
            <w:pPr>
              <w:pStyle w:val="Address"/>
              <w:jc w:val="center"/>
              <w:rPr>
                <w:rStyle w:val="Hyperlink"/>
                <w:b/>
                <w:color w:val="auto"/>
                <w:sz w:val="22"/>
              </w:rPr>
            </w:pPr>
            <w:hyperlink r:id="rId39" w:history="1">
              <w:r w:rsidRPr="00272ECE">
                <w:rPr>
                  <w:rStyle w:val="Hyperlink"/>
                  <w:b/>
                </w:rPr>
                <w:t>https://www.tga.gov.au</w:t>
              </w:r>
            </w:hyperlink>
          </w:p>
        </w:tc>
      </w:tr>
    </w:tbl>
    <w:p w14:paraId="788B80FD" w14:textId="77777777" w:rsidR="007452E8" w:rsidRDefault="007452E8" w:rsidP="002C4900"/>
    <w:sectPr w:rsidR="007452E8" w:rsidSect="007452E8">
      <w:headerReference w:type="first" r:id="rId40"/>
      <w:footerReference w:type="first" r:id="rId41"/>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A7BB9" w14:textId="77777777" w:rsidR="0077777F" w:rsidRPr="00272ECE" w:rsidRDefault="0077777F" w:rsidP="00F02AEC">
      <w:pPr>
        <w:spacing w:after="0" w:line="240" w:lineRule="auto"/>
      </w:pPr>
      <w:r w:rsidRPr="00272ECE">
        <w:separator/>
      </w:r>
    </w:p>
  </w:endnote>
  <w:endnote w:type="continuationSeparator" w:id="0">
    <w:p w14:paraId="6961ED2B" w14:textId="77777777" w:rsidR="0077777F" w:rsidRPr="00272ECE" w:rsidRDefault="0077777F" w:rsidP="00F02AEC">
      <w:pPr>
        <w:spacing w:after="0" w:line="240" w:lineRule="auto"/>
      </w:pPr>
      <w:r w:rsidRPr="00272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Bahnschrift SemiBold SemiConden">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CIDFont+F1">
    <w:altName w:val="Calibri"/>
    <w:panose1 w:val="00000000000000000000"/>
    <w:charset w:val="00"/>
    <w:family w:val="auto"/>
    <w:notTrueType/>
    <w:pitch w:val="default"/>
    <w:sig w:usb0="00000003" w:usb1="00000000" w:usb2="00000000" w:usb3="00000000" w:csb0="00000001" w:csb1="00000000"/>
  </w:font>
  <w:font w:name="CMR10">
    <w:altName w:val="Yu Gothic"/>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7CF7" w14:textId="7A536625" w:rsidR="00AA6080" w:rsidRPr="00272ECE" w:rsidRDefault="00AA6080">
    <w:pPr>
      <w:pStyle w:val="Footer"/>
    </w:pPr>
    <w:r w:rsidRPr="00272ECE">
      <w:rPr>
        <w:noProof/>
      </w:rPr>
      <mc:AlternateContent>
        <mc:Choice Requires="wps">
          <w:drawing>
            <wp:anchor distT="0" distB="0" distL="0" distR="0" simplePos="0" relativeHeight="251658247" behindDoc="0" locked="0" layoutInCell="1" allowOverlap="1" wp14:anchorId="6C82A4BB" wp14:editId="3401825C">
              <wp:simplePos x="635" y="635"/>
              <wp:positionH relativeFrom="page">
                <wp:align>center</wp:align>
              </wp:positionH>
              <wp:positionV relativeFrom="page">
                <wp:align>bottom</wp:align>
              </wp:positionV>
              <wp:extent cx="622300" cy="391160"/>
              <wp:effectExtent l="0" t="0" r="6350" b="0"/>
              <wp:wrapNone/>
              <wp:docPr id="16074558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229CBAB" w14:textId="08773DFC"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82A4B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3229CBAB" w14:textId="08773DFC"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72ECE" w14:paraId="162D69C2" w14:textId="77777777" w:rsidTr="007452E8">
      <w:trPr>
        <w:trHeight w:val="423"/>
      </w:trPr>
      <w:tc>
        <w:tcPr>
          <w:tcW w:w="4360" w:type="dxa"/>
          <w:tcBorders>
            <w:top w:val="single" w:sz="4" w:space="0" w:color="auto"/>
          </w:tcBorders>
        </w:tcPr>
        <w:p w14:paraId="32E1B782" w14:textId="5783EBFF" w:rsidR="007452E8" w:rsidRPr="00272ECE" w:rsidRDefault="00AA6080" w:rsidP="007452E8">
          <w:pPr>
            <w:pStyle w:val="Footer"/>
          </w:pPr>
          <w:r w:rsidRPr="00272ECE">
            <w:rPr>
              <w:noProof/>
            </w:rPr>
            <mc:AlternateContent>
              <mc:Choice Requires="wps">
                <w:drawing>
                  <wp:anchor distT="0" distB="0" distL="0" distR="0" simplePos="0" relativeHeight="251658248" behindDoc="0" locked="0" layoutInCell="1" allowOverlap="1" wp14:anchorId="7B016761" wp14:editId="723C47A0">
                    <wp:simplePos x="635" y="635"/>
                    <wp:positionH relativeFrom="page">
                      <wp:align>center</wp:align>
                    </wp:positionH>
                    <wp:positionV relativeFrom="page">
                      <wp:align>bottom</wp:align>
                    </wp:positionV>
                    <wp:extent cx="622300" cy="391160"/>
                    <wp:effectExtent l="0" t="0" r="6350" b="0"/>
                    <wp:wrapNone/>
                    <wp:docPr id="127534539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1ADA2E7" w14:textId="4D4F3F1A"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016761"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1ADA2E7" w14:textId="4D4F3F1A"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p w14:paraId="1849C07C" w14:textId="77777777" w:rsidR="007452E8" w:rsidRPr="00272ECE" w:rsidRDefault="007452E8" w:rsidP="007452E8">
          <w:pPr>
            <w:pStyle w:val="Footer"/>
          </w:pPr>
          <w:r w:rsidRPr="00272ECE">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Pr="00272ECE" w:rsidRDefault="007452E8" w:rsidP="007452E8">
              <w:pPr>
                <w:pStyle w:val="Footer"/>
                <w:jc w:val="right"/>
              </w:pPr>
            </w:p>
            <w:p w14:paraId="5EDE6DF6" w14:textId="77777777" w:rsidR="007452E8" w:rsidRPr="00272ECE" w:rsidRDefault="007452E8" w:rsidP="007452E8">
              <w:pPr>
                <w:pStyle w:val="Footer"/>
                <w:jc w:val="right"/>
              </w:pPr>
              <w:r w:rsidRPr="00272ECE">
                <w:t xml:space="preserve">Page </w:t>
              </w:r>
              <w:r w:rsidRPr="00272ECE">
                <w:fldChar w:fldCharType="begin"/>
              </w:r>
              <w:r w:rsidRPr="00272ECE">
                <w:instrText xml:space="preserve"> PAGE </w:instrText>
              </w:r>
              <w:r w:rsidRPr="00272ECE">
                <w:fldChar w:fldCharType="separate"/>
              </w:r>
              <w:r w:rsidRPr="00272ECE">
                <w:t>2</w:t>
              </w:r>
              <w:r w:rsidRPr="00272ECE">
                <w:fldChar w:fldCharType="end"/>
              </w:r>
              <w:r w:rsidRPr="00272ECE">
                <w:t xml:space="preserve"> of </w:t>
              </w:r>
              <w:r>
                <w:fldChar w:fldCharType="begin"/>
              </w:r>
              <w:r>
                <w:instrText xml:space="preserve"> NUMPAGES  </w:instrText>
              </w:r>
              <w:r>
                <w:fldChar w:fldCharType="separate"/>
              </w:r>
              <w:r w:rsidRPr="00272ECE">
                <w:t>2</w:t>
              </w:r>
              <w:r>
                <w:fldChar w:fldCharType="end"/>
              </w:r>
            </w:p>
          </w:sdtContent>
        </w:sdt>
      </w:tc>
    </w:tr>
    <w:tr w:rsidR="007452E8" w:rsidRPr="00272ECE" w14:paraId="280F09C8" w14:textId="77777777" w:rsidTr="007452E8">
      <w:trPr>
        <w:trHeight w:val="263"/>
      </w:trPr>
      <w:tc>
        <w:tcPr>
          <w:tcW w:w="4360" w:type="dxa"/>
        </w:tcPr>
        <w:p w14:paraId="673F06D3" w14:textId="77777777" w:rsidR="007452E8" w:rsidRPr="00272ECE" w:rsidRDefault="007452E8" w:rsidP="007452E8">
          <w:pPr>
            <w:pStyle w:val="Footer"/>
          </w:pPr>
          <w:proofErr w:type="spellStart"/>
          <w:r w:rsidRPr="00272ECE">
            <w:t>V1.0</w:t>
          </w:r>
          <w:proofErr w:type="spellEnd"/>
          <w:r w:rsidRPr="00272ECE">
            <w:t xml:space="preserve"> Month 2012</w:t>
          </w:r>
        </w:p>
      </w:tc>
      <w:tc>
        <w:tcPr>
          <w:tcW w:w="4360" w:type="dxa"/>
        </w:tcPr>
        <w:p w14:paraId="77F5B433" w14:textId="77777777" w:rsidR="007452E8" w:rsidRPr="00272ECE" w:rsidRDefault="007452E8" w:rsidP="007452E8">
          <w:pPr>
            <w:pStyle w:val="Footer"/>
            <w:jc w:val="right"/>
          </w:pPr>
        </w:p>
      </w:tc>
    </w:tr>
  </w:tbl>
  <w:p w14:paraId="63F6FDDE" w14:textId="77777777" w:rsidR="007452E8" w:rsidRPr="00272ECE"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2D931C92" w:rsidR="007452E8" w:rsidRPr="00272ECE" w:rsidRDefault="00AA6080" w:rsidP="007452E8">
    <w:pPr>
      <w:pStyle w:val="Footer"/>
      <w:ind w:left="-1701"/>
    </w:pPr>
    <w:r w:rsidRPr="00272ECE">
      <w:rPr>
        <w:noProof/>
      </w:rPr>
      <mc:AlternateContent>
        <mc:Choice Requires="wps">
          <w:drawing>
            <wp:anchor distT="0" distB="0" distL="0" distR="0" simplePos="0" relativeHeight="251658246" behindDoc="0" locked="0" layoutInCell="1" allowOverlap="1" wp14:anchorId="7FBBD7AA" wp14:editId="0931A908">
              <wp:simplePos x="635" y="635"/>
              <wp:positionH relativeFrom="page">
                <wp:align>center</wp:align>
              </wp:positionH>
              <wp:positionV relativeFrom="page">
                <wp:align>bottom</wp:align>
              </wp:positionV>
              <wp:extent cx="622300" cy="391160"/>
              <wp:effectExtent l="0" t="0" r="6350" b="0"/>
              <wp:wrapNone/>
              <wp:docPr id="211656148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13A14CE" w14:textId="6C3CFA46"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BBD7AA" id="_x0000_t202" coordsize="21600,21600" o:spt="202" path="m,l,21600r21600,l21600,xe">
              <v:stroke joinstyle="miter"/>
              <v:path gradientshapeok="t" o:connecttype="rect"/>
            </v:shapetype>
            <v:shape id="Text Box 6" o:spid="_x0000_s1031" type="#_x0000_t202" alt="OFFICIAL" style="position:absolute;left:0;text-align:left;margin-left:0;margin-top:0;width:49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413A14CE" w14:textId="6C3CFA46"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r w:rsidR="007452E8" w:rsidRPr="00272ECE">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272ECE" w14:paraId="6266BC33" w14:textId="77777777" w:rsidTr="007452E8">
      <w:trPr>
        <w:trHeight w:val="423"/>
      </w:trPr>
      <w:tc>
        <w:tcPr>
          <w:tcW w:w="7338" w:type="dxa"/>
          <w:tcBorders>
            <w:top w:val="single" w:sz="4" w:space="0" w:color="auto"/>
          </w:tcBorders>
        </w:tcPr>
        <w:p w14:paraId="56CBE6E0" w14:textId="2B97ADAB" w:rsidR="00203EB6" w:rsidRPr="00A034A3" w:rsidRDefault="007452E8" w:rsidP="007452E8">
          <w:pPr>
            <w:pStyle w:val="Footer"/>
            <w:rPr>
              <w:lang w:val="pt-BR"/>
            </w:rPr>
          </w:pPr>
          <w:r w:rsidRPr="00A034A3">
            <w:rPr>
              <w:lang w:val="pt-BR"/>
            </w:rPr>
            <w:t xml:space="preserve">AusPAR - </w:t>
          </w:r>
          <w:r w:rsidR="00203EB6" w:rsidRPr="00A034A3">
            <w:rPr>
              <w:lang w:val="pt-BR"/>
            </w:rPr>
            <w:t>Jaypirca - pirtobrutinib - Eli Lilly Australia Pty Ltd - PM-2025-00498-1-4</w:t>
          </w:r>
        </w:p>
        <w:p w14:paraId="3C421323" w14:textId="7F08E792" w:rsidR="007452E8" w:rsidRPr="00272ECE" w:rsidRDefault="007B0ED7" w:rsidP="007452E8">
          <w:pPr>
            <w:pStyle w:val="Footer"/>
          </w:pPr>
          <w:r>
            <w:t>Date of f</w:t>
          </w:r>
          <w:r w:rsidR="009B376D">
            <w:t>inal</w:t>
          </w:r>
          <w:r>
            <w:t>isation:</w:t>
          </w:r>
          <w:r w:rsidR="009B376D">
            <w:t xml:space="preserve"> 8 October</w:t>
          </w:r>
          <w:r w:rsidR="007E4ABD">
            <w:t xml:space="preserve">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272ECE" w:rsidRDefault="007452E8" w:rsidP="007452E8">
              <w:pPr>
                <w:pStyle w:val="Footer"/>
                <w:jc w:val="right"/>
              </w:pPr>
              <w:r w:rsidRPr="00272ECE">
                <w:t xml:space="preserve">Page </w:t>
              </w:r>
              <w:r w:rsidRPr="00272ECE">
                <w:fldChar w:fldCharType="begin"/>
              </w:r>
              <w:r w:rsidRPr="00272ECE">
                <w:instrText xml:space="preserve"> PAGE </w:instrText>
              </w:r>
              <w:r w:rsidRPr="00272ECE">
                <w:fldChar w:fldCharType="separate"/>
              </w:r>
              <w:r w:rsidR="006D6B44" w:rsidRPr="00272ECE">
                <w:t>13</w:t>
              </w:r>
              <w:r w:rsidRPr="00272ECE">
                <w:fldChar w:fldCharType="end"/>
              </w:r>
              <w:r w:rsidRPr="00272ECE">
                <w:t xml:space="preserve"> of </w:t>
              </w:r>
              <w:r w:rsidR="006D6B44">
                <w:fldChar w:fldCharType="begin"/>
              </w:r>
              <w:r w:rsidR="006D6B44">
                <w:instrText xml:space="preserve"> NUMPAGES  </w:instrText>
              </w:r>
              <w:r w:rsidR="006D6B44">
                <w:fldChar w:fldCharType="separate"/>
              </w:r>
              <w:r w:rsidR="006D6B44" w:rsidRPr="00272ECE">
                <w:t>17</w:t>
              </w:r>
              <w:r w:rsidR="006D6B44">
                <w:fldChar w:fldCharType="end"/>
              </w:r>
            </w:p>
          </w:sdtContent>
        </w:sdt>
      </w:tc>
    </w:tr>
  </w:tbl>
  <w:p w14:paraId="1A4EDE60" w14:textId="6731DE53" w:rsidR="007452E8" w:rsidRPr="00272ECE"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77E05F7B" w:rsidR="007452E8" w:rsidRPr="00272ECE" w:rsidRDefault="00AA6080" w:rsidP="007452E8">
    <w:pPr>
      <w:pStyle w:val="Footer"/>
    </w:pPr>
    <w:r w:rsidRPr="00272ECE">
      <w:rPr>
        <w:noProof/>
      </w:rPr>
      <mc:AlternateContent>
        <mc:Choice Requires="wps">
          <w:drawing>
            <wp:anchor distT="0" distB="0" distL="0" distR="0" simplePos="0" relativeHeight="251658250" behindDoc="0" locked="0" layoutInCell="1" allowOverlap="1" wp14:anchorId="75BBE838" wp14:editId="4624DE86">
              <wp:simplePos x="635" y="635"/>
              <wp:positionH relativeFrom="page">
                <wp:align>center</wp:align>
              </wp:positionH>
              <wp:positionV relativeFrom="page">
                <wp:align>bottom</wp:align>
              </wp:positionV>
              <wp:extent cx="622300" cy="391160"/>
              <wp:effectExtent l="0" t="0" r="6350" b="0"/>
              <wp:wrapNone/>
              <wp:docPr id="67730484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069688" w14:textId="70C9A1B7"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BBE838" id="_x0000_t202" coordsize="21600,21600" o:spt="202" path="m,l,21600r21600,l21600,xe">
              <v:stroke joinstyle="miter"/>
              <v:path gradientshapeok="t" o:connecttype="rect"/>
            </v:shapetype>
            <v:shape id="Text Box 10" o:spid="_x0000_s1033" type="#_x0000_t202" alt="OFFICIAL" style="position:absolute;margin-left:0;margin-top:0;width:49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YDgIAABwEAAAOAAAAZHJzL2Uyb0RvYy54bWysU01v2zAMvQ/YfxB0X2ynWLY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ROv4X6SEshnPj2Tq5aar0WPjwLJIJpWhJt&#10;eKJDd9BXHM4WZw3gj7/5Yz7hTlHOehJMxS0pmrPumyU+orZGA0djm4ziNv8Y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BjTo+YDgIAABwE&#10;AAAOAAAAAAAAAAAAAAAAAC4CAABkcnMvZTJvRG9jLnhtbFBLAQItABQABgAIAAAAIQCCUZTX2gAA&#10;AAMBAAAPAAAAAAAAAAAAAAAAAGgEAABkcnMvZG93bnJldi54bWxQSwUGAAAAAAQABADzAAAAbwUA&#10;AAAA&#10;" filled="f" stroked="f">
              <v:textbox style="mso-fit-shape-to-text:t" inset="0,0,0,15pt">
                <w:txbxContent>
                  <w:p w14:paraId="2D069688" w14:textId="70C9A1B7"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5DA3" w14:textId="77777777" w:rsidR="0077777F" w:rsidRPr="00272ECE" w:rsidRDefault="0077777F" w:rsidP="00F02AEC">
      <w:pPr>
        <w:spacing w:after="0" w:line="240" w:lineRule="auto"/>
      </w:pPr>
      <w:r w:rsidRPr="00272ECE">
        <w:separator/>
      </w:r>
    </w:p>
  </w:footnote>
  <w:footnote w:type="continuationSeparator" w:id="0">
    <w:p w14:paraId="4F1A0C7E" w14:textId="77777777" w:rsidR="0077777F" w:rsidRPr="00272ECE" w:rsidRDefault="0077777F" w:rsidP="00F02AEC">
      <w:pPr>
        <w:spacing w:after="0" w:line="240" w:lineRule="auto"/>
      </w:pPr>
      <w:r w:rsidRPr="00272ECE">
        <w:continuationSeparator/>
      </w:r>
    </w:p>
  </w:footnote>
  <w:footnote w:id="1">
    <w:p w14:paraId="68402A9B" w14:textId="42E6F8E0" w:rsidR="007452E8" w:rsidRPr="00272ECE" w:rsidRDefault="007452E8" w:rsidP="00705F36">
      <w:pPr>
        <w:pStyle w:val="FootnoteText"/>
      </w:pPr>
      <w:r w:rsidRPr="00272ECE">
        <w:rPr>
          <w:rStyle w:val="FootnoteReference"/>
        </w:rPr>
        <w:footnoteRef/>
      </w:r>
      <w:r w:rsidRPr="00272ECE">
        <w:t xml:space="preserve"> </w:t>
      </w:r>
      <w:r w:rsidR="00FB236E" w:rsidRPr="00272ECE">
        <w:t xml:space="preserve">This is the original indication proposed by the sponsor when the TGA commenced the evaluation of this submission. It </w:t>
      </w:r>
      <w:r w:rsidRPr="00272ECE">
        <w:t xml:space="preserve">may </w:t>
      </w:r>
      <w:r w:rsidR="00FB236E" w:rsidRPr="00272ECE">
        <w:t>differ</w:t>
      </w:r>
      <w:r w:rsidRPr="00272ECE">
        <w:t xml:space="preserve"> to the final indication approved by th</w:t>
      </w:r>
      <w:r w:rsidR="00FB236E" w:rsidRPr="00272ECE">
        <w:t xml:space="preserve">e TGA and registered </w:t>
      </w:r>
      <w:r w:rsidR="005C4B46" w:rsidRPr="00272ECE">
        <w:t xml:space="preserve">in </w:t>
      </w:r>
      <w:r w:rsidR="00FB236E" w:rsidRPr="00272ECE">
        <w:t>the Australian Register of Therapeutic Goods.</w:t>
      </w:r>
    </w:p>
  </w:footnote>
  <w:footnote w:id="2">
    <w:p w14:paraId="2DFE04BA" w14:textId="61935FF7" w:rsidR="00EE50D3" w:rsidRPr="00272ECE" w:rsidRDefault="00EE50D3" w:rsidP="00705F36">
      <w:pPr>
        <w:pStyle w:val="FootnoteText"/>
      </w:pPr>
      <w:r w:rsidRPr="00272ECE">
        <w:rPr>
          <w:rStyle w:val="FootnoteReference"/>
        </w:rPr>
        <w:footnoteRef/>
      </w:r>
      <w:r w:rsidRPr="00272ECE">
        <w:t xml:space="preserve"> </w:t>
      </w:r>
      <w:proofErr w:type="spellStart"/>
      <w:r w:rsidR="006324E5" w:rsidRPr="00272ECE">
        <w:t>Alaggio</w:t>
      </w:r>
      <w:proofErr w:type="spellEnd"/>
      <w:r w:rsidR="006324E5" w:rsidRPr="00272ECE">
        <w:t xml:space="preserve">, R., et al., </w:t>
      </w:r>
      <w:r w:rsidR="003B41BE" w:rsidRPr="00272ECE">
        <w:t xml:space="preserve">The 5th edition of the World Health Organization Classification of Haematolymphoid Tumours: Lymphoid Neoplasms. Leukemia. 2022 Jul;36(7):1720-1748. </w:t>
      </w:r>
      <w:proofErr w:type="spellStart"/>
      <w:r w:rsidR="003B41BE" w:rsidRPr="00272ECE">
        <w:t>doi</w:t>
      </w:r>
      <w:proofErr w:type="spellEnd"/>
      <w:r w:rsidR="003B41BE" w:rsidRPr="00272ECE">
        <w:t>: 10.1038/</w:t>
      </w:r>
      <w:proofErr w:type="spellStart"/>
      <w:r w:rsidR="003B41BE" w:rsidRPr="00272ECE">
        <w:t>s41375</w:t>
      </w:r>
      <w:proofErr w:type="spellEnd"/>
      <w:r w:rsidR="003B41BE" w:rsidRPr="00272ECE">
        <w:t>-022-01620-2.</w:t>
      </w:r>
    </w:p>
  </w:footnote>
  <w:footnote w:id="3">
    <w:p w14:paraId="67FC11F5" w14:textId="35BAF6FD" w:rsidR="00543DE8" w:rsidRPr="00272ECE" w:rsidRDefault="00543DE8">
      <w:pPr>
        <w:pStyle w:val="FootnoteText"/>
      </w:pPr>
      <w:r w:rsidRPr="00272ECE">
        <w:rPr>
          <w:rStyle w:val="FootnoteReference"/>
        </w:rPr>
        <w:footnoteRef/>
      </w:r>
      <w:r w:rsidRPr="00272ECE">
        <w:t xml:space="preserve"> </w:t>
      </w:r>
      <w:r w:rsidR="00207EED" w:rsidRPr="00272ECE">
        <w:t xml:space="preserve">Chronic </w:t>
      </w:r>
      <w:r w:rsidR="00414589" w:rsidRPr="00272ECE">
        <w:t>lymphocytic leukaemia (CLL) information booklet, Leukaemia Foundation</w:t>
      </w:r>
      <w:r w:rsidR="00B31EE6" w:rsidRPr="00272ECE">
        <w:t>, 27 August 2025, available from:</w:t>
      </w:r>
      <w:r w:rsidR="00B31EE6" w:rsidRPr="00272ECE">
        <w:rPr>
          <w:rFonts w:eastAsiaTheme="minorHAnsi" w:cstheme="minorBidi"/>
          <w:color w:val="auto"/>
          <w:sz w:val="22"/>
        </w:rPr>
        <w:t xml:space="preserve"> </w:t>
      </w:r>
      <w:hyperlink r:id="rId1" w:history="1">
        <w:r w:rsidR="00B31EE6" w:rsidRPr="00272ECE">
          <w:rPr>
            <w:rStyle w:val="Hyperlink"/>
          </w:rPr>
          <w:t>Chronic lymphocytic leukaemia (CLL) information booklet</w:t>
        </w:r>
      </w:hyperlink>
    </w:p>
  </w:footnote>
  <w:footnote w:id="4">
    <w:p w14:paraId="32E7F95E" w14:textId="77777777" w:rsidR="00964E89" w:rsidRPr="00272ECE" w:rsidRDefault="00964E89" w:rsidP="00705F36">
      <w:pPr>
        <w:pStyle w:val="FootnoteText"/>
      </w:pPr>
      <w:r w:rsidRPr="00272ECE">
        <w:rPr>
          <w:rStyle w:val="FootnoteReference"/>
          <w:sz w:val="16"/>
          <w:szCs w:val="16"/>
        </w:rPr>
        <w:footnoteRef/>
      </w:r>
      <w:r w:rsidRPr="00272ECE">
        <w:t xml:space="preserve"> </w:t>
      </w:r>
      <w:r w:rsidRPr="00272ECE">
        <w:rPr>
          <w:shd w:val="clear" w:color="auto" w:fill="FFFFFF"/>
        </w:rPr>
        <w:t>International CLL-IPI Working Group. An international prognostic index for patients with chronic lymphocytic leukaemia (CLL-IPI): a meta-analysis of individual patient data. The Lancet Oncology. 2016 Jun 1;17(6):779-90.</w:t>
      </w:r>
    </w:p>
  </w:footnote>
  <w:footnote w:id="5">
    <w:p w14:paraId="05B5E613" w14:textId="4D445B69" w:rsidR="00432588" w:rsidRPr="00705F36" w:rsidRDefault="00432588" w:rsidP="00705F36">
      <w:pPr>
        <w:pStyle w:val="FootnoteText"/>
      </w:pPr>
      <w:r w:rsidRPr="00272ECE">
        <w:rPr>
          <w:rStyle w:val="FootnoteReference"/>
        </w:rPr>
        <w:footnoteRef/>
      </w:r>
      <w:r w:rsidRPr="00272ECE">
        <w:t xml:space="preserve"> </w:t>
      </w:r>
      <w:proofErr w:type="spellStart"/>
      <w:r w:rsidRPr="00272ECE">
        <w:t>Skånland</w:t>
      </w:r>
      <w:proofErr w:type="spellEnd"/>
      <w:r w:rsidRPr="00272ECE">
        <w:t xml:space="preserve"> SS, Okkenhaug K, Davids MS. PI3K inhibitors in hematology: When one door closes</w:t>
      </w:r>
      <w:r w:rsidR="0021198B">
        <w:t xml:space="preserve">. </w:t>
      </w:r>
      <w:r w:rsidRPr="00272ECE">
        <w:t>Clinical Cancer Research.</w:t>
      </w:r>
      <w:r w:rsidR="00705F36">
        <w:t xml:space="preserve"> </w:t>
      </w:r>
      <w:r w:rsidRPr="00272ECE">
        <w:t>2024 Sep 3;30(17):3667-75.</w:t>
      </w:r>
    </w:p>
  </w:footnote>
  <w:footnote w:id="6">
    <w:p w14:paraId="3E843C12" w14:textId="606E98A9" w:rsidR="009C61CA" w:rsidRPr="00272ECE" w:rsidRDefault="009C61CA" w:rsidP="0021198B">
      <w:pPr>
        <w:pStyle w:val="FootnoteText"/>
      </w:pPr>
      <w:r w:rsidRPr="00272ECE">
        <w:rPr>
          <w:rStyle w:val="FootnoteReference"/>
        </w:rPr>
        <w:footnoteRef/>
      </w:r>
      <w:r w:rsidRPr="00272ECE">
        <w:t xml:space="preserve"> </w:t>
      </w:r>
      <w:r w:rsidR="00CA261F" w:rsidRPr="00272ECE">
        <w:t xml:space="preserve">Eichhorst B., et al., </w:t>
      </w:r>
      <w:r w:rsidR="003E4127" w:rsidRPr="00272ECE">
        <w:t xml:space="preserve">ESMO Clinical Practice Guideline interim update on new targeted therapies in the first line and at relapse of chronic lymphocytic leukaemia, </w:t>
      </w:r>
      <w:r w:rsidR="003E4127" w:rsidRPr="00272ECE">
        <w:rPr>
          <w:i/>
          <w:iCs/>
        </w:rPr>
        <w:t xml:space="preserve">Annals of Oncology, </w:t>
      </w:r>
      <w:r w:rsidR="0054636F" w:rsidRPr="00272ECE">
        <w:t xml:space="preserve">2024; 35:9, </w:t>
      </w:r>
      <w:r w:rsidR="00323C42" w:rsidRPr="00272ECE">
        <w:t xml:space="preserve">762-768. </w:t>
      </w:r>
      <w:r w:rsidR="00326BCD" w:rsidRPr="00272ECE">
        <w:t>doi.org/10.1016/j.annonc.2024.06.016.</w:t>
      </w:r>
    </w:p>
  </w:footnote>
  <w:footnote w:id="7">
    <w:p w14:paraId="5168D107" w14:textId="77777777" w:rsidR="00F52132" w:rsidRPr="00272ECE" w:rsidRDefault="00F52132" w:rsidP="00606401">
      <w:pPr>
        <w:pStyle w:val="FootnoteText"/>
      </w:pPr>
      <w:r w:rsidRPr="00272ECE">
        <w:rPr>
          <w:rStyle w:val="FootnoteReference"/>
          <w:sz w:val="16"/>
          <w:szCs w:val="16"/>
        </w:rPr>
        <w:footnoteRef/>
      </w:r>
      <w:r w:rsidRPr="00272ECE">
        <w:t xml:space="preserve"> FDA. Guidance for industry: population pharmacokinetics. 2022. Available from: </w:t>
      </w:r>
      <w:hyperlink r:id="rId2" w:history="1">
        <w:r w:rsidRPr="00272ECE">
          <w:rPr>
            <w:rStyle w:val="Hyperlink"/>
            <w:rFonts w:cs="CIDFont+F1"/>
            <w:sz w:val="16"/>
            <w:szCs w:val="16"/>
          </w:rPr>
          <w:t>https://www.fda.gov/regulatory-information/search-fda-guidance-documents/populationpharmacokinetics</w:t>
        </w:r>
      </w:hyperlink>
      <w:r w:rsidRPr="00272ECE">
        <w:t xml:space="preserve"> [accessed 03 February 2022].</w:t>
      </w:r>
    </w:p>
  </w:footnote>
  <w:footnote w:id="8">
    <w:p w14:paraId="3E2F8DE4" w14:textId="61BFFE41" w:rsidR="00F52132" w:rsidRPr="00272ECE" w:rsidRDefault="00F52132" w:rsidP="00606401">
      <w:pPr>
        <w:pStyle w:val="FootnoteText"/>
      </w:pPr>
      <w:r w:rsidRPr="00272ECE">
        <w:rPr>
          <w:rStyle w:val="FootnoteReference"/>
          <w:sz w:val="16"/>
          <w:szCs w:val="16"/>
        </w:rPr>
        <w:footnoteRef/>
      </w:r>
      <w:r w:rsidRPr="00272ECE">
        <w:t xml:space="preserve"> EMA. Committee for Medicinal Products for Human Use (CHMP). Guideline on reporting the results of population pharmacokinetic analyses, Doc. Ref. CHMP/EWP/185990/06, London, 21 June 2007: Available from:</w:t>
      </w:r>
      <w:r w:rsidR="00833FFE" w:rsidRPr="00272ECE">
        <w:t xml:space="preserve"> </w:t>
      </w:r>
      <w:hyperlink r:id="rId3" w:history="1">
        <w:r w:rsidRPr="00272ECE">
          <w:rPr>
            <w:rStyle w:val="Hyperlink"/>
            <w:rFonts w:cs="CIDFont+F1"/>
            <w:sz w:val="16"/>
            <w:szCs w:val="16"/>
          </w:rPr>
          <w:t>http://www.ema.europa.eu/docs/en_GB/document_library/Scientific_guideline/2009/09/WC500003067.pdf</w:t>
        </w:r>
      </w:hyperlink>
    </w:p>
  </w:footnote>
  <w:footnote w:id="9">
    <w:p w14:paraId="16B9372D" w14:textId="6ACD5C2B" w:rsidR="00E760B9" w:rsidRPr="00272ECE" w:rsidRDefault="00E760B9" w:rsidP="00606401">
      <w:pPr>
        <w:pStyle w:val="FootnoteText"/>
      </w:pPr>
      <w:r w:rsidRPr="00272ECE">
        <w:rPr>
          <w:rStyle w:val="FootnoteReference"/>
        </w:rPr>
        <w:footnoteRef/>
      </w:r>
      <w:r w:rsidRPr="00272ECE">
        <w:t xml:space="preserve"> </w:t>
      </w:r>
      <w:proofErr w:type="spellStart"/>
      <w:r w:rsidR="00F74484" w:rsidRPr="00272ECE">
        <w:t>Hallek</w:t>
      </w:r>
      <w:proofErr w:type="spellEnd"/>
      <w:r w:rsidR="00F74484" w:rsidRPr="00272ECE">
        <w:t xml:space="preserve"> M., et al., </w:t>
      </w:r>
      <w:proofErr w:type="spellStart"/>
      <w:r w:rsidR="00AB7DC0" w:rsidRPr="00272ECE">
        <w:t>iwCLL</w:t>
      </w:r>
      <w:proofErr w:type="spellEnd"/>
      <w:r w:rsidR="00AB7DC0" w:rsidRPr="00272ECE">
        <w:t xml:space="preserve"> guidelines for diagnosis, indications for treatment, response assessment, and supportive management of CLL. Blood. 2018 Jun 21;131(25):2745-2760. </w:t>
      </w:r>
      <w:proofErr w:type="spellStart"/>
      <w:r w:rsidR="00AB7DC0" w:rsidRPr="00272ECE">
        <w:t>doi</w:t>
      </w:r>
      <w:proofErr w:type="spellEnd"/>
      <w:r w:rsidR="00AB7DC0" w:rsidRPr="00272ECE">
        <w:t>: 10.1182/blood-2017-09-806398.</w:t>
      </w:r>
    </w:p>
  </w:footnote>
  <w:footnote w:id="10">
    <w:p w14:paraId="1DD68519" w14:textId="029BE431" w:rsidR="00FC3C18" w:rsidRPr="00C15851" w:rsidRDefault="00FC3C18" w:rsidP="002C4900">
      <w:pPr>
        <w:pStyle w:val="FootnoteText"/>
        <w:rPr>
          <w:lang w:val="en-US"/>
        </w:rPr>
      </w:pPr>
      <w:r w:rsidRPr="00272ECE">
        <w:rPr>
          <w:rStyle w:val="FootnoteReference"/>
          <w:sz w:val="16"/>
          <w:szCs w:val="16"/>
        </w:rPr>
        <w:footnoteRef/>
      </w:r>
      <w:r w:rsidRPr="00272ECE">
        <w:t xml:space="preserve"> Major bleeding is defined as bleeding having one or more of the following features: life-threatening bleeding with signs or symptoms of hemodynamic compromise; bleeding associated with a decrease in the haemoglobin level of at least 2 g/dL; or</w:t>
      </w:r>
      <w:r w:rsidR="00834EB4" w:rsidRPr="00272ECE">
        <w:t xml:space="preserve"> </w:t>
      </w:r>
      <w:r w:rsidRPr="00272ECE">
        <w:t>bleeding in a critical area or organ (</w:t>
      </w:r>
      <w:r w:rsidR="00834EB4" w:rsidRPr="00272ECE">
        <w:t>for example</w:t>
      </w:r>
      <w:r w:rsidRPr="00272ECE">
        <w:t>, retroperitoneal, intraarticular, pericardial, epidural, or intracranial bleeding or intramuscular bleeding with compartment syndrome).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BF43" w14:textId="4621B79E" w:rsidR="00AA6080" w:rsidRPr="00272ECE" w:rsidRDefault="00AA6080">
    <w:pPr>
      <w:pStyle w:val="Header"/>
    </w:pPr>
    <w:r w:rsidRPr="00272ECE">
      <w:rPr>
        <w:noProof/>
      </w:rPr>
      <mc:AlternateContent>
        <mc:Choice Requires="wps">
          <w:drawing>
            <wp:anchor distT="0" distB="0" distL="0" distR="0" simplePos="0" relativeHeight="251658242" behindDoc="0" locked="0" layoutInCell="1" allowOverlap="1" wp14:anchorId="168E078F" wp14:editId="3777CC4B">
              <wp:simplePos x="635" y="635"/>
              <wp:positionH relativeFrom="page">
                <wp:align>center</wp:align>
              </wp:positionH>
              <wp:positionV relativeFrom="page">
                <wp:align>top</wp:align>
              </wp:positionV>
              <wp:extent cx="622300" cy="391160"/>
              <wp:effectExtent l="0" t="0" r="6350" b="8890"/>
              <wp:wrapNone/>
              <wp:docPr id="16264529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242D30" w14:textId="21E668B3"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8E078F"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7242D30" w14:textId="21E668B3"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37A3B326" w:rsidR="007452E8" w:rsidRPr="00272ECE" w:rsidRDefault="00AA6080" w:rsidP="00CB0550">
    <w:pPr>
      <w:pStyle w:val="Header"/>
      <w:jc w:val="left"/>
    </w:pPr>
    <w:r w:rsidRPr="00272ECE">
      <w:rPr>
        <w:noProof/>
      </w:rPr>
      <mc:AlternateContent>
        <mc:Choice Requires="wps">
          <w:drawing>
            <wp:anchor distT="0" distB="0" distL="0" distR="0" simplePos="0" relativeHeight="251658243" behindDoc="0" locked="0" layoutInCell="1" allowOverlap="1" wp14:anchorId="1E1C9365" wp14:editId="2AEDCC7B">
              <wp:simplePos x="635" y="635"/>
              <wp:positionH relativeFrom="page">
                <wp:align>center</wp:align>
              </wp:positionH>
              <wp:positionV relativeFrom="page">
                <wp:align>top</wp:align>
              </wp:positionV>
              <wp:extent cx="622300" cy="391160"/>
              <wp:effectExtent l="0" t="0" r="6350" b="8890"/>
              <wp:wrapNone/>
              <wp:docPr id="8699839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A4722D9" w14:textId="1610D419"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1C9365"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A4722D9" w14:textId="1610D419"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72ECE" w14:paraId="3E15C3BC" w14:textId="77777777" w:rsidTr="007452E8">
      <w:trPr>
        <w:trHeight w:hRule="exact" w:val="8845"/>
      </w:trPr>
      <w:tc>
        <w:tcPr>
          <w:tcW w:w="11964" w:type="dxa"/>
          <w:vAlign w:val="center"/>
        </w:tcPr>
        <w:p w14:paraId="6FDE4BFB" w14:textId="1A1F69EB" w:rsidR="007452E8" w:rsidRPr="00272ECE" w:rsidRDefault="00AA6080" w:rsidP="007452E8">
          <w:pPr>
            <w:ind w:left="-57"/>
          </w:pPr>
          <w:r w:rsidRPr="00272ECE">
            <w:rPr>
              <w:noProof/>
            </w:rPr>
            <mc:AlternateContent>
              <mc:Choice Requires="wps">
                <w:drawing>
                  <wp:anchor distT="0" distB="0" distL="0" distR="0" simplePos="0" relativeHeight="251658241" behindDoc="0" locked="0" layoutInCell="1" allowOverlap="1" wp14:anchorId="422F140B" wp14:editId="490F3E2F">
                    <wp:simplePos x="635" y="635"/>
                    <wp:positionH relativeFrom="page">
                      <wp:align>center</wp:align>
                    </wp:positionH>
                    <wp:positionV relativeFrom="page">
                      <wp:align>top</wp:align>
                    </wp:positionV>
                    <wp:extent cx="622300" cy="391160"/>
                    <wp:effectExtent l="0" t="0" r="6350" b="8890"/>
                    <wp:wrapNone/>
                    <wp:docPr id="12206007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A069E31" w14:textId="4AEFAA85"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F140B"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5A069E31" w14:textId="4AEFAA85"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sdt>
            <w:sdtPr>
              <w:id w:val="1926993388"/>
              <w:showingPlcHdr/>
              <w:picture/>
            </w:sdtPr>
            <w:sdtEndPr/>
            <w:sdtContent>
              <w:r w:rsidR="007452E8" w:rsidRPr="00272ECE">
                <w:rPr>
                  <w:noProof/>
                  <w:lang w:eastAsia="en-GB"/>
                </w:rPr>
                <w:drawing>
                  <wp:inline distT="0" distB="0" distL="0" distR="0" wp14:anchorId="5C7F8AC9" wp14:editId="504A252C">
                    <wp:extent cx="7631430" cy="5749188"/>
                    <wp:effectExtent l="0" t="0" r="762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6074" cy="5752686"/>
                            </a:xfrm>
                            <a:prstGeom prst="rect">
                              <a:avLst/>
                            </a:prstGeom>
                            <a:noFill/>
                            <a:ln w="9525">
                              <a:noFill/>
                              <a:miter lim="800000"/>
                              <a:headEnd/>
                              <a:tailEnd/>
                            </a:ln>
                          </pic:spPr>
                        </pic:pic>
                      </a:graphicData>
                    </a:graphic>
                  </wp:inline>
                </w:drawing>
              </w:r>
            </w:sdtContent>
          </w:sdt>
        </w:p>
      </w:tc>
    </w:tr>
  </w:tbl>
  <w:p w14:paraId="6402DE55" w14:textId="38802056" w:rsidR="007452E8" w:rsidRPr="00272ECE" w:rsidRDefault="0006693A" w:rsidP="007452E8">
    <w:r w:rsidRPr="00272ECE">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72ECE">
      <w:rPr>
        <w:noProof/>
        <w:lang w:eastAsia="en-GB"/>
      </w:rPr>
      <w:drawing>
        <wp:anchor distT="0" distB="0" distL="114300" distR="114300" simplePos="0" relativeHeight="251658240"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32B51097" w:rsidR="007452E8" w:rsidRPr="00272ECE" w:rsidRDefault="007452E8" w:rsidP="007452E8">
    <w:pPr>
      <w:pStyle w:val="Header"/>
    </w:pPr>
    <w:r w:rsidRPr="00272ECE">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47193F49" w:rsidR="007452E8" w:rsidRPr="00272ECE" w:rsidRDefault="00AA6080" w:rsidP="007452E8">
    <w:pPr>
      <w:pStyle w:val="Headernoline"/>
    </w:pPr>
    <w:r w:rsidRPr="00272ECE">
      <w:rPr>
        <w:noProof/>
      </w:rPr>
      <mc:AlternateContent>
        <mc:Choice Requires="wps">
          <w:drawing>
            <wp:anchor distT="0" distB="0" distL="0" distR="0" simplePos="0" relativeHeight="251658245" behindDoc="0" locked="0" layoutInCell="1" allowOverlap="1" wp14:anchorId="2E9DBE25" wp14:editId="6C92E7E4">
              <wp:simplePos x="635" y="635"/>
              <wp:positionH relativeFrom="page">
                <wp:align>center</wp:align>
              </wp:positionH>
              <wp:positionV relativeFrom="page">
                <wp:align>top</wp:align>
              </wp:positionV>
              <wp:extent cx="622300" cy="391160"/>
              <wp:effectExtent l="0" t="0" r="6350" b="8890"/>
              <wp:wrapNone/>
              <wp:docPr id="916022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44BABE5" w14:textId="660E2D68"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DBE25" id="_x0000_t202" coordsize="21600,21600" o:spt="202" path="m,l,21600r21600,l21600,xe">
              <v:stroke joinstyle="miter"/>
              <v:path gradientshapeok="t" o:connecttype="rect"/>
            </v:shapetype>
            <v:shape id="Text Box 5" o:spid="_x0000_s1032" type="#_x0000_t202" alt="OFFICIAL" style="position:absolute;left:0;text-align:left;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wR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vTIOP0W6iPtJSHE9/ByVVLrdci4LPwRDBNS6LF&#10;Jzq0gb7icLY4a8D//Js/5hPuFOWsJ8FU3JKiOTPfLfERtZWM4jb/HMHwo3s7Gnbf3QPJsKAX4WQy&#10;Yx6a0dQeuleS8zI2opCwktpVHEfzHk/Kpecg1XKZkkhGTuDabpyMpSNcEcuX4VV4dwYcialHGNUk&#10;yne4n3LjzeCWeyT0EykR2hOQZ8RJgomr83OJGn/7n7Kuj3rxCw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JA2bBEMAgAAHAQAAA4A&#10;AAAAAAAAAAAAAAAALgIAAGRycy9lMm9Eb2MueG1sUEsBAi0AFAAGAAgAAAAhAGGiSGjYAAAAAwEA&#10;AA8AAAAAAAAAAAAAAAAAZgQAAGRycy9kb3ducmV2LnhtbFBLBQYAAAAABAAEAPMAAABrBQAAAAA=&#10;" filled="f" stroked="f">
              <v:textbox style="mso-fit-shape-to-text:t" inset="0,15pt,0,0">
                <w:txbxContent>
                  <w:p w14:paraId="044BABE5" w14:textId="660E2D68" w:rsidR="00AA6080" w:rsidRPr="00272ECE" w:rsidRDefault="00AA6080" w:rsidP="00AA6080">
                    <w:pPr>
                      <w:spacing w:after="0"/>
                      <w:rPr>
                        <w:rFonts w:ascii="Aptos" w:eastAsia="Aptos" w:hAnsi="Aptos" w:cs="Aptos"/>
                        <w:color w:val="FF0000"/>
                        <w:sz w:val="24"/>
                        <w:szCs w:val="24"/>
                      </w:rPr>
                    </w:pPr>
                    <w:r w:rsidRPr="00272ECE">
                      <w:rPr>
                        <w:rFonts w:ascii="Aptos" w:eastAsia="Aptos" w:hAnsi="Aptos" w:cs="Aptos"/>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80AD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C0F0E"/>
    <w:multiLevelType w:val="hybridMultilevel"/>
    <w:tmpl w:val="8856C094"/>
    <w:lvl w:ilvl="0" w:tplc="D18CA62C">
      <w:start w:val="2024"/>
      <w:numFmt w:val="bullet"/>
      <w:lvlText w:val="-"/>
      <w:lvlJc w:val="left"/>
      <w:pPr>
        <w:ind w:left="720" w:hanging="360"/>
      </w:pPr>
      <w:rPr>
        <w:rFonts w:ascii="Cambria" w:eastAsia="Cambria"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9108CD"/>
    <w:multiLevelType w:val="hybridMultilevel"/>
    <w:tmpl w:val="9C480DD0"/>
    <w:lvl w:ilvl="0" w:tplc="5928DC5E">
      <w:start w:val="1"/>
      <w:numFmt w:val="bullet"/>
      <w:pStyle w:val="Bulletlis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64328C"/>
    <w:multiLevelType w:val="hybridMultilevel"/>
    <w:tmpl w:val="32BCC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5"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6"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7"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9"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0"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11" w15:restartNumberingAfterBreak="0">
    <w:nsid w:val="4A79DD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3"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14"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8E629DD"/>
    <w:multiLevelType w:val="hybridMultilevel"/>
    <w:tmpl w:val="BAF26D3C"/>
    <w:lvl w:ilvl="0" w:tplc="9F147222">
      <w:numFmt w:val="bullet"/>
      <w:lvlText w:val="*"/>
      <w:lvlJc w:val="left"/>
      <w:pPr>
        <w:ind w:left="360" w:hanging="360"/>
      </w:pPr>
      <w:rPr>
        <w:rFonts w:ascii="Cambria" w:eastAsia="Times New Roman" w:hAnsi="Cambria" w:cs="Times New Roman"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17" w15:restartNumberingAfterBreak="0">
    <w:nsid w:val="63615A4E"/>
    <w:multiLevelType w:val="hybridMultilevel"/>
    <w:tmpl w:val="B882F016"/>
    <w:lvl w:ilvl="0" w:tplc="94589DE4">
      <w:start w:val="20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abstractNum w:abstractNumId="19" w15:restartNumberingAfterBreak="0">
    <w:nsid w:val="7AC36DFC"/>
    <w:multiLevelType w:val="hybridMultilevel"/>
    <w:tmpl w:val="19285F98"/>
    <w:lvl w:ilvl="0" w:tplc="9E3E16B8">
      <w:start w:val="1"/>
      <w:numFmt w:val="bullet"/>
      <w:lvlText w:val="-"/>
      <w:lvlJc w:val="left"/>
      <w:pPr>
        <w:ind w:left="720" w:hanging="360"/>
      </w:pPr>
      <w:rPr>
        <w:rFonts w:ascii="Cambria" w:eastAsia="Cambria" w:hAnsi="Cambri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2997172">
    <w:abstractNumId w:val="7"/>
  </w:num>
  <w:num w:numId="2" w16cid:durableId="1856573705">
    <w:abstractNumId w:val="4"/>
  </w:num>
  <w:num w:numId="3" w16cid:durableId="357703499">
    <w:abstractNumId w:val="6"/>
  </w:num>
  <w:num w:numId="4" w16cid:durableId="1869176708">
    <w:abstractNumId w:val="14"/>
  </w:num>
  <w:num w:numId="5" w16cid:durableId="1652950129">
    <w:abstractNumId w:val="9"/>
  </w:num>
  <w:num w:numId="6" w16cid:durableId="1053193207">
    <w:abstractNumId w:val="12"/>
  </w:num>
  <w:num w:numId="7" w16cid:durableId="201135927">
    <w:abstractNumId w:val="4"/>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13"/>
  </w:num>
  <w:num w:numId="9" w16cid:durableId="173421270">
    <w:abstractNumId w:val="5"/>
  </w:num>
  <w:num w:numId="10" w16cid:durableId="2108043357">
    <w:abstractNumId w:val="8"/>
  </w:num>
  <w:num w:numId="11" w16cid:durableId="1725904230">
    <w:abstractNumId w:val="10"/>
  </w:num>
  <w:num w:numId="12" w16cid:durableId="141579354">
    <w:abstractNumId w:val="16"/>
  </w:num>
  <w:num w:numId="13" w16cid:durableId="283735081">
    <w:abstractNumId w:val="18"/>
  </w:num>
  <w:num w:numId="14" w16cid:durableId="2063211950">
    <w:abstractNumId w:val="1"/>
  </w:num>
  <w:num w:numId="15" w16cid:durableId="280890836">
    <w:abstractNumId w:val="19"/>
  </w:num>
  <w:num w:numId="16" w16cid:durableId="67729834">
    <w:abstractNumId w:val="11"/>
  </w:num>
  <w:num w:numId="17" w16cid:durableId="1501391125">
    <w:abstractNumId w:val="0"/>
  </w:num>
  <w:num w:numId="18" w16cid:durableId="562183016">
    <w:abstractNumId w:val="17"/>
  </w:num>
  <w:num w:numId="19" w16cid:durableId="466513296">
    <w:abstractNumId w:val="3"/>
  </w:num>
  <w:num w:numId="20" w16cid:durableId="178393912">
    <w:abstractNumId w:val="2"/>
  </w:num>
  <w:num w:numId="21" w16cid:durableId="10331901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03bd16-fdc7-486a-aa1d-1163f4ccebcb" w:val=" "/>
    <w:docVar w:name="vault_nd_011419fb-3239-4730-8d81-b2d2b0d035ac" w:val=" "/>
    <w:docVar w:name="vault_nd_035c3859-3da2-4bd9-aae9-66f459af0395" w:val=" "/>
    <w:docVar w:name="vault_nd_0c0ea6a1-3471-493f-913c-143b6fc379a3" w:val=" "/>
    <w:docVar w:name="vault_nd_0f1f1775-c06c-495f-a2ef-7be477d3b331" w:val=" "/>
    <w:docVar w:name="vault_nd_10b11819-ccf1-4ed1-96bd-8209c04166d5" w:val=" "/>
    <w:docVar w:name="vault_nd_12a823d9-1a4a-45bb-8d85-6906b07044cb" w:val=" "/>
    <w:docVar w:name="vault_nd_130b5fcc-172c-47aa-b4df-4866f51c0736" w:val=" "/>
    <w:docVar w:name="vault_nd_13bc7a3b-cba7-4ca7-af95-18ac3eb4828d" w:val=" "/>
    <w:docVar w:name="vault_nd_151999bb-4edf-469e-9a43-8808d126f143" w:val=" "/>
    <w:docVar w:name="vault_nd_264d2f56-cb1c-43df-a9ac-0e23e2b93c0f" w:val=" "/>
    <w:docVar w:name="vault_nd_2b8ef144-a8f0-4a0a-b082-498a0fcb0acc" w:val=" "/>
    <w:docVar w:name="vault_nd_36926736-cf9c-4e4c-a5a4-b54d654af2e3" w:val=" "/>
    <w:docVar w:name="vault_nd_3858f01c-112a-4e72-bc41-c8a6b0b27153" w:val=" "/>
    <w:docVar w:name="vault_nd_429f0003-a78f-4f67-82d0-9981b6cff056" w:val=" "/>
    <w:docVar w:name="vault_nd_42c8f2dd-fe65-4db1-bb3e-0efb1e78e031" w:val=" "/>
    <w:docVar w:name="vault_nd_431511a4-e3d4-42bd-b3fa-947f0d1c84ab" w:val=" "/>
    <w:docVar w:name="vault_nd_4339bbf2-31b3-499b-8f16-e7bb0b1ebe48" w:val=" "/>
    <w:docVar w:name="vault_nd_46e88253-d5da-40bf-83dc-d63cefe652bf" w:val=" "/>
    <w:docVar w:name="vault_nd_482843be-12ef-4265-93bd-38fd3b1e8b7c" w:val=" "/>
    <w:docVar w:name="vault_nd_4ba6306c-e58d-498d-80ec-74691d465183" w:val=" "/>
    <w:docVar w:name="vault_nd_530b09e6-20a6-44cb-bf31-d79dc5b02165" w:val=" "/>
    <w:docVar w:name="vault_nd_5e4fcecc-48b6-4bb2-b235-ad301e028fd6" w:val=" "/>
    <w:docVar w:name="vault_nd_5f7d0b25-085b-43aa-b920-b9794efecd1b" w:val=" "/>
    <w:docVar w:name="vault_nd_60bc0a39-5630-4c75-8d04-d8e263bdc62f" w:val=" "/>
    <w:docVar w:name="vault_nd_61b01ce7-9b13-47b7-a0e0-f8016de1b388" w:val=" "/>
    <w:docVar w:name="vault_nd_62de5a19-4532-4b8d-9ef3-11a92373a270" w:val=" "/>
    <w:docVar w:name="vault_nd_64833e67-d6e6-43df-88fc-6eea5c94f552" w:val=" "/>
    <w:docVar w:name="vault_nd_676abca3-62a8-4176-bcc7-971073d02f09" w:val=" "/>
    <w:docVar w:name="vault_nd_69b233f9-e343-4733-ab03-49f64560280a" w:val=" "/>
    <w:docVar w:name="vault_nd_6b661309-6999-4e7f-8239-74cbe6e0b989" w:val=" "/>
    <w:docVar w:name="vault_nd_6f7b89b5-fc49-467b-aff4-df8e47fb4744" w:val=" "/>
    <w:docVar w:name="vault_nd_6fb2c8e0-8b5e-46fe-88b2-cd6662f5a4fa" w:val=" "/>
    <w:docVar w:name="vault_nd_7413bff9-db42-4084-8baa-5c7a84ee5fd1" w:val=" "/>
    <w:docVar w:name="vault_nd_784df95f-e36d-4fda-b633-a0c6bca73346" w:val=" "/>
    <w:docVar w:name="vault_nd_79061ffc-ecc5-4635-8a06-e529510e3f07" w:val=" "/>
    <w:docVar w:name="vault_nd_8454c159-8b86-4b1c-9b0a-7ecc4c612d6b" w:val=" "/>
    <w:docVar w:name="vault_nd_863e3a40-cb02-4b03-9cea-b54a819b4647" w:val=" "/>
    <w:docVar w:name="vault_nd_8b7cb56d-a595-4b32-9fe5-817dbe423e83" w:val=" "/>
    <w:docVar w:name="vault_nd_90960c93-1763-4d2e-90a6-322395c368ba" w:val=" "/>
    <w:docVar w:name="vault_nd_916f7e08-6176-4986-89d7-f16436870235" w:val=" "/>
    <w:docVar w:name="vault_nd_973d03b8-5dc4-4833-ad84-330f2d04fa80" w:val=" "/>
    <w:docVar w:name="vault_nd_a02b5100-0a13-48b3-91e3-a7c6e9ce9103" w:val=" "/>
    <w:docVar w:name="vault_nd_a0cdfd4e-86fb-4a3c-b00b-dbe76d493e77" w:val=" "/>
    <w:docVar w:name="vault_nd_a580594d-a246-43f8-9d79-87ae2bc9ec13" w:val=" "/>
    <w:docVar w:name="vault_nd_a775304d-117c-4f17-becd-b1c6a8d38a86" w:val=" "/>
    <w:docVar w:name="vault_nd_a794d777-02ff-4c03-84f1-b16eadbb542c" w:val=" "/>
    <w:docVar w:name="vault_nd_a79be9ed-fa8f-4faf-b2a7-634b9f063c77" w:val=" "/>
    <w:docVar w:name="vault_nd_a84d7392-9cd9-4656-af25-70da379afdbb" w:val=" "/>
    <w:docVar w:name="vault_nd_ab0b38fb-2c1d-4b1e-9874-650d38ceb01f" w:val=" "/>
    <w:docVar w:name="vault_nd_ad2736ae-7b9e-4c80-87c5-2e770758a6a3" w:val=" "/>
    <w:docVar w:name="vault_nd_b8c5b789-34d3-4a26-9aa3-50e3b9ea8746" w:val=" "/>
    <w:docVar w:name="vault_nd_b942179f-7c4e-42dd-b614-b67bcdf05b21" w:val=" "/>
    <w:docVar w:name="vault_nd_c347ab02-e5a7-44d0-91cc-b6bf490526c0" w:val=" "/>
    <w:docVar w:name="vault_nd_c3ad4952-d671-4c64-9c9e-80bdaa59235c" w:val=" "/>
    <w:docVar w:name="vault_nd_cb7d665c-cf43-4427-88e1-cd09e3a6724d" w:val=" "/>
    <w:docVar w:name="vault_nd_d1aa56ff-6518-4b71-bf3d-a27e664a63ad" w:val=" "/>
    <w:docVar w:name="vault_nd_d50f714c-88b8-4a80-84c1-f8a22961ae0a" w:val=" "/>
    <w:docVar w:name="vault_nd_d73003d7-4751-45a7-8c4d-d39571c6e9bf" w:val=" "/>
    <w:docVar w:name="vault_nd_db85f774-8a12-45fb-978b-be9767bc332e" w:val=" "/>
    <w:docVar w:name="vault_nd_e12389ab-862e-4be1-9b40-5e6299c74148" w:val=" "/>
    <w:docVar w:name="vault_nd_e241635b-c77f-479c-91f8-07966aa90e4c" w:val=" "/>
    <w:docVar w:name="vault_nd_e338eab8-c138-4cde-b8c6-bd286e66ed7a" w:val=" "/>
    <w:docVar w:name="vault_nd_e666ab2f-dc53-4e4d-816f-4065095a7aad" w:val=" "/>
    <w:docVar w:name="vault_nd_e8abfac1-6952-40e7-9721-28d1aaf316ae" w:val=" "/>
    <w:docVar w:name="vault_nd_f6f4e0f3-c850-4f63-bebe-9719bf80e70d" w:val=" "/>
    <w:docVar w:name="vault_nd_f8022ea9-48a1-419f-8c20-20f980f66bc8" w:val=" "/>
    <w:docVar w:name="vault_nd_fd849c0b-e9bc-4823-aeae-0039fcc0a197" w:val=" "/>
    <w:docVar w:name="vault_nd_fda7c2ea-2e7b-4a20-b09c-f07562dfac16" w:val=" "/>
  </w:docVars>
  <w:rsids>
    <w:rsidRoot w:val="00346EC2"/>
    <w:rsid w:val="00000E6E"/>
    <w:rsid w:val="00001EB1"/>
    <w:rsid w:val="00004431"/>
    <w:rsid w:val="00005062"/>
    <w:rsid w:val="00005DFC"/>
    <w:rsid w:val="00006100"/>
    <w:rsid w:val="000105AC"/>
    <w:rsid w:val="0001064C"/>
    <w:rsid w:val="00010E68"/>
    <w:rsid w:val="00011112"/>
    <w:rsid w:val="00011AAF"/>
    <w:rsid w:val="00012763"/>
    <w:rsid w:val="00012F1C"/>
    <w:rsid w:val="0001384A"/>
    <w:rsid w:val="00013D11"/>
    <w:rsid w:val="00014730"/>
    <w:rsid w:val="00015427"/>
    <w:rsid w:val="00015853"/>
    <w:rsid w:val="000201C4"/>
    <w:rsid w:val="00021C13"/>
    <w:rsid w:val="00024E34"/>
    <w:rsid w:val="00025E47"/>
    <w:rsid w:val="00025F97"/>
    <w:rsid w:val="0002755A"/>
    <w:rsid w:val="00027611"/>
    <w:rsid w:val="00030705"/>
    <w:rsid w:val="00032655"/>
    <w:rsid w:val="00032A0F"/>
    <w:rsid w:val="00033197"/>
    <w:rsid w:val="00033B08"/>
    <w:rsid w:val="0003613E"/>
    <w:rsid w:val="00040D8D"/>
    <w:rsid w:val="00042C59"/>
    <w:rsid w:val="0004362C"/>
    <w:rsid w:val="00044EDD"/>
    <w:rsid w:val="00046423"/>
    <w:rsid w:val="00047555"/>
    <w:rsid w:val="000477F5"/>
    <w:rsid w:val="0005067C"/>
    <w:rsid w:val="0005224F"/>
    <w:rsid w:val="00055746"/>
    <w:rsid w:val="00056AED"/>
    <w:rsid w:val="0006104E"/>
    <w:rsid w:val="00063D65"/>
    <w:rsid w:val="00063E00"/>
    <w:rsid w:val="000640BD"/>
    <w:rsid w:val="000643E9"/>
    <w:rsid w:val="0006484D"/>
    <w:rsid w:val="00065839"/>
    <w:rsid w:val="00065FDF"/>
    <w:rsid w:val="0006693A"/>
    <w:rsid w:val="0007027C"/>
    <w:rsid w:val="0007045D"/>
    <w:rsid w:val="000707B0"/>
    <w:rsid w:val="000713A8"/>
    <w:rsid w:val="0007211B"/>
    <w:rsid w:val="00072A27"/>
    <w:rsid w:val="00072A5C"/>
    <w:rsid w:val="00073BA3"/>
    <w:rsid w:val="000748B5"/>
    <w:rsid w:val="0007577C"/>
    <w:rsid w:val="00077221"/>
    <w:rsid w:val="00077844"/>
    <w:rsid w:val="00077990"/>
    <w:rsid w:val="000804C2"/>
    <w:rsid w:val="00080C8B"/>
    <w:rsid w:val="000813A8"/>
    <w:rsid w:val="00083763"/>
    <w:rsid w:val="000837CA"/>
    <w:rsid w:val="00083A35"/>
    <w:rsid w:val="00083DE8"/>
    <w:rsid w:val="00087CC7"/>
    <w:rsid w:val="00090510"/>
    <w:rsid w:val="00091365"/>
    <w:rsid w:val="0009150D"/>
    <w:rsid w:val="000916C9"/>
    <w:rsid w:val="000917AE"/>
    <w:rsid w:val="000929B9"/>
    <w:rsid w:val="000929E5"/>
    <w:rsid w:val="000943CD"/>
    <w:rsid w:val="000945D2"/>
    <w:rsid w:val="00094B81"/>
    <w:rsid w:val="00095545"/>
    <w:rsid w:val="00095C6A"/>
    <w:rsid w:val="0009625A"/>
    <w:rsid w:val="00096350"/>
    <w:rsid w:val="00096634"/>
    <w:rsid w:val="000975AA"/>
    <w:rsid w:val="000A3480"/>
    <w:rsid w:val="000A5C59"/>
    <w:rsid w:val="000A6838"/>
    <w:rsid w:val="000B01CA"/>
    <w:rsid w:val="000B3F3D"/>
    <w:rsid w:val="000B5A92"/>
    <w:rsid w:val="000B6B15"/>
    <w:rsid w:val="000B74F5"/>
    <w:rsid w:val="000C04CA"/>
    <w:rsid w:val="000C0DBF"/>
    <w:rsid w:val="000C25A7"/>
    <w:rsid w:val="000C3DB1"/>
    <w:rsid w:val="000C51CE"/>
    <w:rsid w:val="000C66B4"/>
    <w:rsid w:val="000C7038"/>
    <w:rsid w:val="000D22AE"/>
    <w:rsid w:val="000D3506"/>
    <w:rsid w:val="000D58CD"/>
    <w:rsid w:val="000D78EC"/>
    <w:rsid w:val="000D7934"/>
    <w:rsid w:val="000E030E"/>
    <w:rsid w:val="000E0812"/>
    <w:rsid w:val="000E0FB5"/>
    <w:rsid w:val="000E2434"/>
    <w:rsid w:val="000E2597"/>
    <w:rsid w:val="000E504E"/>
    <w:rsid w:val="000E5929"/>
    <w:rsid w:val="000E6746"/>
    <w:rsid w:val="000F284D"/>
    <w:rsid w:val="000F2B02"/>
    <w:rsid w:val="000F3797"/>
    <w:rsid w:val="000F6C2B"/>
    <w:rsid w:val="000F7B51"/>
    <w:rsid w:val="00100308"/>
    <w:rsid w:val="00101BEE"/>
    <w:rsid w:val="00101CE6"/>
    <w:rsid w:val="00101FB1"/>
    <w:rsid w:val="00105270"/>
    <w:rsid w:val="0010558A"/>
    <w:rsid w:val="00105990"/>
    <w:rsid w:val="00106773"/>
    <w:rsid w:val="001101FF"/>
    <w:rsid w:val="00111989"/>
    <w:rsid w:val="00112D2D"/>
    <w:rsid w:val="00113AEB"/>
    <w:rsid w:val="00113F9F"/>
    <w:rsid w:val="00114025"/>
    <w:rsid w:val="00116404"/>
    <w:rsid w:val="001201FC"/>
    <w:rsid w:val="00122EB7"/>
    <w:rsid w:val="0012473C"/>
    <w:rsid w:val="00124754"/>
    <w:rsid w:val="001248DE"/>
    <w:rsid w:val="00127A74"/>
    <w:rsid w:val="0013132F"/>
    <w:rsid w:val="00131B1B"/>
    <w:rsid w:val="0013306D"/>
    <w:rsid w:val="001341CA"/>
    <w:rsid w:val="0013528C"/>
    <w:rsid w:val="001442A2"/>
    <w:rsid w:val="001446F7"/>
    <w:rsid w:val="00144B4A"/>
    <w:rsid w:val="00145CFD"/>
    <w:rsid w:val="001468CA"/>
    <w:rsid w:val="001500A8"/>
    <w:rsid w:val="00150AA3"/>
    <w:rsid w:val="00151D59"/>
    <w:rsid w:val="0015251F"/>
    <w:rsid w:val="00153EDE"/>
    <w:rsid w:val="00154F92"/>
    <w:rsid w:val="001557CC"/>
    <w:rsid w:val="00155D85"/>
    <w:rsid w:val="00156E71"/>
    <w:rsid w:val="001570F5"/>
    <w:rsid w:val="001573D2"/>
    <w:rsid w:val="00157EEC"/>
    <w:rsid w:val="001605A7"/>
    <w:rsid w:val="00162CB3"/>
    <w:rsid w:val="001644C5"/>
    <w:rsid w:val="00164B03"/>
    <w:rsid w:val="00165D28"/>
    <w:rsid w:val="00165D88"/>
    <w:rsid w:val="0017005C"/>
    <w:rsid w:val="001736CA"/>
    <w:rsid w:val="00173E66"/>
    <w:rsid w:val="001742C5"/>
    <w:rsid w:val="00174AE9"/>
    <w:rsid w:val="00174CA1"/>
    <w:rsid w:val="00175CD8"/>
    <w:rsid w:val="00180D17"/>
    <w:rsid w:val="0018113D"/>
    <w:rsid w:val="00181C01"/>
    <w:rsid w:val="00182BD8"/>
    <w:rsid w:val="00184181"/>
    <w:rsid w:val="00184314"/>
    <w:rsid w:val="00184466"/>
    <w:rsid w:val="00187BC8"/>
    <w:rsid w:val="00190853"/>
    <w:rsid w:val="0019094A"/>
    <w:rsid w:val="00191D8B"/>
    <w:rsid w:val="0019429F"/>
    <w:rsid w:val="00194CF1"/>
    <w:rsid w:val="001A3A3D"/>
    <w:rsid w:val="001A746D"/>
    <w:rsid w:val="001A76F9"/>
    <w:rsid w:val="001B0640"/>
    <w:rsid w:val="001B06FF"/>
    <w:rsid w:val="001B1703"/>
    <w:rsid w:val="001B7FF7"/>
    <w:rsid w:val="001C1C2E"/>
    <w:rsid w:val="001C2688"/>
    <w:rsid w:val="001C31A1"/>
    <w:rsid w:val="001C3FA2"/>
    <w:rsid w:val="001C432A"/>
    <w:rsid w:val="001C5EE2"/>
    <w:rsid w:val="001D0077"/>
    <w:rsid w:val="001D0613"/>
    <w:rsid w:val="001D07C6"/>
    <w:rsid w:val="001D2AFE"/>
    <w:rsid w:val="001D4A41"/>
    <w:rsid w:val="001E407B"/>
    <w:rsid w:val="001E58AD"/>
    <w:rsid w:val="001E7DEF"/>
    <w:rsid w:val="001E7FC6"/>
    <w:rsid w:val="001F1536"/>
    <w:rsid w:val="001F1B6A"/>
    <w:rsid w:val="001F2412"/>
    <w:rsid w:val="001F2502"/>
    <w:rsid w:val="001F31A4"/>
    <w:rsid w:val="001F410C"/>
    <w:rsid w:val="001F70A5"/>
    <w:rsid w:val="001F7ABD"/>
    <w:rsid w:val="001F7E95"/>
    <w:rsid w:val="002007F1"/>
    <w:rsid w:val="00201401"/>
    <w:rsid w:val="0020197B"/>
    <w:rsid w:val="0020235D"/>
    <w:rsid w:val="0020369B"/>
    <w:rsid w:val="00203EB6"/>
    <w:rsid w:val="00207B4D"/>
    <w:rsid w:val="00207EED"/>
    <w:rsid w:val="00210B5A"/>
    <w:rsid w:val="00210F9B"/>
    <w:rsid w:val="002117B1"/>
    <w:rsid w:val="0021198B"/>
    <w:rsid w:val="0021231D"/>
    <w:rsid w:val="002127F4"/>
    <w:rsid w:val="00213303"/>
    <w:rsid w:val="0021441B"/>
    <w:rsid w:val="002145BD"/>
    <w:rsid w:val="00216654"/>
    <w:rsid w:val="00216A49"/>
    <w:rsid w:val="00217CCE"/>
    <w:rsid w:val="002203B1"/>
    <w:rsid w:val="0022120A"/>
    <w:rsid w:val="0022256B"/>
    <w:rsid w:val="002226F2"/>
    <w:rsid w:val="002229E3"/>
    <w:rsid w:val="00223695"/>
    <w:rsid w:val="00224839"/>
    <w:rsid w:val="00226F39"/>
    <w:rsid w:val="002273B1"/>
    <w:rsid w:val="00230054"/>
    <w:rsid w:val="00230F32"/>
    <w:rsid w:val="00232D85"/>
    <w:rsid w:val="002334AD"/>
    <w:rsid w:val="00233948"/>
    <w:rsid w:val="00234179"/>
    <w:rsid w:val="00236487"/>
    <w:rsid w:val="00237FD2"/>
    <w:rsid w:val="00241B60"/>
    <w:rsid w:val="0024282B"/>
    <w:rsid w:val="00243615"/>
    <w:rsid w:val="00246BEE"/>
    <w:rsid w:val="00250A17"/>
    <w:rsid w:val="00250AAC"/>
    <w:rsid w:val="002514AA"/>
    <w:rsid w:val="002532E5"/>
    <w:rsid w:val="0025631E"/>
    <w:rsid w:val="0025785B"/>
    <w:rsid w:val="00257969"/>
    <w:rsid w:val="00260187"/>
    <w:rsid w:val="00260A37"/>
    <w:rsid w:val="00260C7F"/>
    <w:rsid w:val="00261C5F"/>
    <w:rsid w:val="00261FEF"/>
    <w:rsid w:val="00262C42"/>
    <w:rsid w:val="00263991"/>
    <w:rsid w:val="00265CD1"/>
    <w:rsid w:val="002660C6"/>
    <w:rsid w:val="002664B4"/>
    <w:rsid w:val="00266507"/>
    <w:rsid w:val="002675FE"/>
    <w:rsid w:val="00272ECE"/>
    <w:rsid w:val="00273F97"/>
    <w:rsid w:val="0027526B"/>
    <w:rsid w:val="00277373"/>
    <w:rsid w:val="00280048"/>
    <w:rsid w:val="0028083E"/>
    <w:rsid w:val="0028489E"/>
    <w:rsid w:val="002848DE"/>
    <w:rsid w:val="00285D9C"/>
    <w:rsid w:val="00286DFC"/>
    <w:rsid w:val="0028794E"/>
    <w:rsid w:val="002941C7"/>
    <w:rsid w:val="00295E02"/>
    <w:rsid w:val="0029733B"/>
    <w:rsid w:val="002A16BB"/>
    <w:rsid w:val="002A5841"/>
    <w:rsid w:val="002A70DA"/>
    <w:rsid w:val="002B0887"/>
    <w:rsid w:val="002B1EDF"/>
    <w:rsid w:val="002B2061"/>
    <w:rsid w:val="002B2D1B"/>
    <w:rsid w:val="002B33C3"/>
    <w:rsid w:val="002B6C76"/>
    <w:rsid w:val="002B6EA3"/>
    <w:rsid w:val="002C0242"/>
    <w:rsid w:val="002C1232"/>
    <w:rsid w:val="002C1E44"/>
    <w:rsid w:val="002C24FB"/>
    <w:rsid w:val="002C4900"/>
    <w:rsid w:val="002C5C92"/>
    <w:rsid w:val="002C5E29"/>
    <w:rsid w:val="002C6431"/>
    <w:rsid w:val="002C6C94"/>
    <w:rsid w:val="002C757E"/>
    <w:rsid w:val="002D0478"/>
    <w:rsid w:val="002D18A6"/>
    <w:rsid w:val="002D1C55"/>
    <w:rsid w:val="002D32A4"/>
    <w:rsid w:val="002D7127"/>
    <w:rsid w:val="002E0A1C"/>
    <w:rsid w:val="002E15CF"/>
    <w:rsid w:val="002E4B2E"/>
    <w:rsid w:val="002E4BA7"/>
    <w:rsid w:val="002E4C8B"/>
    <w:rsid w:val="002E5F05"/>
    <w:rsid w:val="002E63C4"/>
    <w:rsid w:val="002E73A2"/>
    <w:rsid w:val="002F08DC"/>
    <w:rsid w:val="002F0EC0"/>
    <w:rsid w:val="002F1216"/>
    <w:rsid w:val="002F1CC1"/>
    <w:rsid w:val="002F210A"/>
    <w:rsid w:val="002F2CB5"/>
    <w:rsid w:val="002F2F39"/>
    <w:rsid w:val="002F3044"/>
    <w:rsid w:val="002F5750"/>
    <w:rsid w:val="002F599E"/>
    <w:rsid w:val="002F59D8"/>
    <w:rsid w:val="002F7750"/>
    <w:rsid w:val="003008D8"/>
    <w:rsid w:val="003013D9"/>
    <w:rsid w:val="00301D9A"/>
    <w:rsid w:val="0030308C"/>
    <w:rsid w:val="003031A8"/>
    <w:rsid w:val="00303959"/>
    <w:rsid w:val="003054AE"/>
    <w:rsid w:val="00305B19"/>
    <w:rsid w:val="00306E72"/>
    <w:rsid w:val="00306EF6"/>
    <w:rsid w:val="00311979"/>
    <w:rsid w:val="0031283E"/>
    <w:rsid w:val="00312903"/>
    <w:rsid w:val="00312AC3"/>
    <w:rsid w:val="00313A39"/>
    <w:rsid w:val="00314430"/>
    <w:rsid w:val="0031511C"/>
    <w:rsid w:val="003163BC"/>
    <w:rsid w:val="003167FB"/>
    <w:rsid w:val="003212D9"/>
    <w:rsid w:val="00322AB0"/>
    <w:rsid w:val="0032351A"/>
    <w:rsid w:val="00323C42"/>
    <w:rsid w:val="00324B33"/>
    <w:rsid w:val="0032515E"/>
    <w:rsid w:val="00326BCD"/>
    <w:rsid w:val="00327488"/>
    <w:rsid w:val="00327815"/>
    <w:rsid w:val="00331237"/>
    <w:rsid w:val="003337D5"/>
    <w:rsid w:val="00336FE1"/>
    <w:rsid w:val="0033746C"/>
    <w:rsid w:val="00337BA9"/>
    <w:rsid w:val="00337BD8"/>
    <w:rsid w:val="0034047C"/>
    <w:rsid w:val="0034063C"/>
    <w:rsid w:val="00342D56"/>
    <w:rsid w:val="0034370A"/>
    <w:rsid w:val="003444BD"/>
    <w:rsid w:val="00344E91"/>
    <w:rsid w:val="003456E7"/>
    <w:rsid w:val="003469FC"/>
    <w:rsid w:val="00346EC2"/>
    <w:rsid w:val="003477F9"/>
    <w:rsid w:val="00347C11"/>
    <w:rsid w:val="00347EB2"/>
    <w:rsid w:val="0035444D"/>
    <w:rsid w:val="003546B9"/>
    <w:rsid w:val="00356D62"/>
    <w:rsid w:val="00357009"/>
    <w:rsid w:val="00357A74"/>
    <w:rsid w:val="00360208"/>
    <w:rsid w:val="00362225"/>
    <w:rsid w:val="003629AF"/>
    <w:rsid w:val="00363B29"/>
    <w:rsid w:val="00363EE3"/>
    <w:rsid w:val="00364E0E"/>
    <w:rsid w:val="003701DD"/>
    <w:rsid w:val="00370F9F"/>
    <w:rsid w:val="00371326"/>
    <w:rsid w:val="0037229F"/>
    <w:rsid w:val="003735F3"/>
    <w:rsid w:val="00374729"/>
    <w:rsid w:val="003807DF"/>
    <w:rsid w:val="00381636"/>
    <w:rsid w:val="00385126"/>
    <w:rsid w:val="00387298"/>
    <w:rsid w:val="00387984"/>
    <w:rsid w:val="0039367D"/>
    <w:rsid w:val="00393D97"/>
    <w:rsid w:val="00395140"/>
    <w:rsid w:val="003970F1"/>
    <w:rsid w:val="0039732D"/>
    <w:rsid w:val="003A0D76"/>
    <w:rsid w:val="003A2422"/>
    <w:rsid w:val="003A309C"/>
    <w:rsid w:val="003A3151"/>
    <w:rsid w:val="003A379C"/>
    <w:rsid w:val="003A5F04"/>
    <w:rsid w:val="003A5FC6"/>
    <w:rsid w:val="003A6C3F"/>
    <w:rsid w:val="003B149C"/>
    <w:rsid w:val="003B2035"/>
    <w:rsid w:val="003B2C66"/>
    <w:rsid w:val="003B3179"/>
    <w:rsid w:val="003B331A"/>
    <w:rsid w:val="003B4080"/>
    <w:rsid w:val="003B41BE"/>
    <w:rsid w:val="003B5DC8"/>
    <w:rsid w:val="003B6911"/>
    <w:rsid w:val="003B6973"/>
    <w:rsid w:val="003C0FDB"/>
    <w:rsid w:val="003C1192"/>
    <w:rsid w:val="003C55E2"/>
    <w:rsid w:val="003C63D5"/>
    <w:rsid w:val="003C7AA8"/>
    <w:rsid w:val="003D07D0"/>
    <w:rsid w:val="003D1D77"/>
    <w:rsid w:val="003D295E"/>
    <w:rsid w:val="003D2BCE"/>
    <w:rsid w:val="003D71A1"/>
    <w:rsid w:val="003E09C5"/>
    <w:rsid w:val="003E1F12"/>
    <w:rsid w:val="003E27FB"/>
    <w:rsid w:val="003E4127"/>
    <w:rsid w:val="003F2537"/>
    <w:rsid w:val="003F3B63"/>
    <w:rsid w:val="003F7C91"/>
    <w:rsid w:val="003F7DD0"/>
    <w:rsid w:val="00402170"/>
    <w:rsid w:val="00404103"/>
    <w:rsid w:val="00405111"/>
    <w:rsid w:val="004104A4"/>
    <w:rsid w:val="00412822"/>
    <w:rsid w:val="00414589"/>
    <w:rsid w:val="00414C7E"/>
    <w:rsid w:val="0041688F"/>
    <w:rsid w:val="0041742B"/>
    <w:rsid w:val="00417EF1"/>
    <w:rsid w:val="0042376F"/>
    <w:rsid w:val="004246B8"/>
    <w:rsid w:val="004248F1"/>
    <w:rsid w:val="00427772"/>
    <w:rsid w:val="00427813"/>
    <w:rsid w:val="00432588"/>
    <w:rsid w:val="004327C6"/>
    <w:rsid w:val="00433318"/>
    <w:rsid w:val="00433EF0"/>
    <w:rsid w:val="00434035"/>
    <w:rsid w:val="00434C73"/>
    <w:rsid w:val="00436F30"/>
    <w:rsid w:val="0044023B"/>
    <w:rsid w:val="004411D9"/>
    <w:rsid w:val="00442A56"/>
    <w:rsid w:val="004444B0"/>
    <w:rsid w:val="00444FBC"/>
    <w:rsid w:val="0045060B"/>
    <w:rsid w:val="004514DE"/>
    <w:rsid w:val="00460BA1"/>
    <w:rsid w:val="004626FF"/>
    <w:rsid w:val="0046285C"/>
    <w:rsid w:val="00463519"/>
    <w:rsid w:val="0046376F"/>
    <w:rsid w:val="0046474A"/>
    <w:rsid w:val="00464FDC"/>
    <w:rsid w:val="0046740F"/>
    <w:rsid w:val="00470A52"/>
    <w:rsid w:val="004710BC"/>
    <w:rsid w:val="00471BD5"/>
    <w:rsid w:val="00471FEA"/>
    <w:rsid w:val="00472963"/>
    <w:rsid w:val="00472C96"/>
    <w:rsid w:val="0047410D"/>
    <w:rsid w:val="00476EE6"/>
    <w:rsid w:val="00477C4E"/>
    <w:rsid w:val="00477F07"/>
    <w:rsid w:val="00480B6B"/>
    <w:rsid w:val="004812F8"/>
    <w:rsid w:val="00481503"/>
    <w:rsid w:val="00481CFF"/>
    <w:rsid w:val="00481D12"/>
    <w:rsid w:val="004854A6"/>
    <w:rsid w:val="004919D1"/>
    <w:rsid w:val="00491A55"/>
    <w:rsid w:val="0049255E"/>
    <w:rsid w:val="004937F5"/>
    <w:rsid w:val="004945A9"/>
    <w:rsid w:val="00494C3E"/>
    <w:rsid w:val="004955A6"/>
    <w:rsid w:val="00497540"/>
    <w:rsid w:val="00497DF1"/>
    <w:rsid w:val="004A2B53"/>
    <w:rsid w:val="004A318E"/>
    <w:rsid w:val="004A45D4"/>
    <w:rsid w:val="004A4819"/>
    <w:rsid w:val="004A551B"/>
    <w:rsid w:val="004A57E8"/>
    <w:rsid w:val="004B16B8"/>
    <w:rsid w:val="004B187E"/>
    <w:rsid w:val="004B1EEF"/>
    <w:rsid w:val="004B3081"/>
    <w:rsid w:val="004B4A09"/>
    <w:rsid w:val="004B56F2"/>
    <w:rsid w:val="004C01FF"/>
    <w:rsid w:val="004C07A4"/>
    <w:rsid w:val="004C0EE6"/>
    <w:rsid w:val="004C3F03"/>
    <w:rsid w:val="004C41CE"/>
    <w:rsid w:val="004C4721"/>
    <w:rsid w:val="004C5E9B"/>
    <w:rsid w:val="004C631B"/>
    <w:rsid w:val="004D0933"/>
    <w:rsid w:val="004D0F9B"/>
    <w:rsid w:val="004D23AF"/>
    <w:rsid w:val="004D2F00"/>
    <w:rsid w:val="004D31D8"/>
    <w:rsid w:val="004D35D1"/>
    <w:rsid w:val="004D45C2"/>
    <w:rsid w:val="004D4AD5"/>
    <w:rsid w:val="004D5388"/>
    <w:rsid w:val="004E002B"/>
    <w:rsid w:val="004E22A4"/>
    <w:rsid w:val="004E4956"/>
    <w:rsid w:val="004E4BD4"/>
    <w:rsid w:val="004E63DC"/>
    <w:rsid w:val="004E7F16"/>
    <w:rsid w:val="004F08C7"/>
    <w:rsid w:val="004F18EC"/>
    <w:rsid w:val="004F2044"/>
    <w:rsid w:val="004F2D60"/>
    <w:rsid w:val="004F6D7B"/>
    <w:rsid w:val="005001BE"/>
    <w:rsid w:val="0050075B"/>
    <w:rsid w:val="00500D68"/>
    <w:rsid w:val="00505D55"/>
    <w:rsid w:val="00506ABD"/>
    <w:rsid w:val="00510B4C"/>
    <w:rsid w:val="0051298A"/>
    <w:rsid w:val="00514705"/>
    <w:rsid w:val="0051621C"/>
    <w:rsid w:val="00516978"/>
    <w:rsid w:val="00521E21"/>
    <w:rsid w:val="00521E7C"/>
    <w:rsid w:val="00525E04"/>
    <w:rsid w:val="00532620"/>
    <w:rsid w:val="00532B4D"/>
    <w:rsid w:val="00532B9B"/>
    <w:rsid w:val="0053377D"/>
    <w:rsid w:val="00535B9C"/>
    <w:rsid w:val="00535B9F"/>
    <w:rsid w:val="00535DFE"/>
    <w:rsid w:val="00536D07"/>
    <w:rsid w:val="005370BF"/>
    <w:rsid w:val="005373B5"/>
    <w:rsid w:val="00537AB7"/>
    <w:rsid w:val="0054075A"/>
    <w:rsid w:val="00541816"/>
    <w:rsid w:val="00542004"/>
    <w:rsid w:val="00542C76"/>
    <w:rsid w:val="00543AC9"/>
    <w:rsid w:val="00543DE8"/>
    <w:rsid w:val="005445CF"/>
    <w:rsid w:val="005451BE"/>
    <w:rsid w:val="00545AD0"/>
    <w:rsid w:val="00546039"/>
    <w:rsid w:val="0054636F"/>
    <w:rsid w:val="0054669B"/>
    <w:rsid w:val="00547243"/>
    <w:rsid w:val="00551C69"/>
    <w:rsid w:val="005534A5"/>
    <w:rsid w:val="00554FF0"/>
    <w:rsid w:val="0055549A"/>
    <w:rsid w:val="00557684"/>
    <w:rsid w:val="005577CB"/>
    <w:rsid w:val="00560EC1"/>
    <w:rsid w:val="005610D1"/>
    <w:rsid w:val="005612C9"/>
    <w:rsid w:val="00562F42"/>
    <w:rsid w:val="00565739"/>
    <w:rsid w:val="0056766D"/>
    <w:rsid w:val="005730A9"/>
    <w:rsid w:val="00573E11"/>
    <w:rsid w:val="00575215"/>
    <w:rsid w:val="0057682E"/>
    <w:rsid w:val="005775D0"/>
    <w:rsid w:val="00580C86"/>
    <w:rsid w:val="00581138"/>
    <w:rsid w:val="0058315A"/>
    <w:rsid w:val="00583C26"/>
    <w:rsid w:val="00584DAA"/>
    <w:rsid w:val="00584F72"/>
    <w:rsid w:val="0058575E"/>
    <w:rsid w:val="005857A3"/>
    <w:rsid w:val="00585D36"/>
    <w:rsid w:val="00586022"/>
    <w:rsid w:val="005869AE"/>
    <w:rsid w:val="0058783C"/>
    <w:rsid w:val="005911AE"/>
    <w:rsid w:val="005926E2"/>
    <w:rsid w:val="0059313A"/>
    <w:rsid w:val="00597220"/>
    <w:rsid w:val="005A291A"/>
    <w:rsid w:val="005A3787"/>
    <w:rsid w:val="005A4653"/>
    <w:rsid w:val="005A54EA"/>
    <w:rsid w:val="005B023F"/>
    <w:rsid w:val="005B02A2"/>
    <w:rsid w:val="005B0C18"/>
    <w:rsid w:val="005B1417"/>
    <w:rsid w:val="005B1AC2"/>
    <w:rsid w:val="005B2E82"/>
    <w:rsid w:val="005B4FE8"/>
    <w:rsid w:val="005B5A96"/>
    <w:rsid w:val="005B5FC3"/>
    <w:rsid w:val="005B6348"/>
    <w:rsid w:val="005B69CF"/>
    <w:rsid w:val="005B69FF"/>
    <w:rsid w:val="005B6E18"/>
    <w:rsid w:val="005C0211"/>
    <w:rsid w:val="005C05A4"/>
    <w:rsid w:val="005C3F07"/>
    <w:rsid w:val="005C4B46"/>
    <w:rsid w:val="005C578F"/>
    <w:rsid w:val="005C5C7B"/>
    <w:rsid w:val="005C5DC5"/>
    <w:rsid w:val="005C7CBE"/>
    <w:rsid w:val="005D0E1E"/>
    <w:rsid w:val="005D2089"/>
    <w:rsid w:val="005D2AE8"/>
    <w:rsid w:val="005D2F6E"/>
    <w:rsid w:val="005D3AC8"/>
    <w:rsid w:val="005D6923"/>
    <w:rsid w:val="005D7514"/>
    <w:rsid w:val="005E0FC6"/>
    <w:rsid w:val="005E113E"/>
    <w:rsid w:val="005E1A7B"/>
    <w:rsid w:val="005E231F"/>
    <w:rsid w:val="005E3F6A"/>
    <w:rsid w:val="005E4397"/>
    <w:rsid w:val="005E4D2A"/>
    <w:rsid w:val="005F3541"/>
    <w:rsid w:val="005F4BF1"/>
    <w:rsid w:val="005F5C57"/>
    <w:rsid w:val="00600859"/>
    <w:rsid w:val="00601FD2"/>
    <w:rsid w:val="00602D6E"/>
    <w:rsid w:val="00605C05"/>
    <w:rsid w:val="00606401"/>
    <w:rsid w:val="006075EE"/>
    <w:rsid w:val="00611351"/>
    <w:rsid w:val="0061217D"/>
    <w:rsid w:val="006129AE"/>
    <w:rsid w:val="006158F0"/>
    <w:rsid w:val="00616FC3"/>
    <w:rsid w:val="0062056B"/>
    <w:rsid w:val="0062217C"/>
    <w:rsid w:val="00622304"/>
    <w:rsid w:val="006239E4"/>
    <w:rsid w:val="00625134"/>
    <w:rsid w:val="006277A1"/>
    <w:rsid w:val="006278A9"/>
    <w:rsid w:val="006306EB"/>
    <w:rsid w:val="00631162"/>
    <w:rsid w:val="006324E5"/>
    <w:rsid w:val="00632DB0"/>
    <w:rsid w:val="00633BD7"/>
    <w:rsid w:val="00634580"/>
    <w:rsid w:val="0063478C"/>
    <w:rsid w:val="00634884"/>
    <w:rsid w:val="00634A99"/>
    <w:rsid w:val="00634CBA"/>
    <w:rsid w:val="006351D9"/>
    <w:rsid w:val="00635790"/>
    <w:rsid w:val="00636A60"/>
    <w:rsid w:val="00637130"/>
    <w:rsid w:val="00637240"/>
    <w:rsid w:val="00637F0E"/>
    <w:rsid w:val="006400D8"/>
    <w:rsid w:val="006423F2"/>
    <w:rsid w:val="006424C1"/>
    <w:rsid w:val="006428C5"/>
    <w:rsid w:val="00644B3E"/>
    <w:rsid w:val="00650234"/>
    <w:rsid w:val="006530DE"/>
    <w:rsid w:val="00655CD7"/>
    <w:rsid w:val="006570A4"/>
    <w:rsid w:val="0066044B"/>
    <w:rsid w:val="00660B14"/>
    <w:rsid w:val="006630AA"/>
    <w:rsid w:val="0066329F"/>
    <w:rsid w:val="00663544"/>
    <w:rsid w:val="00663A8A"/>
    <w:rsid w:val="006654F0"/>
    <w:rsid w:val="006655CD"/>
    <w:rsid w:val="006660F3"/>
    <w:rsid w:val="00666539"/>
    <w:rsid w:val="00666911"/>
    <w:rsid w:val="0066775B"/>
    <w:rsid w:val="006710BD"/>
    <w:rsid w:val="00675F81"/>
    <w:rsid w:val="00676CF5"/>
    <w:rsid w:val="0068143E"/>
    <w:rsid w:val="00681A72"/>
    <w:rsid w:val="00684A16"/>
    <w:rsid w:val="00684BE2"/>
    <w:rsid w:val="0068507D"/>
    <w:rsid w:val="006875A0"/>
    <w:rsid w:val="00690578"/>
    <w:rsid w:val="00690DD9"/>
    <w:rsid w:val="00691AF2"/>
    <w:rsid w:val="006922F8"/>
    <w:rsid w:val="0069241B"/>
    <w:rsid w:val="00692B80"/>
    <w:rsid w:val="00692CCD"/>
    <w:rsid w:val="00692D26"/>
    <w:rsid w:val="00692D51"/>
    <w:rsid w:val="0069398D"/>
    <w:rsid w:val="00694388"/>
    <w:rsid w:val="00694B71"/>
    <w:rsid w:val="00694DD7"/>
    <w:rsid w:val="0069636B"/>
    <w:rsid w:val="00697249"/>
    <w:rsid w:val="006A0036"/>
    <w:rsid w:val="006A1762"/>
    <w:rsid w:val="006A19CE"/>
    <w:rsid w:val="006A1EF8"/>
    <w:rsid w:val="006A1F0B"/>
    <w:rsid w:val="006A2615"/>
    <w:rsid w:val="006A277A"/>
    <w:rsid w:val="006A4422"/>
    <w:rsid w:val="006A5973"/>
    <w:rsid w:val="006A736B"/>
    <w:rsid w:val="006A7E75"/>
    <w:rsid w:val="006B04F3"/>
    <w:rsid w:val="006B1514"/>
    <w:rsid w:val="006B2A67"/>
    <w:rsid w:val="006B5A3B"/>
    <w:rsid w:val="006B5E64"/>
    <w:rsid w:val="006B7126"/>
    <w:rsid w:val="006C18E0"/>
    <w:rsid w:val="006C4189"/>
    <w:rsid w:val="006C515A"/>
    <w:rsid w:val="006C6035"/>
    <w:rsid w:val="006C61DE"/>
    <w:rsid w:val="006C6B86"/>
    <w:rsid w:val="006C75DB"/>
    <w:rsid w:val="006D0D37"/>
    <w:rsid w:val="006D0E26"/>
    <w:rsid w:val="006D4553"/>
    <w:rsid w:val="006D4A35"/>
    <w:rsid w:val="006D4CF8"/>
    <w:rsid w:val="006D5589"/>
    <w:rsid w:val="006D5C16"/>
    <w:rsid w:val="006D5DDE"/>
    <w:rsid w:val="006D6B44"/>
    <w:rsid w:val="006D75AF"/>
    <w:rsid w:val="006D7632"/>
    <w:rsid w:val="006D76FA"/>
    <w:rsid w:val="006D7EE9"/>
    <w:rsid w:val="006E0F71"/>
    <w:rsid w:val="006E1305"/>
    <w:rsid w:val="006E27FE"/>
    <w:rsid w:val="006E33E0"/>
    <w:rsid w:val="006E3DFC"/>
    <w:rsid w:val="006F74C6"/>
    <w:rsid w:val="00701110"/>
    <w:rsid w:val="00701830"/>
    <w:rsid w:val="00702E91"/>
    <w:rsid w:val="0070330F"/>
    <w:rsid w:val="00703624"/>
    <w:rsid w:val="007038F2"/>
    <w:rsid w:val="00703B0E"/>
    <w:rsid w:val="0070420B"/>
    <w:rsid w:val="007045F5"/>
    <w:rsid w:val="007046ED"/>
    <w:rsid w:val="007052A2"/>
    <w:rsid w:val="0070541F"/>
    <w:rsid w:val="00705F36"/>
    <w:rsid w:val="0070725E"/>
    <w:rsid w:val="007072A1"/>
    <w:rsid w:val="0071060C"/>
    <w:rsid w:val="00710BC5"/>
    <w:rsid w:val="007121CA"/>
    <w:rsid w:val="00717DE5"/>
    <w:rsid w:val="0072003B"/>
    <w:rsid w:val="00720E51"/>
    <w:rsid w:val="00721059"/>
    <w:rsid w:val="007211E6"/>
    <w:rsid w:val="007220C4"/>
    <w:rsid w:val="00723AA9"/>
    <w:rsid w:val="007240F8"/>
    <w:rsid w:val="007248C6"/>
    <w:rsid w:val="00725CC3"/>
    <w:rsid w:val="007305ED"/>
    <w:rsid w:val="007311B9"/>
    <w:rsid w:val="00732361"/>
    <w:rsid w:val="00732AC7"/>
    <w:rsid w:val="007331FE"/>
    <w:rsid w:val="00733F0A"/>
    <w:rsid w:val="007357B9"/>
    <w:rsid w:val="00741AB9"/>
    <w:rsid w:val="00742B7F"/>
    <w:rsid w:val="00742D03"/>
    <w:rsid w:val="00743EBC"/>
    <w:rsid w:val="00744216"/>
    <w:rsid w:val="00744636"/>
    <w:rsid w:val="007452E8"/>
    <w:rsid w:val="00746990"/>
    <w:rsid w:val="00747093"/>
    <w:rsid w:val="00750B02"/>
    <w:rsid w:val="00750D70"/>
    <w:rsid w:val="00751CAB"/>
    <w:rsid w:val="00755B10"/>
    <w:rsid w:val="00755FC4"/>
    <w:rsid w:val="007565F5"/>
    <w:rsid w:val="007575D0"/>
    <w:rsid w:val="00760F46"/>
    <w:rsid w:val="007616C0"/>
    <w:rsid w:val="00762416"/>
    <w:rsid w:val="00765259"/>
    <w:rsid w:val="007662E0"/>
    <w:rsid w:val="0076771A"/>
    <w:rsid w:val="00772559"/>
    <w:rsid w:val="0077299D"/>
    <w:rsid w:val="00773E40"/>
    <w:rsid w:val="007746B7"/>
    <w:rsid w:val="00774AC9"/>
    <w:rsid w:val="00776E9C"/>
    <w:rsid w:val="0077777F"/>
    <w:rsid w:val="0078000E"/>
    <w:rsid w:val="00780202"/>
    <w:rsid w:val="007816D8"/>
    <w:rsid w:val="00781942"/>
    <w:rsid w:val="00781C5F"/>
    <w:rsid w:val="00784150"/>
    <w:rsid w:val="007900A4"/>
    <w:rsid w:val="00793272"/>
    <w:rsid w:val="00794086"/>
    <w:rsid w:val="0079499A"/>
    <w:rsid w:val="00794B64"/>
    <w:rsid w:val="007953A9"/>
    <w:rsid w:val="00795F3B"/>
    <w:rsid w:val="007967C3"/>
    <w:rsid w:val="00796CA8"/>
    <w:rsid w:val="00797D48"/>
    <w:rsid w:val="007A0A33"/>
    <w:rsid w:val="007A0D5A"/>
    <w:rsid w:val="007A1315"/>
    <w:rsid w:val="007A1C0A"/>
    <w:rsid w:val="007A2BA3"/>
    <w:rsid w:val="007A5000"/>
    <w:rsid w:val="007A5889"/>
    <w:rsid w:val="007A6C9B"/>
    <w:rsid w:val="007A6CEC"/>
    <w:rsid w:val="007A7AED"/>
    <w:rsid w:val="007B04DE"/>
    <w:rsid w:val="007B0AE6"/>
    <w:rsid w:val="007B0ED7"/>
    <w:rsid w:val="007B282D"/>
    <w:rsid w:val="007B6A0F"/>
    <w:rsid w:val="007C0343"/>
    <w:rsid w:val="007C0F0B"/>
    <w:rsid w:val="007C18F9"/>
    <w:rsid w:val="007C39C0"/>
    <w:rsid w:val="007C57BC"/>
    <w:rsid w:val="007C7A13"/>
    <w:rsid w:val="007D04CA"/>
    <w:rsid w:val="007D0A2B"/>
    <w:rsid w:val="007D0BFD"/>
    <w:rsid w:val="007D12A1"/>
    <w:rsid w:val="007D28FB"/>
    <w:rsid w:val="007D3555"/>
    <w:rsid w:val="007D40E5"/>
    <w:rsid w:val="007D4138"/>
    <w:rsid w:val="007D464F"/>
    <w:rsid w:val="007D5FC0"/>
    <w:rsid w:val="007D76A3"/>
    <w:rsid w:val="007D7C2F"/>
    <w:rsid w:val="007E287A"/>
    <w:rsid w:val="007E3F12"/>
    <w:rsid w:val="007E4178"/>
    <w:rsid w:val="007E4ABD"/>
    <w:rsid w:val="007E4E8F"/>
    <w:rsid w:val="007E5518"/>
    <w:rsid w:val="007E5A45"/>
    <w:rsid w:val="007E5D7C"/>
    <w:rsid w:val="007E5EBF"/>
    <w:rsid w:val="007E6443"/>
    <w:rsid w:val="007E6DAD"/>
    <w:rsid w:val="007F0A77"/>
    <w:rsid w:val="007F1B6D"/>
    <w:rsid w:val="007F1E37"/>
    <w:rsid w:val="007F437C"/>
    <w:rsid w:val="007F48C6"/>
    <w:rsid w:val="007F50D3"/>
    <w:rsid w:val="007F6B1F"/>
    <w:rsid w:val="007F7051"/>
    <w:rsid w:val="007F7C06"/>
    <w:rsid w:val="007F7D3F"/>
    <w:rsid w:val="00800C01"/>
    <w:rsid w:val="008013F0"/>
    <w:rsid w:val="00801B02"/>
    <w:rsid w:val="00802C9F"/>
    <w:rsid w:val="00803926"/>
    <w:rsid w:val="00804897"/>
    <w:rsid w:val="008049B1"/>
    <w:rsid w:val="008101F9"/>
    <w:rsid w:val="008104C8"/>
    <w:rsid w:val="00810823"/>
    <w:rsid w:val="008127D7"/>
    <w:rsid w:val="008238CD"/>
    <w:rsid w:val="00824344"/>
    <w:rsid w:val="00825782"/>
    <w:rsid w:val="008268EA"/>
    <w:rsid w:val="008324AB"/>
    <w:rsid w:val="008329DB"/>
    <w:rsid w:val="00833FFE"/>
    <w:rsid w:val="00834386"/>
    <w:rsid w:val="00834EB4"/>
    <w:rsid w:val="00835777"/>
    <w:rsid w:val="0083598E"/>
    <w:rsid w:val="008361C5"/>
    <w:rsid w:val="0083628F"/>
    <w:rsid w:val="0083696A"/>
    <w:rsid w:val="00837AB9"/>
    <w:rsid w:val="008428CB"/>
    <w:rsid w:val="008443A3"/>
    <w:rsid w:val="0084468A"/>
    <w:rsid w:val="008456FF"/>
    <w:rsid w:val="00850083"/>
    <w:rsid w:val="00850637"/>
    <w:rsid w:val="00852BA4"/>
    <w:rsid w:val="00854168"/>
    <w:rsid w:val="00854D98"/>
    <w:rsid w:val="00855425"/>
    <w:rsid w:val="0085751E"/>
    <w:rsid w:val="00860B29"/>
    <w:rsid w:val="008622E8"/>
    <w:rsid w:val="008645EE"/>
    <w:rsid w:val="008659F6"/>
    <w:rsid w:val="00865B9F"/>
    <w:rsid w:val="00867316"/>
    <w:rsid w:val="00867A39"/>
    <w:rsid w:val="00870144"/>
    <w:rsid w:val="008704CE"/>
    <w:rsid w:val="0087072C"/>
    <w:rsid w:val="00870752"/>
    <w:rsid w:val="00871312"/>
    <w:rsid w:val="00873D7A"/>
    <w:rsid w:val="00877CB3"/>
    <w:rsid w:val="008804CF"/>
    <w:rsid w:val="00881FB8"/>
    <w:rsid w:val="00882D58"/>
    <w:rsid w:val="00882F19"/>
    <w:rsid w:val="00883D35"/>
    <w:rsid w:val="00884569"/>
    <w:rsid w:val="00884B4D"/>
    <w:rsid w:val="00887A51"/>
    <w:rsid w:val="0089038A"/>
    <w:rsid w:val="00890A0D"/>
    <w:rsid w:val="00890D9B"/>
    <w:rsid w:val="00891597"/>
    <w:rsid w:val="00891C6C"/>
    <w:rsid w:val="008931E3"/>
    <w:rsid w:val="00893CCD"/>
    <w:rsid w:val="008955DF"/>
    <w:rsid w:val="008964B3"/>
    <w:rsid w:val="008A0830"/>
    <w:rsid w:val="008A1ADF"/>
    <w:rsid w:val="008A3319"/>
    <w:rsid w:val="008A5E66"/>
    <w:rsid w:val="008A62EE"/>
    <w:rsid w:val="008A7DDF"/>
    <w:rsid w:val="008B069B"/>
    <w:rsid w:val="008B1CB5"/>
    <w:rsid w:val="008B1FC8"/>
    <w:rsid w:val="008B30FD"/>
    <w:rsid w:val="008B6073"/>
    <w:rsid w:val="008B7DF3"/>
    <w:rsid w:val="008C01BF"/>
    <w:rsid w:val="008C1267"/>
    <w:rsid w:val="008C1AF4"/>
    <w:rsid w:val="008C1C32"/>
    <w:rsid w:val="008C2B75"/>
    <w:rsid w:val="008C2D69"/>
    <w:rsid w:val="008C4579"/>
    <w:rsid w:val="008C49C6"/>
    <w:rsid w:val="008C54DB"/>
    <w:rsid w:val="008C6D78"/>
    <w:rsid w:val="008C6F7F"/>
    <w:rsid w:val="008C73CB"/>
    <w:rsid w:val="008C754C"/>
    <w:rsid w:val="008D00DC"/>
    <w:rsid w:val="008D2741"/>
    <w:rsid w:val="008D31BE"/>
    <w:rsid w:val="008D49DF"/>
    <w:rsid w:val="008D56C9"/>
    <w:rsid w:val="008D56CA"/>
    <w:rsid w:val="008D6A54"/>
    <w:rsid w:val="008D72F5"/>
    <w:rsid w:val="008D7D2D"/>
    <w:rsid w:val="008E0593"/>
    <w:rsid w:val="008E1EDA"/>
    <w:rsid w:val="008E245B"/>
    <w:rsid w:val="008E2585"/>
    <w:rsid w:val="008E2D7A"/>
    <w:rsid w:val="008E43C7"/>
    <w:rsid w:val="008E505D"/>
    <w:rsid w:val="008E7259"/>
    <w:rsid w:val="008F3215"/>
    <w:rsid w:val="008F4A62"/>
    <w:rsid w:val="008F4AC7"/>
    <w:rsid w:val="008F51AC"/>
    <w:rsid w:val="008F5FFF"/>
    <w:rsid w:val="008F7256"/>
    <w:rsid w:val="008F76F9"/>
    <w:rsid w:val="009037C1"/>
    <w:rsid w:val="0090424C"/>
    <w:rsid w:val="00904FE5"/>
    <w:rsid w:val="0090605E"/>
    <w:rsid w:val="00906C74"/>
    <w:rsid w:val="00907BD1"/>
    <w:rsid w:val="00907D5A"/>
    <w:rsid w:val="009108CE"/>
    <w:rsid w:val="00910C4E"/>
    <w:rsid w:val="009150DD"/>
    <w:rsid w:val="00915A9F"/>
    <w:rsid w:val="0092349E"/>
    <w:rsid w:val="00923AB7"/>
    <w:rsid w:val="00925697"/>
    <w:rsid w:val="00925AE7"/>
    <w:rsid w:val="00926B20"/>
    <w:rsid w:val="00927964"/>
    <w:rsid w:val="00930D58"/>
    <w:rsid w:val="00931FD7"/>
    <w:rsid w:val="00933B28"/>
    <w:rsid w:val="00935AAA"/>
    <w:rsid w:val="00935D92"/>
    <w:rsid w:val="00936715"/>
    <w:rsid w:val="00943AB2"/>
    <w:rsid w:val="00943D77"/>
    <w:rsid w:val="00943F7B"/>
    <w:rsid w:val="00944A99"/>
    <w:rsid w:val="009464DF"/>
    <w:rsid w:val="0095031E"/>
    <w:rsid w:val="0095180F"/>
    <w:rsid w:val="00954297"/>
    <w:rsid w:val="00955B3C"/>
    <w:rsid w:val="00957528"/>
    <w:rsid w:val="00960A56"/>
    <w:rsid w:val="00961B29"/>
    <w:rsid w:val="00963590"/>
    <w:rsid w:val="00963611"/>
    <w:rsid w:val="00964E89"/>
    <w:rsid w:val="00966EF1"/>
    <w:rsid w:val="00967216"/>
    <w:rsid w:val="00967223"/>
    <w:rsid w:val="009703F5"/>
    <w:rsid w:val="0097126E"/>
    <w:rsid w:val="00973190"/>
    <w:rsid w:val="009734FB"/>
    <w:rsid w:val="00974523"/>
    <w:rsid w:val="009751F7"/>
    <w:rsid w:val="00976CA3"/>
    <w:rsid w:val="009778F8"/>
    <w:rsid w:val="00980FFA"/>
    <w:rsid w:val="0098168B"/>
    <w:rsid w:val="009828ED"/>
    <w:rsid w:val="00982922"/>
    <w:rsid w:val="0098350E"/>
    <w:rsid w:val="00984370"/>
    <w:rsid w:val="00986153"/>
    <w:rsid w:val="00986D4D"/>
    <w:rsid w:val="009875B8"/>
    <w:rsid w:val="00987906"/>
    <w:rsid w:val="00987DE7"/>
    <w:rsid w:val="00990C12"/>
    <w:rsid w:val="00991CF9"/>
    <w:rsid w:val="00993CA1"/>
    <w:rsid w:val="0099404F"/>
    <w:rsid w:val="0099427E"/>
    <w:rsid w:val="00995789"/>
    <w:rsid w:val="00996FA5"/>
    <w:rsid w:val="00997FAB"/>
    <w:rsid w:val="009A2553"/>
    <w:rsid w:val="009A32CF"/>
    <w:rsid w:val="009A3BAB"/>
    <w:rsid w:val="009A494E"/>
    <w:rsid w:val="009A4A66"/>
    <w:rsid w:val="009A54C0"/>
    <w:rsid w:val="009A6BEC"/>
    <w:rsid w:val="009A7D4A"/>
    <w:rsid w:val="009B07A7"/>
    <w:rsid w:val="009B0B27"/>
    <w:rsid w:val="009B29BD"/>
    <w:rsid w:val="009B2A44"/>
    <w:rsid w:val="009B376D"/>
    <w:rsid w:val="009B508D"/>
    <w:rsid w:val="009B5662"/>
    <w:rsid w:val="009B7C61"/>
    <w:rsid w:val="009C04DD"/>
    <w:rsid w:val="009C2167"/>
    <w:rsid w:val="009C2211"/>
    <w:rsid w:val="009C2ABF"/>
    <w:rsid w:val="009C40E8"/>
    <w:rsid w:val="009C45C5"/>
    <w:rsid w:val="009C477A"/>
    <w:rsid w:val="009C4834"/>
    <w:rsid w:val="009C61CA"/>
    <w:rsid w:val="009C6E62"/>
    <w:rsid w:val="009C6EDD"/>
    <w:rsid w:val="009D2AF3"/>
    <w:rsid w:val="009D4C03"/>
    <w:rsid w:val="009D5AB0"/>
    <w:rsid w:val="009E1960"/>
    <w:rsid w:val="009E1BE7"/>
    <w:rsid w:val="009E3394"/>
    <w:rsid w:val="009E5532"/>
    <w:rsid w:val="009E5D26"/>
    <w:rsid w:val="009E6858"/>
    <w:rsid w:val="009E6F8C"/>
    <w:rsid w:val="009F405F"/>
    <w:rsid w:val="009F428C"/>
    <w:rsid w:val="009F5103"/>
    <w:rsid w:val="009F54E9"/>
    <w:rsid w:val="009F561C"/>
    <w:rsid w:val="009F56DE"/>
    <w:rsid w:val="009F7079"/>
    <w:rsid w:val="009F7EAB"/>
    <w:rsid w:val="00A00010"/>
    <w:rsid w:val="00A00B98"/>
    <w:rsid w:val="00A00E5E"/>
    <w:rsid w:val="00A0181C"/>
    <w:rsid w:val="00A01C56"/>
    <w:rsid w:val="00A034A3"/>
    <w:rsid w:val="00A04286"/>
    <w:rsid w:val="00A10900"/>
    <w:rsid w:val="00A11D48"/>
    <w:rsid w:val="00A1632B"/>
    <w:rsid w:val="00A20317"/>
    <w:rsid w:val="00A208E9"/>
    <w:rsid w:val="00A24D2B"/>
    <w:rsid w:val="00A26ECB"/>
    <w:rsid w:val="00A30CE0"/>
    <w:rsid w:val="00A31BE0"/>
    <w:rsid w:val="00A32379"/>
    <w:rsid w:val="00A32C50"/>
    <w:rsid w:val="00A358E7"/>
    <w:rsid w:val="00A36537"/>
    <w:rsid w:val="00A36E11"/>
    <w:rsid w:val="00A370B5"/>
    <w:rsid w:val="00A37175"/>
    <w:rsid w:val="00A41E87"/>
    <w:rsid w:val="00A41EB5"/>
    <w:rsid w:val="00A428D6"/>
    <w:rsid w:val="00A4380B"/>
    <w:rsid w:val="00A44C26"/>
    <w:rsid w:val="00A46741"/>
    <w:rsid w:val="00A50D42"/>
    <w:rsid w:val="00A51A2D"/>
    <w:rsid w:val="00A52C15"/>
    <w:rsid w:val="00A535EE"/>
    <w:rsid w:val="00A5466C"/>
    <w:rsid w:val="00A5596B"/>
    <w:rsid w:val="00A63C07"/>
    <w:rsid w:val="00A63D9B"/>
    <w:rsid w:val="00A64FB9"/>
    <w:rsid w:val="00A66D9E"/>
    <w:rsid w:val="00A704DC"/>
    <w:rsid w:val="00A73474"/>
    <w:rsid w:val="00A738ED"/>
    <w:rsid w:val="00A739F1"/>
    <w:rsid w:val="00A765F0"/>
    <w:rsid w:val="00A77C83"/>
    <w:rsid w:val="00A80B0B"/>
    <w:rsid w:val="00A834D0"/>
    <w:rsid w:val="00A85143"/>
    <w:rsid w:val="00A85F7A"/>
    <w:rsid w:val="00A90836"/>
    <w:rsid w:val="00A92875"/>
    <w:rsid w:val="00A92A7A"/>
    <w:rsid w:val="00A93DC6"/>
    <w:rsid w:val="00A9411A"/>
    <w:rsid w:val="00A950F0"/>
    <w:rsid w:val="00A967B5"/>
    <w:rsid w:val="00A978EE"/>
    <w:rsid w:val="00AA3367"/>
    <w:rsid w:val="00AA3445"/>
    <w:rsid w:val="00AA3E9C"/>
    <w:rsid w:val="00AA4239"/>
    <w:rsid w:val="00AA4A4B"/>
    <w:rsid w:val="00AA5BF9"/>
    <w:rsid w:val="00AA6080"/>
    <w:rsid w:val="00AA6682"/>
    <w:rsid w:val="00AB0613"/>
    <w:rsid w:val="00AB1B24"/>
    <w:rsid w:val="00AB7C5C"/>
    <w:rsid w:val="00AB7CBF"/>
    <w:rsid w:val="00AB7DC0"/>
    <w:rsid w:val="00AC0F13"/>
    <w:rsid w:val="00AC25F3"/>
    <w:rsid w:val="00AC40C4"/>
    <w:rsid w:val="00AC7770"/>
    <w:rsid w:val="00AC7F3C"/>
    <w:rsid w:val="00AD0111"/>
    <w:rsid w:val="00AD0B68"/>
    <w:rsid w:val="00AD35A5"/>
    <w:rsid w:val="00AD40C3"/>
    <w:rsid w:val="00AD4C72"/>
    <w:rsid w:val="00AD5451"/>
    <w:rsid w:val="00AD70F5"/>
    <w:rsid w:val="00AE034E"/>
    <w:rsid w:val="00AE1947"/>
    <w:rsid w:val="00AE1B70"/>
    <w:rsid w:val="00AE3FFC"/>
    <w:rsid w:val="00AE748F"/>
    <w:rsid w:val="00AE78DA"/>
    <w:rsid w:val="00AF074B"/>
    <w:rsid w:val="00AF1C8B"/>
    <w:rsid w:val="00AF299B"/>
    <w:rsid w:val="00AF39EA"/>
    <w:rsid w:val="00AF5690"/>
    <w:rsid w:val="00AF77D9"/>
    <w:rsid w:val="00AF7D3E"/>
    <w:rsid w:val="00AF7E43"/>
    <w:rsid w:val="00B01AAC"/>
    <w:rsid w:val="00B02AE0"/>
    <w:rsid w:val="00B03F25"/>
    <w:rsid w:val="00B05326"/>
    <w:rsid w:val="00B0729B"/>
    <w:rsid w:val="00B075D3"/>
    <w:rsid w:val="00B0762D"/>
    <w:rsid w:val="00B128C7"/>
    <w:rsid w:val="00B12C36"/>
    <w:rsid w:val="00B14545"/>
    <w:rsid w:val="00B146B5"/>
    <w:rsid w:val="00B14E60"/>
    <w:rsid w:val="00B16931"/>
    <w:rsid w:val="00B16C17"/>
    <w:rsid w:val="00B17769"/>
    <w:rsid w:val="00B17BA2"/>
    <w:rsid w:val="00B22AA2"/>
    <w:rsid w:val="00B232E5"/>
    <w:rsid w:val="00B236ED"/>
    <w:rsid w:val="00B26132"/>
    <w:rsid w:val="00B26DC3"/>
    <w:rsid w:val="00B30B9D"/>
    <w:rsid w:val="00B31CF7"/>
    <w:rsid w:val="00B31EE6"/>
    <w:rsid w:val="00B32A05"/>
    <w:rsid w:val="00B367E1"/>
    <w:rsid w:val="00B36B5C"/>
    <w:rsid w:val="00B3741F"/>
    <w:rsid w:val="00B40D70"/>
    <w:rsid w:val="00B43381"/>
    <w:rsid w:val="00B43B27"/>
    <w:rsid w:val="00B44FE9"/>
    <w:rsid w:val="00B4574D"/>
    <w:rsid w:val="00B45EBE"/>
    <w:rsid w:val="00B4636C"/>
    <w:rsid w:val="00B4646F"/>
    <w:rsid w:val="00B468E1"/>
    <w:rsid w:val="00B46BC0"/>
    <w:rsid w:val="00B46DFB"/>
    <w:rsid w:val="00B4768A"/>
    <w:rsid w:val="00B5141B"/>
    <w:rsid w:val="00B54BA4"/>
    <w:rsid w:val="00B55681"/>
    <w:rsid w:val="00B56DC8"/>
    <w:rsid w:val="00B56EC5"/>
    <w:rsid w:val="00B57AAD"/>
    <w:rsid w:val="00B6374E"/>
    <w:rsid w:val="00B641D9"/>
    <w:rsid w:val="00B660D1"/>
    <w:rsid w:val="00B664F6"/>
    <w:rsid w:val="00B66C0A"/>
    <w:rsid w:val="00B70A0A"/>
    <w:rsid w:val="00B72B16"/>
    <w:rsid w:val="00B732F1"/>
    <w:rsid w:val="00B74A9C"/>
    <w:rsid w:val="00B77BB2"/>
    <w:rsid w:val="00B80408"/>
    <w:rsid w:val="00B809D4"/>
    <w:rsid w:val="00B80AD3"/>
    <w:rsid w:val="00B81397"/>
    <w:rsid w:val="00B82306"/>
    <w:rsid w:val="00B84377"/>
    <w:rsid w:val="00B845F4"/>
    <w:rsid w:val="00B859C0"/>
    <w:rsid w:val="00B85C61"/>
    <w:rsid w:val="00B9052C"/>
    <w:rsid w:val="00B91F10"/>
    <w:rsid w:val="00B925DB"/>
    <w:rsid w:val="00B927A4"/>
    <w:rsid w:val="00B928EC"/>
    <w:rsid w:val="00B93841"/>
    <w:rsid w:val="00B960D6"/>
    <w:rsid w:val="00B964D5"/>
    <w:rsid w:val="00B966AB"/>
    <w:rsid w:val="00B967FF"/>
    <w:rsid w:val="00B96F0C"/>
    <w:rsid w:val="00B974B9"/>
    <w:rsid w:val="00BA1E89"/>
    <w:rsid w:val="00BA1F7F"/>
    <w:rsid w:val="00BA381C"/>
    <w:rsid w:val="00BA3F6D"/>
    <w:rsid w:val="00BA4BE6"/>
    <w:rsid w:val="00BA4FC0"/>
    <w:rsid w:val="00BA514A"/>
    <w:rsid w:val="00BA5A51"/>
    <w:rsid w:val="00BA5E2E"/>
    <w:rsid w:val="00BA61E0"/>
    <w:rsid w:val="00BA657C"/>
    <w:rsid w:val="00BA7C6B"/>
    <w:rsid w:val="00BA7EB7"/>
    <w:rsid w:val="00BA7F7D"/>
    <w:rsid w:val="00BB0346"/>
    <w:rsid w:val="00BB174B"/>
    <w:rsid w:val="00BB1C14"/>
    <w:rsid w:val="00BB29D7"/>
    <w:rsid w:val="00BB5F04"/>
    <w:rsid w:val="00BB66E6"/>
    <w:rsid w:val="00BB6847"/>
    <w:rsid w:val="00BB70E7"/>
    <w:rsid w:val="00BB7814"/>
    <w:rsid w:val="00BB7838"/>
    <w:rsid w:val="00BB7F8F"/>
    <w:rsid w:val="00BC1FEC"/>
    <w:rsid w:val="00BC4298"/>
    <w:rsid w:val="00BC560A"/>
    <w:rsid w:val="00BC716A"/>
    <w:rsid w:val="00BD07DF"/>
    <w:rsid w:val="00BD26F4"/>
    <w:rsid w:val="00BD3029"/>
    <w:rsid w:val="00BD5598"/>
    <w:rsid w:val="00BD581C"/>
    <w:rsid w:val="00BD5DBD"/>
    <w:rsid w:val="00BD5DF6"/>
    <w:rsid w:val="00BD7FA3"/>
    <w:rsid w:val="00BE0041"/>
    <w:rsid w:val="00BE0AAD"/>
    <w:rsid w:val="00BE1979"/>
    <w:rsid w:val="00BE1C56"/>
    <w:rsid w:val="00BE3B9B"/>
    <w:rsid w:val="00BE4D99"/>
    <w:rsid w:val="00BE5105"/>
    <w:rsid w:val="00BE5C3B"/>
    <w:rsid w:val="00BE640F"/>
    <w:rsid w:val="00BE6C7A"/>
    <w:rsid w:val="00BE6D2A"/>
    <w:rsid w:val="00BF08A0"/>
    <w:rsid w:val="00BF2234"/>
    <w:rsid w:val="00BF2904"/>
    <w:rsid w:val="00BF4638"/>
    <w:rsid w:val="00BF5130"/>
    <w:rsid w:val="00BF5590"/>
    <w:rsid w:val="00BF5ADB"/>
    <w:rsid w:val="00C00844"/>
    <w:rsid w:val="00C00D01"/>
    <w:rsid w:val="00C00E8D"/>
    <w:rsid w:val="00C014D0"/>
    <w:rsid w:val="00C01AB8"/>
    <w:rsid w:val="00C0246D"/>
    <w:rsid w:val="00C03019"/>
    <w:rsid w:val="00C059D0"/>
    <w:rsid w:val="00C05E73"/>
    <w:rsid w:val="00C07551"/>
    <w:rsid w:val="00C07D98"/>
    <w:rsid w:val="00C1109F"/>
    <w:rsid w:val="00C12D65"/>
    <w:rsid w:val="00C133AB"/>
    <w:rsid w:val="00C14073"/>
    <w:rsid w:val="00C151E0"/>
    <w:rsid w:val="00C16BD0"/>
    <w:rsid w:val="00C1725B"/>
    <w:rsid w:val="00C17574"/>
    <w:rsid w:val="00C20B56"/>
    <w:rsid w:val="00C21337"/>
    <w:rsid w:val="00C22214"/>
    <w:rsid w:val="00C227EA"/>
    <w:rsid w:val="00C2530E"/>
    <w:rsid w:val="00C260DE"/>
    <w:rsid w:val="00C26F72"/>
    <w:rsid w:val="00C30717"/>
    <w:rsid w:val="00C309A7"/>
    <w:rsid w:val="00C335AB"/>
    <w:rsid w:val="00C33B43"/>
    <w:rsid w:val="00C35291"/>
    <w:rsid w:val="00C3707F"/>
    <w:rsid w:val="00C40236"/>
    <w:rsid w:val="00C407AB"/>
    <w:rsid w:val="00C40A9B"/>
    <w:rsid w:val="00C410D5"/>
    <w:rsid w:val="00C42FE9"/>
    <w:rsid w:val="00C50487"/>
    <w:rsid w:val="00C507BB"/>
    <w:rsid w:val="00C52B7B"/>
    <w:rsid w:val="00C53164"/>
    <w:rsid w:val="00C547CD"/>
    <w:rsid w:val="00C554AB"/>
    <w:rsid w:val="00C570FF"/>
    <w:rsid w:val="00C57CEA"/>
    <w:rsid w:val="00C60FEC"/>
    <w:rsid w:val="00C62B1C"/>
    <w:rsid w:val="00C6574E"/>
    <w:rsid w:val="00C65D6D"/>
    <w:rsid w:val="00C661A3"/>
    <w:rsid w:val="00C663D1"/>
    <w:rsid w:val="00C67338"/>
    <w:rsid w:val="00C67D6B"/>
    <w:rsid w:val="00C707FD"/>
    <w:rsid w:val="00C70FE1"/>
    <w:rsid w:val="00C71CD5"/>
    <w:rsid w:val="00C71F94"/>
    <w:rsid w:val="00C73114"/>
    <w:rsid w:val="00C748DA"/>
    <w:rsid w:val="00C760FD"/>
    <w:rsid w:val="00C76DEB"/>
    <w:rsid w:val="00C811D8"/>
    <w:rsid w:val="00C816C6"/>
    <w:rsid w:val="00C81FC9"/>
    <w:rsid w:val="00C82649"/>
    <w:rsid w:val="00C8385A"/>
    <w:rsid w:val="00C842D4"/>
    <w:rsid w:val="00C85A64"/>
    <w:rsid w:val="00C863A7"/>
    <w:rsid w:val="00C86643"/>
    <w:rsid w:val="00C87B72"/>
    <w:rsid w:val="00C912F4"/>
    <w:rsid w:val="00C9156F"/>
    <w:rsid w:val="00C91DDA"/>
    <w:rsid w:val="00C94528"/>
    <w:rsid w:val="00C94736"/>
    <w:rsid w:val="00C952C1"/>
    <w:rsid w:val="00C95444"/>
    <w:rsid w:val="00C9581A"/>
    <w:rsid w:val="00C97D29"/>
    <w:rsid w:val="00CA21F6"/>
    <w:rsid w:val="00CA239E"/>
    <w:rsid w:val="00CA261F"/>
    <w:rsid w:val="00CA4A19"/>
    <w:rsid w:val="00CA656A"/>
    <w:rsid w:val="00CA739C"/>
    <w:rsid w:val="00CB0398"/>
    <w:rsid w:val="00CB0550"/>
    <w:rsid w:val="00CB0A1A"/>
    <w:rsid w:val="00CB0A7F"/>
    <w:rsid w:val="00CB2E41"/>
    <w:rsid w:val="00CB4013"/>
    <w:rsid w:val="00CB58B5"/>
    <w:rsid w:val="00CB6813"/>
    <w:rsid w:val="00CB6B22"/>
    <w:rsid w:val="00CC085E"/>
    <w:rsid w:val="00CC1409"/>
    <w:rsid w:val="00CC3414"/>
    <w:rsid w:val="00CC3CF5"/>
    <w:rsid w:val="00CC4E12"/>
    <w:rsid w:val="00CD2DB5"/>
    <w:rsid w:val="00CD3991"/>
    <w:rsid w:val="00CD5A02"/>
    <w:rsid w:val="00CD5F99"/>
    <w:rsid w:val="00CD62A4"/>
    <w:rsid w:val="00CE0520"/>
    <w:rsid w:val="00CE105B"/>
    <w:rsid w:val="00CE1FA7"/>
    <w:rsid w:val="00CE5104"/>
    <w:rsid w:val="00CE7410"/>
    <w:rsid w:val="00CF6A55"/>
    <w:rsid w:val="00CF6DC6"/>
    <w:rsid w:val="00CF6DCF"/>
    <w:rsid w:val="00CF7215"/>
    <w:rsid w:val="00CF79C1"/>
    <w:rsid w:val="00D01DDB"/>
    <w:rsid w:val="00D03887"/>
    <w:rsid w:val="00D04BCE"/>
    <w:rsid w:val="00D05F46"/>
    <w:rsid w:val="00D06A3C"/>
    <w:rsid w:val="00D06D18"/>
    <w:rsid w:val="00D078BE"/>
    <w:rsid w:val="00D12BB8"/>
    <w:rsid w:val="00D12E4A"/>
    <w:rsid w:val="00D12FEE"/>
    <w:rsid w:val="00D13F8A"/>
    <w:rsid w:val="00D1401D"/>
    <w:rsid w:val="00D15176"/>
    <w:rsid w:val="00D152B3"/>
    <w:rsid w:val="00D16F60"/>
    <w:rsid w:val="00D17CDC"/>
    <w:rsid w:val="00D203E7"/>
    <w:rsid w:val="00D22621"/>
    <w:rsid w:val="00D22981"/>
    <w:rsid w:val="00D240C2"/>
    <w:rsid w:val="00D24288"/>
    <w:rsid w:val="00D24296"/>
    <w:rsid w:val="00D24346"/>
    <w:rsid w:val="00D26B74"/>
    <w:rsid w:val="00D3013C"/>
    <w:rsid w:val="00D30438"/>
    <w:rsid w:val="00D312CE"/>
    <w:rsid w:val="00D3349B"/>
    <w:rsid w:val="00D3368B"/>
    <w:rsid w:val="00D34479"/>
    <w:rsid w:val="00D34B57"/>
    <w:rsid w:val="00D34D5C"/>
    <w:rsid w:val="00D36126"/>
    <w:rsid w:val="00D419BD"/>
    <w:rsid w:val="00D424A8"/>
    <w:rsid w:val="00D42B78"/>
    <w:rsid w:val="00D43B77"/>
    <w:rsid w:val="00D45D93"/>
    <w:rsid w:val="00D46FE3"/>
    <w:rsid w:val="00D51129"/>
    <w:rsid w:val="00D52DEC"/>
    <w:rsid w:val="00D53231"/>
    <w:rsid w:val="00D54A1D"/>
    <w:rsid w:val="00D56023"/>
    <w:rsid w:val="00D6036F"/>
    <w:rsid w:val="00D6041C"/>
    <w:rsid w:val="00D604C3"/>
    <w:rsid w:val="00D60F7C"/>
    <w:rsid w:val="00D62641"/>
    <w:rsid w:val="00D62877"/>
    <w:rsid w:val="00D63252"/>
    <w:rsid w:val="00D63760"/>
    <w:rsid w:val="00D64B75"/>
    <w:rsid w:val="00D65152"/>
    <w:rsid w:val="00D6703F"/>
    <w:rsid w:val="00D7338B"/>
    <w:rsid w:val="00D734EB"/>
    <w:rsid w:val="00D768F2"/>
    <w:rsid w:val="00D76E46"/>
    <w:rsid w:val="00D80B5C"/>
    <w:rsid w:val="00D82713"/>
    <w:rsid w:val="00D827C4"/>
    <w:rsid w:val="00D859C9"/>
    <w:rsid w:val="00D86447"/>
    <w:rsid w:val="00D86F00"/>
    <w:rsid w:val="00D87903"/>
    <w:rsid w:val="00D87C87"/>
    <w:rsid w:val="00D90A5F"/>
    <w:rsid w:val="00D918D5"/>
    <w:rsid w:val="00D9233C"/>
    <w:rsid w:val="00D9346D"/>
    <w:rsid w:val="00D94C8E"/>
    <w:rsid w:val="00D96119"/>
    <w:rsid w:val="00D961EF"/>
    <w:rsid w:val="00DA02F0"/>
    <w:rsid w:val="00DA2F4A"/>
    <w:rsid w:val="00DA4773"/>
    <w:rsid w:val="00DB0CB3"/>
    <w:rsid w:val="00DB1372"/>
    <w:rsid w:val="00DB192C"/>
    <w:rsid w:val="00DB1CF3"/>
    <w:rsid w:val="00DB4715"/>
    <w:rsid w:val="00DB5425"/>
    <w:rsid w:val="00DB6AC0"/>
    <w:rsid w:val="00DB72A6"/>
    <w:rsid w:val="00DB79B7"/>
    <w:rsid w:val="00DC2EDF"/>
    <w:rsid w:val="00DC33AF"/>
    <w:rsid w:val="00DC4839"/>
    <w:rsid w:val="00DC4932"/>
    <w:rsid w:val="00DC4D81"/>
    <w:rsid w:val="00DC6611"/>
    <w:rsid w:val="00DC7B6F"/>
    <w:rsid w:val="00DD05A0"/>
    <w:rsid w:val="00DD5AFB"/>
    <w:rsid w:val="00DD60FB"/>
    <w:rsid w:val="00DD6B89"/>
    <w:rsid w:val="00DD7A9A"/>
    <w:rsid w:val="00DE1344"/>
    <w:rsid w:val="00DE1495"/>
    <w:rsid w:val="00DE2F08"/>
    <w:rsid w:val="00DE2FC1"/>
    <w:rsid w:val="00DE6CF1"/>
    <w:rsid w:val="00DE6F94"/>
    <w:rsid w:val="00DF1CFD"/>
    <w:rsid w:val="00DF4D3A"/>
    <w:rsid w:val="00DF5244"/>
    <w:rsid w:val="00DF5BFE"/>
    <w:rsid w:val="00DF6CE3"/>
    <w:rsid w:val="00E0377D"/>
    <w:rsid w:val="00E045A6"/>
    <w:rsid w:val="00E0523F"/>
    <w:rsid w:val="00E05FC9"/>
    <w:rsid w:val="00E105D2"/>
    <w:rsid w:val="00E123FA"/>
    <w:rsid w:val="00E124B1"/>
    <w:rsid w:val="00E135AC"/>
    <w:rsid w:val="00E14BCD"/>
    <w:rsid w:val="00E14BD9"/>
    <w:rsid w:val="00E1606D"/>
    <w:rsid w:val="00E161A9"/>
    <w:rsid w:val="00E172F9"/>
    <w:rsid w:val="00E17873"/>
    <w:rsid w:val="00E17E60"/>
    <w:rsid w:val="00E20E1C"/>
    <w:rsid w:val="00E22838"/>
    <w:rsid w:val="00E23605"/>
    <w:rsid w:val="00E23E50"/>
    <w:rsid w:val="00E23EA0"/>
    <w:rsid w:val="00E255E1"/>
    <w:rsid w:val="00E26213"/>
    <w:rsid w:val="00E26A77"/>
    <w:rsid w:val="00E274DF"/>
    <w:rsid w:val="00E30BA9"/>
    <w:rsid w:val="00E32220"/>
    <w:rsid w:val="00E3299A"/>
    <w:rsid w:val="00E33A4C"/>
    <w:rsid w:val="00E33C01"/>
    <w:rsid w:val="00E340AD"/>
    <w:rsid w:val="00E3443C"/>
    <w:rsid w:val="00E34D66"/>
    <w:rsid w:val="00E35E02"/>
    <w:rsid w:val="00E362C4"/>
    <w:rsid w:val="00E409CF"/>
    <w:rsid w:val="00E431A4"/>
    <w:rsid w:val="00E452D1"/>
    <w:rsid w:val="00E461F9"/>
    <w:rsid w:val="00E46CC2"/>
    <w:rsid w:val="00E47E0C"/>
    <w:rsid w:val="00E51813"/>
    <w:rsid w:val="00E51F19"/>
    <w:rsid w:val="00E52C0B"/>
    <w:rsid w:val="00E53D3F"/>
    <w:rsid w:val="00E5579B"/>
    <w:rsid w:val="00E56111"/>
    <w:rsid w:val="00E56145"/>
    <w:rsid w:val="00E572A0"/>
    <w:rsid w:val="00E579D2"/>
    <w:rsid w:val="00E57FF4"/>
    <w:rsid w:val="00E6025C"/>
    <w:rsid w:val="00E604B7"/>
    <w:rsid w:val="00E60755"/>
    <w:rsid w:val="00E61D04"/>
    <w:rsid w:val="00E634C5"/>
    <w:rsid w:val="00E63ABC"/>
    <w:rsid w:val="00E679D1"/>
    <w:rsid w:val="00E67C1C"/>
    <w:rsid w:val="00E71FCE"/>
    <w:rsid w:val="00E72913"/>
    <w:rsid w:val="00E74EAF"/>
    <w:rsid w:val="00E75A16"/>
    <w:rsid w:val="00E75C00"/>
    <w:rsid w:val="00E760B9"/>
    <w:rsid w:val="00E76443"/>
    <w:rsid w:val="00E765E6"/>
    <w:rsid w:val="00E81556"/>
    <w:rsid w:val="00E819DD"/>
    <w:rsid w:val="00E82630"/>
    <w:rsid w:val="00E84D7C"/>
    <w:rsid w:val="00E85190"/>
    <w:rsid w:val="00E85FF3"/>
    <w:rsid w:val="00E8700C"/>
    <w:rsid w:val="00E90045"/>
    <w:rsid w:val="00E9016B"/>
    <w:rsid w:val="00E90626"/>
    <w:rsid w:val="00E91F11"/>
    <w:rsid w:val="00E93578"/>
    <w:rsid w:val="00E956CE"/>
    <w:rsid w:val="00E95CBF"/>
    <w:rsid w:val="00E9706D"/>
    <w:rsid w:val="00EA0D33"/>
    <w:rsid w:val="00EA0D89"/>
    <w:rsid w:val="00EA1D6F"/>
    <w:rsid w:val="00EA3A10"/>
    <w:rsid w:val="00EA3AF4"/>
    <w:rsid w:val="00EA4890"/>
    <w:rsid w:val="00EA5C39"/>
    <w:rsid w:val="00EB01A9"/>
    <w:rsid w:val="00EB028C"/>
    <w:rsid w:val="00EB1F54"/>
    <w:rsid w:val="00EB2508"/>
    <w:rsid w:val="00EB26CC"/>
    <w:rsid w:val="00EB6C2F"/>
    <w:rsid w:val="00EB7FDE"/>
    <w:rsid w:val="00EC307E"/>
    <w:rsid w:val="00ED1ED6"/>
    <w:rsid w:val="00ED2C60"/>
    <w:rsid w:val="00ED327E"/>
    <w:rsid w:val="00ED5873"/>
    <w:rsid w:val="00EE01D1"/>
    <w:rsid w:val="00EE09F1"/>
    <w:rsid w:val="00EE4AB8"/>
    <w:rsid w:val="00EE4B01"/>
    <w:rsid w:val="00EE50D3"/>
    <w:rsid w:val="00EE775A"/>
    <w:rsid w:val="00EF2292"/>
    <w:rsid w:val="00EF3313"/>
    <w:rsid w:val="00EF3F0B"/>
    <w:rsid w:val="00EF5583"/>
    <w:rsid w:val="00F0289D"/>
    <w:rsid w:val="00F02AEC"/>
    <w:rsid w:val="00F065EA"/>
    <w:rsid w:val="00F07572"/>
    <w:rsid w:val="00F07A0B"/>
    <w:rsid w:val="00F1076F"/>
    <w:rsid w:val="00F115E8"/>
    <w:rsid w:val="00F12B33"/>
    <w:rsid w:val="00F13C28"/>
    <w:rsid w:val="00F14F92"/>
    <w:rsid w:val="00F157FC"/>
    <w:rsid w:val="00F20838"/>
    <w:rsid w:val="00F231C2"/>
    <w:rsid w:val="00F30AF3"/>
    <w:rsid w:val="00F33627"/>
    <w:rsid w:val="00F33BB5"/>
    <w:rsid w:val="00F40AEE"/>
    <w:rsid w:val="00F40F70"/>
    <w:rsid w:val="00F4145D"/>
    <w:rsid w:val="00F41AC7"/>
    <w:rsid w:val="00F430EF"/>
    <w:rsid w:val="00F43CD1"/>
    <w:rsid w:val="00F45AE0"/>
    <w:rsid w:val="00F50C38"/>
    <w:rsid w:val="00F52132"/>
    <w:rsid w:val="00F524DB"/>
    <w:rsid w:val="00F525AF"/>
    <w:rsid w:val="00F52EA5"/>
    <w:rsid w:val="00F54E6A"/>
    <w:rsid w:val="00F554AA"/>
    <w:rsid w:val="00F6056A"/>
    <w:rsid w:val="00F60C28"/>
    <w:rsid w:val="00F60CF2"/>
    <w:rsid w:val="00F642C0"/>
    <w:rsid w:val="00F6463D"/>
    <w:rsid w:val="00F657B4"/>
    <w:rsid w:val="00F65E41"/>
    <w:rsid w:val="00F67DE5"/>
    <w:rsid w:val="00F72725"/>
    <w:rsid w:val="00F74484"/>
    <w:rsid w:val="00F74515"/>
    <w:rsid w:val="00F7649F"/>
    <w:rsid w:val="00F771D6"/>
    <w:rsid w:val="00F802C3"/>
    <w:rsid w:val="00F8083B"/>
    <w:rsid w:val="00F82D1B"/>
    <w:rsid w:val="00F83376"/>
    <w:rsid w:val="00F84AB9"/>
    <w:rsid w:val="00F8568E"/>
    <w:rsid w:val="00F865A7"/>
    <w:rsid w:val="00F8664F"/>
    <w:rsid w:val="00F866E6"/>
    <w:rsid w:val="00F90212"/>
    <w:rsid w:val="00F903E2"/>
    <w:rsid w:val="00F96BAB"/>
    <w:rsid w:val="00F97168"/>
    <w:rsid w:val="00FA0754"/>
    <w:rsid w:val="00FA0CA1"/>
    <w:rsid w:val="00FA0F5E"/>
    <w:rsid w:val="00FA1BC9"/>
    <w:rsid w:val="00FA4450"/>
    <w:rsid w:val="00FA49C3"/>
    <w:rsid w:val="00FA62A2"/>
    <w:rsid w:val="00FB03AF"/>
    <w:rsid w:val="00FB1B9C"/>
    <w:rsid w:val="00FB236E"/>
    <w:rsid w:val="00FB3F7B"/>
    <w:rsid w:val="00FB4C2A"/>
    <w:rsid w:val="00FB5B57"/>
    <w:rsid w:val="00FB65DE"/>
    <w:rsid w:val="00FC2107"/>
    <w:rsid w:val="00FC304D"/>
    <w:rsid w:val="00FC3C18"/>
    <w:rsid w:val="00FC3C42"/>
    <w:rsid w:val="00FC48FE"/>
    <w:rsid w:val="00FC4A2A"/>
    <w:rsid w:val="00FC6A8D"/>
    <w:rsid w:val="00FC6F56"/>
    <w:rsid w:val="00FD01BA"/>
    <w:rsid w:val="00FD50F7"/>
    <w:rsid w:val="00FD60CD"/>
    <w:rsid w:val="00FD69EC"/>
    <w:rsid w:val="00FD6F32"/>
    <w:rsid w:val="00FD76A1"/>
    <w:rsid w:val="00FD78B3"/>
    <w:rsid w:val="00FD7BB1"/>
    <w:rsid w:val="00FE087C"/>
    <w:rsid w:val="00FE0A82"/>
    <w:rsid w:val="00FE5492"/>
    <w:rsid w:val="00FE727F"/>
    <w:rsid w:val="00FE79A0"/>
    <w:rsid w:val="00FF04E0"/>
    <w:rsid w:val="00FF0939"/>
    <w:rsid w:val="00FF127D"/>
    <w:rsid w:val="00FF4A57"/>
    <w:rsid w:val="00FF52AB"/>
    <w:rsid w:val="00FF68D6"/>
    <w:rsid w:val="00FF7BE7"/>
    <w:rsid w:val="0E4EB6E1"/>
    <w:rsid w:val="725F7AAD"/>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4C024"/>
  <w15:chartTrackingRefBased/>
  <w15:docId w15:val="{CC99133A-9F1D-442D-A69D-6A2B1615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6FF"/>
    <w:rPr>
      <w:rFonts w:ascii="Cambria" w:hAnsi="Cambria"/>
      <w:sz w:val="2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paragraph" w:styleId="Heading7">
    <w:name w:val="heading 7"/>
    <w:basedOn w:val="Normal"/>
    <w:next w:val="Normal"/>
    <w:link w:val="Heading7Char"/>
    <w:uiPriority w:val="9"/>
    <w:unhideWhenUsed/>
    <w:qFormat/>
    <w:rsid w:val="007A2BA3"/>
    <w:pPr>
      <w:keepNext/>
      <w:keepLines/>
      <w:spacing w:before="40" w:after="0"/>
      <w:outlineLvl w:val="6"/>
    </w:pPr>
    <w:rPr>
      <w:rFonts w:asciiTheme="majorHAnsi" w:eastAsiaTheme="majorEastAsia" w:hAnsiTheme="majorHAnsi" w:cstheme="majorBidi"/>
      <w:i/>
      <w:iCs/>
      <w:color w:val="1F3763"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uiPriority w:val="99"/>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uiPriority w:val="99"/>
    <w:rsid w:val="00FE087C"/>
    <w:rPr>
      <w:rFonts w:ascii="Cambria" w:eastAsia="Cambria" w:hAnsi="Cambria" w:cs="Times New Roman"/>
      <w:color w:val="333F48"/>
      <w:sz w:val="17"/>
    </w:rPr>
  </w:style>
  <w:style w:type="character" w:styleId="FootnoteReference">
    <w:name w:val="footnote reference"/>
    <w:basedOn w:val="DefaultParagraphFont"/>
    <w:uiPriority w:val="99"/>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Bahnschrift SemiBold SemiConden" w:hAnsi="Bahnschrift SemiBold SemiConden"/>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qFormat/>
    <w:rsid w:val="00854D98"/>
    <w:pPr>
      <w:spacing w:before="120" w:line="240" w:lineRule="auto"/>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qFormat/>
    <w:rsid w:val="00BB5F04"/>
    <w:pPr>
      <w:keepNext/>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qFormat/>
    <w:rsid w:val="00EB2508"/>
    <w:pPr>
      <w:keepNext w:val="0"/>
      <w:spacing w:before="120"/>
    </w:pPr>
    <w:rPr>
      <w:b w:val="0"/>
      <w:sz w:val="19"/>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7Char">
    <w:name w:val="Heading 7 Char"/>
    <w:basedOn w:val="DefaultParagraphFont"/>
    <w:link w:val="Heading7"/>
    <w:uiPriority w:val="9"/>
    <w:rsid w:val="007A2BA3"/>
    <w:rPr>
      <w:rFonts w:asciiTheme="majorHAnsi" w:eastAsiaTheme="majorEastAsia" w:hAnsiTheme="majorHAnsi" w:cstheme="majorBidi"/>
      <w:i/>
      <w:iCs/>
      <w:color w:val="1F3763" w:themeColor="accent1" w:themeShade="7F"/>
      <w:sz w:val="24"/>
    </w:rPr>
  </w:style>
  <w:style w:type="paragraph" w:customStyle="1" w:styleId="Bulletlist">
    <w:name w:val="Bullet list"/>
    <w:basedOn w:val="Normal"/>
    <w:link w:val="BulletlistChar"/>
    <w:qFormat/>
    <w:rsid w:val="00B22AA2"/>
    <w:pPr>
      <w:numPr>
        <w:numId w:val="20"/>
      </w:numPr>
      <w:spacing w:after="180" w:line="252" w:lineRule="auto"/>
      <w:ind w:left="426" w:hanging="284"/>
    </w:pPr>
    <w:rPr>
      <w:rFonts w:eastAsia="Times New Roman" w:cs="Times New Roman"/>
      <w:snapToGrid w:val="0"/>
      <w:kern w:val="2"/>
      <w:sz w:val="23"/>
      <w:szCs w:val="22"/>
    </w:rPr>
  </w:style>
  <w:style w:type="character" w:customStyle="1" w:styleId="BulletlistChar">
    <w:name w:val="Bullet list Char"/>
    <w:basedOn w:val="DefaultParagraphFont"/>
    <w:link w:val="Bulletlist"/>
    <w:rsid w:val="00B22AA2"/>
    <w:rPr>
      <w:rFonts w:ascii="Cambria" w:eastAsia="Times New Roman" w:hAnsi="Cambria" w:cs="Times New Roman"/>
      <w:snapToGrid w:val="0"/>
      <w:kern w:val="2"/>
      <w:sz w:val="23"/>
      <w:szCs w:val="22"/>
    </w:rPr>
  </w:style>
  <w:style w:type="paragraph" w:customStyle="1" w:styleId="Standard">
    <w:name w:val="Standard"/>
    <w:basedOn w:val="Normal"/>
    <w:link w:val="StandardChar"/>
    <w:qFormat/>
    <w:rsid w:val="00CE5104"/>
    <w:pPr>
      <w:spacing w:after="220" w:line="252" w:lineRule="auto"/>
    </w:pPr>
    <w:rPr>
      <w:rFonts w:eastAsia="Times New Roman" w:cs="Times New Roman"/>
      <w:snapToGrid w:val="0"/>
      <w:kern w:val="16"/>
      <w:sz w:val="23"/>
      <w:szCs w:val="24"/>
    </w:rPr>
  </w:style>
  <w:style w:type="character" w:customStyle="1" w:styleId="StandardChar">
    <w:name w:val="Standard Char"/>
    <w:basedOn w:val="DefaultParagraphFont"/>
    <w:link w:val="Standard"/>
    <w:rsid w:val="00CE5104"/>
    <w:rPr>
      <w:rFonts w:ascii="Cambria" w:eastAsia="Times New Roman" w:hAnsi="Cambria" w:cs="Times New Roman"/>
      <w:snapToGrid w:val="0"/>
      <w:kern w:val="16"/>
      <w:sz w:val="23"/>
      <w:szCs w:val="24"/>
    </w:rPr>
  </w:style>
  <w:style w:type="paragraph" w:customStyle="1" w:styleId="Tabletext0">
    <w:name w:val="Table text"/>
    <w:basedOn w:val="Standard"/>
    <w:link w:val="TabletextChar"/>
    <w:qFormat/>
    <w:rsid w:val="00CE5104"/>
    <w:pPr>
      <w:spacing w:before="20" w:after="20"/>
    </w:pPr>
  </w:style>
  <w:style w:type="character" w:customStyle="1" w:styleId="TabletextChar">
    <w:name w:val="Table text Char"/>
    <w:basedOn w:val="StandardChar"/>
    <w:link w:val="Tabletext0"/>
    <w:rsid w:val="00CE5104"/>
    <w:rPr>
      <w:rFonts w:ascii="Cambria" w:eastAsia="Times New Roman" w:hAnsi="Cambria" w:cs="Times New Roman"/>
      <w:snapToGrid w:val="0"/>
      <w:kern w:val="16"/>
      <w:sz w:val="23"/>
      <w:szCs w:val="24"/>
    </w:rPr>
  </w:style>
  <w:style w:type="character" w:styleId="Mention">
    <w:name w:val="Mention"/>
    <w:basedOn w:val="DefaultParagraphFont"/>
    <w:uiPriority w:val="99"/>
    <w:unhideWhenUsed/>
    <w:rsid w:val="00472C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ga.gov.au/australian-public-assessment-report-auspar-guidance" TargetMode="External"/><Relationship Id="rId26" Type="http://schemas.openxmlformats.org/officeDocument/2006/relationships/image" Target="media/image5.png"/><Relationship Id="rId39" Type="http://schemas.openxmlformats.org/officeDocument/2006/relationships/hyperlink" Target="https://www.tga.gov.au" TargetMode="External"/><Relationship Id="rId21" Type="http://schemas.openxmlformats.org/officeDocument/2006/relationships/hyperlink" Target="https://www.tga.gov.au/products/medicines/find-information-about-medicine/prescribing-medicines-pregnancy-database" TargetMode="External"/><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tga.gov.au/black-triangle-scheme" TargetMode="External"/><Relationship Id="rId29" Type="http://schemas.openxmlformats.org/officeDocument/2006/relationships/image" Target="media/image8.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tga.gov.au/how-we-regulate/supply-therapeutic-good-0/supply-prescription-medicine/application-process/prescription-medicines-registration-process" TargetMode="External"/><Relationship Id="rId32" Type="http://schemas.openxmlformats.org/officeDocument/2006/relationships/image" Target="media/image11.png"/><Relationship Id="rId37" Type="http://schemas.openxmlformats.org/officeDocument/2006/relationships/footer" Target="footer4.xml"/><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tga.copyright@tga.gov.au"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tga.gov.au/obstetric-drug-information-services"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s://www.ebs.tga.gov.au/"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tga.gov.au/" TargetMode="External"/><Relationship Id="rId25" Type="http://schemas.openxmlformats.org/officeDocument/2006/relationships/hyperlink" Target="https://www.tga.gov.au/sites/default/files/2024-12/ich_guideline_s9_on_nonclinical_evaluation_for_anticancer__1.pdf" TargetMode="External"/><Relationship Id="rId33" Type="http://schemas.openxmlformats.org/officeDocument/2006/relationships/image" Target="media/image12.png"/><Relationship Id="rId38" Type="http://schemas.openxmlformats.org/officeDocument/2006/relationships/hyperlink" Target="mailto:info@tga.gov.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ma.europa.eu/docs/en_GB/document_library/Scientific_guideline/2009/09/WC500003067.pdf" TargetMode="External"/><Relationship Id="rId2" Type="http://schemas.openxmlformats.org/officeDocument/2006/relationships/hyperlink" Target="https://www.fda.gov/regulatory-information/search-fda-guidance-documents/populationpharmacokinetics" TargetMode="External"/><Relationship Id="rId1" Type="http://schemas.openxmlformats.org/officeDocument/2006/relationships/hyperlink" Target="https://www.leukaemia.org.au/resource/chronic-lymphocytic-leukaemia-cll-information-booklet-english/"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D6307FE19AC940B8F601C25AFE33FA" ma:contentTypeVersion="19" ma:contentTypeDescription="Create a new document." ma:contentTypeScope="" ma:versionID="594367c3e3860020cf23d292faa9e2d5">
  <xsd:schema xmlns:xsd="http://www.w3.org/2001/XMLSchema" xmlns:xs="http://www.w3.org/2001/XMLSchema" xmlns:p="http://schemas.microsoft.com/office/2006/metadata/properties" xmlns:ns2="213b5b92-4a10-49b8-8c40-5a7742dd02e5" xmlns:ns3="085344ca-2f23-4ac3-8921-9dfc5a10ae6e" targetNamespace="http://schemas.microsoft.com/office/2006/metadata/properties" ma:root="true" ma:fieldsID="e4426eda680b399d0f5ceceaa38fc37e" ns2:_="" ns3:_="">
    <xsd:import namespace="213b5b92-4a10-49b8-8c40-5a7742dd02e5"/>
    <xsd:import namespace="085344ca-2f23-4ac3-8921-9dfc5a10ae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b5b92-4a10-49b8-8c40-5a7742dd0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adb9bf-65a7-4dcd-b9fe-2cabe70ed69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5344ca-2f23-4ac3-8921-9dfc5a10ae6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08361a4-8a4c-4c02-b146-31b945b74c74}" ma:internalName="TaxCatchAll" ma:showField="CatchAllData" ma:web="085344ca-2f23-4ac3-8921-9dfc5a10a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5344ca-2f23-4ac3-8921-9dfc5a10ae6e" xsi:nil="true"/>
    <lcf76f155ced4ddcb4097134ff3c332f xmlns="213b5b92-4a10-49b8-8c40-5a7742dd02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customXml/itemProps2.xml><?xml version="1.0" encoding="utf-8"?>
<ds:datastoreItem xmlns:ds="http://schemas.openxmlformats.org/officeDocument/2006/customXml" ds:itemID="{CB32DA9D-2A71-414A-B367-3E4C789B8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b5b92-4a10-49b8-8c40-5a7742dd02e5"/>
    <ds:schemaRef ds:uri="085344ca-2f23-4ac3-8921-9dfc5a10a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0EFCDB-3E10-4757-A4BA-880036B2CDD7}">
  <ds:schemaRefs>
    <ds:schemaRef ds:uri="http://schemas.microsoft.com/sharepoint/v3/contenttype/forms"/>
  </ds:schemaRefs>
</ds:datastoreItem>
</file>

<file path=customXml/itemProps4.xml><?xml version="1.0" encoding="utf-8"?>
<ds:datastoreItem xmlns:ds="http://schemas.openxmlformats.org/officeDocument/2006/customXml" ds:itemID="{F791DE2A-1FAC-486D-BDFB-29B6367A5AE0}">
  <ds:schemaRefs>
    <ds:schemaRef ds:uri="http://schemas.microsoft.com/office/2006/metadata/properties"/>
    <ds:schemaRef ds:uri="http://schemas.microsoft.com/office/infopath/2007/PartnerControls"/>
    <ds:schemaRef ds:uri="085344ca-2f23-4ac3-8921-9dfc5a10ae6e"/>
    <ds:schemaRef ds:uri="213b5b92-4a10-49b8-8c40-5a7742dd02e5"/>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31</Pages>
  <Words>10345</Words>
  <Characters>58967</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69174</CharactersWithSpaces>
  <SharedDoc>false</SharedDoc>
  <HLinks>
    <vt:vector size="384" baseType="variant">
      <vt:variant>
        <vt:i4>3473445</vt:i4>
      </vt:variant>
      <vt:variant>
        <vt:i4>249</vt:i4>
      </vt:variant>
      <vt:variant>
        <vt:i4>0</vt:i4>
      </vt:variant>
      <vt:variant>
        <vt:i4>5</vt:i4>
      </vt:variant>
      <vt:variant>
        <vt:lpwstr>https://www.tga.gov.au/</vt:lpwstr>
      </vt:variant>
      <vt:variant>
        <vt:lpwstr/>
      </vt:variant>
      <vt:variant>
        <vt:i4>5242926</vt:i4>
      </vt:variant>
      <vt:variant>
        <vt:i4>246</vt:i4>
      </vt:variant>
      <vt:variant>
        <vt:i4>0</vt:i4>
      </vt:variant>
      <vt:variant>
        <vt:i4>5</vt:i4>
      </vt:variant>
      <vt:variant>
        <vt:lpwstr>mailto:info@tga.gov.au</vt:lpwstr>
      </vt:variant>
      <vt:variant>
        <vt:lpwstr/>
      </vt:variant>
      <vt:variant>
        <vt:i4>7929907</vt:i4>
      </vt:variant>
      <vt:variant>
        <vt:i4>243</vt:i4>
      </vt:variant>
      <vt:variant>
        <vt:i4>0</vt:i4>
      </vt:variant>
      <vt:variant>
        <vt:i4>5</vt:i4>
      </vt:variant>
      <vt:variant>
        <vt:lpwstr>https://www.ebs.tga.gov.au/</vt:lpwstr>
      </vt:variant>
      <vt:variant>
        <vt:lpwstr/>
      </vt:variant>
      <vt:variant>
        <vt:i4>6946839</vt:i4>
      </vt:variant>
      <vt:variant>
        <vt:i4>189</vt:i4>
      </vt:variant>
      <vt:variant>
        <vt:i4>0</vt:i4>
      </vt:variant>
      <vt:variant>
        <vt:i4>5</vt:i4>
      </vt:variant>
      <vt:variant>
        <vt:lpwstr>https://www.tga.gov.au/sites/default/files/2024-12/ich_guideline_s9_on_nonclinical_evaluation_for_anticancer__1.pdf</vt:lpwstr>
      </vt:variant>
      <vt:variant>
        <vt:lpwstr/>
      </vt:variant>
      <vt:variant>
        <vt:i4>1835097</vt:i4>
      </vt:variant>
      <vt:variant>
        <vt:i4>183</vt:i4>
      </vt:variant>
      <vt:variant>
        <vt:i4>0</vt:i4>
      </vt:variant>
      <vt:variant>
        <vt:i4>5</vt:i4>
      </vt:variant>
      <vt:variant>
        <vt:lpwstr>https://www.tga.gov.au/how-we-regulate/supply-therapeutic-good-0/supply-prescription-medicine/application-process/prescription-medicines-registration-process</vt:lpwstr>
      </vt:variant>
      <vt:variant>
        <vt:lpwstr/>
      </vt:variant>
      <vt:variant>
        <vt:i4>3670063</vt:i4>
      </vt:variant>
      <vt:variant>
        <vt:i4>168</vt:i4>
      </vt:variant>
      <vt:variant>
        <vt:i4>0</vt:i4>
      </vt:variant>
      <vt:variant>
        <vt:i4>5</vt:i4>
      </vt:variant>
      <vt:variant>
        <vt:lpwstr>https://www.tga.gov.au/obstetric-drug-information-services</vt:lpwstr>
      </vt:variant>
      <vt:variant>
        <vt:lpwstr/>
      </vt:variant>
      <vt:variant>
        <vt:i4>2949173</vt:i4>
      </vt:variant>
      <vt:variant>
        <vt:i4>165</vt:i4>
      </vt:variant>
      <vt:variant>
        <vt:i4>0</vt:i4>
      </vt:variant>
      <vt:variant>
        <vt:i4>5</vt:i4>
      </vt:variant>
      <vt:variant>
        <vt:lpwstr>https://www.tga.gov.au/products/medicines/find-information-about-medicine/prescribing-medicines-pregnancy-database</vt:lpwstr>
      </vt:variant>
      <vt:variant>
        <vt:lpwstr/>
      </vt:variant>
      <vt:variant>
        <vt:i4>786511</vt:i4>
      </vt:variant>
      <vt:variant>
        <vt:i4>162</vt:i4>
      </vt:variant>
      <vt:variant>
        <vt:i4>0</vt:i4>
      </vt:variant>
      <vt:variant>
        <vt:i4>5</vt:i4>
      </vt:variant>
      <vt:variant>
        <vt:lpwstr>https://www.tga.gov.au/black-triangle-scheme</vt:lpwstr>
      </vt:variant>
      <vt:variant>
        <vt:lpwstr/>
      </vt:variant>
      <vt:variant>
        <vt:i4>1835056</vt:i4>
      </vt:variant>
      <vt:variant>
        <vt:i4>155</vt:i4>
      </vt:variant>
      <vt:variant>
        <vt:i4>0</vt:i4>
      </vt:variant>
      <vt:variant>
        <vt:i4>5</vt:i4>
      </vt:variant>
      <vt:variant>
        <vt:lpwstr/>
      </vt:variant>
      <vt:variant>
        <vt:lpwstr>_Toc240558724</vt:lpwstr>
      </vt:variant>
      <vt:variant>
        <vt:i4>1835056</vt:i4>
      </vt:variant>
      <vt:variant>
        <vt:i4>149</vt:i4>
      </vt:variant>
      <vt:variant>
        <vt:i4>0</vt:i4>
      </vt:variant>
      <vt:variant>
        <vt:i4>5</vt:i4>
      </vt:variant>
      <vt:variant>
        <vt:lpwstr/>
      </vt:variant>
      <vt:variant>
        <vt:lpwstr>_Toc240558723</vt:lpwstr>
      </vt:variant>
      <vt:variant>
        <vt:i4>1835056</vt:i4>
      </vt:variant>
      <vt:variant>
        <vt:i4>143</vt:i4>
      </vt:variant>
      <vt:variant>
        <vt:i4>0</vt:i4>
      </vt:variant>
      <vt:variant>
        <vt:i4>5</vt:i4>
      </vt:variant>
      <vt:variant>
        <vt:lpwstr/>
      </vt:variant>
      <vt:variant>
        <vt:lpwstr>_Toc240558722</vt:lpwstr>
      </vt:variant>
      <vt:variant>
        <vt:i4>1835056</vt:i4>
      </vt:variant>
      <vt:variant>
        <vt:i4>137</vt:i4>
      </vt:variant>
      <vt:variant>
        <vt:i4>0</vt:i4>
      </vt:variant>
      <vt:variant>
        <vt:i4>5</vt:i4>
      </vt:variant>
      <vt:variant>
        <vt:lpwstr/>
      </vt:variant>
      <vt:variant>
        <vt:lpwstr>_Toc240558721</vt:lpwstr>
      </vt:variant>
      <vt:variant>
        <vt:i4>1835056</vt:i4>
      </vt:variant>
      <vt:variant>
        <vt:i4>131</vt:i4>
      </vt:variant>
      <vt:variant>
        <vt:i4>0</vt:i4>
      </vt:variant>
      <vt:variant>
        <vt:i4>5</vt:i4>
      </vt:variant>
      <vt:variant>
        <vt:lpwstr/>
      </vt:variant>
      <vt:variant>
        <vt:lpwstr>_Toc240558720</vt:lpwstr>
      </vt:variant>
      <vt:variant>
        <vt:i4>2031664</vt:i4>
      </vt:variant>
      <vt:variant>
        <vt:i4>125</vt:i4>
      </vt:variant>
      <vt:variant>
        <vt:i4>0</vt:i4>
      </vt:variant>
      <vt:variant>
        <vt:i4>5</vt:i4>
      </vt:variant>
      <vt:variant>
        <vt:lpwstr/>
      </vt:variant>
      <vt:variant>
        <vt:lpwstr>_Toc240558719</vt:lpwstr>
      </vt:variant>
      <vt:variant>
        <vt:i4>2031664</vt:i4>
      </vt:variant>
      <vt:variant>
        <vt:i4>119</vt:i4>
      </vt:variant>
      <vt:variant>
        <vt:i4>0</vt:i4>
      </vt:variant>
      <vt:variant>
        <vt:i4>5</vt:i4>
      </vt:variant>
      <vt:variant>
        <vt:lpwstr/>
      </vt:variant>
      <vt:variant>
        <vt:lpwstr>_Toc240558718</vt:lpwstr>
      </vt:variant>
      <vt:variant>
        <vt:i4>2031664</vt:i4>
      </vt:variant>
      <vt:variant>
        <vt:i4>113</vt:i4>
      </vt:variant>
      <vt:variant>
        <vt:i4>0</vt:i4>
      </vt:variant>
      <vt:variant>
        <vt:i4>5</vt:i4>
      </vt:variant>
      <vt:variant>
        <vt:lpwstr/>
      </vt:variant>
      <vt:variant>
        <vt:lpwstr>_Toc240558717</vt:lpwstr>
      </vt:variant>
      <vt:variant>
        <vt:i4>2031664</vt:i4>
      </vt:variant>
      <vt:variant>
        <vt:i4>107</vt:i4>
      </vt:variant>
      <vt:variant>
        <vt:i4>0</vt:i4>
      </vt:variant>
      <vt:variant>
        <vt:i4>5</vt:i4>
      </vt:variant>
      <vt:variant>
        <vt:lpwstr/>
      </vt:variant>
      <vt:variant>
        <vt:lpwstr>_Toc240558716</vt:lpwstr>
      </vt:variant>
      <vt:variant>
        <vt:i4>2031664</vt:i4>
      </vt:variant>
      <vt:variant>
        <vt:i4>101</vt:i4>
      </vt:variant>
      <vt:variant>
        <vt:i4>0</vt:i4>
      </vt:variant>
      <vt:variant>
        <vt:i4>5</vt:i4>
      </vt:variant>
      <vt:variant>
        <vt:lpwstr/>
      </vt:variant>
      <vt:variant>
        <vt:lpwstr>_Toc240558715</vt:lpwstr>
      </vt:variant>
      <vt:variant>
        <vt:i4>2031664</vt:i4>
      </vt:variant>
      <vt:variant>
        <vt:i4>95</vt:i4>
      </vt:variant>
      <vt:variant>
        <vt:i4>0</vt:i4>
      </vt:variant>
      <vt:variant>
        <vt:i4>5</vt:i4>
      </vt:variant>
      <vt:variant>
        <vt:lpwstr/>
      </vt:variant>
      <vt:variant>
        <vt:lpwstr>_Toc240558714</vt:lpwstr>
      </vt:variant>
      <vt:variant>
        <vt:i4>2031664</vt:i4>
      </vt:variant>
      <vt:variant>
        <vt:i4>89</vt:i4>
      </vt:variant>
      <vt:variant>
        <vt:i4>0</vt:i4>
      </vt:variant>
      <vt:variant>
        <vt:i4>5</vt:i4>
      </vt:variant>
      <vt:variant>
        <vt:lpwstr/>
      </vt:variant>
      <vt:variant>
        <vt:lpwstr>_Toc240558713</vt:lpwstr>
      </vt:variant>
      <vt:variant>
        <vt:i4>2031664</vt:i4>
      </vt:variant>
      <vt:variant>
        <vt:i4>83</vt:i4>
      </vt:variant>
      <vt:variant>
        <vt:i4>0</vt:i4>
      </vt:variant>
      <vt:variant>
        <vt:i4>5</vt:i4>
      </vt:variant>
      <vt:variant>
        <vt:lpwstr/>
      </vt:variant>
      <vt:variant>
        <vt:lpwstr>_Toc240558712</vt:lpwstr>
      </vt:variant>
      <vt:variant>
        <vt:i4>2031664</vt:i4>
      </vt:variant>
      <vt:variant>
        <vt:i4>77</vt:i4>
      </vt:variant>
      <vt:variant>
        <vt:i4>0</vt:i4>
      </vt:variant>
      <vt:variant>
        <vt:i4>5</vt:i4>
      </vt:variant>
      <vt:variant>
        <vt:lpwstr/>
      </vt:variant>
      <vt:variant>
        <vt:lpwstr>_Toc240558711</vt:lpwstr>
      </vt:variant>
      <vt:variant>
        <vt:i4>2031664</vt:i4>
      </vt:variant>
      <vt:variant>
        <vt:i4>71</vt:i4>
      </vt:variant>
      <vt:variant>
        <vt:i4>0</vt:i4>
      </vt:variant>
      <vt:variant>
        <vt:i4>5</vt:i4>
      </vt:variant>
      <vt:variant>
        <vt:lpwstr/>
      </vt:variant>
      <vt:variant>
        <vt:lpwstr>_Toc240558710</vt:lpwstr>
      </vt:variant>
      <vt:variant>
        <vt:i4>1966128</vt:i4>
      </vt:variant>
      <vt:variant>
        <vt:i4>65</vt:i4>
      </vt:variant>
      <vt:variant>
        <vt:i4>0</vt:i4>
      </vt:variant>
      <vt:variant>
        <vt:i4>5</vt:i4>
      </vt:variant>
      <vt:variant>
        <vt:lpwstr/>
      </vt:variant>
      <vt:variant>
        <vt:lpwstr>_Toc240558709</vt:lpwstr>
      </vt:variant>
      <vt:variant>
        <vt:i4>1966128</vt:i4>
      </vt:variant>
      <vt:variant>
        <vt:i4>59</vt:i4>
      </vt:variant>
      <vt:variant>
        <vt:i4>0</vt:i4>
      </vt:variant>
      <vt:variant>
        <vt:i4>5</vt:i4>
      </vt:variant>
      <vt:variant>
        <vt:lpwstr/>
      </vt:variant>
      <vt:variant>
        <vt:lpwstr>_Toc240558708</vt:lpwstr>
      </vt:variant>
      <vt:variant>
        <vt:i4>1966128</vt:i4>
      </vt:variant>
      <vt:variant>
        <vt:i4>53</vt:i4>
      </vt:variant>
      <vt:variant>
        <vt:i4>0</vt:i4>
      </vt:variant>
      <vt:variant>
        <vt:i4>5</vt:i4>
      </vt:variant>
      <vt:variant>
        <vt:lpwstr/>
      </vt:variant>
      <vt:variant>
        <vt:lpwstr>_Toc240558707</vt:lpwstr>
      </vt:variant>
      <vt:variant>
        <vt:i4>1966128</vt:i4>
      </vt:variant>
      <vt:variant>
        <vt:i4>47</vt:i4>
      </vt:variant>
      <vt:variant>
        <vt:i4>0</vt:i4>
      </vt:variant>
      <vt:variant>
        <vt:i4>5</vt:i4>
      </vt:variant>
      <vt:variant>
        <vt:lpwstr/>
      </vt:variant>
      <vt:variant>
        <vt:lpwstr>_Toc240558706</vt:lpwstr>
      </vt:variant>
      <vt:variant>
        <vt:i4>1966128</vt:i4>
      </vt:variant>
      <vt:variant>
        <vt:i4>41</vt:i4>
      </vt:variant>
      <vt:variant>
        <vt:i4>0</vt:i4>
      </vt:variant>
      <vt:variant>
        <vt:i4>5</vt:i4>
      </vt:variant>
      <vt:variant>
        <vt:lpwstr/>
      </vt:variant>
      <vt:variant>
        <vt:lpwstr>_Toc240558705</vt:lpwstr>
      </vt:variant>
      <vt:variant>
        <vt:i4>1966128</vt:i4>
      </vt:variant>
      <vt:variant>
        <vt:i4>35</vt:i4>
      </vt:variant>
      <vt:variant>
        <vt:i4>0</vt:i4>
      </vt:variant>
      <vt:variant>
        <vt:i4>5</vt:i4>
      </vt:variant>
      <vt:variant>
        <vt:lpwstr/>
      </vt:variant>
      <vt:variant>
        <vt:lpwstr>_Toc240558704</vt:lpwstr>
      </vt:variant>
      <vt:variant>
        <vt:i4>1966128</vt:i4>
      </vt:variant>
      <vt:variant>
        <vt:i4>29</vt:i4>
      </vt:variant>
      <vt:variant>
        <vt:i4>0</vt:i4>
      </vt:variant>
      <vt:variant>
        <vt:i4>5</vt:i4>
      </vt:variant>
      <vt:variant>
        <vt:lpwstr/>
      </vt:variant>
      <vt:variant>
        <vt:lpwstr>_Toc240558703</vt:lpwstr>
      </vt:variant>
      <vt:variant>
        <vt:i4>1966128</vt:i4>
      </vt:variant>
      <vt:variant>
        <vt:i4>23</vt:i4>
      </vt:variant>
      <vt:variant>
        <vt:i4>0</vt:i4>
      </vt:variant>
      <vt:variant>
        <vt:i4>5</vt:i4>
      </vt:variant>
      <vt:variant>
        <vt:lpwstr/>
      </vt:variant>
      <vt:variant>
        <vt:lpwstr>_Toc240558702</vt:lpwstr>
      </vt:variant>
      <vt:variant>
        <vt:i4>1966128</vt:i4>
      </vt:variant>
      <vt:variant>
        <vt:i4>17</vt:i4>
      </vt:variant>
      <vt:variant>
        <vt:i4>0</vt:i4>
      </vt:variant>
      <vt:variant>
        <vt:i4>5</vt:i4>
      </vt:variant>
      <vt:variant>
        <vt:lpwstr/>
      </vt:variant>
      <vt:variant>
        <vt:lpwstr>_Toc240558701</vt:lpwstr>
      </vt:variant>
      <vt:variant>
        <vt:i4>1966128</vt:i4>
      </vt:variant>
      <vt:variant>
        <vt:i4>11</vt:i4>
      </vt:variant>
      <vt:variant>
        <vt:i4>0</vt:i4>
      </vt:variant>
      <vt:variant>
        <vt:i4>5</vt:i4>
      </vt:variant>
      <vt:variant>
        <vt:lpwstr/>
      </vt:variant>
      <vt:variant>
        <vt:lpwstr>_Toc240558700</vt:lpwstr>
      </vt:variant>
      <vt:variant>
        <vt:i4>6291548</vt:i4>
      </vt:variant>
      <vt:variant>
        <vt:i4>6</vt:i4>
      </vt:variant>
      <vt:variant>
        <vt:i4>0</vt:i4>
      </vt:variant>
      <vt:variant>
        <vt:i4>5</vt:i4>
      </vt:variant>
      <vt:variant>
        <vt:lpwstr>mailto:tga.copyright@tga.gov.au</vt:lpwstr>
      </vt:variant>
      <vt:variant>
        <vt:lpwstr/>
      </vt:variant>
      <vt:variant>
        <vt:i4>7995497</vt:i4>
      </vt:variant>
      <vt:variant>
        <vt:i4>3</vt:i4>
      </vt:variant>
      <vt:variant>
        <vt:i4>0</vt:i4>
      </vt:variant>
      <vt:variant>
        <vt:i4>5</vt:i4>
      </vt:variant>
      <vt:variant>
        <vt:lpwstr>https://www.tga.gov.au/australian-public-assessment-report-auspar-guidance</vt:lpwstr>
      </vt:variant>
      <vt:variant>
        <vt:lpwstr/>
      </vt:variant>
      <vt:variant>
        <vt:i4>3473445</vt:i4>
      </vt:variant>
      <vt:variant>
        <vt:i4>0</vt:i4>
      </vt:variant>
      <vt:variant>
        <vt:i4>0</vt:i4>
      </vt:variant>
      <vt:variant>
        <vt:i4>5</vt:i4>
      </vt:variant>
      <vt:variant>
        <vt:lpwstr>https://www.tga.gov.au/</vt:lpwstr>
      </vt:variant>
      <vt:variant>
        <vt:lpwstr/>
      </vt:variant>
      <vt:variant>
        <vt:i4>2949194</vt:i4>
      </vt:variant>
      <vt:variant>
        <vt:i4>6</vt:i4>
      </vt:variant>
      <vt:variant>
        <vt:i4>0</vt:i4>
      </vt:variant>
      <vt:variant>
        <vt:i4>5</vt:i4>
      </vt:variant>
      <vt:variant>
        <vt:lpwstr>http://www.ema.europa.eu/docs/en_GB/document_library/Scientific_guideline/2009/09/WC500003067.pdf</vt:lpwstr>
      </vt:variant>
      <vt:variant>
        <vt:lpwstr/>
      </vt:variant>
      <vt:variant>
        <vt:i4>3932204</vt:i4>
      </vt:variant>
      <vt:variant>
        <vt:i4>3</vt:i4>
      </vt:variant>
      <vt:variant>
        <vt:i4>0</vt:i4>
      </vt:variant>
      <vt:variant>
        <vt:i4>5</vt:i4>
      </vt:variant>
      <vt:variant>
        <vt:lpwstr>https://www.fda.gov/regulatory-information/search-fda-guidance-documents/populationpharmacokinetics</vt:lpwstr>
      </vt:variant>
      <vt:variant>
        <vt:lpwstr/>
      </vt:variant>
      <vt:variant>
        <vt:i4>4915224</vt:i4>
      </vt:variant>
      <vt:variant>
        <vt:i4>0</vt:i4>
      </vt:variant>
      <vt:variant>
        <vt:i4>0</vt:i4>
      </vt:variant>
      <vt:variant>
        <vt:i4>5</vt:i4>
      </vt:variant>
      <vt:variant>
        <vt:lpwstr>https://www.leukaemia.org.au/resource/chronic-lymphocytic-leukaemia-cll-information-booklet-english/</vt:lpwstr>
      </vt:variant>
      <vt:variant>
        <vt:lpwstr/>
      </vt:variant>
      <vt:variant>
        <vt:i4>5308530</vt:i4>
      </vt:variant>
      <vt:variant>
        <vt:i4>72</vt:i4>
      </vt:variant>
      <vt:variant>
        <vt:i4>0</vt:i4>
      </vt:variant>
      <vt:variant>
        <vt:i4>5</vt:i4>
      </vt:variant>
      <vt:variant>
        <vt:lpwstr>https://www.ema.europa.eu/en/documents/assessment-report/jaypirca-epar-public-assessment-report_en.pdf</vt:lpwstr>
      </vt:variant>
      <vt:variant>
        <vt:lpwstr/>
      </vt:variant>
      <vt:variant>
        <vt:i4>1835068</vt:i4>
      </vt:variant>
      <vt:variant>
        <vt:i4>69</vt:i4>
      </vt:variant>
      <vt:variant>
        <vt:i4>0</vt:i4>
      </vt:variant>
      <vt:variant>
        <vt:i4>5</vt:i4>
      </vt:variant>
      <vt:variant>
        <vt:lpwstr>mailto:cornwellpd@lilly.com</vt:lpwstr>
      </vt:variant>
      <vt:variant>
        <vt:lpwstr/>
      </vt:variant>
      <vt:variant>
        <vt:i4>7995456</vt:i4>
      </vt:variant>
      <vt:variant>
        <vt:i4>66</vt:i4>
      </vt:variant>
      <vt:variant>
        <vt:i4>0</vt:i4>
      </vt:variant>
      <vt:variant>
        <vt:i4>5</vt:i4>
      </vt:variant>
      <vt:variant>
        <vt:lpwstr>mailto:jones_karen_o@lilly.com</vt:lpwstr>
      </vt:variant>
      <vt:variant>
        <vt:lpwstr/>
      </vt:variant>
      <vt:variant>
        <vt:i4>4194360</vt:i4>
      </vt:variant>
      <vt:variant>
        <vt:i4>63</vt:i4>
      </vt:variant>
      <vt:variant>
        <vt:i4>0</vt:i4>
      </vt:variant>
      <vt:variant>
        <vt:i4>5</vt:i4>
      </vt:variant>
      <vt:variant>
        <vt:lpwstr>mailto:silvia.ribeiro@lilly.com</vt:lpwstr>
      </vt:variant>
      <vt:variant>
        <vt:lpwstr/>
      </vt:variant>
      <vt:variant>
        <vt:i4>1638504</vt:i4>
      </vt:variant>
      <vt:variant>
        <vt:i4>60</vt:i4>
      </vt:variant>
      <vt:variant>
        <vt:i4>0</vt:i4>
      </vt:variant>
      <vt:variant>
        <vt:i4>5</vt:i4>
      </vt:variant>
      <vt:variant>
        <vt:lpwstr>mailto:heiko.konig@lilly.com</vt:lpwstr>
      </vt:variant>
      <vt:variant>
        <vt:lpwstr/>
      </vt:variant>
      <vt:variant>
        <vt:i4>3342413</vt:i4>
      </vt:variant>
      <vt:variant>
        <vt:i4>57</vt:i4>
      </vt:variant>
      <vt:variant>
        <vt:i4>0</vt:i4>
      </vt:variant>
      <vt:variant>
        <vt:i4>5</vt:i4>
      </vt:variant>
      <vt:variant>
        <vt:lpwstr>https://www.ema.europa.eu/en/documents/variation-report/jaypirca-h-c-005863-ii-0002-epar-assessment-report-variation_en.pdf</vt:lpwstr>
      </vt:variant>
      <vt:variant>
        <vt:lpwstr/>
      </vt:variant>
      <vt:variant>
        <vt:i4>3342413</vt:i4>
      </vt:variant>
      <vt:variant>
        <vt:i4>54</vt:i4>
      </vt:variant>
      <vt:variant>
        <vt:i4>0</vt:i4>
      </vt:variant>
      <vt:variant>
        <vt:i4>5</vt:i4>
      </vt:variant>
      <vt:variant>
        <vt:lpwstr>https://www.ema.europa.eu/en/documents/variation-report/jaypirca-h-c-005863-ii-0002-epar-assessment-report-variation_en.pdf</vt:lpwstr>
      </vt:variant>
      <vt:variant>
        <vt:lpwstr/>
      </vt:variant>
      <vt:variant>
        <vt:i4>6684738</vt:i4>
      </vt:variant>
      <vt:variant>
        <vt:i4>51</vt:i4>
      </vt:variant>
      <vt:variant>
        <vt:i4>0</vt:i4>
      </vt:variant>
      <vt:variant>
        <vt:i4>5</vt:i4>
      </vt:variant>
      <vt:variant>
        <vt:lpwstr>https://cdn.clinicaltrials.gov/large-docs/38/NCT04666038/Prot_000.pdf</vt:lpwstr>
      </vt:variant>
      <vt:variant>
        <vt:lpwstr/>
      </vt:variant>
      <vt:variant>
        <vt:i4>2359353</vt:i4>
      </vt:variant>
      <vt:variant>
        <vt:i4>48</vt:i4>
      </vt:variant>
      <vt:variant>
        <vt:i4>0</vt:i4>
      </vt:variant>
      <vt:variant>
        <vt:i4>5</vt:i4>
      </vt:variant>
      <vt:variant>
        <vt:lpwstr>mailto:holzhausen_lars@lilly.com</vt:lpwstr>
      </vt:variant>
      <vt:variant>
        <vt:lpwstr/>
      </vt:variant>
      <vt:variant>
        <vt:i4>4194360</vt:i4>
      </vt:variant>
      <vt:variant>
        <vt:i4>45</vt:i4>
      </vt:variant>
      <vt:variant>
        <vt:i4>0</vt:i4>
      </vt:variant>
      <vt:variant>
        <vt:i4>5</vt:i4>
      </vt:variant>
      <vt:variant>
        <vt:lpwstr>mailto:silvia.ribeiro@lilly.com</vt:lpwstr>
      </vt:variant>
      <vt:variant>
        <vt:lpwstr/>
      </vt:variant>
      <vt:variant>
        <vt:i4>1638504</vt:i4>
      </vt:variant>
      <vt:variant>
        <vt:i4>42</vt:i4>
      </vt:variant>
      <vt:variant>
        <vt:i4>0</vt:i4>
      </vt:variant>
      <vt:variant>
        <vt:i4>5</vt:i4>
      </vt:variant>
      <vt:variant>
        <vt:lpwstr>mailto:heiko.konig@lilly.com</vt:lpwstr>
      </vt:variant>
      <vt:variant>
        <vt:lpwstr/>
      </vt:variant>
      <vt:variant>
        <vt:i4>6619202</vt:i4>
      </vt:variant>
      <vt:variant>
        <vt:i4>39</vt:i4>
      </vt:variant>
      <vt:variant>
        <vt:i4>0</vt:i4>
      </vt:variant>
      <vt:variant>
        <vt:i4>5</vt:i4>
      </vt:variant>
      <vt:variant>
        <vt:lpwstr>mailto:leow_ching_ching@lilly.com</vt:lpwstr>
      </vt:variant>
      <vt:variant>
        <vt:lpwstr/>
      </vt:variant>
      <vt:variant>
        <vt:i4>80</vt:i4>
      </vt:variant>
      <vt:variant>
        <vt:i4>36</vt:i4>
      </vt:variant>
      <vt:variant>
        <vt:i4>0</vt:i4>
      </vt:variant>
      <vt:variant>
        <vt:i4>5</vt:i4>
      </vt:variant>
      <vt:variant>
        <vt:lpwstr>https://lilly-rim.veevavault.com/ui/</vt:lpwstr>
      </vt:variant>
      <vt:variant>
        <vt:lpwstr>t/0TB000000000517/A1A/A1A0000000AU119?expanded=details__c&amp;ivp=2&amp;idx=21&amp;pt=relobj&amp;tvsl=JnZvYmplY3ROYW1lPWFjdGl2aXR5X19yaW0mcGFyZW50RmllbGQ9ZXZlbnRfX3JpbSZwYXJlbnRJZHMlNUIlNUQ9QTBaMDAwMDAwMEE0MDAxJmZpbHRlckluU3RyaW5nPSZzZWFyY2hUZXJtPWNoJnNvcnRCeT1pbXBhY3RlZF9tYXJrZXRfX3JpbSZzb3J0T3JkZXI9QVNDRU5ESU5HJnJlcXVpcmVzQWNjdXJhdGVUb3RhbEFtb3VudD10cnVlJmFsbG93RmllbGRBc0NvbnRyb2w9dHJ1ZQ&amp;_layout=regulatory_activity_detail_page_layout__c&amp;s=0</vt:lpwstr>
      </vt:variant>
      <vt:variant>
        <vt:i4>5505118</vt:i4>
      </vt:variant>
      <vt:variant>
        <vt:i4>33</vt:i4>
      </vt:variant>
      <vt:variant>
        <vt:i4>0</vt:i4>
      </vt:variant>
      <vt:variant>
        <vt:i4>5</vt:i4>
      </vt:variant>
      <vt:variant>
        <vt:lpwstr>https://lilly-rim.veevavault.com/ui/</vt:lpwstr>
      </vt:variant>
      <vt:variant>
        <vt:lpwstr>t/0TB000000000517/A1A/A1A0000000AV098?expanded=details__c&amp;ivp=1&amp;idx=1&amp;pt=relobj&amp;tvsl=JnZvYmplY3ROYW1lPWFjdGl2aXR5X19yaW0mcGFyZW50RmllbGQ9ZXZlbnRfX3JpbSZwYXJlbnRJZHMlNUIlNUQ9QTBaMDAwMDAwMEE0MDAxJmZpbHRlckluU3RyaW5nPSZzZWFyY2hUZXJtPVVLJnNvcnRCeT1pbXBhY3RlZF9tYXJrZXRfX3JpbSZzb3J0T3JkZXI9QVNDRU5ESU5HJnJlcXVpcmVzQWNjdXJhdGVUb3RhbEFtb3VudD10cnVlJmFsbG93RmllbGRBc0NvbnRyb2w9dHJ1ZQ&amp;_layout=regulatory_activity_detail_page_layout__c&amp;s=0</vt:lpwstr>
      </vt:variant>
      <vt:variant>
        <vt:i4>1114195</vt:i4>
      </vt:variant>
      <vt:variant>
        <vt:i4>30</vt:i4>
      </vt:variant>
      <vt:variant>
        <vt:i4>0</vt:i4>
      </vt:variant>
      <vt:variant>
        <vt:i4>5</vt:i4>
      </vt:variant>
      <vt:variant>
        <vt:lpwstr>https://lilly-rim.veevavault.com/ui/</vt:lpwstr>
      </vt:variant>
      <vt:variant>
        <vt:lpwstr>t/0TB000000000602/00S/00S0000000RO072?expanded=details__c&amp;ivp=1&amp;idx=7&amp;pt=relobj&amp;tvsl=JnZvYmplY3ROYW1lPXN1Ym1pc3Npb25fX3YmcGFyZW50RmllbGQ9YXBwbGljYXRpb25fX3YmcGFyZW50SWRzJTVCJTVEPTAwQTAwMDAwMDBHWDAwMiZmaWx0ZXJJblN0cmluZz1vYmplY3RfdHlwZV9fdnIuYXBpX25hbWVfX3YrJTNEKyUyN21hcmtldGluZ19zdWJtaXNzaW9uX19jJTI3JnNlYXJjaFRlcm09JnNvcnRCeT1hY3R1YWxfc3VibWlzc2lvbl9kYXRlX19yaW0mc29ydE9yZGVyPUFTQ0VORElORyZyZXF1aXJlc0FjY3VyYXRlVG90YWxBbW91bnQ9dHJ1ZSZhbGxvd0ZpZWxkQXNDb250cm9sPXRydWU&amp;_layout=marketing_submission_detail_page_layout__c&amp;s=0</vt:lpwstr>
      </vt:variant>
      <vt:variant>
        <vt:i4>2031630</vt:i4>
      </vt:variant>
      <vt:variant>
        <vt:i4>27</vt:i4>
      </vt:variant>
      <vt:variant>
        <vt:i4>0</vt:i4>
      </vt:variant>
      <vt:variant>
        <vt:i4>5</vt:i4>
      </vt:variant>
      <vt:variant>
        <vt:lpwstr>https://dhpp.hpfb-dgpsa.ca/review-documents/resource/SBD1766590132872</vt:lpwstr>
      </vt:variant>
      <vt:variant>
        <vt:lpwstr/>
      </vt:variant>
      <vt:variant>
        <vt:i4>5636171</vt:i4>
      </vt:variant>
      <vt:variant>
        <vt:i4>24</vt:i4>
      </vt:variant>
      <vt:variant>
        <vt:i4>0</vt:i4>
      </vt:variant>
      <vt:variant>
        <vt:i4>5</vt:i4>
      </vt:variant>
      <vt:variant>
        <vt:lpwstr>https://lilly-rim.veevavault.com/ui/</vt:lpwstr>
      </vt:variant>
      <vt:variant>
        <vt:lpwstr>t/0TB000000000517/A1A/A1A0000000VG023?expanded=details__c&amp;ivp=1&amp;idx=5&amp;pt=relobj&amp;tvsl=JnZvYmplY3ROYW1lPWFjdGl2aXR5X19yaW0mcGFyZW50RmllbGQ9ZXZlbnRfX3JpbSZwYXJlbnRJZHMlNUIlNUQ9QTBaMDAwMDAwMEE0MDAxJmZpbHRlckluU3RyaW5nPSZzZWFyY2hUZXJtPUNBJnNvcnRCeT1pbXBhY3RlZF9tYXJrZXRfX3JpbSZzb3J0T3JkZXI9QVNDRU5ESU5HJnJlcXVpcmVzQWNjdXJhdGVUb3RhbEFtb3VudD10cnVlJmFsbG93RmllbGRBc0NvbnRyb2w9dHJ1ZQ&amp;_layout=regulatory_activity_detail_page_layout__c&amp;s=0</vt:lpwstr>
      </vt:variant>
      <vt:variant>
        <vt:i4>5898306</vt:i4>
      </vt:variant>
      <vt:variant>
        <vt:i4>21</vt:i4>
      </vt:variant>
      <vt:variant>
        <vt:i4>0</vt:i4>
      </vt:variant>
      <vt:variant>
        <vt:i4>5</vt:i4>
      </vt:variant>
      <vt:variant>
        <vt:lpwstr>https://lilly-rim.veevavault.com/ui/</vt:lpwstr>
      </vt:variant>
      <vt:variant>
        <vt:lpwstr>t/0TB000000000517/A1A/A1A0000000AV113?expanded=details__c&amp;ivp=1&amp;idx=16&amp;pt=relobj&amp;tvsl=JnZvYmplY3ROYW1lPWFjdGl2aXR5X19yaW0mcGFyZW50RmllbGQ9ZXZlbnRfX3JpbSZwYXJlbnRJZHMlNUIlNUQ9QTBaMDAwMDAwMEE0MDAxJmZpbHRlckluU3RyaW5nPSZzZWFyY2hUZXJtPWV1JnNvcnRCeT1pbXBhY3RlZF9tYXJrZXRfX3JpbSZzb3J0T3JkZXI9QVNDRU5ESU5HJnJlcXVpcmVzQWNjdXJhdGVUb3RhbEFtb3VudD10cnVlJmFsbG93RmllbGRBc0NvbnRyb2w9dHJ1ZQ&amp;_layout=regulatory_activity_detail_page_layout__c&amp;s=0</vt:lpwstr>
      </vt:variant>
      <vt:variant>
        <vt:i4>852036</vt:i4>
      </vt:variant>
      <vt:variant>
        <vt:i4>18</vt:i4>
      </vt:variant>
      <vt:variant>
        <vt:i4>0</vt:i4>
      </vt:variant>
      <vt:variant>
        <vt:i4>5</vt:i4>
      </vt:variant>
      <vt:variant>
        <vt:lpwstr>https://lilly-rim.veevavault.com/ui/</vt:lpwstr>
      </vt:variant>
      <vt:variant>
        <vt:lpwstr>t/0TB000000000517/A1A/A1A0000000ED161?expanded=details__c&amp;ivp=1&amp;idx=10&amp;pt=relobj&amp;tvsl=JnZvYmplY3ROYW1lPWFjdGl2aXR5X19yaW0mcGFyZW50RmllbGQ9ZXZlbnRfX3JpbSZwYXJlbnRJZHMlNUIlNUQ9QTBaMDAwMDAwMEE0MDAxJmZpbHRlckluU3RyaW5nPSZzZWFyY2hUZXJtPVVTJnNvcnRCeT1pbXBhY3RlZF9tYXJrZXRfX3JpbSZzb3J0T3JkZXI9QVNDRU5ESU5HJnJlcXVpcmVzQWNjdXJhdGVUb3RhbEFtb3VudD10cnVlJmFsbG93RmllbGRBc0NvbnRyb2w9dHJ1ZQ&amp;_layout=regulatory_activity_detail_page_layout__c&amp;s=0</vt:lpwstr>
      </vt:variant>
      <vt:variant>
        <vt:i4>8257657</vt:i4>
      </vt:variant>
      <vt:variant>
        <vt:i4>15</vt:i4>
      </vt:variant>
      <vt:variant>
        <vt:i4>0</vt:i4>
      </vt:variant>
      <vt:variant>
        <vt:i4>5</vt:i4>
      </vt:variant>
      <vt:variant>
        <vt:lpwstr>https://trials.lilly.com/en-US/trial/334656</vt:lpwstr>
      </vt:variant>
      <vt:variant>
        <vt:lpwstr/>
      </vt:variant>
      <vt:variant>
        <vt:i4>7798901</vt:i4>
      </vt:variant>
      <vt:variant>
        <vt:i4>12</vt:i4>
      </vt:variant>
      <vt:variant>
        <vt:i4>0</vt:i4>
      </vt:variant>
      <vt:variant>
        <vt:i4>5</vt:i4>
      </vt:variant>
      <vt:variant>
        <vt:lpwstr>https://trials.lilly.com/en-US/trial/587195</vt:lpwstr>
      </vt:variant>
      <vt:variant>
        <vt:lpwstr/>
      </vt:variant>
      <vt:variant>
        <vt:i4>1638504</vt:i4>
      </vt:variant>
      <vt:variant>
        <vt:i4>9</vt:i4>
      </vt:variant>
      <vt:variant>
        <vt:i4>0</vt:i4>
      </vt:variant>
      <vt:variant>
        <vt:i4>5</vt:i4>
      </vt:variant>
      <vt:variant>
        <vt:lpwstr>mailto:heiko.konig@lilly.com</vt:lpwstr>
      </vt:variant>
      <vt:variant>
        <vt:lpwstr/>
      </vt:variant>
      <vt:variant>
        <vt:i4>1507331</vt:i4>
      </vt:variant>
      <vt:variant>
        <vt:i4>6</vt:i4>
      </vt:variant>
      <vt:variant>
        <vt:i4>0</vt:i4>
      </vt:variant>
      <vt:variant>
        <vt:i4>5</vt:i4>
      </vt:variant>
      <vt:variant>
        <vt:lpwstr>mailto:gaisbauer_casey@lilly.com</vt:lpwstr>
      </vt:variant>
      <vt:variant>
        <vt:lpwstr/>
      </vt:variant>
      <vt:variant>
        <vt:i4>4718610</vt:i4>
      </vt:variant>
      <vt:variant>
        <vt:i4>3</vt:i4>
      </vt:variant>
      <vt:variant>
        <vt:i4>0</vt:i4>
      </vt:variant>
      <vt:variant>
        <vt:i4>5</vt:i4>
      </vt:variant>
      <vt:variant>
        <vt:lpwstr>https://lilly-rim.veevavault.com/ui/</vt:lpwstr>
      </vt:variant>
      <vt:variant>
        <vt:lpwstr>permalink=V1M000000179187</vt:lpwstr>
      </vt:variant>
      <vt:variant>
        <vt:i4>4718674</vt:i4>
      </vt:variant>
      <vt:variant>
        <vt:i4>0</vt:i4>
      </vt:variant>
      <vt:variant>
        <vt:i4>0</vt:i4>
      </vt:variant>
      <vt:variant>
        <vt:i4>5</vt:i4>
      </vt:variant>
      <vt:variant>
        <vt:lpwstr>https://www.ebs.tga.gov.au/ebs/picmi/picmirepository.nsf/pdf?OpenAgent&amp;id=CP-2026-PI-01262-1&amp;d=20260918172310101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Jaypirca</dc:title>
  <dc:subject>Prescription medicines</dc:subject>
  <dc:creator>Therapeutic Goods Administration</dc:creator>
  <cp:keywords/>
  <dc:description/>
  <dcterms:created xsi:type="dcterms:W3CDTF">2026-10-19T03:07:00Z</dcterms:created>
  <dcterms:modified xsi:type="dcterms:W3CDTF">2026-10-19T04:37:00Z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48c0e39b,60f1b3bd,33dae6e1,7507f474,575bd30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7e282a4a,994c871,4c0439f0,615ee556,285eda09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2026-02-24T05:09:39Z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e6c271ff-d1d0-47ed-8240-a1a1720452d2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0x010100F3D6307FE19AC940B8F601C25AFE33FA</vt:lpwstr>
  </property>
  <property fmtid="{D5CDD505-2E9C-101B-9397-08002B2CF9AE}" pid="17" name="docLang">
    <vt:lpwstr>en</vt:lpwstr>
  </property>
</Properties>
</file>