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31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02AEC" w:rsidRPr="00215D48" w14:paraId="08AE1D54" w14:textId="77777777" w:rsidTr="00346EC2">
        <w:trPr>
          <w:trHeight w:val="1558"/>
        </w:trPr>
        <w:tc>
          <w:tcPr>
            <w:tcW w:w="8720" w:type="dxa"/>
          </w:tcPr>
          <w:p w14:paraId="2538A211" w14:textId="00A8C252" w:rsidR="00F02AEC" w:rsidRPr="00215D48" w:rsidRDefault="00346EC2" w:rsidP="007452E8">
            <w:pPr>
              <w:pStyle w:val="Title"/>
            </w:pPr>
            <w:r w:rsidRPr="00346EC2">
              <w:t xml:space="preserve">Australian Public Assessment Report for </w:t>
            </w:r>
            <w:r w:rsidR="00E96B76">
              <w:t>Hibruka</w:t>
            </w:r>
          </w:p>
        </w:tc>
      </w:tr>
      <w:tr w:rsidR="00F02AEC" w:rsidRPr="00215D48" w14:paraId="318A40A3" w14:textId="77777777" w:rsidTr="00346EC2">
        <w:trPr>
          <w:trHeight w:val="995"/>
        </w:trPr>
        <w:tc>
          <w:tcPr>
            <w:tcW w:w="8720" w:type="dxa"/>
          </w:tcPr>
          <w:p w14:paraId="1AA7C701" w14:textId="7AF987D9" w:rsidR="00F02AEC" w:rsidRPr="00215D48" w:rsidRDefault="00346EC2" w:rsidP="007452E8">
            <w:pPr>
              <w:pStyle w:val="Subtitle"/>
              <w:ind w:left="0"/>
            </w:pPr>
            <w:r w:rsidRPr="00346EC2">
              <w:t xml:space="preserve">Active ingredient: </w:t>
            </w:r>
            <w:r w:rsidR="00E96B76">
              <w:t>Orelabrutinib</w:t>
            </w:r>
          </w:p>
        </w:tc>
      </w:tr>
      <w:tr w:rsidR="00346EC2" w:rsidRPr="00AA0332" w14:paraId="362CCAE4" w14:textId="77777777" w:rsidTr="007452E8">
        <w:trPr>
          <w:trHeight w:val="1916"/>
        </w:trPr>
        <w:tc>
          <w:tcPr>
            <w:tcW w:w="8720" w:type="dxa"/>
          </w:tcPr>
          <w:p w14:paraId="709C45C0" w14:textId="643B28AF" w:rsidR="00346EC2" w:rsidRPr="00E96B76" w:rsidRDefault="00346EC2" w:rsidP="007452E8">
            <w:pPr>
              <w:pStyle w:val="Subtitle"/>
              <w:ind w:left="0"/>
              <w:rPr>
                <w:lang w:val="it-IT"/>
              </w:rPr>
            </w:pPr>
            <w:r w:rsidRPr="00E96B76">
              <w:rPr>
                <w:lang w:val="it-IT"/>
              </w:rPr>
              <w:t xml:space="preserve">Sponsor: </w:t>
            </w:r>
            <w:r w:rsidR="00E96B76" w:rsidRPr="00E96B76">
              <w:rPr>
                <w:lang w:val="it-IT"/>
              </w:rPr>
              <w:t>Innocare Pharma Australia P</w:t>
            </w:r>
            <w:r w:rsidR="00E96B76">
              <w:rPr>
                <w:lang w:val="it-IT"/>
              </w:rPr>
              <w:t>ty Ltd</w:t>
            </w:r>
          </w:p>
        </w:tc>
      </w:tr>
      <w:tr w:rsidR="00F02AEC" w:rsidRPr="00215D48" w14:paraId="37F2AA1F" w14:textId="77777777" w:rsidTr="007452E8">
        <w:tc>
          <w:tcPr>
            <w:tcW w:w="8720" w:type="dxa"/>
          </w:tcPr>
          <w:p w14:paraId="1FDE8DCD" w14:textId="10C6D6C0" w:rsidR="00F02AEC" w:rsidRPr="00215D48" w:rsidRDefault="00F24B73" w:rsidP="007452E8">
            <w:pPr>
              <w:pStyle w:val="Date"/>
            </w:pPr>
            <w:r>
              <w:t xml:space="preserve">October </w:t>
            </w:r>
            <w:r w:rsidR="00E96B76">
              <w:t>2026</w:t>
            </w:r>
          </w:p>
        </w:tc>
      </w:tr>
    </w:tbl>
    <w:p w14:paraId="73752706" w14:textId="77777777" w:rsidR="00F02AEC" w:rsidRPr="00215D48" w:rsidRDefault="00F02AEC" w:rsidP="007452E8">
      <w:pPr>
        <w:pStyle w:val="ListBullet"/>
        <w:numPr>
          <w:ilvl w:val="0"/>
          <w:numId w:val="0"/>
        </w:numPr>
        <w:sectPr w:rsidR="00F02AEC" w:rsidRPr="00215D48" w:rsidSect="00CB055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pPr>
    </w:p>
    <w:p w14:paraId="2170A423" w14:textId="77777777" w:rsidR="00346EC2" w:rsidRPr="001F6CBA" w:rsidRDefault="00346EC2" w:rsidP="00346EC2">
      <w:pPr>
        <w:pStyle w:val="NonTOCHeading20"/>
      </w:pPr>
      <w:r w:rsidRPr="001F6CBA">
        <w:lastRenderedPageBreak/>
        <w:t>About the Therapeutic Goods Administration (TGA)</w:t>
      </w:r>
    </w:p>
    <w:p w14:paraId="79558AE9" w14:textId="038D0DA4" w:rsidR="00346EC2" w:rsidRPr="00391B0C" w:rsidRDefault="00346EC2" w:rsidP="0056766D">
      <w:pPr>
        <w:pStyle w:val="ListBullet"/>
      </w:pPr>
      <w:r w:rsidRPr="00391B0C">
        <w:t xml:space="preserve">The Therapeutic Goods Administration (TGA) is part of the Australian Government </w:t>
      </w:r>
      <w:r w:rsidRPr="00C22214">
        <w:t>Department of Health</w:t>
      </w:r>
      <w:r w:rsidR="0006693A">
        <w:t>, Disability</w:t>
      </w:r>
      <w:r w:rsidRPr="00C22214">
        <w:t xml:space="preserve"> and Ag</w:t>
      </w:r>
      <w:r w:rsidR="0006693A">
        <w:t>eing</w:t>
      </w:r>
      <w:r>
        <w:t xml:space="preserve"> </w:t>
      </w:r>
      <w:r w:rsidRPr="00391B0C">
        <w:t>and is responsible for regulating therapeutic goods, including medicines, medical devices, and biologicals.</w:t>
      </w:r>
    </w:p>
    <w:p w14:paraId="61BEFDB6" w14:textId="77777777" w:rsidR="00346EC2" w:rsidRPr="00391B0C" w:rsidRDefault="00346EC2" w:rsidP="00346EC2">
      <w:pPr>
        <w:pStyle w:val="ListBullet"/>
      </w:pPr>
      <w:r w:rsidRPr="00391B0C">
        <w:t xml:space="preserve">The TGA administers the </w:t>
      </w:r>
      <w:r w:rsidRPr="00822FCB">
        <w:rPr>
          <w:i/>
          <w:iCs/>
        </w:rPr>
        <w:t>Therapeutic Goods Act 1989</w:t>
      </w:r>
      <w:r w:rsidRPr="00391B0C">
        <w:t xml:space="preserve"> (the Act), applying a risk management approach designed to ensure therapeutic goods supplied in Australia meet acceptable standards of quality, safety, and efficacy.</w:t>
      </w:r>
    </w:p>
    <w:p w14:paraId="77180CB3" w14:textId="77777777" w:rsidR="00346EC2" w:rsidRPr="003C6D1F" w:rsidRDefault="00346EC2" w:rsidP="00346EC2">
      <w:pPr>
        <w:pStyle w:val="ListBullet"/>
      </w:pPr>
      <w:r w:rsidRPr="003C6D1F">
        <w:t xml:space="preserve">The work of the TGA is based on applying scientific and clinical expertise to decision-making, to ensure that the benefits to </w:t>
      </w:r>
      <w:r>
        <w:t>the Australian public</w:t>
      </w:r>
      <w:r w:rsidRPr="003C6D1F">
        <w:t xml:space="preserve"> outweigh any risks associated with the use of </w:t>
      </w:r>
      <w:r>
        <w:t>therapeutic goods</w:t>
      </w:r>
      <w:r w:rsidRPr="003C6D1F">
        <w:t>.</w:t>
      </w:r>
    </w:p>
    <w:p w14:paraId="70AC2A35" w14:textId="77777777" w:rsidR="00346EC2" w:rsidRPr="003C6D1F" w:rsidRDefault="00346EC2" w:rsidP="00346EC2">
      <w:pPr>
        <w:pStyle w:val="ListBullet"/>
      </w:pPr>
      <w:r w:rsidRPr="003C6D1F">
        <w:t xml:space="preserve">The TGA relies on the public, healthcare professionals and industry to report problems with </w:t>
      </w:r>
      <w:r>
        <w:t>therapeutic goods</w:t>
      </w:r>
      <w:r w:rsidRPr="003C6D1F">
        <w:t>.</w:t>
      </w:r>
      <w:r>
        <w:t xml:space="preserve"> The</w:t>
      </w:r>
      <w:r w:rsidRPr="003C6D1F">
        <w:t xml:space="preserve"> TGA investigates reports received to determine any necessary regulatory action.</w:t>
      </w:r>
    </w:p>
    <w:p w14:paraId="17DC24C6" w14:textId="1C976CB8" w:rsidR="00346EC2" w:rsidRDefault="00346EC2" w:rsidP="00346EC2">
      <w:pPr>
        <w:pStyle w:val="ListBullet"/>
      </w:pPr>
      <w:r w:rsidRPr="003C6D1F">
        <w:t xml:space="preserve">To report a problem with a </w:t>
      </w:r>
      <w:r>
        <w:t>therapeutic good</w:t>
      </w:r>
      <w:r w:rsidRPr="003C6D1F">
        <w:t xml:space="preserve">, please see the information on the </w:t>
      </w:r>
      <w:hyperlink r:id="rId17" w:history="1">
        <w:r w:rsidRPr="00A63C07">
          <w:rPr>
            <w:rStyle w:val="Hyperlink"/>
          </w:rPr>
          <w:t>TGA website</w:t>
        </w:r>
      </w:hyperlink>
      <w:r w:rsidRPr="003C6D1F">
        <w:t>.</w:t>
      </w:r>
    </w:p>
    <w:p w14:paraId="737B7A99" w14:textId="77777777" w:rsidR="00346EC2" w:rsidRDefault="00346EC2" w:rsidP="00346EC2">
      <w:pPr>
        <w:pStyle w:val="NonTOCHeading20"/>
      </w:pPr>
      <w:r>
        <w:t>About AusPARs</w:t>
      </w:r>
    </w:p>
    <w:p w14:paraId="631B2209" w14:textId="010FE2EE" w:rsidR="00346EC2" w:rsidRPr="003C6D1F" w:rsidRDefault="00346EC2" w:rsidP="00346EC2">
      <w:pPr>
        <w:pStyle w:val="ListBullet"/>
      </w:pPr>
      <w:r>
        <w:t>The</w:t>
      </w:r>
      <w:r w:rsidRPr="003C6D1F">
        <w:t xml:space="preserve"> Australian Public Assessment Report (AusPAR) provides information about the evaluation of a prescription medicine and the considerations that led the TGA to approve or not approve a prescription medicine submission.</w:t>
      </w:r>
      <w:r>
        <w:t xml:space="preserve"> Further information can be found in </w:t>
      </w:r>
      <w:hyperlink r:id="rId18" w:history="1">
        <w:r w:rsidRPr="005A2EB8">
          <w:rPr>
            <w:rStyle w:val="Hyperlink"/>
          </w:rPr>
          <w:t>Australian Public Assessment Report (AusPAR) guidance</w:t>
        </w:r>
      </w:hyperlink>
      <w:r>
        <w:t>.</w:t>
      </w:r>
    </w:p>
    <w:p w14:paraId="22F5A730" w14:textId="77777777" w:rsidR="00346EC2" w:rsidRPr="003C6D1F" w:rsidRDefault="00346EC2" w:rsidP="00346EC2">
      <w:pPr>
        <w:pStyle w:val="ListBullet"/>
      </w:pPr>
      <w:r w:rsidRPr="003C6D1F">
        <w:t>AusPARs are prepared and published by the TGA.</w:t>
      </w:r>
    </w:p>
    <w:p w14:paraId="451B8FD7" w14:textId="77777777" w:rsidR="00346EC2" w:rsidRPr="003C6D1F" w:rsidRDefault="00346EC2" w:rsidP="00346EC2">
      <w:pPr>
        <w:pStyle w:val="ListBullet"/>
      </w:pPr>
      <w:r w:rsidRPr="003C6D1F">
        <w:t>AusPAR</w:t>
      </w:r>
      <w:r>
        <w:t xml:space="preserve">s are </w:t>
      </w:r>
      <w:r w:rsidRPr="003C6D1F">
        <w:t>static document</w:t>
      </w:r>
      <w:r>
        <w:t xml:space="preserve">s that </w:t>
      </w:r>
      <w:r w:rsidRPr="003C6D1F">
        <w:t>provide information that relates to a submission at a particular point in time.</w:t>
      </w:r>
      <w:r>
        <w:t xml:space="preserve"> The publication of an AusPAR is an important part of the transparency of the TGA’s decision-making process.</w:t>
      </w:r>
    </w:p>
    <w:p w14:paraId="4D69F5CF" w14:textId="77777777" w:rsidR="00346EC2" w:rsidRPr="003C6D1F" w:rsidRDefault="00346EC2" w:rsidP="00346EC2">
      <w:pPr>
        <w:pStyle w:val="ListBullet"/>
      </w:pPr>
      <w:r w:rsidRPr="003C6D1F">
        <w:t xml:space="preserve">A new AusPAR </w:t>
      </w:r>
      <w:r>
        <w:t xml:space="preserve">may be provided </w:t>
      </w:r>
      <w:r w:rsidRPr="003C6D1F">
        <w:t>to reflect changes to indications or major variations to a prescription medicine subject to evaluation by the TGA.</w:t>
      </w:r>
    </w:p>
    <w:p w14:paraId="7067011F" w14:textId="510D5C5C" w:rsidR="00F02AEC" w:rsidRPr="00E1198B" w:rsidRDefault="00F02AEC" w:rsidP="00FE087C">
      <w:pPr>
        <w:pStyle w:val="LegalSubheading"/>
        <w:spacing w:before="3600"/>
      </w:pPr>
      <w:r w:rsidRPr="00BA0DFC">
        <w:t>Copyright</w:t>
      </w:r>
    </w:p>
    <w:p w14:paraId="170A8A5D" w14:textId="48688B49" w:rsidR="00175CD8" w:rsidRPr="00346EC2" w:rsidRDefault="00F02AEC" w:rsidP="00346EC2">
      <w:pPr>
        <w:pStyle w:val="LegalCopy"/>
        <w:rPr>
          <w:rFonts w:cs="Arial"/>
        </w:rPr>
      </w:pPr>
      <w:r w:rsidRPr="00215D48">
        <w:rPr>
          <w:rFonts w:cs="Arial"/>
        </w:rPr>
        <w:t>© Commonwealth of Australia 20</w:t>
      </w:r>
      <w:r>
        <w:rPr>
          <w:rFonts w:cs="Arial"/>
        </w:rPr>
        <w:t>2</w:t>
      </w:r>
      <w:r w:rsidR="00AA6080">
        <w:rPr>
          <w:rFonts w:cs="Arial"/>
        </w:rPr>
        <w:t>6</w:t>
      </w:r>
      <w:r w:rsidRPr="00215D48">
        <w:rPr>
          <w:rFonts w:cs="Arial"/>
        </w:rPr>
        <w:br/>
        <w:t xml:space="preserve">This work is copyright. You may reproduce the whole or part of this work in unaltered form for your own personal use or, if you are part of an organisation, for internal use within your organisation, but only if you or your organisation do not use the reproduction for any commercial purpose and retain this copyright notice and all disclaimer notices as part of that reproduction. Apart from rights to use as permitted by the </w:t>
      </w:r>
      <w:r w:rsidRPr="00215D48">
        <w:rPr>
          <w:rFonts w:cs="Arial"/>
          <w:i/>
        </w:rPr>
        <w:t>Copyright Act 1968</w:t>
      </w:r>
      <w:r w:rsidRPr="00215D48">
        <w:rPr>
          <w:rFonts w:cs="Arial"/>
        </w:rPr>
        <w:t xml:space="preserve"> or allowed by this copyright notice, all other rights are reserved and you are not allowed to reproduce the whole or any part of this work in any way (electronic or otherwise) without first being given specific written permission from the Commonwealth to do so. Requests and inquiries concerning reproduction and rights are to be sent to the TGA Copyright Officer, Therapeutic Goods Administration, PO Box 100, Woden ACT 2606 or emailed to &lt;</w:t>
      </w:r>
      <w:hyperlink r:id="rId19" w:history="1">
        <w:r w:rsidRPr="00215D48">
          <w:rPr>
            <w:rStyle w:val="Hyperlink"/>
            <w:rFonts w:cs="Arial"/>
          </w:rPr>
          <w:t>tga.copyright@tga.gov.au</w:t>
        </w:r>
      </w:hyperlink>
      <w:r w:rsidRPr="00215D48">
        <w:rPr>
          <w:rFonts w:cs="Arial"/>
        </w:rPr>
        <w:t>&gt;.</w:t>
      </w:r>
    </w:p>
    <w:sdt>
      <w:sdtPr>
        <w:rPr>
          <w:rFonts w:ascii="Cambria" w:eastAsiaTheme="minorEastAsia" w:hAnsi="Cambria" w:cstheme="minorBidi"/>
          <w:b w:val="0"/>
          <w:color w:val="auto"/>
          <w:sz w:val="22"/>
          <w:szCs w:val="22"/>
        </w:rPr>
        <w:id w:val="21514769"/>
        <w:docPartObj>
          <w:docPartGallery w:val="Table of Contents"/>
          <w:docPartUnique/>
        </w:docPartObj>
      </w:sdtPr>
      <w:sdtEndPr/>
      <w:sdtContent>
        <w:p w14:paraId="0A6ADA2B" w14:textId="77777777" w:rsidR="00F02AEC" w:rsidRPr="00215D48" w:rsidRDefault="00F02AEC" w:rsidP="007452E8">
          <w:pPr>
            <w:pStyle w:val="NonTOCheading2"/>
          </w:pPr>
          <w:r w:rsidRPr="00215D48">
            <w:t>Contents</w:t>
          </w:r>
        </w:p>
        <w:p w14:paraId="5B87D769" w14:textId="1C45B99F" w:rsidR="0027662E" w:rsidRDefault="00F02AEC">
          <w:pPr>
            <w:pStyle w:val="TOC1"/>
            <w:rPr>
              <w:rFonts w:asciiTheme="minorHAnsi" w:eastAsiaTheme="minorEastAsia" w:hAnsiTheme="minorHAnsi" w:cstheme="minorBidi"/>
              <w:b w:val="0"/>
              <w:noProof/>
              <w:color w:val="auto"/>
              <w:kern w:val="2"/>
              <w:sz w:val="24"/>
              <w:szCs w:val="24"/>
              <w:lang w:eastAsia="en-AU"/>
              <w14:ligatures w14:val="standardContextual"/>
            </w:rPr>
          </w:pPr>
          <w:r w:rsidRPr="00215D48">
            <w:fldChar w:fldCharType="begin"/>
          </w:r>
          <w:r w:rsidRPr="00215D48">
            <w:instrText xml:space="preserve"> TOC \h \z \u \t "Heading 2,1,Heading 3,2,Heading 4,3" </w:instrText>
          </w:r>
          <w:r w:rsidRPr="00215D48">
            <w:fldChar w:fldCharType="separate"/>
          </w:r>
          <w:hyperlink w:anchor="_Toc241844841" w:history="1">
            <w:r w:rsidR="0027662E" w:rsidRPr="00022399">
              <w:rPr>
                <w:rStyle w:val="Hyperlink"/>
                <w:noProof/>
              </w:rPr>
              <w:t>List of abbreviations</w:t>
            </w:r>
            <w:r w:rsidR="0027662E">
              <w:rPr>
                <w:noProof/>
                <w:webHidden/>
              </w:rPr>
              <w:tab/>
            </w:r>
            <w:r w:rsidR="0027662E">
              <w:rPr>
                <w:noProof/>
                <w:webHidden/>
              </w:rPr>
              <w:fldChar w:fldCharType="begin"/>
            </w:r>
            <w:r w:rsidR="0027662E">
              <w:rPr>
                <w:noProof/>
                <w:webHidden/>
              </w:rPr>
              <w:instrText xml:space="preserve"> PAGEREF _Toc241844841 \h </w:instrText>
            </w:r>
            <w:r w:rsidR="0027662E">
              <w:rPr>
                <w:noProof/>
                <w:webHidden/>
              </w:rPr>
            </w:r>
            <w:r w:rsidR="0027662E">
              <w:rPr>
                <w:noProof/>
                <w:webHidden/>
              </w:rPr>
              <w:fldChar w:fldCharType="separate"/>
            </w:r>
            <w:r w:rsidR="0027662E">
              <w:rPr>
                <w:noProof/>
                <w:webHidden/>
              </w:rPr>
              <w:t>4</w:t>
            </w:r>
            <w:r w:rsidR="0027662E">
              <w:rPr>
                <w:noProof/>
                <w:webHidden/>
              </w:rPr>
              <w:fldChar w:fldCharType="end"/>
            </w:r>
          </w:hyperlink>
        </w:p>
        <w:p w14:paraId="055FC153" w14:textId="182DF106" w:rsidR="0027662E" w:rsidRDefault="0027662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844842" w:history="1">
            <w:r w:rsidRPr="00022399">
              <w:rPr>
                <w:rStyle w:val="Hyperlink"/>
                <w:noProof/>
              </w:rPr>
              <w:t>Product submission</w:t>
            </w:r>
            <w:r>
              <w:rPr>
                <w:noProof/>
                <w:webHidden/>
              </w:rPr>
              <w:tab/>
            </w:r>
            <w:r>
              <w:rPr>
                <w:noProof/>
                <w:webHidden/>
              </w:rPr>
              <w:fldChar w:fldCharType="begin"/>
            </w:r>
            <w:r>
              <w:rPr>
                <w:noProof/>
                <w:webHidden/>
              </w:rPr>
              <w:instrText xml:space="preserve"> PAGEREF _Toc241844842 \h </w:instrText>
            </w:r>
            <w:r>
              <w:rPr>
                <w:noProof/>
                <w:webHidden/>
              </w:rPr>
            </w:r>
            <w:r>
              <w:rPr>
                <w:noProof/>
                <w:webHidden/>
              </w:rPr>
              <w:fldChar w:fldCharType="separate"/>
            </w:r>
            <w:r>
              <w:rPr>
                <w:noProof/>
                <w:webHidden/>
              </w:rPr>
              <w:t>8</w:t>
            </w:r>
            <w:r>
              <w:rPr>
                <w:noProof/>
                <w:webHidden/>
              </w:rPr>
              <w:fldChar w:fldCharType="end"/>
            </w:r>
          </w:hyperlink>
        </w:p>
        <w:p w14:paraId="4588347D" w14:textId="29EE4B27" w:rsidR="0027662E" w:rsidRDefault="0027662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844843" w:history="1">
            <w:r w:rsidRPr="00022399">
              <w:rPr>
                <w:rStyle w:val="Hyperlink"/>
                <w:noProof/>
                <w:lang w:eastAsia="en-AU"/>
              </w:rPr>
              <w:t>Submission details</w:t>
            </w:r>
            <w:r>
              <w:rPr>
                <w:noProof/>
                <w:webHidden/>
              </w:rPr>
              <w:tab/>
            </w:r>
            <w:r>
              <w:rPr>
                <w:noProof/>
                <w:webHidden/>
              </w:rPr>
              <w:fldChar w:fldCharType="begin"/>
            </w:r>
            <w:r>
              <w:rPr>
                <w:noProof/>
                <w:webHidden/>
              </w:rPr>
              <w:instrText xml:space="preserve"> PAGEREF _Toc241844843 \h </w:instrText>
            </w:r>
            <w:r>
              <w:rPr>
                <w:noProof/>
                <w:webHidden/>
              </w:rPr>
            </w:r>
            <w:r>
              <w:rPr>
                <w:noProof/>
                <w:webHidden/>
              </w:rPr>
              <w:fldChar w:fldCharType="separate"/>
            </w:r>
            <w:r>
              <w:rPr>
                <w:noProof/>
                <w:webHidden/>
              </w:rPr>
              <w:t>8</w:t>
            </w:r>
            <w:r>
              <w:rPr>
                <w:noProof/>
                <w:webHidden/>
              </w:rPr>
              <w:fldChar w:fldCharType="end"/>
            </w:r>
          </w:hyperlink>
        </w:p>
        <w:p w14:paraId="1552871D" w14:textId="0400FF52" w:rsidR="0027662E" w:rsidRDefault="0027662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844844" w:history="1">
            <w:r w:rsidRPr="00022399">
              <w:rPr>
                <w:rStyle w:val="Hyperlink"/>
                <w:noProof/>
              </w:rPr>
              <w:t>Product background</w:t>
            </w:r>
            <w:r>
              <w:rPr>
                <w:noProof/>
                <w:webHidden/>
              </w:rPr>
              <w:tab/>
            </w:r>
            <w:r>
              <w:rPr>
                <w:noProof/>
                <w:webHidden/>
              </w:rPr>
              <w:fldChar w:fldCharType="begin"/>
            </w:r>
            <w:r>
              <w:rPr>
                <w:noProof/>
                <w:webHidden/>
              </w:rPr>
              <w:instrText xml:space="preserve"> PAGEREF _Toc241844844 \h </w:instrText>
            </w:r>
            <w:r>
              <w:rPr>
                <w:noProof/>
                <w:webHidden/>
              </w:rPr>
            </w:r>
            <w:r>
              <w:rPr>
                <w:noProof/>
                <w:webHidden/>
              </w:rPr>
              <w:fldChar w:fldCharType="separate"/>
            </w:r>
            <w:r>
              <w:rPr>
                <w:noProof/>
                <w:webHidden/>
              </w:rPr>
              <w:t>9</w:t>
            </w:r>
            <w:r>
              <w:rPr>
                <w:noProof/>
                <w:webHidden/>
              </w:rPr>
              <w:fldChar w:fldCharType="end"/>
            </w:r>
          </w:hyperlink>
        </w:p>
        <w:p w14:paraId="1A162600" w14:textId="4812416A"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45" w:history="1">
            <w:r w:rsidRPr="00022399">
              <w:rPr>
                <w:rStyle w:val="Hyperlink"/>
                <w:noProof/>
              </w:rPr>
              <w:t>Disease or condition – Mantle cell lymphoma</w:t>
            </w:r>
            <w:r>
              <w:rPr>
                <w:noProof/>
                <w:webHidden/>
              </w:rPr>
              <w:tab/>
            </w:r>
            <w:r>
              <w:rPr>
                <w:noProof/>
                <w:webHidden/>
              </w:rPr>
              <w:fldChar w:fldCharType="begin"/>
            </w:r>
            <w:r>
              <w:rPr>
                <w:noProof/>
                <w:webHidden/>
              </w:rPr>
              <w:instrText xml:space="preserve"> PAGEREF _Toc241844845 \h </w:instrText>
            </w:r>
            <w:r>
              <w:rPr>
                <w:noProof/>
                <w:webHidden/>
              </w:rPr>
            </w:r>
            <w:r>
              <w:rPr>
                <w:noProof/>
                <w:webHidden/>
              </w:rPr>
              <w:fldChar w:fldCharType="separate"/>
            </w:r>
            <w:r>
              <w:rPr>
                <w:noProof/>
                <w:webHidden/>
              </w:rPr>
              <w:t>9</w:t>
            </w:r>
            <w:r>
              <w:rPr>
                <w:noProof/>
                <w:webHidden/>
              </w:rPr>
              <w:fldChar w:fldCharType="end"/>
            </w:r>
          </w:hyperlink>
        </w:p>
        <w:p w14:paraId="5EBC85E5" w14:textId="46714C44"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46" w:history="1">
            <w:r w:rsidRPr="00022399">
              <w:rPr>
                <w:rStyle w:val="Hyperlink"/>
                <w:noProof/>
              </w:rPr>
              <w:t>Current treatment options</w:t>
            </w:r>
            <w:r>
              <w:rPr>
                <w:noProof/>
                <w:webHidden/>
              </w:rPr>
              <w:tab/>
            </w:r>
            <w:r>
              <w:rPr>
                <w:noProof/>
                <w:webHidden/>
              </w:rPr>
              <w:fldChar w:fldCharType="begin"/>
            </w:r>
            <w:r>
              <w:rPr>
                <w:noProof/>
                <w:webHidden/>
              </w:rPr>
              <w:instrText xml:space="preserve"> PAGEREF _Toc241844846 \h </w:instrText>
            </w:r>
            <w:r>
              <w:rPr>
                <w:noProof/>
                <w:webHidden/>
              </w:rPr>
            </w:r>
            <w:r>
              <w:rPr>
                <w:noProof/>
                <w:webHidden/>
              </w:rPr>
              <w:fldChar w:fldCharType="separate"/>
            </w:r>
            <w:r>
              <w:rPr>
                <w:noProof/>
                <w:webHidden/>
              </w:rPr>
              <w:t>9</w:t>
            </w:r>
            <w:r>
              <w:rPr>
                <w:noProof/>
                <w:webHidden/>
              </w:rPr>
              <w:fldChar w:fldCharType="end"/>
            </w:r>
          </w:hyperlink>
        </w:p>
        <w:p w14:paraId="01698F5E" w14:textId="041E8A6A"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47" w:history="1">
            <w:r w:rsidRPr="00022399">
              <w:rPr>
                <w:rStyle w:val="Hyperlink"/>
                <w:noProof/>
              </w:rPr>
              <w:t>Clinical rationale</w:t>
            </w:r>
            <w:r>
              <w:rPr>
                <w:noProof/>
                <w:webHidden/>
              </w:rPr>
              <w:tab/>
            </w:r>
            <w:r>
              <w:rPr>
                <w:noProof/>
                <w:webHidden/>
              </w:rPr>
              <w:fldChar w:fldCharType="begin"/>
            </w:r>
            <w:r>
              <w:rPr>
                <w:noProof/>
                <w:webHidden/>
              </w:rPr>
              <w:instrText xml:space="preserve"> PAGEREF _Toc241844847 \h </w:instrText>
            </w:r>
            <w:r>
              <w:rPr>
                <w:noProof/>
                <w:webHidden/>
              </w:rPr>
            </w:r>
            <w:r>
              <w:rPr>
                <w:noProof/>
                <w:webHidden/>
              </w:rPr>
              <w:fldChar w:fldCharType="separate"/>
            </w:r>
            <w:r>
              <w:rPr>
                <w:noProof/>
                <w:webHidden/>
              </w:rPr>
              <w:t>10</w:t>
            </w:r>
            <w:r>
              <w:rPr>
                <w:noProof/>
                <w:webHidden/>
              </w:rPr>
              <w:fldChar w:fldCharType="end"/>
            </w:r>
          </w:hyperlink>
        </w:p>
        <w:p w14:paraId="49ADAF36" w14:textId="733B3170" w:rsidR="0027662E" w:rsidRDefault="0027662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844848" w:history="1">
            <w:r w:rsidRPr="00022399">
              <w:rPr>
                <w:rStyle w:val="Hyperlink"/>
                <w:noProof/>
              </w:rPr>
              <w:t>Regulatory status</w:t>
            </w:r>
            <w:r>
              <w:rPr>
                <w:noProof/>
                <w:webHidden/>
              </w:rPr>
              <w:tab/>
            </w:r>
            <w:r>
              <w:rPr>
                <w:noProof/>
                <w:webHidden/>
              </w:rPr>
              <w:fldChar w:fldCharType="begin"/>
            </w:r>
            <w:r>
              <w:rPr>
                <w:noProof/>
                <w:webHidden/>
              </w:rPr>
              <w:instrText xml:space="preserve"> PAGEREF _Toc241844848 \h </w:instrText>
            </w:r>
            <w:r>
              <w:rPr>
                <w:noProof/>
                <w:webHidden/>
              </w:rPr>
            </w:r>
            <w:r>
              <w:rPr>
                <w:noProof/>
                <w:webHidden/>
              </w:rPr>
              <w:fldChar w:fldCharType="separate"/>
            </w:r>
            <w:r>
              <w:rPr>
                <w:noProof/>
                <w:webHidden/>
              </w:rPr>
              <w:t>10</w:t>
            </w:r>
            <w:r>
              <w:rPr>
                <w:noProof/>
                <w:webHidden/>
              </w:rPr>
              <w:fldChar w:fldCharType="end"/>
            </w:r>
          </w:hyperlink>
        </w:p>
        <w:p w14:paraId="27278EF3" w14:textId="190443DC"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49" w:history="1">
            <w:r w:rsidRPr="00022399">
              <w:rPr>
                <w:rStyle w:val="Hyperlink"/>
                <w:noProof/>
              </w:rPr>
              <w:t>Australian regulatory status at the time of this assessment</w:t>
            </w:r>
            <w:r>
              <w:rPr>
                <w:noProof/>
                <w:webHidden/>
              </w:rPr>
              <w:tab/>
            </w:r>
            <w:r>
              <w:rPr>
                <w:noProof/>
                <w:webHidden/>
              </w:rPr>
              <w:fldChar w:fldCharType="begin"/>
            </w:r>
            <w:r>
              <w:rPr>
                <w:noProof/>
                <w:webHidden/>
              </w:rPr>
              <w:instrText xml:space="preserve"> PAGEREF _Toc241844849 \h </w:instrText>
            </w:r>
            <w:r>
              <w:rPr>
                <w:noProof/>
                <w:webHidden/>
              </w:rPr>
            </w:r>
            <w:r>
              <w:rPr>
                <w:noProof/>
                <w:webHidden/>
              </w:rPr>
              <w:fldChar w:fldCharType="separate"/>
            </w:r>
            <w:r>
              <w:rPr>
                <w:noProof/>
                <w:webHidden/>
              </w:rPr>
              <w:t>10</w:t>
            </w:r>
            <w:r>
              <w:rPr>
                <w:noProof/>
                <w:webHidden/>
              </w:rPr>
              <w:fldChar w:fldCharType="end"/>
            </w:r>
          </w:hyperlink>
        </w:p>
        <w:p w14:paraId="33A3C789" w14:textId="08B3F6EE"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50" w:history="1">
            <w:r w:rsidRPr="00022399">
              <w:rPr>
                <w:rStyle w:val="Hyperlink"/>
                <w:noProof/>
              </w:rPr>
              <w:t>International regulatory status at the time of this assessment</w:t>
            </w:r>
            <w:r>
              <w:rPr>
                <w:noProof/>
                <w:webHidden/>
              </w:rPr>
              <w:tab/>
            </w:r>
            <w:r>
              <w:rPr>
                <w:noProof/>
                <w:webHidden/>
              </w:rPr>
              <w:fldChar w:fldCharType="begin"/>
            </w:r>
            <w:r>
              <w:rPr>
                <w:noProof/>
                <w:webHidden/>
              </w:rPr>
              <w:instrText xml:space="preserve"> PAGEREF _Toc241844850 \h </w:instrText>
            </w:r>
            <w:r>
              <w:rPr>
                <w:noProof/>
                <w:webHidden/>
              </w:rPr>
            </w:r>
            <w:r>
              <w:rPr>
                <w:noProof/>
                <w:webHidden/>
              </w:rPr>
              <w:fldChar w:fldCharType="separate"/>
            </w:r>
            <w:r>
              <w:rPr>
                <w:noProof/>
                <w:webHidden/>
              </w:rPr>
              <w:t>10</w:t>
            </w:r>
            <w:r>
              <w:rPr>
                <w:noProof/>
                <w:webHidden/>
              </w:rPr>
              <w:fldChar w:fldCharType="end"/>
            </w:r>
          </w:hyperlink>
        </w:p>
        <w:p w14:paraId="2D2AA2A5" w14:textId="6469A425" w:rsidR="0027662E" w:rsidRDefault="0027662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844851" w:history="1">
            <w:r w:rsidRPr="00022399">
              <w:rPr>
                <w:rStyle w:val="Hyperlink"/>
                <w:noProof/>
              </w:rPr>
              <w:t>Registration timeline</w:t>
            </w:r>
            <w:r>
              <w:rPr>
                <w:noProof/>
                <w:webHidden/>
              </w:rPr>
              <w:tab/>
            </w:r>
            <w:r>
              <w:rPr>
                <w:noProof/>
                <w:webHidden/>
              </w:rPr>
              <w:fldChar w:fldCharType="begin"/>
            </w:r>
            <w:r>
              <w:rPr>
                <w:noProof/>
                <w:webHidden/>
              </w:rPr>
              <w:instrText xml:space="preserve"> PAGEREF _Toc241844851 \h </w:instrText>
            </w:r>
            <w:r>
              <w:rPr>
                <w:noProof/>
                <w:webHidden/>
              </w:rPr>
            </w:r>
            <w:r>
              <w:rPr>
                <w:noProof/>
                <w:webHidden/>
              </w:rPr>
              <w:fldChar w:fldCharType="separate"/>
            </w:r>
            <w:r>
              <w:rPr>
                <w:noProof/>
                <w:webHidden/>
              </w:rPr>
              <w:t>11</w:t>
            </w:r>
            <w:r>
              <w:rPr>
                <w:noProof/>
                <w:webHidden/>
              </w:rPr>
              <w:fldChar w:fldCharType="end"/>
            </w:r>
          </w:hyperlink>
        </w:p>
        <w:p w14:paraId="57AE5F8B" w14:textId="5DE983E5" w:rsidR="0027662E" w:rsidRDefault="0027662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844852" w:history="1">
            <w:r w:rsidRPr="00022399">
              <w:rPr>
                <w:rStyle w:val="Hyperlink"/>
                <w:noProof/>
              </w:rPr>
              <w:t>Assessment overview</w:t>
            </w:r>
            <w:r>
              <w:rPr>
                <w:noProof/>
                <w:webHidden/>
              </w:rPr>
              <w:tab/>
            </w:r>
            <w:r>
              <w:rPr>
                <w:noProof/>
                <w:webHidden/>
              </w:rPr>
              <w:fldChar w:fldCharType="begin"/>
            </w:r>
            <w:r>
              <w:rPr>
                <w:noProof/>
                <w:webHidden/>
              </w:rPr>
              <w:instrText xml:space="preserve"> PAGEREF _Toc241844852 \h </w:instrText>
            </w:r>
            <w:r>
              <w:rPr>
                <w:noProof/>
                <w:webHidden/>
              </w:rPr>
            </w:r>
            <w:r>
              <w:rPr>
                <w:noProof/>
                <w:webHidden/>
              </w:rPr>
              <w:fldChar w:fldCharType="separate"/>
            </w:r>
            <w:r>
              <w:rPr>
                <w:noProof/>
                <w:webHidden/>
              </w:rPr>
              <w:t>12</w:t>
            </w:r>
            <w:r>
              <w:rPr>
                <w:noProof/>
                <w:webHidden/>
              </w:rPr>
              <w:fldChar w:fldCharType="end"/>
            </w:r>
          </w:hyperlink>
        </w:p>
        <w:p w14:paraId="57943BE6" w14:textId="5C0BAE48" w:rsidR="0027662E" w:rsidRDefault="0027662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844853" w:history="1">
            <w:r w:rsidRPr="00022399">
              <w:rPr>
                <w:rStyle w:val="Hyperlink"/>
                <w:noProof/>
              </w:rPr>
              <w:t>Quality evaluation summary</w:t>
            </w:r>
            <w:r>
              <w:rPr>
                <w:noProof/>
                <w:webHidden/>
              </w:rPr>
              <w:tab/>
            </w:r>
            <w:r>
              <w:rPr>
                <w:noProof/>
                <w:webHidden/>
              </w:rPr>
              <w:fldChar w:fldCharType="begin"/>
            </w:r>
            <w:r>
              <w:rPr>
                <w:noProof/>
                <w:webHidden/>
              </w:rPr>
              <w:instrText xml:space="preserve"> PAGEREF _Toc241844853 \h </w:instrText>
            </w:r>
            <w:r>
              <w:rPr>
                <w:noProof/>
                <w:webHidden/>
              </w:rPr>
            </w:r>
            <w:r>
              <w:rPr>
                <w:noProof/>
                <w:webHidden/>
              </w:rPr>
              <w:fldChar w:fldCharType="separate"/>
            </w:r>
            <w:r>
              <w:rPr>
                <w:noProof/>
                <w:webHidden/>
              </w:rPr>
              <w:t>12</w:t>
            </w:r>
            <w:r>
              <w:rPr>
                <w:noProof/>
                <w:webHidden/>
              </w:rPr>
              <w:fldChar w:fldCharType="end"/>
            </w:r>
          </w:hyperlink>
        </w:p>
        <w:p w14:paraId="6CCACFAD" w14:textId="2E37BF4E" w:rsidR="0027662E" w:rsidRDefault="0027662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844854" w:history="1">
            <w:r w:rsidRPr="00022399">
              <w:rPr>
                <w:rStyle w:val="Hyperlink"/>
                <w:noProof/>
              </w:rPr>
              <w:t>Nonclinical evaluation summary</w:t>
            </w:r>
            <w:r>
              <w:rPr>
                <w:noProof/>
                <w:webHidden/>
              </w:rPr>
              <w:tab/>
            </w:r>
            <w:r>
              <w:rPr>
                <w:noProof/>
                <w:webHidden/>
              </w:rPr>
              <w:fldChar w:fldCharType="begin"/>
            </w:r>
            <w:r>
              <w:rPr>
                <w:noProof/>
                <w:webHidden/>
              </w:rPr>
              <w:instrText xml:space="preserve"> PAGEREF _Toc241844854 \h </w:instrText>
            </w:r>
            <w:r>
              <w:rPr>
                <w:noProof/>
                <w:webHidden/>
              </w:rPr>
            </w:r>
            <w:r>
              <w:rPr>
                <w:noProof/>
                <w:webHidden/>
              </w:rPr>
              <w:fldChar w:fldCharType="separate"/>
            </w:r>
            <w:r>
              <w:rPr>
                <w:noProof/>
                <w:webHidden/>
              </w:rPr>
              <w:t>13</w:t>
            </w:r>
            <w:r>
              <w:rPr>
                <w:noProof/>
                <w:webHidden/>
              </w:rPr>
              <w:fldChar w:fldCharType="end"/>
            </w:r>
          </w:hyperlink>
        </w:p>
        <w:p w14:paraId="3B8E19FB" w14:textId="0AA364A0" w:rsidR="0027662E" w:rsidRDefault="0027662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844855" w:history="1">
            <w:r w:rsidRPr="00022399">
              <w:rPr>
                <w:rStyle w:val="Hyperlink"/>
                <w:noProof/>
              </w:rPr>
              <w:t>Clinical evaluation summary</w:t>
            </w:r>
            <w:r>
              <w:rPr>
                <w:noProof/>
                <w:webHidden/>
              </w:rPr>
              <w:tab/>
            </w:r>
            <w:r>
              <w:rPr>
                <w:noProof/>
                <w:webHidden/>
              </w:rPr>
              <w:fldChar w:fldCharType="begin"/>
            </w:r>
            <w:r>
              <w:rPr>
                <w:noProof/>
                <w:webHidden/>
              </w:rPr>
              <w:instrText xml:space="preserve"> PAGEREF _Toc241844855 \h </w:instrText>
            </w:r>
            <w:r>
              <w:rPr>
                <w:noProof/>
                <w:webHidden/>
              </w:rPr>
            </w:r>
            <w:r>
              <w:rPr>
                <w:noProof/>
                <w:webHidden/>
              </w:rPr>
              <w:fldChar w:fldCharType="separate"/>
            </w:r>
            <w:r>
              <w:rPr>
                <w:noProof/>
                <w:webHidden/>
              </w:rPr>
              <w:t>14</w:t>
            </w:r>
            <w:r>
              <w:rPr>
                <w:noProof/>
                <w:webHidden/>
              </w:rPr>
              <w:fldChar w:fldCharType="end"/>
            </w:r>
          </w:hyperlink>
        </w:p>
        <w:p w14:paraId="55878F05" w14:textId="0230AC61"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56" w:history="1">
            <w:r w:rsidRPr="00022399">
              <w:rPr>
                <w:rStyle w:val="Hyperlink"/>
                <w:noProof/>
              </w:rPr>
              <w:t>Summary of clinical studies</w:t>
            </w:r>
            <w:r>
              <w:rPr>
                <w:noProof/>
                <w:webHidden/>
              </w:rPr>
              <w:tab/>
            </w:r>
            <w:r>
              <w:rPr>
                <w:noProof/>
                <w:webHidden/>
              </w:rPr>
              <w:fldChar w:fldCharType="begin"/>
            </w:r>
            <w:r>
              <w:rPr>
                <w:noProof/>
                <w:webHidden/>
              </w:rPr>
              <w:instrText xml:space="preserve"> PAGEREF _Toc241844856 \h </w:instrText>
            </w:r>
            <w:r>
              <w:rPr>
                <w:noProof/>
                <w:webHidden/>
              </w:rPr>
            </w:r>
            <w:r>
              <w:rPr>
                <w:noProof/>
                <w:webHidden/>
              </w:rPr>
              <w:fldChar w:fldCharType="separate"/>
            </w:r>
            <w:r>
              <w:rPr>
                <w:noProof/>
                <w:webHidden/>
              </w:rPr>
              <w:t>14</w:t>
            </w:r>
            <w:r>
              <w:rPr>
                <w:noProof/>
                <w:webHidden/>
              </w:rPr>
              <w:fldChar w:fldCharType="end"/>
            </w:r>
          </w:hyperlink>
        </w:p>
        <w:p w14:paraId="4C868EAE" w14:textId="7759767C"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57" w:history="1">
            <w:r w:rsidRPr="00022399">
              <w:rPr>
                <w:rStyle w:val="Hyperlink"/>
                <w:noProof/>
              </w:rPr>
              <w:t>Clinical pharmacology</w:t>
            </w:r>
            <w:r>
              <w:rPr>
                <w:noProof/>
                <w:webHidden/>
              </w:rPr>
              <w:tab/>
            </w:r>
            <w:r>
              <w:rPr>
                <w:noProof/>
                <w:webHidden/>
              </w:rPr>
              <w:fldChar w:fldCharType="begin"/>
            </w:r>
            <w:r>
              <w:rPr>
                <w:noProof/>
                <w:webHidden/>
              </w:rPr>
              <w:instrText xml:space="preserve"> PAGEREF _Toc241844857 \h </w:instrText>
            </w:r>
            <w:r>
              <w:rPr>
                <w:noProof/>
                <w:webHidden/>
              </w:rPr>
            </w:r>
            <w:r>
              <w:rPr>
                <w:noProof/>
                <w:webHidden/>
              </w:rPr>
              <w:fldChar w:fldCharType="separate"/>
            </w:r>
            <w:r>
              <w:rPr>
                <w:noProof/>
                <w:webHidden/>
              </w:rPr>
              <w:t>15</w:t>
            </w:r>
            <w:r>
              <w:rPr>
                <w:noProof/>
                <w:webHidden/>
              </w:rPr>
              <w:fldChar w:fldCharType="end"/>
            </w:r>
          </w:hyperlink>
        </w:p>
        <w:p w14:paraId="611C7736" w14:textId="6DD5F4ED"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58" w:history="1">
            <w:r w:rsidRPr="00022399">
              <w:rPr>
                <w:rStyle w:val="Hyperlink"/>
                <w:noProof/>
                <w:lang w:val="en-US"/>
              </w:rPr>
              <w:t>Efficacy</w:t>
            </w:r>
            <w:r>
              <w:rPr>
                <w:noProof/>
                <w:webHidden/>
              </w:rPr>
              <w:tab/>
            </w:r>
            <w:r>
              <w:rPr>
                <w:noProof/>
                <w:webHidden/>
              </w:rPr>
              <w:fldChar w:fldCharType="begin"/>
            </w:r>
            <w:r>
              <w:rPr>
                <w:noProof/>
                <w:webHidden/>
              </w:rPr>
              <w:instrText xml:space="preserve"> PAGEREF _Toc241844858 \h </w:instrText>
            </w:r>
            <w:r>
              <w:rPr>
                <w:noProof/>
                <w:webHidden/>
              </w:rPr>
            </w:r>
            <w:r>
              <w:rPr>
                <w:noProof/>
                <w:webHidden/>
              </w:rPr>
              <w:fldChar w:fldCharType="separate"/>
            </w:r>
            <w:r>
              <w:rPr>
                <w:noProof/>
                <w:webHidden/>
              </w:rPr>
              <w:t>19</w:t>
            </w:r>
            <w:r>
              <w:rPr>
                <w:noProof/>
                <w:webHidden/>
              </w:rPr>
              <w:fldChar w:fldCharType="end"/>
            </w:r>
          </w:hyperlink>
        </w:p>
        <w:p w14:paraId="1C162FD5" w14:textId="6D4005FE"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59" w:history="1">
            <w:r w:rsidRPr="00022399">
              <w:rPr>
                <w:rStyle w:val="Hyperlink"/>
                <w:noProof/>
              </w:rPr>
              <w:t>Safety</w:t>
            </w:r>
            <w:r>
              <w:rPr>
                <w:noProof/>
                <w:webHidden/>
              </w:rPr>
              <w:tab/>
            </w:r>
            <w:r>
              <w:rPr>
                <w:noProof/>
                <w:webHidden/>
              </w:rPr>
              <w:fldChar w:fldCharType="begin"/>
            </w:r>
            <w:r>
              <w:rPr>
                <w:noProof/>
                <w:webHidden/>
              </w:rPr>
              <w:instrText xml:space="preserve"> PAGEREF _Toc241844859 \h </w:instrText>
            </w:r>
            <w:r>
              <w:rPr>
                <w:noProof/>
                <w:webHidden/>
              </w:rPr>
            </w:r>
            <w:r>
              <w:rPr>
                <w:noProof/>
                <w:webHidden/>
              </w:rPr>
              <w:fldChar w:fldCharType="separate"/>
            </w:r>
            <w:r>
              <w:rPr>
                <w:noProof/>
                <w:webHidden/>
              </w:rPr>
              <w:t>37</w:t>
            </w:r>
            <w:r>
              <w:rPr>
                <w:noProof/>
                <w:webHidden/>
              </w:rPr>
              <w:fldChar w:fldCharType="end"/>
            </w:r>
          </w:hyperlink>
        </w:p>
        <w:p w14:paraId="1A35B05C" w14:textId="5246AD96" w:rsidR="0027662E" w:rsidRDefault="0027662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844860" w:history="1">
            <w:r w:rsidRPr="00022399">
              <w:rPr>
                <w:rStyle w:val="Hyperlink"/>
                <w:noProof/>
                <w:lang w:eastAsia="en-AU"/>
              </w:rPr>
              <w:t>Risk management plan</w:t>
            </w:r>
            <w:r>
              <w:rPr>
                <w:noProof/>
                <w:webHidden/>
              </w:rPr>
              <w:tab/>
            </w:r>
            <w:r>
              <w:rPr>
                <w:noProof/>
                <w:webHidden/>
              </w:rPr>
              <w:fldChar w:fldCharType="begin"/>
            </w:r>
            <w:r>
              <w:rPr>
                <w:noProof/>
                <w:webHidden/>
              </w:rPr>
              <w:instrText xml:space="preserve"> PAGEREF _Toc241844860 \h </w:instrText>
            </w:r>
            <w:r>
              <w:rPr>
                <w:noProof/>
                <w:webHidden/>
              </w:rPr>
            </w:r>
            <w:r>
              <w:rPr>
                <w:noProof/>
                <w:webHidden/>
              </w:rPr>
              <w:fldChar w:fldCharType="separate"/>
            </w:r>
            <w:r>
              <w:rPr>
                <w:noProof/>
                <w:webHidden/>
              </w:rPr>
              <w:t>49</w:t>
            </w:r>
            <w:r>
              <w:rPr>
                <w:noProof/>
                <w:webHidden/>
              </w:rPr>
              <w:fldChar w:fldCharType="end"/>
            </w:r>
          </w:hyperlink>
        </w:p>
        <w:p w14:paraId="18BB72D2" w14:textId="12EDE167" w:rsidR="0027662E" w:rsidRDefault="0027662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844861" w:history="1">
            <w:r w:rsidRPr="00022399">
              <w:rPr>
                <w:rStyle w:val="Hyperlink"/>
                <w:noProof/>
              </w:rPr>
              <w:t>Risk-benefit analysis</w:t>
            </w:r>
            <w:r>
              <w:rPr>
                <w:noProof/>
                <w:webHidden/>
              </w:rPr>
              <w:tab/>
            </w:r>
            <w:r>
              <w:rPr>
                <w:noProof/>
                <w:webHidden/>
              </w:rPr>
              <w:fldChar w:fldCharType="begin"/>
            </w:r>
            <w:r>
              <w:rPr>
                <w:noProof/>
                <w:webHidden/>
              </w:rPr>
              <w:instrText xml:space="preserve"> PAGEREF _Toc241844861 \h </w:instrText>
            </w:r>
            <w:r>
              <w:rPr>
                <w:noProof/>
                <w:webHidden/>
              </w:rPr>
            </w:r>
            <w:r>
              <w:rPr>
                <w:noProof/>
                <w:webHidden/>
              </w:rPr>
              <w:fldChar w:fldCharType="separate"/>
            </w:r>
            <w:r>
              <w:rPr>
                <w:noProof/>
                <w:webHidden/>
              </w:rPr>
              <w:t>49</w:t>
            </w:r>
            <w:r>
              <w:rPr>
                <w:noProof/>
                <w:webHidden/>
              </w:rPr>
              <w:fldChar w:fldCharType="end"/>
            </w:r>
          </w:hyperlink>
        </w:p>
        <w:p w14:paraId="6A309B02" w14:textId="7E10D1F2"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62" w:history="1">
            <w:r w:rsidRPr="00022399">
              <w:rPr>
                <w:rStyle w:val="Hyperlink"/>
                <w:noProof/>
              </w:rPr>
              <w:t>Delegate’s considerations</w:t>
            </w:r>
            <w:r>
              <w:rPr>
                <w:noProof/>
                <w:webHidden/>
              </w:rPr>
              <w:tab/>
            </w:r>
            <w:r>
              <w:rPr>
                <w:noProof/>
                <w:webHidden/>
              </w:rPr>
              <w:fldChar w:fldCharType="begin"/>
            </w:r>
            <w:r>
              <w:rPr>
                <w:noProof/>
                <w:webHidden/>
              </w:rPr>
              <w:instrText xml:space="preserve"> PAGEREF _Toc241844862 \h </w:instrText>
            </w:r>
            <w:r>
              <w:rPr>
                <w:noProof/>
                <w:webHidden/>
              </w:rPr>
            </w:r>
            <w:r>
              <w:rPr>
                <w:noProof/>
                <w:webHidden/>
              </w:rPr>
              <w:fldChar w:fldCharType="separate"/>
            </w:r>
            <w:r>
              <w:rPr>
                <w:noProof/>
                <w:webHidden/>
              </w:rPr>
              <w:t>49</w:t>
            </w:r>
            <w:r>
              <w:rPr>
                <w:noProof/>
                <w:webHidden/>
              </w:rPr>
              <w:fldChar w:fldCharType="end"/>
            </w:r>
          </w:hyperlink>
        </w:p>
        <w:p w14:paraId="65B788D2" w14:textId="1D5FC260"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63" w:history="1">
            <w:r w:rsidRPr="00022399">
              <w:rPr>
                <w:rStyle w:val="Hyperlink"/>
                <w:noProof/>
              </w:rPr>
              <w:t>Proposed action</w:t>
            </w:r>
            <w:r>
              <w:rPr>
                <w:noProof/>
                <w:webHidden/>
              </w:rPr>
              <w:tab/>
            </w:r>
            <w:r>
              <w:rPr>
                <w:noProof/>
                <w:webHidden/>
              </w:rPr>
              <w:fldChar w:fldCharType="begin"/>
            </w:r>
            <w:r>
              <w:rPr>
                <w:noProof/>
                <w:webHidden/>
              </w:rPr>
              <w:instrText xml:space="preserve"> PAGEREF _Toc241844863 \h </w:instrText>
            </w:r>
            <w:r>
              <w:rPr>
                <w:noProof/>
                <w:webHidden/>
              </w:rPr>
            </w:r>
            <w:r>
              <w:rPr>
                <w:noProof/>
                <w:webHidden/>
              </w:rPr>
              <w:fldChar w:fldCharType="separate"/>
            </w:r>
            <w:r>
              <w:rPr>
                <w:noProof/>
                <w:webHidden/>
              </w:rPr>
              <w:t>53</w:t>
            </w:r>
            <w:r>
              <w:rPr>
                <w:noProof/>
                <w:webHidden/>
              </w:rPr>
              <w:fldChar w:fldCharType="end"/>
            </w:r>
          </w:hyperlink>
        </w:p>
        <w:p w14:paraId="4D08CC1C" w14:textId="7D84117D"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64" w:history="1">
            <w:r w:rsidRPr="00022399">
              <w:rPr>
                <w:rStyle w:val="Hyperlink"/>
                <w:noProof/>
              </w:rPr>
              <w:t>Independent expert advice</w:t>
            </w:r>
            <w:r>
              <w:rPr>
                <w:noProof/>
                <w:webHidden/>
              </w:rPr>
              <w:tab/>
            </w:r>
            <w:r>
              <w:rPr>
                <w:noProof/>
                <w:webHidden/>
              </w:rPr>
              <w:fldChar w:fldCharType="begin"/>
            </w:r>
            <w:r>
              <w:rPr>
                <w:noProof/>
                <w:webHidden/>
              </w:rPr>
              <w:instrText xml:space="preserve"> PAGEREF _Toc241844864 \h </w:instrText>
            </w:r>
            <w:r>
              <w:rPr>
                <w:noProof/>
                <w:webHidden/>
              </w:rPr>
            </w:r>
            <w:r>
              <w:rPr>
                <w:noProof/>
                <w:webHidden/>
              </w:rPr>
              <w:fldChar w:fldCharType="separate"/>
            </w:r>
            <w:r>
              <w:rPr>
                <w:noProof/>
                <w:webHidden/>
              </w:rPr>
              <w:t>53</w:t>
            </w:r>
            <w:r>
              <w:rPr>
                <w:noProof/>
                <w:webHidden/>
              </w:rPr>
              <w:fldChar w:fldCharType="end"/>
            </w:r>
          </w:hyperlink>
        </w:p>
        <w:p w14:paraId="658B369F" w14:textId="6607F3A9" w:rsidR="0027662E" w:rsidRDefault="0027662E">
          <w:pPr>
            <w:pStyle w:val="TOC3"/>
            <w:rPr>
              <w:rFonts w:asciiTheme="minorHAnsi" w:eastAsiaTheme="minorEastAsia" w:hAnsiTheme="minorHAnsi" w:cstheme="minorBidi"/>
              <w:b w:val="0"/>
              <w:noProof/>
              <w:color w:val="auto"/>
              <w:kern w:val="2"/>
              <w:sz w:val="24"/>
              <w:szCs w:val="24"/>
              <w:lang w:eastAsia="en-AU"/>
              <w14:ligatures w14:val="standardContextual"/>
            </w:rPr>
          </w:pPr>
          <w:hyperlink w:anchor="_Toc241844865" w:history="1">
            <w:r w:rsidRPr="00022399">
              <w:rPr>
                <w:rStyle w:val="Hyperlink"/>
                <w:noProof/>
              </w:rPr>
              <w:t>Advisory Committee considerations</w:t>
            </w:r>
            <w:r>
              <w:rPr>
                <w:noProof/>
                <w:webHidden/>
              </w:rPr>
              <w:tab/>
            </w:r>
            <w:r>
              <w:rPr>
                <w:noProof/>
                <w:webHidden/>
              </w:rPr>
              <w:fldChar w:fldCharType="begin"/>
            </w:r>
            <w:r>
              <w:rPr>
                <w:noProof/>
                <w:webHidden/>
              </w:rPr>
              <w:instrText xml:space="preserve"> PAGEREF _Toc241844865 \h </w:instrText>
            </w:r>
            <w:r>
              <w:rPr>
                <w:noProof/>
                <w:webHidden/>
              </w:rPr>
            </w:r>
            <w:r>
              <w:rPr>
                <w:noProof/>
                <w:webHidden/>
              </w:rPr>
              <w:fldChar w:fldCharType="separate"/>
            </w:r>
            <w:r>
              <w:rPr>
                <w:noProof/>
                <w:webHidden/>
              </w:rPr>
              <w:t>53</w:t>
            </w:r>
            <w:r>
              <w:rPr>
                <w:noProof/>
                <w:webHidden/>
              </w:rPr>
              <w:fldChar w:fldCharType="end"/>
            </w:r>
          </w:hyperlink>
        </w:p>
        <w:p w14:paraId="28BB538B" w14:textId="6F2F1AF3" w:rsidR="0027662E" w:rsidRDefault="0027662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844866" w:history="1">
            <w:r w:rsidRPr="00022399">
              <w:rPr>
                <w:rStyle w:val="Hyperlink"/>
                <w:noProof/>
              </w:rPr>
              <w:t>Assessment outcome</w:t>
            </w:r>
            <w:r>
              <w:rPr>
                <w:noProof/>
                <w:webHidden/>
              </w:rPr>
              <w:tab/>
            </w:r>
            <w:r>
              <w:rPr>
                <w:noProof/>
                <w:webHidden/>
              </w:rPr>
              <w:fldChar w:fldCharType="begin"/>
            </w:r>
            <w:r>
              <w:rPr>
                <w:noProof/>
                <w:webHidden/>
              </w:rPr>
              <w:instrText xml:space="preserve"> PAGEREF _Toc241844866 \h </w:instrText>
            </w:r>
            <w:r>
              <w:rPr>
                <w:noProof/>
                <w:webHidden/>
              </w:rPr>
            </w:r>
            <w:r>
              <w:rPr>
                <w:noProof/>
                <w:webHidden/>
              </w:rPr>
              <w:fldChar w:fldCharType="separate"/>
            </w:r>
            <w:r>
              <w:rPr>
                <w:noProof/>
                <w:webHidden/>
              </w:rPr>
              <w:t>53</w:t>
            </w:r>
            <w:r>
              <w:rPr>
                <w:noProof/>
                <w:webHidden/>
              </w:rPr>
              <w:fldChar w:fldCharType="end"/>
            </w:r>
          </w:hyperlink>
        </w:p>
        <w:p w14:paraId="3580D6E9" w14:textId="4A3E4988" w:rsidR="0027662E" w:rsidRDefault="0027662E">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41844867" w:history="1">
            <w:r w:rsidRPr="00022399">
              <w:rPr>
                <w:rStyle w:val="Hyperlink"/>
                <w:noProof/>
              </w:rPr>
              <w:t>Specific conditions of registration</w:t>
            </w:r>
            <w:r>
              <w:rPr>
                <w:noProof/>
                <w:webHidden/>
              </w:rPr>
              <w:tab/>
            </w:r>
            <w:r>
              <w:rPr>
                <w:noProof/>
                <w:webHidden/>
              </w:rPr>
              <w:fldChar w:fldCharType="begin"/>
            </w:r>
            <w:r>
              <w:rPr>
                <w:noProof/>
                <w:webHidden/>
              </w:rPr>
              <w:instrText xml:space="preserve"> PAGEREF _Toc241844867 \h </w:instrText>
            </w:r>
            <w:r>
              <w:rPr>
                <w:noProof/>
                <w:webHidden/>
              </w:rPr>
            </w:r>
            <w:r>
              <w:rPr>
                <w:noProof/>
                <w:webHidden/>
              </w:rPr>
              <w:fldChar w:fldCharType="separate"/>
            </w:r>
            <w:r>
              <w:rPr>
                <w:noProof/>
                <w:webHidden/>
              </w:rPr>
              <w:t>54</w:t>
            </w:r>
            <w:r>
              <w:rPr>
                <w:noProof/>
                <w:webHidden/>
              </w:rPr>
              <w:fldChar w:fldCharType="end"/>
            </w:r>
          </w:hyperlink>
        </w:p>
        <w:p w14:paraId="2AC17333" w14:textId="220A8A52" w:rsidR="0027662E" w:rsidRDefault="0027662E">
          <w:pPr>
            <w:pStyle w:val="TOC2"/>
            <w:rPr>
              <w:rFonts w:asciiTheme="minorHAnsi" w:eastAsiaTheme="minorEastAsia" w:hAnsiTheme="minorHAnsi" w:cstheme="minorBidi"/>
              <w:b w:val="0"/>
              <w:noProof/>
              <w:color w:val="auto"/>
              <w:kern w:val="2"/>
              <w:sz w:val="24"/>
              <w:szCs w:val="24"/>
              <w:lang w:eastAsia="en-AU"/>
              <w14:ligatures w14:val="standardContextual"/>
            </w:rPr>
          </w:pPr>
          <w:hyperlink w:anchor="_Toc241844868" w:history="1">
            <w:r w:rsidRPr="00022399">
              <w:rPr>
                <w:rStyle w:val="Hyperlink"/>
                <w:noProof/>
              </w:rPr>
              <w:t>Product Information and Consumer Medicine Information</w:t>
            </w:r>
            <w:r>
              <w:rPr>
                <w:noProof/>
                <w:webHidden/>
              </w:rPr>
              <w:tab/>
            </w:r>
            <w:r>
              <w:rPr>
                <w:noProof/>
                <w:webHidden/>
              </w:rPr>
              <w:fldChar w:fldCharType="begin"/>
            </w:r>
            <w:r>
              <w:rPr>
                <w:noProof/>
                <w:webHidden/>
              </w:rPr>
              <w:instrText xml:space="preserve"> PAGEREF _Toc241844868 \h </w:instrText>
            </w:r>
            <w:r>
              <w:rPr>
                <w:noProof/>
                <w:webHidden/>
              </w:rPr>
            </w:r>
            <w:r>
              <w:rPr>
                <w:noProof/>
                <w:webHidden/>
              </w:rPr>
              <w:fldChar w:fldCharType="separate"/>
            </w:r>
            <w:r>
              <w:rPr>
                <w:noProof/>
                <w:webHidden/>
              </w:rPr>
              <w:t>54</w:t>
            </w:r>
            <w:r>
              <w:rPr>
                <w:noProof/>
                <w:webHidden/>
              </w:rPr>
              <w:fldChar w:fldCharType="end"/>
            </w:r>
          </w:hyperlink>
        </w:p>
        <w:p w14:paraId="77659F2D" w14:textId="5A6D3B1A" w:rsidR="00F02AEC" w:rsidRPr="00215D48" w:rsidRDefault="00F02AEC" w:rsidP="007452E8">
          <w:r w:rsidRPr="00215D48">
            <w:fldChar w:fldCharType="end"/>
          </w:r>
        </w:p>
      </w:sdtContent>
    </w:sdt>
    <w:p w14:paraId="10987AE2" w14:textId="77777777" w:rsidR="00F02AEC" w:rsidRPr="00215D48" w:rsidRDefault="00F02AEC" w:rsidP="007452E8">
      <w:r w:rsidRPr="00215D48">
        <w:br w:type="page"/>
      </w:r>
    </w:p>
    <w:p w14:paraId="1E73AB93" w14:textId="77777777" w:rsidR="00324B33" w:rsidRDefault="00324B33" w:rsidP="00324B33">
      <w:pPr>
        <w:pStyle w:val="Heading2"/>
      </w:pPr>
      <w:bookmarkStart w:id="0" w:name="_Toc98931917"/>
      <w:bookmarkStart w:id="1" w:name="_Toc103679287"/>
      <w:bookmarkStart w:id="2" w:name="_Toc241844841"/>
      <w:bookmarkStart w:id="3" w:name="_Toc323739589"/>
      <w:bookmarkStart w:id="4" w:name="_Toc356305216"/>
      <w:r>
        <w:lastRenderedPageBreak/>
        <w:t>List of abbreviations</w:t>
      </w:r>
      <w:bookmarkEnd w:id="0"/>
      <w:bookmarkEnd w:id="1"/>
      <w:bookmarkEnd w:id="2"/>
    </w:p>
    <w:tbl>
      <w:tblPr>
        <w:tblStyle w:val="TableTGAblue2023"/>
        <w:tblW w:w="5000" w:type="pct"/>
        <w:tblLook w:val="04A0" w:firstRow="1" w:lastRow="0" w:firstColumn="1" w:lastColumn="0" w:noHBand="0" w:noVBand="1"/>
      </w:tblPr>
      <w:tblGrid>
        <w:gridCol w:w="2174"/>
        <w:gridCol w:w="6886"/>
      </w:tblGrid>
      <w:tr w:rsidR="00324B33" w:rsidRPr="00D01DDB" w14:paraId="2117AEF6" w14:textId="77777777" w:rsidTr="009555E0">
        <w:trPr>
          <w:cnfStyle w:val="100000000000" w:firstRow="1" w:lastRow="0" w:firstColumn="0" w:lastColumn="0" w:oddVBand="0" w:evenVBand="0" w:oddHBand="0"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1200" w:type="pct"/>
          </w:tcPr>
          <w:p w14:paraId="1207B6A7" w14:textId="67F7D360" w:rsidR="00324B33" w:rsidRPr="00D01DDB" w:rsidRDefault="00324B33" w:rsidP="00324B33">
            <w:pPr>
              <w:rPr>
                <w:szCs w:val="22"/>
              </w:rPr>
            </w:pPr>
            <w:r w:rsidRPr="00D01DDB">
              <w:rPr>
                <w:szCs w:val="22"/>
              </w:rPr>
              <w:t>Abbreviation</w:t>
            </w:r>
          </w:p>
        </w:tc>
        <w:tc>
          <w:tcPr>
            <w:tcW w:w="3800" w:type="pct"/>
          </w:tcPr>
          <w:p w14:paraId="4CF6D0CD" w14:textId="2974FA0B" w:rsidR="00324B33" w:rsidRPr="00D01DDB" w:rsidRDefault="00324B33" w:rsidP="00324B33">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Meaning</w:t>
            </w:r>
          </w:p>
        </w:tc>
      </w:tr>
      <w:tr w:rsidR="009555E0" w:rsidRPr="00D01DDB" w14:paraId="16C5C8C5"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6DE09A4" w14:textId="26E246CA" w:rsidR="009555E0" w:rsidRPr="00D01DDB" w:rsidRDefault="009555E0" w:rsidP="00324B33">
            <w:pPr>
              <w:rPr>
                <w:szCs w:val="22"/>
              </w:rPr>
            </w:pPr>
            <w:r w:rsidRPr="00C169B8">
              <w:rPr>
                <w:szCs w:val="22"/>
              </w:rPr>
              <w:t>1L</w:t>
            </w:r>
          </w:p>
        </w:tc>
        <w:tc>
          <w:tcPr>
            <w:tcW w:w="3800" w:type="pct"/>
          </w:tcPr>
          <w:p w14:paraId="4F24A873" w14:textId="2A4713B7" w:rsidR="009555E0" w:rsidRPr="00D01DDB" w:rsidRDefault="009555E0" w:rsidP="00324B33">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First line</w:t>
            </w:r>
          </w:p>
        </w:tc>
      </w:tr>
      <w:tr w:rsidR="009555E0" w:rsidRPr="00D01DDB" w14:paraId="35340A5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D8B9F80" w14:textId="499A83FB" w:rsidR="009555E0" w:rsidRPr="00D01DDB" w:rsidRDefault="009555E0" w:rsidP="00324B33">
            <w:pPr>
              <w:rPr>
                <w:szCs w:val="22"/>
              </w:rPr>
            </w:pPr>
            <w:r w:rsidRPr="00C169B8">
              <w:rPr>
                <w:szCs w:val="22"/>
              </w:rPr>
              <w:t>2L</w:t>
            </w:r>
          </w:p>
        </w:tc>
        <w:tc>
          <w:tcPr>
            <w:tcW w:w="3800" w:type="pct"/>
          </w:tcPr>
          <w:p w14:paraId="5072E244" w14:textId="136295DF" w:rsidR="009555E0" w:rsidRPr="00D01DDB" w:rsidRDefault="009555E0" w:rsidP="00324B33">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Second line</w:t>
            </w:r>
          </w:p>
        </w:tc>
      </w:tr>
      <w:tr w:rsidR="009555E0" w:rsidRPr="00D01DDB" w14:paraId="69654661"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43A7AEA" w14:textId="0276C526" w:rsidR="009555E0" w:rsidRPr="00D01DDB" w:rsidRDefault="009555E0" w:rsidP="00324B33">
            <w:pPr>
              <w:rPr>
                <w:szCs w:val="22"/>
              </w:rPr>
            </w:pPr>
            <w:r w:rsidRPr="00C169B8">
              <w:rPr>
                <w:szCs w:val="22"/>
              </w:rPr>
              <w:t>3L</w:t>
            </w:r>
          </w:p>
        </w:tc>
        <w:tc>
          <w:tcPr>
            <w:tcW w:w="3800" w:type="pct"/>
          </w:tcPr>
          <w:p w14:paraId="228A203A" w14:textId="4753245D" w:rsidR="009555E0" w:rsidRPr="00D01DDB" w:rsidRDefault="009555E0" w:rsidP="00324B33">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Third line</w:t>
            </w:r>
          </w:p>
        </w:tc>
      </w:tr>
      <w:tr w:rsidR="009555E0" w:rsidRPr="00D01DDB" w14:paraId="0536676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0516A80" w14:textId="2A29C4F7" w:rsidR="009555E0" w:rsidRPr="00D01DDB" w:rsidRDefault="009555E0" w:rsidP="00324B33">
            <w:pPr>
              <w:rPr>
                <w:szCs w:val="22"/>
              </w:rPr>
            </w:pPr>
            <w:r w:rsidRPr="00C169B8">
              <w:rPr>
                <w:szCs w:val="22"/>
              </w:rPr>
              <w:t>ADME</w:t>
            </w:r>
          </w:p>
        </w:tc>
        <w:tc>
          <w:tcPr>
            <w:tcW w:w="3800" w:type="pct"/>
          </w:tcPr>
          <w:p w14:paraId="4E6F5284" w14:textId="0C316662" w:rsidR="009555E0" w:rsidRPr="00D01DDB" w:rsidRDefault="009555E0" w:rsidP="00324B33">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Absorption Distribution Metabolism Elimination</w:t>
            </w:r>
          </w:p>
        </w:tc>
      </w:tr>
      <w:tr w:rsidR="009555E0" w:rsidRPr="00D01DDB" w14:paraId="7694A4EE"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AC18809" w14:textId="2A69F6D4" w:rsidR="009555E0" w:rsidRPr="00D01DDB" w:rsidRDefault="009555E0" w:rsidP="00324B33">
            <w:pPr>
              <w:rPr>
                <w:szCs w:val="22"/>
              </w:rPr>
            </w:pPr>
            <w:r w:rsidRPr="00C169B8">
              <w:rPr>
                <w:szCs w:val="22"/>
              </w:rPr>
              <w:t>ADA</w:t>
            </w:r>
          </w:p>
        </w:tc>
        <w:tc>
          <w:tcPr>
            <w:tcW w:w="3800" w:type="pct"/>
          </w:tcPr>
          <w:p w14:paraId="5D8C9DF5" w14:textId="265D4C25" w:rsidR="009555E0" w:rsidRPr="00D01DDB" w:rsidRDefault="009555E0" w:rsidP="00324B33">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Anti-Drug Antibody</w:t>
            </w:r>
          </w:p>
        </w:tc>
      </w:tr>
      <w:tr w:rsidR="009555E0" w:rsidRPr="00D01DDB" w14:paraId="7B873773"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CE05B04" w14:textId="5DBCB45F" w:rsidR="009555E0" w:rsidRPr="00D01DDB" w:rsidRDefault="009555E0" w:rsidP="00324B33">
            <w:pPr>
              <w:rPr>
                <w:szCs w:val="22"/>
              </w:rPr>
            </w:pPr>
            <w:r w:rsidRPr="00C169B8">
              <w:rPr>
                <w:szCs w:val="22"/>
              </w:rPr>
              <w:t>AE</w:t>
            </w:r>
          </w:p>
        </w:tc>
        <w:tc>
          <w:tcPr>
            <w:tcW w:w="3800" w:type="pct"/>
          </w:tcPr>
          <w:p w14:paraId="26109D0B" w14:textId="3441C6D1" w:rsidR="009555E0" w:rsidRPr="00D01DDB" w:rsidRDefault="009555E0" w:rsidP="00324B33">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Adverse Event</w:t>
            </w:r>
          </w:p>
        </w:tc>
      </w:tr>
      <w:tr w:rsidR="009555E0" w:rsidRPr="00D01DDB" w14:paraId="2756B6F2"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2AA960E" w14:textId="5A7B5996" w:rsidR="009555E0" w:rsidRPr="00D01DDB" w:rsidRDefault="009555E0" w:rsidP="00324B33">
            <w:pPr>
              <w:rPr>
                <w:szCs w:val="22"/>
              </w:rPr>
            </w:pPr>
            <w:r w:rsidRPr="00C169B8">
              <w:rPr>
                <w:szCs w:val="22"/>
              </w:rPr>
              <w:t>AESI</w:t>
            </w:r>
          </w:p>
        </w:tc>
        <w:tc>
          <w:tcPr>
            <w:tcW w:w="3800" w:type="pct"/>
          </w:tcPr>
          <w:p w14:paraId="354B5DB5" w14:textId="3C759FB1" w:rsidR="009555E0" w:rsidRPr="00D01DDB" w:rsidRDefault="009555E0" w:rsidP="00324B33">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Adverse Event of Special Interest</w:t>
            </w:r>
          </w:p>
        </w:tc>
      </w:tr>
      <w:tr w:rsidR="009555E0" w:rsidRPr="00D01DDB" w14:paraId="3D3C703D"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6FC5D65" w14:textId="3FDB9392" w:rsidR="009555E0" w:rsidRPr="00D01DDB" w:rsidRDefault="009555E0" w:rsidP="00A704DC">
            <w:pPr>
              <w:rPr>
                <w:szCs w:val="22"/>
              </w:rPr>
            </w:pPr>
            <w:r w:rsidRPr="00C169B8">
              <w:rPr>
                <w:szCs w:val="22"/>
              </w:rPr>
              <w:t>ALT</w:t>
            </w:r>
          </w:p>
        </w:tc>
        <w:tc>
          <w:tcPr>
            <w:tcW w:w="3800" w:type="pct"/>
          </w:tcPr>
          <w:p w14:paraId="4A97D112" w14:textId="094FF22F" w:rsidR="009555E0" w:rsidRPr="00D01DDB" w:rsidRDefault="009555E0" w:rsidP="00A704DC">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Alanine aminotransferase</w:t>
            </w:r>
          </w:p>
        </w:tc>
      </w:tr>
      <w:tr w:rsidR="009555E0" w:rsidRPr="00D01DDB" w14:paraId="07F3695A"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9390BCA" w14:textId="41952A8B" w:rsidR="009555E0" w:rsidRPr="00D01DDB" w:rsidRDefault="009555E0" w:rsidP="00A704DC">
            <w:pPr>
              <w:rPr>
                <w:szCs w:val="22"/>
              </w:rPr>
            </w:pPr>
            <w:r w:rsidRPr="00C169B8">
              <w:rPr>
                <w:szCs w:val="22"/>
              </w:rPr>
              <w:t>alloHSCT</w:t>
            </w:r>
          </w:p>
        </w:tc>
        <w:tc>
          <w:tcPr>
            <w:tcW w:w="3800" w:type="pct"/>
          </w:tcPr>
          <w:p w14:paraId="2C862F75" w14:textId="6A35C5D1" w:rsidR="009555E0" w:rsidRPr="00D01DDB" w:rsidRDefault="009555E0" w:rsidP="00A704DC">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Allogenic Haematopoietic Stem Cell Transplant</w:t>
            </w:r>
          </w:p>
        </w:tc>
      </w:tr>
      <w:tr w:rsidR="009555E0" w:rsidRPr="00D01DDB" w14:paraId="254AC9B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74FC2A0" w14:textId="1E81EBDD" w:rsidR="009555E0" w:rsidRPr="00D01DDB" w:rsidRDefault="009555E0" w:rsidP="00A704DC">
            <w:pPr>
              <w:rPr>
                <w:szCs w:val="22"/>
              </w:rPr>
            </w:pPr>
            <w:r w:rsidRPr="00C169B8">
              <w:rPr>
                <w:szCs w:val="22"/>
              </w:rPr>
              <w:t>ANC</w:t>
            </w:r>
          </w:p>
        </w:tc>
        <w:tc>
          <w:tcPr>
            <w:tcW w:w="3800" w:type="pct"/>
          </w:tcPr>
          <w:p w14:paraId="29EA6BA3" w14:textId="7CEAC846" w:rsidR="009555E0" w:rsidRPr="00D01DDB" w:rsidRDefault="009555E0" w:rsidP="00A704DC">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Absolute Neutrophil Count</w:t>
            </w:r>
          </w:p>
        </w:tc>
      </w:tr>
      <w:tr w:rsidR="009555E0" w:rsidRPr="00D01DDB" w14:paraId="4BDC33D2"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1819C5F" w14:textId="105493F3" w:rsidR="009555E0" w:rsidRPr="00D01DDB" w:rsidRDefault="009555E0" w:rsidP="00A704DC">
            <w:pPr>
              <w:rPr>
                <w:szCs w:val="22"/>
              </w:rPr>
            </w:pPr>
            <w:r w:rsidRPr="00C169B8">
              <w:rPr>
                <w:szCs w:val="22"/>
              </w:rPr>
              <w:t>ARTG</w:t>
            </w:r>
          </w:p>
        </w:tc>
        <w:tc>
          <w:tcPr>
            <w:tcW w:w="3800" w:type="pct"/>
          </w:tcPr>
          <w:p w14:paraId="4458E485" w14:textId="34E1E16F" w:rsidR="009555E0" w:rsidRPr="00D01DDB" w:rsidRDefault="009555E0" w:rsidP="00A704DC">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Australian Register of Therapeutic Goods</w:t>
            </w:r>
          </w:p>
        </w:tc>
      </w:tr>
      <w:tr w:rsidR="009555E0" w:rsidRPr="00D01DDB" w14:paraId="2C8657A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46CFA8D" w14:textId="7C93B2D5" w:rsidR="009555E0" w:rsidRPr="00D01DDB" w:rsidRDefault="009555E0" w:rsidP="00C169B8">
            <w:pPr>
              <w:rPr>
                <w:szCs w:val="22"/>
              </w:rPr>
            </w:pPr>
            <w:r w:rsidRPr="00C169B8">
              <w:rPr>
                <w:szCs w:val="22"/>
              </w:rPr>
              <w:t>AST</w:t>
            </w:r>
          </w:p>
        </w:tc>
        <w:tc>
          <w:tcPr>
            <w:tcW w:w="3800" w:type="pct"/>
          </w:tcPr>
          <w:p w14:paraId="53D4D108" w14:textId="4C38F827" w:rsidR="009555E0" w:rsidRPr="00D01DDB"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Aspartate aminotransferase</w:t>
            </w:r>
          </w:p>
        </w:tc>
      </w:tr>
      <w:tr w:rsidR="009555E0" w:rsidRPr="00D01DDB" w14:paraId="45CEEF86"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04FE35A" w14:textId="2502B853" w:rsidR="009555E0" w:rsidRPr="00C169B8" w:rsidRDefault="009555E0" w:rsidP="00C169B8">
            <w:pPr>
              <w:rPr>
                <w:szCs w:val="22"/>
              </w:rPr>
            </w:pPr>
            <w:r w:rsidRPr="00C169B8">
              <w:rPr>
                <w:szCs w:val="22"/>
              </w:rPr>
              <w:t>ASTCT</w:t>
            </w:r>
          </w:p>
        </w:tc>
        <w:tc>
          <w:tcPr>
            <w:tcW w:w="3800" w:type="pct"/>
          </w:tcPr>
          <w:p w14:paraId="23D1E1C4" w14:textId="0C66C822"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American Society for Transplantation and Cellular Therapy</w:t>
            </w:r>
          </w:p>
        </w:tc>
      </w:tr>
      <w:tr w:rsidR="009555E0" w:rsidRPr="00D01DDB" w14:paraId="3806DCDF"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65F1453" w14:textId="68ECF708" w:rsidR="009555E0" w:rsidRPr="00C169B8" w:rsidRDefault="009555E0" w:rsidP="00C169B8">
            <w:pPr>
              <w:rPr>
                <w:szCs w:val="22"/>
              </w:rPr>
            </w:pPr>
            <w:r w:rsidRPr="00C169B8">
              <w:rPr>
                <w:szCs w:val="22"/>
              </w:rPr>
              <w:t>AUC</w:t>
            </w:r>
          </w:p>
        </w:tc>
        <w:tc>
          <w:tcPr>
            <w:tcW w:w="3800" w:type="pct"/>
          </w:tcPr>
          <w:p w14:paraId="689BB1F4" w14:textId="2873B700"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Area Under the Concentration-Time Curve</w:t>
            </w:r>
          </w:p>
        </w:tc>
      </w:tr>
      <w:tr w:rsidR="009555E0" w:rsidRPr="00D01DDB" w14:paraId="452A4020"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A409031" w14:textId="0EDBA69C" w:rsidR="009555E0" w:rsidRPr="00C169B8" w:rsidRDefault="009555E0" w:rsidP="00C169B8">
            <w:pPr>
              <w:rPr>
                <w:szCs w:val="22"/>
              </w:rPr>
            </w:pPr>
            <w:r w:rsidRPr="00C169B8">
              <w:rPr>
                <w:szCs w:val="22"/>
              </w:rPr>
              <w:t>autoHSCT</w:t>
            </w:r>
          </w:p>
        </w:tc>
        <w:tc>
          <w:tcPr>
            <w:tcW w:w="3800" w:type="pct"/>
          </w:tcPr>
          <w:p w14:paraId="59E87055" w14:textId="03B5749D"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Autologous Haematopoietic Stem Cell Transplant</w:t>
            </w:r>
          </w:p>
        </w:tc>
      </w:tr>
      <w:tr w:rsidR="009555E0" w:rsidRPr="00D01DDB" w14:paraId="1173404B"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90F59CB" w14:textId="4440D66B" w:rsidR="009555E0" w:rsidRPr="00C169B8" w:rsidRDefault="009555E0" w:rsidP="00C169B8">
            <w:pPr>
              <w:rPr>
                <w:szCs w:val="22"/>
              </w:rPr>
            </w:pPr>
            <w:r w:rsidRPr="00C169B8">
              <w:rPr>
                <w:szCs w:val="22"/>
              </w:rPr>
              <w:t>BD or BID</w:t>
            </w:r>
          </w:p>
        </w:tc>
        <w:tc>
          <w:tcPr>
            <w:tcW w:w="3800" w:type="pct"/>
          </w:tcPr>
          <w:p w14:paraId="3CF4ABE5" w14:textId="5AF0509E"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Twice daily</w:t>
            </w:r>
          </w:p>
        </w:tc>
      </w:tr>
      <w:tr w:rsidR="009555E0" w:rsidRPr="00D01DDB" w14:paraId="788E51F2"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4F764A6" w14:textId="68AA6839" w:rsidR="009555E0" w:rsidRPr="00C169B8" w:rsidRDefault="009555E0" w:rsidP="00C169B8">
            <w:pPr>
              <w:rPr>
                <w:szCs w:val="22"/>
              </w:rPr>
            </w:pPr>
            <w:r w:rsidRPr="00C169B8">
              <w:rPr>
                <w:szCs w:val="22"/>
              </w:rPr>
              <w:t>BMX</w:t>
            </w:r>
          </w:p>
        </w:tc>
        <w:tc>
          <w:tcPr>
            <w:tcW w:w="3800" w:type="pct"/>
          </w:tcPr>
          <w:p w14:paraId="61DD0ED1" w14:textId="34CE3776"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Bone Marrow Expressed Kinase</w:t>
            </w:r>
          </w:p>
        </w:tc>
      </w:tr>
      <w:tr w:rsidR="009555E0" w:rsidRPr="00D01DDB" w14:paraId="583DE84E"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5799B67" w14:textId="39DF94D7" w:rsidR="009555E0" w:rsidRPr="00C169B8" w:rsidRDefault="009555E0" w:rsidP="00C169B8">
            <w:pPr>
              <w:rPr>
                <w:szCs w:val="22"/>
              </w:rPr>
            </w:pPr>
            <w:r w:rsidRPr="00C169B8">
              <w:rPr>
                <w:szCs w:val="22"/>
              </w:rPr>
              <w:t>BR</w:t>
            </w:r>
          </w:p>
        </w:tc>
        <w:tc>
          <w:tcPr>
            <w:tcW w:w="3800" w:type="pct"/>
          </w:tcPr>
          <w:p w14:paraId="254B63BC" w14:textId="19A022AC"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Bendamustine + Rituximab</w:t>
            </w:r>
          </w:p>
        </w:tc>
      </w:tr>
      <w:tr w:rsidR="009555E0" w:rsidRPr="00D01DDB" w14:paraId="619DF5A7"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6625A6A" w14:textId="6685B88D" w:rsidR="009555E0" w:rsidRPr="00C169B8" w:rsidRDefault="009555E0" w:rsidP="00C169B8">
            <w:pPr>
              <w:rPr>
                <w:szCs w:val="22"/>
              </w:rPr>
            </w:pPr>
            <w:r w:rsidRPr="00C169B8">
              <w:rPr>
                <w:szCs w:val="22"/>
              </w:rPr>
              <w:t>BTK</w:t>
            </w:r>
          </w:p>
        </w:tc>
        <w:tc>
          <w:tcPr>
            <w:tcW w:w="3800" w:type="pct"/>
          </w:tcPr>
          <w:p w14:paraId="663385B9" w14:textId="0458FDA4"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Bruton's Tyrosine Kinase</w:t>
            </w:r>
          </w:p>
        </w:tc>
      </w:tr>
      <w:tr w:rsidR="009555E0" w:rsidRPr="00D01DDB" w14:paraId="6EA75351"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2084F21" w14:textId="5E166E6A" w:rsidR="009555E0" w:rsidRPr="00C169B8" w:rsidRDefault="009555E0" w:rsidP="00C169B8">
            <w:pPr>
              <w:rPr>
                <w:szCs w:val="22"/>
              </w:rPr>
            </w:pPr>
            <w:r w:rsidRPr="00C169B8">
              <w:rPr>
                <w:szCs w:val="22"/>
              </w:rPr>
              <w:t>BTKi</w:t>
            </w:r>
          </w:p>
        </w:tc>
        <w:tc>
          <w:tcPr>
            <w:tcW w:w="3800" w:type="pct"/>
          </w:tcPr>
          <w:p w14:paraId="03D071B8" w14:textId="3B167D0E"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Bruton's Tyrosine Kinase Inhibitors</w:t>
            </w:r>
          </w:p>
        </w:tc>
      </w:tr>
      <w:tr w:rsidR="009555E0" w:rsidRPr="00D01DDB" w14:paraId="6C2CD6F1"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9C8F053" w14:textId="671A002F" w:rsidR="009555E0" w:rsidRPr="00C169B8" w:rsidRDefault="009555E0" w:rsidP="00C169B8">
            <w:pPr>
              <w:rPr>
                <w:szCs w:val="22"/>
              </w:rPr>
            </w:pPr>
            <w:r w:rsidRPr="00C169B8">
              <w:rPr>
                <w:szCs w:val="22"/>
              </w:rPr>
              <w:t>CAR-T</w:t>
            </w:r>
          </w:p>
        </w:tc>
        <w:tc>
          <w:tcPr>
            <w:tcW w:w="3800" w:type="pct"/>
          </w:tcPr>
          <w:p w14:paraId="1CB879FE" w14:textId="0F0CC43F"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Chimeric Antigen Receptor T-cell</w:t>
            </w:r>
          </w:p>
        </w:tc>
      </w:tr>
      <w:tr w:rsidR="009555E0" w:rsidRPr="00D01DDB" w14:paraId="18B21013"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937A241" w14:textId="35C1B340" w:rsidR="009555E0" w:rsidRPr="00C169B8" w:rsidRDefault="009555E0" w:rsidP="00C169B8">
            <w:pPr>
              <w:rPr>
                <w:szCs w:val="22"/>
              </w:rPr>
            </w:pPr>
            <w:r w:rsidRPr="00C169B8">
              <w:rPr>
                <w:szCs w:val="22"/>
              </w:rPr>
              <w:t>CI</w:t>
            </w:r>
          </w:p>
        </w:tc>
        <w:tc>
          <w:tcPr>
            <w:tcW w:w="3800" w:type="pct"/>
          </w:tcPr>
          <w:p w14:paraId="5658689C" w14:textId="094866E5"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Confidence Interval</w:t>
            </w:r>
          </w:p>
        </w:tc>
      </w:tr>
      <w:tr w:rsidR="009555E0" w:rsidRPr="00D01DDB" w14:paraId="06EF9884"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FC9E6B6" w14:textId="4D0A3B04" w:rsidR="009555E0" w:rsidRPr="00C169B8" w:rsidRDefault="009555E0" w:rsidP="00C169B8">
            <w:pPr>
              <w:rPr>
                <w:szCs w:val="22"/>
              </w:rPr>
            </w:pPr>
            <w:r w:rsidRPr="00C169B8">
              <w:rPr>
                <w:szCs w:val="22"/>
              </w:rPr>
              <w:t>CLL</w:t>
            </w:r>
          </w:p>
        </w:tc>
        <w:tc>
          <w:tcPr>
            <w:tcW w:w="3800" w:type="pct"/>
          </w:tcPr>
          <w:p w14:paraId="1FA48E30" w14:textId="7F9E1227"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Chronic Lymphocytic Leukaemia</w:t>
            </w:r>
          </w:p>
        </w:tc>
      </w:tr>
      <w:tr w:rsidR="009555E0" w:rsidRPr="00D01DDB" w14:paraId="3F6AAF8D"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229EAC2" w14:textId="11E262D4" w:rsidR="009555E0" w:rsidRPr="00C169B8" w:rsidRDefault="009555E0" w:rsidP="00C169B8">
            <w:pPr>
              <w:rPr>
                <w:szCs w:val="22"/>
              </w:rPr>
            </w:pPr>
            <w:r w:rsidRPr="00C169B8">
              <w:rPr>
                <w:szCs w:val="22"/>
              </w:rPr>
              <w:t>CMI</w:t>
            </w:r>
          </w:p>
        </w:tc>
        <w:tc>
          <w:tcPr>
            <w:tcW w:w="3800" w:type="pct"/>
          </w:tcPr>
          <w:p w14:paraId="2D1FFE47" w14:textId="62FBD1BB"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Consumer Medicine Information</w:t>
            </w:r>
          </w:p>
        </w:tc>
      </w:tr>
      <w:tr w:rsidR="009555E0" w:rsidRPr="00D01DDB" w14:paraId="354907AC"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83268F2" w14:textId="1E09EC99" w:rsidR="009555E0" w:rsidRPr="00C169B8" w:rsidRDefault="009555E0" w:rsidP="00C169B8">
            <w:pPr>
              <w:rPr>
                <w:szCs w:val="22"/>
              </w:rPr>
            </w:pPr>
            <w:r w:rsidRPr="00C169B8">
              <w:rPr>
                <w:szCs w:val="22"/>
              </w:rPr>
              <w:t>CMR</w:t>
            </w:r>
          </w:p>
        </w:tc>
        <w:tc>
          <w:tcPr>
            <w:tcW w:w="3800" w:type="pct"/>
          </w:tcPr>
          <w:p w14:paraId="00F0E9E1" w14:textId="416DB1C6"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Complete Metabolic Response</w:t>
            </w:r>
          </w:p>
        </w:tc>
      </w:tr>
      <w:tr w:rsidR="009555E0" w:rsidRPr="00D01DDB" w14:paraId="1D5F4D45"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A25DCBD" w14:textId="302543E6" w:rsidR="009555E0" w:rsidRPr="00C169B8" w:rsidRDefault="009555E0" w:rsidP="00C169B8">
            <w:pPr>
              <w:rPr>
                <w:szCs w:val="22"/>
              </w:rPr>
            </w:pPr>
            <w:r w:rsidRPr="00C169B8">
              <w:rPr>
                <w:szCs w:val="22"/>
              </w:rPr>
              <w:t>CNS</w:t>
            </w:r>
          </w:p>
        </w:tc>
        <w:tc>
          <w:tcPr>
            <w:tcW w:w="3800" w:type="pct"/>
          </w:tcPr>
          <w:p w14:paraId="6991E732" w14:textId="4CC34B1B"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Central Nervous System</w:t>
            </w:r>
          </w:p>
        </w:tc>
      </w:tr>
      <w:tr w:rsidR="009555E0" w:rsidRPr="00D01DDB" w14:paraId="0A961491"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AB65AE4" w14:textId="5C54B675" w:rsidR="009555E0" w:rsidRPr="00C169B8" w:rsidRDefault="009555E0" w:rsidP="00C169B8">
            <w:pPr>
              <w:rPr>
                <w:szCs w:val="22"/>
              </w:rPr>
            </w:pPr>
            <w:r w:rsidRPr="00C169B8">
              <w:rPr>
                <w:szCs w:val="22"/>
              </w:rPr>
              <w:t>CR</w:t>
            </w:r>
          </w:p>
        </w:tc>
        <w:tc>
          <w:tcPr>
            <w:tcW w:w="3800" w:type="pct"/>
          </w:tcPr>
          <w:p w14:paraId="70C9D8FB" w14:textId="4B25FAEA"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Complete Response</w:t>
            </w:r>
          </w:p>
        </w:tc>
      </w:tr>
      <w:tr w:rsidR="009555E0" w:rsidRPr="00D01DDB" w14:paraId="5BAD0D85"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1E795AF" w14:textId="2B04C7DD" w:rsidR="009555E0" w:rsidRPr="00C169B8" w:rsidRDefault="009555E0" w:rsidP="00C169B8">
            <w:pPr>
              <w:rPr>
                <w:szCs w:val="22"/>
              </w:rPr>
            </w:pPr>
            <w:r w:rsidRPr="00C169B8">
              <w:rPr>
                <w:szCs w:val="22"/>
              </w:rPr>
              <w:t>CrCL</w:t>
            </w:r>
          </w:p>
        </w:tc>
        <w:tc>
          <w:tcPr>
            <w:tcW w:w="3800" w:type="pct"/>
          </w:tcPr>
          <w:p w14:paraId="5C664D37" w14:textId="1370FD9D"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Creatinine Clearance</w:t>
            </w:r>
          </w:p>
        </w:tc>
      </w:tr>
      <w:tr w:rsidR="009555E0" w:rsidRPr="00D01DDB" w14:paraId="59E80DE8"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4173F9D" w14:textId="47D2BC5E" w:rsidR="009555E0" w:rsidRPr="00C169B8" w:rsidRDefault="009555E0" w:rsidP="00C169B8">
            <w:pPr>
              <w:rPr>
                <w:szCs w:val="22"/>
              </w:rPr>
            </w:pPr>
            <w:r w:rsidRPr="00C169B8">
              <w:rPr>
                <w:szCs w:val="22"/>
              </w:rPr>
              <w:t>CRF</w:t>
            </w:r>
          </w:p>
        </w:tc>
        <w:tc>
          <w:tcPr>
            <w:tcW w:w="3800" w:type="pct"/>
          </w:tcPr>
          <w:p w14:paraId="2AF025D4" w14:textId="30E52884"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Case Report Form</w:t>
            </w:r>
          </w:p>
        </w:tc>
      </w:tr>
      <w:tr w:rsidR="009555E0" w:rsidRPr="00D01DDB" w14:paraId="37C67F5F"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C4EAB30" w14:textId="3432D287" w:rsidR="009555E0" w:rsidRPr="00C169B8" w:rsidRDefault="009555E0" w:rsidP="00C169B8">
            <w:pPr>
              <w:rPr>
                <w:szCs w:val="22"/>
              </w:rPr>
            </w:pPr>
            <w:r w:rsidRPr="00C169B8">
              <w:rPr>
                <w:szCs w:val="22"/>
              </w:rPr>
              <w:t>CRO</w:t>
            </w:r>
          </w:p>
        </w:tc>
        <w:tc>
          <w:tcPr>
            <w:tcW w:w="3800" w:type="pct"/>
          </w:tcPr>
          <w:p w14:paraId="410A009E" w14:textId="0DD11924"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Contract Research Organisation</w:t>
            </w:r>
          </w:p>
        </w:tc>
      </w:tr>
      <w:tr w:rsidR="009555E0" w:rsidRPr="00D01DDB" w14:paraId="2793FF45"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1FC8374" w14:textId="7EA480BD" w:rsidR="009555E0" w:rsidRPr="00C169B8" w:rsidRDefault="009555E0" w:rsidP="00C169B8">
            <w:pPr>
              <w:rPr>
                <w:szCs w:val="22"/>
              </w:rPr>
            </w:pPr>
            <w:r w:rsidRPr="00C169B8">
              <w:rPr>
                <w:szCs w:val="22"/>
              </w:rPr>
              <w:t>CRP</w:t>
            </w:r>
          </w:p>
        </w:tc>
        <w:tc>
          <w:tcPr>
            <w:tcW w:w="3800" w:type="pct"/>
          </w:tcPr>
          <w:p w14:paraId="4F4BBCBA" w14:textId="7D21F8BC"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C-Reactive Protein</w:t>
            </w:r>
          </w:p>
        </w:tc>
      </w:tr>
      <w:tr w:rsidR="009555E0" w:rsidRPr="00D01DDB" w14:paraId="6BAB10AE"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A6C9ED2" w14:textId="71ED8DD5" w:rsidR="009555E0" w:rsidRPr="00C169B8" w:rsidRDefault="009555E0" w:rsidP="00C169B8">
            <w:pPr>
              <w:rPr>
                <w:szCs w:val="22"/>
              </w:rPr>
            </w:pPr>
            <w:r w:rsidRPr="00C169B8">
              <w:rPr>
                <w:szCs w:val="22"/>
              </w:rPr>
              <w:t>CT</w:t>
            </w:r>
          </w:p>
        </w:tc>
        <w:tc>
          <w:tcPr>
            <w:tcW w:w="3800" w:type="pct"/>
          </w:tcPr>
          <w:p w14:paraId="24159969" w14:textId="2B5DEC30"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Computed Tomography</w:t>
            </w:r>
          </w:p>
        </w:tc>
      </w:tr>
      <w:tr w:rsidR="009555E0" w:rsidRPr="00D01DDB" w14:paraId="3926A2FA"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0C26458" w14:textId="601901B3" w:rsidR="009555E0" w:rsidRPr="00C169B8" w:rsidRDefault="009555E0" w:rsidP="00C169B8">
            <w:pPr>
              <w:rPr>
                <w:szCs w:val="22"/>
              </w:rPr>
            </w:pPr>
            <w:r w:rsidRPr="00C169B8">
              <w:rPr>
                <w:szCs w:val="22"/>
              </w:rPr>
              <w:lastRenderedPageBreak/>
              <w:t>ctDNA</w:t>
            </w:r>
          </w:p>
        </w:tc>
        <w:tc>
          <w:tcPr>
            <w:tcW w:w="3800" w:type="pct"/>
          </w:tcPr>
          <w:p w14:paraId="2C905C03" w14:textId="07EB13E1"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Circulating Tumour DNA</w:t>
            </w:r>
          </w:p>
        </w:tc>
      </w:tr>
      <w:tr w:rsidR="009555E0" w:rsidRPr="00D01DDB" w14:paraId="2CB058D5"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8BD5DC1" w14:textId="51B76AC7" w:rsidR="009555E0" w:rsidRPr="00C169B8" w:rsidRDefault="009555E0" w:rsidP="00C169B8">
            <w:pPr>
              <w:rPr>
                <w:szCs w:val="22"/>
              </w:rPr>
            </w:pPr>
            <w:r w:rsidRPr="00C169B8">
              <w:rPr>
                <w:szCs w:val="22"/>
              </w:rPr>
              <w:t>DOCR</w:t>
            </w:r>
          </w:p>
        </w:tc>
        <w:tc>
          <w:tcPr>
            <w:tcW w:w="3800" w:type="pct"/>
          </w:tcPr>
          <w:p w14:paraId="13C2A13D" w14:textId="7B04D5FD"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Duration of Complete Response</w:t>
            </w:r>
          </w:p>
        </w:tc>
      </w:tr>
      <w:tr w:rsidR="009555E0" w:rsidRPr="00D01DDB" w14:paraId="46733F8C"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AEAA6AA" w14:textId="1EC88451" w:rsidR="009555E0" w:rsidRPr="00C169B8" w:rsidRDefault="009555E0" w:rsidP="00C169B8">
            <w:pPr>
              <w:rPr>
                <w:szCs w:val="22"/>
              </w:rPr>
            </w:pPr>
            <w:r w:rsidRPr="00C169B8">
              <w:rPr>
                <w:szCs w:val="22"/>
              </w:rPr>
              <w:t>DOOR</w:t>
            </w:r>
          </w:p>
        </w:tc>
        <w:tc>
          <w:tcPr>
            <w:tcW w:w="3800" w:type="pct"/>
          </w:tcPr>
          <w:p w14:paraId="1708C4D1" w14:textId="54CB66DB"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Duration of Objective Response</w:t>
            </w:r>
          </w:p>
        </w:tc>
      </w:tr>
      <w:tr w:rsidR="009555E0" w:rsidRPr="00D01DDB" w14:paraId="5BE67970"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FF32BC4" w14:textId="1A80AAF2" w:rsidR="009555E0" w:rsidRPr="00C169B8" w:rsidRDefault="009555E0" w:rsidP="00C169B8">
            <w:pPr>
              <w:rPr>
                <w:szCs w:val="22"/>
              </w:rPr>
            </w:pPr>
            <w:r w:rsidRPr="00C169B8">
              <w:rPr>
                <w:szCs w:val="22"/>
              </w:rPr>
              <w:t>DDI</w:t>
            </w:r>
          </w:p>
        </w:tc>
        <w:tc>
          <w:tcPr>
            <w:tcW w:w="3800" w:type="pct"/>
          </w:tcPr>
          <w:p w14:paraId="7EE2BFD6" w14:textId="632B2218"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Drug-Drug Interaction</w:t>
            </w:r>
          </w:p>
        </w:tc>
      </w:tr>
      <w:tr w:rsidR="009555E0" w:rsidRPr="00D01DDB" w14:paraId="52FC0B00"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CAF56AC" w14:textId="755B2BF8" w:rsidR="009555E0" w:rsidRPr="00C169B8" w:rsidRDefault="009555E0" w:rsidP="00C169B8">
            <w:pPr>
              <w:rPr>
                <w:szCs w:val="22"/>
              </w:rPr>
            </w:pPr>
            <w:r w:rsidRPr="00C169B8">
              <w:rPr>
                <w:szCs w:val="22"/>
              </w:rPr>
              <w:t>DOR</w:t>
            </w:r>
          </w:p>
        </w:tc>
        <w:tc>
          <w:tcPr>
            <w:tcW w:w="3800" w:type="pct"/>
          </w:tcPr>
          <w:p w14:paraId="0D9CC9F2" w14:textId="76D2DB13"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Duration of Objective Response</w:t>
            </w:r>
          </w:p>
        </w:tc>
      </w:tr>
      <w:tr w:rsidR="009555E0" w:rsidRPr="00D01DDB" w14:paraId="4E72557C"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3DB0456" w14:textId="25A1CD01" w:rsidR="009555E0" w:rsidRPr="00C169B8" w:rsidRDefault="009555E0" w:rsidP="00C169B8">
            <w:pPr>
              <w:rPr>
                <w:szCs w:val="22"/>
              </w:rPr>
            </w:pPr>
            <w:r w:rsidRPr="00C169B8">
              <w:rPr>
                <w:szCs w:val="22"/>
              </w:rPr>
              <w:t>ECG</w:t>
            </w:r>
          </w:p>
        </w:tc>
        <w:tc>
          <w:tcPr>
            <w:tcW w:w="3800" w:type="pct"/>
          </w:tcPr>
          <w:p w14:paraId="14424C35" w14:textId="4D2B545A"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Electrocardiogram</w:t>
            </w:r>
          </w:p>
        </w:tc>
      </w:tr>
      <w:tr w:rsidR="009555E0" w:rsidRPr="00D01DDB" w14:paraId="13BF4D73"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56B9B36" w14:textId="1BD5F313" w:rsidR="009555E0" w:rsidRPr="00C169B8" w:rsidRDefault="009555E0" w:rsidP="00C169B8">
            <w:pPr>
              <w:rPr>
                <w:szCs w:val="22"/>
              </w:rPr>
            </w:pPr>
            <w:r w:rsidRPr="00C169B8">
              <w:rPr>
                <w:szCs w:val="22"/>
              </w:rPr>
              <w:t>ECOG</w:t>
            </w:r>
          </w:p>
        </w:tc>
        <w:tc>
          <w:tcPr>
            <w:tcW w:w="3800" w:type="pct"/>
          </w:tcPr>
          <w:p w14:paraId="7C2E354A" w14:textId="5CCC0C50"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Eastern Cooperative Oncology Group</w:t>
            </w:r>
          </w:p>
        </w:tc>
      </w:tr>
      <w:tr w:rsidR="009555E0" w:rsidRPr="00D01DDB" w14:paraId="4AC0DA37"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D0C642C" w14:textId="1855563B" w:rsidR="009555E0" w:rsidRPr="00C169B8" w:rsidRDefault="009555E0" w:rsidP="00C169B8">
            <w:pPr>
              <w:rPr>
                <w:szCs w:val="22"/>
              </w:rPr>
            </w:pPr>
            <w:r w:rsidRPr="00C169B8">
              <w:rPr>
                <w:szCs w:val="22"/>
              </w:rPr>
              <w:t>EGFR</w:t>
            </w:r>
          </w:p>
        </w:tc>
        <w:tc>
          <w:tcPr>
            <w:tcW w:w="3800" w:type="pct"/>
          </w:tcPr>
          <w:p w14:paraId="5F6BEF1B" w14:textId="6B1CD762"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Endothelial Growth Factor Receptor</w:t>
            </w:r>
          </w:p>
        </w:tc>
      </w:tr>
      <w:tr w:rsidR="009555E0" w:rsidRPr="00D01DDB" w14:paraId="39292AA6"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329E4C4" w14:textId="593E8480" w:rsidR="009555E0" w:rsidRPr="00C169B8" w:rsidRDefault="009555E0" w:rsidP="00C169B8">
            <w:pPr>
              <w:rPr>
                <w:szCs w:val="22"/>
              </w:rPr>
            </w:pPr>
            <w:r w:rsidRPr="00C169B8">
              <w:rPr>
                <w:szCs w:val="22"/>
              </w:rPr>
              <w:t>EPO</w:t>
            </w:r>
          </w:p>
        </w:tc>
        <w:tc>
          <w:tcPr>
            <w:tcW w:w="3800" w:type="pct"/>
          </w:tcPr>
          <w:p w14:paraId="293A35A8" w14:textId="701C9D3E"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C169B8">
              <w:rPr>
                <w:szCs w:val="22"/>
              </w:rPr>
              <w:t>Erythropoietin</w:t>
            </w:r>
          </w:p>
        </w:tc>
      </w:tr>
      <w:tr w:rsidR="009555E0" w:rsidRPr="00D01DDB" w14:paraId="1AC04B0F"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469BED5" w14:textId="0B0DF35A" w:rsidR="009555E0" w:rsidRPr="00C169B8" w:rsidRDefault="009555E0" w:rsidP="00C169B8">
            <w:pPr>
              <w:rPr>
                <w:szCs w:val="22"/>
              </w:rPr>
            </w:pPr>
            <w:r w:rsidRPr="009555E0">
              <w:rPr>
                <w:szCs w:val="22"/>
              </w:rPr>
              <w:t>Fab</w:t>
            </w:r>
          </w:p>
        </w:tc>
        <w:tc>
          <w:tcPr>
            <w:tcW w:w="3800" w:type="pct"/>
          </w:tcPr>
          <w:p w14:paraId="57CAD0FC" w14:textId="1F0039ED"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Fragment antigen-binding antibody</w:t>
            </w:r>
          </w:p>
        </w:tc>
      </w:tr>
      <w:tr w:rsidR="009555E0" w:rsidRPr="00D01DDB" w14:paraId="0274F114"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D142C9C" w14:textId="2C7CF04A" w:rsidR="009555E0" w:rsidRPr="00C169B8" w:rsidRDefault="009555E0" w:rsidP="00C169B8">
            <w:pPr>
              <w:rPr>
                <w:szCs w:val="22"/>
              </w:rPr>
            </w:pPr>
            <w:r w:rsidRPr="009555E0">
              <w:rPr>
                <w:szCs w:val="22"/>
              </w:rPr>
              <w:t>FDA</w:t>
            </w:r>
          </w:p>
        </w:tc>
        <w:tc>
          <w:tcPr>
            <w:tcW w:w="3800" w:type="pct"/>
          </w:tcPr>
          <w:p w14:paraId="4A002414" w14:textId="3BD749F9"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Federal Drugs Administration</w:t>
            </w:r>
          </w:p>
        </w:tc>
      </w:tr>
      <w:tr w:rsidR="009555E0" w:rsidRPr="00D01DDB" w14:paraId="005408D5"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0B2217A" w14:textId="53D698A2" w:rsidR="009555E0" w:rsidRPr="00C169B8" w:rsidRDefault="009555E0" w:rsidP="00C169B8">
            <w:pPr>
              <w:rPr>
                <w:szCs w:val="22"/>
              </w:rPr>
            </w:pPr>
            <w:r w:rsidRPr="009555E0">
              <w:rPr>
                <w:szCs w:val="22"/>
              </w:rPr>
              <w:t>FDG-PET</w:t>
            </w:r>
          </w:p>
        </w:tc>
        <w:tc>
          <w:tcPr>
            <w:tcW w:w="3800" w:type="pct"/>
          </w:tcPr>
          <w:p w14:paraId="0CBB1652" w14:textId="240AF09F"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18F-fluorodeoxyglucose positron emission tomography</w:t>
            </w:r>
          </w:p>
        </w:tc>
      </w:tr>
      <w:tr w:rsidR="009555E0" w:rsidRPr="00D01DDB" w14:paraId="5C148FE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8F63C08" w14:textId="5630AE0B" w:rsidR="009555E0" w:rsidRPr="00C169B8" w:rsidRDefault="009555E0" w:rsidP="00C169B8">
            <w:pPr>
              <w:rPr>
                <w:szCs w:val="22"/>
              </w:rPr>
            </w:pPr>
            <w:r w:rsidRPr="009555E0">
              <w:rPr>
                <w:szCs w:val="22"/>
              </w:rPr>
              <w:t>FISH</w:t>
            </w:r>
          </w:p>
        </w:tc>
        <w:tc>
          <w:tcPr>
            <w:tcW w:w="3800" w:type="pct"/>
          </w:tcPr>
          <w:p w14:paraId="2969D4C7" w14:textId="0580BE57"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Fluorescence in situ hybridisation</w:t>
            </w:r>
          </w:p>
        </w:tc>
      </w:tr>
      <w:tr w:rsidR="009555E0" w:rsidRPr="00D01DDB" w14:paraId="38A8A943"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B339AB7" w14:textId="6579B24F" w:rsidR="009555E0" w:rsidRPr="00C169B8" w:rsidRDefault="009555E0" w:rsidP="00C169B8">
            <w:pPr>
              <w:rPr>
                <w:szCs w:val="22"/>
              </w:rPr>
            </w:pPr>
            <w:r w:rsidRPr="009555E0">
              <w:rPr>
                <w:szCs w:val="22"/>
              </w:rPr>
              <w:t>G-CSF</w:t>
            </w:r>
          </w:p>
        </w:tc>
        <w:tc>
          <w:tcPr>
            <w:tcW w:w="3800" w:type="pct"/>
          </w:tcPr>
          <w:p w14:paraId="55C31926" w14:textId="7204BCB9"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Granulocyte colony stimulating factor support</w:t>
            </w:r>
          </w:p>
        </w:tc>
      </w:tr>
      <w:tr w:rsidR="009555E0" w:rsidRPr="00D01DDB" w14:paraId="042F444E"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28AC7DF" w14:textId="49E1E159" w:rsidR="009555E0" w:rsidRPr="00C169B8" w:rsidRDefault="009555E0" w:rsidP="00C169B8">
            <w:pPr>
              <w:rPr>
                <w:szCs w:val="22"/>
              </w:rPr>
            </w:pPr>
            <w:r w:rsidRPr="009555E0">
              <w:rPr>
                <w:szCs w:val="22"/>
              </w:rPr>
              <w:t>GCP</w:t>
            </w:r>
          </w:p>
        </w:tc>
        <w:tc>
          <w:tcPr>
            <w:tcW w:w="3800" w:type="pct"/>
          </w:tcPr>
          <w:p w14:paraId="61228403" w14:textId="7947B882"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Good clinical practice</w:t>
            </w:r>
          </w:p>
        </w:tc>
      </w:tr>
      <w:tr w:rsidR="009555E0" w:rsidRPr="00D01DDB" w14:paraId="10E7A8AD"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A8A7C00" w14:textId="3D282B23" w:rsidR="009555E0" w:rsidRPr="00C169B8" w:rsidRDefault="009555E0" w:rsidP="00C169B8">
            <w:pPr>
              <w:rPr>
                <w:szCs w:val="22"/>
              </w:rPr>
            </w:pPr>
            <w:r w:rsidRPr="009555E0">
              <w:rPr>
                <w:szCs w:val="22"/>
              </w:rPr>
              <w:t>GGT</w:t>
            </w:r>
          </w:p>
        </w:tc>
        <w:tc>
          <w:tcPr>
            <w:tcW w:w="3800" w:type="pct"/>
          </w:tcPr>
          <w:p w14:paraId="6DC3F054" w14:textId="62D265A4"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Gammaglutamyltransferase</w:t>
            </w:r>
          </w:p>
        </w:tc>
      </w:tr>
      <w:tr w:rsidR="009555E0" w:rsidRPr="00D01DDB" w14:paraId="79E1E4A4"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800EE9B" w14:textId="51882849" w:rsidR="009555E0" w:rsidRPr="00C169B8" w:rsidRDefault="009555E0" w:rsidP="00C169B8">
            <w:pPr>
              <w:rPr>
                <w:szCs w:val="22"/>
              </w:rPr>
            </w:pPr>
            <w:r w:rsidRPr="009555E0">
              <w:rPr>
                <w:szCs w:val="22"/>
              </w:rPr>
              <w:t>GORD</w:t>
            </w:r>
          </w:p>
        </w:tc>
        <w:tc>
          <w:tcPr>
            <w:tcW w:w="3800" w:type="pct"/>
          </w:tcPr>
          <w:p w14:paraId="46CE7817" w14:textId="5DA8B3E4"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Gastroesophageal reflux disease</w:t>
            </w:r>
          </w:p>
        </w:tc>
      </w:tr>
      <w:tr w:rsidR="009555E0" w:rsidRPr="00D01DDB" w14:paraId="6C41610B"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57280BC" w14:textId="1C79423D" w:rsidR="009555E0" w:rsidRPr="00C169B8" w:rsidRDefault="009555E0" w:rsidP="00C169B8">
            <w:pPr>
              <w:rPr>
                <w:szCs w:val="22"/>
              </w:rPr>
            </w:pPr>
            <w:r w:rsidRPr="009555E0">
              <w:rPr>
                <w:szCs w:val="22"/>
              </w:rPr>
              <w:t>HBV</w:t>
            </w:r>
          </w:p>
        </w:tc>
        <w:tc>
          <w:tcPr>
            <w:tcW w:w="3800" w:type="pct"/>
          </w:tcPr>
          <w:p w14:paraId="64C1720E" w14:textId="50BED6EF"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Hepatitis B virus</w:t>
            </w:r>
          </w:p>
        </w:tc>
      </w:tr>
      <w:tr w:rsidR="009555E0" w:rsidRPr="00D01DDB" w14:paraId="2987A35D"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D77B88B" w14:textId="2C426CA2" w:rsidR="009555E0" w:rsidRPr="00C169B8" w:rsidRDefault="009555E0" w:rsidP="00C169B8">
            <w:pPr>
              <w:rPr>
                <w:szCs w:val="22"/>
              </w:rPr>
            </w:pPr>
            <w:r w:rsidRPr="009555E0">
              <w:rPr>
                <w:szCs w:val="22"/>
              </w:rPr>
              <w:t>HbcAb</w:t>
            </w:r>
          </w:p>
        </w:tc>
        <w:tc>
          <w:tcPr>
            <w:tcW w:w="3800" w:type="pct"/>
          </w:tcPr>
          <w:p w14:paraId="74EFAB32" w14:textId="56E813C0"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Hepatitis B core antibody</w:t>
            </w:r>
          </w:p>
        </w:tc>
      </w:tr>
      <w:tr w:rsidR="009555E0" w:rsidRPr="00D01DDB" w14:paraId="489AE21F"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1F36CE9" w14:textId="66A41A51" w:rsidR="009555E0" w:rsidRPr="00C169B8" w:rsidRDefault="009555E0" w:rsidP="00C169B8">
            <w:pPr>
              <w:rPr>
                <w:szCs w:val="22"/>
              </w:rPr>
            </w:pPr>
            <w:r w:rsidRPr="009555E0">
              <w:rPr>
                <w:szCs w:val="22"/>
              </w:rPr>
              <w:t>HbsAg</w:t>
            </w:r>
          </w:p>
        </w:tc>
        <w:tc>
          <w:tcPr>
            <w:tcW w:w="3800" w:type="pct"/>
          </w:tcPr>
          <w:p w14:paraId="52A615B0" w14:textId="518BDE48" w:rsidR="009555E0" w:rsidRPr="00C169B8" w:rsidRDefault="009555E0" w:rsidP="00C169B8">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Hepatitis B surface antigen</w:t>
            </w:r>
          </w:p>
        </w:tc>
      </w:tr>
      <w:tr w:rsidR="009555E0" w:rsidRPr="00D01DDB" w14:paraId="42379996"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12EA51C" w14:textId="61FFFE4E" w:rsidR="009555E0" w:rsidRPr="00C169B8" w:rsidRDefault="009555E0" w:rsidP="00396F69">
            <w:pPr>
              <w:rPr>
                <w:szCs w:val="22"/>
              </w:rPr>
            </w:pPr>
            <w:r w:rsidRPr="009555E0">
              <w:rPr>
                <w:szCs w:val="22"/>
              </w:rPr>
              <w:t>HCV</w:t>
            </w:r>
          </w:p>
        </w:tc>
        <w:tc>
          <w:tcPr>
            <w:tcW w:w="3800" w:type="pct"/>
          </w:tcPr>
          <w:p w14:paraId="058108B4" w14:textId="0D0BFCD9" w:rsidR="009555E0" w:rsidRPr="00C169B8"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Hepatitis C virus</w:t>
            </w:r>
          </w:p>
        </w:tc>
      </w:tr>
      <w:tr w:rsidR="009555E0" w:rsidRPr="00D01DDB" w14:paraId="20BB8C4D"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F1D9EF7" w14:textId="4AF7ABA2" w:rsidR="009555E0" w:rsidRPr="009555E0" w:rsidRDefault="009555E0" w:rsidP="00396F69">
            <w:pPr>
              <w:rPr>
                <w:szCs w:val="22"/>
              </w:rPr>
            </w:pPr>
            <w:r w:rsidRPr="009555E0">
              <w:rPr>
                <w:szCs w:val="22"/>
              </w:rPr>
              <w:t>HIV</w:t>
            </w:r>
          </w:p>
        </w:tc>
        <w:tc>
          <w:tcPr>
            <w:tcW w:w="3800" w:type="pct"/>
          </w:tcPr>
          <w:p w14:paraId="1E684213" w14:textId="4329D138"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Human immunodeficiency virus</w:t>
            </w:r>
          </w:p>
        </w:tc>
      </w:tr>
      <w:tr w:rsidR="009555E0" w:rsidRPr="00D01DDB" w14:paraId="4B235F2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0233E6A" w14:textId="200DDF2F" w:rsidR="009555E0" w:rsidRPr="009555E0" w:rsidRDefault="009555E0" w:rsidP="00396F69">
            <w:pPr>
              <w:rPr>
                <w:szCs w:val="22"/>
              </w:rPr>
            </w:pPr>
            <w:r w:rsidRPr="009555E0">
              <w:rPr>
                <w:szCs w:val="22"/>
              </w:rPr>
              <w:t>HRQoL</w:t>
            </w:r>
          </w:p>
        </w:tc>
        <w:tc>
          <w:tcPr>
            <w:tcW w:w="3800" w:type="pct"/>
          </w:tcPr>
          <w:p w14:paraId="531E43FF" w14:textId="2B75F3F6"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Health related quality of life</w:t>
            </w:r>
          </w:p>
        </w:tc>
      </w:tr>
      <w:tr w:rsidR="009555E0" w:rsidRPr="00D01DDB" w14:paraId="2BFD35D2"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7B55655" w14:textId="5D14D726" w:rsidR="009555E0" w:rsidRPr="009555E0" w:rsidRDefault="009555E0" w:rsidP="00396F69">
            <w:pPr>
              <w:rPr>
                <w:szCs w:val="22"/>
              </w:rPr>
            </w:pPr>
            <w:r w:rsidRPr="009555E0">
              <w:rPr>
                <w:szCs w:val="22"/>
              </w:rPr>
              <w:t>HSCT</w:t>
            </w:r>
          </w:p>
        </w:tc>
        <w:tc>
          <w:tcPr>
            <w:tcW w:w="3800" w:type="pct"/>
          </w:tcPr>
          <w:p w14:paraId="62BDF217" w14:textId="173C2455"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Haemopoietic stem cell transplant</w:t>
            </w:r>
          </w:p>
        </w:tc>
      </w:tr>
      <w:tr w:rsidR="009555E0" w:rsidRPr="00D01DDB" w14:paraId="19AD80AD"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8908AEA" w14:textId="3EF7785D" w:rsidR="009555E0" w:rsidRPr="009555E0" w:rsidRDefault="009555E0" w:rsidP="00396F69">
            <w:pPr>
              <w:rPr>
                <w:szCs w:val="22"/>
              </w:rPr>
            </w:pPr>
            <w:r w:rsidRPr="009555E0">
              <w:rPr>
                <w:szCs w:val="22"/>
              </w:rPr>
              <w:t>IHC</w:t>
            </w:r>
          </w:p>
        </w:tc>
        <w:tc>
          <w:tcPr>
            <w:tcW w:w="3800" w:type="pct"/>
          </w:tcPr>
          <w:p w14:paraId="4C2DF219" w14:textId="18871537"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Immunohistochemistry</w:t>
            </w:r>
          </w:p>
        </w:tc>
      </w:tr>
      <w:tr w:rsidR="009555E0" w:rsidRPr="00D01DDB" w14:paraId="6B9B8584"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B95621C" w14:textId="36CB1043" w:rsidR="009555E0" w:rsidRPr="009555E0" w:rsidRDefault="009555E0" w:rsidP="00396F69">
            <w:pPr>
              <w:rPr>
                <w:szCs w:val="22"/>
              </w:rPr>
            </w:pPr>
            <w:r w:rsidRPr="009555E0">
              <w:rPr>
                <w:szCs w:val="22"/>
              </w:rPr>
              <w:t>IMP</w:t>
            </w:r>
          </w:p>
        </w:tc>
        <w:tc>
          <w:tcPr>
            <w:tcW w:w="3800" w:type="pct"/>
          </w:tcPr>
          <w:p w14:paraId="2CE1C050" w14:textId="354BBF1D"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Investigational medical products</w:t>
            </w:r>
          </w:p>
        </w:tc>
      </w:tr>
      <w:tr w:rsidR="009555E0" w:rsidRPr="00D01DDB" w14:paraId="2E5CA702"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1264AF8" w14:textId="405CB6EA" w:rsidR="009555E0" w:rsidRPr="009555E0" w:rsidRDefault="009555E0" w:rsidP="00396F69">
            <w:pPr>
              <w:rPr>
                <w:szCs w:val="22"/>
              </w:rPr>
            </w:pPr>
            <w:r w:rsidRPr="009555E0">
              <w:rPr>
                <w:szCs w:val="22"/>
              </w:rPr>
              <w:t>INR</w:t>
            </w:r>
          </w:p>
        </w:tc>
        <w:tc>
          <w:tcPr>
            <w:tcW w:w="3800" w:type="pct"/>
          </w:tcPr>
          <w:p w14:paraId="1516FFB6" w14:textId="5BC55229"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International normalised ratio</w:t>
            </w:r>
          </w:p>
        </w:tc>
      </w:tr>
      <w:tr w:rsidR="009555E0" w:rsidRPr="00D01DDB" w14:paraId="2161B20F"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2EEE1B9" w14:textId="2E0C5105" w:rsidR="009555E0" w:rsidRPr="009555E0" w:rsidRDefault="009555E0" w:rsidP="00396F69">
            <w:pPr>
              <w:rPr>
                <w:szCs w:val="22"/>
              </w:rPr>
            </w:pPr>
            <w:r w:rsidRPr="009555E0">
              <w:rPr>
                <w:szCs w:val="22"/>
              </w:rPr>
              <w:t>IP</w:t>
            </w:r>
          </w:p>
        </w:tc>
        <w:tc>
          <w:tcPr>
            <w:tcW w:w="3800" w:type="pct"/>
          </w:tcPr>
          <w:p w14:paraId="415628A2" w14:textId="1FE3C81F"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Investigational product</w:t>
            </w:r>
          </w:p>
        </w:tc>
      </w:tr>
      <w:tr w:rsidR="009555E0" w:rsidRPr="00D01DDB" w14:paraId="122BF243"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FE3C82C" w14:textId="746731E4" w:rsidR="009555E0" w:rsidRPr="009555E0" w:rsidRDefault="009555E0" w:rsidP="00396F69">
            <w:pPr>
              <w:rPr>
                <w:szCs w:val="22"/>
              </w:rPr>
            </w:pPr>
            <w:r w:rsidRPr="009555E0">
              <w:rPr>
                <w:szCs w:val="22"/>
              </w:rPr>
              <w:t>IPI</w:t>
            </w:r>
          </w:p>
        </w:tc>
        <w:tc>
          <w:tcPr>
            <w:tcW w:w="3800" w:type="pct"/>
          </w:tcPr>
          <w:p w14:paraId="108324EA" w14:textId="1F4F21FD"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International Prognostic Index</w:t>
            </w:r>
          </w:p>
        </w:tc>
      </w:tr>
      <w:tr w:rsidR="009555E0" w:rsidRPr="00D01DDB" w14:paraId="566D50DE"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CA0579E" w14:textId="1F367A8B" w:rsidR="009555E0" w:rsidRPr="009555E0" w:rsidRDefault="009555E0" w:rsidP="00396F69">
            <w:pPr>
              <w:rPr>
                <w:szCs w:val="22"/>
              </w:rPr>
            </w:pPr>
            <w:r w:rsidRPr="009555E0">
              <w:rPr>
                <w:szCs w:val="22"/>
              </w:rPr>
              <w:t>iPET</w:t>
            </w:r>
          </w:p>
        </w:tc>
        <w:tc>
          <w:tcPr>
            <w:tcW w:w="3800" w:type="pct"/>
          </w:tcPr>
          <w:p w14:paraId="3E4E21A3" w14:textId="3483661E"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Interim PET</w:t>
            </w:r>
          </w:p>
        </w:tc>
      </w:tr>
      <w:tr w:rsidR="009555E0" w:rsidRPr="00D01DDB" w14:paraId="11627647"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A50EEF7" w14:textId="56D4C250" w:rsidR="009555E0" w:rsidRPr="009555E0" w:rsidRDefault="009555E0" w:rsidP="00396F69">
            <w:pPr>
              <w:rPr>
                <w:szCs w:val="22"/>
              </w:rPr>
            </w:pPr>
            <w:r w:rsidRPr="009555E0">
              <w:rPr>
                <w:szCs w:val="22"/>
              </w:rPr>
              <w:t>IRC</w:t>
            </w:r>
          </w:p>
        </w:tc>
        <w:tc>
          <w:tcPr>
            <w:tcW w:w="3800" w:type="pct"/>
          </w:tcPr>
          <w:p w14:paraId="1DEC681A" w14:textId="2056AA11"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Independent Review Committee</w:t>
            </w:r>
          </w:p>
        </w:tc>
      </w:tr>
      <w:tr w:rsidR="009555E0" w:rsidRPr="00D01DDB" w14:paraId="756157B8"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ADD7BD4" w14:textId="6C8DE7AF" w:rsidR="009555E0" w:rsidRPr="009555E0" w:rsidRDefault="009555E0" w:rsidP="00396F69">
            <w:pPr>
              <w:rPr>
                <w:szCs w:val="22"/>
              </w:rPr>
            </w:pPr>
            <w:r w:rsidRPr="009555E0">
              <w:rPr>
                <w:szCs w:val="22"/>
              </w:rPr>
              <w:t>IRR</w:t>
            </w:r>
          </w:p>
        </w:tc>
        <w:tc>
          <w:tcPr>
            <w:tcW w:w="3800" w:type="pct"/>
          </w:tcPr>
          <w:p w14:paraId="3DE42B63" w14:textId="233A5397"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Infusion related reaction</w:t>
            </w:r>
          </w:p>
        </w:tc>
      </w:tr>
      <w:tr w:rsidR="009555E0" w:rsidRPr="00D01DDB" w14:paraId="13ECDB10"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72A9BCA" w14:textId="5DE0365D" w:rsidR="009555E0" w:rsidRPr="009555E0" w:rsidRDefault="009555E0" w:rsidP="00396F69">
            <w:pPr>
              <w:rPr>
                <w:szCs w:val="22"/>
              </w:rPr>
            </w:pPr>
            <w:r w:rsidRPr="009555E0">
              <w:rPr>
                <w:szCs w:val="22"/>
              </w:rPr>
              <w:t>IT</w:t>
            </w:r>
          </w:p>
        </w:tc>
        <w:tc>
          <w:tcPr>
            <w:tcW w:w="3800" w:type="pct"/>
          </w:tcPr>
          <w:p w14:paraId="08A7441E" w14:textId="7724F9B2"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Intrathecal</w:t>
            </w:r>
          </w:p>
        </w:tc>
      </w:tr>
      <w:tr w:rsidR="009555E0" w:rsidRPr="00D01DDB" w14:paraId="64569612"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B83811F" w14:textId="79F39F4A" w:rsidR="009555E0" w:rsidRPr="009555E0" w:rsidRDefault="009555E0" w:rsidP="00396F69">
            <w:pPr>
              <w:rPr>
                <w:szCs w:val="22"/>
              </w:rPr>
            </w:pPr>
            <w:r w:rsidRPr="009555E0">
              <w:rPr>
                <w:szCs w:val="22"/>
              </w:rPr>
              <w:lastRenderedPageBreak/>
              <w:t>ITT</w:t>
            </w:r>
          </w:p>
        </w:tc>
        <w:tc>
          <w:tcPr>
            <w:tcW w:w="3800" w:type="pct"/>
          </w:tcPr>
          <w:p w14:paraId="4EFD3E94" w14:textId="4432EC52"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Intent to treat</w:t>
            </w:r>
          </w:p>
        </w:tc>
      </w:tr>
      <w:tr w:rsidR="009555E0" w:rsidRPr="00D01DDB" w14:paraId="0D27F46F"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0F869ED" w14:textId="6947F749" w:rsidR="009555E0" w:rsidRPr="009555E0" w:rsidRDefault="009555E0" w:rsidP="00396F69">
            <w:pPr>
              <w:rPr>
                <w:szCs w:val="22"/>
              </w:rPr>
            </w:pPr>
            <w:r w:rsidRPr="009555E0">
              <w:rPr>
                <w:szCs w:val="22"/>
              </w:rPr>
              <w:t>IV</w:t>
            </w:r>
          </w:p>
        </w:tc>
        <w:tc>
          <w:tcPr>
            <w:tcW w:w="3800" w:type="pct"/>
          </w:tcPr>
          <w:p w14:paraId="35049DD6" w14:textId="0F99A075"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Intravenous</w:t>
            </w:r>
          </w:p>
        </w:tc>
      </w:tr>
      <w:tr w:rsidR="009555E0" w:rsidRPr="00D01DDB" w14:paraId="5411DEC8"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4704922" w14:textId="7E85E8A4" w:rsidR="009555E0" w:rsidRPr="009555E0" w:rsidRDefault="009555E0" w:rsidP="00396F69">
            <w:pPr>
              <w:rPr>
                <w:szCs w:val="22"/>
              </w:rPr>
            </w:pPr>
            <w:r w:rsidRPr="009555E0">
              <w:rPr>
                <w:szCs w:val="22"/>
              </w:rPr>
              <w:t>IxRS</w:t>
            </w:r>
          </w:p>
        </w:tc>
        <w:tc>
          <w:tcPr>
            <w:tcW w:w="3800" w:type="pct"/>
          </w:tcPr>
          <w:p w14:paraId="42B27A7D" w14:textId="593080D4"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Interactive voice or Web-based response system</w:t>
            </w:r>
          </w:p>
        </w:tc>
      </w:tr>
      <w:tr w:rsidR="009555E0" w:rsidRPr="00D01DDB" w14:paraId="03D9915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01E82D4" w14:textId="73CC96CA" w:rsidR="009555E0" w:rsidRPr="009555E0" w:rsidRDefault="009555E0" w:rsidP="00396F69">
            <w:pPr>
              <w:rPr>
                <w:szCs w:val="22"/>
              </w:rPr>
            </w:pPr>
            <w:r w:rsidRPr="009555E0">
              <w:rPr>
                <w:szCs w:val="22"/>
              </w:rPr>
              <w:t>LDH</w:t>
            </w:r>
          </w:p>
        </w:tc>
        <w:tc>
          <w:tcPr>
            <w:tcW w:w="3800" w:type="pct"/>
          </w:tcPr>
          <w:p w14:paraId="3D8DCC0B" w14:textId="47031D08"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Lactate dehydrogenase</w:t>
            </w:r>
          </w:p>
        </w:tc>
      </w:tr>
      <w:tr w:rsidR="009555E0" w:rsidRPr="00D01DDB" w14:paraId="764E6EB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5C9CB38" w14:textId="35FAB127" w:rsidR="009555E0" w:rsidRPr="009555E0" w:rsidRDefault="009555E0" w:rsidP="00396F69">
            <w:pPr>
              <w:rPr>
                <w:szCs w:val="22"/>
              </w:rPr>
            </w:pPr>
            <w:r w:rsidRPr="009555E0">
              <w:rPr>
                <w:szCs w:val="22"/>
              </w:rPr>
              <w:t>mAb</w:t>
            </w:r>
          </w:p>
        </w:tc>
        <w:tc>
          <w:tcPr>
            <w:tcW w:w="3800" w:type="pct"/>
          </w:tcPr>
          <w:p w14:paraId="09860A86" w14:textId="3E2191C0"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Monoclonal antibody</w:t>
            </w:r>
          </w:p>
        </w:tc>
      </w:tr>
      <w:tr w:rsidR="009555E0" w:rsidRPr="00D01DDB" w14:paraId="6843B1E7"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CC3DD89" w14:textId="66388F0B" w:rsidR="009555E0" w:rsidRPr="009555E0" w:rsidRDefault="009555E0" w:rsidP="00396F69">
            <w:pPr>
              <w:rPr>
                <w:szCs w:val="22"/>
              </w:rPr>
            </w:pPr>
            <w:r w:rsidRPr="009555E0">
              <w:rPr>
                <w:szCs w:val="22"/>
              </w:rPr>
              <w:t>MCL</w:t>
            </w:r>
          </w:p>
        </w:tc>
        <w:tc>
          <w:tcPr>
            <w:tcW w:w="3800" w:type="pct"/>
          </w:tcPr>
          <w:p w14:paraId="511686F1" w14:textId="4DAD71BD"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Mantle cell lymphoma</w:t>
            </w:r>
          </w:p>
        </w:tc>
      </w:tr>
      <w:tr w:rsidR="009555E0" w:rsidRPr="00D01DDB" w14:paraId="780CB8F8"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A2207D5" w14:textId="6E37B52B" w:rsidR="009555E0" w:rsidRPr="009555E0" w:rsidRDefault="009555E0" w:rsidP="00396F69">
            <w:pPr>
              <w:rPr>
                <w:szCs w:val="22"/>
              </w:rPr>
            </w:pPr>
            <w:r w:rsidRPr="009555E0">
              <w:rPr>
                <w:szCs w:val="22"/>
              </w:rPr>
              <w:t>MDM</w:t>
            </w:r>
          </w:p>
        </w:tc>
        <w:tc>
          <w:tcPr>
            <w:tcW w:w="3800" w:type="pct"/>
          </w:tcPr>
          <w:p w14:paraId="269332B3" w14:textId="094F5B2E"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Multidisciplinary meeting</w:t>
            </w:r>
          </w:p>
        </w:tc>
      </w:tr>
      <w:tr w:rsidR="009555E0" w:rsidRPr="00D01DDB" w14:paraId="714419B3"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3D7F111" w14:textId="232E9A66" w:rsidR="009555E0" w:rsidRPr="009555E0" w:rsidRDefault="009555E0" w:rsidP="00396F69">
            <w:pPr>
              <w:rPr>
                <w:szCs w:val="22"/>
              </w:rPr>
            </w:pPr>
            <w:r w:rsidRPr="009555E0">
              <w:rPr>
                <w:szCs w:val="22"/>
              </w:rPr>
              <w:t>MIPI-c</w:t>
            </w:r>
          </w:p>
        </w:tc>
        <w:tc>
          <w:tcPr>
            <w:tcW w:w="3800" w:type="pct"/>
          </w:tcPr>
          <w:p w14:paraId="0E47BDAC" w14:textId="0A193C47"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combined MCL Internation Prognostic index</w:t>
            </w:r>
          </w:p>
        </w:tc>
      </w:tr>
      <w:tr w:rsidR="009555E0" w:rsidRPr="00D01DDB" w14:paraId="535AEB83"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BB27122" w14:textId="3EA02855" w:rsidR="009555E0" w:rsidRPr="009555E0" w:rsidRDefault="009555E0" w:rsidP="00396F69">
            <w:pPr>
              <w:rPr>
                <w:szCs w:val="22"/>
              </w:rPr>
            </w:pPr>
            <w:r w:rsidRPr="009555E0">
              <w:rPr>
                <w:szCs w:val="22"/>
              </w:rPr>
              <w:t>MZL</w:t>
            </w:r>
          </w:p>
        </w:tc>
        <w:tc>
          <w:tcPr>
            <w:tcW w:w="3800" w:type="pct"/>
          </w:tcPr>
          <w:p w14:paraId="57AAED35" w14:textId="7E6188A5"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Marginal zone lymphoma</w:t>
            </w:r>
          </w:p>
        </w:tc>
      </w:tr>
      <w:tr w:rsidR="009555E0" w:rsidRPr="00D01DDB" w14:paraId="27D82AC3"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7DE9EF5" w14:textId="457895F3" w:rsidR="009555E0" w:rsidRPr="009555E0" w:rsidRDefault="009555E0" w:rsidP="00396F69">
            <w:pPr>
              <w:rPr>
                <w:szCs w:val="22"/>
              </w:rPr>
            </w:pPr>
            <w:r w:rsidRPr="009555E0">
              <w:rPr>
                <w:szCs w:val="22"/>
              </w:rPr>
              <w:t>NA</w:t>
            </w:r>
          </w:p>
        </w:tc>
        <w:tc>
          <w:tcPr>
            <w:tcW w:w="3800" w:type="pct"/>
          </w:tcPr>
          <w:p w14:paraId="62851DE1" w14:textId="08DF8006"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Not assessed or not applicable</w:t>
            </w:r>
          </w:p>
        </w:tc>
      </w:tr>
      <w:tr w:rsidR="009555E0" w:rsidRPr="00D01DDB" w14:paraId="2217EEF0"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ED1B3D0" w14:textId="6B0D679E" w:rsidR="009555E0" w:rsidRPr="009555E0" w:rsidRDefault="009555E0" w:rsidP="00396F69">
            <w:pPr>
              <w:rPr>
                <w:szCs w:val="22"/>
              </w:rPr>
            </w:pPr>
            <w:r w:rsidRPr="009555E0">
              <w:rPr>
                <w:szCs w:val="22"/>
              </w:rPr>
              <w:t>NALT</w:t>
            </w:r>
          </w:p>
        </w:tc>
        <w:tc>
          <w:tcPr>
            <w:tcW w:w="3800" w:type="pct"/>
          </w:tcPr>
          <w:p w14:paraId="3DEC0210" w14:textId="3203C845"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Next anti-lymphoma therapy</w:t>
            </w:r>
          </w:p>
        </w:tc>
      </w:tr>
      <w:tr w:rsidR="009555E0" w:rsidRPr="00D01DDB" w14:paraId="30B0991A"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E4758FE" w14:textId="2AEED2DE" w:rsidR="009555E0" w:rsidRPr="009555E0" w:rsidRDefault="009555E0" w:rsidP="00396F69">
            <w:pPr>
              <w:rPr>
                <w:szCs w:val="22"/>
              </w:rPr>
            </w:pPr>
            <w:r w:rsidRPr="009555E0">
              <w:rPr>
                <w:szCs w:val="22"/>
              </w:rPr>
              <w:t>NCI CTCAE</w:t>
            </w:r>
          </w:p>
        </w:tc>
        <w:tc>
          <w:tcPr>
            <w:tcW w:w="3800" w:type="pct"/>
          </w:tcPr>
          <w:p w14:paraId="022DC379" w14:textId="0848D06E"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National Cancer Institute Common Toxicity Criteria for Adverse Events</w:t>
            </w:r>
          </w:p>
        </w:tc>
      </w:tr>
      <w:tr w:rsidR="009555E0" w:rsidRPr="00D01DDB" w14:paraId="7D7EB7E0"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2E65474" w14:textId="3D1F3557" w:rsidR="009555E0" w:rsidRPr="009555E0" w:rsidRDefault="009555E0" w:rsidP="00396F69">
            <w:pPr>
              <w:rPr>
                <w:szCs w:val="22"/>
              </w:rPr>
            </w:pPr>
            <w:r w:rsidRPr="009555E0">
              <w:rPr>
                <w:szCs w:val="22"/>
              </w:rPr>
              <w:t>NCCN-IPI</w:t>
            </w:r>
          </w:p>
        </w:tc>
        <w:tc>
          <w:tcPr>
            <w:tcW w:w="3800" w:type="pct"/>
          </w:tcPr>
          <w:p w14:paraId="2942A9F4" w14:textId="5FBBE55C"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National Comprehensive Cancer Network International Prognostic Index</w:t>
            </w:r>
          </w:p>
        </w:tc>
      </w:tr>
      <w:tr w:rsidR="009555E0" w:rsidRPr="00D01DDB" w14:paraId="1FCBBE48"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BEB7FB2" w14:textId="253D63A3" w:rsidR="009555E0" w:rsidRPr="009555E0" w:rsidRDefault="009555E0" w:rsidP="00396F69">
            <w:pPr>
              <w:rPr>
                <w:szCs w:val="22"/>
              </w:rPr>
            </w:pPr>
            <w:r w:rsidRPr="009555E0">
              <w:rPr>
                <w:szCs w:val="22"/>
              </w:rPr>
              <w:t>NHL</w:t>
            </w:r>
          </w:p>
        </w:tc>
        <w:tc>
          <w:tcPr>
            <w:tcW w:w="3800" w:type="pct"/>
          </w:tcPr>
          <w:p w14:paraId="748EA7E4" w14:textId="66A7F33B"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Non-Hodgkin Lymphoma</w:t>
            </w:r>
          </w:p>
        </w:tc>
      </w:tr>
      <w:tr w:rsidR="009555E0" w:rsidRPr="00D01DDB" w14:paraId="2C78739F"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64FCFCE" w14:textId="10AE59A8" w:rsidR="009555E0" w:rsidRPr="009555E0" w:rsidRDefault="009555E0" w:rsidP="00396F69">
            <w:pPr>
              <w:rPr>
                <w:szCs w:val="22"/>
              </w:rPr>
            </w:pPr>
            <w:r w:rsidRPr="009555E0">
              <w:rPr>
                <w:szCs w:val="22"/>
              </w:rPr>
              <w:t>NR</w:t>
            </w:r>
          </w:p>
        </w:tc>
        <w:tc>
          <w:tcPr>
            <w:tcW w:w="3800" w:type="pct"/>
          </w:tcPr>
          <w:p w14:paraId="1EE403F4" w14:textId="4DAD5A0E"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Not reported</w:t>
            </w:r>
          </w:p>
        </w:tc>
      </w:tr>
      <w:tr w:rsidR="009555E0" w:rsidRPr="00D01DDB" w14:paraId="3E809EA7"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2B5CE55" w14:textId="46966414" w:rsidR="009555E0" w:rsidRPr="009555E0" w:rsidRDefault="009555E0" w:rsidP="00396F69">
            <w:pPr>
              <w:rPr>
                <w:szCs w:val="22"/>
              </w:rPr>
            </w:pPr>
            <w:r w:rsidRPr="009555E0">
              <w:rPr>
                <w:szCs w:val="22"/>
              </w:rPr>
              <w:t>OD or QD</w:t>
            </w:r>
          </w:p>
        </w:tc>
        <w:tc>
          <w:tcPr>
            <w:tcW w:w="3800" w:type="pct"/>
          </w:tcPr>
          <w:p w14:paraId="43B9806D" w14:textId="5B726526"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Once daily</w:t>
            </w:r>
          </w:p>
        </w:tc>
      </w:tr>
      <w:tr w:rsidR="009555E0" w:rsidRPr="00D01DDB" w14:paraId="4A21E11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FFA2027" w14:textId="5150304C" w:rsidR="009555E0" w:rsidRPr="009555E0" w:rsidRDefault="009555E0" w:rsidP="00396F69">
            <w:pPr>
              <w:rPr>
                <w:szCs w:val="22"/>
              </w:rPr>
            </w:pPr>
            <w:r w:rsidRPr="009555E0">
              <w:rPr>
                <w:szCs w:val="22"/>
              </w:rPr>
              <w:t>ORR</w:t>
            </w:r>
          </w:p>
        </w:tc>
        <w:tc>
          <w:tcPr>
            <w:tcW w:w="3800" w:type="pct"/>
          </w:tcPr>
          <w:p w14:paraId="09B043B3" w14:textId="69489076"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Objective response rate</w:t>
            </w:r>
          </w:p>
        </w:tc>
      </w:tr>
      <w:tr w:rsidR="009555E0" w:rsidRPr="00D01DDB" w14:paraId="01986933"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F3B5B67" w14:textId="2DE5B951" w:rsidR="009555E0" w:rsidRPr="009555E0" w:rsidRDefault="009555E0" w:rsidP="00396F69">
            <w:pPr>
              <w:rPr>
                <w:szCs w:val="22"/>
              </w:rPr>
            </w:pPr>
            <w:r w:rsidRPr="009555E0">
              <w:rPr>
                <w:szCs w:val="22"/>
              </w:rPr>
              <w:t>OS</w:t>
            </w:r>
          </w:p>
        </w:tc>
        <w:tc>
          <w:tcPr>
            <w:tcW w:w="3800" w:type="pct"/>
          </w:tcPr>
          <w:p w14:paraId="632E484C" w14:textId="52D46A90"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Overall survival</w:t>
            </w:r>
          </w:p>
        </w:tc>
      </w:tr>
      <w:tr w:rsidR="009555E0" w:rsidRPr="00D01DDB" w14:paraId="466F7A73"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52AAF0F" w14:textId="06BAB9C5" w:rsidR="009555E0" w:rsidRPr="009555E0" w:rsidRDefault="009555E0" w:rsidP="00396F69">
            <w:pPr>
              <w:rPr>
                <w:szCs w:val="22"/>
              </w:rPr>
            </w:pPr>
            <w:r w:rsidRPr="009555E0">
              <w:rPr>
                <w:szCs w:val="22"/>
              </w:rPr>
              <w:t>PBAC</w:t>
            </w:r>
          </w:p>
        </w:tc>
        <w:tc>
          <w:tcPr>
            <w:tcW w:w="3800" w:type="pct"/>
          </w:tcPr>
          <w:p w14:paraId="018AD73A" w14:textId="6A0B16A5"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Pharmaceutical Benefits Advisory Committee</w:t>
            </w:r>
          </w:p>
        </w:tc>
      </w:tr>
      <w:tr w:rsidR="009555E0" w:rsidRPr="00D01DDB" w14:paraId="1068C5C1"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EDA02FF" w14:textId="6C91BDE8" w:rsidR="009555E0" w:rsidRPr="009555E0" w:rsidRDefault="009555E0" w:rsidP="00396F69">
            <w:pPr>
              <w:rPr>
                <w:szCs w:val="22"/>
              </w:rPr>
            </w:pPr>
            <w:r w:rsidRPr="009555E0">
              <w:rPr>
                <w:szCs w:val="22"/>
              </w:rPr>
              <w:t>PBS</w:t>
            </w:r>
          </w:p>
        </w:tc>
        <w:tc>
          <w:tcPr>
            <w:tcW w:w="3800" w:type="pct"/>
          </w:tcPr>
          <w:p w14:paraId="3CB1E9F2" w14:textId="68776E9C"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Pharmaceutical Benefits Scheme</w:t>
            </w:r>
          </w:p>
        </w:tc>
      </w:tr>
      <w:tr w:rsidR="009555E0" w:rsidRPr="00D01DDB" w14:paraId="0A94BB2A"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D8671F1" w14:textId="1C343F84" w:rsidR="009555E0" w:rsidRPr="009555E0" w:rsidRDefault="009555E0" w:rsidP="00396F69">
            <w:pPr>
              <w:rPr>
                <w:szCs w:val="22"/>
              </w:rPr>
            </w:pPr>
            <w:r w:rsidRPr="009555E0">
              <w:rPr>
                <w:szCs w:val="22"/>
              </w:rPr>
              <w:t>PD</w:t>
            </w:r>
          </w:p>
        </w:tc>
        <w:tc>
          <w:tcPr>
            <w:tcW w:w="3800" w:type="pct"/>
          </w:tcPr>
          <w:p w14:paraId="19CDE346" w14:textId="7FF99C09"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Pharmacodynamics</w:t>
            </w:r>
          </w:p>
        </w:tc>
      </w:tr>
      <w:tr w:rsidR="009555E0" w:rsidRPr="00D01DDB" w14:paraId="0EB2048C"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AA2F1BF" w14:textId="3787A692" w:rsidR="009555E0" w:rsidRPr="009555E0" w:rsidRDefault="009555E0" w:rsidP="00396F69">
            <w:pPr>
              <w:rPr>
                <w:szCs w:val="22"/>
              </w:rPr>
            </w:pPr>
            <w:r w:rsidRPr="009555E0">
              <w:rPr>
                <w:szCs w:val="22"/>
              </w:rPr>
              <w:t>PFS</w:t>
            </w:r>
          </w:p>
        </w:tc>
        <w:tc>
          <w:tcPr>
            <w:tcW w:w="3800" w:type="pct"/>
          </w:tcPr>
          <w:p w14:paraId="2820D5AD" w14:textId="352A2BEC"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Progression free survival</w:t>
            </w:r>
          </w:p>
        </w:tc>
      </w:tr>
      <w:tr w:rsidR="009555E0" w:rsidRPr="00D01DDB" w14:paraId="106701DB"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3BA3FB1" w14:textId="18B9F66E" w:rsidR="009555E0" w:rsidRPr="009555E0" w:rsidRDefault="009555E0" w:rsidP="00396F69">
            <w:pPr>
              <w:rPr>
                <w:szCs w:val="22"/>
              </w:rPr>
            </w:pPr>
            <w:r w:rsidRPr="009555E0">
              <w:rPr>
                <w:szCs w:val="22"/>
              </w:rPr>
              <w:t>PI</w:t>
            </w:r>
          </w:p>
        </w:tc>
        <w:tc>
          <w:tcPr>
            <w:tcW w:w="3800" w:type="pct"/>
          </w:tcPr>
          <w:p w14:paraId="2B2A4A09" w14:textId="0AE9D57D"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Product information</w:t>
            </w:r>
          </w:p>
        </w:tc>
      </w:tr>
      <w:tr w:rsidR="009555E0" w:rsidRPr="00D01DDB" w14:paraId="312BF377"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6A9E4FA" w14:textId="3FC6DDA1" w:rsidR="009555E0" w:rsidRPr="009555E0" w:rsidRDefault="009555E0" w:rsidP="00396F69">
            <w:pPr>
              <w:rPr>
                <w:szCs w:val="22"/>
              </w:rPr>
            </w:pPr>
            <w:r w:rsidRPr="009555E0">
              <w:rPr>
                <w:szCs w:val="22"/>
              </w:rPr>
              <w:t>PK</w:t>
            </w:r>
          </w:p>
        </w:tc>
        <w:tc>
          <w:tcPr>
            <w:tcW w:w="3800" w:type="pct"/>
          </w:tcPr>
          <w:p w14:paraId="3EC1F049" w14:textId="38A68515"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Pharmacokinetics</w:t>
            </w:r>
          </w:p>
        </w:tc>
      </w:tr>
      <w:tr w:rsidR="009555E0" w:rsidRPr="00D01DDB" w14:paraId="6BCCCD65"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EFCAAAD" w14:textId="72A160D4" w:rsidR="009555E0" w:rsidRPr="009555E0" w:rsidRDefault="009555E0" w:rsidP="00396F69">
            <w:pPr>
              <w:rPr>
                <w:szCs w:val="22"/>
              </w:rPr>
            </w:pPr>
            <w:r w:rsidRPr="009555E0">
              <w:rPr>
                <w:szCs w:val="22"/>
              </w:rPr>
              <w:t>PR</w:t>
            </w:r>
          </w:p>
        </w:tc>
        <w:tc>
          <w:tcPr>
            <w:tcW w:w="3800" w:type="pct"/>
          </w:tcPr>
          <w:p w14:paraId="5E2C7D39" w14:textId="61766655"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Partial response</w:t>
            </w:r>
          </w:p>
        </w:tc>
      </w:tr>
      <w:tr w:rsidR="009555E0" w:rsidRPr="00D01DDB" w14:paraId="010BE40C"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414489CD" w14:textId="4A5D889C" w:rsidR="009555E0" w:rsidRPr="009555E0" w:rsidRDefault="009555E0" w:rsidP="00396F69">
            <w:pPr>
              <w:rPr>
                <w:szCs w:val="22"/>
              </w:rPr>
            </w:pPr>
            <w:r w:rsidRPr="009555E0">
              <w:rPr>
                <w:szCs w:val="22"/>
              </w:rPr>
              <w:t>PRO</w:t>
            </w:r>
          </w:p>
        </w:tc>
        <w:tc>
          <w:tcPr>
            <w:tcW w:w="3800" w:type="pct"/>
          </w:tcPr>
          <w:p w14:paraId="7D675A9B" w14:textId="3F72BC22"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Patient reported outcome</w:t>
            </w:r>
          </w:p>
        </w:tc>
      </w:tr>
      <w:tr w:rsidR="009555E0" w:rsidRPr="00D01DDB" w14:paraId="24C5E49C"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B538DDE" w14:textId="665DC44D" w:rsidR="009555E0" w:rsidRPr="009555E0" w:rsidRDefault="009555E0" w:rsidP="00396F69">
            <w:pPr>
              <w:rPr>
                <w:szCs w:val="22"/>
              </w:rPr>
            </w:pPr>
            <w:r w:rsidRPr="009555E0">
              <w:rPr>
                <w:szCs w:val="22"/>
              </w:rPr>
              <w:t>QOL</w:t>
            </w:r>
          </w:p>
        </w:tc>
        <w:tc>
          <w:tcPr>
            <w:tcW w:w="3800" w:type="pct"/>
          </w:tcPr>
          <w:p w14:paraId="6F76346B" w14:textId="6CAFD74F"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Quality of life</w:t>
            </w:r>
          </w:p>
        </w:tc>
      </w:tr>
      <w:tr w:rsidR="009555E0" w:rsidRPr="00D01DDB" w14:paraId="5B13A8F6"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0BA89E7" w14:textId="341FF887" w:rsidR="009555E0" w:rsidRPr="009555E0" w:rsidRDefault="009555E0" w:rsidP="00396F69">
            <w:pPr>
              <w:rPr>
                <w:szCs w:val="22"/>
              </w:rPr>
            </w:pPr>
            <w:r w:rsidRPr="009555E0">
              <w:rPr>
                <w:szCs w:val="22"/>
              </w:rPr>
              <w:t>R</w:t>
            </w:r>
          </w:p>
        </w:tc>
        <w:tc>
          <w:tcPr>
            <w:tcW w:w="3800" w:type="pct"/>
          </w:tcPr>
          <w:p w14:paraId="1F495376" w14:textId="6CD2DD7D"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Rituximab</w:t>
            </w:r>
          </w:p>
        </w:tc>
      </w:tr>
      <w:tr w:rsidR="009555E0" w:rsidRPr="00D01DDB" w14:paraId="59C3A72C"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1B105FF" w14:textId="2B73C03D" w:rsidR="009555E0" w:rsidRPr="009555E0" w:rsidRDefault="009555E0" w:rsidP="00396F69">
            <w:pPr>
              <w:rPr>
                <w:szCs w:val="22"/>
              </w:rPr>
            </w:pPr>
            <w:r w:rsidRPr="009555E0">
              <w:rPr>
                <w:szCs w:val="22"/>
              </w:rPr>
              <w:t>R-CHOP</w:t>
            </w:r>
          </w:p>
        </w:tc>
        <w:tc>
          <w:tcPr>
            <w:tcW w:w="3800" w:type="pct"/>
          </w:tcPr>
          <w:p w14:paraId="4F3FB305" w14:textId="03D68BEC" w:rsidR="009555E0" w:rsidRPr="009555E0" w:rsidRDefault="009555E0" w:rsidP="00396F69">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Rituximab, cyclophosphamide, doxorubicin, vincristine and prednisolone</w:t>
            </w:r>
          </w:p>
        </w:tc>
      </w:tr>
      <w:tr w:rsidR="009555E0" w:rsidRPr="00D01DDB" w14:paraId="20BA61D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7C2461A" w14:textId="3D5C5FAF" w:rsidR="009555E0" w:rsidRPr="009555E0" w:rsidRDefault="009555E0" w:rsidP="009555E0">
            <w:pPr>
              <w:rPr>
                <w:szCs w:val="22"/>
              </w:rPr>
            </w:pPr>
            <w:r w:rsidRPr="009555E0">
              <w:rPr>
                <w:szCs w:val="22"/>
              </w:rPr>
              <w:t>R/R</w:t>
            </w:r>
          </w:p>
        </w:tc>
        <w:tc>
          <w:tcPr>
            <w:tcW w:w="3800" w:type="pct"/>
          </w:tcPr>
          <w:p w14:paraId="73084E8D" w14:textId="042C44CE"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Relapsed or refractory</w:t>
            </w:r>
          </w:p>
        </w:tc>
      </w:tr>
      <w:tr w:rsidR="009555E0" w:rsidRPr="00D01DDB" w14:paraId="482AB1E6"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2F47820" w14:textId="252EDE79" w:rsidR="009555E0" w:rsidRPr="009555E0" w:rsidRDefault="009555E0" w:rsidP="009555E0">
            <w:pPr>
              <w:rPr>
                <w:szCs w:val="22"/>
              </w:rPr>
            </w:pPr>
            <w:r w:rsidRPr="009555E0">
              <w:rPr>
                <w:szCs w:val="22"/>
              </w:rPr>
              <w:t>RCT</w:t>
            </w:r>
          </w:p>
        </w:tc>
        <w:tc>
          <w:tcPr>
            <w:tcW w:w="3800" w:type="pct"/>
          </w:tcPr>
          <w:p w14:paraId="57B14ED9" w14:textId="7B866A9B"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Randomised controlled trial</w:t>
            </w:r>
          </w:p>
        </w:tc>
      </w:tr>
      <w:tr w:rsidR="009555E0" w:rsidRPr="00D01DDB" w14:paraId="7BEE155B"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BB3DCB4" w14:textId="2790F540" w:rsidR="009555E0" w:rsidRPr="009555E0" w:rsidRDefault="009555E0" w:rsidP="009555E0">
            <w:pPr>
              <w:rPr>
                <w:szCs w:val="22"/>
              </w:rPr>
            </w:pPr>
            <w:r w:rsidRPr="009555E0">
              <w:rPr>
                <w:szCs w:val="22"/>
              </w:rPr>
              <w:lastRenderedPageBreak/>
              <w:t>RR</w:t>
            </w:r>
          </w:p>
        </w:tc>
        <w:tc>
          <w:tcPr>
            <w:tcW w:w="3800" w:type="pct"/>
          </w:tcPr>
          <w:p w14:paraId="0E26A755" w14:textId="267DFBBD"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Response rate</w:t>
            </w:r>
          </w:p>
        </w:tc>
      </w:tr>
      <w:tr w:rsidR="009555E0" w:rsidRPr="00D01DDB" w14:paraId="61F0D434"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CA63E07" w14:textId="123E388F" w:rsidR="009555E0" w:rsidRPr="009555E0" w:rsidRDefault="009555E0" w:rsidP="009555E0">
            <w:pPr>
              <w:rPr>
                <w:szCs w:val="22"/>
              </w:rPr>
            </w:pPr>
            <w:r w:rsidRPr="009555E0">
              <w:rPr>
                <w:szCs w:val="22"/>
              </w:rPr>
              <w:t>RT</w:t>
            </w:r>
          </w:p>
        </w:tc>
        <w:tc>
          <w:tcPr>
            <w:tcW w:w="3800" w:type="pct"/>
          </w:tcPr>
          <w:p w14:paraId="10A696B8" w14:textId="13B1C438"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Radiotherapy</w:t>
            </w:r>
          </w:p>
        </w:tc>
      </w:tr>
      <w:tr w:rsidR="009555E0" w:rsidRPr="00D01DDB" w14:paraId="29E1A15A"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E1FBEF9" w14:textId="03920873" w:rsidR="009555E0" w:rsidRPr="009555E0" w:rsidRDefault="009555E0" w:rsidP="009555E0">
            <w:pPr>
              <w:rPr>
                <w:szCs w:val="22"/>
              </w:rPr>
            </w:pPr>
            <w:r w:rsidRPr="009555E0">
              <w:rPr>
                <w:szCs w:val="22"/>
              </w:rPr>
              <w:t>SAE</w:t>
            </w:r>
          </w:p>
        </w:tc>
        <w:tc>
          <w:tcPr>
            <w:tcW w:w="3800" w:type="pct"/>
          </w:tcPr>
          <w:p w14:paraId="22EE4534" w14:textId="79770782"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Serious adverse event</w:t>
            </w:r>
          </w:p>
        </w:tc>
      </w:tr>
      <w:tr w:rsidR="009555E0" w:rsidRPr="00D01DDB" w14:paraId="00610FBE"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8397092" w14:textId="41526A1F" w:rsidR="009555E0" w:rsidRPr="009555E0" w:rsidRDefault="009555E0" w:rsidP="009555E0">
            <w:pPr>
              <w:rPr>
                <w:szCs w:val="22"/>
              </w:rPr>
            </w:pPr>
            <w:r w:rsidRPr="009555E0">
              <w:rPr>
                <w:szCs w:val="22"/>
              </w:rPr>
              <w:t>SAP</w:t>
            </w:r>
          </w:p>
        </w:tc>
        <w:tc>
          <w:tcPr>
            <w:tcW w:w="3800" w:type="pct"/>
          </w:tcPr>
          <w:p w14:paraId="4EA08D7F" w14:textId="3EB65137"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Statistical analysis plan</w:t>
            </w:r>
          </w:p>
        </w:tc>
      </w:tr>
      <w:tr w:rsidR="009555E0" w:rsidRPr="00D01DDB" w14:paraId="5DACBE4B"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FE1BD7E" w14:textId="5A1B137C" w:rsidR="009555E0" w:rsidRPr="009555E0" w:rsidRDefault="009555E0" w:rsidP="009555E0">
            <w:pPr>
              <w:rPr>
                <w:szCs w:val="22"/>
              </w:rPr>
            </w:pPr>
            <w:r w:rsidRPr="009555E0">
              <w:rPr>
                <w:szCs w:val="22"/>
              </w:rPr>
              <w:t>SLL</w:t>
            </w:r>
          </w:p>
        </w:tc>
        <w:tc>
          <w:tcPr>
            <w:tcW w:w="3800" w:type="pct"/>
          </w:tcPr>
          <w:p w14:paraId="322F5A6C" w14:textId="0AE02400"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Small lymphocytic lymphoma</w:t>
            </w:r>
          </w:p>
        </w:tc>
      </w:tr>
      <w:tr w:rsidR="009555E0" w:rsidRPr="00D01DDB" w14:paraId="06F86EA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2BE5693" w14:textId="32629F0B" w:rsidR="009555E0" w:rsidRPr="009555E0" w:rsidRDefault="009555E0" w:rsidP="009555E0">
            <w:pPr>
              <w:rPr>
                <w:szCs w:val="22"/>
              </w:rPr>
            </w:pPr>
            <w:r w:rsidRPr="009555E0">
              <w:rPr>
                <w:szCs w:val="22"/>
              </w:rPr>
              <w:t>SOC</w:t>
            </w:r>
          </w:p>
        </w:tc>
        <w:tc>
          <w:tcPr>
            <w:tcW w:w="3800" w:type="pct"/>
          </w:tcPr>
          <w:p w14:paraId="2B0C03BF" w14:textId="1661DA50"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Standard of care</w:t>
            </w:r>
          </w:p>
        </w:tc>
      </w:tr>
      <w:tr w:rsidR="009555E0" w:rsidRPr="00D01DDB" w14:paraId="1AADB482"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69DAFCB0" w14:textId="165B3EA6" w:rsidR="009555E0" w:rsidRPr="009555E0" w:rsidRDefault="009555E0" w:rsidP="009555E0">
            <w:pPr>
              <w:rPr>
                <w:szCs w:val="22"/>
              </w:rPr>
            </w:pPr>
            <w:r w:rsidRPr="009555E0">
              <w:rPr>
                <w:szCs w:val="22"/>
              </w:rPr>
              <w:t>TCR</w:t>
            </w:r>
          </w:p>
        </w:tc>
        <w:tc>
          <w:tcPr>
            <w:tcW w:w="3800" w:type="pct"/>
          </w:tcPr>
          <w:p w14:paraId="111CD896" w14:textId="3A8542E1"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T cell receptor</w:t>
            </w:r>
          </w:p>
        </w:tc>
      </w:tr>
      <w:tr w:rsidR="009555E0" w:rsidRPr="00D01DDB" w14:paraId="248DC7B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3A0F6F86" w14:textId="7339E91D" w:rsidR="009555E0" w:rsidRPr="009555E0" w:rsidRDefault="009555E0" w:rsidP="009555E0">
            <w:pPr>
              <w:rPr>
                <w:szCs w:val="22"/>
              </w:rPr>
            </w:pPr>
            <w:r w:rsidRPr="009555E0">
              <w:rPr>
                <w:szCs w:val="22"/>
              </w:rPr>
              <w:t>TEC</w:t>
            </w:r>
          </w:p>
        </w:tc>
        <w:tc>
          <w:tcPr>
            <w:tcW w:w="3800" w:type="pct"/>
          </w:tcPr>
          <w:p w14:paraId="7D363B4C" w14:textId="10C732A8"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Tyrosine kinase expressed in hepatocellular carcinoma</w:t>
            </w:r>
          </w:p>
        </w:tc>
      </w:tr>
      <w:tr w:rsidR="009555E0" w:rsidRPr="00D01DDB" w14:paraId="78E9FEAF"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7CE7DC90" w14:textId="221107CA" w:rsidR="009555E0" w:rsidRPr="009555E0" w:rsidRDefault="009555E0" w:rsidP="009555E0">
            <w:pPr>
              <w:rPr>
                <w:szCs w:val="22"/>
              </w:rPr>
            </w:pPr>
            <w:r w:rsidRPr="009555E0">
              <w:rPr>
                <w:szCs w:val="22"/>
              </w:rPr>
              <w:t>TGA</w:t>
            </w:r>
          </w:p>
        </w:tc>
        <w:tc>
          <w:tcPr>
            <w:tcW w:w="3800" w:type="pct"/>
          </w:tcPr>
          <w:p w14:paraId="66056B15" w14:textId="65993B4A"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Therapeutics Goods Administration</w:t>
            </w:r>
          </w:p>
        </w:tc>
      </w:tr>
      <w:tr w:rsidR="009555E0" w:rsidRPr="00D01DDB" w14:paraId="6DF9F47A"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56992BAF" w14:textId="6EB49E36" w:rsidR="009555E0" w:rsidRPr="009555E0" w:rsidRDefault="009555E0" w:rsidP="009555E0">
            <w:pPr>
              <w:rPr>
                <w:szCs w:val="22"/>
              </w:rPr>
            </w:pPr>
            <w:r w:rsidRPr="009555E0">
              <w:rPr>
                <w:szCs w:val="22"/>
              </w:rPr>
              <w:t>TKI</w:t>
            </w:r>
          </w:p>
        </w:tc>
        <w:tc>
          <w:tcPr>
            <w:tcW w:w="3800" w:type="pct"/>
          </w:tcPr>
          <w:p w14:paraId="4D2DB808" w14:textId="37994B5A"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Tyrosine kinase inhibitor</w:t>
            </w:r>
          </w:p>
        </w:tc>
      </w:tr>
      <w:tr w:rsidR="009555E0" w:rsidRPr="00D01DDB" w14:paraId="0662BBEE"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E65E02F" w14:textId="218B4479" w:rsidR="009555E0" w:rsidRPr="009555E0" w:rsidRDefault="009555E0" w:rsidP="009555E0">
            <w:pPr>
              <w:rPr>
                <w:szCs w:val="22"/>
              </w:rPr>
            </w:pPr>
            <w:r w:rsidRPr="009555E0">
              <w:rPr>
                <w:szCs w:val="22"/>
              </w:rPr>
              <w:t>TLS</w:t>
            </w:r>
          </w:p>
        </w:tc>
        <w:tc>
          <w:tcPr>
            <w:tcW w:w="3800" w:type="pct"/>
          </w:tcPr>
          <w:p w14:paraId="75562F55" w14:textId="71A85D60"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Tumour lysis syndrome</w:t>
            </w:r>
          </w:p>
        </w:tc>
      </w:tr>
      <w:tr w:rsidR="009555E0" w:rsidRPr="00D01DDB" w14:paraId="5C72861F"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14B9655B" w14:textId="6E80F030" w:rsidR="009555E0" w:rsidRPr="009555E0" w:rsidRDefault="009555E0" w:rsidP="009555E0">
            <w:pPr>
              <w:rPr>
                <w:szCs w:val="22"/>
              </w:rPr>
            </w:pPr>
            <w:r w:rsidRPr="009555E0">
              <w:rPr>
                <w:szCs w:val="22"/>
              </w:rPr>
              <w:t>Vs</w:t>
            </w:r>
          </w:p>
        </w:tc>
        <w:tc>
          <w:tcPr>
            <w:tcW w:w="3800" w:type="pct"/>
          </w:tcPr>
          <w:p w14:paraId="27720690" w14:textId="71A9EAE0"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Versus</w:t>
            </w:r>
          </w:p>
        </w:tc>
      </w:tr>
      <w:tr w:rsidR="009555E0" w:rsidRPr="00D01DDB" w14:paraId="5A4CD81B"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023452B2" w14:textId="2A990845" w:rsidR="009555E0" w:rsidRPr="009555E0" w:rsidRDefault="009555E0" w:rsidP="009555E0">
            <w:pPr>
              <w:rPr>
                <w:szCs w:val="22"/>
              </w:rPr>
            </w:pPr>
            <w:r w:rsidRPr="009555E0">
              <w:rPr>
                <w:szCs w:val="22"/>
              </w:rPr>
              <w:t>WHO</w:t>
            </w:r>
          </w:p>
        </w:tc>
        <w:tc>
          <w:tcPr>
            <w:tcW w:w="3800" w:type="pct"/>
          </w:tcPr>
          <w:p w14:paraId="2C552A84" w14:textId="47587EA3"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World Health Organisation</w:t>
            </w:r>
          </w:p>
        </w:tc>
      </w:tr>
      <w:tr w:rsidR="009555E0" w:rsidRPr="00D01DDB" w14:paraId="415F9179" w14:textId="77777777" w:rsidTr="009555E0">
        <w:trPr>
          <w:trHeight w:val="386"/>
        </w:trPr>
        <w:tc>
          <w:tcPr>
            <w:cnfStyle w:val="001000000000" w:firstRow="0" w:lastRow="0" w:firstColumn="1" w:lastColumn="0" w:oddVBand="0" w:evenVBand="0" w:oddHBand="0" w:evenHBand="0" w:firstRowFirstColumn="0" w:firstRowLastColumn="0" w:lastRowFirstColumn="0" w:lastRowLastColumn="0"/>
            <w:tcW w:w="1200" w:type="pct"/>
          </w:tcPr>
          <w:p w14:paraId="215F6CD1" w14:textId="5AC18DF9" w:rsidR="009555E0" w:rsidRPr="009555E0" w:rsidRDefault="009555E0" w:rsidP="009555E0">
            <w:pPr>
              <w:rPr>
                <w:szCs w:val="22"/>
              </w:rPr>
            </w:pPr>
            <w:r w:rsidRPr="009555E0">
              <w:rPr>
                <w:szCs w:val="22"/>
              </w:rPr>
              <w:t>WM</w:t>
            </w:r>
          </w:p>
        </w:tc>
        <w:tc>
          <w:tcPr>
            <w:tcW w:w="3800" w:type="pct"/>
          </w:tcPr>
          <w:p w14:paraId="64DE5B40" w14:textId="4B58ACDB" w:rsidR="009555E0" w:rsidRPr="009555E0" w:rsidRDefault="009555E0" w:rsidP="009555E0">
            <w:pPr>
              <w:cnfStyle w:val="000000000000" w:firstRow="0" w:lastRow="0" w:firstColumn="0" w:lastColumn="0" w:oddVBand="0" w:evenVBand="0" w:oddHBand="0" w:evenHBand="0" w:firstRowFirstColumn="0" w:firstRowLastColumn="0" w:lastRowFirstColumn="0" w:lastRowLastColumn="0"/>
              <w:rPr>
                <w:szCs w:val="22"/>
              </w:rPr>
            </w:pPr>
            <w:r w:rsidRPr="009555E0">
              <w:rPr>
                <w:szCs w:val="22"/>
              </w:rPr>
              <w:t>Waldenström’s Macroglobulinaemia</w:t>
            </w:r>
          </w:p>
        </w:tc>
      </w:tr>
    </w:tbl>
    <w:p w14:paraId="7378F926" w14:textId="77777777" w:rsidR="00324B33" w:rsidRDefault="00324B33" w:rsidP="00324B33"/>
    <w:p w14:paraId="02FB1F38" w14:textId="77777777" w:rsidR="00324B33" w:rsidRPr="00FD119B" w:rsidRDefault="00324B33" w:rsidP="00324B33">
      <w:pPr>
        <w:spacing w:after="200" w:line="0" w:lineRule="auto"/>
        <w:rPr>
          <w:b/>
          <w:i/>
          <w:sz w:val="24"/>
          <w:szCs w:val="24"/>
        </w:rPr>
      </w:pPr>
      <w:r w:rsidRPr="00FD119B">
        <w:rPr>
          <w:b/>
          <w:i/>
          <w:sz w:val="24"/>
          <w:szCs w:val="24"/>
        </w:rPr>
        <w:br w:type="page"/>
      </w:r>
    </w:p>
    <w:p w14:paraId="44C2A39C" w14:textId="77777777" w:rsidR="00324B33" w:rsidRDefault="00324B33" w:rsidP="00324B33">
      <w:pPr>
        <w:pStyle w:val="Heading2"/>
      </w:pPr>
      <w:bookmarkStart w:id="5" w:name="_Toc103679288"/>
      <w:bookmarkStart w:id="6" w:name="_Toc241844842"/>
      <w:r>
        <w:lastRenderedPageBreak/>
        <w:t>Product submission</w:t>
      </w:r>
      <w:bookmarkEnd w:id="5"/>
      <w:bookmarkEnd w:id="6"/>
    </w:p>
    <w:p w14:paraId="21D559DF" w14:textId="77777777" w:rsidR="00324B33" w:rsidRDefault="00324B33" w:rsidP="00324B33">
      <w:pPr>
        <w:pStyle w:val="Heading3"/>
        <w:rPr>
          <w:lang w:eastAsia="en-AU"/>
        </w:rPr>
      </w:pPr>
      <w:bookmarkStart w:id="7" w:name="_Toc247691502"/>
      <w:bookmarkStart w:id="8" w:name="_Toc314842483"/>
      <w:bookmarkStart w:id="9" w:name="_Toc103679289"/>
      <w:bookmarkStart w:id="10" w:name="_Toc241844843"/>
      <w:r>
        <w:rPr>
          <w:lang w:eastAsia="en-AU"/>
        </w:rPr>
        <w:t>Submission details</w:t>
      </w:r>
      <w:bookmarkEnd w:id="7"/>
      <w:bookmarkEnd w:id="8"/>
      <w:bookmarkEnd w:id="9"/>
      <w:bookmarkEnd w:id="10"/>
    </w:p>
    <w:tbl>
      <w:tblPr>
        <w:tblW w:w="5000" w:type="pct"/>
        <w:tblLook w:val="01E0" w:firstRow="1" w:lastRow="1" w:firstColumn="1" w:lastColumn="1" w:noHBand="0" w:noVBand="0"/>
      </w:tblPr>
      <w:tblGrid>
        <w:gridCol w:w="2977"/>
        <w:gridCol w:w="6093"/>
      </w:tblGrid>
      <w:tr w:rsidR="00324B33" w:rsidRPr="00BD5DBD" w14:paraId="77D11C95" w14:textId="77777777" w:rsidTr="007062BB">
        <w:tc>
          <w:tcPr>
            <w:tcW w:w="1641" w:type="pct"/>
          </w:tcPr>
          <w:p w14:paraId="10E57D62" w14:textId="2982BB42" w:rsidR="00324B33" w:rsidRPr="00BD5DBD" w:rsidRDefault="00324B33" w:rsidP="007452E8">
            <w:pPr>
              <w:rPr>
                <w:i/>
                <w:szCs w:val="22"/>
              </w:rPr>
            </w:pPr>
            <w:r w:rsidRPr="00BD5DBD">
              <w:rPr>
                <w:i/>
                <w:szCs w:val="22"/>
              </w:rPr>
              <w:t>Type of submission:</w:t>
            </w:r>
          </w:p>
        </w:tc>
        <w:tc>
          <w:tcPr>
            <w:tcW w:w="3359" w:type="pct"/>
          </w:tcPr>
          <w:p w14:paraId="4F07C303" w14:textId="6A0A2DC6" w:rsidR="00324B33" w:rsidRPr="00BD5DBD" w:rsidRDefault="00324B33" w:rsidP="007452E8">
            <w:pPr>
              <w:rPr>
                <w:szCs w:val="22"/>
              </w:rPr>
            </w:pPr>
            <w:r w:rsidRPr="00BD5DBD">
              <w:rPr>
                <w:szCs w:val="22"/>
              </w:rPr>
              <w:t xml:space="preserve">New chemical entity </w:t>
            </w:r>
          </w:p>
        </w:tc>
      </w:tr>
      <w:tr w:rsidR="00324B33" w:rsidRPr="00BD5DBD" w14:paraId="13482B61" w14:textId="77777777" w:rsidTr="007062BB">
        <w:tc>
          <w:tcPr>
            <w:tcW w:w="1641" w:type="pct"/>
          </w:tcPr>
          <w:p w14:paraId="2C427FCF" w14:textId="41B3304A" w:rsidR="00324B33" w:rsidRPr="00BD5DBD" w:rsidRDefault="00324B33" w:rsidP="007452E8">
            <w:pPr>
              <w:rPr>
                <w:i/>
                <w:szCs w:val="22"/>
              </w:rPr>
            </w:pPr>
            <w:r w:rsidRPr="00BD5DBD">
              <w:rPr>
                <w:i/>
                <w:szCs w:val="22"/>
              </w:rPr>
              <w:t>Product name:</w:t>
            </w:r>
          </w:p>
        </w:tc>
        <w:tc>
          <w:tcPr>
            <w:tcW w:w="3359" w:type="pct"/>
          </w:tcPr>
          <w:p w14:paraId="0E2DEF76" w14:textId="6F9CA2AA" w:rsidR="00324B33" w:rsidRPr="00BD5DBD" w:rsidRDefault="001209FA" w:rsidP="007452E8">
            <w:pPr>
              <w:rPr>
                <w:szCs w:val="22"/>
              </w:rPr>
            </w:pPr>
            <w:r w:rsidRPr="001209FA">
              <w:rPr>
                <w:szCs w:val="22"/>
              </w:rPr>
              <w:t>H</w:t>
            </w:r>
            <w:r>
              <w:rPr>
                <w:szCs w:val="22"/>
              </w:rPr>
              <w:t>ibruka</w:t>
            </w:r>
            <w:r w:rsidRPr="001209FA">
              <w:rPr>
                <w:szCs w:val="22"/>
              </w:rPr>
              <w:t xml:space="preserve"> orelabrutinib 50 mg tablet bottle</w:t>
            </w:r>
          </w:p>
        </w:tc>
      </w:tr>
      <w:tr w:rsidR="00324B33" w:rsidRPr="00BD5DBD" w14:paraId="01255B5B" w14:textId="77777777" w:rsidTr="007062BB">
        <w:tc>
          <w:tcPr>
            <w:tcW w:w="1641" w:type="pct"/>
          </w:tcPr>
          <w:p w14:paraId="52B4F3D7" w14:textId="3CE0009F" w:rsidR="00324B33" w:rsidRPr="00BD5DBD" w:rsidRDefault="00324B33" w:rsidP="007452E8">
            <w:pPr>
              <w:rPr>
                <w:i/>
                <w:szCs w:val="22"/>
              </w:rPr>
            </w:pPr>
            <w:r w:rsidRPr="00BD5DBD">
              <w:rPr>
                <w:i/>
                <w:szCs w:val="22"/>
              </w:rPr>
              <w:t>Active ingredient:</w:t>
            </w:r>
          </w:p>
        </w:tc>
        <w:tc>
          <w:tcPr>
            <w:tcW w:w="3359" w:type="pct"/>
          </w:tcPr>
          <w:p w14:paraId="02FB6383" w14:textId="695F2054" w:rsidR="00324B33" w:rsidRPr="00BD5DBD" w:rsidRDefault="0037063D" w:rsidP="007452E8">
            <w:pPr>
              <w:rPr>
                <w:szCs w:val="22"/>
              </w:rPr>
            </w:pPr>
            <w:r>
              <w:rPr>
                <w:szCs w:val="22"/>
              </w:rPr>
              <w:t>O</w:t>
            </w:r>
            <w:r w:rsidRPr="001209FA">
              <w:rPr>
                <w:szCs w:val="22"/>
              </w:rPr>
              <w:t>relabrutinib</w:t>
            </w:r>
          </w:p>
        </w:tc>
      </w:tr>
      <w:tr w:rsidR="00324B33" w:rsidRPr="00BD5DBD" w14:paraId="219A281B" w14:textId="77777777" w:rsidTr="007062BB">
        <w:tc>
          <w:tcPr>
            <w:tcW w:w="1641" w:type="pct"/>
          </w:tcPr>
          <w:p w14:paraId="112E5F78" w14:textId="77777777" w:rsidR="00324B33" w:rsidRPr="00BD5DBD" w:rsidRDefault="00324B33" w:rsidP="007452E8">
            <w:pPr>
              <w:rPr>
                <w:i/>
                <w:szCs w:val="22"/>
              </w:rPr>
            </w:pPr>
            <w:r w:rsidRPr="00BD5DBD">
              <w:rPr>
                <w:i/>
                <w:szCs w:val="22"/>
              </w:rPr>
              <w:t>Decision:</w:t>
            </w:r>
          </w:p>
        </w:tc>
        <w:tc>
          <w:tcPr>
            <w:tcW w:w="3359" w:type="pct"/>
          </w:tcPr>
          <w:p w14:paraId="3B114BEA" w14:textId="2E142CFC" w:rsidR="00324B33" w:rsidRPr="00BD5DBD" w:rsidRDefault="00324B33" w:rsidP="007452E8">
            <w:pPr>
              <w:rPr>
                <w:szCs w:val="22"/>
              </w:rPr>
            </w:pPr>
            <w:r w:rsidRPr="00BD5DBD">
              <w:rPr>
                <w:szCs w:val="22"/>
              </w:rPr>
              <w:t xml:space="preserve">Approved </w:t>
            </w:r>
            <w:r w:rsidR="0037063D">
              <w:rPr>
                <w:szCs w:val="22"/>
              </w:rPr>
              <w:t xml:space="preserve">for </w:t>
            </w:r>
            <w:r w:rsidR="007718AC">
              <w:rPr>
                <w:szCs w:val="22"/>
              </w:rPr>
              <w:t xml:space="preserve">provisional </w:t>
            </w:r>
            <w:r w:rsidR="0037063D">
              <w:rPr>
                <w:szCs w:val="22"/>
              </w:rPr>
              <w:t>registration in the Australian Register of Therapeutic Goods (ARTG)</w:t>
            </w:r>
          </w:p>
        </w:tc>
      </w:tr>
      <w:tr w:rsidR="00AE1947" w:rsidRPr="00BD5DBD" w14:paraId="32B72632" w14:textId="77777777" w:rsidTr="007062BB">
        <w:tc>
          <w:tcPr>
            <w:tcW w:w="1641" w:type="pct"/>
          </w:tcPr>
          <w:p w14:paraId="332A5CD5" w14:textId="65682B5F" w:rsidR="00AE1947" w:rsidRPr="00BD5DBD" w:rsidRDefault="00AE1947" w:rsidP="007F1E37">
            <w:r w:rsidRPr="00BD5DBD">
              <w:rPr>
                <w:i/>
                <w:szCs w:val="22"/>
              </w:rPr>
              <w:t>Date of decision:</w:t>
            </w:r>
          </w:p>
        </w:tc>
        <w:tc>
          <w:tcPr>
            <w:tcW w:w="3359" w:type="pct"/>
          </w:tcPr>
          <w:p w14:paraId="7B381CD6" w14:textId="42664524" w:rsidR="00AE1947" w:rsidRPr="00BD5DBD" w:rsidRDefault="00904346">
            <w:pPr>
              <w:rPr>
                <w:szCs w:val="22"/>
              </w:rPr>
            </w:pPr>
            <w:r>
              <w:rPr>
                <w:szCs w:val="22"/>
              </w:rPr>
              <w:t>26 May 2026</w:t>
            </w:r>
          </w:p>
        </w:tc>
      </w:tr>
      <w:tr w:rsidR="00904346" w:rsidRPr="00BD5DBD" w14:paraId="7A882FB3" w14:textId="77777777" w:rsidTr="007062BB">
        <w:tc>
          <w:tcPr>
            <w:tcW w:w="1641" w:type="pct"/>
          </w:tcPr>
          <w:p w14:paraId="54D27A48" w14:textId="5CB7FE5D" w:rsidR="00904346" w:rsidRPr="00606F8D" w:rsidRDefault="00904346">
            <w:pPr>
              <w:pStyle w:val="Instructions"/>
              <w:rPr>
                <w:color w:val="auto"/>
              </w:rPr>
            </w:pPr>
            <w:r w:rsidRPr="00606F8D">
              <w:rPr>
                <w:color w:val="auto"/>
              </w:rPr>
              <w:t xml:space="preserve">Date of entry </w:t>
            </w:r>
            <w:r w:rsidR="0002137B" w:rsidRPr="00606F8D">
              <w:rPr>
                <w:color w:val="auto"/>
              </w:rPr>
              <w:t>i</w:t>
            </w:r>
            <w:r w:rsidRPr="00606F8D">
              <w:rPr>
                <w:color w:val="auto"/>
              </w:rPr>
              <w:t>nto ARTG:</w:t>
            </w:r>
          </w:p>
        </w:tc>
        <w:tc>
          <w:tcPr>
            <w:tcW w:w="3359" w:type="pct"/>
          </w:tcPr>
          <w:p w14:paraId="29AA04D5" w14:textId="27FA9FBF" w:rsidR="00904346" w:rsidRPr="00BD5DBD" w:rsidRDefault="0002137B" w:rsidP="0002137B">
            <w:pPr>
              <w:spacing w:before="120"/>
              <w:rPr>
                <w:color w:val="00709D"/>
                <w:szCs w:val="22"/>
              </w:rPr>
            </w:pPr>
            <w:r>
              <w:rPr>
                <w:szCs w:val="22"/>
              </w:rPr>
              <w:t>3 June 2026</w:t>
            </w:r>
          </w:p>
        </w:tc>
      </w:tr>
      <w:tr w:rsidR="00904346" w:rsidRPr="00BD5DBD" w14:paraId="200C1F72" w14:textId="77777777" w:rsidTr="007062BB">
        <w:tc>
          <w:tcPr>
            <w:tcW w:w="1641" w:type="pct"/>
          </w:tcPr>
          <w:p w14:paraId="30E149CE" w14:textId="02181F46" w:rsidR="00904346" w:rsidRPr="00606F8D" w:rsidRDefault="00904346">
            <w:pPr>
              <w:pStyle w:val="Instructions"/>
              <w:rPr>
                <w:color w:val="auto"/>
              </w:rPr>
            </w:pPr>
            <w:r w:rsidRPr="00606F8D">
              <w:rPr>
                <w:color w:val="auto"/>
              </w:rPr>
              <w:t>ARTG number:</w:t>
            </w:r>
          </w:p>
        </w:tc>
        <w:tc>
          <w:tcPr>
            <w:tcW w:w="3359" w:type="pct"/>
          </w:tcPr>
          <w:p w14:paraId="4DD92FD0" w14:textId="39BD7CF8" w:rsidR="00904346" w:rsidRPr="00606F8D" w:rsidRDefault="00606F8D" w:rsidP="00606F8D">
            <w:pPr>
              <w:spacing w:before="120" w:after="240"/>
              <w:rPr>
                <w:szCs w:val="22"/>
              </w:rPr>
            </w:pPr>
            <w:r w:rsidRPr="00606F8D">
              <w:rPr>
                <w:szCs w:val="22"/>
              </w:rPr>
              <w:t>481251</w:t>
            </w:r>
          </w:p>
        </w:tc>
      </w:tr>
      <w:tr w:rsidR="00904346" w:rsidRPr="00BD5DBD" w14:paraId="7F74C078" w14:textId="77777777" w:rsidTr="007062BB">
        <w:tc>
          <w:tcPr>
            <w:tcW w:w="1641" w:type="pct"/>
          </w:tcPr>
          <w:p w14:paraId="34748899" w14:textId="77777777" w:rsidR="00904346" w:rsidRPr="00BD5DBD" w:rsidRDefault="00904346" w:rsidP="007452E8">
            <w:pPr>
              <w:rPr>
                <w:rStyle w:val="Hyperlink"/>
                <w:i/>
                <w:szCs w:val="22"/>
              </w:rPr>
            </w:pPr>
            <w:r w:rsidRPr="00BD5DBD">
              <w:rPr>
                <w:rFonts w:ascii="Wingdings 3" w:hAnsi="Wingdings 3"/>
                <w:szCs w:val="22"/>
                <w:lang w:eastAsia="en-AU"/>
              </w:rPr>
              <w:t></w:t>
            </w:r>
            <w:hyperlink r:id="rId20" w:history="1">
              <w:r w:rsidRPr="00BD5DBD">
                <w:rPr>
                  <w:rStyle w:val="Hyperlink"/>
                  <w:i/>
                  <w:szCs w:val="22"/>
                </w:rPr>
                <w:t>Black Triangle Scheme</w:t>
              </w:r>
            </w:hyperlink>
          </w:p>
          <w:p w14:paraId="230BA278" w14:textId="75A91A67" w:rsidR="00904346" w:rsidRPr="00BD5DBD" w:rsidRDefault="00904346" w:rsidP="00606F8D">
            <w:pPr>
              <w:pStyle w:val="Instructions"/>
              <w:spacing w:before="0"/>
            </w:pPr>
            <w:r w:rsidRPr="00B271D6">
              <w:rPr>
                <w:color w:val="auto"/>
              </w:rPr>
              <w:t>for the current submission:</w:t>
            </w:r>
          </w:p>
        </w:tc>
        <w:tc>
          <w:tcPr>
            <w:tcW w:w="3359" w:type="pct"/>
          </w:tcPr>
          <w:p w14:paraId="1064A0AD" w14:textId="223733ED" w:rsidR="00904346" w:rsidRPr="00BD5DBD" w:rsidRDefault="00904346">
            <w:pPr>
              <w:rPr>
                <w:szCs w:val="22"/>
              </w:rPr>
            </w:pPr>
            <w:r w:rsidRPr="00BD5DBD">
              <w:rPr>
                <w:szCs w:val="22"/>
              </w:rPr>
              <w:t>Yes</w:t>
            </w:r>
          </w:p>
        </w:tc>
      </w:tr>
      <w:tr w:rsidR="00904346" w:rsidRPr="00DD0A01" w14:paraId="31286633" w14:textId="77777777" w:rsidTr="007062BB">
        <w:tc>
          <w:tcPr>
            <w:tcW w:w="1641" w:type="pct"/>
          </w:tcPr>
          <w:p w14:paraId="13F6A8D3" w14:textId="491A7E60" w:rsidR="00904346" w:rsidRPr="007718AC" w:rsidRDefault="00904346">
            <w:pPr>
              <w:pStyle w:val="Instructions"/>
              <w:rPr>
                <w:color w:val="auto"/>
              </w:rPr>
            </w:pPr>
            <w:r w:rsidRPr="007718AC">
              <w:rPr>
                <w:color w:val="auto"/>
              </w:rPr>
              <w:t>Sponsor’s name and address:</w:t>
            </w:r>
          </w:p>
        </w:tc>
        <w:tc>
          <w:tcPr>
            <w:tcW w:w="3359" w:type="pct"/>
          </w:tcPr>
          <w:p w14:paraId="005AEF3B" w14:textId="77777777" w:rsidR="00904346" w:rsidRDefault="00DD0A01" w:rsidP="0008564B">
            <w:pPr>
              <w:spacing w:before="120" w:after="0"/>
              <w:rPr>
                <w:szCs w:val="22"/>
                <w:lang w:val="it-IT"/>
              </w:rPr>
            </w:pPr>
            <w:r w:rsidRPr="00DD0A01">
              <w:rPr>
                <w:szCs w:val="22"/>
                <w:lang w:val="it-IT"/>
              </w:rPr>
              <w:t>Innocare Pharma Australia Pty Ltd</w:t>
            </w:r>
          </w:p>
          <w:p w14:paraId="78B775A0" w14:textId="6A3012EF" w:rsidR="00DD0A01" w:rsidRPr="00DD0A01" w:rsidRDefault="00DD0A01" w:rsidP="0008564B">
            <w:pPr>
              <w:rPr>
                <w:szCs w:val="22"/>
              </w:rPr>
            </w:pPr>
            <w:r w:rsidRPr="00DD0A01">
              <w:rPr>
                <w:szCs w:val="22"/>
              </w:rPr>
              <w:t>Suite 1903, 109 Pitt Street, Sydney, NSW, 2000 Australia</w:t>
            </w:r>
          </w:p>
        </w:tc>
      </w:tr>
      <w:tr w:rsidR="00904346" w:rsidRPr="00BD5DBD" w14:paraId="60A25F5A" w14:textId="77777777" w:rsidTr="007062BB">
        <w:tc>
          <w:tcPr>
            <w:tcW w:w="1641" w:type="pct"/>
          </w:tcPr>
          <w:p w14:paraId="5C5E4CBA" w14:textId="6B9332B7" w:rsidR="00904346" w:rsidRPr="00BD5DBD" w:rsidRDefault="00904346" w:rsidP="007452E8">
            <w:pPr>
              <w:rPr>
                <w:i/>
                <w:szCs w:val="22"/>
              </w:rPr>
            </w:pPr>
            <w:r w:rsidRPr="00BD5DBD">
              <w:rPr>
                <w:i/>
                <w:szCs w:val="22"/>
              </w:rPr>
              <w:t>Dose form:</w:t>
            </w:r>
          </w:p>
        </w:tc>
        <w:tc>
          <w:tcPr>
            <w:tcW w:w="3359" w:type="pct"/>
          </w:tcPr>
          <w:p w14:paraId="28B270E9" w14:textId="65120B5E" w:rsidR="00904346" w:rsidRPr="00BD5DBD" w:rsidRDefault="00E51C67" w:rsidP="007452E8">
            <w:pPr>
              <w:rPr>
                <w:szCs w:val="22"/>
              </w:rPr>
            </w:pPr>
            <w:r>
              <w:rPr>
                <w:szCs w:val="22"/>
              </w:rPr>
              <w:t>Tablets</w:t>
            </w:r>
          </w:p>
        </w:tc>
      </w:tr>
      <w:tr w:rsidR="00904346" w:rsidRPr="00BD5DBD" w14:paraId="547E08D7" w14:textId="77777777" w:rsidTr="007062BB">
        <w:tc>
          <w:tcPr>
            <w:tcW w:w="1641" w:type="pct"/>
          </w:tcPr>
          <w:p w14:paraId="5030EF30" w14:textId="67F89F02" w:rsidR="00904346" w:rsidRPr="00BD5DBD" w:rsidRDefault="00904346" w:rsidP="007452E8">
            <w:pPr>
              <w:rPr>
                <w:i/>
                <w:szCs w:val="22"/>
              </w:rPr>
            </w:pPr>
            <w:r w:rsidRPr="00BD5DBD">
              <w:rPr>
                <w:i/>
                <w:szCs w:val="22"/>
              </w:rPr>
              <w:t>Strength:</w:t>
            </w:r>
          </w:p>
        </w:tc>
        <w:tc>
          <w:tcPr>
            <w:tcW w:w="3359" w:type="pct"/>
          </w:tcPr>
          <w:p w14:paraId="0054E912" w14:textId="36026C74" w:rsidR="00904346" w:rsidRPr="00BD5DBD" w:rsidRDefault="00565C2E" w:rsidP="007452E8">
            <w:pPr>
              <w:rPr>
                <w:szCs w:val="22"/>
              </w:rPr>
            </w:pPr>
            <w:r>
              <w:rPr>
                <w:szCs w:val="22"/>
              </w:rPr>
              <w:t>50</w:t>
            </w:r>
            <w:r w:rsidR="00FC730E">
              <w:rPr>
                <w:szCs w:val="22"/>
              </w:rPr>
              <w:t xml:space="preserve"> </w:t>
            </w:r>
            <w:r>
              <w:rPr>
                <w:szCs w:val="22"/>
              </w:rPr>
              <w:t>mg</w:t>
            </w:r>
          </w:p>
        </w:tc>
      </w:tr>
      <w:tr w:rsidR="00904346" w:rsidRPr="00BD5DBD" w14:paraId="7618393F" w14:textId="77777777" w:rsidTr="007062BB">
        <w:tc>
          <w:tcPr>
            <w:tcW w:w="1641" w:type="pct"/>
          </w:tcPr>
          <w:p w14:paraId="02260DE2" w14:textId="5904EFC6" w:rsidR="00904346" w:rsidRPr="00BD5DBD" w:rsidRDefault="00904346" w:rsidP="007452E8">
            <w:pPr>
              <w:rPr>
                <w:i/>
                <w:szCs w:val="22"/>
              </w:rPr>
            </w:pPr>
            <w:r w:rsidRPr="00BD5DBD">
              <w:rPr>
                <w:i/>
                <w:szCs w:val="22"/>
              </w:rPr>
              <w:t>Container:</w:t>
            </w:r>
          </w:p>
        </w:tc>
        <w:tc>
          <w:tcPr>
            <w:tcW w:w="3359" w:type="pct"/>
          </w:tcPr>
          <w:p w14:paraId="6FF3C6A2" w14:textId="29CA17B8" w:rsidR="00904346" w:rsidRPr="00BD5DBD" w:rsidRDefault="00565C2E" w:rsidP="007452E8">
            <w:pPr>
              <w:rPr>
                <w:szCs w:val="22"/>
              </w:rPr>
            </w:pPr>
            <w:r>
              <w:rPr>
                <w:szCs w:val="22"/>
              </w:rPr>
              <w:t>Bottle</w:t>
            </w:r>
          </w:p>
        </w:tc>
      </w:tr>
      <w:tr w:rsidR="00904346" w:rsidRPr="00BD5DBD" w14:paraId="179E09FE" w14:textId="77777777" w:rsidTr="007062BB">
        <w:tc>
          <w:tcPr>
            <w:tcW w:w="1641" w:type="pct"/>
          </w:tcPr>
          <w:p w14:paraId="1A592498" w14:textId="470A1453" w:rsidR="00904346" w:rsidRPr="00BD5DBD" w:rsidRDefault="00904346" w:rsidP="007452E8">
            <w:pPr>
              <w:rPr>
                <w:i/>
                <w:szCs w:val="22"/>
              </w:rPr>
            </w:pPr>
            <w:r w:rsidRPr="00BD5DBD">
              <w:rPr>
                <w:i/>
                <w:szCs w:val="22"/>
              </w:rPr>
              <w:t>Pack size:</w:t>
            </w:r>
          </w:p>
        </w:tc>
        <w:tc>
          <w:tcPr>
            <w:tcW w:w="3359" w:type="pct"/>
          </w:tcPr>
          <w:p w14:paraId="68DD94B0" w14:textId="30028646" w:rsidR="00904346" w:rsidRPr="00BD5DBD" w:rsidRDefault="00FC730E" w:rsidP="007452E8">
            <w:pPr>
              <w:rPr>
                <w:szCs w:val="22"/>
              </w:rPr>
            </w:pPr>
            <w:r w:rsidRPr="00FC730E">
              <w:rPr>
                <w:szCs w:val="22"/>
              </w:rPr>
              <w:t>30</w:t>
            </w:r>
            <w:r w:rsidR="00A45A70" w:rsidRPr="00FC730E">
              <w:rPr>
                <w:szCs w:val="22"/>
              </w:rPr>
              <w:t xml:space="preserve"> tablets</w:t>
            </w:r>
          </w:p>
        </w:tc>
      </w:tr>
      <w:tr w:rsidR="00904346" w:rsidRPr="00BD5DBD" w14:paraId="5322B989" w14:textId="77777777" w:rsidTr="007062BB">
        <w:tc>
          <w:tcPr>
            <w:tcW w:w="1641" w:type="pct"/>
          </w:tcPr>
          <w:p w14:paraId="24F217E3" w14:textId="52458B56" w:rsidR="00904346" w:rsidRPr="00BD5DBD" w:rsidRDefault="00904346" w:rsidP="007452E8">
            <w:pPr>
              <w:rPr>
                <w:i/>
                <w:szCs w:val="22"/>
              </w:rPr>
            </w:pPr>
            <w:r w:rsidRPr="00BD5DBD">
              <w:rPr>
                <w:i/>
                <w:szCs w:val="22"/>
              </w:rPr>
              <w:t>Approved therapeutic use for the current submission:</w:t>
            </w:r>
          </w:p>
        </w:tc>
        <w:tc>
          <w:tcPr>
            <w:tcW w:w="3359" w:type="pct"/>
          </w:tcPr>
          <w:p w14:paraId="4E4E9331" w14:textId="77777777" w:rsidR="00835B1E" w:rsidRDefault="00835B1E" w:rsidP="007452E8">
            <w:pPr>
              <w:rPr>
                <w:szCs w:val="22"/>
              </w:rPr>
            </w:pPr>
            <w:r w:rsidRPr="00835B1E">
              <w:rPr>
                <w:szCs w:val="22"/>
              </w:rPr>
              <w:t>H</w:t>
            </w:r>
            <w:r>
              <w:rPr>
                <w:szCs w:val="22"/>
              </w:rPr>
              <w:t xml:space="preserve">ibruka </w:t>
            </w:r>
            <w:r w:rsidRPr="00835B1E">
              <w:rPr>
                <w:szCs w:val="22"/>
              </w:rPr>
              <w:t xml:space="preserve">has provisional approval in Australia for the treatment of adult patients with relapsed or refractory mantle cell lymphoma (MCL). The decision to approve this indication has been made on the basis of overall response rate (ORR). </w:t>
            </w:r>
          </w:p>
          <w:p w14:paraId="768B254C" w14:textId="0DD8B96F" w:rsidR="00904346" w:rsidRPr="00BD5DBD" w:rsidRDefault="00835B1E" w:rsidP="007452E8">
            <w:pPr>
              <w:rPr>
                <w:szCs w:val="22"/>
              </w:rPr>
            </w:pPr>
            <w:r w:rsidRPr="00835B1E">
              <w:rPr>
                <w:szCs w:val="22"/>
              </w:rPr>
              <w:t>Continued approval of this indication depends on verification and description of benefit in confirmatory trials.</w:t>
            </w:r>
          </w:p>
        </w:tc>
      </w:tr>
      <w:tr w:rsidR="00904346" w:rsidRPr="00BD5DBD" w14:paraId="115243E6" w14:textId="77777777" w:rsidTr="007062BB">
        <w:tc>
          <w:tcPr>
            <w:tcW w:w="1641" w:type="pct"/>
          </w:tcPr>
          <w:p w14:paraId="7634B062" w14:textId="2E803051" w:rsidR="00904346" w:rsidRPr="00BD5DBD" w:rsidRDefault="00904346" w:rsidP="007452E8">
            <w:pPr>
              <w:rPr>
                <w:i/>
                <w:szCs w:val="22"/>
              </w:rPr>
            </w:pPr>
            <w:r w:rsidRPr="00BD5DBD">
              <w:rPr>
                <w:i/>
                <w:szCs w:val="22"/>
              </w:rPr>
              <w:t>Route of administration:</w:t>
            </w:r>
          </w:p>
        </w:tc>
        <w:tc>
          <w:tcPr>
            <w:tcW w:w="3359" w:type="pct"/>
          </w:tcPr>
          <w:p w14:paraId="5E5F83DB" w14:textId="2F7690B5" w:rsidR="00904346" w:rsidRPr="00BD5DBD" w:rsidRDefault="00835B1E" w:rsidP="007452E8">
            <w:pPr>
              <w:rPr>
                <w:szCs w:val="22"/>
              </w:rPr>
            </w:pPr>
            <w:r>
              <w:rPr>
                <w:szCs w:val="22"/>
              </w:rPr>
              <w:t>Oral</w:t>
            </w:r>
          </w:p>
        </w:tc>
      </w:tr>
      <w:tr w:rsidR="00904346" w:rsidRPr="00BD5DBD" w14:paraId="34B07BA6" w14:textId="77777777" w:rsidTr="007062BB">
        <w:tc>
          <w:tcPr>
            <w:tcW w:w="1641" w:type="pct"/>
          </w:tcPr>
          <w:p w14:paraId="1C039224" w14:textId="55BAD044" w:rsidR="00904346" w:rsidRPr="00BD5DBD" w:rsidRDefault="00904346" w:rsidP="007452E8">
            <w:pPr>
              <w:rPr>
                <w:i/>
                <w:szCs w:val="22"/>
              </w:rPr>
            </w:pPr>
            <w:r w:rsidRPr="00BD5DBD">
              <w:rPr>
                <w:i/>
                <w:szCs w:val="22"/>
              </w:rPr>
              <w:t>Dosage:</w:t>
            </w:r>
          </w:p>
        </w:tc>
        <w:tc>
          <w:tcPr>
            <w:tcW w:w="3359" w:type="pct"/>
          </w:tcPr>
          <w:p w14:paraId="011F2333" w14:textId="77777777" w:rsidR="00E179C3" w:rsidRDefault="00E179C3" w:rsidP="007452E8">
            <w:pPr>
              <w:rPr>
                <w:szCs w:val="22"/>
              </w:rPr>
            </w:pPr>
            <w:r w:rsidRPr="00E179C3">
              <w:rPr>
                <w:szCs w:val="22"/>
              </w:rPr>
              <w:t>The recommended dose of H</w:t>
            </w:r>
            <w:r>
              <w:rPr>
                <w:szCs w:val="22"/>
              </w:rPr>
              <w:t>ibruka</w:t>
            </w:r>
            <w:r w:rsidRPr="00E179C3">
              <w:rPr>
                <w:szCs w:val="22"/>
              </w:rPr>
              <w:t xml:space="preserve"> is 150 mg taken orally once daily until disease progression or unacceptable toxicity. </w:t>
            </w:r>
          </w:p>
          <w:p w14:paraId="500A42C6" w14:textId="33593A52" w:rsidR="00904346" w:rsidRPr="00BD5DBD" w:rsidRDefault="00904346" w:rsidP="007452E8">
            <w:pPr>
              <w:rPr>
                <w:szCs w:val="22"/>
              </w:rPr>
            </w:pPr>
            <w:r w:rsidRPr="00BD5DBD">
              <w:rPr>
                <w:szCs w:val="22"/>
              </w:rPr>
              <w:t xml:space="preserve">For further information regarding dosage, </w:t>
            </w:r>
            <w:r>
              <w:rPr>
                <w:szCs w:val="22"/>
              </w:rPr>
              <w:t xml:space="preserve">such as dosage modifications to manage adverse reactions, </w:t>
            </w:r>
            <w:r w:rsidRPr="00BD5DBD">
              <w:rPr>
                <w:szCs w:val="22"/>
              </w:rPr>
              <w:t>refer to the Product Information.</w:t>
            </w:r>
          </w:p>
        </w:tc>
      </w:tr>
      <w:tr w:rsidR="00904346" w:rsidRPr="00BD5DBD" w14:paraId="176B6773" w14:textId="77777777" w:rsidTr="007062BB">
        <w:tc>
          <w:tcPr>
            <w:tcW w:w="1641" w:type="pct"/>
          </w:tcPr>
          <w:p w14:paraId="71846159" w14:textId="2DABBDAA" w:rsidR="00904346" w:rsidRPr="00BD5DBD" w:rsidRDefault="00904346" w:rsidP="007452E8">
            <w:pPr>
              <w:rPr>
                <w:i/>
                <w:szCs w:val="22"/>
              </w:rPr>
            </w:pPr>
            <w:r w:rsidRPr="00BD5DBD">
              <w:rPr>
                <w:i/>
                <w:szCs w:val="22"/>
              </w:rPr>
              <w:t>Pregnancy category:</w:t>
            </w:r>
          </w:p>
        </w:tc>
        <w:tc>
          <w:tcPr>
            <w:tcW w:w="3359" w:type="pct"/>
          </w:tcPr>
          <w:p w14:paraId="5032D43C" w14:textId="38025326" w:rsidR="00904346" w:rsidRPr="007967C3" w:rsidRDefault="00575CBC" w:rsidP="007967C3">
            <w:r>
              <w:t>Pregnancy Category C</w:t>
            </w:r>
          </w:p>
          <w:p w14:paraId="03C72F00" w14:textId="77777777" w:rsidR="004E6F12" w:rsidRDefault="004E6F12" w:rsidP="007452E8">
            <w:pPr>
              <w:rPr>
                <w:szCs w:val="22"/>
              </w:rPr>
            </w:pPr>
            <w:r w:rsidRPr="004E6F12">
              <w:rPr>
                <w:iCs/>
              </w:rPr>
              <w:t>Drugs which have caused, are suspected to have caused or may be expected to cause, an increased incidence of human fetal malformations or irreversible damage. These drugs may also have adverse pharmacological effects. Accompanying texts should be consulted for further details.</w:t>
            </w:r>
            <w:r w:rsidRPr="004E6F12">
              <w:rPr>
                <w:i/>
              </w:rPr>
              <w:t xml:space="preserve"> </w:t>
            </w:r>
          </w:p>
          <w:p w14:paraId="7E978F8F" w14:textId="59288D72" w:rsidR="00904346" w:rsidRPr="00BD5DBD" w:rsidRDefault="00904346" w:rsidP="007452E8">
            <w:pPr>
              <w:rPr>
                <w:szCs w:val="22"/>
              </w:rPr>
            </w:pPr>
            <w:r w:rsidRPr="00BD5DBD">
              <w:rPr>
                <w:szCs w:val="22"/>
              </w:rPr>
              <w:lastRenderedPageBreak/>
              <w:t xml:space="preserve">The use of any medicine during pregnancy requires careful consideration of both risks and benefits by the treating health professional. </w:t>
            </w:r>
            <w:r>
              <w:rPr>
                <w:szCs w:val="22"/>
              </w:rPr>
              <w:t xml:space="preserve">The </w:t>
            </w:r>
            <w:hyperlink r:id="rId21" w:history="1">
              <w:r w:rsidRPr="00065FDF">
                <w:rPr>
                  <w:rStyle w:val="Hyperlink"/>
                  <w:szCs w:val="22"/>
                </w:rPr>
                <w:t>pregnancy database</w:t>
              </w:r>
            </w:hyperlink>
            <w:r>
              <w:t xml:space="preserve"> </w:t>
            </w:r>
            <w:r w:rsidRPr="00BD5DBD">
              <w:rPr>
                <w:szCs w:val="22"/>
              </w:rPr>
              <w:t xml:space="preserve">must not be used as the sole basis of decision making in the use of medicines during pregnancy. The TGA does not provide advice on the use of medicines in pregnancy for specific cases. More information is available from </w:t>
            </w:r>
            <w:hyperlink r:id="rId22" w:history="1">
              <w:r w:rsidRPr="00C059D0">
                <w:rPr>
                  <w:rStyle w:val="Hyperlink"/>
                  <w:szCs w:val="22"/>
                </w:rPr>
                <w:t>obstetric drug information services</w:t>
              </w:r>
            </w:hyperlink>
            <w:r w:rsidRPr="00BD5DBD">
              <w:rPr>
                <w:szCs w:val="22"/>
              </w:rPr>
              <w:t xml:space="preserve"> in your </w:t>
            </w:r>
            <w:r>
              <w:rPr>
                <w:szCs w:val="22"/>
              </w:rPr>
              <w:t>s</w:t>
            </w:r>
            <w:r w:rsidRPr="00BD5DBD">
              <w:rPr>
                <w:szCs w:val="22"/>
              </w:rPr>
              <w:t xml:space="preserve">tate or </w:t>
            </w:r>
            <w:r>
              <w:rPr>
                <w:szCs w:val="22"/>
              </w:rPr>
              <w:t>t</w:t>
            </w:r>
            <w:r w:rsidRPr="00BD5DBD">
              <w:rPr>
                <w:szCs w:val="22"/>
              </w:rPr>
              <w:t>erritory.</w:t>
            </w:r>
          </w:p>
        </w:tc>
      </w:tr>
    </w:tbl>
    <w:p w14:paraId="51F2479F" w14:textId="1E34B277" w:rsidR="00324B33" w:rsidRDefault="00324B33" w:rsidP="00324B33">
      <w:pPr>
        <w:pStyle w:val="Heading3"/>
      </w:pPr>
      <w:bookmarkStart w:id="11" w:name="_Toc247691503"/>
      <w:bookmarkStart w:id="12" w:name="_Toc314842484"/>
      <w:bookmarkStart w:id="13" w:name="_Toc103679290"/>
      <w:bookmarkStart w:id="14" w:name="_Toc241844844"/>
      <w:r>
        <w:lastRenderedPageBreak/>
        <w:t>Product background</w:t>
      </w:r>
      <w:bookmarkEnd w:id="11"/>
      <w:bookmarkEnd w:id="12"/>
      <w:bookmarkEnd w:id="13"/>
      <w:bookmarkEnd w:id="14"/>
    </w:p>
    <w:p w14:paraId="59BF31D1" w14:textId="3DC74CC8" w:rsidR="001500A8" w:rsidRDefault="00324B33" w:rsidP="00065839">
      <w:r w:rsidRPr="00065839">
        <w:t xml:space="preserve">This AusPAR describes the submission by </w:t>
      </w:r>
      <w:r w:rsidR="004929A8" w:rsidRPr="008B0409">
        <w:rPr>
          <w:sz w:val="21"/>
        </w:rPr>
        <w:t>Innocare</w:t>
      </w:r>
      <w:r w:rsidR="004929A8" w:rsidRPr="008B0409">
        <w:rPr>
          <w:spacing w:val="-6"/>
          <w:sz w:val="21"/>
        </w:rPr>
        <w:t xml:space="preserve"> </w:t>
      </w:r>
      <w:r w:rsidR="004929A8" w:rsidRPr="008B0409">
        <w:rPr>
          <w:sz w:val="21"/>
        </w:rPr>
        <w:t>Pharma</w:t>
      </w:r>
      <w:r w:rsidR="004929A8" w:rsidRPr="008B0409">
        <w:rPr>
          <w:spacing w:val="-6"/>
          <w:sz w:val="21"/>
        </w:rPr>
        <w:t xml:space="preserve"> </w:t>
      </w:r>
      <w:r w:rsidR="004929A8" w:rsidRPr="008B0409">
        <w:rPr>
          <w:sz w:val="21"/>
        </w:rPr>
        <w:t>Australia</w:t>
      </w:r>
      <w:r w:rsidR="004929A8" w:rsidRPr="008B0409">
        <w:rPr>
          <w:spacing w:val="-6"/>
          <w:sz w:val="21"/>
        </w:rPr>
        <w:t xml:space="preserve"> </w:t>
      </w:r>
      <w:r w:rsidR="004929A8" w:rsidRPr="008B0409">
        <w:rPr>
          <w:sz w:val="21"/>
        </w:rPr>
        <w:t>Pty</w:t>
      </w:r>
      <w:r w:rsidR="004929A8" w:rsidRPr="008B0409">
        <w:rPr>
          <w:spacing w:val="-6"/>
          <w:sz w:val="21"/>
        </w:rPr>
        <w:t xml:space="preserve"> </w:t>
      </w:r>
      <w:r w:rsidR="004929A8" w:rsidRPr="008B0409">
        <w:rPr>
          <w:spacing w:val="-5"/>
          <w:sz w:val="21"/>
        </w:rPr>
        <w:t>Ltd</w:t>
      </w:r>
      <w:r w:rsidR="004929A8" w:rsidRPr="00065839">
        <w:t xml:space="preserve"> </w:t>
      </w:r>
      <w:r w:rsidRPr="00065839">
        <w:t xml:space="preserve">(the sponsor) to </w:t>
      </w:r>
      <w:r w:rsidR="008B0409">
        <w:t xml:space="preserve">provisionally </w:t>
      </w:r>
      <w:r w:rsidRPr="00065839">
        <w:t xml:space="preserve">register </w:t>
      </w:r>
      <w:r w:rsidR="00383811" w:rsidRPr="001209FA">
        <w:rPr>
          <w:szCs w:val="22"/>
        </w:rPr>
        <w:t>H</w:t>
      </w:r>
      <w:r w:rsidR="00383811">
        <w:rPr>
          <w:szCs w:val="22"/>
        </w:rPr>
        <w:t>ibruka</w:t>
      </w:r>
      <w:r w:rsidR="00383811" w:rsidRPr="001209FA">
        <w:rPr>
          <w:szCs w:val="22"/>
        </w:rPr>
        <w:t xml:space="preserve"> </w:t>
      </w:r>
      <w:r w:rsidR="00383811">
        <w:rPr>
          <w:szCs w:val="22"/>
        </w:rPr>
        <w:t>(</w:t>
      </w:r>
      <w:r w:rsidR="00383811" w:rsidRPr="001209FA">
        <w:rPr>
          <w:szCs w:val="22"/>
        </w:rPr>
        <w:t>orelabrutinib</w:t>
      </w:r>
      <w:r w:rsidR="00383811">
        <w:rPr>
          <w:szCs w:val="22"/>
        </w:rPr>
        <w:t>)</w:t>
      </w:r>
      <w:r w:rsidR="00383811" w:rsidRPr="001209FA">
        <w:rPr>
          <w:szCs w:val="22"/>
        </w:rPr>
        <w:t xml:space="preserve"> 50 mg tablet</w:t>
      </w:r>
      <w:r w:rsidR="00B56B30">
        <w:rPr>
          <w:szCs w:val="22"/>
        </w:rPr>
        <w:t xml:space="preserve"> bottle</w:t>
      </w:r>
      <w:r w:rsidR="00383811" w:rsidRPr="00065839">
        <w:t xml:space="preserve"> </w:t>
      </w:r>
      <w:r w:rsidRPr="00065839">
        <w:t>for the following proposed indication:</w:t>
      </w:r>
    </w:p>
    <w:p w14:paraId="47CAF04E" w14:textId="56B213DD" w:rsidR="00202BEE" w:rsidRPr="00384B46" w:rsidRDefault="00202BEE" w:rsidP="00384B46">
      <w:pPr>
        <w:ind w:left="720"/>
        <w:rPr>
          <w:i/>
          <w:iCs/>
        </w:rPr>
      </w:pPr>
      <w:r w:rsidRPr="00384B46">
        <w:rPr>
          <w:i/>
          <w:iCs/>
        </w:rPr>
        <w:t>H</w:t>
      </w:r>
      <w:r w:rsidR="00117EAC" w:rsidRPr="00384B46">
        <w:rPr>
          <w:i/>
          <w:iCs/>
        </w:rPr>
        <w:t xml:space="preserve">ibruka </w:t>
      </w:r>
      <w:r w:rsidRPr="00384B46">
        <w:rPr>
          <w:i/>
          <w:iCs/>
        </w:rPr>
        <w:t>is</w:t>
      </w:r>
      <w:r w:rsidRPr="00384B46">
        <w:rPr>
          <w:i/>
          <w:iCs/>
          <w:spacing w:val="-4"/>
        </w:rPr>
        <w:t xml:space="preserve"> </w:t>
      </w:r>
      <w:r w:rsidRPr="00384B46">
        <w:rPr>
          <w:i/>
          <w:iCs/>
        </w:rPr>
        <w:t>indicated</w:t>
      </w:r>
      <w:r w:rsidRPr="00384B46">
        <w:rPr>
          <w:i/>
          <w:iCs/>
          <w:spacing w:val="-8"/>
        </w:rPr>
        <w:t xml:space="preserve"> </w:t>
      </w:r>
      <w:r w:rsidRPr="00384B46">
        <w:rPr>
          <w:i/>
          <w:iCs/>
        </w:rPr>
        <w:t>for</w:t>
      </w:r>
      <w:r w:rsidRPr="00384B46">
        <w:rPr>
          <w:i/>
          <w:iCs/>
          <w:spacing w:val="-4"/>
        </w:rPr>
        <w:t xml:space="preserve"> </w:t>
      </w:r>
      <w:r w:rsidRPr="00384B46">
        <w:rPr>
          <w:i/>
          <w:iCs/>
        </w:rPr>
        <w:t>the</w:t>
      </w:r>
      <w:r w:rsidRPr="00384B46">
        <w:rPr>
          <w:i/>
          <w:iCs/>
          <w:spacing w:val="-6"/>
        </w:rPr>
        <w:t xml:space="preserve"> </w:t>
      </w:r>
      <w:r w:rsidRPr="00384B46">
        <w:rPr>
          <w:i/>
          <w:iCs/>
        </w:rPr>
        <w:t>treatment</w:t>
      </w:r>
      <w:r w:rsidRPr="00384B46">
        <w:rPr>
          <w:i/>
          <w:iCs/>
          <w:spacing w:val="-6"/>
        </w:rPr>
        <w:t xml:space="preserve"> </w:t>
      </w:r>
      <w:r w:rsidRPr="00384B46">
        <w:rPr>
          <w:i/>
          <w:iCs/>
        </w:rPr>
        <w:t>of</w:t>
      </w:r>
      <w:r w:rsidRPr="00384B46">
        <w:rPr>
          <w:i/>
          <w:iCs/>
          <w:spacing w:val="-5"/>
        </w:rPr>
        <w:t xml:space="preserve"> </w:t>
      </w:r>
      <w:r w:rsidRPr="00384B46">
        <w:rPr>
          <w:i/>
          <w:iCs/>
        </w:rPr>
        <w:t>adult</w:t>
      </w:r>
      <w:r w:rsidRPr="00384B46">
        <w:rPr>
          <w:i/>
          <w:iCs/>
          <w:spacing w:val="-6"/>
        </w:rPr>
        <w:t xml:space="preserve"> </w:t>
      </w:r>
      <w:r w:rsidRPr="00384B46">
        <w:rPr>
          <w:i/>
          <w:iCs/>
        </w:rPr>
        <w:t>patients</w:t>
      </w:r>
      <w:r w:rsidRPr="00384B46">
        <w:rPr>
          <w:i/>
          <w:iCs/>
          <w:spacing w:val="-4"/>
        </w:rPr>
        <w:t xml:space="preserve"> </w:t>
      </w:r>
      <w:r w:rsidRPr="00384B46">
        <w:rPr>
          <w:i/>
          <w:iCs/>
        </w:rPr>
        <w:t>with</w:t>
      </w:r>
      <w:r w:rsidRPr="00384B46">
        <w:rPr>
          <w:i/>
          <w:iCs/>
          <w:spacing w:val="-4"/>
        </w:rPr>
        <w:t xml:space="preserve"> </w:t>
      </w:r>
      <w:r w:rsidRPr="00384B46">
        <w:rPr>
          <w:i/>
          <w:iCs/>
          <w:spacing w:val="-2"/>
        </w:rPr>
        <w:t xml:space="preserve">mantle </w:t>
      </w:r>
      <w:r w:rsidRPr="00384B46">
        <w:rPr>
          <w:i/>
          <w:iCs/>
        </w:rPr>
        <w:t>cell</w:t>
      </w:r>
      <w:r w:rsidRPr="00384B46">
        <w:rPr>
          <w:i/>
          <w:iCs/>
          <w:spacing w:val="-5"/>
        </w:rPr>
        <w:t xml:space="preserve"> </w:t>
      </w:r>
      <w:r w:rsidRPr="00384B46">
        <w:rPr>
          <w:i/>
          <w:iCs/>
        </w:rPr>
        <w:t>lymphoma</w:t>
      </w:r>
      <w:r w:rsidRPr="00384B46">
        <w:rPr>
          <w:i/>
          <w:iCs/>
          <w:spacing w:val="-5"/>
        </w:rPr>
        <w:t xml:space="preserve"> </w:t>
      </w:r>
      <w:r w:rsidRPr="00384B46">
        <w:rPr>
          <w:i/>
          <w:iCs/>
        </w:rPr>
        <w:t>(MCL)</w:t>
      </w:r>
      <w:r w:rsidRPr="00384B46">
        <w:rPr>
          <w:i/>
          <w:iCs/>
          <w:spacing w:val="-3"/>
        </w:rPr>
        <w:t xml:space="preserve"> </w:t>
      </w:r>
      <w:r w:rsidRPr="00384B46">
        <w:rPr>
          <w:i/>
          <w:iCs/>
        </w:rPr>
        <w:t>who</w:t>
      </w:r>
      <w:r w:rsidRPr="00384B46">
        <w:rPr>
          <w:i/>
          <w:iCs/>
          <w:spacing w:val="-2"/>
        </w:rPr>
        <w:t xml:space="preserve"> </w:t>
      </w:r>
      <w:r w:rsidRPr="00384B46">
        <w:rPr>
          <w:i/>
          <w:iCs/>
        </w:rPr>
        <w:t>have</w:t>
      </w:r>
      <w:r w:rsidRPr="00384B46">
        <w:rPr>
          <w:i/>
          <w:iCs/>
          <w:spacing w:val="-5"/>
        </w:rPr>
        <w:t xml:space="preserve"> </w:t>
      </w:r>
      <w:r w:rsidRPr="00384B46">
        <w:rPr>
          <w:i/>
          <w:iCs/>
        </w:rPr>
        <w:t>received</w:t>
      </w:r>
      <w:r w:rsidRPr="00384B46">
        <w:rPr>
          <w:i/>
          <w:iCs/>
          <w:spacing w:val="-5"/>
        </w:rPr>
        <w:t xml:space="preserve"> </w:t>
      </w:r>
      <w:r w:rsidRPr="00384B46">
        <w:rPr>
          <w:i/>
          <w:iCs/>
        </w:rPr>
        <w:t>at</w:t>
      </w:r>
      <w:r w:rsidRPr="00384B46">
        <w:rPr>
          <w:i/>
          <w:iCs/>
          <w:spacing w:val="-4"/>
        </w:rPr>
        <w:t xml:space="preserve"> </w:t>
      </w:r>
      <w:r w:rsidRPr="00384B46">
        <w:rPr>
          <w:i/>
          <w:iCs/>
        </w:rPr>
        <w:t>least</w:t>
      </w:r>
      <w:r w:rsidRPr="00384B46">
        <w:rPr>
          <w:i/>
          <w:iCs/>
          <w:spacing w:val="-5"/>
        </w:rPr>
        <w:t xml:space="preserve"> </w:t>
      </w:r>
      <w:r w:rsidRPr="00384B46">
        <w:rPr>
          <w:i/>
          <w:iCs/>
        </w:rPr>
        <w:t>one</w:t>
      </w:r>
      <w:r w:rsidRPr="00384B46">
        <w:rPr>
          <w:i/>
          <w:iCs/>
          <w:spacing w:val="-5"/>
        </w:rPr>
        <w:t xml:space="preserve"> </w:t>
      </w:r>
      <w:r w:rsidRPr="00384B46">
        <w:rPr>
          <w:i/>
          <w:iCs/>
        </w:rPr>
        <w:t>prior</w:t>
      </w:r>
      <w:r w:rsidRPr="00384B46">
        <w:rPr>
          <w:i/>
          <w:iCs/>
          <w:spacing w:val="-2"/>
        </w:rPr>
        <w:t xml:space="preserve"> therapy.</w:t>
      </w:r>
    </w:p>
    <w:p w14:paraId="47B62E57" w14:textId="6CF0669F" w:rsidR="0060734F" w:rsidRDefault="0060734F" w:rsidP="00384B46">
      <w:r>
        <w:t>Following</w:t>
      </w:r>
      <w:r>
        <w:rPr>
          <w:spacing w:val="-6"/>
        </w:rPr>
        <w:t xml:space="preserve"> </w:t>
      </w:r>
      <w:r>
        <w:t>the clinical</w:t>
      </w:r>
      <w:r>
        <w:rPr>
          <w:spacing w:val="-4"/>
        </w:rPr>
        <w:t xml:space="preserve"> </w:t>
      </w:r>
      <w:r>
        <w:t>evaluation,</w:t>
      </w:r>
      <w:r>
        <w:rPr>
          <w:spacing w:val="-4"/>
        </w:rPr>
        <w:t xml:space="preserve"> </w:t>
      </w:r>
      <w:r>
        <w:t>the</w:t>
      </w:r>
      <w:r>
        <w:rPr>
          <w:spacing w:val="-4"/>
        </w:rPr>
        <w:t xml:space="preserve"> s</w:t>
      </w:r>
      <w:r>
        <w:t>ponsor</w:t>
      </w:r>
      <w:r>
        <w:rPr>
          <w:spacing w:val="-5"/>
        </w:rPr>
        <w:t xml:space="preserve"> </w:t>
      </w:r>
      <w:r>
        <w:t>amended</w:t>
      </w:r>
      <w:r>
        <w:rPr>
          <w:spacing w:val="-1"/>
        </w:rPr>
        <w:t xml:space="preserve"> </w:t>
      </w:r>
      <w:r>
        <w:t>the</w:t>
      </w:r>
      <w:r>
        <w:rPr>
          <w:spacing w:val="-4"/>
        </w:rPr>
        <w:t xml:space="preserve"> </w:t>
      </w:r>
      <w:r>
        <w:t>wording</w:t>
      </w:r>
      <w:r>
        <w:rPr>
          <w:spacing w:val="-6"/>
        </w:rPr>
        <w:t xml:space="preserve"> </w:t>
      </w:r>
      <w:r>
        <w:t>of</w:t>
      </w:r>
      <w:r>
        <w:rPr>
          <w:spacing w:val="-3"/>
        </w:rPr>
        <w:t xml:space="preserve"> </w:t>
      </w:r>
      <w:r>
        <w:t>the proposed indication to the following:</w:t>
      </w:r>
    </w:p>
    <w:p w14:paraId="28E6B079" w14:textId="3361C5C5" w:rsidR="00202BEE" w:rsidRPr="00202BEE" w:rsidRDefault="0060734F" w:rsidP="00384B46">
      <w:pPr>
        <w:ind w:left="720"/>
        <w:rPr>
          <w:lang w:val="en-US"/>
        </w:rPr>
      </w:pPr>
      <w:r w:rsidRPr="00384B46">
        <w:rPr>
          <w:i/>
          <w:iCs/>
        </w:rPr>
        <w:t>H</w:t>
      </w:r>
      <w:r w:rsidR="00117EAC" w:rsidRPr="00384B46">
        <w:rPr>
          <w:i/>
          <w:iCs/>
        </w:rPr>
        <w:t>ibruka is in</w:t>
      </w:r>
      <w:r w:rsidRPr="00384B46">
        <w:rPr>
          <w:i/>
          <w:iCs/>
        </w:rPr>
        <w:t>dicated for the treatment of adult patients with mantle cell lymphoma who had no response or demonstrated progressive disease to at least one prior therapy. This indication is approved via the provisional pathway, based on ORR. Full registration for this product for this indication depends on verification and description of clinical benefit in confirmatory trials.</w:t>
      </w:r>
    </w:p>
    <w:p w14:paraId="1E63A2AE" w14:textId="7A19CFEC" w:rsidR="00CB6813" w:rsidRDefault="00005DFC" w:rsidP="00CB6813">
      <w:pPr>
        <w:pStyle w:val="Heading4"/>
      </w:pPr>
      <w:bookmarkStart w:id="15" w:name="_Toc241844845"/>
      <w:bookmarkStart w:id="16" w:name="_Toc314842485"/>
      <w:bookmarkStart w:id="17" w:name="_Toc247691504"/>
      <w:r>
        <w:t>D</w:t>
      </w:r>
      <w:r w:rsidR="00CB6813" w:rsidRPr="00C12D65">
        <w:t>isease</w:t>
      </w:r>
      <w:r w:rsidR="006428C5">
        <w:t xml:space="preserve"> or condition</w:t>
      </w:r>
      <w:r w:rsidR="00E01CA1">
        <w:t xml:space="preserve"> – Mantle </w:t>
      </w:r>
      <w:r w:rsidR="006C382C">
        <w:t>cell lymphoma</w:t>
      </w:r>
      <w:bookmarkEnd w:id="15"/>
    </w:p>
    <w:p w14:paraId="16B09217" w14:textId="2C32BA8F" w:rsidR="00E01CA1" w:rsidRDefault="00E01CA1" w:rsidP="00E01CA1">
      <w:pPr>
        <w:pStyle w:val="BodyText"/>
        <w:spacing w:before="121"/>
        <w:ind w:left="23" w:right="94"/>
      </w:pPr>
      <w:r>
        <w:t>Mantle</w:t>
      </w:r>
      <w:r>
        <w:rPr>
          <w:spacing w:val="-2"/>
        </w:rPr>
        <w:t xml:space="preserve"> </w:t>
      </w:r>
      <w:r>
        <w:t>cell</w:t>
      </w:r>
      <w:r>
        <w:rPr>
          <w:spacing w:val="-2"/>
        </w:rPr>
        <w:t xml:space="preserve"> </w:t>
      </w:r>
      <w:r>
        <w:t>lymphoma</w:t>
      </w:r>
      <w:r w:rsidR="00F367BC">
        <w:t xml:space="preserve"> (MCL)</w:t>
      </w:r>
      <w:r>
        <w:rPr>
          <w:spacing w:val="-2"/>
        </w:rPr>
        <w:t xml:space="preserve"> </w:t>
      </w:r>
      <w:r>
        <w:t>is</w:t>
      </w:r>
      <w:r>
        <w:rPr>
          <w:spacing w:val="-1"/>
        </w:rPr>
        <w:t xml:space="preserve"> </w:t>
      </w:r>
      <w:r>
        <w:t>a</w:t>
      </w:r>
      <w:r>
        <w:rPr>
          <w:spacing w:val="-5"/>
        </w:rPr>
        <w:t xml:space="preserve"> </w:t>
      </w:r>
      <w:r>
        <w:t>rare</w:t>
      </w:r>
      <w:r>
        <w:rPr>
          <w:spacing w:val="-2"/>
        </w:rPr>
        <w:t xml:space="preserve"> </w:t>
      </w:r>
      <w:r>
        <w:t>and</w:t>
      </w:r>
      <w:r>
        <w:rPr>
          <w:spacing w:val="-3"/>
        </w:rPr>
        <w:t xml:space="preserve"> </w:t>
      </w:r>
      <w:r>
        <w:t>aggressive</w:t>
      </w:r>
      <w:r>
        <w:rPr>
          <w:spacing w:val="-5"/>
        </w:rPr>
        <w:t xml:space="preserve"> </w:t>
      </w:r>
      <w:r>
        <w:t>subtype</w:t>
      </w:r>
      <w:r>
        <w:rPr>
          <w:spacing w:val="-3"/>
        </w:rPr>
        <w:t xml:space="preserve"> </w:t>
      </w:r>
      <w:r>
        <w:t>of</w:t>
      </w:r>
      <w:r>
        <w:rPr>
          <w:spacing w:val="-2"/>
        </w:rPr>
        <w:t xml:space="preserve"> </w:t>
      </w:r>
      <w:r>
        <w:t>B-cell</w:t>
      </w:r>
      <w:r>
        <w:rPr>
          <w:spacing w:val="-2"/>
        </w:rPr>
        <w:t xml:space="preserve"> </w:t>
      </w:r>
      <w:r>
        <w:t>non-Hodgkin</w:t>
      </w:r>
      <w:r>
        <w:rPr>
          <w:spacing w:val="-3"/>
        </w:rPr>
        <w:t xml:space="preserve"> </w:t>
      </w:r>
      <w:r>
        <w:t>lymphoma</w:t>
      </w:r>
      <w:r>
        <w:rPr>
          <w:spacing w:val="-5"/>
        </w:rPr>
        <w:t xml:space="preserve"> </w:t>
      </w:r>
      <w:r>
        <w:t>and</w:t>
      </w:r>
      <w:r>
        <w:rPr>
          <w:spacing w:val="-3"/>
        </w:rPr>
        <w:t xml:space="preserve"> </w:t>
      </w:r>
      <w:r>
        <w:t>is a life-threatening illness with an overall poor prognosis.</w:t>
      </w:r>
    </w:p>
    <w:p w14:paraId="06034062" w14:textId="252655B0" w:rsidR="006C382C" w:rsidRDefault="006C382C" w:rsidP="006C382C">
      <w:pPr>
        <w:pStyle w:val="Heading4"/>
      </w:pPr>
      <w:bookmarkStart w:id="18" w:name="_Toc241844846"/>
      <w:r>
        <w:t>Current treatment options</w:t>
      </w:r>
      <w:bookmarkEnd w:id="18"/>
    </w:p>
    <w:p w14:paraId="0EE143D7" w14:textId="4B4A8CAA" w:rsidR="00E01CA1" w:rsidRDefault="00E01CA1" w:rsidP="006C382C">
      <w:r>
        <w:t>Current</w:t>
      </w:r>
      <w:r>
        <w:rPr>
          <w:spacing w:val="-4"/>
        </w:rPr>
        <w:t xml:space="preserve"> </w:t>
      </w:r>
      <w:r>
        <w:t>therapeutic</w:t>
      </w:r>
      <w:r>
        <w:rPr>
          <w:spacing w:val="-2"/>
        </w:rPr>
        <w:t xml:space="preserve"> </w:t>
      </w:r>
      <w:r>
        <w:t>options</w:t>
      </w:r>
      <w:r>
        <w:rPr>
          <w:spacing w:val="-2"/>
        </w:rPr>
        <w:t xml:space="preserve"> </w:t>
      </w:r>
      <w:r>
        <w:t>for</w:t>
      </w:r>
      <w:r>
        <w:rPr>
          <w:spacing w:val="-4"/>
        </w:rPr>
        <w:t xml:space="preserve"> </w:t>
      </w:r>
      <w:r>
        <w:t>patients</w:t>
      </w:r>
      <w:r>
        <w:rPr>
          <w:spacing w:val="-2"/>
        </w:rPr>
        <w:t xml:space="preserve"> </w:t>
      </w:r>
      <w:r>
        <w:t>with</w:t>
      </w:r>
      <w:r>
        <w:rPr>
          <w:spacing w:val="-3"/>
        </w:rPr>
        <w:t xml:space="preserve"> </w:t>
      </w:r>
      <w:r>
        <w:t>relapsed</w:t>
      </w:r>
      <w:r>
        <w:rPr>
          <w:spacing w:val="-3"/>
        </w:rPr>
        <w:t xml:space="preserve"> </w:t>
      </w:r>
      <w:r>
        <w:t>or</w:t>
      </w:r>
      <w:r>
        <w:rPr>
          <w:spacing w:val="-4"/>
        </w:rPr>
        <w:t xml:space="preserve"> </w:t>
      </w:r>
      <w:r>
        <w:t>refractory</w:t>
      </w:r>
      <w:r>
        <w:rPr>
          <w:spacing w:val="-4"/>
        </w:rPr>
        <w:t xml:space="preserve"> </w:t>
      </w:r>
      <w:r>
        <w:t>disease</w:t>
      </w:r>
      <w:r>
        <w:rPr>
          <w:spacing w:val="-6"/>
        </w:rPr>
        <w:t xml:space="preserve"> </w:t>
      </w:r>
      <w:r>
        <w:t>consists</w:t>
      </w:r>
      <w:r>
        <w:rPr>
          <w:spacing w:val="-3"/>
        </w:rPr>
        <w:t xml:space="preserve"> </w:t>
      </w:r>
      <w:r>
        <w:t>of</w:t>
      </w:r>
      <w:r>
        <w:rPr>
          <w:spacing w:val="-2"/>
        </w:rPr>
        <w:t xml:space="preserve"> </w:t>
      </w:r>
      <w:r>
        <w:t>a</w:t>
      </w:r>
      <w:r>
        <w:rPr>
          <w:spacing w:val="-3"/>
        </w:rPr>
        <w:t xml:space="preserve"> </w:t>
      </w:r>
      <w:r>
        <w:t>BTK inhibitor (if not previously received in upfront setting):</w:t>
      </w:r>
    </w:p>
    <w:p w14:paraId="72F44D85" w14:textId="48D33475" w:rsidR="00E01CA1" w:rsidRDefault="00E01CA1" w:rsidP="006C382C">
      <w:pPr>
        <w:pStyle w:val="ListBullet"/>
      </w:pPr>
      <w:r>
        <w:t>Ibrutinib,</w:t>
      </w:r>
      <w:r>
        <w:rPr>
          <w:spacing w:val="-4"/>
        </w:rPr>
        <w:t xml:space="preserve"> </w:t>
      </w:r>
      <w:r>
        <w:t>a</w:t>
      </w:r>
      <w:r>
        <w:rPr>
          <w:spacing w:val="-1"/>
        </w:rPr>
        <w:t xml:space="preserve"> </w:t>
      </w:r>
      <w:r>
        <w:t>first</w:t>
      </w:r>
      <w:r>
        <w:rPr>
          <w:spacing w:val="-2"/>
        </w:rPr>
        <w:t xml:space="preserve"> </w:t>
      </w:r>
      <w:r>
        <w:t>generation BTK</w:t>
      </w:r>
      <w:r>
        <w:rPr>
          <w:spacing w:val="-2"/>
        </w:rPr>
        <w:t xml:space="preserve"> </w:t>
      </w:r>
      <w:r>
        <w:t>inhibitor,</w:t>
      </w:r>
      <w:r>
        <w:rPr>
          <w:spacing w:val="-2"/>
        </w:rPr>
        <w:t xml:space="preserve"> </w:t>
      </w:r>
      <w:r>
        <w:t>has been</w:t>
      </w:r>
      <w:r>
        <w:rPr>
          <w:spacing w:val="-4"/>
        </w:rPr>
        <w:t xml:space="preserve"> </w:t>
      </w:r>
      <w:r>
        <w:t>TGA</w:t>
      </w:r>
      <w:r>
        <w:rPr>
          <w:spacing w:val="-3"/>
        </w:rPr>
        <w:t xml:space="preserve"> </w:t>
      </w:r>
      <w:r>
        <w:t>approved</w:t>
      </w:r>
      <w:r>
        <w:rPr>
          <w:spacing w:val="-2"/>
        </w:rPr>
        <w:t xml:space="preserve"> </w:t>
      </w:r>
      <w:r>
        <w:t>for</w:t>
      </w:r>
      <w:r>
        <w:rPr>
          <w:spacing w:val="-1"/>
        </w:rPr>
        <w:t xml:space="preserve"> </w:t>
      </w:r>
      <w:r>
        <w:t>use</w:t>
      </w:r>
      <w:r>
        <w:rPr>
          <w:spacing w:val="-1"/>
        </w:rPr>
        <w:t xml:space="preserve"> </w:t>
      </w:r>
      <w:r>
        <w:t>in</w:t>
      </w:r>
      <w:r>
        <w:rPr>
          <w:spacing w:val="-5"/>
        </w:rPr>
        <w:t xml:space="preserve"> </w:t>
      </w:r>
      <w:r>
        <w:t>patients with</w:t>
      </w:r>
      <w:r>
        <w:rPr>
          <w:spacing w:val="-2"/>
        </w:rPr>
        <w:t xml:space="preserve"> </w:t>
      </w:r>
      <w:r>
        <w:t>MCL</w:t>
      </w:r>
      <w:r>
        <w:rPr>
          <w:spacing w:val="-2"/>
        </w:rPr>
        <w:t xml:space="preserve"> </w:t>
      </w:r>
      <w:r>
        <w:t>who</w:t>
      </w:r>
      <w:r>
        <w:rPr>
          <w:spacing w:val="-4"/>
        </w:rPr>
        <w:t xml:space="preserve"> </w:t>
      </w:r>
      <w:r>
        <w:t>have</w:t>
      </w:r>
      <w:r>
        <w:rPr>
          <w:spacing w:val="-2"/>
        </w:rPr>
        <w:t xml:space="preserve"> </w:t>
      </w:r>
      <w:r>
        <w:t>received</w:t>
      </w:r>
      <w:r>
        <w:rPr>
          <w:spacing w:val="-2"/>
        </w:rPr>
        <w:t xml:space="preserve"> </w:t>
      </w:r>
      <w:r>
        <w:t>at</w:t>
      </w:r>
      <w:r>
        <w:rPr>
          <w:spacing w:val="-2"/>
        </w:rPr>
        <w:t xml:space="preserve"> </w:t>
      </w:r>
      <w:r>
        <w:t>least</w:t>
      </w:r>
      <w:r>
        <w:rPr>
          <w:spacing w:val="-2"/>
        </w:rPr>
        <w:t xml:space="preserve"> </w:t>
      </w:r>
      <w:r>
        <w:t>one</w:t>
      </w:r>
      <w:r>
        <w:rPr>
          <w:spacing w:val="-2"/>
        </w:rPr>
        <w:t xml:space="preserve"> </w:t>
      </w:r>
      <w:r>
        <w:t>prior</w:t>
      </w:r>
      <w:r>
        <w:rPr>
          <w:spacing w:val="-4"/>
        </w:rPr>
        <w:t xml:space="preserve"> </w:t>
      </w:r>
      <w:r>
        <w:t>therapy.</w:t>
      </w:r>
    </w:p>
    <w:p w14:paraId="214ECCEC" w14:textId="77777777" w:rsidR="00E01CA1" w:rsidRPr="00905606" w:rsidRDefault="00E01CA1" w:rsidP="00C73151">
      <w:pPr>
        <w:pStyle w:val="ListBullet"/>
        <w:rPr>
          <w:bCs/>
        </w:rPr>
      </w:pPr>
      <w:r>
        <w:t>Acalabrutinib</w:t>
      </w:r>
      <w:r>
        <w:rPr>
          <w:spacing w:val="-4"/>
        </w:rPr>
        <w:t xml:space="preserve"> </w:t>
      </w:r>
      <w:r>
        <w:t>is</w:t>
      </w:r>
      <w:r>
        <w:rPr>
          <w:spacing w:val="-3"/>
        </w:rPr>
        <w:t xml:space="preserve"> </w:t>
      </w:r>
      <w:r w:rsidRPr="006C382C">
        <w:t>provisionally</w:t>
      </w:r>
      <w:r w:rsidRPr="006C382C">
        <w:rPr>
          <w:spacing w:val="-4"/>
        </w:rPr>
        <w:t xml:space="preserve"> </w:t>
      </w:r>
      <w:r>
        <w:t>approved</w:t>
      </w:r>
      <w:r>
        <w:rPr>
          <w:spacing w:val="-5"/>
        </w:rPr>
        <w:t xml:space="preserve"> </w:t>
      </w:r>
      <w:r>
        <w:t>in</w:t>
      </w:r>
      <w:r>
        <w:rPr>
          <w:spacing w:val="-4"/>
        </w:rPr>
        <w:t xml:space="preserve"> </w:t>
      </w:r>
      <w:r>
        <w:t>Australia</w:t>
      </w:r>
      <w:r>
        <w:rPr>
          <w:spacing w:val="-5"/>
        </w:rPr>
        <w:t xml:space="preserve"> </w:t>
      </w:r>
      <w:r>
        <w:t>for</w:t>
      </w:r>
      <w:r>
        <w:rPr>
          <w:spacing w:val="-3"/>
        </w:rPr>
        <w:t xml:space="preserve"> </w:t>
      </w:r>
      <w:r>
        <w:t>the</w:t>
      </w:r>
      <w:r>
        <w:rPr>
          <w:spacing w:val="-3"/>
        </w:rPr>
        <w:t xml:space="preserve"> </w:t>
      </w:r>
      <w:r>
        <w:t>treatment</w:t>
      </w:r>
      <w:r>
        <w:rPr>
          <w:spacing w:val="-4"/>
        </w:rPr>
        <w:t xml:space="preserve"> </w:t>
      </w:r>
      <w:r>
        <w:t>of</w:t>
      </w:r>
      <w:r>
        <w:rPr>
          <w:spacing w:val="-3"/>
        </w:rPr>
        <w:t xml:space="preserve"> </w:t>
      </w:r>
      <w:r w:rsidRPr="00905606">
        <w:rPr>
          <w:bCs/>
        </w:rPr>
        <w:t>adult</w:t>
      </w:r>
      <w:r w:rsidRPr="00905606">
        <w:rPr>
          <w:bCs/>
          <w:spacing w:val="-2"/>
        </w:rPr>
        <w:t xml:space="preserve"> </w:t>
      </w:r>
      <w:r w:rsidRPr="00905606">
        <w:rPr>
          <w:bCs/>
        </w:rPr>
        <w:t>patients with MCL who have received at least one prior therapy.</w:t>
      </w:r>
    </w:p>
    <w:p w14:paraId="1D637138" w14:textId="7C981E73" w:rsidR="00E01CA1" w:rsidRDefault="00E01CA1">
      <w:pPr>
        <w:pStyle w:val="ListBullet2"/>
      </w:pPr>
      <w:r>
        <w:t>It is noted that in the US, the FDA has now granted conversion from accelerated to traditional approval of Calquence for the treatment of adults with MCL who have</w:t>
      </w:r>
      <w:r w:rsidRPr="006C382C">
        <w:rPr>
          <w:spacing w:val="-2"/>
        </w:rPr>
        <w:t xml:space="preserve"> </w:t>
      </w:r>
      <w:r>
        <w:t>received</w:t>
      </w:r>
      <w:r w:rsidRPr="006C382C">
        <w:rPr>
          <w:spacing w:val="-3"/>
        </w:rPr>
        <w:t xml:space="preserve"> </w:t>
      </w:r>
      <w:r>
        <w:t>at</w:t>
      </w:r>
      <w:r w:rsidRPr="006C382C">
        <w:rPr>
          <w:spacing w:val="-2"/>
        </w:rPr>
        <w:t xml:space="preserve"> </w:t>
      </w:r>
      <w:r>
        <w:t>least</w:t>
      </w:r>
      <w:r w:rsidRPr="006C382C">
        <w:rPr>
          <w:spacing w:val="-3"/>
        </w:rPr>
        <w:t xml:space="preserve"> </w:t>
      </w:r>
      <w:r>
        <w:t>one</w:t>
      </w:r>
      <w:r w:rsidRPr="006C382C">
        <w:rPr>
          <w:spacing w:val="-5"/>
        </w:rPr>
        <w:t xml:space="preserve"> </w:t>
      </w:r>
      <w:r>
        <w:t>prior</w:t>
      </w:r>
      <w:r w:rsidRPr="006C382C">
        <w:rPr>
          <w:spacing w:val="-2"/>
        </w:rPr>
        <w:t xml:space="preserve"> </w:t>
      </w:r>
      <w:r>
        <w:t>therapy.</w:t>
      </w:r>
      <w:r w:rsidRPr="006C382C">
        <w:rPr>
          <w:spacing w:val="40"/>
        </w:rPr>
        <w:t xml:space="preserve"> </w:t>
      </w:r>
      <w:r>
        <w:t>This</w:t>
      </w:r>
      <w:r w:rsidRPr="006C382C">
        <w:rPr>
          <w:spacing w:val="-1"/>
        </w:rPr>
        <w:t xml:space="preserve"> </w:t>
      </w:r>
      <w:r>
        <w:t>was</w:t>
      </w:r>
      <w:r w:rsidRPr="006C382C">
        <w:rPr>
          <w:spacing w:val="-1"/>
        </w:rPr>
        <w:t xml:space="preserve"> </w:t>
      </w:r>
      <w:r>
        <w:t>based</w:t>
      </w:r>
      <w:r w:rsidRPr="006C382C">
        <w:rPr>
          <w:spacing w:val="-2"/>
        </w:rPr>
        <w:t xml:space="preserve"> </w:t>
      </w:r>
      <w:r>
        <w:t>on</w:t>
      </w:r>
      <w:r w:rsidRPr="006C382C">
        <w:rPr>
          <w:spacing w:val="-4"/>
        </w:rPr>
        <w:t xml:space="preserve"> </w:t>
      </w:r>
      <w:r>
        <w:t>ACE-LY-308,</w:t>
      </w:r>
      <w:r w:rsidRPr="006C382C">
        <w:rPr>
          <w:spacing w:val="-3"/>
        </w:rPr>
        <w:t xml:space="preserve"> </w:t>
      </w:r>
      <w:r>
        <w:t>a</w:t>
      </w:r>
      <w:r w:rsidRPr="006C382C">
        <w:rPr>
          <w:spacing w:val="-3"/>
        </w:rPr>
        <w:t xml:space="preserve"> </w:t>
      </w:r>
      <w:r>
        <w:t>phase III, double-blind RCT of BR alone versus BR in</w:t>
      </w:r>
      <w:r w:rsidRPr="006C382C">
        <w:rPr>
          <w:spacing w:val="-2"/>
        </w:rPr>
        <w:t xml:space="preserve"> </w:t>
      </w:r>
      <w:r>
        <w:t>combination with acalabrutinib in</w:t>
      </w:r>
      <w:r w:rsidR="006C382C">
        <w:t xml:space="preserve"> </w:t>
      </w:r>
      <w:r>
        <w:t>patients</w:t>
      </w:r>
      <w:r w:rsidRPr="006C382C">
        <w:rPr>
          <w:spacing w:val="-3"/>
        </w:rPr>
        <w:t xml:space="preserve"> </w:t>
      </w:r>
      <w:r>
        <w:t>with</w:t>
      </w:r>
      <w:r w:rsidRPr="006C382C">
        <w:rPr>
          <w:spacing w:val="-3"/>
        </w:rPr>
        <w:t xml:space="preserve"> </w:t>
      </w:r>
      <w:r>
        <w:t>untreated</w:t>
      </w:r>
      <w:r w:rsidRPr="006C382C">
        <w:rPr>
          <w:spacing w:val="-3"/>
        </w:rPr>
        <w:t xml:space="preserve"> </w:t>
      </w:r>
      <w:r>
        <w:t>MCL,</w:t>
      </w:r>
      <w:r w:rsidRPr="006C382C">
        <w:rPr>
          <w:spacing w:val="-3"/>
        </w:rPr>
        <w:t xml:space="preserve"> </w:t>
      </w:r>
      <w:r>
        <w:t>which</w:t>
      </w:r>
      <w:r w:rsidRPr="006C382C">
        <w:rPr>
          <w:spacing w:val="-3"/>
        </w:rPr>
        <w:t xml:space="preserve"> </w:t>
      </w:r>
      <w:r>
        <w:t>also</w:t>
      </w:r>
      <w:r w:rsidRPr="006C382C">
        <w:rPr>
          <w:spacing w:val="-3"/>
        </w:rPr>
        <w:t xml:space="preserve"> </w:t>
      </w:r>
      <w:r>
        <w:t>provided</w:t>
      </w:r>
      <w:r w:rsidRPr="006C382C">
        <w:rPr>
          <w:spacing w:val="-3"/>
        </w:rPr>
        <w:t xml:space="preserve"> </w:t>
      </w:r>
      <w:r>
        <w:t>data</w:t>
      </w:r>
      <w:r w:rsidRPr="006C382C">
        <w:rPr>
          <w:spacing w:val="-3"/>
        </w:rPr>
        <w:t xml:space="preserve"> </w:t>
      </w:r>
      <w:r>
        <w:t>to</w:t>
      </w:r>
      <w:r w:rsidRPr="006C382C">
        <w:rPr>
          <w:spacing w:val="-4"/>
        </w:rPr>
        <w:t xml:space="preserve"> </w:t>
      </w:r>
      <w:r>
        <w:t>support</w:t>
      </w:r>
      <w:r w:rsidRPr="006C382C">
        <w:rPr>
          <w:spacing w:val="-4"/>
        </w:rPr>
        <w:t xml:space="preserve"> </w:t>
      </w:r>
      <w:r>
        <w:t>the</w:t>
      </w:r>
      <w:r w:rsidRPr="006C382C">
        <w:rPr>
          <w:spacing w:val="-3"/>
        </w:rPr>
        <w:t xml:space="preserve"> </w:t>
      </w:r>
      <w:r>
        <w:t>approval of Calquence for use in combination with BR in patients with previously untreated MCL who are ineligible for autologous HSCT.</w:t>
      </w:r>
    </w:p>
    <w:p w14:paraId="0AFB2D4A" w14:textId="77777777" w:rsidR="00E01CA1" w:rsidRPr="00905606" w:rsidRDefault="00E01CA1" w:rsidP="006C382C">
      <w:pPr>
        <w:pStyle w:val="ListBullet"/>
        <w:rPr>
          <w:bCs/>
        </w:rPr>
      </w:pPr>
      <w:r>
        <w:t>Zanubrutinib</w:t>
      </w:r>
      <w:r>
        <w:rPr>
          <w:spacing w:val="-4"/>
        </w:rPr>
        <w:t xml:space="preserve"> </w:t>
      </w:r>
      <w:r>
        <w:t>is</w:t>
      </w:r>
      <w:r>
        <w:rPr>
          <w:spacing w:val="-3"/>
        </w:rPr>
        <w:t xml:space="preserve"> </w:t>
      </w:r>
      <w:r w:rsidRPr="006C382C">
        <w:t>provisionally</w:t>
      </w:r>
      <w:r>
        <w:rPr>
          <w:spacing w:val="-4"/>
        </w:rPr>
        <w:t xml:space="preserve"> </w:t>
      </w:r>
      <w:r>
        <w:t>approved</w:t>
      </w:r>
      <w:r>
        <w:rPr>
          <w:spacing w:val="-4"/>
        </w:rPr>
        <w:t xml:space="preserve"> </w:t>
      </w:r>
      <w:r>
        <w:t>in</w:t>
      </w:r>
      <w:r>
        <w:rPr>
          <w:spacing w:val="-4"/>
        </w:rPr>
        <w:t xml:space="preserve"> </w:t>
      </w:r>
      <w:r>
        <w:t>Australia</w:t>
      </w:r>
      <w:r>
        <w:rPr>
          <w:spacing w:val="-6"/>
        </w:rPr>
        <w:t xml:space="preserve"> </w:t>
      </w:r>
      <w:r>
        <w:t>for</w:t>
      </w:r>
      <w:r>
        <w:rPr>
          <w:spacing w:val="-3"/>
        </w:rPr>
        <w:t xml:space="preserve"> </w:t>
      </w:r>
      <w:r>
        <w:t>the</w:t>
      </w:r>
      <w:r>
        <w:rPr>
          <w:spacing w:val="-3"/>
        </w:rPr>
        <w:t xml:space="preserve"> </w:t>
      </w:r>
      <w:r>
        <w:t>treatment</w:t>
      </w:r>
      <w:r>
        <w:rPr>
          <w:spacing w:val="-4"/>
        </w:rPr>
        <w:t xml:space="preserve"> </w:t>
      </w:r>
      <w:r>
        <w:t>of</w:t>
      </w:r>
      <w:r>
        <w:rPr>
          <w:spacing w:val="-3"/>
        </w:rPr>
        <w:t xml:space="preserve"> </w:t>
      </w:r>
      <w:r w:rsidRPr="00905606">
        <w:rPr>
          <w:bCs/>
        </w:rPr>
        <w:t>adult</w:t>
      </w:r>
      <w:r w:rsidRPr="00905606">
        <w:rPr>
          <w:bCs/>
          <w:spacing w:val="-2"/>
        </w:rPr>
        <w:t xml:space="preserve"> </w:t>
      </w:r>
      <w:r w:rsidRPr="00905606">
        <w:rPr>
          <w:bCs/>
        </w:rPr>
        <w:t>patients with MCL who have received at least one prior therapy.</w:t>
      </w:r>
    </w:p>
    <w:p w14:paraId="61052F58" w14:textId="43E1D284" w:rsidR="00E01CA1" w:rsidRDefault="00E01CA1" w:rsidP="006C382C">
      <w:r>
        <w:t>Effective</w:t>
      </w:r>
      <w:r>
        <w:rPr>
          <w:spacing w:val="-2"/>
        </w:rPr>
        <w:t xml:space="preserve"> </w:t>
      </w:r>
      <w:r>
        <w:t>agents</w:t>
      </w:r>
      <w:r>
        <w:rPr>
          <w:spacing w:val="-2"/>
        </w:rPr>
        <w:t xml:space="preserve"> </w:t>
      </w:r>
      <w:r>
        <w:t>are</w:t>
      </w:r>
      <w:r>
        <w:rPr>
          <w:spacing w:val="-6"/>
        </w:rPr>
        <w:t xml:space="preserve"> </w:t>
      </w:r>
      <w:r>
        <w:t>still</w:t>
      </w:r>
      <w:r>
        <w:rPr>
          <w:spacing w:val="-2"/>
        </w:rPr>
        <w:t xml:space="preserve"> </w:t>
      </w:r>
      <w:r>
        <w:t>needed</w:t>
      </w:r>
      <w:r>
        <w:rPr>
          <w:spacing w:val="-2"/>
        </w:rPr>
        <w:t xml:space="preserve"> </w:t>
      </w:r>
      <w:r>
        <w:t>for</w:t>
      </w:r>
      <w:r>
        <w:rPr>
          <w:spacing w:val="-2"/>
        </w:rPr>
        <w:t xml:space="preserve"> </w:t>
      </w:r>
      <w:r>
        <w:t>the</w:t>
      </w:r>
      <w:r>
        <w:rPr>
          <w:spacing w:val="-2"/>
        </w:rPr>
        <w:t xml:space="preserve"> </w:t>
      </w:r>
      <w:r>
        <w:t>treatment</w:t>
      </w:r>
      <w:r>
        <w:rPr>
          <w:spacing w:val="-3"/>
        </w:rPr>
        <w:t xml:space="preserve"> </w:t>
      </w:r>
      <w:r>
        <w:t>of</w:t>
      </w:r>
      <w:r>
        <w:rPr>
          <w:spacing w:val="-2"/>
        </w:rPr>
        <w:t xml:space="preserve"> </w:t>
      </w:r>
      <w:r>
        <w:t>relapsed</w:t>
      </w:r>
      <w:r>
        <w:rPr>
          <w:spacing w:val="-2"/>
        </w:rPr>
        <w:t xml:space="preserve"> </w:t>
      </w:r>
      <w:r>
        <w:t>or</w:t>
      </w:r>
      <w:r>
        <w:rPr>
          <w:spacing w:val="-3"/>
        </w:rPr>
        <w:t xml:space="preserve"> </w:t>
      </w:r>
      <w:r>
        <w:t>refractory</w:t>
      </w:r>
      <w:r>
        <w:rPr>
          <w:spacing w:val="-3"/>
        </w:rPr>
        <w:t xml:space="preserve"> </w:t>
      </w:r>
      <w:r w:rsidR="00AA4A54">
        <w:t>MCL (R/R MCL).</w:t>
      </w:r>
    </w:p>
    <w:p w14:paraId="37C47E09" w14:textId="14D3762D" w:rsidR="00CB6813" w:rsidRDefault="00CB6813" w:rsidP="00CB6813">
      <w:pPr>
        <w:pStyle w:val="Heading4"/>
      </w:pPr>
      <w:bookmarkStart w:id="19" w:name="_Toc241844847"/>
      <w:r>
        <w:lastRenderedPageBreak/>
        <w:t>C</w:t>
      </w:r>
      <w:r w:rsidRPr="00DE1344">
        <w:t>linical rational</w:t>
      </w:r>
      <w:r w:rsidR="0025785B">
        <w:t>e</w:t>
      </w:r>
      <w:bookmarkEnd w:id="19"/>
    </w:p>
    <w:p w14:paraId="6E5342B2" w14:textId="7BACDB68" w:rsidR="003E2E72" w:rsidRDefault="00CD5355" w:rsidP="00CD5355">
      <w:pPr>
        <w:pStyle w:val="Standard"/>
        <w:rPr>
          <w:szCs w:val="22"/>
        </w:rPr>
      </w:pPr>
      <w:bookmarkStart w:id="20" w:name="_Toc103679291"/>
      <w:r>
        <w:rPr>
          <w:szCs w:val="22"/>
        </w:rPr>
        <w:t>MCL</w:t>
      </w:r>
      <w:r w:rsidRPr="00872C21">
        <w:rPr>
          <w:szCs w:val="22"/>
        </w:rPr>
        <w:t xml:space="preserve"> </w:t>
      </w:r>
      <w:r>
        <w:rPr>
          <w:szCs w:val="22"/>
        </w:rPr>
        <w:t xml:space="preserve">is </w:t>
      </w:r>
      <w:r w:rsidRPr="00872C21">
        <w:rPr>
          <w:szCs w:val="22"/>
        </w:rPr>
        <w:t xml:space="preserve">a rare, aggressive type of B-cell non-Hodgkin lymphoma that begins in the lymphatic system. </w:t>
      </w:r>
      <w:r w:rsidRPr="00F91F54">
        <w:rPr>
          <w:szCs w:val="22"/>
        </w:rPr>
        <w:t>Bruton's tyrosine kinase</w:t>
      </w:r>
      <w:r w:rsidR="003E2E72">
        <w:rPr>
          <w:szCs w:val="22"/>
        </w:rPr>
        <w:t xml:space="preserve"> (BTK</w:t>
      </w:r>
      <w:r w:rsidRPr="00F91F54">
        <w:rPr>
          <w:szCs w:val="22"/>
        </w:rPr>
        <w:t>) is crucial for the survival and growth of malignant B-cells in MCL</w:t>
      </w:r>
      <w:r>
        <w:rPr>
          <w:szCs w:val="22"/>
        </w:rPr>
        <w:t xml:space="preserve"> (</w:t>
      </w:r>
      <w:r w:rsidRPr="00C25664">
        <w:rPr>
          <w:szCs w:val="22"/>
        </w:rPr>
        <w:t>Satterthwaite and Witte, 2000</w:t>
      </w:r>
      <w:r>
        <w:rPr>
          <w:szCs w:val="22"/>
        </w:rPr>
        <w:t>)</w:t>
      </w:r>
      <w:r w:rsidR="008E02BC">
        <w:rPr>
          <w:szCs w:val="22"/>
        </w:rPr>
        <w:t>.</w:t>
      </w:r>
      <w:r>
        <w:rPr>
          <w:rStyle w:val="FootnoteReference"/>
          <w:szCs w:val="22"/>
        </w:rPr>
        <w:footnoteReference w:id="1"/>
      </w:r>
      <w:r>
        <w:rPr>
          <w:szCs w:val="22"/>
        </w:rPr>
        <w:t xml:space="preserve"> </w:t>
      </w:r>
    </w:p>
    <w:p w14:paraId="4B798731" w14:textId="0F505B6C" w:rsidR="00BF0E29" w:rsidRDefault="009D284E" w:rsidP="00BF0E29">
      <w:r>
        <w:t>Hibruka (o</w:t>
      </w:r>
      <w:r w:rsidR="00BF0E29" w:rsidRPr="006A6682">
        <w:t>relabrutinib</w:t>
      </w:r>
      <w:r>
        <w:t>)</w:t>
      </w:r>
      <w:r w:rsidR="00BF0E29" w:rsidRPr="006A6682">
        <w:t xml:space="preserve"> is a selective </w:t>
      </w:r>
      <w:r w:rsidR="008E02BC">
        <w:t>B</w:t>
      </w:r>
      <w:r w:rsidR="00BF0E29" w:rsidRPr="006A6682">
        <w:t>TK inhibitor with an IC50 of 1.6 nM for BTK inhibition. BTK is a signalling molecule of the B cell antigen receptor (BCR) and cytokine receptor pathways. The signalling pathway activated by BCR is necessary for B-cell migration, chemotaxis, and adhesion. Orelabrutinib can inhibit BTK-mediated signalling and subsequent B cell activation and proliferation.</w:t>
      </w:r>
    </w:p>
    <w:p w14:paraId="0D615854" w14:textId="4D839B00" w:rsidR="00324B33" w:rsidRPr="003F31A2" w:rsidRDefault="00324B33" w:rsidP="00BF0E29">
      <w:pPr>
        <w:pStyle w:val="Heading3"/>
      </w:pPr>
      <w:bookmarkStart w:id="21" w:name="_Toc241844848"/>
      <w:r>
        <w:t>Regulatory status</w:t>
      </w:r>
      <w:bookmarkEnd w:id="16"/>
      <w:bookmarkEnd w:id="17"/>
      <w:bookmarkEnd w:id="20"/>
      <w:bookmarkEnd w:id="21"/>
      <w:r w:rsidR="00861DB4">
        <w:t xml:space="preserve"> </w:t>
      </w:r>
    </w:p>
    <w:p w14:paraId="72C889D6" w14:textId="23FD9AC1" w:rsidR="0017005C" w:rsidRPr="00BD5DBD" w:rsidRDefault="0017005C" w:rsidP="00741AB9">
      <w:pPr>
        <w:pStyle w:val="Heading4"/>
      </w:pPr>
      <w:bookmarkStart w:id="22" w:name="_Toc241844849"/>
      <w:r w:rsidRPr="00BD5DBD">
        <w:t>Australian regulatory</w:t>
      </w:r>
      <w:r>
        <w:t xml:space="preserve"> sta</w:t>
      </w:r>
      <w:r w:rsidR="0025785B">
        <w:t>t</w:t>
      </w:r>
      <w:r>
        <w:t>us</w:t>
      </w:r>
      <w:r w:rsidR="00F17CC4">
        <w:t xml:space="preserve"> at the time of </w:t>
      </w:r>
      <w:r w:rsidR="00B0677E">
        <w:t xml:space="preserve">this </w:t>
      </w:r>
      <w:r w:rsidR="00F17CC4">
        <w:t>assessment</w:t>
      </w:r>
      <w:bookmarkEnd w:id="22"/>
    </w:p>
    <w:p w14:paraId="6A8633FA" w14:textId="198DC475" w:rsidR="00324B33" w:rsidRDefault="00324B33" w:rsidP="003B5DC2">
      <w:r w:rsidRPr="00BD5DBD">
        <w:t>This product is considered a new chemical</w:t>
      </w:r>
      <w:r w:rsidR="008C754C" w:rsidRPr="00BD5DBD">
        <w:t xml:space="preserve"> entity</w:t>
      </w:r>
      <w:r w:rsidR="004349C1">
        <w:t xml:space="preserve"> (NCE)</w:t>
      </w:r>
      <w:r w:rsidRPr="00BD5DBD">
        <w:t xml:space="preserve"> for Australian regulatory purposes.</w:t>
      </w:r>
    </w:p>
    <w:p w14:paraId="367CFBB3" w14:textId="77777777" w:rsidR="006913A5" w:rsidRDefault="00305ADE" w:rsidP="003B5DC2">
      <w:pPr>
        <w:rPr>
          <w:spacing w:val="-2"/>
        </w:rPr>
      </w:pPr>
      <w:r>
        <w:t>Orelabrutinib</w:t>
      </w:r>
      <w:r>
        <w:rPr>
          <w:spacing w:val="-3"/>
        </w:rPr>
        <w:t xml:space="preserve"> </w:t>
      </w:r>
      <w:r>
        <w:t>was</w:t>
      </w:r>
      <w:r>
        <w:rPr>
          <w:spacing w:val="-4"/>
        </w:rPr>
        <w:t xml:space="preserve"> </w:t>
      </w:r>
      <w:r>
        <w:t>granted</w:t>
      </w:r>
      <w:r>
        <w:rPr>
          <w:spacing w:val="-3"/>
        </w:rPr>
        <w:t xml:space="preserve"> </w:t>
      </w:r>
      <w:r>
        <w:t>orphan</w:t>
      </w:r>
      <w:r>
        <w:rPr>
          <w:spacing w:val="-3"/>
        </w:rPr>
        <w:t xml:space="preserve"> </w:t>
      </w:r>
      <w:r>
        <w:t>and</w:t>
      </w:r>
      <w:r>
        <w:rPr>
          <w:spacing w:val="-3"/>
        </w:rPr>
        <w:t xml:space="preserve"> </w:t>
      </w:r>
      <w:r>
        <w:t>provisional</w:t>
      </w:r>
      <w:r>
        <w:rPr>
          <w:spacing w:val="-5"/>
        </w:rPr>
        <w:t xml:space="preserve"> </w:t>
      </w:r>
      <w:r>
        <w:t>designation</w:t>
      </w:r>
      <w:r>
        <w:rPr>
          <w:spacing w:val="-3"/>
        </w:rPr>
        <w:t xml:space="preserve"> </w:t>
      </w:r>
      <w:r>
        <w:t>by</w:t>
      </w:r>
      <w:r>
        <w:rPr>
          <w:spacing w:val="-3"/>
        </w:rPr>
        <w:t xml:space="preserve"> </w:t>
      </w:r>
      <w:r>
        <w:t>the</w:t>
      </w:r>
      <w:r>
        <w:rPr>
          <w:spacing w:val="-2"/>
        </w:rPr>
        <w:t xml:space="preserve"> </w:t>
      </w:r>
      <w:r>
        <w:t>TGA</w:t>
      </w:r>
      <w:r>
        <w:rPr>
          <w:spacing w:val="-3"/>
        </w:rPr>
        <w:t xml:space="preserve"> </w:t>
      </w:r>
      <w:r>
        <w:t>on</w:t>
      </w:r>
      <w:r>
        <w:rPr>
          <w:spacing w:val="-2"/>
        </w:rPr>
        <w:t xml:space="preserve"> </w:t>
      </w:r>
      <w:r>
        <w:t>19</w:t>
      </w:r>
      <w:r>
        <w:rPr>
          <w:spacing w:val="-2"/>
        </w:rPr>
        <w:t xml:space="preserve"> </w:t>
      </w:r>
      <w:r>
        <w:t xml:space="preserve">December </w:t>
      </w:r>
      <w:r>
        <w:rPr>
          <w:spacing w:val="-2"/>
        </w:rPr>
        <w:t>2024</w:t>
      </w:r>
      <w:r w:rsidRPr="000E5420">
        <w:rPr>
          <w:spacing w:val="-2"/>
        </w:rPr>
        <w:t>.</w:t>
      </w:r>
      <w:r w:rsidR="001F240C" w:rsidRPr="000E5420">
        <w:rPr>
          <w:spacing w:val="-2"/>
        </w:rPr>
        <w:t xml:space="preserve"> </w:t>
      </w:r>
    </w:p>
    <w:p w14:paraId="4B0DFEF3" w14:textId="6561F64E" w:rsidR="008E63F6" w:rsidRDefault="00305ADE" w:rsidP="003B5DC2">
      <w:r w:rsidRPr="000E5420">
        <w:t>For provisional determination, the TGA concluded</w:t>
      </w:r>
      <w:r w:rsidRPr="000E5420">
        <w:rPr>
          <w:spacing w:val="-2"/>
        </w:rPr>
        <w:t xml:space="preserve"> </w:t>
      </w:r>
      <w:r w:rsidRPr="000E5420">
        <w:t>that</w:t>
      </w:r>
      <w:r w:rsidRPr="000E5420">
        <w:rPr>
          <w:spacing w:val="-3"/>
        </w:rPr>
        <w:t xml:space="preserve"> </w:t>
      </w:r>
      <w:r w:rsidRPr="000E5420">
        <w:t>the</w:t>
      </w:r>
      <w:r w:rsidRPr="000E5420">
        <w:rPr>
          <w:spacing w:val="-5"/>
        </w:rPr>
        <w:t xml:space="preserve"> s</w:t>
      </w:r>
      <w:r w:rsidRPr="000E5420">
        <w:t>ponsor</w:t>
      </w:r>
      <w:r w:rsidRPr="000E5420">
        <w:rPr>
          <w:spacing w:val="-2"/>
        </w:rPr>
        <w:t xml:space="preserve"> </w:t>
      </w:r>
      <w:r w:rsidRPr="000E5420">
        <w:t>had</w:t>
      </w:r>
      <w:r w:rsidRPr="000E5420">
        <w:rPr>
          <w:spacing w:val="-1"/>
        </w:rPr>
        <w:t xml:space="preserve"> </w:t>
      </w:r>
      <w:r w:rsidRPr="000E5420">
        <w:t>provided</w:t>
      </w:r>
      <w:r w:rsidRPr="000E5420">
        <w:rPr>
          <w:spacing w:val="-2"/>
        </w:rPr>
        <w:t xml:space="preserve"> </w:t>
      </w:r>
      <w:r w:rsidRPr="000E5420">
        <w:t>sufficient</w:t>
      </w:r>
      <w:r w:rsidRPr="000E5420">
        <w:rPr>
          <w:spacing w:val="-6"/>
        </w:rPr>
        <w:t xml:space="preserve"> </w:t>
      </w:r>
      <w:r w:rsidRPr="000E5420">
        <w:t>evidence</w:t>
      </w:r>
      <w:r w:rsidRPr="000E5420">
        <w:rPr>
          <w:spacing w:val="-2"/>
        </w:rPr>
        <w:t xml:space="preserve"> </w:t>
      </w:r>
      <w:r w:rsidRPr="000E5420">
        <w:t>of</w:t>
      </w:r>
      <w:r w:rsidRPr="000E5420">
        <w:rPr>
          <w:spacing w:val="-2"/>
        </w:rPr>
        <w:t xml:space="preserve"> </w:t>
      </w:r>
      <w:r w:rsidRPr="000E5420">
        <w:t>a</w:t>
      </w:r>
      <w:r w:rsidRPr="000E5420">
        <w:rPr>
          <w:spacing w:val="-2"/>
        </w:rPr>
        <w:t xml:space="preserve"> </w:t>
      </w:r>
      <w:r w:rsidRPr="000E5420">
        <w:t>plan</w:t>
      </w:r>
      <w:r w:rsidRPr="000E5420">
        <w:rPr>
          <w:spacing w:val="-3"/>
        </w:rPr>
        <w:t xml:space="preserve"> </w:t>
      </w:r>
      <w:r w:rsidRPr="000E5420">
        <w:t>to</w:t>
      </w:r>
      <w:r w:rsidRPr="000E5420">
        <w:rPr>
          <w:spacing w:val="-5"/>
        </w:rPr>
        <w:t xml:space="preserve"> </w:t>
      </w:r>
      <w:r w:rsidRPr="000E5420">
        <w:t>submit</w:t>
      </w:r>
      <w:r w:rsidRPr="000E5420">
        <w:rPr>
          <w:spacing w:val="-6"/>
        </w:rPr>
        <w:t xml:space="preserve"> </w:t>
      </w:r>
      <w:r w:rsidRPr="000E5420">
        <w:t xml:space="preserve">comprehensive clinical data of the medicine </w:t>
      </w:r>
      <w:r w:rsidR="000E5420" w:rsidRPr="000E5420">
        <w:t>(</w:t>
      </w:r>
      <w:r w:rsidRPr="000E5420">
        <w:t>the proposed confirmatory study plan</w:t>
      </w:r>
      <w:r w:rsidR="00E45BC4">
        <w:t xml:space="preserve"> for Study</w:t>
      </w:r>
      <w:r w:rsidRPr="000E5420">
        <w:t xml:space="preserve"> ICP-CL-00128</w:t>
      </w:r>
      <w:r w:rsidR="007E0F10">
        <w:t xml:space="preserve"> </w:t>
      </w:r>
      <w:r w:rsidR="00FF090C">
        <w:t xml:space="preserve">is </w:t>
      </w:r>
      <w:r w:rsidR="00B83C5D">
        <w:t>summarised</w:t>
      </w:r>
      <w:r w:rsidR="00871389">
        <w:t xml:space="preserve"> </w:t>
      </w:r>
      <w:r w:rsidR="00832818">
        <w:t xml:space="preserve">in </w:t>
      </w:r>
      <w:r w:rsidR="00751180">
        <w:t xml:space="preserve">figure 1 below and in </w:t>
      </w:r>
      <w:r w:rsidR="00832818">
        <w:t xml:space="preserve">figure </w:t>
      </w:r>
      <w:r w:rsidR="00751180">
        <w:t xml:space="preserve">9 on </w:t>
      </w:r>
      <w:r w:rsidR="00832818">
        <w:t xml:space="preserve">page </w:t>
      </w:r>
      <w:r w:rsidR="00D54BFB">
        <w:t>5</w:t>
      </w:r>
      <w:r w:rsidR="00E0223B">
        <w:t>0</w:t>
      </w:r>
      <w:r w:rsidR="00FE468A">
        <w:t>)</w:t>
      </w:r>
      <w:r w:rsidR="00E45BC4">
        <w:t>.</w:t>
      </w:r>
      <w:r w:rsidR="00966532">
        <w:t xml:space="preserve"> </w:t>
      </w:r>
    </w:p>
    <w:p w14:paraId="3B4E2D38" w14:textId="593DC5DE" w:rsidR="00751180" w:rsidRDefault="00751180" w:rsidP="00871389">
      <w:pPr>
        <w:pStyle w:val="FigureTitle"/>
        <w:spacing w:before="120"/>
      </w:pPr>
      <w:r>
        <w:t>Figure 1: Study design for Study</w:t>
      </w:r>
      <w:r w:rsidRPr="000E5420">
        <w:t xml:space="preserve"> ICP-CL-00128</w:t>
      </w:r>
    </w:p>
    <w:p w14:paraId="1052356B" w14:textId="05E92070" w:rsidR="008E63F6" w:rsidRDefault="00FF090C" w:rsidP="003B5DC2">
      <w:r w:rsidRPr="00FF090C">
        <w:rPr>
          <w:noProof/>
        </w:rPr>
        <w:drawing>
          <wp:inline distT="0" distB="0" distL="0" distR="0" wp14:anchorId="5B8E1A97" wp14:editId="28184FFC">
            <wp:extent cx="5043600" cy="1958400"/>
            <wp:effectExtent l="0" t="0" r="5080" b="3810"/>
            <wp:docPr id="1669608526" name="Picture 1" descr="Figure 1: Study design for Study ICP-CL-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608526" name="Picture 1" descr="Figure 1: Study design for Study ICP-CL-00128."/>
                    <pic:cNvPicPr/>
                  </pic:nvPicPr>
                  <pic:blipFill>
                    <a:blip r:embed="rId23"/>
                    <a:stretch>
                      <a:fillRect/>
                    </a:stretch>
                  </pic:blipFill>
                  <pic:spPr>
                    <a:xfrm>
                      <a:off x="0" y="0"/>
                      <a:ext cx="5043600" cy="1958400"/>
                    </a:xfrm>
                    <a:prstGeom prst="rect">
                      <a:avLst/>
                    </a:prstGeom>
                  </pic:spPr>
                </pic:pic>
              </a:graphicData>
            </a:graphic>
          </wp:inline>
        </w:drawing>
      </w:r>
    </w:p>
    <w:p w14:paraId="5459D918" w14:textId="72FA8877" w:rsidR="00A33121" w:rsidRPr="00D12E15" w:rsidRDefault="00A33121" w:rsidP="003B5DC2">
      <w:r>
        <w:t>At the time of</w:t>
      </w:r>
      <w:r w:rsidR="00E45BC4">
        <w:t xml:space="preserve"> the</w:t>
      </w:r>
      <w:r>
        <w:t xml:space="preserve"> TGA’s assessment, </w:t>
      </w:r>
      <w:r w:rsidR="00D12E15">
        <w:t>Study</w:t>
      </w:r>
      <w:r w:rsidR="00D12E15">
        <w:rPr>
          <w:spacing w:val="-8"/>
        </w:rPr>
        <w:t xml:space="preserve"> </w:t>
      </w:r>
      <w:r w:rsidR="00D12E15">
        <w:t>ICP-CL-00128</w:t>
      </w:r>
      <w:r w:rsidR="00D12E15">
        <w:rPr>
          <w:spacing w:val="-5"/>
        </w:rPr>
        <w:t xml:space="preserve"> </w:t>
      </w:r>
      <w:r w:rsidR="00D12E15">
        <w:t>ha</w:t>
      </w:r>
      <w:r w:rsidR="00702D0D">
        <w:t>d</w:t>
      </w:r>
      <w:r w:rsidR="00D12E15">
        <w:rPr>
          <w:spacing w:val="-3"/>
        </w:rPr>
        <w:t xml:space="preserve"> </w:t>
      </w:r>
      <w:r w:rsidR="00D12E15">
        <w:t>commenced</w:t>
      </w:r>
      <w:r w:rsidR="00D12E15">
        <w:rPr>
          <w:spacing w:val="-5"/>
        </w:rPr>
        <w:t xml:space="preserve"> </w:t>
      </w:r>
      <w:r w:rsidR="00D12E15">
        <w:t>enrolment</w:t>
      </w:r>
      <w:r w:rsidR="00D12E15">
        <w:rPr>
          <w:spacing w:val="-8"/>
        </w:rPr>
        <w:t xml:space="preserve"> </w:t>
      </w:r>
      <w:r w:rsidR="00D12E15">
        <w:t>in</w:t>
      </w:r>
      <w:r w:rsidR="00D12E15">
        <w:rPr>
          <w:spacing w:val="-5"/>
        </w:rPr>
        <w:t xml:space="preserve"> </w:t>
      </w:r>
      <w:r w:rsidR="00D12E15">
        <w:t>China</w:t>
      </w:r>
      <w:r w:rsidR="00D12E15">
        <w:rPr>
          <w:spacing w:val="-7"/>
        </w:rPr>
        <w:t xml:space="preserve"> </w:t>
      </w:r>
      <w:r w:rsidR="00D12E15">
        <w:t>and</w:t>
      </w:r>
      <w:r w:rsidR="00D12E15">
        <w:rPr>
          <w:spacing w:val="-6"/>
        </w:rPr>
        <w:t xml:space="preserve"> </w:t>
      </w:r>
      <w:r w:rsidR="00D12E15">
        <w:t>Clinical</w:t>
      </w:r>
      <w:r w:rsidR="00D12E15">
        <w:rPr>
          <w:spacing w:val="-4"/>
        </w:rPr>
        <w:t xml:space="preserve"> </w:t>
      </w:r>
      <w:r w:rsidR="00D12E15">
        <w:t>Trial</w:t>
      </w:r>
      <w:r w:rsidR="00D12E15">
        <w:rPr>
          <w:spacing w:val="-5"/>
        </w:rPr>
        <w:t xml:space="preserve"> </w:t>
      </w:r>
      <w:r w:rsidR="00D12E15">
        <w:t>Application</w:t>
      </w:r>
      <w:r w:rsidR="00D12E15">
        <w:rPr>
          <w:spacing w:val="-5"/>
        </w:rPr>
        <w:t xml:space="preserve"> </w:t>
      </w:r>
      <w:r w:rsidR="00D12E15">
        <w:rPr>
          <w:spacing w:val="-2"/>
        </w:rPr>
        <w:t>filings.</w:t>
      </w:r>
    </w:p>
    <w:p w14:paraId="546C1031" w14:textId="6855FD94" w:rsidR="0017005C" w:rsidRDefault="00131B1B" w:rsidP="0017005C">
      <w:pPr>
        <w:pStyle w:val="Heading4"/>
      </w:pPr>
      <w:bookmarkStart w:id="23" w:name="_Toc241844850"/>
      <w:r>
        <w:t xml:space="preserve">International </w:t>
      </w:r>
      <w:r w:rsidR="0017005C" w:rsidRPr="00BD5DBD">
        <w:t>regulatory</w:t>
      </w:r>
      <w:r w:rsidR="0017005C">
        <w:t xml:space="preserve"> status</w:t>
      </w:r>
      <w:r w:rsidR="00B0677E">
        <w:t xml:space="preserve"> at the time of this assessment</w:t>
      </w:r>
      <w:bookmarkEnd w:id="23"/>
    </w:p>
    <w:p w14:paraId="1504A635" w14:textId="1F486FA6" w:rsidR="007F2A41" w:rsidRDefault="000C031B" w:rsidP="003B5DC2">
      <w:pPr>
        <w:rPr>
          <w:spacing w:val="-2"/>
        </w:rPr>
      </w:pPr>
      <w:r w:rsidRPr="00BD5DBD">
        <w:t xml:space="preserve">At the time the TGA </w:t>
      </w:r>
      <w:r>
        <w:t>assessed</w:t>
      </w:r>
      <w:r w:rsidRPr="00BD5DBD">
        <w:t xml:space="preserve"> this submission</w:t>
      </w:r>
      <w:r>
        <w:t>, t</w:t>
      </w:r>
      <w:r w:rsidR="007F2A41">
        <w:t>he</w:t>
      </w:r>
      <w:r w:rsidR="007F2A41">
        <w:rPr>
          <w:spacing w:val="-3"/>
        </w:rPr>
        <w:t xml:space="preserve"> </w:t>
      </w:r>
      <w:r w:rsidR="000A68BC">
        <w:t>international</w:t>
      </w:r>
      <w:r w:rsidR="007F2A41">
        <w:rPr>
          <w:spacing w:val="-4"/>
        </w:rPr>
        <w:t xml:space="preserve"> </w:t>
      </w:r>
      <w:r w:rsidR="007F2A41">
        <w:t>regulatory</w:t>
      </w:r>
      <w:r w:rsidR="007F2A41">
        <w:rPr>
          <w:spacing w:val="-4"/>
        </w:rPr>
        <w:t xml:space="preserve"> </w:t>
      </w:r>
      <w:r w:rsidR="007F2A41">
        <w:t>status</w:t>
      </w:r>
      <w:r w:rsidR="007F2A41">
        <w:rPr>
          <w:spacing w:val="-2"/>
        </w:rPr>
        <w:t xml:space="preserve"> </w:t>
      </w:r>
      <w:r w:rsidR="007F2A41">
        <w:t>of</w:t>
      </w:r>
      <w:r w:rsidR="007F2A41">
        <w:rPr>
          <w:spacing w:val="-3"/>
        </w:rPr>
        <w:t xml:space="preserve"> </w:t>
      </w:r>
      <w:r w:rsidR="004E5497">
        <w:t>orelabrutinib</w:t>
      </w:r>
      <w:r w:rsidR="007F2A41">
        <w:rPr>
          <w:spacing w:val="-2"/>
        </w:rPr>
        <w:t xml:space="preserve"> </w:t>
      </w:r>
      <w:r w:rsidR="007F2A41">
        <w:t>was</w:t>
      </w:r>
      <w:r w:rsidR="007F2A41">
        <w:rPr>
          <w:spacing w:val="-3"/>
        </w:rPr>
        <w:t xml:space="preserve"> </w:t>
      </w:r>
      <w:r w:rsidR="007F2A41">
        <w:t xml:space="preserve">as </w:t>
      </w:r>
      <w:r w:rsidR="007F2A41">
        <w:rPr>
          <w:spacing w:val="-2"/>
        </w:rPr>
        <w:t>follows</w:t>
      </w:r>
      <w:r w:rsidR="00871389">
        <w:rPr>
          <w:spacing w:val="-2"/>
        </w:rPr>
        <w:t xml:space="preserve"> (table 1)</w:t>
      </w:r>
      <w:r>
        <w:rPr>
          <w:spacing w:val="-2"/>
        </w:rPr>
        <w:t>.</w:t>
      </w:r>
    </w:p>
    <w:p w14:paraId="367E2AF5" w14:textId="77777777" w:rsidR="00166855" w:rsidRDefault="00166855" w:rsidP="00166855">
      <w:pPr>
        <w:pStyle w:val="TableTitle"/>
        <w:spacing w:after="240"/>
      </w:pPr>
      <w:r>
        <w:lastRenderedPageBreak/>
        <w:t>Table 1: International regulatory status at the time of this assessment</w:t>
      </w:r>
    </w:p>
    <w:p w14:paraId="56ED9FED" w14:textId="5E581B0E" w:rsidR="00F62744" w:rsidRDefault="00441EC1" w:rsidP="00BD066D">
      <w:r>
        <w:rPr>
          <w:noProof/>
        </w:rPr>
        <w:drawing>
          <wp:inline distT="0" distB="0" distL="0" distR="0" wp14:anchorId="089B50D2" wp14:editId="03A5308B">
            <wp:extent cx="5763260" cy="2238375"/>
            <wp:effectExtent l="0" t="0" r="8890" b="9525"/>
            <wp:docPr id="1664260354" name="图片 1" descr="Table 1: International regulatory status at the time of this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260354" name="图片 1" descr="Table 1: International regulatory status at the time of this assessment"/>
                    <pic:cNvPicPr/>
                  </pic:nvPicPr>
                  <pic:blipFill>
                    <a:blip r:embed="rId24"/>
                    <a:stretch>
                      <a:fillRect/>
                    </a:stretch>
                  </pic:blipFill>
                  <pic:spPr>
                    <a:xfrm>
                      <a:off x="0" y="0"/>
                      <a:ext cx="5763260" cy="2238375"/>
                    </a:xfrm>
                    <a:prstGeom prst="rect">
                      <a:avLst/>
                    </a:prstGeom>
                  </pic:spPr>
                </pic:pic>
              </a:graphicData>
            </a:graphic>
          </wp:inline>
        </w:drawing>
      </w:r>
    </w:p>
    <w:p w14:paraId="3242A5C9" w14:textId="732A152F" w:rsidR="000A148D" w:rsidRDefault="00975B38" w:rsidP="00BD066D">
      <w:r>
        <w:t>The</w:t>
      </w:r>
      <w:r w:rsidR="00FB2F1A">
        <w:t xml:space="preserve"> applicant</w:t>
      </w:r>
      <w:r w:rsidR="00356072">
        <w:t xml:space="preserve"> also stated in their pre-submission presentation</w:t>
      </w:r>
      <w:r>
        <w:t xml:space="preserve"> that orelabrutinib</w:t>
      </w:r>
      <w:r w:rsidR="000A148D">
        <w:t>:</w:t>
      </w:r>
    </w:p>
    <w:p w14:paraId="459D5EDD" w14:textId="768A0952" w:rsidR="000A148D" w:rsidRDefault="00BD066D" w:rsidP="000A148D">
      <w:pPr>
        <w:pStyle w:val="ListBullet"/>
      </w:pPr>
      <w:r>
        <w:t>was conditionally approved in China for R/R MCL in 2020</w:t>
      </w:r>
    </w:p>
    <w:p w14:paraId="3106CDD3" w14:textId="667DB52C" w:rsidR="00BD066D" w:rsidRDefault="00BD066D" w:rsidP="000A148D">
      <w:pPr>
        <w:pStyle w:val="ListBullet"/>
      </w:pPr>
      <w:r>
        <w:t>received breakthrough therapy designation by the</w:t>
      </w:r>
      <w:r w:rsidR="00877242">
        <w:t xml:space="preserve"> Food and Drug Administration (</w:t>
      </w:r>
      <w:r>
        <w:t>FDA</w:t>
      </w:r>
      <w:r w:rsidR="00877242">
        <w:t>)</w:t>
      </w:r>
      <w:r>
        <w:t xml:space="preserve"> in 2021</w:t>
      </w:r>
    </w:p>
    <w:p w14:paraId="332BE42C" w14:textId="7F9C51C4" w:rsidR="00BD066D" w:rsidRDefault="00BD066D" w:rsidP="000A148D">
      <w:pPr>
        <w:pStyle w:val="ListBullet"/>
      </w:pPr>
      <w:r>
        <w:t>received orphan drug designation by the FDA in 2022.</w:t>
      </w:r>
    </w:p>
    <w:p w14:paraId="6D92589C" w14:textId="09786CEF" w:rsidR="00324B33" w:rsidRDefault="00324B33" w:rsidP="00324B33">
      <w:pPr>
        <w:pStyle w:val="Heading2"/>
      </w:pPr>
      <w:bookmarkStart w:id="24" w:name="_Toc504480011"/>
      <w:bookmarkStart w:id="25" w:name="_Toc103679293"/>
      <w:bookmarkStart w:id="26" w:name="_Toc241844851"/>
      <w:r>
        <w:t>Registration timeline</w:t>
      </w:r>
      <w:bookmarkEnd w:id="24"/>
      <w:bookmarkEnd w:id="25"/>
      <w:bookmarkEnd w:id="26"/>
    </w:p>
    <w:p w14:paraId="1B885475" w14:textId="31A98FD2" w:rsidR="00535DFE" w:rsidRDefault="00324B33" w:rsidP="00324B33">
      <w:pPr>
        <w:rPr>
          <w:szCs w:val="22"/>
        </w:rPr>
      </w:pPr>
      <w:r w:rsidRPr="00BD5DBD">
        <w:rPr>
          <w:szCs w:val="22"/>
        </w:rPr>
        <w:t>The following table captures the key steps and dates for this submission.</w:t>
      </w:r>
      <w:r w:rsidR="00A607B4">
        <w:rPr>
          <w:szCs w:val="22"/>
        </w:rPr>
        <w:t xml:space="preserve"> </w:t>
      </w:r>
      <w:r w:rsidR="00535DFE" w:rsidRPr="00BD5DBD">
        <w:rPr>
          <w:szCs w:val="22"/>
        </w:rPr>
        <w:t xml:space="preserve">This submission was evaluated under the </w:t>
      </w:r>
      <w:hyperlink r:id="rId25" w:history="1">
        <w:r w:rsidR="00535DFE" w:rsidRPr="00BD5DBD">
          <w:rPr>
            <w:rStyle w:val="Hyperlink"/>
            <w:szCs w:val="22"/>
          </w:rPr>
          <w:t>provisional registration process</w:t>
        </w:r>
      </w:hyperlink>
      <w:r w:rsidR="00535DFE" w:rsidRPr="00BD5DBD">
        <w:rPr>
          <w:szCs w:val="22"/>
        </w:rPr>
        <w:t>.</w:t>
      </w:r>
    </w:p>
    <w:p w14:paraId="44628C5F" w14:textId="79DB1487" w:rsidR="00324B33" w:rsidRPr="007560B1" w:rsidRDefault="00324B33" w:rsidP="002C1232">
      <w:pPr>
        <w:pStyle w:val="TableTitle"/>
      </w:pPr>
      <w:r w:rsidRPr="002C1232">
        <w:t xml:space="preserve">Table </w:t>
      </w:r>
      <w:fldSimple w:instr=" SEQ Table \* ARABIC ">
        <w:r w:rsidR="008B1CB5" w:rsidRPr="002C1232">
          <w:t>2</w:t>
        </w:r>
      </w:fldSimple>
      <w:r w:rsidRPr="002C1232">
        <w:t xml:space="preserve">: </w:t>
      </w:r>
      <w:r w:rsidR="00535BF3">
        <w:t>Registration t</w:t>
      </w:r>
      <w:r w:rsidRPr="002C1232">
        <w:t xml:space="preserve">imeline </w:t>
      </w:r>
      <w:r w:rsidRPr="007560B1">
        <w:t xml:space="preserve">for Submission </w:t>
      </w:r>
      <w:r w:rsidR="007560B1" w:rsidRPr="007560B1">
        <w:t>PM-2025-00463-1-4</w:t>
      </w:r>
    </w:p>
    <w:tbl>
      <w:tblPr>
        <w:tblStyle w:val="TableTGAblue2023"/>
        <w:tblW w:w="8642" w:type="dxa"/>
        <w:tblLook w:val="04A0" w:firstRow="1" w:lastRow="0" w:firstColumn="1" w:lastColumn="0" w:noHBand="0" w:noVBand="1"/>
      </w:tblPr>
      <w:tblGrid>
        <w:gridCol w:w="6091"/>
        <w:gridCol w:w="2551"/>
      </w:tblGrid>
      <w:tr w:rsidR="00324B33" w:rsidRPr="00D01DDB" w14:paraId="6C59BE9C" w14:textId="77777777" w:rsidTr="007062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16D80E78" w14:textId="3EC0CCAF" w:rsidR="00324B33" w:rsidRPr="00D01DDB" w:rsidRDefault="00324B33" w:rsidP="00324B33">
            <w:pPr>
              <w:rPr>
                <w:szCs w:val="22"/>
              </w:rPr>
            </w:pPr>
            <w:r w:rsidRPr="00D01DDB">
              <w:rPr>
                <w:szCs w:val="22"/>
              </w:rPr>
              <w:t>Description</w:t>
            </w:r>
          </w:p>
        </w:tc>
        <w:tc>
          <w:tcPr>
            <w:tcW w:w="2551" w:type="dxa"/>
          </w:tcPr>
          <w:p w14:paraId="79AFDC4B" w14:textId="05792035" w:rsidR="00324B33" w:rsidRPr="00D01DDB" w:rsidRDefault="00324B33" w:rsidP="00324B33">
            <w:pPr>
              <w:cnfStyle w:val="100000000000" w:firstRow="1" w:lastRow="0" w:firstColumn="0" w:lastColumn="0" w:oddVBand="0" w:evenVBand="0" w:oddHBand="0" w:evenHBand="0" w:firstRowFirstColumn="0" w:firstRowLastColumn="0" w:lastRowFirstColumn="0" w:lastRowLastColumn="0"/>
              <w:rPr>
                <w:szCs w:val="22"/>
              </w:rPr>
            </w:pPr>
            <w:r w:rsidRPr="00D01DDB">
              <w:rPr>
                <w:szCs w:val="22"/>
              </w:rPr>
              <w:t>Date</w:t>
            </w:r>
          </w:p>
        </w:tc>
      </w:tr>
      <w:tr w:rsidR="00324B33" w:rsidRPr="00D01DDB" w14:paraId="1398460B" w14:textId="77777777" w:rsidTr="007062BB">
        <w:tc>
          <w:tcPr>
            <w:cnfStyle w:val="001000000000" w:firstRow="0" w:lastRow="0" w:firstColumn="1" w:lastColumn="0" w:oddVBand="0" w:evenVBand="0" w:oddHBand="0" w:evenHBand="0" w:firstRowFirstColumn="0" w:firstRowLastColumn="0" w:lastRowFirstColumn="0" w:lastRowLastColumn="0"/>
            <w:tcW w:w="6091" w:type="dxa"/>
          </w:tcPr>
          <w:p w14:paraId="1106CC1E" w14:textId="56269E33" w:rsidR="00324B33" w:rsidRPr="00E679D1" w:rsidRDefault="00324B33" w:rsidP="00E679D1">
            <w:r w:rsidRPr="00E679D1">
              <w:t>Designation (Orphan)</w:t>
            </w:r>
          </w:p>
        </w:tc>
        <w:tc>
          <w:tcPr>
            <w:tcW w:w="2551" w:type="dxa"/>
          </w:tcPr>
          <w:p w14:paraId="4CD143CF" w14:textId="5A5CC9AB" w:rsidR="00324B33" w:rsidRPr="00D01DDB" w:rsidRDefault="00D930DE"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19 December 2024</w:t>
            </w:r>
          </w:p>
        </w:tc>
      </w:tr>
      <w:tr w:rsidR="00324B33" w:rsidRPr="00D01DDB" w14:paraId="0556FE3C" w14:textId="77777777" w:rsidTr="007062BB">
        <w:tc>
          <w:tcPr>
            <w:cnfStyle w:val="001000000000" w:firstRow="0" w:lastRow="0" w:firstColumn="1" w:lastColumn="0" w:oddVBand="0" w:evenVBand="0" w:oddHBand="0" w:evenHBand="0" w:firstRowFirstColumn="0" w:firstRowLastColumn="0" w:lastRowFirstColumn="0" w:lastRowLastColumn="0"/>
            <w:tcW w:w="6091" w:type="dxa"/>
          </w:tcPr>
          <w:p w14:paraId="49DFA3AA" w14:textId="0F93ADD3" w:rsidR="00324B33" w:rsidRPr="00E679D1" w:rsidRDefault="00324B33" w:rsidP="00E679D1">
            <w:r w:rsidRPr="00E679D1">
              <w:t>Determination (Provisional)</w:t>
            </w:r>
          </w:p>
        </w:tc>
        <w:tc>
          <w:tcPr>
            <w:tcW w:w="2551" w:type="dxa"/>
          </w:tcPr>
          <w:p w14:paraId="239696E3" w14:textId="02013986" w:rsidR="00324B33" w:rsidRPr="00D01DDB" w:rsidRDefault="00BB60FF"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19 December 2024</w:t>
            </w:r>
          </w:p>
        </w:tc>
      </w:tr>
      <w:tr w:rsidR="00324B33" w:rsidRPr="00D01DDB" w14:paraId="23610C53" w14:textId="77777777" w:rsidTr="007062BB">
        <w:tc>
          <w:tcPr>
            <w:cnfStyle w:val="001000000000" w:firstRow="0" w:lastRow="0" w:firstColumn="1" w:lastColumn="0" w:oddVBand="0" w:evenVBand="0" w:oddHBand="0" w:evenHBand="0" w:firstRowFirstColumn="0" w:firstRowLastColumn="0" w:lastRowFirstColumn="0" w:lastRowLastColumn="0"/>
            <w:tcW w:w="6091" w:type="dxa"/>
          </w:tcPr>
          <w:p w14:paraId="759D2A12" w14:textId="0D705F83" w:rsidR="00324B33" w:rsidRPr="00E679D1" w:rsidRDefault="00324B33" w:rsidP="00E679D1">
            <w:r w:rsidRPr="00E679D1">
              <w:t>Submission dossier accepted and first round evaluation commenced</w:t>
            </w:r>
          </w:p>
        </w:tc>
        <w:tc>
          <w:tcPr>
            <w:tcW w:w="2551" w:type="dxa"/>
          </w:tcPr>
          <w:p w14:paraId="2963D9D8" w14:textId="355F3332" w:rsidR="00324B33" w:rsidRPr="00D01DDB" w:rsidRDefault="00FF7EC6"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 xml:space="preserve">31 March </w:t>
            </w:r>
            <w:r w:rsidR="00B96CAE">
              <w:rPr>
                <w:szCs w:val="22"/>
              </w:rPr>
              <w:t>2025</w:t>
            </w:r>
          </w:p>
        </w:tc>
      </w:tr>
      <w:tr w:rsidR="00803926" w:rsidRPr="00D01DDB" w14:paraId="16D13F79" w14:textId="77777777" w:rsidTr="007062BB">
        <w:tc>
          <w:tcPr>
            <w:cnfStyle w:val="001000000000" w:firstRow="0" w:lastRow="0" w:firstColumn="1" w:lastColumn="0" w:oddVBand="0" w:evenVBand="0" w:oddHBand="0" w:evenHBand="0" w:firstRowFirstColumn="0" w:firstRowLastColumn="0" w:lastRowFirstColumn="0" w:lastRowLastColumn="0"/>
            <w:tcW w:w="6091" w:type="dxa"/>
          </w:tcPr>
          <w:p w14:paraId="6858B45A" w14:textId="615A218B" w:rsidR="00803926" w:rsidRPr="00E679D1" w:rsidDel="00C62B1C" w:rsidRDefault="00803926" w:rsidP="00E679D1">
            <w:r>
              <w:t>Evaluation completed</w:t>
            </w:r>
            <w:r w:rsidR="005775D0">
              <w:t xml:space="preserve"> </w:t>
            </w:r>
            <w:r w:rsidR="005775D0" w:rsidRPr="00B96CAE">
              <w:rPr>
                <w:color w:val="auto"/>
                <w:szCs w:val="22"/>
              </w:rPr>
              <w:t xml:space="preserve">(End of round </w:t>
            </w:r>
            <w:r w:rsidR="00C00844" w:rsidRPr="00B96CAE">
              <w:rPr>
                <w:color w:val="auto"/>
                <w:szCs w:val="22"/>
              </w:rPr>
              <w:t>2)</w:t>
            </w:r>
          </w:p>
        </w:tc>
        <w:tc>
          <w:tcPr>
            <w:tcW w:w="2551" w:type="dxa"/>
          </w:tcPr>
          <w:p w14:paraId="2E0BD403" w14:textId="248C4648" w:rsidR="00803926" w:rsidRPr="00D01DDB" w:rsidRDefault="00590CC3"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14 November 2025</w:t>
            </w:r>
          </w:p>
        </w:tc>
      </w:tr>
      <w:tr w:rsidR="00324B33" w:rsidRPr="00D01DDB" w14:paraId="5754F7AC" w14:textId="77777777" w:rsidTr="007062BB">
        <w:tc>
          <w:tcPr>
            <w:cnfStyle w:val="001000000000" w:firstRow="0" w:lastRow="0" w:firstColumn="1" w:lastColumn="0" w:oddVBand="0" w:evenVBand="0" w:oddHBand="0" w:evenHBand="0" w:firstRowFirstColumn="0" w:firstRowLastColumn="0" w:lastRowFirstColumn="0" w:lastRowLastColumn="0"/>
            <w:tcW w:w="6091" w:type="dxa"/>
          </w:tcPr>
          <w:p w14:paraId="789DE187" w14:textId="438F4A68" w:rsidR="00324B33" w:rsidRPr="00E679D1" w:rsidRDefault="00324B33" w:rsidP="00E679D1">
            <w:r w:rsidRPr="00E679D1">
              <w:t xml:space="preserve">Advisory </w:t>
            </w:r>
            <w:r w:rsidR="00F8568E">
              <w:t>c</w:t>
            </w:r>
            <w:r w:rsidRPr="00E679D1">
              <w:t>ommittee meeting</w:t>
            </w:r>
          </w:p>
        </w:tc>
        <w:tc>
          <w:tcPr>
            <w:tcW w:w="2551" w:type="dxa"/>
          </w:tcPr>
          <w:p w14:paraId="5BE1EDE7" w14:textId="4D62B903" w:rsidR="00324B33" w:rsidRPr="00D01DDB" w:rsidRDefault="00A40449"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April 2026</w:t>
            </w:r>
          </w:p>
        </w:tc>
      </w:tr>
      <w:tr w:rsidR="00324B33" w:rsidRPr="00D01DDB" w14:paraId="6E5D32FE" w14:textId="77777777" w:rsidTr="007062BB">
        <w:tc>
          <w:tcPr>
            <w:cnfStyle w:val="001000000000" w:firstRow="0" w:lastRow="0" w:firstColumn="1" w:lastColumn="0" w:oddVBand="0" w:evenVBand="0" w:oddHBand="0" w:evenHBand="0" w:firstRowFirstColumn="0" w:firstRowLastColumn="0" w:lastRowFirstColumn="0" w:lastRowLastColumn="0"/>
            <w:tcW w:w="6091" w:type="dxa"/>
          </w:tcPr>
          <w:p w14:paraId="4E95C44C" w14:textId="7A91C710" w:rsidR="00324B33" w:rsidRPr="00E679D1" w:rsidRDefault="00324B33" w:rsidP="00E679D1">
            <w:r w:rsidRPr="00E679D1">
              <w:t>Registration decision (Outcome)</w:t>
            </w:r>
          </w:p>
        </w:tc>
        <w:tc>
          <w:tcPr>
            <w:tcW w:w="2551" w:type="dxa"/>
          </w:tcPr>
          <w:p w14:paraId="62987ABD" w14:textId="7DC474A3" w:rsidR="00324B33" w:rsidRPr="00D01DDB" w:rsidRDefault="006C4003"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26 May 2026</w:t>
            </w:r>
          </w:p>
        </w:tc>
      </w:tr>
      <w:tr w:rsidR="00324B33" w:rsidRPr="00D01DDB" w14:paraId="6DDCDDA4" w14:textId="77777777" w:rsidTr="007062BB">
        <w:tc>
          <w:tcPr>
            <w:cnfStyle w:val="001000000000" w:firstRow="0" w:lastRow="0" w:firstColumn="1" w:lastColumn="0" w:oddVBand="0" w:evenVBand="0" w:oddHBand="0" w:evenHBand="0" w:firstRowFirstColumn="0" w:firstRowLastColumn="0" w:lastRowFirstColumn="0" w:lastRowLastColumn="0"/>
            <w:tcW w:w="6091" w:type="dxa"/>
          </w:tcPr>
          <w:p w14:paraId="192FD19D" w14:textId="1687F0FE" w:rsidR="00324B33" w:rsidRPr="00E679D1" w:rsidRDefault="00C00844" w:rsidP="009238F7">
            <w:r>
              <w:t>R</w:t>
            </w:r>
            <w:r w:rsidR="0013132F" w:rsidRPr="00E679D1">
              <w:t xml:space="preserve">egistration </w:t>
            </w:r>
            <w:r w:rsidR="005C4B46" w:rsidRPr="00E679D1">
              <w:t xml:space="preserve">in </w:t>
            </w:r>
            <w:r w:rsidR="0013132F" w:rsidRPr="00E679D1">
              <w:t>the ARTG completed</w:t>
            </w:r>
          </w:p>
        </w:tc>
        <w:tc>
          <w:tcPr>
            <w:tcW w:w="2551" w:type="dxa"/>
          </w:tcPr>
          <w:p w14:paraId="5A8923FD" w14:textId="5A27A8FB" w:rsidR="00324B33" w:rsidRPr="00D01DDB" w:rsidRDefault="006C4003"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3 June 2026</w:t>
            </w:r>
          </w:p>
        </w:tc>
      </w:tr>
      <w:tr w:rsidR="00324B33" w:rsidRPr="00D01DDB" w14:paraId="56D922E2" w14:textId="77777777" w:rsidTr="007062BB">
        <w:tc>
          <w:tcPr>
            <w:cnfStyle w:val="001000000000" w:firstRow="0" w:lastRow="0" w:firstColumn="1" w:lastColumn="0" w:oddVBand="0" w:evenVBand="0" w:oddHBand="0" w:evenHBand="0" w:firstRowFirstColumn="0" w:firstRowLastColumn="0" w:lastRowFirstColumn="0" w:lastRowLastColumn="0"/>
            <w:tcW w:w="6091" w:type="dxa"/>
          </w:tcPr>
          <w:p w14:paraId="787FD8DD" w14:textId="0E0CF97F" w:rsidR="00324B33" w:rsidRPr="00E679D1" w:rsidRDefault="00324B33" w:rsidP="00E679D1">
            <w:r w:rsidRPr="00E679D1">
              <w:t>Number of working days from submission dossier acceptance to registration decision*</w:t>
            </w:r>
          </w:p>
        </w:tc>
        <w:tc>
          <w:tcPr>
            <w:tcW w:w="2551" w:type="dxa"/>
          </w:tcPr>
          <w:p w14:paraId="5BAF9FA1" w14:textId="66C909D2" w:rsidR="00324B33" w:rsidRPr="00D01DDB" w:rsidRDefault="00270176" w:rsidP="00324B33">
            <w:pPr>
              <w:cnfStyle w:val="000000000000" w:firstRow="0" w:lastRow="0" w:firstColumn="0" w:lastColumn="0" w:oddVBand="0" w:evenVBand="0" w:oddHBand="0" w:evenHBand="0" w:firstRowFirstColumn="0" w:firstRowLastColumn="0" w:lastRowFirstColumn="0" w:lastRowLastColumn="0"/>
              <w:rPr>
                <w:szCs w:val="22"/>
              </w:rPr>
            </w:pPr>
            <w:r>
              <w:rPr>
                <w:szCs w:val="22"/>
              </w:rPr>
              <w:t>172</w:t>
            </w:r>
            <w:r w:rsidR="00B96CAE">
              <w:rPr>
                <w:szCs w:val="22"/>
              </w:rPr>
              <w:t xml:space="preserve"> days</w:t>
            </w:r>
          </w:p>
        </w:tc>
      </w:tr>
    </w:tbl>
    <w:p w14:paraId="7B02554C" w14:textId="77777777" w:rsidR="00433318" w:rsidRDefault="00433318" w:rsidP="00433318">
      <w:pPr>
        <w:pStyle w:val="TableDescription"/>
      </w:pPr>
      <w:r>
        <w:t>*</w:t>
      </w:r>
      <w:r w:rsidRPr="00BF3774">
        <w:t xml:space="preserve">Statutory </w:t>
      </w:r>
      <w:r>
        <w:t>timeframe for standard submissions is 255 working days</w:t>
      </w:r>
    </w:p>
    <w:p w14:paraId="66272C94" w14:textId="77777777" w:rsidR="00EE7608" w:rsidRDefault="00EE7608">
      <w:pPr>
        <w:rPr>
          <w:rFonts w:ascii="Arial" w:eastAsia="Times New Roman" w:hAnsi="Arial" w:cs="Times New Roman"/>
          <w:b/>
          <w:bCs/>
          <w:color w:val="001871"/>
          <w:sz w:val="38"/>
          <w:szCs w:val="38"/>
        </w:rPr>
      </w:pPr>
      <w:bookmarkStart w:id="27" w:name="_Toc196046504"/>
      <w:bookmarkStart w:id="28" w:name="_Toc247691527"/>
      <w:bookmarkStart w:id="29" w:name="_Toc314842510"/>
      <w:bookmarkStart w:id="30" w:name="_Toc103679294"/>
      <w:r>
        <w:br w:type="page"/>
      </w:r>
    </w:p>
    <w:p w14:paraId="220925F1" w14:textId="0EB23851" w:rsidR="00C22214" w:rsidRPr="00792A32" w:rsidRDefault="00083763" w:rsidP="00C22214">
      <w:pPr>
        <w:pStyle w:val="Heading2"/>
      </w:pPr>
      <w:bookmarkStart w:id="31" w:name="_Toc241844852"/>
      <w:r>
        <w:lastRenderedPageBreak/>
        <w:t xml:space="preserve">Assessment </w:t>
      </w:r>
      <w:r w:rsidR="00C22214" w:rsidRPr="00006FAB">
        <w:t>overview</w:t>
      </w:r>
      <w:bookmarkEnd w:id="31"/>
      <w:r w:rsidR="00C22214" w:rsidRPr="00006FAB">
        <w:t xml:space="preserve"> </w:t>
      </w:r>
      <w:bookmarkEnd w:id="27"/>
      <w:bookmarkEnd w:id="28"/>
      <w:bookmarkEnd w:id="29"/>
      <w:bookmarkEnd w:id="30"/>
    </w:p>
    <w:p w14:paraId="540151FC" w14:textId="77777777" w:rsidR="00C22214" w:rsidRPr="00BD5DBD" w:rsidRDefault="00C22214" w:rsidP="00BD5DBD">
      <w:pPr>
        <w:rPr>
          <w:szCs w:val="22"/>
        </w:rPr>
      </w:pPr>
      <w:bookmarkStart w:id="32" w:name="_Toc247691528"/>
      <w:bookmarkStart w:id="33" w:name="_Toc314842511"/>
      <w:r w:rsidRPr="00BD5DBD">
        <w:rPr>
          <w:szCs w:val="22"/>
        </w:rPr>
        <w:t>A summary of the TGA’s assessment for this submission is provided below.</w:t>
      </w:r>
    </w:p>
    <w:p w14:paraId="37F5A1C0" w14:textId="5D3D5FE0" w:rsidR="00C22214" w:rsidRDefault="00095C6A" w:rsidP="00C22214">
      <w:pPr>
        <w:pStyle w:val="Heading3"/>
      </w:pPr>
      <w:bookmarkStart w:id="34" w:name="_Toc103679295"/>
      <w:bookmarkStart w:id="35" w:name="_Toc241844853"/>
      <w:r>
        <w:t>Q</w:t>
      </w:r>
      <w:r w:rsidR="00C22214">
        <w:t>uality</w:t>
      </w:r>
      <w:bookmarkEnd w:id="32"/>
      <w:bookmarkEnd w:id="33"/>
      <w:bookmarkEnd w:id="34"/>
      <w:r w:rsidR="007E6443">
        <w:t xml:space="preserve"> evaluation</w:t>
      </w:r>
      <w:r>
        <w:t xml:space="preserve"> summary</w:t>
      </w:r>
      <w:bookmarkEnd w:id="35"/>
    </w:p>
    <w:p w14:paraId="447F4678" w14:textId="77777777" w:rsidR="00CA6AFF" w:rsidRPr="001C3E89" w:rsidRDefault="00CA6AFF" w:rsidP="001C3E89">
      <w:pPr>
        <w:pStyle w:val="Heading5"/>
        <w:rPr>
          <w:i w:val="0"/>
          <w:iCs/>
        </w:rPr>
      </w:pPr>
      <w:r w:rsidRPr="001C3E89">
        <w:rPr>
          <w:i w:val="0"/>
          <w:iCs/>
        </w:rPr>
        <w:t>Drug substance</w:t>
      </w:r>
    </w:p>
    <w:p w14:paraId="61BF484D" w14:textId="0C5D0EB2" w:rsidR="00CA6AFF" w:rsidRDefault="00CA6AFF" w:rsidP="00CA6AFF">
      <w:r>
        <w:t xml:space="preserve">Orelabrutinib is a white to off-white crystalline powder that is manufactured by chemical synthesis. The drug substance is practically insoluble in water. </w:t>
      </w:r>
    </w:p>
    <w:p w14:paraId="0245A298" w14:textId="77777777" w:rsidR="00CA6AFF" w:rsidRDefault="00CA6AFF" w:rsidP="00CA6AFF">
      <w:r w:rsidRPr="00CE54C7">
        <w:t>The proposed specification adequately controls the identity, potency, purity and chemical and physical properties of the drug substance relevant to the dose form.</w:t>
      </w:r>
    </w:p>
    <w:p w14:paraId="447B54EB" w14:textId="77777777" w:rsidR="00CA6AFF" w:rsidRDefault="00CA6AFF" w:rsidP="00CA6AFF">
      <w:r>
        <w:t xml:space="preserve">The impurities are controlled at or under ICH Q3A and therefore are suitably qualified. </w:t>
      </w:r>
    </w:p>
    <w:p w14:paraId="1DD2CB4F" w14:textId="77777777" w:rsidR="00CA6AFF" w:rsidRPr="00CE54C7" w:rsidRDefault="00CA6AFF" w:rsidP="00CA6AFF">
      <w:r w:rsidRPr="00CE54C7">
        <w:t>The analytical methods used to analyse the product were adequately described and validated.</w:t>
      </w:r>
    </w:p>
    <w:p w14:paraId="19AB9490" w14:textId="77777777" w:rsidR="00CA6AFF" w:rsidRPr="001C3E89" w:rsidRDefault="00CA6AFF" w:rsidP="001C3E89">
      <w:pPr>
        <w:pStyle w:val="Heading5"/>
        <w:rPr>
          <w:i w:val="0"/>
          <w:iCs/>
        </w:rPr>
      </w:pPr>
      <w:r w:rsidRPr="001C3E89">
        <w:rPr>
          <w:i w:val="0"/>
          <w:iCs/>
        </w:rPr>
        <w:t xml:space="preserve">Drug product </w:t>
      </w:r>
    </w:p>
    <w:p w14:paraId="666F0CC3" w14:textId="06871F38" w:rsidR="00CA6AFF" w:rsidRDefault="00CA6AFF" w:rsidP="00CA6AFF">
      <w:pPr>
        <w:rPr>
          <w:rFonts w:eastAsia="Times New Roman" w:cs="Times New Roman"/>
          <w:snapToGrid w:val="0"/>
          <w:kern w:val="16"/>
          <w:szCs w:val="22"/>
        </w:rPr>
      </w:pPr>
      <w:r w:rsidRPr="00471048">
        <w:rPr>
          <w:szCs w:val="22"/>
        </w:rPr>
        <w:t>The drug product is white or off-white round uncoated tablets and is packaged in a</w:t>
      </w:r>
      <w:r w:rsidR="00692BEA">
        <w:rPr>
          <w:szCs w:val="22"/>
        </w:rPr>
        <w:t xml:space="preserve"> h</w:t>
      </w:r>
      <w:r w:rsidR="00692BEA" w:rsidRPr="00692BEA">
        <w:rPr>
          <w:szCs w:val="22"/>
        </w:rPr>
        <w:t>igh-</w:t>
      </w:r>
      <w:r w:rsidR="00692BEA">
        <w:rPr>
          <w:szCs w:val="22"/>
        </w:rPr>
        <w:t>d</w:t>
      </w:r>
      <w:r w:rsidR="00692BEA" w:rsidRPr="00692BEA">
        <w:rPr>
          <w:szCs w:val="22"/>
        </w:rPr>
        <w:t xml:space="preserve">ensity </w:t>
      </w:r>
      <w:r w:rsidR="00692BEA">
        <w:rPr>
          <w:szCs w:val="22"/>
        </w:rPr>
        <w:t>p</w:t>
      </w:r>
      <w:r w:rsidR="00692BEA" w:rsidRPr="00692BEA">
        <w:rPr>
          <w:szCs w:val="22"/>
        </w:rPr>
        <w:t>olyethylene</w:t>
      </w:r>
      <w:r w:rsidR="00692BEA">
        <w:rPr>
          <w:szCs w:val="22"/>
        </w:rPr>
        <w:t xml:space="preserve"> (</w:t>
      </w:r>
      <w:r w:rsidRPr="00471048">
        <w:rPr>
          <w:szCs w:val="22"/>
        </w:rPr>
        <w:t>HDPE</w:t>
      </w:r>
      <w:r w:rsidR="00692BEA">
        <w:rPr>
          <w:szCs w:val="22"/>
        </w:rPr>
        <w:t>)</w:t>
      </w:r>
      <w:r w:rsidRPr="00471048">
        <w:rPr>
          <w:szCs w:val="22"/>
        </w:rPr>
        <w:t xml:space="preserve"> bottle with a polypropylene child resistant closure</w:t>
      </w:r>
      <w:r w:rsidRPr="00BF41FA">
        <w:rPr>
          <w:szCs w:val="22"/>
        </w:rPr>
        <w:t>. A pack size of 30 tablets is described.</w:t>
      </w:r>
      <w:r w:rsidRPr="00471048">
        <w:rPr>
          <w:rFonts w:eastAsia="Times New Roman" w:cs="Times New Roman"/>
          <w:snapToGrid w:val="0"/>
          <w:kern w:val="16"/>
          <w:szCs w:val="22"/>
        </w:rPr>
        <w:t xml:space="preserve"> </w:t>
      </w:r>
    </w:p>
    <w:p w14:paraId="13262469" w14:textId="77777777" w:rsidR="00CA6AFF" w:rsidRDefault="00CA6AFF" w:rsidP="00CA6AFF">
      <w:pPr>
        <w:pStyle w:val="Standard"/>
      </w:pPr>
      <w:r w:rsidRPr="00254526">
        <w:t>The drug product specifications adequately control the quality of the drug product at release and throughout the shelf-life.</w:t>
      </w:r>
    </w:p>
    <w:p w14:paraId="394F9CCC" w14:textId="46803324" w:rsidR="00CA6AFF" w:rsidRDefault="00CA6AFF" w:rsidP="00CA6AFF">
      <w:pPr>
        <w:rPr>
          <w:rFonts w:eastAsia="Times New Roman" w:cs="Times New Roman"/>
          <w:snapToGrid w:val="0"/>
          <w:kern w:val="16"/>
          <w:szCs w:val="22"/>
        </w:rPr>
      </w:pPr>
      <w:r>
        <w:rPr>
          <w:rFonts w:eastAsia="Times New Roman" w:cs="Times New Roman"/>
          <w:snapToGrid w:val="0"/>
          <w:kern w:val="16"/>
          <w:szCs w:val="22"/>
        </w:rPr>
        <w:t>The impurities are controlled according to</w:t>
      </w:r>
      <w:r w:rsidR="005551FC">
        <w:rPr>
          <w:rFonts w:eastAsia="Times New Roman" w:cs="Times New Roman"/>
          <w:snapToGrid w:val="0"/>
          <w:kern w:val="16"/>
          <w:szCs w:val="22"/>
        </w:rPr>
        <w:t xml:space="preserve"> </w:t>
      </w:r>
      <w:r w:rsidR="005551FC" w:rsidRPr="005551FC">
        <w:rPr>
          <w:rFonts w:eastAsia="Times New Roman" w:cs="Times New Roman"/>
          <w:snapToGrid w:val="0"/>
          <w:kern w:val="16"/>
          <w:szCs w:val="22"/>
        </w:rPr>
        <w:t xml:space="preserve">International Council for Harmonisation (ICH) guideline </w:t>
      </w:r>
      <w:r w:rsidR="005551FC" w:rsidRPr="007217BF">
        <w:rPr>
          <w:rFonts w:eastAsia="Times New Roman" w:cs="Times New Roman"/>
          <w:snapToGrid w:val="0"/>
          <w:kern w:val="16"/>
          <w:szCs w:val="22"/>
        </w:rPr>
        <w:t xml:space="preserve">- Impurities in New Drug Products </w:t>
      </w:r>
      <w:r w:rsidR="005B053E" w:rsidRPr="007217BF">
        <w:rPr>
          <w:rFonts w:eastAsia="Times New Roman" w:cs="Times New Roman"/>
          <w:snapToGrid w:val="0"/>
          <w:kern w:val="16"/>
          <w:szCs w:val="22"/>
        </w:rPr>
        <w:t>Q3B</w:t>
      </w:r>
      <w:r w:rsidR="007217BF" w:rsidRPr="007217BF">
        <w:rPr>
          <w:rFonts w:eastAsia="Times New Roman" w:cs="Times New Roman"/>
          <w:snapToGrid w:val="0"/>
          <w:kern w:val="16"/>
          <w:szCs w:val="22"/>
        </w:rPr>
        <w:t xml:space="preserve"> (R2)</w:t>
      </w:r>
      <w:r w:rsidR="007217BF">
        <w:rPr>
          <w:rFonts w:eastAsia="Times New Roman" w:cs="Times New Roman"/>
          <w:b/>
          <w:bCs/>
          <w:snapToGrid w:val="0"/>
          <w:kern w:val="16"/>
          <w:szCs w:val="22"/>
        </w:rPr>
        <w:t xml:space="preserve"> </w:t>
      </w:r>
      <w:r>
        <w:rPr>
          <w:rFonts w:eastAsia="Times New Roman" w:cs="Times New Roman"/>
          <w:snapToGrid w:val="0"/>
          <w:kern w:val="16"/>
          <w:szCs w:val="22"/>
        </w:rPr>
        <w:t xml:space="preserve">and </w:t>
      </w:r>
      <w:r w:rsidR="006A73A5">
        <w:rPr>
          <w:rFonts w:eastAsia="Times New Roman" w:cs="Times New Roman"/>
          <w:snapToGrid w:val="0"/>
          <w:kern w:val="16"/>
          <w:szCs w:val="22"/>
        </w:rPr>
        <w:t xml:space="preserve">are therefore </w:t>
      </w:r>
      <w:r>
        <w:rPr>
          <w:rFonts w:eastAsia="Times New Roman" w:cs="Times New Roman"/>
          <w:snapToGrid w:val="0"/>
          <w:kern w:val="16"/>
          <w:szCs w:val="22"/>
        </w:rPr>
        <w:t xml:space="preserve">qualified. </w:t>
      </w:r>
    </w:p>
    <w:p w14:paraId="3E3F10FB" w14:textId="77777777" w:rsidR="00CA6AFF" w:rsidRDefault="00CA6AFF" w:rsidP="00CA6AFF">
      <w:pPr>
        <w:rPr>
          <w:rFonts w:eastAsia="Times New Roman" w:cs="Times New Roman"/>
          <w:snapToGrid w:val="0"/>
          <w:kern w:val="16"/>
          <w:szCs w:val="22"/>
        </w:rPr>
      </w:pPr>
      <w:r>
        <w:rPr>
          <w:rFonts w:eastAsia="Times New Roman" w:cs="Times New Roman"/>
          <w:snapToGrid w:val="0"/>
          <w:kern w:val="16"/>
          <w:szCs w:val="22"/>
        </w:rPr>
        <w:t xml:space="preserve">The provided nitrosamine risk assessment has suitably demonstrated there is low risk for nitrosamines in the drug product. </w:t>
      </w:r>
    </w:p>
    <w:p w14:paraId="147B42FB" w14:textId="77777777" w:rsidR="00CA6AFF" w:rsidRPr="00254526" w:rsidRDefault="00CA6AFF" w:rsidP="00CA6AFF">
      <w:pPr>
        <w:pStyle w:val="Standard"/>
      </w:pPr>
      <w:r w:rsidRPr="00254526">
        <w:t>The analytical methods used to analyse the product were adequately described and validated.</w:t>
      </w:r>
    </w:p>
    <w:p w14:paraId="57C549D6" w14:textId="77777777" w:rsidR="00CA6AFF" w:rsidRPr="007C0072" w:rsidRDefault="00CA6AFF" w:rsidP="00CA6AFF">
      <w:pPr>
        <w:rPr>
          <w:rFonts w:eastAsia="Times New Roman" w:cs="Times New Roman"/>
          <w:snapToGrid w:val="0"/>
          <w:kern w:val="16"/>
          <w:szCs w:val="22"/>
        </w:rPr>
      </w:pPr>
      <w:r w:rsidRPr="007C0072">
        <w:rPr>
          <w:szCs w:val="22"/>
        </w:rPr>
        <w:t>The dissolution limits were adequately justified based on the dissolution profiles of the clinical study batches</w:t>
      </w:r>
      <w:r>
        <w:rPr>
          <w:szCs w:val="22"/>
        </w:rPr>
        <w:t xml:space="preserve"> and are discriminatory.</w:t>
      </w:r>
    </w:p>
    <w:p w14:paraId="2BEB63C5" w14:textId="77777777" w:rsidR="00CA6AFF" w:rsidRPr="001C3E89" w:rsidRDefault="00CA6AFF" w:rsidP="001C3E89">
      <w:pPr>
        <w:pStyle w:val="Heading5"/>
        <w:rPr>
          <w:i w:val="0"/>
          <w:iCs/>
        </w:rPr>
      </w:pPr>
      <w:r w:rsidRPr="001C3E89">
        <w:rPr>
          <w:i w:val="0"/>
          <w:iCs/>
        </w:rPr>
        <w:t>Biopharmaceutics</w:t>
      </w:r>
    </w:p>
    <w:p w14:paraId="005F46AD" w14:textId="77777777" w:rsidR="00CA6AFF" w:rsidRDefault="00CA6AFF" w:rsidP="001C3E89">
      <w:pPr>
        <w:rPr>
          <w:bCs/>
          <w:snapToGrid w:val="0"/>
        </w:rPr>
      </w:pPr>
      <w:r w:rsidRPr="007069E7">
        <w:rPr>
          <w:snapToGrid w:val="0"/>
        </w:rPr>
        <w:t>The drug product formulation used in the Phase 3 clinical studies is the same as the product formulation proposed for registration.  No bridging studies were required.</w:t>
      </w:r>
    </w:p>
    <w:p w14:paraId="6227009C" w14:textId="77777777" w:rsidR="00CA6AFF" w:rsidRPr="001C3E89" w:rsidRDefault="00CA6AFF" w:rsidP="001C3E89">
      <w:pPr>
        <w:pStyle w:val="Heading5"/>
        <w:rPr>
          <w:i w:val="0"/>
          <w:iCs/>
        </w:rPr>
      </w:pPr>
      <w:r w:rsidRPr="001C3E89">
        <w:rPr>
          <w:i w:val="0"/>
          <w:iCs/>
        </w:rPr>
        <w:t>Other information</w:t>
      </w:r>
    </w:p>
    <w:p w14:paraId="0D4F4F7F" w14:textId="77777777" w:rsidR="00CA6AFF" w:rsidRDefault="00CA6AFF" w:rsidP="00CA6AFF">
      <w:pPr>
        <w:pStyle w:val="Standard"/>
      </w:pPr>
      <w:r>
        <w:t>The Product Information is considered acceptable from a pharmaceutical quality perspective.</w:t>
      </w:r>
    </w:p>
    <w:p w14:paraId="36A96F70" w14:textId="77777777" w:rsidR="00CA6AFF" w:rsidRDefault="00CA6AFF" w:rsidP="00CA6AFF">
      <w:pPr>
        <w:pStyle w:val="Standard"/>
      </w:pPr>
      <w:r w:rsidRPr="00547E52">
        <w:t>The labelling is considered acceptable from a pharmaceutical quality perspective.</w:t>
      </w:r>
    </w:p>
    <w:p w14:paraId="1D24ED49" w14:textId="77777777" w:rsidR="00CA6AFF" w:rsidRDefault="00CA6AFF" w:rsidP="00CA6AFF">
      <w:pPr>
        <w:pStyle w:val="Standard"/>
      </w:pPr>
      <w:r w:rsidRPr="008E5E53">
        <w:t>The provisional ARTG records are finalised.</w:t>
      </w:r>
    </w:p>
    <w:p w14:paraId="2CAFDBF1" w14:textId="53B4B9AD" w:rsidR="00CA6AFF" w:rsidRDefault="00CA6AFF" w:rsidP="00CA6AFF">
      <w:pPr>
        <w:pStyle w:val="Standard"/>
      </w:pPr>
      <w:r w:rsidRPr="00704274">
        <w:t xml:space="preserve">The GMP clearances for all manufacturing sites are current </w:t>
      </w:r>
      <w:r w:rsidR="00FD7780">
        <w:t>at the time of this evaluation.</w:t>
      </w:r>
    </w:p>
    <w:p w14:paraId="508281C0" w14:textId="213562E6" w:rsidR="00EA79AE" w:rsidRDefault="00EA79AE" w:rsidP="00EA79AE">
      <w:pPr>
        <w:pStyle w:val="Heading5"/>
        <w:rPr>
          <w:i w:val="0"/>
          <w:iCs/>
        </w:rPr>
      </w:pPr>
      <w:r>
        <w:rPr>
          <w:i w:val="0"/>
          <w:iCs/>
        </w:rPr>
        <w:t>Recommendation</w:t>
      </w:r>
    </w:p>
    <w:p w14:paraId="7948E4BC" w14:textId="2309783B" w:rsidR="004657AC" w:rsidRPr="00716162" w:rsidRDefault="004657AC" w:rsidP="004657AC">
      <w:pPr>
        <w:rPr>
          <w:szCs w:val="22"/>
        </w:rPr>
      </w:pPr>
      <w:r>
        <w:t>Approval is recommended from a quality and biopharmaceutic perspective.</w:t>
      </w:r>
    </w:p>
    <w:p w14:paraId="2BE90AAE" w14:textId="35796FD3" w:rsidR="00C22214" w:rsidRDefault="00C22214" w:rsidP="00C22214">
      <w:pPr>
        <w:pStyle w:val="Heading3"/>
      </w:pPr>
      <w:bookmarkStart w:id="36" w:name="_Toc314842512"/>
      <w:bookmarkStart w:id="37" w:name="_Toc103679296"/>
      <w:bookmarkStart w:id="38" w:name="_Toc241844854"/>
      <w:r>
        <w:lastRenderedPageBreak/>
        <w:t>Nonclinical</w:t>
      </w:r>
      <w:bookmarkEnd w:id="36"/>
      <w:bookmarkEnd w:id="37"/>
      <w:r w:rsidR="007E6443">
        <w:t xml:space="preserve"> evaluation</w:t>
      </w:r>
      <w:r w:rsidR="00095C6A">
        <w:t xml:space="preserve"> summary</w:t>
      </w:r>
      <w:bookmarkEnd w:id="38"/>
    </w:p>
    <w:p w14:paraId="424666CC" w14:textId="4AC0E5B9" w:rsidR="00981F87" w:rsidRDefault="00981F87" w:rsidP="00981F87">
      <w:r>
        <w:t xml:space="preserve">There are no </w:t>
      </w:r>
      <w:r w:rsidR="00B36EE1">
        <w:t>non-clinical</w:t>
      </w:r>
      <w:r w:rsidR="00B36EE1">
        <w:rPr>
          <w:spacing w:val="-2"/>
        </w:rPr>
        <w:t xml:space="preserve"> </w:t>
      </w:r>
      <w:r w:rsidR="00B36EE1">
        <w:t>objections</w:t>
      </w:r>
      <w:r w:rsidR="00B36EE1">
        <w:rPr>
          <w:spacing w:val="-2"/>
        </w:rPr>
        <w:t xml:space="preserve"> </w:t>
      </w:r>
      <w:r w:rsidR="00B36EE1">
        <w:t>to</w:t>
      </w:r>
      <w:r w:rsidR="00B36EE1">
        <w:rPr>
          <w:spacing w:val="-2"/>
        </w:rPr>
        <w:t xml:space="preserve"> </w:t>
      </w:r>
      <w:r w:rsidR="00F45C5E">
        <w:rPr>
          <w:spacing w:val="-2"/>
        </w:rPr>
        <w:t xml:space="preserve">the </w:t>
      </w:r>
      <w:r w:rsidR="00B36EE1">
        <w:t>registration</w:t>
      </w:r>
      <w:r w:rsidR="00B36EE1">
        <w:rPr>
          <w:spacing w:val="-3"/>
        </w:rPr>
        <w:t xml:space="preserve"> </w:t>
      </w:r>
      <w:r w:rsidR="00B36EE1">
        <w:t>of</w:t>
      </w:r>
      <w:r w:rsidR="00B36EE1">
        <w:rPr>
          <w:spacing w:val="-2"/>
        </w:rPr>
        <w:t xml:space="preserve"> </w:t>
      </w:r>
      <w:r w:rsidR="002D25A1">
        <w:t>Hibruka</w:t>
      </w:r>
      <w:r w:rsidR="00B36EE1">
        <w:t xml:space="preserve"> for</w:t>
      </w:r>
      <w:r w:rsidR="00B36EE1">
        <w:rPr>
          <w:spacing w:val="-2"/>
        </w:rPr>
        <w:t xml:space="preserve"> </w:t>
      </w:r>
      <w:r w:rsidR="00B36EE1">
        <w:t>the proposed indication.</w:t>
      </w:r>
    </w:p>
    <w:p w14:paraId="2E3E5CFC" w14:textId="68C45855" w:rsidR="00D25420" w:rsidRPr="00ED0F53" w:rsidRDefault="00D25420" w:rsidP="00E82C23">
      <w:r>
        <w:t>The</w:t>
      </w:r>
      <w:r w:rsidRPr="00BC26DC">
        <w:rPr>
          <w:spacing w:val="-10"/>
        </w:rPr>
        <w:t xml:space="preserve"> </w:t>
      </w:r>
      <w:r>
        <w:t>submitted</w:t>
      </w:r>
      <w:r w:rsidRPr="00BC26DC">
        <w:rPr>
          <w:spacing w:val="-6"/>
        </w:rPr>
        <w:t xml:space="preserve"> </w:t>
      </w:r>
      <w:r>
        <w:t>dossier</w:t>
      </w:r>
      <w:r w:rsidRPr="00BC26DC">
        <w:rPr>
          <w:spacing w:val="-5"/>
        </w:rPr>
        <w:t xml:space="preserve"> </w:t>
      </w:r>
      <w:r>
        <w:t>was</w:t>
      </w:r>
      <w:r w:rsidRPr="00BC26DC">
        <w:rPr>
          <w:spacing w:val="-5"/>
        </w:rPr>
        <w:t xml:space="preserve"> </w:t>
      </w:r>
      <w:r>
        <w:t>compliant</w:t>
      </w:r>
      <w:r w:rsidRPr="00BC26DC">
        <w:rPr>
          <w:spacing w:val="-6"/>
        </w:rPr>
        <w:t xml:space="preserve"> </w:t>
      </w:r>
      <w:r>
        <w:t>with</w:t>
      </w:r>
      <w:r w:rsidRPr="00BC26DC">
        <w:rPr>
          <w:spacing w:val="-5"/>
        </w:rPr>
        <w:t xml:space="preserve"> </w:t>
      </w:r>
      <w:r>
        <w:t>the</w:t>
      </w:r>
      <w:r w:rsidRPr="00BC26DC">
        <w:rPr>
          <w:spacing w:val="-6"/>
        </w:rPr>
        <w:t xml:space="preserve"> </w:t>
      </w:r>
      <w:r>
        <w:t>relevant</w:t>
      </w:r>
      <w:r w:rsidRPr="00BC26DC">
        <w:rPr>
          <w:spacing w:val="-6"/>
        </w:rPr>
        <w:t xml:space="preserve"> </w:t>
      </w:r>
      <w:r>
        <w:t>ICH</w:t>
      </w:r>
      <w:r w:rsidRPr="00BC26DC">
        <w:rPr>
          <w:spacing w:val="-6"/>
        </w:rPr>
        <w:t xml:space="preserve"> </w:t>
      </w:r>
      <w:r>
        <w:t>guideline</w:t>
      </w:r>
      <w:r w:rsidRPr="00BC26DC">
        <w:rPr>
          <w:spacing w:val="-5"/>
        </w:rPr>
        <w:t xml:space="preserve"> </w:t>
      </w:r>
      <w:r>
        <w:t>on</w:t>
      </w:r>
      <w:r w:rsidRPr="00BC26DC">
        <w:rPr>
          <w:spacing w:val="-6"/>
        </w:rPr>
        <w:t xml:space="preserve"> </w:t>
      </w:r>
      <w:r w:rsidRPr="00BC26DC">
        <w:rPr>
          <w:spacing w:val="-5"/>
        </w:rPr>
        <w:t>the</w:t>
      </w:r>
      <w:r w:rsidR="00BC26DC" w:rsidRPr="00BC26DC">
        <w:rPr>
          <w:spacing w:val="-5"/>
        </w:rPr>
        <w:t xml:space="preserve"> </w:t>
      </w:r>
      <w:r>
        <w:t>development</w:t>
      </w:r>
      <w:r w:rsidRPr="00BC26DC">
        <w:rPr>
          <w:spacing w:val="-4"/>
        </w:rPr>
        <w:t xml:space="preserve"> </w:t>
      </w:r>
      <w:r>
        <w:t>of</w:t>
      </w:r>
      <w:r w:rsidRPr="00BC26DC">
        <w:rPr>
          <w:spacing w:val="-3"/>
        </w:rPr>
        <w:t xml:space="preserve"> </w:t>
      </w:r>
      <w:r>
        <w:t>anti-cancer</w:t>
      </w:r>
      <w:r w:rsidRPr="00BC26DC">
        <w:rPr>
          <w:spacing w:val="-3"/>
        </w:rPr>
        <w:t xml:space="preserve"> </w:t>
      </w:r>
      <w:r>
        <w:t>pharmaceuticals</w:t>
      </w:r>
      <w:r w:rsidRPr="00BC26DC">
        <w:rPr>
          <w:spacing w:val="-1"/>
        </w:rPr>
        <w:t xml:space="preserve"> </w:t>
      </w:r>
      <w:r>
        <w:t>(ICH</w:t>
      </w:r>
      <w:r w:rsidRPr="00BC26DC">
        <w:rPr>
          <w:spacing w:val="-3"/>
        </w:rPr>
        <w:t xml:space="preserve"> </w:t>
      </w:r>
      <w:r>
        <w:t>S9).</w:t>
      </w:r>
      <w:r w:rsidRPr="00BC26DC">
        <w:rPr>
          <w:spacing w:val="-3"/>
        </w:rPr>
        <w:t xml:space="preserve"> </w:t>
      </w:r>
      <w:r>
        <w:t>Consistent</w:t>
      </w:r>
      <w:r w:rsidRPr="00BC26DC">
        <w:rPr>
          <w:spacing w:val="-4"/>
        </w:rPr>
        <w:t xml:space="preserve"> </w:t>
      </w:r>
      <w:r>
        <w:t>with</w:t>
      </w:r>
      <w:r w:rsidRPr="00BC26DC">
        <w:rPr>
          <w:spacing w:val="-3"/>
        </w:rPr>
        <w:t xml:space="preserve"> </w:t>
      </w:r>
      <w:r>
        <w:t>this</w:t>
      </w:r>
      <w:r w:rsidRPr="00BC26DC">
        <w:rPr>
          <w:spacing w:val="-2"/>
        </w:rPr>
        <w:t xml:space="preserve"> </w:t>
      </w:r>
      <w:r>
        <w:t>guideline,</w:t>
      </w:r>
      <w:r w:rsidRPr="00BC26DC">
        <w:rPr>
          <w:spacing w:val="-3"/>
        </w:rPr>
        <w:t xml:space="preserve"> </w:t>
      </w:r>
      <w:r>
        <w:t>no carcinogenicity</w:t>
      </w:r>
      <w:r w:rsidRPr="00BC26DC">
        <w:rPr>
          <w:spacing w:val="-11"/>
        </w:rPr>
        <w:t xml:space="preserve"> </w:t>
      </w:r>
      <w:r>
        <w:t>studies</w:t>
      </w:r>
      <w:r w:rsidRPr="00BC26DC">
        <w:rPr>
          <w:spacing w:val="-6"/>
        </w:rPr>
        <w:t xml:space="preserve"> </w:t>
      </w:r>
      <w:r>
        <w:t>were</w:t>
      </w:r>
      <w:r w:rsidRPr="00BC26DC">
        <w:rPr>
          <w:spacing w:val="-7"/>
        </w:rPr>
        <w:t xml:space="preserve"> </w:t>
      </w:r>
      <w:r>
        <w:t>conducted.</w:t>
      </w:r>
      <w:r w:rsidRPr="00BC26DC">
        <w:rPr>
          <w:spacing w:val="-10"/>
        </w:rPr>
        <w:t xml:space="preserve"> </w:t>
      </w:r>
      <w:r>
        <w:t>The</w:t>
      </w:r>
      <w:r w:rsidRPr="00BC26DC">
        <w:rPr>
          <w:spacing w:val="-7"/>
        </w:rPr>
        <w:t xml:space="preserve"> </w:t>
      </w:r>
      <w:r>
        <w:t>overall</w:t>
      </w:r>
      <w:r w:rsidRPr="00BC26DC">
        <w:rPr>
          <w:spacing w:val="-7"/>
        </w:rPr>
        <w:t xml:space="preserve"> </w:t>
      </w:r>
      <w:r>
        <w:t>quality</w:t>
      </w:r>
      <w:r w:rsidRPr="00BC26DC">
        <w:rPr>
          <w:spacing w:val="-8"/>
        </w:rPr>
        <w:t xml:space="preserve"> </w:t>
      </w:r>
      <w:r>
        <w:t>of</w:t>
      </w:r>
      <w:r w:rsidRPr="00BC26DC">
        <w:rPr>
          <w:spacing w:val="-8"/>
        </w:rPr>
        <w:t xml:space="preserve"> </w:t>
      </w:r>
      <w:r>
        <w:t>the</w:t>
      </w:r>
      <w:r w:rsidRPr="00BC26DC">
        <w:rPr>
          <w:spacing w:val="-7"/>
        </w:rPr>
        <w:t xml:space="preserve"> </w:t>
      </w:r>
      <w:r>
        <w:t>dossier</w:t>
      </w:r>
      <w:r w:rsidRPr="00BC26DC">
        <w:rPr>
          <w:spacing w:val="-10"/>
        </w:rPr>
        <w:t xml:space="preserve"> </w:t>
      </w:r>
      <w:r>
        <w:t>was</w:t>
      </w:r>
      <w:r w:rsidRPr="00BC26DC">
        <w:rPr>
          <w:spacing w:val="-3"/>
        </w:rPr>
        <w:t xml:space="preserve"> </w:t>
      </w:r>
      <w:r w:rsidRPr="00BC26DC">
        <w:rPr>
          <w:spacing w:val="-2"/>
        </w:rPr>
        <w:t>adequate,</w:t>
      </w:r>
      <w:r w:rsidR="00BC26DC" w:rsidRPr="00BC26DC">
        <w:rPr>
          <w:spacing w:val="-2"/>
        </w:rPr>
        <w:t xml:space="preserve"> </w:t>
      </w:r>
      <w:r>
        <w:t>with</w:t>
      </w:r>
      <w:r w:rsidRPr="00BC26DC">
        <w:rPr>
          <w:spacing w:val="-4"/>
        </w:rPr>
        <w:t xml:space="preserve"> </w:t>
      </w:r>
      <w:r>
        <w:t>generally</w:t>
      </w:r>
      <w:r w:rsidRPr="00BC26DC">
        <w:rPr>
          <w:spacing w:val="-6"/>
        </w:rPr>
        <w:t xml:space="preserve"> </w:t>
      </w:r>
      <w:r>
        <w:t>all</w:t>
      </w:r>
      <w:r w:rsidRPr="00BC26DC">
        <w:rPr>
          <w:spacing w:val="-4"/>
        </w:rPr>
        <w:t xml:space="preserve"> </w:t>
      </w:r>
      <w:r>
        <w:t>pivotal</w:t>
      </w:r>
      <w:r w:rsidRPr="00BC26DC">
        <w:rPr>
          <w:spacing w:val="-7"/>
        </w:rPr>
        <w:t xml:space="preserve"> </w:t>
      </w:r>
      <w:r>
        <w:t>safety</w:t>
      </w:r>
      <w:r w:rsidRPr="00BC26DC">
        <w:rPr>
          <w:spacing w:val="-5"/>
        </w:rPr>
        <w:t xml:space="preserve"> </w:t>
      </w:r>
      <w:r>
        <w:t>studies</w:t>
      </w:r>
      <w:r w:rsidRPr="00BC26DC">
        <w:rPr>
          <w:spacing w:val="-3"/>
        </w:rPr>
        <w:t xml:space="preserve"> </w:t>
      </w:r>
      <w:r>
        <w:t>conducted</w:t>
      </w:r>
      <w:r w:rsidRPr="00BC26DC">
        <w:rPr>
          <w:spacing w:val="-3"/>
        </w:rPr>
        <w:t xml:space="preserve"> </w:t>
      </w:r>
      <w:r>
        <w:t>in</w:t>
      </w:r>
      <w:r w:rsidRPr="00BC26DC">
        <w:rPr>
          <w:spacing w:val="-8"/>
        </w:rPr>
        <w:t xml:space="preserve"> </w:t>
      </w:r>
      <w:r>
        <w:t>compliance</w:t>
      </w:r>
      <w:r w:rsidRPr="00BC26DC">
        <w:rPr>
          <w:spacing w:val="-4"/>
        </w:rPr>
        <w:t xml:space="preserve"> </w:t>
      </w:r>
      <w:r>
        <w:t>with</w:t>
      </w:r>
      <w:r w:rsidRPr="00BC26DC">
        <w:rPr>
          <w:spacing w:val="-4"/>
        </w:rPr>
        <w:t xml:space="preserve"> </w:t>
      </w:r>
      <w:r>
        <w:t>OECD</w:t>
      </w:r>
      <w:r w:rsidRPr="00BC26DC">
        <w:rPr>
          <w:spacing w:val="-4"/>
        </w:rPr>
        <w:t xml:space="preserve"> </w:t>
      </w:r>
      <w:r>
        <w:t>GLP</w:t>
      </w:r>
      <w:r w:rsidRPr="00BC26DC">
        <w:rPr>
          <w:spacing w:val="-4"/>
        </w:rPr>
        <w:t xml:space="preserve"> </w:t>
      </w:r>
      <w:r>
        <w:t>conditions</w:t>
      </w:r>
      <w:r w:rsidRPr="00ED0F53">
        <w:t xml:space="preserve">. The </w:t>
      </w:r>
      <w:r w:rsidR="00366833" w:rsidRPr="00ED0F53">
        <w:t>s</w:t>
      </w:r>
      <w:r w:rsidRPr="00ED0F53">
        <w:t>ponsor provided appropriate information on test article characterisation</w:t>
      </w:r>
      <w:r w:rsidR="00366833" w:rsidRPr="00ED0F53">
        <w:t xml:space="preserve">. </w:t>
      </w:r>
    </w:p>
    <w:p w14:paraId="7A368916" w14:textId="439CEA4F" w:rsidR="00D25420" w:rsidRDefault="00D25420" w:rsidP="00E82C23">
      <w:r w:rsidRPr="00833A30">
        <w:rPr>
          <w:i/>
        </w:rPr>
        <w:t>In</w:t>
      </w:r>
      <w:r w:rsidRPr="00833A30">
        <w:rPr>
          <w:i/>
          <w:spacing w:val="-10"/>
        </w:rPr>
        <w:t xml:space="preserve"> </w:t>
      </w:r>
      <w:r w:rsidRPr="00833A30">
        <w:rPr>
          <w:i/>
        </w:rPr>
        <w:t>vitro</w:t>
      </w:r>
      <w:r>
        <w:t>,</w:t>
      </w:r>
      <w:r w:rsidRPr="00833A30">
        <w:rPr>
          <w:spacing w:val="-8"/>
        </w:rPr>
        <w:t xml:space="preserve"> </w:t>
      </w:r>
      <w:r>
        <w:t>orelabrutinib</w:t>
      </w:r>
      <w:r w:rsidRPr="00833A30">
        <w:rPr>
          <w:spacing w:val="-11"/>
        </w:rPr>
        <w:t xml:space="preserve"> </w:t>
      </w:r>
      <w:r>
        <w:t>irreversibly</w:t>
      </w:r>
      <w:r w:rsidRPr="00833A30">
        <w:rPr>
          <w:spacing w:val="-7"/>
        </w:rPr>
        <w:t xml:space="preserve"> </w:t>
      </w:r>
      <w:r>
        <w:t>inhibited</w:t>
      </w:r>
      <w:r w:rsidRPr="00833A30">
        <w:rPr>
          <w:spacing w:val="-7"/>
        </w:rPr>
        <w:t xml:space="preserve"> </w:t>
      </w:r>
      <w:r>
        <w:t>the</w:t>
      </w:r>
      <w:r w:rsidRPr="00833A30">
        <w:rPr>
          <w:spacing w:val="-6"/>
        </w:rPr>
        <w:t xml:space="preserve"> </w:t>
      </w:r>
      <w:r>
        <w:t>BTK</w:t>
      </w:r>
      <w:r w:rsidRPr="00833A30">
        <w:rPr>
          <w:spacing w:val="-9"/>
        </w:rPr>
        <w:t xml:space="preserve"> </w:t>
      </w:r>
      <w:r>
        <w:t>receptor</w:t>
      </w:r>
      <w:r w:rsidRPr="00833A30">
        <w:rPr>
          <w:spacing w:val="-7"/>
        </w:rPr>
        <w:t xml:space="preserve"> </w:t>
      </w:r>
      <w:r>
        <w:t>with</w:t>
      </w:r>
      <w:r w:rsidRPr="00833A30">
        <w:rPr>
          <w:spacing w:val="-7"/>
        </w:rPr>
        <w:t xml:space="preserve"> </w:t>
      </w:r>
      <w:r>
        <w:t>nanomolar</w:t>
      </w:r>
      <w:r w:rsidRPr="00833A30">
        <w:rPr>
          <w:spacing w:val="-9"/>
        </w:rPr>
        <w:t xml:space="preserve"> </w:t>
      </w:r>
      <w:r w:rsidRPr="00833A30">
        <w:rPr>
          <w:spacing w:val="-2"/>
        </w:rPr>
        <w:t>affinity.</w:t>
      </w:r>
      <w:r w:rsidR="00833A30" w:rsidRPr="00833A30">
        <w:rPr>
          <w:spacing w:val="-2"/>
        </w:rPr>
        <w:t xml:space="preserve"> </w:t>
      </w:r>
      <w:r>
        <w:t>Orelabrutinib</w:t>
      </w:r>
      <w:r w:rsidRPr="00833A30">
        <w:rPr>
          <w:spacing w:val="-6"/>
        </w:rPr>
        <w:t xml:space="preserve"> </w:t>
      </w:r>
      <w:r>
        <w:t>inhibited</w:t>
      </w:r>
      <w:r w:rsidRPr="00833A30">
        <w:rPr>
          <w:spacing w:val="-4"/>
        </w:rPr>
        <w:t xml:space="preserve"> </w:t>
      </w:r>
      <w:r>
        <w:t>autophosphorylation</w:t>
      </w:r>
      <w:r w:rsidRPr="00833A30">
        <w:rPr>
          <w:spacing w:val="-6"/>
        </w:rPr>
        <w:t xml:space="preserve"> </w:t>
      </w:r>
      <w:r>
        <w:t>of</w:t>
      </w:r>
      <w:r w:rsidRPr="00833A30">
        <w:rPr>
          <w:spacing w:val="-5"/>
        </w:rPr>
        <w:t xml:space="preserve"> </w:t>
      </w:r>
      <w:r>
        <w:t>BTK</w:t>
      </w:r>
      <w:r w:rsidRPr="00833A30">
        <w:rPr>
          <w:spacing w:val="-7"/>
        </w:rPr>
        <w:t xml:space="preserve"> </w:t>
      </w:r>
      <w:r>
        <w:t>and</w:t>
      </w:r>
      <w:r w:rsidRPr="00833A30">
        <w:rPr>
          <w:spacing w:val="-6"/>
        </w:rPr>
        <w:t xml:space="preserve"> </w:t>
      </w:r>
      <w:r>
        <w:t>tumour</w:t>
      </w:r>
      <w:r w:rsidRPr="00833A30">
        <w:rPr>
          <w:spacing w:val="-5"/>
        </w:rPr>
        <w:t xml:space="preserve"> </w:t>
      </w:r>
      <w:r>
        <w:t>growth</w:t>
      </w:r>
      <w:r w:rsidRPr="00833A30">
        <w:rPr>
          <w:spacing w:val="-5"/>
        </w:rPr>
        <w:t xml:space="preserve"> </w:t>
      </w:r>
      <w:r>
        <w:t>in</w:t>
      </w:r>
      <w:r w:rsidRPr="00833A30">
        <w:rPr>
          <w:spacing w:val="-7"/>
        </w:rPr>
        <w:t xml:space="preserve"> </w:t>
      </w:r>
      <w:r>
        <w:t>B-cell</w:t>
      </w:r>
      <w:r w:rsidRPr="00833A30">
        <w:rPr>
          <w:spacing w:val="-5"/>
        </w:rPr>
        <w:t xml:space="preserve"> </w:t>
      </w:r>
      <w:r>
        <w:t>lymphoma cell-lines.</w:t>
      </w:r>
      <w:r w:rsidRPr="00833A30">
        <w:rPr>
          <w:spacing w:val="-1"/>
        </w:rPr>
        <w:t xml:space="preserve"> </w:t>
      </w:r>
      <w:r w:rsidRPr="00833A30">
        <w:rPr>
          <w:i/>
        </w:rPr>
        <w:t>In</w:t>
      </w:r>
      <w:r w:rsidRPr="00833A30">
        <w:rPr>
          <w:i/>
          <w:spacing w:val="-1"/>
        </w:rPr>
        <w:t xml:space="preserve"> </w:t>
      </w:r>
      <w:r w:rsidRPr="00833A30">
        <w:rPr>
          <w:i/>
        </w:rPr>
        <w:t>vivo</w:t>
      </w:r>
      <w:r>
        <w:t>,</w:t>
      </w:r>
      <w:r w:rsidRPr="00833A30">
        <w:rPr>
          <w:spacing w:val="-1"/>
        </w:rPr>
        <w:t xml:space="preserve"> </w:t>
      </w:r>
      <w:r>
        <w:t>orelabrutinib</w:t>
      </w:r>
      <w:r w:rsidRPr="00833A30">
        <w:rPr>
          <w:spacing w:val="-1"/>
        </w:rPr>
        <w:t xml:space="preserve"> </w:t>
      </w:r>
      <w:r>
        <w:t>significantly</w:t>
      </w:r>
      <w:r w:rsidRPr="00833A30">
        <w:rPr>
          <w:spacing w:val="-1"/>
        </w:rPr>
        <w:t xml:space="preserve"> </w:t>
      </w:r>
      <w:r>
        <w:t>inhibited</w:t>
      </w:r>
      <w:r w:rsidRPr="00833A30">
        <w:rPr>
          <w:spacing w:val="-1"/>
        </w:rPr>
        <w:t xml:space="preserve"> </w:t>
      </w:r>
      <w:r>
        <w:t>tumour growth in</w:t>
      </w:r>
      <w:r w:rsidRPr="00833A30">
        <w:rPr>
          <w:spacing w:val="-4"/>
        </w:rPr>
        <w:t xml:space="preserve"> </w:t>
      </w:r>
      <w:r>
        <w:t>mouse models of B-cell malignancies.</w:t>
      </w:r>
    </w:p>
    <w:p w14:paraId="193602A9" w14:textId="77777777" w:rsidR="00D25420" w:rsidRDefault="00D25420" w:rsidP="00E82C23">
      <w:pPr>
        <w:rPr>
          <w:rFonts w:ascii="Symbol" w:hAnsi="Symbol" w:hint="eastAsia"/>
        </w:rPr>
      </w:pPr>
      <w:r>
        <w:t>Orelabrutinib</w:t>
      </w:r>
      <w:r>
        <w:rPr>
          <w:spacing w:val="-6"/>
        </w:rPr>
        <w:t xml:space="preserve"> </w:t>
      </w:r>
      <w:r>
        <w:t>had</w:t>
      </w:r>
      <w:r>
        <w:rPr>
          <w:spacing w:val="-5"/>
        </w:rPr>
        <w:t xml:space="preserve"> </w:t>
      </w:r>
      <w:r>
        <w:t>no</w:t>
      </w:r>
      <w:r>
        <w:rPr>
          <w:spacing w:val="-5"/>
        </w:rPr>
        <w:t xml:space="preserve"> </w:t>
      </w:r>
      <w:r>
        <w:t>significant</w:t>
      </w:r>
      <w:r>
        <w:rPr>
          <w:spacing w:val="-5"/>
        </w:rPr>
        <w:t xml:space="preserve"> </w:t>
      </w:r>
      <w:r>
        <w:t>interactions</w:t>
      </w:r>
      <w:r>
        <w:rPr>
          <w:spacing w:val="-5"/>
        </w:rPr>
        <w:t xml:space="preserve"> </w:t>
      </w:r>
      <w:r>
        <w:t>for</w:t>
      </w:r>
      <w:r>
        <w:rPr>
          <w:spacing w:val="-6"/>
        </w:rPr>
        <w:t xml:space="preserve"> </w:t>
      </w:r>
      <w:r>
        <w:t>the</w:t>
      </w:r>
      <w:r>
        <w:rPr>
          <w:spacing w:val="-6"/>
        </w:rPr>
        <w:t xml:space="preserve"> </w:t>
      </w:r>
      <w:r>
        <w:t>tested</w:t>
      </w:r>
      <w:r>
        <w:rPr>
          <w:spacing w:val="-5"/>
        </w:rPr>
        <w:t xml:space="preserve"> </w:t>
      </w:r>
      <w:r>
        <w:t>receptors,</w:t>
      </w:r>
      <w:r>
        <w:rPr>
          <w:spacing w:val="-7"/>
        </w:rPr>
        <w:t xml:space="preserve"> </w:t>
      </w:r>
      <w:r>
        <w:t>channels,</w:t>
      </w:r>
      <w:r>
        <w:rPr>
          <w:spacing w:val="-5"/>
        </w:rPr>
        <w:t xml:space="preserve"> </w:t>
      </w:r>
      <w:r>
        <w:t>or</w:t>
      </w:r>
      <w:r>
        <w:rPr>
          <w:spacing w:val="-6"/>
        </w:rPr>
        <w:t xml:space="preserve"> </w:t>
      </w:r>
      <w:r>
        <w:t>456 kinases in secondary screens.</w:t>
      </w:r>
    </w:p>
    <w:p w14:paraId="48EE9837" w14:textId="524F272F" w:rsidR="00D25420" w:rsidRDefault="00D25420" w:rsidP="00E82C23">
      <w:r>
        <w:t>Safety</w:t>
      </w:r>
      <w:r>
        <w:rPr>
          <w:spacing w:val="-9"/>
        </w:rPr>
        <w:t xml:space="preserve"> </w:t>
      </w:r>
      <w:r>
        <w:t>pharmacology</w:t>
      </w:r>
      <w:r>
        <w:rPr>
          <w:spacing w:val="-9"/>
        </w:rPr>
        <w:t xml:space="preserve"> </w:t>
      </w:r>
      <w:r>
        <w:t>studies</w:t>
      </w:r>
      <w:r>
        <w:rPr>
          <w:spacing w:val="-8"/>
        </w:rPr>
        <w:t xml:space="preserve"> </w:t>
      </w:r>
      <w:r>
        <w:t>assessed</w:t>
      </w:r>
      <w:r>
        <w:rPr>
          <w:spacing w:val="-9"/>
        </w:rPr>
        <w:t xml:space="preserve"> </w:t>
      </w:r>
      <w:r>
        <w:t>effects</w:t>
      </w:r>
      <w:r>
        <w:rPr>
          <w:spacing w:val="-8"/>
        </w:rPr>
        <w:t xml:space="preserve"> </w:t>
      </w:r>
      <w:r>
        <w:t>on</w:t>
      </w:r>
      <w:r>
        <w:rPr>
          <w:spacing w:val="-10"/>
        </w:rPr>
        <w:t xml:space="preserve"> </w:t>
      </w:r>
      <w:r>
        <w:t>cardiovascular,</w:t>
      </w:r>
      <w:r>
        <w:rPr>
          <w:spacing w:val="-9"/>
        </w:rPr>
        <w:t xml:space="preserve"> </w:t>
      </w:r>
      <w:r>
        <w:t>respiratory</w:t>
      </w:r>
      <w:r>
        <w:rPr>
          <w:spacing w:val="-9"/>
        </w:rPr>
        <w:t xml:space="preserve"> </w:t>
      </w:r>
      <w:r>
        <w:t>and</w:t>
      </w:r>
      <w:r>
        <w:rPr>
          <w:spacing w:val="-9"/>
        </w:rPr>
        <w:t xml:space="preserve"> </w:t>
      </w:r>
      <w:r>
        <w:t>central nervous systems. No clinically relevant adverse effects were observed on cardiovascular,</w:t>
      </w:r>
      <w:r w:rsidR="008F69A3">
        <w:t xml:space="preserve"> </w:t>
      </w:r>
      <w:r>
        <w:t>respiratory</w:t>
      </w:r>
      <w:r>
        <w:rPr>
          <w:spacing w:val="-11"/>
        </w:rPr>
        <w:t xml:space="preserve"> </w:t>
      </w:r>
      <w:r>
        <w:t>or</w:t>
      </w:r>
      <w:r>
        <w:rPr>
          <w:spacing w:val="-8"/>
        </w:rPr>
        <w:t xml:space="preserve"> </w:t>
      </w:r>
      <w:r>
        <w:t>CNS</w:t>
      </w:r>
      <w:r>
        <w:rPr>
          <w:spacing w:val="-7"/>
        </w:rPr>
        <w:t xml:space="preserve"> </w:t>
      </w:r>
      <w:r>
        <w:t>function</w:t>
      </w:r>
      <w:r>
        <w:rPr>
          <w:spacing w:val="-9"/>
        </w:rPr>
        <w:t xml:space="preserve"> </w:t>
      </w:r>
      <w:r>
        <w:t>in</w:t>
      </w:r>
      <w:r>
        <w:rPr>
          <w:spacing w:val="-8"/>
        </w:rPr>
        <w:t xml:space="preserve"> </w:t>
      </w:r>
      <w:r>
        <w:t>adequately</w:t>
      </w:r>
      <w:r>
        <w:rPr>
          <w:spacing w:val="-8"/>
        </w:rPr>
        <w:t xml:space="preserve"> </w:t>
      </w:r>
      <w:r>
        <w:t>conducted</w:t>
      </w:r>
      <w:r>
        <w:rPr>
          <w:spacing w:val="-8"/>
        </w:rPr>
        <w:t xml:space="preserve"> </w:t>
      </w:r>
      <w:r>
        <w:rPr>
          <w:spacing w:val="-2"/>
        </w:rPr>
        <w:t>studies.</w:t>
      </w:r>
    </w:p>
    <w:p w14:paraId="7FD1DA16" w14:textId="77777777" w:rsidR="00F56451" w:rsidRDefault="00D25420" w:rsidP="00E82C23">
      <w:pPr>
        <w:rPr>
          <w:spacing w:val="-5"/>
        </w:rPr>
      </w:pPr>
      <w:r>
        <w:t>Orelabrutinib</w:t>
      </w:r>
      <w:r w:rsidRPr="00261B8E">
        <w:rPr>
          <w:spacing w:val="-8"/>
        </w:rPr>
        <w:t xml:space="preserve"> </w:t>
      </w:r>
      <w:r>
        <w:t>was</w:t>
      </w:r>
      <w:r w:rsidRPr="00261B8E">
        <w:rPr>
          <w:spacing w:val="-4"/>
        </w:rPr>
        <w:t xml:space="preserve"> </w:t>
      </w:r>
      <w:r>
        <w:t>rapidly</w:t>
      </w:r>
      <w:r w:rsidRPr="00261B8E">
        <w:rPr>
          <w:spacing w:val="-8"/>
        </w:rPr>
        <w:t xml:space="preserve"> </w:t>
      </w:r>
      <w:r>
        <w:t>absorbed</w:t>
      </w:r>
      <w:r w:rsidRPr="00261B8E">
        <w:rPr>
          <w:spacing w:val="-6"/>
        </w:rPr>
        <w:t xml:space="preserve"> </w:t>
      </w:r>
      <w:r>
        <w:t>in</w:t>
      </w:r>
      <w:r w:rsidRPr="00261B8E">
        <w:rPr>
          <w:spacing w:val="-6"/>
        </w:rPr>
        <w:t xml:space="preserve"> </w:t>
      </w:r>
      <w:r>
        <w:t>rats</w:t>
      </w:r>
      <w:r w:rsidRPr="00261B8E">
        <w:rPr>
          <w:spacing w:val="-4"/>
        </w:rPr>
        <w:t xml:space="preserve"> </w:t>
      </w:r>
      <w:r>
        <w:t>and</w:t>
      </w:r>
      <w:r w:rsidRPr="00261B8E">
        <w:rPr>
          <w:spacing w:val="-6"/>
        </w:rPr>
        <w:t xml:space="preserve"> </w:t>
      </w:r>
      <w:r>
        <w:t>dogs.</w:t>
      </w:r>
      <w:r w:rsidRPr="00261B8E">
        <w:rPr>
          <w:spacing w:val="-5"/>
        </w:rPr>
        <w:t xml:space="preserve"> </w:t>
      </w:r>
      <w:r>
        <w:t>Exposures</w:t>
      </w:r>
      <w:r w:rsidRPr="00261B8E">
        <w:rPr>
          <w:spacing w:val="-4"/>
        </w:rPr>
        <w:t xml:space="preserve"> </w:t>
      </w:r>
      <w:r>
        <w:t>(based</w:t>
      </w:r>
      <w:r w:rsidRPr="00261B8E">
        <w:rPr>
          <w:spacing w:val="-5"/>
        </w:rPr>
        <w:t xml:space="preserve"> </w:t>
      </w:r>
      <w:r>
        <w:t>on</w:t>
      </w:r>
      <w:r w:rsidRPr="00261B8E">
        <w:rPr>
          <w:spacing w:val="-6"/>
        </w:rPr>
        <w:t xml:space="preserve"> </w:t>
      </w:r>
      <w:r>
        <w:t>AUC)</w:t>
      </w:r>
      <w:r w:rsidRPr="00261B8E">
        <w:rPr>
          <w:spacing w:val="-5"/>
        </w:rPr>
        <w:t xml:space="preserve"> </w:t>
      </w:r>
      <w:r>
        <w:t>in</w:t>
      </w:r>
      <w:r w:rsidRPr="00261B8E">
        <w:rPr>
          <w:spacing w:val="-6"/>
        </w:rPr>
        <w:t xml:space="preserve"> </w:t>
      </w:r>
      <w:r>
        <w:t>female rats were generally higher than their male counterparts. There were no consistent sex</w:t>
      </w:r>
      <w:r w:rsidR="00833A30">
        <w:t xml:space="preserve"> </w:t>
      </w:r>
      <w:r>
        <w:t>differences</w:t>
      </w:r>
      <w:r w:rsidRPr="00261B8E">
        <w:rPr>
          <w:spacing w:val="-3"/>
        </w:rPr>
        <w:t xml:space="preserve"> </w:t>
      </w:r>
      <w:r>
        <w:t>in</w:t>
      </w:r>
      <w:r w:rsidRPr="00261B8E">
        <w:rPr>
          <w:spacing w:val="-5"/>
        </w:rPr>
        <w:t xml:space="preserve"> </w:t>
      </w:r>
      <w:r>
        <w:t>in</w:t>
      </w:r>
      <w:r w:rsidRPr="00261B8E">
        <w:rPr>
          <w:spacing w:val="-5"/>
        </w:rPr>
        <w:t xml:space="preserve"> </w:t>
      </w:r>
      <w:r>
        <w:t>dog</w:t>
      </w:r>
      <w:r w:rsidRPr="00261B8E">
        <w:rPr>
          <w:spacing w:val="-5"/>
        </w:rPr>
        <w:t xml:space="preserve"> </w:t>
      </w:r>
      <w:r>
        <w:t>and</w:t>
      </w:r>
      <w:r w:rsidRPr="00261B8E">
        <w:rPr>
          <w:spacing w:val="-8"/>
        </w:rPr>
        <w:t xml:space="preserve"> </w:t>
      </w:r>
      <w:r>
        <w:t>humans.</w:t>
      </w:r>
      <w:r w:rsidRPr="00261B8E">
        <w:rPr>
          <w:spacing w:val="-4"/>
        </w:rPr>
        <w:t xml:space="preserve"> </w:t>
      </w:r>
      <w:r>
        <w:t>Orelabrutinib</w:t>
      </w:r>
      <w:r w:rsidRPr="00261B8E">
        <w:rPr>
          <w:spacing w:val="-5"/>
        </w:rPr>
        <w:t xml:space="preserve"> </w:t>
      </w:r>
      <w:r>
        <w:t>was</w:t>
      </w:r>
      <w:r w:rsidRPr="00261B8E">
        <w:rPr>
          <w:spacing w:val="-3"/>
        </w:rPr>
        <w:t xml:space="preserve"> </w:t>
      </w:r>
      <w:r>
        <w:t>highly</w:t>
      </w:r>
      <w:r w:rsidRPr="00261B8E">
        <w:rPr>
          <w:spacing w:val="-5"/>
        </w:rPr>
        <w:t xml:space="preserve"> </w:t>
      </w:r>
      <w:r>
        <w:t>bound</w:t>
      </w:r>
      <w:r w:rsidRPr="00261B8E">
        <w:rPr>
          <w:spacing w:val="-5"/>
        </w:rPr>
        <w:t xml:space="preserve"> </w:t>
      </w:r>
      <w:r>
        <w:t>to</w:t>
      </w:r>
      <w:r w:rsidRPr="00261B8E">
        <w:rPr>
          <w:spacing w:val="-4"/>
        </w:rPr>
        <w:t xml:space="preserve"> </w:t>
      </w:r>
      <w:r>
        <w:t>plasma</w:t>
      </w:r>
      <w:r w:rsidRPr="00261B8E">
        <w:rPr>
          <w:spacing w:val="-7"/>
        </w:rPr>
        <w:t xml:space="preserve"> </w:t>
      </w:r>
      <w:r>
        <w:t>protein</w:t>
      </w:r>
      <w:r w:rsidRPr="00261B8E">
        <w:rPr>
          <w:spacing w:val="-5"/>
        </w:rPr>
        <w:t xml:space="preserve"> </w:t>
      </w:r>
      <w:r>
        <w:t>of</w:t>
      </w:r>
      <w:r w:rsidRPr="00261B8E">
        <w:rPr>
          <w:spacing w:val="-4"/>
        </w:rPr>
        <w:t xml:space="preserve"> </w:t>
      </w:r>
      <w:r>
        <w:t>rats, dogs and humans. Tissue distribution of orelabrutinib was wide with minimal penetration</w:t>
      </w:r>
      <w:r w:rsidR="00585A17">
        <w:t xml:space="preserve"> </w:t>
      </w:r>
      <w:r>
        <w:t>of</w:t>
      </w:r>
      <w:r w:rsidRPr="00261B8E">
        <w:rPr>
          <w:spacing w:val="-5"/>
        </w:rPr>
        <w:t xml:space="preserve"> </w:t>
      </w:r>
      <w:r>
        <w:t>blood-brain</w:t>
      </w:r>
      <w:r w:rsidRPr="00261B8E">
        <w:rPr>
          <w:spacing w:val="-6"/>
        </w:rPr>
        <w:t xml:space="preserve"> </w:t>
      </w:r>
      <w:r>
        <w:t>barrier.</w:t>
      </w:r>
      <w:r w:rsidRPr="00261B8E">
        <w:rPr>
          <w:spacing w:val="-5"/>
        </w:rPr>
        <w:t xml:space="preserve"> </w:t>
      </w:r>
    </w:p>
    <w:p w14:paraId="4EE1B994" w14:textId="55357B8E" w:rsidR="00D25420" w:rsidRDefault="00D25420" w:rsidP="00E82C23">
      <w:r>
        <w:t>The</w:t>
      </w:r>
      <w:r w:rsidRPr="00261B8E">
        <w:rPr>
          <w:spacing w:val="-5"/>
        </w:rPr>
        <w:t xml:space="preserve"> </w:t>
      </w:r>
      <w:r>
        <w:t>main</w:t>
      </w:r>
      <w:r w:rsidRPr="00261B8E">
        <w:rPr>
          <w:spacing w:val="-6"/>
        </w:rPr>
        <w:t xml:space="preserve"> </w:t>
      </w:r>
      <w:r>
        <w:t>human</w:t>
      </w:r>
      <w:r w:rsidRPr="00261B8E">
        <w:rPr>
          <w:spacing w:val="-6"/>
        </w:rPr>
        <w:t xml:space="preserve"> </w:t>
      </w:r>
      <w:r>
        <w:t>metabolite</w:t>
      </w:r>
      <w:r w:rsidRPr="00261B8E">
        <w:rPr>
          <w:spacing w:val="-8"/>
        </w:rPr>
        <w:t xml:space="preserve"> </w:t>
      </w:r>
      <w:r>
        <w:t>(M461-3)</w:t>
      </w:r>
      <w:r w:rsidRPr="00261B8E">
        <w:rPr>
          <w:spacing w:val="-6"/>
        </w:rPr>
        <w:t xml:space="preserve"> </w:t>
      </w:r>
      <w:r>
        <w:t>was</w:t>
      </w:r>
      <w:r w:rsidRPr="00261B8E">
        <w:rPr>
          <w:spacing w:val="-4"/>
        </w:rPr>
        <w:t xml:space="preserve"> </w:t>
      </w:r>
      <w:r>
        <w:t>detected</w:t>
      </w:r>
      <w:r w:rsidRPr="00261B8E">
        <w:rPr>
          <w:spacing w:val="-8"/>
        </w:rPr>
        <w:t xml:space="preserve"> </w:t>
      </w:r>
      <w:r>
        <w:t>in</w:t>
      </w:r>
      <w:r w:rsidRPr="00261B8E">
        <w:rPr>
          <w:spacing w:val="-6"/>
        </w:rPr>
        <w:t xml:space="preserve"> </w:t>
      </w:r>
      <w:r>
        <w:t>both</w:t>
      </w:r>
      <w:r w:rsidRPr="00261B8E">
        <w:rPr>
          <w:spacing w:val="-5"/>
        </w:rPr>
        <w:t xml:space="preserve"> </w:t>
      </w:r>
      <w:r>
        <w:t>dogs</w:t>
      </w:r>
      <w:r w:rsidRPr="00261B8E">
        <w:rPr>
          <w:spacing w:val="-4"/>
        </w:rPr>
        <w:t xml:space="preserve"> </w:t>
      </w:r>
      <w:r>
        <w:t xml:space="preserve">and rats. CYP3A4 was responsible for orelabrutinib metabolism </w:t>
      </w:r>
      <w:r w:rsidRPr="00261B8E">
        <w:rPr>
          <w:i/>
        </w:rPr>
        <w:t>in vitro</w:t>
      </w:r>
      <w:r>
        <w:t>. Excretion of</w:t>
      </w:r>
      <w:r w:rsidR="00261B8E">
        <w:t xml:space="preserve"> </w:t>
      </w:r>
      <w:r>
        <w:t>orelabrutinib</w:t>
      </w:r>
      <w:r w:rsidRPr="00261B8E">
        <w:rPr>
          <w:spacing w:val="-6"/>
        </w:rPr>
        <w:t xml:space="preserve"> </w:t>
      </w:r>
      <w:r>
        <w:t>and/or</w:t>
      </w:r>
      <w:r w:rsidRPr="00261B8E">
        <w:rPr>
          <w:spacing w:val="-5"/>
        </w:rPr>
        <w:t xml:space="preserve"> </w:t>
      </w:r>
      <w:r>
        <w:t>its</w:t>
      </w:r>
      <w:r w:rsidRPr="00261B8E">
        <w:rPr>
          <w:spacing w:val="-7"/>
        </w:rPr>
        <w:t xml:space="preserve"> </w:t>
      </w:r>
      <w:r>
        <w:t>metabolites</w:t>
      </w:r>
      <w:r w:rsidRPr="00261B8E">
        <w:rPr>
          <w:spacing w:val="-4"/>
        </w:rPr>
        <w:t xml:space="preserve"> </w:t>
      </w:r>
      <w:r>
        <w:t>was</w:t>
      </w:r>
      <w:r w:rsidRPr="00261B8E">
        <w:rPr>
          <w:spacing w:val="-4"/>
        </w:rPr>
        <w:t xml:space="preserve"> </w:t>
      </w:r>
      <w:r>
        <w:t>predominantly</w:t>
      </w:r>
      <w:r w:rsidRPr="00261B8E">
        <w:rPr>
          <w:spacing w:val="-4"/>
        </w:rPr>
        <w:t xml:space="preserve"> </w:t>
      </w:r>
      <w:r w:rsidRPr="00261B8E">
        <w:rPr>
          <w:i/>
        </w:rPr>
        <w:t>via</w:t>
      </w:r>
      <w:r w:rsidRPr="00261B8E">
        <w:rPr>
          <w:i/>
          <w:spacing w:val="-7"/>
        </w:rPr>
        <w:t xml:space="preserve"> </w:t>
      </w:r>
      <w:r>
        <w:t>faeces</w:t>
      </w:r>
      <w:r w:rsidRPr="00261B8E">
        <w:rPr>
          <w:spacing w:val="-7"/>
        </w:rPr>
        <w:t xml:space="preserve"> </w:t>
      </w:r>
      <w:r>
        <w:t>in</w:t>
      </w:r>
      <w:r w:rsidRPr="00261B8E">
        <w:rPr>
          <w:spacing w:val="-6"/>
        </w:rPr>
        <w:t xml:space="preserve"> </w:t>
      </w:r>
      <w:r>
        <w:t>rats</w:t>
      </w:r>
      <w:r w:rsidRPr="00261B8E">
        <w:rPr>
          <w:spacing w:val="-4"/>
        </w:rPr>
        <w:t xml:space="preserve"> </w:t>
      </w:r>
      <w:r>
        <w:t>and</w:t>
      </w:r>
      <w:r w:rsidRPr="00261B8E">
        <w:rPr>
          <w:spacing w:val="-6"/>
        </w:rPr>
        <w:t xml:space="preserve"> </w:t>
      </w:r>
      <w:r>
        <w:t>humans. Biliary excretion was evident in rats.</w:t>
      </w:r>
    </w:p>
    <w:p w14:paraId="68C527A0" w14:textId="31F4EEFA" w:rsidR="00D25420" w:rsidRDefault="00D25420" w:rsidP="00E82C23">
      <w:r w:rsidRPr="00261B8E">
        <w:rPr>
          <w:i/>
        </w:rPr>
        <w:t>In</w:t>
      </w:r>
      <w:r w:rsidRPr="00261B8E">
        <w:rPr>
          <w:i/>
          <w:spacing w:val="-9"/>
        </w:rPr>
        <w:t xml:space="preserve"> </w:t>
      </w:r>
      <w:r w:rsidRPr="00261B8E">
        <w:rPr>
          <w:i/>
        </w:rPr>
        <w:t>vitro</w:t>
      </w:r>
      <w:r w:rsidRPr="00261B8E">
        <w:rPr>
          <w:i/>
          <w:spacing w:val="-6"/>
        </w:rPr>
        <w:t xml:space="preserve"> </w:t>
      </w:r>
      <w:r>
        <w:t>studies</w:t>
      </w:r>
      <w:r w:rsidRPr="00261B8E">
        <w:rPr>
          <w:spacing w:val="-7"/>
        </w:rPr>
        <w:t xml:space="preserve"> </w:t>
      </w:r>
      <w:r>
        <w:t>indicated</w:t>
      </w:r>
      <w:r w:rsidRPr="00261B8E">
        <w:rPr>
          <w:spacing w:val="-5"/>
        </w:rPr>
        <w:t xml:space="preserve"> </w:t>
      </w:r>
      <w:r>
        <w:t>that</w:t>
      </w:r>
      <w:r w:rsidRPr="00261B8E">
        <w:rPr>
          <w:spacing w:val="-7"/>
        </w:rPr>
        <w:t xml:space="preserve"> </w:t>
      </w:r>
      <w:r>
        <w:t>inhibitors/inducers</w:t>
      </w:r>
      <w:r w:rsidRPr="00261B8E">
        <w:rPr>
          <w:spacing w:val="-7"/>
        </w:rPr>
        <w:t xml:space="preserve"> </w:t>
      </w:r>
      <w:r>
        <w:t>of</w:t>
      </w:r>
      <w:r w:rsidRPr="00261B8E">
        <w:rPr>
          <w:spacing w:val="-8"/>
        </w:rPr>
        <w:t xml:space="preserve"> </w:t>
      </w:r>
      <w:r>
        <w:t>CYP3A4</w:t>
      </w:r>
      <w:r w:rsidRPr="00261B8E">
        <w:rPr>
          <w:spacing w:val="-5"/>
        </w:rPr>
        <w:t xml:space="preserve"> </w:t>
      </w:r>
      <w:r>
        <w:t>may</w:t>
      </w:r>
      <w:r w:rsidRPr="00261B8E">
        <w:rPr>
          <w:spacing w:val="-7"/>
        </w:rPr>
        <w:t xml:space="preserve"> </w:t>
      </w:r>
      <w:r>
        <w:t>alter</w:t>
      </w:r>
      <w:r w:rsidRPr="00261B8E">
        <w:rPr>
          <w:spacing w:val="-5"/>
        </w:rPr>
        <w:t xml:space="preserve"> </w:t>
      </w:r>
      <w:r w:rsidRPr="00261B8E">
        <w:rPr>
          <w:spacing w:val="-2"/>
        </w:rPr>
        <w:t>orelabrutinib</w:t>
      </w:r>
      <w:r w:rsidR="00261B8E" w:rsidRPr="00261B8E">
        <w:rPr>
          <w:spacing w:val="-2"/>
        </w:rPr>
        <w:t xml:space="preserve"> </w:t>
      </w:r>
      <w:r>
        <w:t>exposures.</w:t>
      </w:r>
      <w:r w:rsidRPr="00261B8E">
        <w:rPr>
          <w:spacing w:val="-8"/>
        </w:rPr>
        <w:t xml:space="preserve"> </w:t>
      </w:r>
      <w:r>
        <w:t>Orelabrutinib</w:t>
      </w:r>
      <w:r w:rsidRPr="00261B8E">
        <w:rPr>
          <w:spacing w:val="-11"/>
        </w:rPr>
        <w:t xml:space="preserve"> </w:t>
      </w:r>
      <w:r>
        <w:t>may</w:t>
      </w:r>
      <w:r w:rsidRPr="00261B8E">
        <w:rPr>
          <w:spacing w:val="-9"/>
        </w:rPr>
        <w:t xml:space="preserve"> </w:t>
      </w:r>
      <w:r>
        <w:t>increase</w:t>
      </w:r>
      <w:r w:rsidRPr="00261B8E">
        <w:rPr>
          <w:spacing w:val="-8"/>
        </w:rPr>
        <w:t xml:space="preserve"> </w:t>
      </w:r>
      <w:r>
        <w:t>exposure</w:t>
      </w:r>
      <w:r w:rsidRPr="00261B8E">
        <w:rPr>
          <w:spacing w:val="-8"/>
        </w:rPr>
        <w:t xml:space="preserve"> </w:t>
      </w:r>
      <w:r>
        <w:t>to</w:t>
      </w:r>
      <w:r w:rsidRPr="00261B8E">
        <w:rPr>
          <w:spacing w:val="-10"/>
        </w:rPr>
        <w:t xml:space="preserve"> </w:t>
      </w:r>
      <w:r>
        <w:t>orally</w:t>
      </w:r>
      <w:r w:rsidRPr="00261B8E">
        <w:rPr>
          <w:spacing w:val="-9"/>
        </w:rPr>
        <w:t xml:space="preserve"> </w:t>
      </w:r>
      <w:r>
        <w:t>co-administered</w:t>
      </w:r>
      <w:r w:rsidRPr="00261B8E">
        <w:rPr>
          <w:spacing w:val="-8"/>
        </w:rPr>
        <w:t xml:space="preserve"> </w:t>
      </w:r>
      <w:r>
        <w:t>CYP3A4,</w:t>
      </w:r>
      <w:r w:rsidRPr="00261B8E">
        <w:rPr>
          <w:spacing w:val="-8"/>
        </w:rPr>
        <w:t xml:space="preserve"> </w:t>
      </w:r>
      <w:r>
        <w:t>CYP2C9, CYP2D6,</w:t>
      </w:r>
      <w:r w:rsidRPr="00261B8E">
        <w:rPr>
          <w:spacing w:val="-1"/>
        </w:rPr>
        <w:t xml:space="preserve"> </w:t>
      </w:r>
      <w:r>
        <w:t>P-glycoprotein</w:t>
      </w:r>
      <w:r w:rsidRPr="00261B8E">
        <w:rPr>
          <w:spacing w:val="-2"/>
        </w:rPr>
        <w:t xml:space="preserve"> </w:t>
      </w:r>
      <w:r>
        <w:t>and</w:t>
      </w:r>
      <w:r w:rsidRPr="00261B8E">
        <w:rPr>
          <w:spacing w:val="-2"/>
        </w:rPr>
        <w:t xml:space="preserve"> </w:t>
      </w:r>
      <w:r>
        <w:t>BCRP</w:t>
      </w:r>
      <w:r w:rsidRPr="00261B8E">
        <w:rPr>
          <w:spacing w:val="-2"/>
        </w:rPr>
        <w:t xml:space="preserve"> </w:t>
      </w:r>
      <w:r>
        <w:t>substrates by</w:t>
      </w:r>
      <w:r w:rsidRPr="00261B8E">
        <w:rPr>
          <w:spacing w:val="-2"/>
        </w:rPr>
        <w:t xml:space="preserve"> </w:t>
      </w:r>
      <w:r>
        <w:t>inhibition</w:t>
      </w:r>
      <w:r w:rsidRPr="00261B8E">
        <w:rPr>
          <w:spacing w:val="-2"/>
        </w:rPr>
        <w:t xml:space="preserve"> </w:t>
      </w:r>
      <w:r>
        <w:t>of</w:t>
      </w:r>
      <w:r w:rsidRPr="00261B8E">
        <w:rPr>
          <w:spacing w:val="-4"/>
        </w:rPr>
        <w:t xml:space="preserve"> </w:t>
      </w:r>
      <w:r>
        <w:t>intestinal</w:t>
      </w:r>
      <w:r w:rsidRPr="00261B8E">
        <w:rPr>
          <w:spacing w:val="-1"/>
        </w:rPr>
        <w:t xml:space="preserve"> </w:t>
      </w:r>
      <w:r>
        <w:t>CYP3A4</w:t>
      </w:r>
      <w:r w:rsidRPr="00261B8E">
        <w:rPr>
          <w:spacing w:val="-1"/>
        </w:rPr>
        <w:t xml:space="preserve"> </w:t>
      </w:r>
      <w:r>
        <w:t>or</w:t>
      </w:r>
      <w:r w:rsidRPr="00261B8E">
        <w:rPr>
          <w:spacing w:val="-2"/>
        </w:rPr>
        <w:t xml:space="preserve"> </w:t>
      </w:r>
      <w:r>
        <w:t>systemic CYP2C9 and CYP2D6, P-glycoprotein (P-gp) and intestinal BCRP. Orelabrutinib was a</w:t>
      </w:r>
      <w:r w:rsidR="00261B8E">
        <w:t xml:space="preserve"> </w:t>
      </w:r>
      <w:r w:rsidRPr="00261B8E">
        <w:rPr>
          <w:spacing w:val="-2"/>
        </w:rPr>
        <w:t>substrate</w:t>
      </w:r>
      <w:r w:rsidRPr="00261B8E">
        <w:rPr>
          <w:spacing w:val="-1"/>
        </w:rPr>
        <w:t xml:space="preserve"> </w:t>
      </w:r>
      <w:r w:rsidRPr="00261B8E">
        <w:rPr>
          <w:spacing w:val="-2"/>
        </w:rPr>
        <w:t>for</w:t>
      </w:r>
      <w:r w:rsidRPr="00261B8E">
        <w:rPr>
          <w:spacing w:val="3"/>
        </w:rPr>
        <w:t xml:space="preserve"> </w:t>
      </w:r>
      <w:r w:rsidRPr="00261B8E">
        <w:rPr>
          <w:spacing w:val="-2"/>
        </w:rPr>
        <w:t>P-</w:t>
      </w:r>
      <w:r w:rsidRPr="00261B8E">
        <w:rPr>
          <w:spacing w:val="-5"/>
        </w:rPr>
        <w:t>gp.</w:t>
      </w:r>
    </w:p>
    <w:p w14:paraId="6E8E1F08" w14:textId="01D57D51" w:rsidR="00D25420" w:rsidRDefault="00D25420" w:rsidP="00E82C23">
      <w:pPr>
        <w:rPr>
          <w:rFonts w:ascii="Symbol" w:hAnsi="Symbol" w:hint="eastAsia"/>
        </w:rPr>
      </w:pPr>
      <w:r>
        <w:t>Orelabrutinib</w:t>
      </w:r>
      <w:r>
        <w:rPr>
          <w:spacing w:val="-5"/>
        </w:rPr>
        <w:t xml:space="preserve"> </w:t>
      </w:r>
      <w:r>
        <w:t>had</w:t>
      </w:r>
      <w:r>
        <w:rPr>
          <w:spacing w:val="-5"/>
        </w:rPr>
        <w:t xml:space="preserve"> </w:t>
      </w:r>
      <w:r>
        <w:t>a</w:t>
      </w:r>
      <w:r>
        <w:rPr>
          <w:spacing w:val="-5"/>
        </w:rPr>
        <w:t xml:space="preserve"> </w:t>
      </w:r>
      <w:r w:rsidRPr="0048703E">
        <w:t>low order of</w:t>
      </w:r>
      <w:r>
        <w:rPr>
          <w:spacing w:val="-4"/>
        </w:rPr>
        <w:t xml:space="preserve"> </w:t>
      </w:r>
      <w:r>
        <w:t>acute</w:t>
      </w:r>
      <w:r>
        <w:rPr>
          <w:spacing w:val="-4"/>
        </w:rPr>
        <w:t xml:space="preserve"> </w:t>
      </w:r>
      <w:r>
        <w:t>toxicity</w:t>
      </w:r>
      <w:r>
        <w:rPr>
          <w:spacing w:val="-6"/>
        </w:rPr>
        <w:t xml:space="preserve"> </w:t>
      </w:r>
      <w:r>
        <w:t>in</w:t>
      </w:r>
      <w:r>
        <w:rPr>
          <w:spacing w:val="-5"/>
        </w:rPr>
        <w:t xml:space="preserve"> </w:t>
      </w:r>
      <w:r>
        <w:t>rats</w:t>
      </w:r>
      <w:r>
        <w:rPr>
          <w:spacing w:val="-4"/>
        </w:rPr>
        <w:t xml:space="preserve"> </w:t>
      </w:r>
      <w:r>
        <w:t>and</w:t>
      </w:r>
      <w:r>
        <w:rPr>
          <w:spacing w:val="-5"/>
        </w:rPr>
        <w:t xml:space="preserve"> </w:t>
      </w:r>
      <w:r>
        <w:rPr>
          <w:spacing w:val="-2"/>
        </w:rPr>
        <w:t>dogs.</w:t>
      </w:r>
    </w:p>
    <w:p w14:paraId="2B5504F4" w14:textId="2B7642C3" w:rsidR="00D25420" w:rsidRDefault="00D25420" w:rsidP="00E82C23">
      <w:r>
        <w:t>Repeat-dose toxicity studies were conducted in rats (up to 6 months) and dogs (up to 9 months)</w:t>
      </w:r>
      <w:r w:rsidRPr="00261B8E">
        <w:rPr>
          <w:spacing w:val="-5"/>
        </w:rPr>
        <w:t xml:space="preserve"> </w:t>
      </w:r>
      <w:r>
        <w:t>using</w:t>
      </w:r>
      <w:r w:rsidRPr="00261B8E">
        <w:rPr>
          <w:spacing w:val="-5"/>
        </w:rPr>
        <w:t xml:space="preserve"> </w:t>
      </w:r>
      <w:r>
        <w:t>the</w:t>
      </w:r>
      <w:r w:rsidRPr="00261B8E">
        <w:rPr>
          <w:spacing w:val="-5"/>
        </w:rPr>
        <w:t xml:space="preserve"> </w:t>
      </w:r>
      <w:r>
        <w:t>proposed</w:t>
      </w:r>
      <w:r w:rsidRPr="00261B8E">
        <w:rPr>
          <w:spacing w:val="-5"/>
        </w:rPr>
        <w:t xml:space="preserve"> </w:t>
      </w:r>
      <w:r>
        <w:t>clinical</w:t>
      </w:r>
      <w:r w:rsidRPr="00261B8E">
        <w:rPr>
          <w:spacing w:val="-5"/>
        </w:rPr>
        <w:t xml:space="preserve"> </w:t>
      </w:r>
      <w:r>
        <w:t>route.</w:t>
      </w:r>
      <w:r w:rsidRPr="00261B8E">
        <w:rPr>
          <w:spacing w:val="-5"/>
        </w:rPr>
        <w:t xml:space="preserve"> </w:t>
      </w:r>
      <w:r>
        <w:t>The</w:t>
      </w:r>
      <w:r w:rsidRPr="00261B8E">
        <w:rPr>
          <w:spacing w:val="-6"/>
        </w:rPr>
        <w:t xml:space="preserve"> </w:t>
      </w:r>
      <w:r>
        <w:t>studies</w:t>
      </w:r>
      <w:r w:rsidRPr="00261B8E">
        <w:rPr>
          <w:spacing w:val="-4"/>
        </w:rPr>
        <w:t xml:space="preserve"> </w:t>
      </w:r>
      <w:r>
        <w:t>were</w:t>
      </w:r>
      <w:r w:rsidRPr="00261B8E">
        <w:rPr>
          <w:spacing w:val="-5"/>
        </w:rPr>
        <w:t xml:space="preserve"> </w:t>
      </w:r>
      <w:r>
        <w:t>adequately</w:t>
      </w:r>
      <w:r w:rsidRPr="00261B8E">
        <w:rPr>
          <w:spacing w:val="-8"/>
        </w:rPr>
        <w:t xml:space="preserve"> </w:t>
      </w:r>
      <w:r>
        <w:t>conducted.</w:t>
      </w:r>
      <w:r w:rsidRPr="00261B8E">
        <w:rPr>
          <w:spacing w:val="-7"/>
        </w:rPr>
        <w:t xml:space="preserve"> </w:t>
      </w:r>
      <w:r>
        <w:t>The major target organs for orelabrutinib were the lymphoid tissues (</w:t>
      </w:r>
      <w:r w:rsidRPr="00261B8E">
        <w:rPr>
          <w:i/>
        </w:rPr>
        <w:t xml:space="preserve">via </w:t>
      </w:r>
      <w:r>
        <w:t>expected</w:t>
      </w:r>
      <w:r w:rsidR="00261B8E">
        <w:t xml:space="preserve"> </w:t>
      </w:r>
      <w:r>
        <w:t>pharmacological</w:t>
      </w:r>
      <w:r w:rsidRPr="00261B8E">
        <w:rPr>
          <w:spacing w:val="-8"/>
        </w:rPr>
        <w:t xml:space="preserve"> </w:t>
      </w:r>
      <w:r>
        <w:t>action),</w:t>
      </w:r>
      <w:r w:rsidRPr="00261B8E">
        <w:rPr>
          <w:spacing w:val="-11"/>
        </w:rPr>
        <w:t xml:space="preserve"> </w:t>
      </w:r>
      <w:r>
        <w:t>haematopoietic</w:t>
      </w:r>
      <w:r w:rsidRPr="00261B8E">
        <w:rPr>
          <w:spacing w:val="-7"/>
        </w:rPr>
        <w:t xml:space="preserve"> </w:t>
      </w:r>
      <w:r>
        <w:t>system,</w:t>
      </w:r>
      <w:r w:rsidRPr="00261B8E">
        <w:rPr>
          <w:spacing w:val="-8"/>
        </w:rPr>
        <w:t xml:space="preserve"> </w:t>
      </w:r>
      <w:r>
        <w:t>gastrointestinal</w:t>
      </w:r>
      <w:r w:rsidRPr="00261B8E">
        <w:rPr>
          <w:spacing w:val="-8"/>
        </w:rPr>
        <w:t xml:space="preserve"> </w:t>
      </w:r>
      <w:r>
        <w:t>system,</w:t>
      </w:r>
      <w:r w:rsidRPr="00261B8E">
        <w:rPr>
          <w:spacing w:val="-8"/>
        </w:rPr>
        <w:t xml:space="preserve"> </w:t>
      </w:r>
      <w:r>
        <w:t>pancreas</w:t>
      </w:r>
      <w:r w:rsidRPr="00261B8E">
        <w:rPr>
          <w:spacing w:val="-7"/>
        </w:rPr>
        <w:t xml:space="preserve"> </w:t>
      </w:r>
      <w:r>
        <w:t>(in</w:t>
      </w:r>
      <w:r w:rsidRPr="00261B8E">
        <w:rPr>
          <w:spacing w:val="-9"/>
        </w:rPr>
        <w:t xml:space="preserve"> </w:t>
      </w:r>
      <w:r>
        <w:t>rats only)</w:t>
      </w:r>
      <w:r w:rsidRPr="00261B8E">
        <w:rPr>
          <w:spacing w:val="-3"/>
        </w:rPr>
        <w:t xml:space="preserve"> </w:t>
      </w:r>
      <w:r>
        <w:t>and</w:t>
      </w:r>
      <w:r w:rsidRPr="00261B8E">
        <w:rPr>
          <w:spacing w:val="-3"/>
        </w:rPr>
        <w:t xml:space="preserve"> </w:t>
      </w:r>
      <w:r>
        <w:t>thyroid</w:t>
      </w:r>
      <w:r w:rsidRPr="00261B8E">
        <w:rPr>
          <w:spacing w:val="-3"/>
        </w:rPr>
        <w:t xml:space="preserve"> </w:t>
      </w:r>
      <w:r>
        <w:t>(in</w:t>
      </w:r>
      <w:r w:rsidRPr="00261B8E">
        <w:rPr>
          <w:spacing w:val="-3"/>
        </w:rPr>
        <w:t xml:space="preserve"> </w:t>
      </w:r>
      <w:r>
        <w:t>rats</w:t>
      </w:r>
      <w:r w:rsidRPr="00261B8E">
        <w:rPr>
          <w:spacing w:val="-1"/>
        </w:rPr>
        <w:t xml:space="preserve"> </w:t>
      </w:r>
      <w:r>
        <w:t>only)</w:t>
      </w:r>
      <w:r w:rsidRPr="00261B8E">
        <w:rPr>
          <w:spacing w:val="-3"/>
        </w:rPr>
        <w:t xml:space="preserve"> </w:t>
      </w:r>
      <w:r>
        <w:t>and</w:t>
      </w:r>
      <w:r w:rsidRPr="00261B8E">
        <w:rPr>
          <w:spacing w:val="-3"/>
        </w:rPr>
        <w:t xml:space="preserve"> </w:t>
      </w:r>
      <w:r>
        <w:t>liver</w:t>
      </w:r>
      <w:r w:rsidRPr="00261B8E">
        <w:rPr>
          <w:spacing w:val="-2"/>
        </w:rPr>
        <w:t xml:space="preserve"> </w:t>
      </w:r>
      <w:r>
        <w:t>(in</w:t>
      </w:r>
      <w:r w:rsidRPr="00261B8E">
        <w:rPr>
          <w:spacing w:val="-3"/>
        </w:rPr>
        <w:t xml:space="preserve"> </w:t>
      </w:r>
      <w:r>
        <w:t>rats</w:t>
      </w:r>
      <w:r w:rsidRPr="00261B8E">
        <w:rPr>
          <w:spacing w:val="-1"/>
        </w:rPr>
        <w:t xml:space="preserve"> </w:t>
      </w:r>
      <w:r>
        <w:t>only).</w:t>
      </w:r>
      <w:r w:rsidRPr="00261B8E">
        <w:rPr>
          <w:spacing w:val="-2"/>
        </w:rPr>
        <w:t xml:space="preserve"> </w:t>
      </w:r>
      <w:r>
        <w:t>The</w:t>
      </w:r>
      <w:r w:rsidRPr="00261B8E">
        <w:rPr>
          <w:spacing w:val="-2"/>
        </w:rPr>
        <w:t xml:space="preserve"> </w:t>
      </w:r>
      <w:r>
        <w:t>effects</w:t>
      </w:r>
      <w:r w:rsidRPr="00261B8E">
        <w:rPr>
          <w:spacing w:val="-5"/>
        </w:rPr>
        <w:t xml:space="preserve"> </w:t>
      </w:r>
      <w:r>
        <w:t>in</w:t>
      </w:r>
      <w:r w:rsidRPr="00261B8E">
        <w:rPr>
          <w:spacing w:val="-3"/>
        </w:rPr>
        <w:t xml:space="preserve"> </w:t>
      </w:r>
      <w:r>
        <w:t>the</w:t>
      </w:r>
      <w:r w:rsidRPr="00261B8E">
        <w:rPr>
          <w:spacing w:val="-2"/>
        </w:rPr>
        <w:t xml:space="preserve"> </w:t>
      </w:r>
      <w:r>
        <w:t>pancreas,</w:t>
      </w:r>
      <w:r w:rsidRPr="00261B8E">
        <w:rPr>
          <w:spacing w:val="-2"/>
        </w:rPr>
        <w:t xml:space="preserve"> </w:t>
      </w:r>
      <w:r>
        <w:t>thyroid and liver are not considered clinically relevant. Lymphoid depletion, effects on</w:t>
      </w:r>
      <w:r w:rsidR="00261B8E">
        <w:t xml:space="preserve"> </w:t>
      </w:r>
      <w:r>
        <w:t>haematopoietic</w:t>
      </w:r>
      <w:r w:rsidRPr="00261B8E">
        <w:rPr>
          <w:spacing w:val="-10"/>
        </w:rPr>
        <w:t xml:space="preserve"> </w:t>
      </w:r>
      <w:r>
        <w:t>system</w:t>
      </w:r>
      <w:r w:rsidRPr="00261B8E">
        <w:rPr>
          <w:spacing w:val="-8"/>
        </w:rPr>
        <w:t xml:space="preserve"> </w:t>
      </w:r>
      <w:r>
        <w:t>and</w:t>
      </w:r>
      <w:r w:rsidRPr="00261B8E">
        <w:rPr>
          <w:spacing w:val="-9"/>
        </w:rPr>
        <w:t xml:space="preserve"> </w:t>
      </w:r>
      <w:r>
        <w:t>gastrointestinal</w:t>
      </w:r>
      <w:r w:rsidRPr="00261B8E">
        <w:rPr>
          <w:spacing w:val="-9"/>
        </w:rPr>
        <w:t xml:space="preserve"> </w:t>
      </w:r>
      <w:r>
        <w:t>system</w:t>
      </w:r>
      <w:r w:rsidRPr="00261B8E">
        <w:rPr>
          <w:spacing w:val="-9"/>
        </w:rPr>
        <w:t xml:space="preserve"> </w:t>
      </w:r>
      <w:r>
        <w:t>are</w:t>
      </w:r>
      <w:r w:rsidRPr="00261B8E">
        <w:rPr>
          <w:spacing w:val="-9"/>
        </w:rPr>
        <w:t xml:space="preserve"> </w:t>
      </w:r>
      <w:r>
        <w:t>expected</w:t>
      </w:r>
      <w:r w:rsidRPr="00261B8E">
        <w:rPr>
          <w:spacing w:val="-9"/>
        </w:rPr>
        <w:t xml:space="preserve"> </w:t>
      </w:r>
      <w:r>
        <w:t>in</w:t>
      </w:r>
      <w:r w:rsidRPr="00261B8E">
        <w:rPr>
          <w:spacing w:val="-9"/>
        </w:rPr>
        <w:t xml:space="preserve"> </w:t>
      </w:r>
      <w:r w:rsidRPr="00261B8E">
        <w:rPr>
          <w:spacing w:val="-2"/>
        </w:rPr>
        <w:t>patients.</w:t>
      </w:r>
    </w:p>
    <w:p w14:paraId="1280E00A" w14:textId="7464759B" w:rsidR="00D25420" w:rsidRDefault="00D25420" w:rsidP="00E82C23">
      <w:r>
        <w:t>Orelabrutinib</w:t>
      </w:r>
      <w:r w:rsidRPr="00D76A72">
        <w:rPr>
          <w:spacing w:val="-7"/>
        </w:rPr>
        <w:t xml:space="preserve"> </w:t>
      </w:r>
      <w:r>
        <w:t>was</w:t>
      </w:r>
      <w:r w:rsidRPr="00D76A72">
        <w:rPr>
          <w:spacing w:val="-2"/>
        </w:rPr>
        <w:t xml:space="preserve"> </w:t>
      </w:r>
      <w:r>
        <w:t>not</w:t>
      </w:r>
      <w:r w:rsidRPr="00D76A72">
        <w:rPr>
          <w:spacing w:val="-3"/>
        </w:rPr>
        <w:t xml:space="preserve"> </w:t>
      </w:r>
      <w:r>
        <w:t>mutagenic</w:t>
      </w:r>
      <w:r w:rsidRPr="00D76A72">
        <w:rPr>
          <w:spacing w:val="-2"/>
        </w:rPr>
        <w:t xml:space="preserve"> </w:t>
      </w:r>
      <w:r>
        <w:t>in</w:t>
      </w:r>
      <w:r w:rsidRPr="00D76A72">
        <w:rPr>
          <w:spacing w:val="-4"/>
        </w:rPr>
        <w:t xml:space="preserve"> </w:t>
      </w:r>
      <w:r>
        <w:t>an</w:t>
      </w:r>
      <w:r w:rsidRPr="00D76A72">
        <w:rPr>
          <w:spacing w:val="-4"/>
        </w:rPr>
        <w:t xml:space="preserve"> </w:t>
      </w:r>
      <w:r>
        <w:t>Ames</w:t>
      </w:r>
      <w:r w:rsidRPr="00D76A72">
        <w:rPr>
          <w:spacing w:val="-2"/>
        </w:rPr>
        <w:t xml:space="preserve"> </w:t>
      </w:r>
      <w:r>
        <w:t>test</w:t>
      </w:r>
      <w:r w:rsidRPr="00D76A72">
        <w:rPr>
          <w:spacing w:val="-4"/>
        </w:rPr>
        <w:t xml:space="preserve"> </w:t>
      </w:r>
      <w:r>
        <w:t>and</w:t>
      </w:r>
      <w:r w:rsidRPr="00D76A72">
        <w:rPr>
          <w:spacing w:val="-4"/>
        </w:rPr>
        <w:t xml:space="preserve"> </w:t>
      </w:r>
      <w:r>
        <w:t>was</w:t>
      </w:r>
      <w:r w:rsidRPr="00D76A72">
        <w:rPr>
          <w:spacing w:val="-2"/>
        </w:rPr>
        <w:t xml:space="preserve"> </w:t>
      </w:r>
      <w:r>
        <w:t>not</w:t>
      </w:r>
      <w:r w:rsidRPr="00D76A72">
        <w:rPr>
          <w:spacing w:val="-3"/>
        </w:rPr>
        <w:t xml:space="preserve"> </w:t>
      </w:r>
      <w:r>
        <w:t>clastogenic in</w:t>
      </w:r>
      <w:r w:rsidRPr="00D76A72">
        <w:rPr>
          <w:spacing w:val="-5"/>
        </w:rPr>
        <w:t xml:space="preserve"> </w:t>
      </w:r>
      <w:r w:rsidRPr="00D76A72">
        <w:rPr>
          <w:i/>
        </w:rPr>
        <w:t>in</w:t>
      </w:r>
      <w:r w:rsidRPr="00D76A72">
        <w:rPr>
          <w:i/>
          <w:spacing w:val="-6"/>
        </w:rPr>
        <w:t xml:space="preserve"> </w:t>
      </w:r>
      <w:r w:rsidRPr="00D76A72">
        <w:rPr>
          <w:i/>
        </w:rPr>
        <w:t>vitro</w:t>
      </w:r>
      <w:r w:rsidRPr="00D76A72">
        <w:rPr>
          <w:i/>
          <w:spacing w:val="-2"/>
        </w:rPr>
        <w:t xml:space="preserve"> </w:t>
      </w:r>
      <w:r>
        <w:t xml:space="preserve">(in Chinese hamster ovary cells) or in </w:t>
      </w:r>
      <w:r w:rsidRPr="00D76A72">
        <w:rPr>
          <w:i/>
        </w:rPr>
        <w:t xml:space="preserve">in vivo </w:t>
      </w:r>
      <w:r>
        <w:t xml:space="preserve">rat micronucleus test </w:t>
      </w:r>
      <w:r w:rsidRPr="0048703E">
        <w:t xml:space="preserve">in a set of adequately conducted studies. </w:t>
      </w:r>
      <w:r w:rsidRPr="00D76A72">
        <w:rPr>
          <w:color w:val="000000"/>
        </w:rPr>
        <w:t>No carcinogenicity studies were conducted, which is considered</w:t>
      </w:r>
      <w:r w:rsidR="00D76A72" w:rsidRPr="00D76A72">
        <w:rPr>
          <w:color w:val="000000"/>
        </w:rPr>
        <w:t xml:space="preserve"> </w:t>
      </w:r>
      <w:r w:rsidRPr="00D76A72">
        <w:rPr>
          <w:spacing w:val="-2"/>
        </w:rPr>
        <w:t>acceptable.</w:t>
      </w:r>
    </w:p>
    <w:p w14:paraId="02D137B3" w14:textId="5FA361BF" w:rsidR="00D25420" w:rsidRDefault="00D25420" w:rsidP="00E82C23">
      <w:r>
        <w:t>Reproductive</w:t>
      </w:r>
      <w:r w:rsidRPr="00D76A72">
        <w:rPr>
          <w:spacing w:val="-9"/>
        </w:rPr>
        <w:t xml:space="preserve"> </w:t>
      </w:r>
      <w:r>
        <w:t>toxicity</w:t>
      </w:r>
      <w:r w:rsidRPr="00D76A72">
        <w:rPr>
          <w:spacing w:val="-10"/>
        </w:rPr>
        <w:t xml:space="preserve"> </w:t>
      </w:r>
      <w:r>
        <w:t>studies</w:t>
      </w:r>
      <w:r w:rsidRPr="00D76A72">
        <w:rPr>
          <w:spacing w:val="-8"/>
        </w:rPr>
        <w:t xml:space="preserve"> </w:t>
      </w:r>
      <w:r>
        <w:t>examined</w:t>
      </w:r>
      <w:r w:rsidRPr="00D76A72">
        <w:rPr>
          <w:spacing w:val="-11"/>
        </w:rPr>
        <w:t xml:space="preserve"> </w:t>
      </w:r>
      <w:r>
        <w:t>effects</w:t>
      </w:r>
      <w:r w:rsidRPr="00D76A72">
        <w:rPr>
          <w:spacing w:val="-8"/>
        </w:rPr>
        <w:t xml:space="preserve"> </w:t>
      </w:r>
      <w:r>
        <w:t>on</w:t>
      </w:r>
      <w:r w:rsidRPr="00D76A72">
        <w:rPr>
          <w:spacing w:val="-10"/>
        </w:rPr>
        <w:t xml:space="preserve"> </w:t>
      </w:r>
      <w:r>
        <w:t>fertility</w:t>
      </w:r>
      <w:r w:rsidRPr="00D76A72">
        <w:rPr>
          <w:spacing w:val="-10"/>
        </w:rPr>
        <w:t xml:space="preserve"> </w:t>
      </w:r>
      <w:r>
        <w:t>(rats),</w:t>
      </w:r>
      <w:r w:rsidRPr="00D76A72">
        <w:rPr>
          <w:spacing w:val="-9"/>
        </w:rPr>
        <w:t xml:space="preserve"> </w:t>
      </w:r>
      <w:r>
        <w:t>embryofetal</w:t>
      </w:r>
      <w:r w:rsidRPr="00D76A72">
        <w:rPr>
          <w:spacing w:val="-11"/>
        </w:rPr>
        <w:t xml:space="preserve"> </w:t>
      </w:r>
      <w:r>
        <w:t>development (rats and rabbits) and pre-/postnatal development (rats). Male and female fertility were</w:t>
      </w:r>
      <w:r w:rsidR="00D76A72">
        <w:t xml:space="preserve"> </w:t>
      </w:r>
      <w:r>
        <w:t>unaffected</w:t>
      </w:r>
      <w:r w:rsidRPr="00D76A72">
        <w:rPr>
          <w:spacing w:val="-6"/>
        </w:rPr>
        <w:t xml:space="preserve"> </w:t>
      </w:r>
      <w:r>
        <w:t>in</w:t>
      </w:r>
      <w:r w:rsidRPr="00D76A72">
        <w:rPr>
          <w:spacing w:val="-7"/>
        </w:rPr>
        <w:t xml:space="preserve"> </w:t>
      </w:r>
      <w:r>
        <w:t>rats.</w:t>
      </w:r>
      <w:r w:rsidRPr="00D76A72">
        <w:rPr>
          <w:spacing w:val="-6"/>
        </w:rPr>
        <w:t xml:space="preserve"> </w:t>
      </w:r>
      <w:r w:rsidRPr="0048703E">
        <w:t xml:space="preserve">No treatment-related increase in malformations or embryofetal lethality </w:t>
      </w:r>
      <w:r w:rsidR="00D76A72" w:rsidRPr="0048703E">
        <w:t>was</w:t>
      </w:r>
      <w:r w:rsidRPr="0048703E">
        <w:t xml:space="preserve"> observed in rats or rabbits.</w:t>
      </w:r>
      <w:r w:rsidRPr="00D76A72">
        <w:rPr>
          <w:color w:val="000000"/>
        </w:rPr>
        <w:t xml:space="preserve"> Orelabrutinib was excreted into milk in rats, with levels</w:t>
      </w:r>
      <w:r w:rsidR="00D76A72" w:rsidRPr="00D76A72">
        <w:rPr>
          <w:color w:val="000000"/>
        </w:rPr>
        <w:t xml:space="preserve"> </w:t>
      </w:r>
      <w:r>
        <w:t>lower</w:t>
      </w:r>
      <w:r w:rsidRPr="00D76A72">
        <w:rPr>
          <w:spacing w:val="-6"/>
        </w:rPr>
        <w:t xml:space="preserve"> </w:t>
      </w:r>
      <w:r>
        <w:t>than</w:t>
      </w:r>
      <w:r w:rsidRPr="00D76A72">
        <w:rPr>
          <w:spacing w:val="-7"/>
        </w:rPr>
        <w:t xml:space="preserve"> </w:t>
      </w:r>
      <w:r>
        <w:t>maternal</w:t>
      </w:r>
      <w:r w:rsidRPr="00D76A72">
        <w:rPr>
          <w:spacing w:val="-6"/>
        </w:rPr>
        <w:t xml:space="preserve"> </w:t>
      </w:r>
      <w:r>
        <w:t>plasma</w:t>
      </w:r>
      <w:r w:rsidRPr="00D76A72">
        <w:rPr>
          <w:spacing w:val="-6"/>
        </w:rPr>
        <w:t xml:space="preserve"> </w:t>
      </w:r>
      <w:r>
        <w:t>levels.</w:t>
      </w:r>
      <w:r w:rsidRPr="00D76A72">
        <w:rPr>
          <w:spacing w:val="-6"/>
        </w:rPr>
        <w:t xml:space="preserve"> </w:t>
      </w:r>
      <w:r>
        <w:t>Plasma</w:t>
      </w:r>
      <w:r w:rsidRPr="00D76A72">
        <w:rPr>
          <w:spacing w:val="-6"/>
        </w:rPr>
        <w:t xml:space="preserve"> </w:t>
      </w:r>
      <w:r>
        <w:t>levels</w:t>
      </w:r>
      <w:r w:rsidRPr="00D76A72">
        <w:rPr>
          <w:spacing w:val="-4"/>
        </w:rPr>
        <w:t xml:space="preserve"> </w:t>
      </w:r>
      <w:r>
        <w:t>of</w:t>
      </w:r>
      <w:r w:rsidRPr="00D76A72">
        <w:rPr>
          <w:spacing w:val="-8"/>
        </w:rPr>
        <w:t xml:space="preserve"> </w:t>
      </w:r>
      <w:r>
        <w:t>orelabrutinib</w:t>
      </w:r>
      <w:r w:rsidRPr="00D76A72">
        <w:rPr>
          <w:spacing w:val="-8"/>
        </w:rPr>
        <w:t xml:space="preserve"> </w:t>
      </w:r>
      <w:r>
        <w:t>in</w:t>
      </w:r>
      <w:r w:rsidRPr="00D76A72">
        <w:rPr>
          <w:spacing w:val="-7"/>
        </w:rPr>
        <w:t xml:space="preserve"> </w:t>
      </w:r>
      <w:r>
        <w:t>pups</w:t>
      </w:r>
      <w:r w:rsidRPr="00D76A72">
        <w:rPr>
          <w:spacing w:val="-6"/>
        </w:rPr>
        <w:t xml:space="preserve"> </w:t>
      </w:r>
      <w:r>
        <w:t>were</w:t>
      </w:r>
      <w:r w:rsidRPr="00D76A72">
        <w:rPr>
          <w:spacing w:val="-6"/>
        </w:rPr>
        <w:t xml:space="preserve"> </w:t>
      </w:r>
      <w:r>
        <w:t>low,</w:t>
      </w:r>
      <w:r w:rsidRPr="00D76A72">
        <w:rPr>
          <w:spacing w:val="-7"/>
        </w:rPr>
        <w:t xml:space="preserve"> </w:t>
      </w:r>
      <w:r>
        <w:t>with</w:t>
      </w:r>
      <w:r w:rsidRPr="00D76A72">
        <w:rPr>
          <w:spacing w:val="-6"/>
        </w:rPr>
        <w:t xml:space="preserve"> </w:t>
      </w:r>
      <w:r>
        <w:t>no adverse effects on pup development.</w:t>
      </w:r>
    </w:p>
    <w:p w14:paraId="2F527059" w14:textId="77777777" w:rsidR="00D25420" w:rsidRDefault="00D25420" w:rsidP="00E82C23">
      <w:pPr>
        <w:rPr>
          <w:rFonts w:ascii="Symbol" w:hAnsi="Symbol" w:hint="eastAsia"/>
        </w:rPr>
      </w:pPr>
      <w:r>
        <w:lastRenderedPageBreak/>
        <w:t>Orelabrutinib</w:t>
      </w:r>
      <w:r>
        <w:rPr>
          <w:spacing w:val="-10"/>
        </w:rPr>
        <w:t xml:space="preserve"> </w:t>
      </w:r>
      <w:r>
        <w:t>was</w:t>
      </w:r>
      <w:r>
        <w:rPr>
          <w:spacing w:val="-5"/>
        </w:rPr>
        <w:t xml:space="preserve"> </w:t>
      </w:r>
      <w:r>
        <w:t>not</w:t>
      </w:r>
      <w:r>
        <w:rPr>
          <w:spacing w:val="-6"/>
        </w:rPr>
        <w:t xml:space="preserve"> </w:t>
      </w:r>
      <w:r>
        <w:t>expected</w:t>
      </w:r>
      <w:r>
        <w:rPr>
          <w:spacing w:val="-6"/>
        </w:rPr>
        <w:t xml:space="preserve"> </w:t>
      </w:r>
      <w:r>
        <w:t>to</w:t>
      </w:r>
      <w:r>
        <w:rPr>
          <w:spacing w:val="-6"/>
        </w:rPr>
        <w:t xml:space="preserve"> </w:t>
      </w:r>
      <w:r>
        <w:t>be</w:t>
      </w:r>
      <w:r>
        <w:rPr>
          <w:spacing w:val="-5"/>
        </w:rPr>
        <w:t xml:space="preserve"> </w:t>
      </w:r>
      <w:r>
        <w:rPr>
          <w:spacing w:val="-2"/>
        </w:rPr>
        <w:t>phototoxic.</w:t>
      </w:r>
    </w:p>
    <w:p w14:paraId="08ACC128" w14:textId="1F4B17BF" w:rsidR="00D25420" w:rsidRPr="008B1CDC" w:rsidRDefault="00D25420" w:rsidP="00E82C23">
      <w:pPr>
        <w:rPr>
          <w:rFonts w:ascii="Symbol" w:hAnsi="Symbol" w:hint="eastAsia"/>
        </w:rPr>
      </w:pPr>
      <w:r>
        <w:t>Specified</w:t>
      </w:r>
      <w:r>
        <w:rPr>
          <w:spacing w:val="-3"/>
        </w:rPr>
        <w:t xml:space="preserve"> </w:t>
      </w:r>
      <w:r>
        <w:t>limits</w:t>
      </w:r>
      <w:r>
        <w:rPr>
          <w:spacing w:val="-6"/>
        </w:rPr>
        <w:t xml:space="preserve"> </w:t>
      </w:r>
      <w:r>
        <w:t>for</w:t>
      </w:r>
      <w:r>
        <w:rPr>
          <w:spacing w:val="-3"/>
        </w:rPr>
        <w:t xml:space="preserve"> </w:t>
      </w:r>
      <w:r>
        <w:t>impurities</w:t>
      </w:r>
      <w:r>
        <w:rPr>
          <w:spacing w:val="-5"/>
        </w:rPr>
        <w:t xml:space="preserve"> </w:t>
      </w:r>
      <w:r>
        <w:t>in</w:t>
      </w:r>
      <w:r>
        <w:rPr>
          <w:spacing w:val="-4"/>
        </w:rPr>
        <w:t xml:space="preserve"> </w:t>
      </w:r>
      <w:r>
        <w:t>the</w:t>
      </w:r>
      <w:r>
        <w:rPr>
          <w:spacing w:val="-3"/>
        </w:rPr>
        <w:t xml:space="preserve"> </w:t>
      </w:r>
      <w:r>
        <w:t>drug</w:t>
      </w:r>
      <w:r>
        <w:rPr>
          <w:spacing w:val="-6"/>
        </w:rPr>
        <w:t xml:space="preserve"> </w:t>
      </w:r>
      <w:r>
        <w:t>substance</w:t>
      </w:r>
      <w:r>
        <w:rPr>
          <w:spacing w:val="-6"/>
        </w:rPr>
        <w:t xml:space="preserve"> </w:t>
      </w:r>
      <w:r>
        <w:t>and</w:t>
      </w:r>
      <w:r>
        <w:rPr>
          <w:spacing w:val="-4"/>
        </w:rPr>
        <w:t xml:space="preserve"> </w:t>
      </w:r>
      <w:r>
        <w:t>drug</w:t>
      </w:r>
      <w:r>
        <w:rPr>
          <w:spacing w:val="-4"/>
        </w:rPr>
        <w:t xml:space="preserve"> </w:t>
      </w:r>
      <w:r>
        <w:t>product</w:t>
      </w:r>
      <w:r>
        <w:rPr>
          <w:spacing w:val="-4"/>
        </w:rPr>
        <w:t xml:space="preserve"> </w:t>
      </w:r>
      <w:r w:rsidR="004B12FA">
        <w:t>are</w:t>
      </w:r>
      <w:r>
        <w:t xml:space="preserve"> toxicologically acceptable.</w:t>
      </w:r>
    </w:p>
    <w:p w14:paraId="57962FA1" w14:textId="4E60D24D" w:rsidR="008B1CDC" w:rsidRDefault="003151FB" w:rsidP="003151FB">
      <w:pPr>
        <w:pStyle w:val="Heading5"/>
        <w:rPr>
          <w:i w:val="0"/>
          <w:iCs/>
        </w:rPr>
      </w:pPr>
      <w:r>
        <w:rPr>
          <w:i w:val="0"/>
          <w:iCs/>
        </w:rPr>
        <w:t>Conclusions and recommendation</w:t>
      </w:r>
    </w:p>
    <w:p w14:paraId="7E796205" w14:textId="62F3D9CE" w:rsidR="003151FB" w:rsidRPr="003E3F28" w:rsidRDefault="003151FB" w:rsidP="00E82C23">
      <w:r w:rsidRPr="003E3F28">
        <w:t xml:space="preserve">No major deficiencies were identified </w:t>
      </w:r>
      <w:r w:rsidR="003E3F28" w:rsidRPr="003E3F28">
        <w:t>from a nonclinical perspective</w:t>
      </w:r>
      <w:r w:rsidRPr="003E3F28">
        <w:t>.</w:t>
      </w:r>
    </w:p>
    <w:p w14:paraId="11B2457E" w14:textId="4BAEC7B4" w:rsidR="003151FB" w:rsidRPr="00D66B04" w:rsidRDefault="003151FB" w:rsidP="00E82C23">
      <w:r>
        <w:t>T</w:t>
      </w:r>
      <w:r w:rsidRPr="0078032D">
        <w:t xml:space="preserve">he primary pharmacology studies </w:t>
      </w:r>
      <w:r w:rsidRPr="00B64085">
        <w:t>lend some support for the proposed indication</w:t>
      </w:r>
      <w:r w:rsidRPr="00CE79B9">
        <w:t>.</w:t>
      </w:r>
      <w:r>
        <w:t xml:space="preserve"> </w:t>
      </w:r>
      <w:r w:rsidRPr="00D66B04">
        <w:t>However, in</w:t>
      </w:r>
      <w:r>
        <w:t> </w:t>
      </w:r>
      <w:r w:rsidRPr="00D66B04">
        <w:t xml:space="preserve">the absence of exposure data in </w:t>
      </w:r>
      <w:r w:rsidRPr="003E3F28">
        <w:t xml:space="preserve">disease-related </w:t>
      </w:r>
      <w:r w:rsidRPr="0065595C">
        <w:rPr>
          <w:i/>
          <w:iCs/>
        </w:rPr>
        <w:t>in vivo</w:t>
      </w:r>
      <w:r w:rsidRPr="003E3F28">
        <w:t xml:space="preserve"> models, efficacy for the proposed indication at expected clinical exposures following </w:t>
      </w:r>
      <w:r w:rsidR="00C85ED9">
        <w:t>maximum recommended human dose (</w:t>
      </w:r>
      <w:r w:rsidRPr="003E3F28">
        <w:t>MRHD</w:t>
      </w:r>
      <w:r w:rsidR="00C85ED9">
        <w:t xml:space="preserve">) </w:t>
      </w:r>
      <w:r w:rsidRPr="003E3F28">
        <w:t>will rely solely</w:t>
      </w:r>
      <w:r>
        <w:t xml:space="preserve"> </w:t>
      </w:r>
      <w:r w:rsidRPr="00D66B04">
        <w:t>on clinical data.</w:t>
      </w:r>
    </w:p>
    <w:p w14:paraId="7F20A6FF" w14:textId="77777777" w:rsidR="003151FB" w:rsidRPr="00314044" w:rsidRDefault="003151FB" w:rsidP="00E82C23">
      <w:r>
        <w:t>S</w:t>
      </w:r>
      <w:r w:rsidRPr="00314044">
        <w:t xml:space="preserve">tudies </w:t>
      </w:r>
      <w:r>
        <w:t xml:space="preserve">in animals </w:t>
      </w:r>
      <w:r w:rsidRPr="00314044">
        <w:t>revealed the following findings of potential clinical relevance:</w:t>
      </w:r>
    </w:p>
    <w:p w14:paraId="22B375A1" w14:textId="77777777" w:rsidR="003151FB" w:rsidRPr="00314044" w:rsidRDefault="003151FB" w:rsidP="003151FB">
      <w:pPr>
        <w:pStyle w:val="ListBullet"/>
      </w:pPr>
      <w:r w:rsidRPr="00314044">
        <w:t>diminished immune reactions</w:t>
      </w:r>
      <w:r>
        <w:t xml:space="preserve"> (lymphoid depletion)</w:t>
      </w:r>
    </w:p>
    <w:p w14:paraId="59B47807" w14:textId="77777777" w:rsidR="003151FB" w:rsidRDefault="003151FB" w:rsidP="003151FB">
      <w:pPr>
        <w:pStyle w:val="ListBullet"/>
      </w:pPr>
      <w:r w:rsidRPr="00964FFB">
        <w:t>haematological changes</w:t>
      </w:r>
    </w:p>
    <w:p w14:paraId="7B6D9CE0" w14:textId="77777777" w:rsidR="003151FB" w:rsidRDefault="003151FB" w:rsidP="003151FB">
      <w:pPr>
        <w:pStyle w:val="ListBullet"/>
      </w:pPr>
      <w:r>
        <w:t>g</w:t>
      </w:r>
      <w:r w:rsidRPr="00E7428F">
        <w:t xml:space="preserve">astrointestinal effects </w:t>
      </w:r>
      <w:r>
        <w:t>(emesis).</w:t>
      </w:r>
    </w:p>
    <w:p w14:paraId="372832A3" w14:textId="2073A5B4" w:rsidR="003151FB" w:rsidRPr="000D1328" w:rsidRDefault="003151FB" w:rsidP="000D1328">
      <w:r w:rsidRPr="000D1328">
        <w:t>While no malformations or other adverse effects on embryofetal development were observed in studies performed in rats and rabbits, concern for potential harm with use in pregnancy is held for orelabrutinib based on its pharmacological activity, namely the potential for long-lasting immunosuppression in the offspring through B-cell depletion. As such, assignment to Pregnancy Category C is warranted (not Category B1 as propose</w:t>
      </w:r>
      <w:r w:rsidR="008F4590">
        <w:t>d by the sponsor</w:t>
      </w:r>
      <w:r w:rsidRPr="000D1328">
        <w:t>).</w:t>
      </w:r>
    </w:p>
    <w:p w14:paraId="1C2B7B65" w14:textId="380C0E5B" w:rsidR="003151FB" w:rsidRPr="000D1328" w:rsidRDefault="003151FB" w:rsidP="000D1328">
      <w:r w:rsidRPr="000D1328">
        <w:t>There are no nonclinical objections to the registration of</w:t>
      </w:r>
      <w:r w:rsidR="000D1328" w:rsidRPr="000D1328">
        <w:t xml:space="preserve"> Hibruka </w:t>
      </w:r>
      <w:r w:rsidRPr="000D1328">
        <w:t>for the proposed indication.</w:t>
      </w:r>
    </w:p>
    <w:p w14:paraId="35B580A5" w14:textId="40B226DC" w:rsidR="00C22214" w:rsidRDefault="00C22214" w:rsidP="008804CF">
      <w:pPr>
        <w:pStyle w:val="Heading3"/>
      </w:pPr>
      <w:bookmarkStart w:id="39" w:name="_Toc247691530"/>
      <w:bookmarkStart w:id="40" w:name="_Toc314842513"/>
      <w:bookmarkStart w:id="41" w:name="_Toc103679297"/>
      <w:bookmarkStart w:id="42" w:name="_Toc241844855"/>
      <w:r>
        <w:t>Clinical</w:t>
      </w:r>
      <w:bookmarkEnd w:id="39"/>
      <w:bookmarkEnd w:id="40"/>
      <w:bookmarkEnd w:id="41"/>
      <w:r w:rsidR="00095C6A">
        <w:t xml:space="preserve"> evaluation summary</w:t>
      </w:r>
      <w:bookmarkEnd w:id="42"/>
    </w:p>
    <w:p w14:paraId="32B0DEDA" w14:textId="77777777" w:rsidR="00C22214" w:rsidRDefault="00C22214" w:rsidP="00433318">
      <w:pPr>
        <w:pStyle w:val="Heading4"/>
      </w:pPr>
      <w:bookmarkStart w:id="43" w:name="_Toc98931928"/>
      <w:bookmarkStart w:id="44" w:name="_Toc241844856"/>
      <w:r>
        <w:t>Summary of clinical studies</w:t>
      </w:r>
      <w:bookmarkEnd w:id="43"/>
      <w:bookmarkEnd w:id="44"/>
    </w:p>
    <w:p w14:paraId="038ABEAC" w14:textId="1EA41101" w:rsidR="00DE3CAA" w:rsidRPr="00DE3CAA" w:rsidRDefault="00DE3CAA" w:rsidP="003719C6">
      <w:r w:rsidRPr="00A55675">
        <w:t xml:space="preserve">The </w:t>
      </w:r>
      <w:r>
        <w:t xml:space="preserve">clinical </w:t>
      </w:r>
      <w:r w:rsidRPr="00A55675">
        <w:t>dossier documented a full clinical development program of pharmacology, efficacy and</w:t>
      </w:r>
      <w:r>
        <w:t xml:space="preserve"> </w:t>
      </w:r>
      <w:r w:rsidRPr="00A55675">
        <w:t>safety studies</w:t>
      </w:r>
      <w:r>
        <w:t>.</w:t>
      </w:r>
    </w:p>
    <w:p w14:paraId="0AE5B616" w14:textId="19B4AB39" w:rsidR="003A4E11" w:rsidRDefault="003A4E11" w:rsidP="003719C6">
      <w:pPr>
        <w:rPr>
          <w:iCs/>
          <w:lang w:val="en-GB" w:eastAsia="ja-JP"/>
        </w:rPr>
      </w:pPr>
      <w:r>
        <w:rPr>
          <w:iCs/>
          <w:lang w:val="en-GB" w:eastAsia="ja-JP"/>
        </w:rPr>
        <w:t>Detailed clinical study reports</w:t>
      </w:r>
      <w:r w:rsidR="00E91A3F">
        <w:rPr>
          <w:iCs/>
          <w:lang w:val="en-GB" w:eastAsia="ja-JP"/>
        </w:rPr>
        <w:t xml:space="preserve"> (CSRs)</w:t>
      </w:r>
      <w:r>
        <w:rPr>
          <w:iCs/>
          <w:lang w:val="en-GB" w:eastAsia="ja-JP"/>
        </w:rPr>
        <w:t xml:space="preserve"> included were</w:t>
      </w:r>
      <w:r w:rsidR="00472784">
        <w:rPr>
          <w:iCs/>
          <w:lang w:val="en-GB" w:eastAsia="ja-JP"/>
        </w:rPr>
        <w:t xml:space="preserve"> as follows.</w:t>
      </w:r>
    </w:p>
    <w:p w14:paraId="298710BB" w14:textId="2484A2F9" w:rsidR="003A4E11" w:rsidRPr="00FA7B7D" w:rsidRDefault="00B95CAA" w:rsidP="003719C6">
      <w:pPr>
        <w:pStyle w:val="ListBullet"/>
        <w:rPr>
          <w:lang w:val="en-GB"/>
        </w:rPr>
      </w:pPr>
      <w:r>
        <w:rPr>
          <w:lang w:val="en-GB" w:eastAsia="ja-JP"/>
        </w:rPr>
        <w:t>P</w:t>
      </w:r>
      <w:r w:rsidR="003A4E11" w:rsidRPr="00FA7B7D">
        <w:rPr>
          <w:lang w:val="en-GB" w:eastAsia="ja-JP"/>
        </w:rPr>
        <w:t xml:space="preserve">ivotal </w:t>
      </w:r>
      <w:r w:rsidR="006A0687">
        <w:rPr>
          <w:lang w:val="en-GB" w:eastAsia="ja-JP"/>
        </w:rPr>
        <w:t>P</w:t>
      </w:r>
      <w:r w:rsidR="003A4E11" w:rsidRPr="00FA7B7D">
        <w:rPr>
          <w:lang w:val="en-GB" w:eastAsia="ja-JP"/>
        </w:rPr>
        <w:t xml:space="preserve">hase </w:t>
      </w:r>
      <w:r w:rsidR="003549F6">
        <w:rPr>
          <w:lang w:val="en-GB" w:eastAsia="ja-JP"/>
        </w:rPr>
        <w:t>1</w:t>
      </w:r>
      <w:r w:rsidR="003A4E11">
        <w:rPr>
          <w:lang w:val="en-GB" w:eastAsia="ja-JP"/>
        </w:rPr>
        <w:t>/</w:t>
      </w:r>
      <w:r w:rsidR="003549F6">
        <w:rPr>
          <w:lang w:val="en-GB" w:eastAsia="ja-JP"/>
        </w:rPr>
        <w:t>2</w:t>
      </w:r>
      <w:r w:rsidR="003A4E11" w:rsidRPr="00FA7B7D">
        <w:rPr>
          <w:lang w:val="en-GB" w:eastAsia="ja-JP"/>
        </w:rPr>
        <w:t xml:space="preserve"> study (ICP-CL-00102, China only)</w:t>
      </w:r>
      <w:r>
        <w:rPr>
          <w:lang w:val="en-GB" w:eastAsia="ja-JP"/>
        </w:rPr>
        <w:t>. This was</w:t>
      </w:r>
      <w:r w:rsidR="003A4E11" w:rsidRPr="00FA7B7D">
        <w:rPr>
          <w:lang w:val="en-GB" w:eastAsia="ja-JP"/>
        </w:rPr>
        <w:t xml:space="preserve"> </w:t>
      </w:r>
      <w:r w:rsidR="00492A3C">
        <w:rPr>
          <w:lang w:val="en-GB" w:eastAsia="ja-JP"/>
        </w:rPr>
        <w:t>a</w:t>
      </w:r>
      <w:r w:rsidR="003A4E11" w:rsidRPr="00FA7B7D">
        <w:rPr>
          <w:lang w:val="en-GB"/>
        </w:rPr>
        <w:t xml:space="preserve"> multicenter, open-label clinical study to evaluate the safety and efficacy of ICP-022 in patients with relapsed/refractory mantle cell lymphoma (</w:t>
      </w:r>
      <w:r w:rsidR="00492A3C">
        <w:rPr>
          <w:lang w:val="en-GB"/>
        </w:rPr>
        <w:t xml:space="preserve">R/R </w:t>
      </w:r>
      <w:r w:rsidR="003A4E11" w:rsidRPr="00FA7B7D">
        <w:rPr>
          <w:lang w:val="en-GB"/>
        </w:rPr>
        <w:t>MCL)</w:t>
      </w:r>
      <w:r>
        <w:rPr>
          <w:lang w:val="en-GB"/>
        </w:rPr>
        <w:t>.</w:t>
      </w:r>
    </w:p>
    <w:p w14:paraId="3D99AC40" w14:textId="26BFFE3D" w:rsidR="003A4E11" w:rsidRPr="00FA7B7D" w:rsidRDefault="00B95CAA" w:rsidP="003719C6">
      <w:pPr>
        <w:pStyle w:val="ListBullet"/>
        <w:rPr>
          <w:lang w:val="en-GB"/>
        </w:rPr>
      </w:pPr>
      <w:r>
        <w:rPr>
          <w:lang w:val="en-GB"/>
        </w:rPr>
        <w:t>M</w:t>
      </w:r>
      <w:r w:rsidR="003A4E11" w:rsidRPr="00FA7B7D">
        <w:rPr>
          <w:lang w:val="en-GB"/>
        </w:rPr>
        <w:t xml:space="preserve">ain supporting Phase </w:t>
      </w:r>
      <w:r w:rsidR="00AD0561">
        <w:rPr>
          <w:lang w:val="en-GB"/>
        </w:rPr>
        <w:t>1/2</w:t>
      </w:r>
      <w:r w:rsidR="003A4E11" w:rsidRPr="00FA7B7D">
        <w:rPr>
          <w:lang w:val="en-GB"/>
        </w:rPr>
        <w:t xml:space="preserve"> study (ICP-CL-00107,</w:t>
      </w:r>
      <w:r w:rsidR="003A4E11">
        <w:rPr>
          <w:lang w:val="en-GB"/>
        </w:rPr>
        <w:t xml:space="preserve"> non-China</w:t>
      </w:r>
      <w:r w:rsidR="003A4E11" w:rsidRPr="00FA7B7D">
        <w:rPr>
          <w:lang w:val="en-GB"/>
        </w:rPr>
        <w:t>)</w:t>
      </w:r>
      <w:r>
        <w:rPr>
          <w:lang w:val="en-GB"/>
        </w:rPr>
        <w:t>. This was</w:t>
      </w:r>
      <w:r w:rsidR="003A4E11" w:rsidRPr="00FA7B7D">
        <w:rPr>
          <w:lang w:val="en-GB"/>
        </w:rPr>
        <w:t xml:space="preserve"> </w:t>
      </w:r>
      <w:r w:rsidR="00492A3C">
        <w:rPr>
          <w:lang w:val="en-GB"/>
        </w:rPr>
        <w:t>a</w:t>
      </w:r>
      <w:r w:rsidR="003A4E11" w:rsidRPr="00FA7B7D">
        <w:rPr>
          <w:lang w:val="en-GB"/>
        </w:rPr>
        <w:t xml:space="preserve"> phase </w:t>
      </w:r>
      <w:r w:rsidR="003549F6">
        <w:rPr>
          <w:lang w:val="en-GB" w:eastAsia="ja-JP"/>
        </w:rPr>
        <w:t>1/2</w:t>
      </w:r>
      <w:r w:rsidR="003A4E11" w:rsidRPr="00FA7B7D">
        <w:rPr>
          <w:rFonts w:eastAsia="MS Mincho" w:cs="MS Mincho"/>
          <w:lang w:val="en-GB"/>
        </w:rPr>
        <w:t xml:space="preserve">, </w:t>
      </w:r>
      <w:r w:rsidR="003A4E11" w:rsidRPr="00FA7B7D">
        <w:rPr>
          <w:lang w:val="en-GB"/>
        </w:rPr>
        <w:t xml:space="preserve">multicenter, open- </w:t>
      </w:r>
      <w:r w:rsidR="006A0687">
        <w:rPr>
          <w:lang w:val="en-GB"/>
        </w:rPr>
        <w:t>l</w:t>
      </w:r>
      <w:r w:rsidR="003A4E11" w:rsidRPr="00FA7B7D">
        <w:rPr>
          <w:lang w:val="en-GB"/>
        </w:rPr>
        <w:t>abel, study of a novel bruton’s tyrosine kinase inhibitor, orelabrutinib, in patients with b-cell malignancies</w:t>
      </w:r>
      <w:r w:rsidR="004B6D65">
        <w:rPr>
          <w:lang w:val="en-GB"/>
        </w:rPr>
        <w:t>.</w:t>
      </w:r>
    </w:p>
    <w:p w14:paraId="4B71F6AE" w14:textId="2E8938C3" w:rsidR="003A4E11" w:rsidRPr="00FA7B7D" w:rsidRDefault="00AD0561" w:rsidP="003719C6">
      <w:pPr>
        <w:pStyle w:val="ListBullet"/>
        <w:rPr>
          <w:lang w:val="en-GB"/>
        </w:rPr>
      </w:pPr>
      <w:r>
        <w:rPr>
          <w:lang w:val="en-GB"/>
        </w:rPr>
        <w:t>S</w:t>
      </w:r>
      <w:r w:rsidR="003A4E11" w:rsidRPr="00FA7B7D">
        <w:rPr>
          <w:lang w:val="en-GB"/>
        </w:rPr>
        <w:t xml:space="preserve">upporting Phase </w:t>
      </w:r>
      <w:r w:rsidR="00334260">
        <w:rPr>
          <w:lang w:val="en-GB"/>
        </w:rPr>
        <w:t>2</w:t>
      </w:r>
      <w:r w:rsidR="004B6D65">
        <w:rPr>
          <w:lang w:val="en-GB"/>
        </w:rPr>
        <w:t xml:space="preserve"> </w:t>
      </w:r>
      <w:r w:rsidR="003A4E11" w:rsidRPr="00FA7B7D">
        <w:rPr>
          <w:lang w:val="en-GB"/>
        </w:rPr>
        <w:t>study (ICP-CL-0012</w:t>
      </w:r>
      <w:r w:rsidR="003A4E11">
        <w:rPr>
          <w:lang w:val="en-GB"/>
        </w:rPr>
        <w:t>7</w:t>
      </w:r>
      <w:r w:rsidR="003A4E11" w:rsidRPr="00FA7B7D">
        <w:rPr>
          <w:lang w:val="en-GB"/>
        </w:rPr>
        <w:t>,</w:t>
      </w:r>
      <w:r w:rsidR="003A4E11">
        <w:rPr>
          <w:lang w:val="en-GB"/>
        </w:rPr>
        <w:t xml:space="preserve"> China, a</w:t>
      </w:r>
      <w:r w:rsidR="003A4E11" w:rsidRPr="00FA7B7D">
        <w:rPr>
          <w:lang w:val="en-GB"/>
        </w:rPr>
        <w:t xml:space="preserve"> study supporting </w:t>
      </w:r>
      <w:r w:rsidR="003A4E11">
        <w:rPr>
          <w:lang w:val="en-GB"/>
        </w:rPr>
        <w:t xml:space="preserve">the </w:t>
      </w:r>
      <w:r w:rsidR="003A4E11" w:rsidRPr="00FA7B7D">
        <w:rPr>
          <w:lang w:val="en-GB"/>
        </w:rPr>
        <w:t>dose schedule in regard to efficacy and toxicity)</w:t>
      </w:r>
      <w:r w:rsidR="00334260">
        <w:rPr>
          <w:lang w:val="en-GB"/>
        </w:rPr>
        <w:t>. This was</w:t>
      </w:r>
      <w:r w:rsidR="003A4E11" w:rsidRPr="00FA7B7D">
        <w:rPr>
          <w:lang w:val="en-GB"/>
        </w:rPr>
        <w:t xml:space="preserve"> </w:t>
      </w:r>
      <w:r w:rsidR="00492A3C">
        <w:rPr>
          <w:lang w:val="en-GB"/>
        </w:rPr>
        <w:t>a</w:t>
      </w:r>
      <w:r w:rsidR="003A4E11" w:rsidRPr="00FA7B7D">
        <w:rPr>
          <w:lang w:val="en-GB"/>
        </w:rPr>
        <w:t xml:space="preserve"> </w:t>
      </w:r>
      <w:r w:rsidR="006A0687">
        <w:rPr>
          <w:lang w:val="en-GB"/>
        </w:rPr>
        <w:t>r</w:t>
      </w:r>
      <w:r w:rsidR="003A4E11" w:rsidRPr="00FA7B7D">
        <w:rPr>
          <w:lang w:val="en-GB"/>
        </w:rPr>
        <w:t xml:space="preserve">andomized, </w:t>
      </w:r>
      <w:r w:rsidR="006A0687">
        <w:rPr>
          <w:lang w:val="en-GB"/>
        </w:rPr>
        <w:t>o</w:t>
      </w:r>
      <w:r w:rsidR="003A4E11" w:rsidRPr="00FA7B7D">
        <w:rPr>
          <w:lang w:val="en-GB"/>
        </w:rPr>
        <w:t xml:space="preserve">pen-label, </w:t>
      </w:r>
      <w:r w:rsidR="006A0687">
        <w:rPr>
          <w:lang w:val="en-GB"/>
        </w:rPr>
        <w:t>m</w:t>
      </w:r>
      <w:r w:rsidR="003A4E11" w:rsidRPr="00FA7B7D">
        <w:rPr>
          <w:lang w:val="en-GB"/>
        </w:rPr>
        <w:t xml:space="preserve">ulticenter, Phase </w:t>
      </w:r>
      <w:r w:rsidR="004B6D65">
        <w:rPr>
          <w:lang w:val="en-GB"/>
        </w:rPr>
        <w:t>2</w:t>
      </w:r>
      <w:r w:rsidR="003A4E11" w:rsidRPr="00FA7B7D">
        <w:rPr>
          <w:lang w:val="en-GB"/>
        </w:rPr>
        <w:t xml:space="preserve"> Trial </w:t>
      </w:r>
      <w:r w:rsidR="005753D1">
        <w:rPr>
          <w:lang w:val="en-GB"/>
        </w:rPr>
        <w:t>e</w:t>
      </w:r>
      <w:r w:rsidR="003A4E11" w:rsidRPr="00FA7B7D">
        <w:rPr>
          <w:lang w:val="en-GB"/>
        </w:rPr>
        <w:t xml:space="preserve">valuating </w:t>
      </w:r>
      <w:r w:rsidR="005753D1">
        <w:rPr>
          <w:lang w:val="en-GB"/>
        </w:rPr>
        <w:t>t</w:t>
      </w:r>
      <w:r w:rsidR="003A4E11" w:rsidRPr="00FA7B7D">
        <w:rPr>
          <w:lang w:val="en-GB"/>
        </w:rPr>
        <w:t xml:space="preserve">wo </w:t>
      </w:r>
      <w:r w:rsidR="005753D1">
        <w:rPr>
          <w:lang w:val="en-GB"/>
        </w:rPr>
        <w:t>d</w:t>
      </w:r>
      <w:r w:rsidR="003A4E11" w:rsidRPr="00FA7B7D">
        <w:rPr>
          <w:lang w:val="en-GB"/>
        </w:rPr>
        <w:t xml:space="preserve">ifferent </w:t>
      </w:r>
      <w:r w:rsidR="005753D1">
        <w:rPr>
          <w:lang w:val="en-GB"/>
        </w:rPr>
        <w:t>d</w:t>
      </w:r>
      <w:r w:rsidR="003A4E11" w:rsidRPr="00FA7B7D">
        <w:rPr>
          <w:lang w:val="en-GB"/>
        </w:rPr>
        <w:t xml:space="preserve">oses of </w:t>
      </w:r>
      <w:r w:rsidR="005753D1">
        <w:rPr>
          <w:lang w:val="en-GB"/>
        </w:rPr>
        <w:t>o</w:t>
      </w:r>
      <w:r w:rsidR="003A4E11" w:rsidRPr="00FA7B7D">
        <w:rPr>
          <w:lang w:val="en-GB"/>
        </w:rPr>
        <w:t xml:space="preserve">relabrutinib in </w:t>
      </w:r>
      <w:r w:rsidR="005753D1">
        <w:rPr>
          <w:lang w:val="en-GB"/>
        </w:rPr>
        <w:t>MCL</w:t>
      </w:r>
      <w:r w:rsidR="004B6D65">
        <w:rPr>
          <w:lang w:val="en-GB"/>
        </w:rPr>
        <w:t>.</w:t>
      </w:r>
    </w:p>
    <w:p w14:paraId="6E114C79" w14:textId="61535912" w:rsidR="003A4E11" w:rsidRPr="00FA7B7D" w:rsidRDefault="00C6179B" w:rsidP="003719C6">
      <w:pPr>
        <w:pStyle w:val="ListBullet"/>
        <w:rPr>
          <w:lang w:val="en-GB"/>
        </w:rPr>
      </w:pPr>
      <w:r>
        <w:rPr>
          <w:lang w:val="en-GB"/>
        </w:rPr>
        <w:t>S</w:t>
      </w:r>
      <w:r w:rsidR="003A4E11" w:rsidRPr="00FA7B7D">
        <w:rPr>
          <w:lang w:val="en-GB"/>
        </w:rPr>
        <w:t>tudies</w:t>
      </w:r>
      <w:r w:rsidR="003A4E11">
        <w:rPr>
          <w:lang w:val="en-GB"/>
        </w:rPr>
        <w:t xml:space="preserve"> providing</w:t>
      </w:r>
      <w:r w:rsidR="003A4E11" w:rsidRPr="00FA7B7D">
        <w:rPr>
          <w:lang w:val="en-GB"/>
        </w:rPr>
        <w:t xml:space="preserve"> supporting safety data for reference to patient narratives for important safety concerns (ICP-CL-00103, ICP-CL-00104, ICP-CL-00105, ICP-CL-00106, ICP-CL-00111)</w:t>
      </w:r>
      <w:r w:rsidR="004B6D65">
        <w:rPr>
          <w:lang w:val="en-GB"/>
        </w:rPr>
        <w:t>.</w:t>
      </w:r>
    </w:p>
    <w:p w14:paraId="28AFA0F0" w14:textId="19449130" w:rsidR="003A4E11" w:rsidRDefault="00B923B6" w:rsidP="00024EF9">
      <w:pPr>
        <w:pStyle w:val="ListBullet"/>
        <w:numPr>
          <w:ilvl w:val="0"/>
          <w:numId w:val="0"/>
        </w:numPr>
        <w:rPr>
          <w:lang w:val="en-GB"/>
        </w:rPr>
      </w:pPr>
      <w:r>
        <w:rPr>
          <w:lang w:val="en-GB"/>
        </w:rPr>
        <w:t xml:space="preserve">Study </w:t>
      </w:r>
      <w:r w:rsidR="003A4E11" w:rsidRPr="00FA7B7D">
        <w:rPr>
          <w:lang w:val="en-GB"/>
        </w:rPr>
        <w:t xml:space="preserve">ICP-CL-00128, </w:t>
      </w:r>
      <w:r>
        <w:rPr>
          <w:lang w:val="en-GB"/>
        </w:rPr>
        <w:t xml:space="preserve">a </w:t>
      </w:r>
      <w:r w:rsidR="00DE51BC">
        <w:rPr>
          <w:lang w:val="en-GB"/>
        </w:rPr>
        <w:t>P</w:t>
      </w:r>
      <w:r w:rsidR="003A4E11" w:rsidRPr="00FA7B7D">
        <w:rPr>
          <w:lang w:val="en-GB"/>
        </w:rPr>
        <w:t xml:space="preserve">hase </w:t>
      </w:r>
      <w:r w:rsidR="004B6D65">
        <w:rPr>
          <w:lang w:val="en-GB"/>
        </w:rPr>
        <w:t>3</w:t>
      </w:r>
      <w:r w:rsidR="003A4E11" w:rsidRPr="00FA7B7D">
        <w:rPr>
          <w:lang w:val="en-GB"/>
        </w:rPr>
        <w:t xml:space="preserve"> confirmatory trial</w:t>
      </w:r>
      <w:r>
        <w:rPr>
          <w:lang w:val="en-GB"/>
        </w:rPr>
        <w:t xml:space="preserve"> </w:t>
      </w:r>
      <w:r w:rsidR="003A4E11" w:rsidRPr="00FA7B7D">
        <w:rPr>
          <w:lang w:val="en-GB"/>
        </w:rPr>
        <w:t>is currently recruiting</w:t>
      </w:r>
      <w:r>
        <w:rPr>
          <w:lang w:val="en-GB"/>
        </w:rPr>
        <w:t xml:space="preserve"> </w:t>
      </w:r>
      <w:r w:rsidR="00E91A3F">
        <w:rPr>
          <w:lang w:val="en-GB"/>
        </w:rPr>
        <w:t>so no CSR was provided.</w:t>
      </w:r>
    </w:p>
    <w:p w14:paraId="3589AE94" w14:textId="0C74B50B" w:rsidR="003A4E11" w:rsidRPr="00B741BF" w:rsidRDefault="003A4E11" w:rsidP="003719C6">
      <w:r w:rsidRPr="00B741BF">
        <w:t xml:space="preserve">Phase </w:t>
      </w:r>
      <w:r w:rsidR="004B6D65">
        <w:t>1</w:t>
      </w:r>
      <w:r w:rsidRPr="00B741BF">
        <w:t xml:space="preserve"> studies providing </w:t>
      </w:r>
      <w:r w:rsidR="003719C6">
        <w:t>pharmacokinetic (</w:t>
      </w:r>
      <w:r w:rsidRPr="00B741BF">
        <w:t>PK</w:t>
      </w:r>
      <w:r w:rsidR="003719C6">
        <w:t>)</w:t>
      </w:r>
      <w:r w:rsidRPr="00B741BF">
        <w:t xml:space="preserve"> and </w:t>
      </w:r>
      <w:r w:rsidR="00213A17">
        <w:t>pharmacodynamic (</w:t>
      </w:r>
      <w:r w:rsidRPr="00B741BF">
        <w:t>PD</w:t>
      </w:r>
      <w:r w:rsidR="00213A17">
        <w:t>)</w:t>
      </w:r>
      <w:r w:rsidRPr="00B741BF">
        <w:t xml:space="preserve"> data included</w:t>
      </w:r>
      <w:r w:rsidR="00213A17">
        <w:t>:</w:t>
      </w:r>
    </w:p>
    <w:p w14:paraId="7DFB3536" w14:textId="1F57444C" w:rsidR="003A4E11" w:rsidRPr="00B741BF" w:rsidRDefault="003A4E11" w:rsidP="003719C6">
      <w:pPr>
        <w:pStyle w:val="ListBullet"/>
      </w:pPr>
      <w:r>
        <w:lastRenderedPageBreak/>
        <w:t>3</w:t>
      </w:r>
      <w:r w:rsidRPr="00B741BF">
        <w:t xml:space="preserve"> studies in healthy subjects </w:t>
      </w:r>
      <w:r w:rsidR="003A26FD">
        <w:t>(</w:t>
      </w:r>
      <w:r w:rsidRPr="00B741BF">
        <w:t xml:space="preserve">ICP-CL-001 (dose-escalation, PK-PD, safety and food effect), ICP-CL-00110 (ADME) and the </w:t>
      </w:r>
      <w:r>
        <w:t>t</w:t>
      </w:r>
      <w:r w:rsidRPr="00B741BF">
        <w:t>horough QT/QTc study (TQT) ICP-CL-00120</w:t>
      </w:r>
      <w:r w:rsidR="003A26FD">
        <w:t>)</w:t>
      </w:r>
    </w:p>
    <w:p w14:paraId="29354377" w14:textId="4B864574" w:rsidR="003A4E11" w:rsidRPr="00B741BF" w:rsidRDefault="003A4E11">
      <w:pPr>
        <w:pStyle w:val="ListBullet"/>
      </w:pPr>
      <w:r>
        <w:t>2</w:t>
      </w:r>
      <w:r w:rsidRPr="00B741BF">
        <w:t xml:space="preserve"> studies evaluating </w:t>
      </w:r>
      <w:r w:rsidR="003A26FD">
        <w:t>drug-drug interactions (</w:t>
      </w:r>
      <w:r w:rsidRPr="00B741BF">
        <w:t>DDIs</w:t>
      </w:r>
      <w:r w:rsidR="003A26FD">
        <w:t xml:space="preserve">): </w:t>
      </w:r>
      <w:r w:rsidRPr="00B741BF">
        <w:t>ICP-CL-00117, ICP-CL-00122 and a</w:t>
      </w:r>
      <w:r w:rsidR="00FB3FD7">
        <w:t xml:space="preserve"> </w:t>
      </w:r>
      <w:r w:rsidR="00697CE2" w:rsidRPr="00697CE2">
        <w:t>Physiologically Based Pharmacokinetic</w:t>
      </w:r>
      <w:r w:rsidR="00697CE2">
        <w:t xml:space="preserve"> (</w:t>
      </w:r>
      <w:r w:rsidRPr="00B741BF">
        <w:t>PBPK</w:t>
      </w:r>
      <w:r w:rsidR="00697CE2">
        <w:t>)</w:t>
      </w:r>
      <w:r w:rsidRPr="00B741BF">
        <w:t xml:space="preserve"> report </w:t>
      </w:r>
      <w:r w:rsidR="00697CE2">
        <w:t>(</w:t>
      </w:r>
      <w:r w:rsidRPr="00B741BF">
        <w:t>Incp-1-b</w:t>
      </w:r>
      <w:r w:rsidR="00697CE2">
        <w:t>)</w:t>
      </w:r>
    </w:p>
    <w:p w14:paraId="7B6A06F7" w14:textId="79235A50" w:rsidR="003A4E11" w:rsidRPr="00B741BF" w:rsidRDefault="00D32389" w:rsidP="003719C6">
      <w:pPr>
        <w:pStyle w:val="ListBullet"/>
      </w:pPr>
      <w:r>
        <w:t>one</w:t>
      </w:r>
      <w:r w:rsidR="003A4E11" w:rsidRPr="00B741BF">
        <w:t xml:space="preserve"> study (ICP-CL-00119) to evaluate PK/ safety in subjects with hepatic impairment</w:t>
      </w:r>
    </w:p>
    <w:p w14:paraId="2D9A30A9" w14:textId="41B77742" w:rsidR="003A4E11" w:rsidRPr="00B741BF" w:rsidRDefault="003A4E11" w:rsidP="003719C6">
      <w:pPr>
        <w:pStyle w:val="ListBullet"/>
      </w:pPr>
      <w:r w:rsidRPr="00B741BF">
        <w:t xml:space="preserve">PK-PD results from the pivotal Phase II </w:t>
      </w:r>
      <w:r w:rsidR="0081181C">
        <w:t>S</w:t>
      </w:r>
      <w:r w:rsidRPr="00B741BF">
        <w:t>tudy ICP-CL-00102</w:t>
      </w:r>
    </w:p>
    <w:p w14:paraId="0F4991D9" w14:textId="397755DC" w:rsidR="003A4E11" w:rsidRPr="00B741BF" w:rsidRDefault="00D32389" w:rsidP="003719C6">
      <w:pPr>
        <w:pStyle w:val="ListBullet"/>
      </w:pPr>
      <w:r>
        <w:t>one</w:t>
      </w:r>
      <w:r w:rsidR="003A4E11" w:rsidRPr="00B741BF">
        <w:t xml:space="preserve"> </w:t>
      </w:r>
      <w:r w:rsidR="00057623">
        <w:t xml:space="preserve">population </w:t>
      </w:r>
      <w:r w:rsidR="0098399D">
        <w:t>PK (</w:t>
      </w:r>
      <w:r w:rsidR="003A4E11" w:rsidRPr="00B741BF">
        <w:t>PopPK</w:t>
      </w:r>
      <w:r w:rsidR="0098399D">
        <w:t>)</w:t>
      </w:r>
      <w:r w:rsidR="003A4E11" w:rsidRPr="00B741BF">
        <w:t xml:space="preserve"> analysis</w:t>
      </w:r>
      <w:r w:rsidR="0098399D">
        <w:t>: R</w:t>
      </w:r>
      <w:r w:rsidR="003A4E11" w:rsidRPr="00B741BF">
        <w:t>eport INNO-PMX-ORELABRUTINIB-35255</w:t>
      </w:r>
      <w:r w:rsidR="003A4E11">
        <w:t>.</w:t>
      </w:r>
    </w:p>
    <w:p w14:paraId="549C887A" w14:textId="4E278C6D" w:rsidR="00213A17" w:rsidRDefault="00213A17" w:rsidP="00C22214">
      <w:pPr>
        <w:pStyle w:val="Heading4"/>
      </w:pPr>
      <w:bookmarkStart w:id="45" w:name="_Toc241844857"/>
      <w:bookmarkStart w:id="46" w:name="_Toc314842514"/>
      <w:r>
        <w:t>Clinical pharmacology</w:t>
      </w:r>
      <w:bookmarkEnd w:id="45"/>
    </w:p>
    <w:p w14:paraId="4EC9C5F6" w14:textId="271E96B6" w:rsidR="00213A17" w:rsidRDefault="00C01D7B" w:rsidP="00213A17">
      <w:pPr>
        <w:pStyle w:val="Heading5"/>
        <w:rPr>
          <w:i w:val="0"/>
          <w:iCs/>
        </w:rPr>
      </w:pPr>
      <w:r>
        <w:rPr>
          <w:i w:val="0"/>
          <w:iCs/>
        </w:rPr>
        <w:t>Pharmacokinetic</w:t>
      </w:r>
      <w:r w:rsidR="00CA68F2">
        <w:rPr>
          <w:i w:val="0"/>
          <w:iCs/>
        </w:rPr>
        <w:t xml:space="preserve">s </w:t>
      </w:r>
    </w:p>
    <w:p w14:paraId="726385A7" w14:textId="3186A6BB" w:rsidR="001C1EDA" w:rsidRDefault="00D01832" w:rsidP="00780185">
      <w:r>
        <w:t>The c</w:t>
      </w:r>
      <w:r w:rsidR="001C1EDA">
        <w:t>omposition of the formulation has remained unchanged over the course of clinical development. It is noted that the 10mg tablet was only used in the Phase I studies in healthy subjects. All other clinical studies used the 50mg tablet</w:t>
      </w:r>
      <w:r w:rsidR="00FC6A3F">
        <w:t>,</w:t>
      </w:r>
      <w:r w:rsidR="001C1EDA">
        <w:t xml:space="preserve"> which is intended to be commercially used</w:t>
      </w:r>
      <w:r w:rsidR="001C1EDA">
        <w:rPr>
          <w:spacing w:val="-3"/>
        </w:rPr>
        <w:t xml:space="preserve"> </w:t>
      </w:r>
      <w:r w:rsidR="001C1EDA">
        <w:t>for</w:t>
      </w:r>
      <w:r w:rsidR="001C1EDA">
        <w:rPr>
          <w:spacing w:val="-3"/>
        </w:rPr>
        <w:t xml:space="preserve"> </w:t>
      </w:r>
      <w:r w:rsidR="001C1EDA">
        <w:t>the</w:t>
      </w:r>
      <w:r w:rsidR="001C1EDA">
        <w:rPr>
          <w:spacing w:val="-3"/>
        </w:rPr>
        <w:t xml:space="preserve"> </w:t>
      </w:r>
      <w:r w:rsidR="001C1EDA">
        <w:t>treatment</w:t>
      </w:r>
      <w:r w:rsidR="001C1EDA">
        <w:rPr>
          <w:spacing w:val="-4"/>
        </w:rPr>
        <w:t xml:space="preserve"> </w:t>
      </w:r>
      <w:r w:rsidR="001C1EDA">
        <w:t>of</w:t>
      </w:r>
      <w:r w:rsidR="001C1EDA">
        <w:rPr>
          <w:spacing w:val="-6"/>
        </w:rPr>
        <w:t xml:space="preserve"> </w:t>
      </w:r>
      <w:r w:rsidR="001C1EDA">
        <w:t>patients</w:t>
      </w:r>
      <w:r w:rsidR="001C1EDA">
        <w:rPr>
          <w:spacing w:val="-2"/>
        </w:rPr>
        <w:t xml:space="preserve"> </w:t>
      </w:r>
      <w:r w:rsidR="001C1EDA">
        <w:t>with</w:t>
      </w:r>
      <w:r w:rsidR="001C1EDA">
        <w:rPr>
          <w:spacing w:val="-3"/>
        </w:rPr>
        <w:t xml:space="preserve"> </w:t>
      </w:r>
      <w:r w:rsidR="001C1EDA">
        <w:t>MCL.</w:t>
      </w:r>
      <w:r w:rsidR="001C1EDA">
        <w:rPr>
          <w:spacing w:val="-3"/>
        </w:rPr>
        <w:t xml:space="preserve"> </w:t>
      </w:r>
      <w:r w:rsidR="001C1EDA">
        <w:t>Therefore,</w:t>
      </w:r>
      <w:r w:rsidR="001C1EDA">
        <w:rPr>
          <w:spacing w:val="-3"/>
        </w:rPr>
        <w:t xml:space="preserve"> </w:t>
      </w:r>
      <w:r w:rsidR="001C1EDA">
        <w:t>no</w:t>
      </w:r>
      <w:r w:rsidR="001C1EDA">
        <w:rPr>
          <w:spacing w:val="-3"/>
        </w:rPr>
        <w:t xml:space="preserve"> </w:t>
      </w:r>
      <w:r w:rsidR="001C1EDA">
        <w:t>clinical</w:t>
      </w:r>
      <w:r w:rsidR="001C1EDA">
        <w:rPr>
          <w:spacing w:val="-3"/>
        </w:rPr>
        <w:t xml:space="preserve"> </w:t>
      </w:r>
      <w:r w:rsidR="001C1EDA">
        <w:t>bioequivalence</w:t>
      </w:r>
      <w:r w:rsidR="001C1EDA">
        <w:rPr>
          <w:spacing w:val="-3"/>
        </w:rPr>
        <w:t xml:space="preserve"> </w:t>
      </w:r>
      <w:r w:rsidR="001C1EDA">
        <w:t>studies</w:t>
      </w:r>
      <w:r w:rsidR="001C1EDA">
        <w:rPr>
          <w:spacing w:val="-2"/>
        </w:rPr>
        <w:t xml:space="preserve"> </w:t>
      </w:r>
      <w:r w:rsidR="001C1EDA">
        <w:t>were deemed necessary.</w:t>
      </w:r>
      <w:r w:rsidR="001C1EDA">
        <w:rPr>
          <w:spacing w:val="-1"/>
        </w:rPr>
        <w:t xml:space="preserve"> </w:t>
      </w:r>
      <w:r w:rsidR="001C1EDA">
        <w:t>The recommended clinical dose is 150 mg (three 50</w:t>
      </w:r>
      <w:r w:rsidR="001C1EDA">
        <w:rPr>
          <w:spacing w:val="-1"/>
        </w:rPr>
        <w:t xml:space="preserve"> </w:t>
      </w:r>
      <w:r w:rsidR="001C1EDA">
        <w:t>mg tablets) once daily.</w:t>
      </w:r>
    </w:p>
    <w:p w14:paraId="20DA5202" w14:textId="4A5DEA3B" w:rsidR="00780185" w:rsidRPr="002B35F6" w:rsidRDefault="00A750A0" w:rsidP="002B35F6">
      <w:pPr>
        <w:pStyle w:val="Heading5"/>
        <w:rPr>
          <w:i w:val="0"/>
          <w:iCs/>
        </w:rPr>
      </w:pPr>
      <w:r>
        <w:rPr>
          <w:i w:val="0"/>
          <w:iCs/>
        </w:rPr>
        <w:t>Pharmacokinetics</w:t>
      </w:r>
      <w:r w:rsidR="001C1EDA" w:rsidRPr="002B35F6">
        <w:rPr>
          <w:i w:val="0"/>
          <w:iCs/>
          <w:spacing w:val="-2"/>
        </w:rPr>
        <w:t xml:space="preserve"> </w:t>
      </w:r>
      <w:r w:rsidR="001C1EDA" w:rsidRPr="002B35F6">
        <w:rPr>
          <w:i w:val="0"/>
          <w:iCs/>
        </w:rPr>
        <w:t>in</w:t>
      </w:r>
      <w:r w:rsidR="001C1EDA" w:rsidRPr="002B35F6">
        <w:rPr>
          <w:i w:val="0"/>
          <w:iCs/>
          <w:spacing w:val="-2"/>
        </w:rPr>
        <w:t xml:space="preserve"> </w:t>
      </w:r>
      <w:r w:rsidR="001C1EDA" w:rsidRPr="002B35F6">
        <w:rPr>
          <w:i w:val="0"/>
          <w:iCs/>
        </w:rPr>
        <w:t>healthy</w:t>
      </w:r>
      <w:r w:rsidR="001C1EDA" w:rsidRPr="002B35F6">
        <w:rPr>
          <w:i w:val="0"/>
          <w:iCs/>
          <w:spacing w:val="-5"/>
        </w:rPr>
        <w:t xml:space="preserve"> </w:t>
      </w:r>
      <w:r w:rsidR="001C1EDA" w:rsidRPr="002B35F6">
        <w:rPr>
          <w:i w:val="0"/>
          <w:iCs/>
        </w:rPr>
        <w:t>subjects</w:t>
      </w:r>
    </w:p>
    <w:p w14:paraId="6F0B5000" w14:textId="3C5B4213" w:rsidR="001C1EDA" w:rsidRDefault="001C1EDA" w:rsidP="00780185">
      <w:r>
        <w:t>The</w:t>
      </w:r>
      <w:r>
        <w:rPr>
          <w:spacing w:val="-2"/>
        </w:rPr>
        <w:t xml:space="preserve"> </w:t>
      </w:r>
      <w:r>
        <w:t>exposure</w:t>
      </w:r>
      <w:r>
        <w:rPr>
          <w:spacing w:val="-2"/>
        </w:rPr>
        <w:t xml:space="preserve"> </w:t>
      </w:r>
      <w:r>
        <w:t>of</w:t>
      </w:r>
      <w:r>
        <w:rPr>
          <w:spacing w:val="-2"/>
        </w:rPr>
        <w:t xml:space="preserve"> </w:t>
      </w:r>
      <w:r>
        <w:t>orelabrutinib</w:t>
      </w:r>
      <w:r>
        <w:rPr>
          <w:spacing w:val="-3"/>
        </w:rPr>
        <w:t xml:space="preserve"> </w:t>
      </w:r>
      <w:r>
        <w:t>AUC</w:t>
      </w:r>
      <w:r>
        <w:rPr>
          <w:spacing w:val="-2"/>
        </w:rPr>
        <w:t xml:space="preserve"> </w:t>
      </w:r>
      <w:r>
        <w:t>and</w:t>
      </w:r>
      <w:r>
        <w:rPr>
          <w:spacing w:val="-6"/>
        </w:rPr>
        <w:t xml:space="preserve"> </w:t>
      </w:r>
      <w:r>
        <w:t>C</w:t>
      </w:r>
      <w:r w:rsidRPr="00A750A0">
        <w:rPr>
          <w:vertAlign w:val="subscript"/>
        </w:rPr>
        <w:t>max</w:t>
      </w:r>
      <w:r>
        <w:rPr>
          <w:spacing w:val="-4"/>
        </w:rPr>
        <w:t xml:space="preserve"> </w:t>
      </w:r>
      <w:r>
        <w:t>increases</w:t>
      </w:r>
      <w:r>
        <w:rPr>
          <w:spacing w:val="-1"/>
        </w:rPr>
        <w:t xml:space="preserve"> </w:t>
      </w:r>
      <w:r>
        <w:t>proportionally over a dosage range from 20 mg to 400 mg. There were no significant changes in the PK profile following repeated administration with no systemic accumulation of orelabrutinib.</w:t>
      </w:r>
      <w:r>
        <w:rPr>
          <w:spacing w:val="40"/>
        </w:rPr>
        <w:t xml:space="preserve"> </w:t>
      </w:r>
      <w:r>
        <w:t>The mean (CV%) of orelabrutinib steady-state AUC</w:t>
      </w:r>
      <w:r w:rsidRPr="00AA1A1D">
        <w:rPr>
          <w:vertAlign w:val="subscript"/>
        </w:rPr>
        <w:t xml:space="preserve">0-24 </w:t>
      </w:r>
      <w:r>
        <w:t>was 7555 (24.54%) ng</w:t>
      </w:r>
      <w:r w:rsidR="009B4366">
        <w:t>*h</w:t>
      </w:r>
      <w:r>
        <w:t>/mL, and the mean (CV%) of the steady-state C</w:t>
      </w:r>
      <w:r w:rsidRPr="00AA1A1D">
        <w:rPr>
          <w:vertAlign w:val="subscript"/>
        </w:rPr>
        <w:t xml:space="preserve">max </w:t>
      </w:r>
      <w:r>
        <w:t>was1240 (31.94%) ng/mL following administration of the proposed dose of 150 mg once daily.</w:t>
      </w:r>
    </w:p>
    <w:p w14:paraId="2009056A" w14:textId="1FE5C752" w:rsidR="001C1EDA" w:rsidRPr="002B35F6" w:rsidRDefault="00D93716" w:rsidP="002B35F6">
      <w:pPr>
        <w:pStyle w:val="Heading5"/>
        <w:rPr>
          <w:i w:val="0"/>
          <w:iCs/>
        </w:rPr>
      </w:pPr>
      <w:r w:rsidRPr="002B35F6">
        <w:rPr>
          <w:i w:val="0"/>
          <w:iCs/>
        </w:rPr>
        <w:t>Absorption</w:t>
      </w:r>
      <w:r w:rsidR="002C4EDA">
        <w:rPr>
          <w:i w:val="0"/>
          <w:iCs/>
        </w:rPr>
        <w:t>,</w:t>
      </w:r>
      <w:r w:rsidRPr="002B35F6">
        <w:rPr>
          <w:i w:val="0"/>
          <w:iCs/>
        </w:rPr>
        <w:t xml:space="preserve"> </w:t>
      </w:r>
      <w:r w:rsidR="002C4EDA">
        <w:rPr>
          <w:i w:val="0"/>
          <w:iCs/>
        </w:rPr>
        <w:t>d</w:t>
      </w:r>
      <w:r w:rsidRPr="002B35F6">
        <w:rPr>
          <w:i w:val="0"/>
          <w:iCs/>
        </w:rPr>
        <w:t>istribution</w:t>
      </w:r>
      <w:r w:rsidR="002C4EDA">
        <w:rPr>
          <w:i w:val="0"/>
          <w:iCs/>
        </w:rPr>
        <w:t>,</w:t>
      </w:r>
      <w:r w:rsidRPr="002B35F6">
        <w:rPr>
          <w:i w:val="0"/>
          <w:iCs/>
        </w:rPr>
        <w:t xml:space="preserve"> </w:t>
      </w:r>
      <w:r w:rsidR="002C4EDA">
        <w:rPr>
          <w:i w:val="0"/>
          <w:iCs/>
        </w:rPr>
        <w:t>m</w:t>
      </w:r>
      <w:r w:rsidRPr="002B35F6">
        <w:rPr>
          <w:i w:val="0"/>
          <w:iCs/>
        </w:rPr>
        <w:t>etabolism</w:t>
      </w:r>
      <w:r w:rsidR="002C4EDA">
        <w:rPr>
          <w:i w:val="0"/>
          <w:iCs/>
        </w:rPr>
        <w:t>, and e</w:t>
      </w:r>
      <w:r w:rsidRPr="002B35F6">
        <w:rPr>
          <w:i w:val="0"/>
          <w:iCs/>
        </w:rPr>
        <w:t xml:space="preserve">limination </w:t>
      </w:r>
      <w:r w:rsidR="001C1EDA" w:rsidRPr="002B35F6">
        <w:rPr>
          <w:i w:val="0"/>
          <w:iCs/>
        </w:rPr>
        <w:t>profile</w:t>
      </w:r>
    </w:p>
    <w:p w14:paraId="15217F43" w14:textId="77777777" w:rsidR="001C1EDA" w:rsidRDefault="001C1EDA" w:rsidP="00D93716">
      <w:r>
        <w:t>The median time to maximum concentration (t</w:t>
      </w:r>
      <w:r w:rsidRPr="00AA1A1D">
        <w:rPr>
          <w:vertAlign w:val="subscript"/>
        </w:rPr>
        <w:t>max</w:t>
      </w:r>
      <w:r>
        <w:t>) for oral administration of orelabrutinib</w:t>
      </w:r>
      <w:r>
        <w:rPr>
          <w:spacing w:val="-4"/>
        </w:rPr>
        <w:t xml:space="preserve"> </w:t>
      </w:r>
      <w:r>
        <w:t>was</w:t>
      </w:r>
      <w:r>
        <w:rPr>
          <w:spacing w:val="-2"/>
        </w:rPr>
        <w:t xml:space="preserve"> </w:t>
      </w:r>
      <w:r>
        <w:t>approximately</w:t>
      </w:r>
      <w:r>
        <w:rPr>
          <w:spacing w:val="-4"/>
        </w:rPr>
        <w:t xml:space="preserve"> </w:t>
      </w:r>
      <w:r>
        <w:t>2</w:t>
      </w:r>
      <w:r>
        <w:rPr>
          <w:spacing w:val="-3"/>
        </w:rPr>
        <w:t xml:space="preserve"> </w:t>
      </w:r>
      <w:r>
        <w:t>hours. Food</w:t>
      </w:r>
      <w:r>
        <w:rPr>
          <w:spacing w:val="-4"/>
        </w:rPr>
        <w:t xml:space="preserve"> </w:t>
      </w:r>
      <w:r>
        <w:t>did</w:t>
      </w:r>
      <w:r>
        <w:rPr>
          <w:spacing w:val="-6"/>
        </w:rPr>
        <w:t xml:space="preserve"> </w:t>
      </w:r>
      <w:r>
        <w:t>not</w:t>
      </w:r>
      <w:r>
        <w:rPr>
          <w:spacing w:val="-3"/>
        </w:rPr>
        <w:t xml:space="preserve"> </w:t>
      </w:r>
      <w:r>
        <w:t>have</w:t>
      </w:r>
      <w:r>
        <w:rPr>
          <w:spacing w:val="-4"/>
        </w:rPr>
        <w:t xml:space="preserve"> </w:t>
      </w:r>
      <w:r>
        <w:t>clinically</w:t>
      </w:r>
      <w:r>
        <w:rPr>
          <w:spacing w:val="-4"/>
        </w:rPr>
        <w:t xml:space="preserve"> </w:t>
      </w:r>
      <w:r>
        <w:t>significant effects</w:t>
      </w:r>
      <w:r>
        <w:rPr>
          <w:spacing w:val="-2"/>
        </w:rPr>
        <w:t xml:space="preserve"> </w:t>
      </w:r>
      <w:r>
        <w:t>on</w:t>
      </w:r>
      <w:r>
        <w:rPr>
          <w:spacing w:val="-3"/>
        </w:rPr>
        <w:t xml:space="preserve"> </w:t>
      </w:r>
      <w:r>
        <w:t>orelabrutinib</w:t>
      </w:r>
      <w:r>
        <w:rPr>
          <w:spacing w:val="-3"/>
        </w:rPr>
        <w:t xml:space="preserve"> </w:t>
      </w:r>
      <w:r>
        <w:t>PKs;</w:t>
      </w:r>
      <w:r>
        <w:rPr>
          <w:spacing w:val="-3"/>
        </w:rPr>
        <w:t xml:space="preserve"> </w:t>
      </w:r>
      <w:r>
        <w:t>the</w:t>
      </w:r>
      <w:r>
        <w:rPr>
          <w:spacing w:val="-5"/>
        </w:rPr>
        <w:t xml:space="preserve"> </w:t>
      </w:r>
      <w:r>
        <w:t>geometric</w:t>
      </w:r>
      <w:r>
        <w:rPr>
          <w:spacing w:val="-1"/>
        </w:rPr>
        <w:t xml:space="preserve"> </w:t>
      </w:r>
      <w:r>
        <w:t>mean</w:t>
      </w:r>
      <w:r>
        <w:rPr>
          <w:spacing w:val="-3"/>
        </w:rPr>
        <w:t xml:space="preserve"> </w:t>
      </w:r>
      <w:r>
        <w:t>AUC</w:t>
      </w:r>
      <w:r>
        <w:rPr>
          <w:spacing w:val="-2"/>
        </w:rPr>
        <w:t xml:space="preserve"> </w:t>
      </w:r>
      <w:r>
        <w:t>and</w:t>
      </w:r>
      <w:r>
        <w:rPr>
          <w:spacing w:val="-3"/>
        </w:rPr>
        <w:t xml:space="preserve"> </w:t>
      </w:r>
      <w:r>
        <w:t>C</w:t>
      </w:r>
      <w:r w:rsidRPr="00FC445D">
        <w:rPr>
          <w:vertAlign w:val="subscript"/>
        </w:rPr>
        <w:t>max</w:t>
      </w:r>
      <w:r w:rsidRPr="00AA1A1D">
        <w:rPr>
          <w:spacing w:val="-1"/>
          <w:vertAlign w:val="subscript"/>
        </w:rPr>
        <w:t xml:space="preserve"> </w:t>
      </w:r>
      <w:r>
        <w:t>of</w:t>
      </w:r>
      <w:r>
        <w:rPr>
          <w:spacing w:val="-5"/>
        </w:rPr>
        <w:t xml:space="preserve"> </w:t>
      </w:r>
      <w:r>
        <w:t>orelabrutinib after a high-fat and high-calorie meal were 111% and 76.55%, respectively of those under fasted conditions.</w:t>
      </w:r>
    </w:p>
    <w:p w14:paraId="411BF951" w14:textId="77777777" w:rsidR="001C1EDA" w:rsidRDefault="001C1EDA" w:rsidP="00D93716">
      <w:r>
        <w:t>Human</w:t>
      </w:r>
      <w:r>
        <w:rPr>
          <w:spacing w:val="-4"/>
        </w:rPr>
        <w:t xml:space="preserve"> </w:t>
      </w:r>
      <w:r>
        <w:t>plasma</w:t>
      </w:r>
      <w:r>
        <w:rPr>
          <w:spacing w:val="-3"/>
        </w:rPr>
        <w:t xml:space="preserve"> </w:t>
      </w:r>
      <w:r>
        <w:t>protein</w:t>
      </w:r>
      <w:r>
        <w:rPr>
          <w:spacing w:val="-4"/>
        </w:rPr>
        <w:t xml:space="preserve"> </w:t>
      </w:r>
      <w:r>
        <w:t>binding</w:t>
      </w:r>
      <w:r>
        <w:rPr>
          <w:spacing w:val="-2"/>
        </w:rPr>
        <w:t xml:space="preserve"> </w:t>
      </w:r>
      <w:r>
        <w:t>of</w:t>
      </w:r>
      <w:r>
        <w:rPr>
          <w:spacing w:val="-6"/>
        </w:rPr>
        <w:t xml:space="preserve"> </w:t>
      </w:r>
      <w:r>
        <w:t>orelabrutinib</w:t>
      </w:r>
      <w:r>
        <w:rPr>
          <w:spacing w:val="-4"/>
        </w:rPr>
        <w:t xml:space="preserve"> </w:t>
      </w:r>
      <w:r>
        <w:t>was</w:t>
      </w:r>
      <w:r>
        <w:rPr>
          <w:spacing w:val="-2"/>
        </w:rPr>
        <w:t xml:space="preserve"> </w:t>
      </w:r>
      <w:r>
        <w:t>93.5%.</w:t>
      </w:r>
      <w:r>
        <w:rPr>
          <w:spacing w:val="-3"/>
        </w:rPr>
        <w:t xml:space="preserve"> </w:t>
      </w:r>
      <w:r>
        <w:t xml:space="preserve">The </w:t>
      </w:r>
      <w:r>
        <w:rPr>
          <w:i/>
        </w:rPr>
        <w:t>in</w:t>
      </w:r>
      <w:r>
        <w:rPr>
          <w:i/>
          <w:spacing w:val="-4"/>
        </w:rPr>
        <w:t xml:space="preserve"> </w:t>
      </w:r>
      <w:r>
        <w:rPr>
          <w:i/>
        </w:rPr>
        <w:t>vitro</w:t>
      </w:r>
      <w:r>
        <w:rPr>
          <w:i/>
          <w:spacing w:val="-2"/>
        </w:rPr>
        <w:t xml:space="preserve"> </w:t>
      </w:r>
      <w:r>
        <w:t>blood-to plasma ratio of orelabrutinib was about 0.9. At a dose of 150 mg once daily, the mean (CV%)</w:t>
      </w:r>
      <w:r>
        <w:rPr>
          <w:spacing w:val="-1"/>
        </w:rPr>
        <w:t xml:space="preserve"> </w:t>
      </w:r>
      <w:r>
        <w:t>of the apparent volume of distribution</w:t>
      </w:r>
      <w:r>
        <w:rPr>
          <w:spacing w:val="-1"/>
        </w:rPr>
        <w:t xml:space="preserve"> </w:t>
      </w:r>
      <w:r>
        <w:t>(Vz/F) was 123 (21.58%)</w:t>
      </w:r>
      <w:r>
        <w:rPr>
          <w:spacing w:val="-1"/>
        </w:rPr>
        <w:t xml:space="preserve"> </w:t>
      </w:r>
      <w:r>
        <w:t>L.</w:t>
      </w:r>
    </w:p>
    <w:p w14:paraId="6938794E" w14:textId="77777777" w:rsidR="001C1EDA" w:rsidRDefault="001C1EDA" w:rsidP="00D93716">
      <w:r>
        <w:t xml:space="preserve">Metabolism is the main route of elimination for orelabrutinib and it is primarily metabolized by CYP3A4. Orelabrutinib is eliminated primarily in the form of metabolites via faeces and urine (parent orelabrutinib accounted for </w:t>
      </w:r>
      <w:r>
        <w:rPr>
          <w:u w:val="single"/>
        </w:rPr>
        <w:t>&lt;</w:t>
      </w:r>
      <w:r>
        <w:t>1.0% of the administered dose in faeces and in urine). After a single oral administration of</w:t>
      </w:r>
      <w:r>
        <w:rPr>
          <w:spacing w:val="-4"/>
        </w:rPr>
        <w:t xml:space="preserve"> </w:t>
      </w:r>
      <w:r>
        <w:t>radio</w:t>
      </w:r>
      <w:r>
        <w:rPr>
          <w:spacing w:val="-4"/>
        </w:rPr>
        <w:t xml:space="preserve"> </w:t>
      </w:r>
      <w:r>
        <w:t>labelled</w:t>
      </w:r>
      <w:r>
        <w:rPr>
          <w:spacing w:val="-4"/>
        </w:rPr>
        <w:t xml:space="preserve"> </w:t>
      </w:r>
      <w:r>
        <w:t>[14C]</w:t>
      </w:r>
      <w:r>
        <w:rPr>
          <w:spacing w:val="-4"/>
        </w:rPr>
        <w:t xml:space="preserve"> </w:t>
      </w:r>
      <w:r>
        <w:t>orelabrutinib</w:t>
      </w:r>
      <w:r>
        <w:rPr>
          <w:spacing w:val="-4"/>
        </w:rPr>
        <w:t xml:space="preserve"> </w:t>
      </w:r>
      <w:r>
        <w:t>to</w:t>
      </w:r>
      <w:r>
        <w:rPr>
          <w:spacing w:val="-4"/>
        </w:rPr>
        <w:t xml:space="preserve"> </w:t>
      </w:r>
      <w:r>
        <w:t>healthy</w:t>
      </w:r>
      <w:r>
        <w:rPr>
          <w:spacing w:val="-4"/>
        </w:rPr>
        <w:t xml:space="preserve"> </w:t>
      </w:r>
      <w:r>
        <w:t>subjects,</w:t>
      </w:r>
      <w:r>
        <w:rPr>
          <w:spacing w:val="-4"/>
        </w:rPr>
        <w:t xml:space="preserve"> </w:t>
      </w:r>
      <w:r>
        <w:t>approximately</w:t>
      </w:r>
      <w:r>
        <w:rPr>
          <w:spacing w:val="-4"/>
        </w:rPr>
        <w:t xml:space="preserve"> </w:t>
      </w:r>
      <w:r>
        <w:t>83.6%</w:t>
      </w:r>
      <w:r>
        <w:rPr>
          <w:spacing w:val="-4"/>
        </w:rPr>
        <w:t xml:space="preserve"> </w:t>
      </w:r>
      <w:r>
        <w:t>of the dose was recovered (49.4% in faeces and 34.3% in urine). After repeated doses of 150 mg once daily, the mean terminal elimination half-life (t1/2) value of orelabrutinib was approximately 4 hours, and the mean (CV%) of the apparent clearance (CL/F) values was 20.9 (29.81%) L/h.</w:t>
      </w:r>
    </w:p>
    <w:p w14:paraId="7F61B8CD" w14:textId="4D1C6855" w:rsidR="00CA68F2" w:rsidRPr="00D42853" w:rsidRDefault="00FC445D" w:rsidP="00D42853">
      <w:pPr>
        <w:pStyle w:val="Heading5"/>
        <w:rPr>
          <w:i w:val="0"/>
          <w:iCs/>
        </w:rPr>
      </w:pPr>
      <w:r>
        <w:rPr>
          <w:i w:val="0"/>
          <w:iCs/>
        </w:rPr>
        <w:t>Pharmacokinetics</w:t>
      </w:r>
      <w:r w:rsidR="001C1EDA" w:rsidRPr="00D42853">
        <w:rPr>
          <w:i w:val="0"/>
          <w:iCs/>
        </w:rPr>
        <w:t xml:space="preserve"> in </w:t>
      </w:r>
      <w:r>
        <w:rPr>
          <w:i w:val="0"/>
          <w:iCs/>
        </w:rPr>
        <w:t xml:space="preserve">the </w:t>
      </w:r>
      <w:r w:rsidR="001C1EDA" w:rsidRPr="00D42853">
        <w:rPr>
          <w:i w:val="0"/>
          <w:iCs/>
        </w:rPr>
        <w:t>target patient population</w:t>
      </w:r>
    </w:p>
    <w:p w14:paraId="3692A038" w14:textId="018C533B" w:rsidR="001C1EDA" w:rsidRDefault="001C1EDA" w:rsidP="001C1EDA">
      <w:pPr>
        <w:spacing w:before="186"/>
        <w:ind w:left="23" w:right="40"/>
        <w:jc w:val="both"/>
      </w:pPr>
      <w:r>
        <w:t>The</w:t>
      </w:r>
      <w:r>
        <w:rPr>
          <w:spacing w:val="-3"/>
        </w:rPr>
        <w:t xml:space="preserve"> </w:t>
      </w:r>
      <w:r>
        <w:t>pharmacokinetic</w:t>
      </w:r>
      <w:r>
        <w:rPr>
          <w:spacing w:val="-2"/>
        </w:rPr>
        <w:t xml:space="preserve"> </w:t>
      </w:r>
      <w:r>
        <w:t>profile</w:t>
      </w:r>
      <w:r>
        <w:rPr>
          <w:spacing w:val="-3"/>
        </w:rPr>
        <w:t xml:space="preserve"> </w:t>
      </w:r>
      <w:r>
        <w:t>of</w:t>
      </w:r>
      <w:r>
        <w:rPr>
          <w:spacing w:val="-3"/>
        </w:rPr>
        <w:t xml:space="preserve"> </w:t>
      </w:r>
      <w:r>
        <w:t>orelabrutinib</w:t>
      </w:r>
      <w:r>
        <w:rPr>
          <w:spacing w:val="-4"/>
        </w:rPr>
        <w:t xml:space="preserve"> </w:t>
      </w:r>
      <w:r>
        <w:t>in</w:t>
      </w:r>
      <w:r>
        <w:rPr>
          <w:spacing w:val="-4"/>
        </w:rPr>
        <w:t xml:space="preserve"> </w:t>
      </w:r>
      <w:r>
        <w:t>MCL</w:t>
      </w:r>
      <w:r>
        <w:rPr>
          <w:spacing w:val="-4"/>
        </w:rPr>
        <w:t xml:space="preserve"> </w:t>
      </w:r>
      <w:r>
        <w:t>patients shows no significant difference to that observed in healthy subjects.</w:t>
      </w:r>
    </w:p>
    <w:p w14:paraId="321959FD" w14:textId="06073528" w:rsidR="001C1EDA" w:rsidRDefault="001C1EDA" w:rsidP="001C1EDA">
      <w:pPr>
        <w:pStyle w:val="BodyText"/>
        <w:spacing w:before="120"/>
        <w:ind w:left="23" w:right="91"/>
        <w:jc w:val="both"/>
      </w:pPr>
      <w:r>
        <w:t>PK</w:t>
      </w:r>
      <w:r>
        <w:rPr>
          <w:spacing w:val="-3"/>
        </w:rPr>
        <w:t xml:space="preserve"> </w:t>
      </w:r>
      <w:r>
        <w:t>results</w:t>
      </w:r>
      <w:r>
        <w:rPr>
          <w:spacing w:val="-2"/>
        </w:rPr>
        <w:t xml:space="preserve"> </w:t>
      </w:r>
      <w:r>
        <w:t>from</w:t>
      </w:r>
      <w:r>
        <w:rPr>
          <w:spacing w:val="-1"/>
        </w:rPr>
        <w:t xml:space="preserve"> </w:t>
      </w:r>
      <w:r>
        <w:t>the</w:t>
      </w:r>
      <w:r>
        <w:rPr>
          <w:spacing w:val="-2"/>
        </w:rPr>
        <w:t xml:space="preserve"> </w:t>
      </w:r>
      <w:r>
        <w:t>Phase</w:t>
      </w:r>
      <w:r>
        <w:rPr>
          <w:spacing w:val="-5"/>
        </w:rPr>
        <w:t xml:space="preserve"> </w:t>
      </w:r>
      <w:r>
        <w:t>II</w:t>
      </w:r>
      <w:r>
        <w:rPr>
          <w:spacing w:val="-2"/>
        </w:rPr>
        <w:t xml:space="preserve"> </w:t>
      </w:r>
      <w:r>
        <w:t>study</w:t>
      </w:r>
      <w:r>
        <w:rPr>
          <w:spacing w:val="-3"/>
        </w:rPr>
        <w:t xml:space="preserve"> </w:t>
      </w:r>
      <w:r>
        <w:t>ICP-CL-00127</w:t>
      </w:r>
      <w:r>
        <w:rPr>
          <w:spacing w:val="-2"/>
        </w:rPr>
        <w:t xml:space="preserve"> </w:t>
      </w:r>
      <w:r>
        <w:t>indicated</w:t>
      </w:r>
      <w:r>
        <w:rPr>
          <w:spacing w:val="-2"/>
        </w:rPr>
        <w:t xml:space="preserve"> </w:t>
      </w:r>
      <w:r>
        <w:t>that</w:t>
      </w:r>
      <w:r>
        <w:rPr>
          <w:spacing w:val="-3"/>
        </w:rPr>
        <w:t xml:space="preserve"> </w:t>
      </w:r>
      <w:r>
        <w:t>the</w:t>
      </w:r>
      <w:r>
        <w:rPr>
          <w:spacing w:val="-2"/>
        </w:rPr>
        <w:t xml:space="preserve"> </w:t>
      </w:r>
      <w:r>
        <w:t>proposed</w:t>
      </w:r>
      <w:r>
        <w:rPr>
          <w:spacing w:val="-5"/>
        </w:rPr>
        <w:t xml:space="preserve"> </w:t>
      </w:r>
      <w:r>
        <w:t>dose</w:t>
      </w:r>
      <w:r>
        <w:rPr>
          <w:spacing w:val="-2"/>
        </w:rPr>
        <w:t xml:space="preserve"> </w:t>
      </w:r>
      <w:r>
        <w:t>of</w:t>
      </w:r>
      <w:r>
        <w:rPr>
          <w:spacing w:val="-2"/>
        </w:rPr>
        <w:t xml:space="preserve"> </w:t>
      </w:r>
      <w:r>
        <w:t>150mg</w:t>
      </w:r>
      <w:r>
        <w:rPr>
          <w:spacing w:val="-1"/>
        </w:rPr>
        <w:t xml:space="preserve"> </w:t>
      </w:r>
      <w:r>
        <w:t xml:space="preserve">QD </w:t>
      </w:r>
      <w:r>
        <w:lastRenderedPageBreak/>
        <w:t>provided</w:t>
      </w:r>
      <w:r>
        <w:rPr>
          <w:spacing w:val="-1"/>
        </w:rPr>
        <w:t xml:space="preserve"> </w:t>
      </w:r>
      <w:r>
        <w:t>higher drug exposure but lower trough concentrations than the 50mg BID dose; t1/2, apparent clearance and volume of distribution were similar in both dose groups</w:t>
      </w:r>
      <w:r w:rsidR="00CA68F2">
        <w:t>.</w:t>
      </w:r>
    </w:p>
    <w:p w14:paraId="2A1B7714" w14:textId="548D4270" w:rsidR="00CA68F2" w:rsidRPr="00D42853" w:rsidRDefault="001C1EDA" w:rsidP="00D42853">
      <w:pPr>
        <w:pStyle w:val="Heading5"/>
        <w:rPr>
          <w:i w:val="0"/>
          <w:iCs/>
        </w:rPr>
      </w:pPr>
      <w:r w:rsidRPr="00D42853">
        <w:rPr>
          <w:i w:val="0"/>
          <w:iCs/>
        </w:rPr>
        <w:t xml:space="preserve">Effect of hepatic impairment on orelabrutinib </w:t>
      </w:r>
      <w:r w:rsidR="00043AB6">
        <w:rPr>
          <w:i w:val="0"/>
          <w:iCs/>
        </w:rPr>
        <w:t>pharmacokinetics</w:t>
      </w:r>
    </w:p>
    <w:p w14:paraId="119E09FE" w14:textId="580E6103" w:rsidR="001C1EDA" w:rsidRDefault="001C1EDA" w:rsidP="007A4C40">
      <w:r>
        <w:t xml:space="preserve">Subjects in study </w:t>
      </w:r>
      <w:r w:rsidRPr="00CE355A">
        <w:rPr>
          <w:bCs/>
        </w:rPr>
        <w:t>ICP-CL-00119</w:t>
      </w:r>
      <w:r>
        <w:rPr>
          <w:b/>
        </w:rPr>
        <w:t xml:space="preserve"> </w:t>
      </w:r>
      <w:r>
        <w:t>were enrolled</w:t>
      </w:r>
      <w:r>
        <w:rPr>
          <w:spacing w:val="-2"/>
        </w:rPr>
        <w:t xml:space="preserve"> </w:t>
      </w:r>
      <w:r>
        <w:t>based</w:t>
      </w:r>
      <w:r>
        <w:rPr>
          <w:spacing w:val="-2"/>
        </w:rPr>
        <w:t xml:space="preserve"> </w:t>
      </w:r>
      <w:r>
        <w:t>on</w:t>
      </w:r>
      <w:r>
        <w:rPr>
          <w:spacing w:val="-3"/>
        </w:rPr>
        <w:t xml:space="preserve"> </w:t>
      </w:r>
      <w:r>
        <w:t>Child</w:t>
      </w:r>
      <w:r w:rsidR="00043AB6">
        <w:rPr>
          <w:spacing w:val="-3"/>
        </w:rPr>
        <w:t>-</w:t>
      </w:r>
      <w:r>
        <w:t>Pugh</w:t>
      </w:r>
      <w:r>
        <w:rPr>
          <w:spacing w:val="-1"/>
        </w:rPr>
        <w:t xml:space="preserve"> </w:t>
      </w:r>
      <w:r>
        <w:t>classification</w:t>
      </w:r>
      <w:r>
        <w:rPr>
          <w:spacing w:val="-3"/>
        </w:rPr>
        <w:t xml:space="preserve"> </w:t>
      </w:r>
      <w:r>
        <w:t>(8</w:t>
      </w:r>
      <w:r>
        <w:rPr>
          <w:spacing w:val="-6"/>
        </w:rPr>
        <w:t xml:space="preserve"> </w:t>
      </w:r>
      <w:r>
        <w:t>subjects</w:t>
      </w:r>
      <w:r>
        <w:rPr>
          <w:spacing w:val="-1"/>
        </w:rPr>
        <w:t xml:space="preserve"> </w:t>
      </w:r>
      <w:r>
        <w:t>each</w:t>
      </w:r>
      <w:r>
        <w:rPr>
          <w:spacing w:val="-5"/>
        </w:rPr>
        <w:t xml:space="preserve"> </w:t>
      </w:r>
      <w:r>
        <w:t>in</w:t>
      </w:r>
      <w:r>
        <w:rPr>
          <w:spacing w:val="-3"/>
        </w:rPr>
        <w:t xml:space="preserve"> </w:t>
      </w:r>
      <w:r>
        <w:t>the</w:t>
      </w:r>
      <w:r>
        <w:rPr>
          <w:spacing w:val="-2"/>
        </w:rPr>
        <w:t xml:space="preserve"> </w:t>
      </w:r>
      <w:r>
        <w:t>mild,</w:t>
      </w:r>
      <w:r>
        <w:rPr>
          <w:spacing w:val="-5"/>
        </w:rPr>
        <w:t xml:space="preserve"> </w:t>
      </w:r>
      <w:r>
        <w:t>moderate</w:t>
      </w:r>
      <w:r>
        <w:rPr>
          <w:spacing w:val="-2"/>
        </w:rPr>
        <w:t xml:space="preserve"> </w:t>
      </w:r>
      <w:r w:rsidR="00CF1E90">
        <w:rPr>
          <w:spacing w:val="-2"/>
        </w:rPr>
        <w:t>hepatic impairment (</w:t>
      </w:r>
      <w:r>
        <w:t>HI</w:t>
      </w:r>
      <w:r w:rsidR="00CF1E90">
        <w:t>)</w:t>
      </w:r>
      <w:r>
        <w:rPr>
          <w:spacing w:val="-2"/>
        </w:rPr>
        <w:t xml:space="preserve"> </w:t>
      </w:r>
      <w:r>
        <w:t xml:space="preserve">and normal hepatic function groups and 1 subject in the severe HI group). Based on the </w:t>
      </w:r>
      <w:r w:rsidR="001C3243">
        <w:t>Child</w:t>
      </w:r>
      <w:r w:rsidR="001C3243">
        <w:rPr>
          <w:spacing w:val="-3"/>
        </w:rPr>
        <w:t>-</w:t>
      </w:r>
      <w:r w:rsidR="001C3243">
        <w:t>Pugh</w:t>
      </w:r>
      <w:r>
        <w:t xml:space="preserve"> classification, the total AUC of orelabrutinib increased by 65% in subjects with mild </w:t>
      </w:r>
      <w:r w:rsidR="006D2D0B">
        <w:t>HI</w:t>
      </w:r>
      <w:r>
        <w:t xml:space="preserve"> (Child-Pugh class A) and by 93% in subjects with moderate </w:t>
      </w:r>
      <w:r w:rsidR="006D2D0B">
        <w:t>HI</w:t>
      </w:r>
      <w:r>
        <w:t xml:space="preserve"> (Child-Pugh class B) relative to subjects with normal liver function. The unbound AUC of orelabrutinib increased by 71% in subjects with mild </w:t>
      </w:r>
      <w:r w:rsidR="006D2D0B">
        <w:t>HI</w:t>
      </w:r>
      <w:r>
        <w:t xml:space="preserve"> and by 162% in subjects with moderate </w:t>
      </w:r>
      <w:r w:rsidR="006D2D0B">
        <w:t>HI</w:t>
      </w:r>
      <w:r>
        <w:t xml:space="preserve"> relative to subjects with normal liver function.</w:t>
      </w:r>
    </w:p>
    <w:p w14:paraId="0E1FFF69" w14:textId="5E54AD44" w:rsidR="001C1EDA" w:rsidRDefault="001C1EDA" w:rsidP="007A4C40">
      <w:r>
        <w:t>The</w:t>
      </w:r>
      <w:r>
        <w:rPr>
          <w:spacing w:val="-2"/>
        </w:rPr>
        <w:t xml:space="preserve"> </w:t>
      </w:r>
      <w:r>
        <w:t>predominant</w:t>
      </w:r>
      <w:r>
        <w:rPr>
          <w:spacing w:val="-3"/>
        </w:rPr>
        <w:t xml:space="preserve"> </w:t>
      </w:r>
      <w:r>
        <w:t>use</w:t>
      </w:r>
      <w:r>
        <w:rPr>
          <w:spacing w:val="-2"/>
        </w:rPr>
        <w:t xml:space="preserve"> </w:t>
      </w:r>
      <w:r>
        <w:t>of</w:t>
      </w:r>
      <w:r>
        <w:rPr>
          <w:spacing w:val="-2"/>
        </w:rPr>
        <w:t xml:space="preserve"> </w:t>
      </w:r>
      <w:r>
        <w:t>Child-Pugh</w:t>
      </w:r>
      <w:r>
        <w:rPr>
          <w:spacing w:val="-5"/>
        </w:rPr>
        <w:t xml:space="preserve"> </w:t>
      </w:r>
      <w:r>
        <w:t>classification</w:t>
      </w:r>
      <w:r>
        <w:rPr>
          <w:spacing w:val="-3"/>
        </w:rPr>
        <w:t xml:space="preserve"> </w:t>
      </w:r>
      <w:r>
        <w:t>in</w:t>
      </w:r>
      <w:r>
        <w:rPr>
          <w:spacing w:val="-6"/>
        </w:rPr>
        <w:t xml:space="preserve"> </w:t>
      </w:r>
      <w:r>
        <w:t>HI</w:t>
      </w:r>
      <w:r>
        <w:rPr>
          <w:spacing w:val="-2"/>
        </w:rPr>
        <w:t xml:space="preserve"> </w:t>
      </w:r>
      <w:r>
        <w:t>studies</w:t>
      </w:r>
      <w:r>
        <w:rPr>
          <w:spacing w:val="-4"/>
        </w:rPr>
        <w:t xml:space="preserve"> </w:t>
      </w:r>
      <w:r>
        <w:t>in</w:t>
      </w:r>
      <w:r>
        <w:rPr>
          <w:spacing w:val="-3"/>
        </w:rPr>
        <w:t xml:space="preserve"> </w:t>
      </w:r>
      <w:r>
        <w:t>non-cancer</w:t>
      </w:r>
      <w:r>
        <w:rPr>
          <w:spacing w:val="-2"/>
        </w:rPr>
        <w:t xml:space="preserve"> </w:t>
      </w:r>
      <w:r>
        <w:t>subjects</w:t>
      </w:r>
      <w:r>
        <w:rPr>
          <w:spacing w:val="-1"/>
        </w:rPr>
        <w:t xml:space="preserve"> </w:t>
      </w:r>
      <w:r>
        <w:t xml:space="preserve">is consistent with FDA and </w:t>
      </w:r>
      <w:r w:rsidR="00D07795" w:rsidRPr="00D07795">
        <w:t>European Medicines Agency</w:t>
      </w:r>
      <w:r w:rsidR="00D07795">
        <w:t xml:space="preserve"> (EMA) </w:t>
      </w:r>
      <w:r>
        <w:t>guidance on the topic. Exploratory PK analysis was also</w:t>
      </w:r>
      <w:r w:rsidR="004D20C7">
        <w:t xml:space="preserve"> </w:t>
      </w:r>
      <w:r>
        <w:t>conducted</w:t>
      </w:r>
      <w:r>
        <w:rPr>
          <w:spacing w:val="-5"/>
        </w:rPr>
        <w:t xml:space="preserve"> </w:t>
      </w:r>
      <w:r>
        <w:t>in</w:t>
      </w:r>
      <w:r>
        <w:rPr>
          <w:spacing w:val="-3"/>
        </w:rPr>
        <w:t xml:space="preserve"> </w:t>
      </w:r>
      <w:r>
        <w:t>this</w:t>
      </w:r>
      <w:r>
        <w:rPr>
          <w:spacing w:val="-1"/>
        </w:rPr>
        <w:t xml:space="preserve"> </w:t>
      </w:r>
      <w:r>
        <w:t>study</w:t>
      </w:r>
      <w:r>
        <w:rPr>
          <w:spacing w:val="-3"/>
        </w:rPr>
        <w:t xml:space="preserve"> </w:t>
      </w:r>
      <w:r>
        <w:t>by</w:t>
      </w:r>
      <w:r>
        <w:rPr>
          <w:spacing w:val="-3"/>
        </w:rPr>
        <w:t xml:space="preserve"> </w:t>
      </w:r>
      <w:r>
        <w:t>classifying</w:t>
      </w:r>
      <w:r>
        <w:rPr>
          <w:spacing w:val="-5"/>
        </w:rPr>
        <w:t xml:space="preserve"> </w:t>
      </w:r>
      <w:r>
        <w:t>subjects</w:t>
      </w:r>
      <w:r>
        <w:rPr>
          <w:spacing w:val="-1"/>
        </w:rPr>
        <w:t xml:space="preserve"> </w:t>
      </w:r>
      <w:r>
        <w:t>based</w:t>
      </w:r>
      <w:r>
        <w:rPr>
          <w:spacing w:val="-3"/>
        </w:rPr>
        <w:t xml:space="preserve"> </w:t>
      </w:r>
      <w:r>
        <w:t>on</w:t>
      </w:r>
      <w:r>
        <w:rPr>
          <w:spacing w:val="-3"/>
        </w:rPr>
        <w:t xml:space="preserve"> </w:t>
      </w:r>
      <w:r w:rsidR="00817286" w:rsidRPr="00817286">
        <w:rPr>
          <w:spacing w:val="-3"/>
        </w:rPr>
        <w:t>National Cancer Institute Organ Dysfunction Working Group</w:t>
      </w:r>
      <w:r w:rsidR="00817286">
        <w:rPr>
          <w:spacing w:val="-3"/>
        </w:rPr>
        <w:t xml:space="preserve"> (</w:t>
      </w:r>
      <w:r>
        <w:t>NCI-ODWG</w:t>
      </w:r>
      <w:r w:rsidR="00817286">
        <w:t>)</w:t>
      </w:r>
      <w:r>
        <w:rPr>
          <w:spacing w:val="-2"/>
        </w:rPr>
        <w:t xml:space="preserve"> </w:t>
      </w:r>
      <w:r>
        <w:t>classification</w:t>
      </w:r>
      <w:r w:rsidR="002E227D">
        <w:t>,</w:t>
      </w:r>
      <w:r>
        <w:rPr>
          <w:spacing w:val="-3"/>
        </w:rPr>
        <w:t xml:space="preserve"> </w:t>
      </w:r>
      <w:r>
        <w:t>which</w:t>
      </w:r>
      <w:r>
        <w:rPr>
          <w:spacing w:val="-5"/>
        </w:rPr>
        <w:t xml:space="preserve"> </w:t>
      </w:r>
      <w:r>
        <w:t>is</w:t>
      </w:r>
      <w:r>
        <w:rPr>
          <w:spacing w:val="-4"/>
        </w:rPr>
        <w:t xml:space="preserve"> </w:t>
      </w:r>
      <w:r>
        <w:t>more commonly used in oncology practice.</w:t>
      </w:r>
    </w:p>
    <w:p w14:paraId="22B46230" w14:textId="15559A5C" w:rsidR="001C1EDA" w:rsidRDefault="001C1EDA" w:rsidP="007A4C40">
      <w:r>
        <w:t>Based</w:t>
      </w:r>
      <w:r>
        <w:rPr>
          <w:spacing w:val="-4"/>
        </w:rPr>
        <w:t xml:space="preserve"> </w:t>
      </w:r>
      <w:r>
        <w:t>on</w:t>
      </w:r>
      <w:r>
        <w:rPr>
          <w:spacing w:val="-4"/>
        </w:rPr>
        <w:t xml:space="preserve"> </w:t>
      </w:r>
      <w:r>
        <w:t>the</w:t>
      </w:r>
      <w:r>
        <w:rPr>
          <w:spacing w:val="-4"/>
        </w:rPr>
        <w:t xml:space="preserve"> </w:t>
      </w:r>
      <w:r>
        <w:t>NCI-ODWG</w:t>
      </w:r>
      <w:r>
        <w:rPr>
          <w:spacing w:val="-7"/>
        </w:rPr>
        <w:t xml:space="preserve"> </w:t>
      </w:r>
      <w:r>
        <w:t>classification,</w:t>
      </w:r>
      <w:r>
        <w:rPr>
          <w:spacing w:val="-3"/>
        </w:rPr>
        <w:t xml:space="preserve"> </w:t>
      </w:r>
      <w:r>
        <w:t>the</w:t>
      </w:r>
      <w:r>
        <w:rPr>
          <w:spacing w:val="-4"/>
        </w:rPr>
        <w:t xml:space="preserve"> </w:t>
      </w:r>
      <w:r>
        <w:t>total</w:t>
      </w:r>
      <w:r>
        <w:rPr>
          <w:spacing w:val="-3"/>
        </w:rPr>
        <w:t xml:space="preserve"> </w:t>
      </w:r>
      <w:r>
        <w:t>AUC</w:t>
      </w:r>
      <w:r>
        <w:rPr>
          <w:spacing w:val="-6"/>
        </w:rPr>
        <w:t xml:space="preserve"> </w:t>
      </w:r>
      <w:r>
        <w:t>of</w:t>
      </w:r>
      <w:r>
        <w:rPr>
          <w:spacing w:val="-3"/>
        </w:rPr>
        <w:t xml:space="preserve"> </w:t>
      </w:r>
      <w:r>
        <w:t>orelabrutinib</w:t>
      </w:r>
      <w:r>
        <w:rPr>
          <w:spacing w:val="-7"/>
        </w:rPr>
        <w:t xml:space="preserve"> </w:t>
      </w:r>
      <w:r>
        <w:t>in</w:t>
      </w:r>
      <w:r>
        <w:rPr>
          <w:spacing w:val="-5"/>
        </w:rPr>
        <w:t xml:space="preserve"> </w:t>
      </w:r>
      <w:r>
        <w:t>subjects</w:t>
      </w:r>
      <w:r>
        <w:rPr>
          <w:spacing w:val="-3"/>
        </w:rPr>
        <w:t xml:space="preserve"> </w:t>
      </w:r>
      <w:r>
        <w:t>with</w:t>
      </w:r>
      <w:r>
        <w:rPr>
          <w:spacing w:val="-6"/>
        </w:rPr>
        <w:t xml:space="preserve"> </w:t>
      </w:r>
      <w:r>
        <w:rPr>
          <w:spacing w:val="-4"/>
        </w:rPr>
        <w:t>mild</w:t>
      </w:r>
      <w:r w:rsidR="004D20C7">
        <w:rPr>
          <w:spacing w:val="-4"/>
        </w:rPr>
        <w:t xml:space="preserve"> </w:t>
      </w:r>
      <w:r>
        <w:t>hepatic impairment (total</w:t>
      </w:r>
      <w:r>
        <w:rPr>
          <w:spacing w:val="-1"/>
        </w:rPr>
        <w:t xml:space="preserve"> </w:t>
      </w:r>
      <w:r>
        <w:t>bilirubin ≤ ULN and aspartate aminotransferase (AST) &gt;</w:t>
      </w:r>
      <w:r>
        <w:rPr>
          <w:spacing w:val="-2"/>
        </w:rPr>
        <w:t xml:space="preserve"> </w:t>
      </w:r>
      <w:r>
        <w:t>ULN or total bilirubin</w:t>
      </w:r>
      <w:r>
        <w:rPr>
          <w:spacing w:val="-2"/>
        </w:rPr>
        <w:t xml:space="preserve"> </w:t>
      </w:r>
      <w:r>
        <w:t>&gt;</w:t>
      </w:r>
      <w:r>
        <w:rPr>
          <w:spacing w:val="-2"/>
        </w:rPr>
        <w:t xml:space="preserve"> </w:t>
      </w:r>
      <w:r>
        <w:t>1</w:t>
      </w:r>
      <w:r>
        <w:rPr>
          <w:spacing w:val="-1"/>
        </w:rPr>
        <w:t xml:space="preserve"> </w:t>
      </w:r>
      <w:r>
        <w:t>to</w:t>
      </w:r>
      <w:r>
        <w:rPr>
          <w:spacing w:val="-1"/>
        </w:rPr>
        <w:t xml:space="preserve"> </w:t>
      </w:r>
      <w:r>
        <w:t>≤</w:t>
      </w:r>
      <w:r>
        <w:rPr>
          <w:spacing w:val="-2"/>
        </w:rPr>
        <w:t xml:space="preserve"> </w:t>
      </w:r>
      <w:r>
        <w:t>1.5</w:t>
      </w:r>
      <w:r>
        <w:rPr>
          <w:spacing w:val="-1"/>
        </w:rPr>
        <w:t xml:space="preserve"> </w:t>
      </w:r>
      <w:r>
        <w:t>×</w:t>
      </w:r>
      <w:r>
        <w:rPr>
          <w:spacing w:val="-4"/>
        </w:rPr>
        <w:t xml:space="preserve"> </w:t>
      </w:r>
      <w:r>
        <w:t>ULN and</w:t>
      </w:r>
      <w:r>
        <w:rPr>
          <w:spacing w:val="-2"/>
        </w:rPr>
        <w:t xml:space="preserve"> </w:t>
      </w:r>
      <w:r>
        <w:t>any</w:t>
      </w:r>
      <w:r>
        <w:rPr>
          <w:spacing w:val="-2"/>
        </w:rPr>
        <w:t xml:space="preserve"> </w:t>
      </w:r>
      <w:r>
        <w:t>AST)</w:t>
      </w:r>
      <w:r>
        <w:rPr>
          <w:spacing w:val="-2"/>
        </w:rPr>
        <w:t xml:space="preserve"> </w:t>
      </w:r>
      <w:r>
        <w:t>had</w:t>
      </w:r>
      <w:r>
        <w:rPr>
          <w:spacing w:val="-1"/>
        </w:rPr>
        <w:t xml:space="preserve"> </w:t>
      </w:r>
      <w:r>
        <w:t>no</w:t>
      </w:r>
      <w:r>
        <w:rPr>
          <w:spacing w:val="-1"/>
        </w:rPr>
        <w:t xml:space="preserve"> </w:t>
      </w:r>
      <w:r>
        <w:t>significant</w:t>
      </w:r>
      <w:r>
        <w:rPr>
          <w:spacing w:val="-2"/>
        </w:rPr>
        <w:t xml:space="preserve"> </w:t>
      </w:r>
      <w:r>
        <w:t>difference,</w:t>
      </w:r>
      <w:r>
        <w:rPr>
          <w:spacing w:val="-1"/>
        </w:rPr>
        <w:t xml:space="preserve"> </w:t>
      </w:r>
      <w:r>
        <w:t>and</w:t>
      </w:r>
      <w:r>
        <w:rPr>
          <w:spacing w:val="-5"/>
        </w:rPr>
        <w:t xml:space="preserve"> </w:t>
      </w:r>
      <w:r>
        <w:t>increased</w:t>
      </w:r>
      <w:r>
        <w:rPr>
          <w:spacing w:val="-1"/>
        </w:rPr>
        <w:t xml:space="preserve"> </w:t>
      </w:r>
      <w:r>
        <w:t>by</w:t>
      </w:r>
      <w:r>
        <w:rPr>
          <w:spacing w:val="-2"/>
        </w:rPr>
        <w:t xml:space="preserve"> </w:t>
      </w:r>
      <w:r>
        <w:t>50%</w:t>
      </w:r>
      <w:r>
        <w:rPr>
          <w:spacing w:val="-4"/>
        </w:rPr>
        <w:t xml:space="preserve"> </w:t>
      </w:r>
      <w:r>
        <w:t>in subjects</w:t>
      </w:r>
      <w:r>
        <w:rPr>
          <w:spacing w:val="-1"/>
        </w:rPr>
        <w:t xml:space="preserve"> </w:t>
      </w:r>
      <w:r>
        <w:t>with</w:t>
      </w:r>
      <w:r>
        <w:rPr>
          <w:spacing w:val="-2"/>
        </w:rPr>
        <w:t xml:space="preserve"> </w:t>
      </w:r>
      <w:r>
        <w:t>moderate</w:t>
      </w:r>
      <w:r>
        <w:rPr>
          <w:spacing w:val="-2"/>
        </w:rPr>
        <w:t xml:space="preserve"> </w:t>
      </w:r>
      <w:r>
        <w:t>hepatic</w:t>
      </w:r>
      <w:r>
        <w:rPr>
          <w:spacing w:val="-1"/>
        </w:rPr>
        <w:t xml:space="preserve"> </w:t>
      </w:r>
      <w:r>
        <w:t>impairment</w:t>
      </w:r>
      <w:r>
        <w:rPr>
          <w:spacing w:val="-3"/>
        </w:rPr>
        <w:t xml:space="preserve"> </w:t>
      </w:r>
      <w:r>
        <w:t>(total</w:t>
      </w:r>
      <w:r>
        <w:rPr>
          <w:spacing w:val="-5"/>
        </w:rPr>
        <w:t xml:space="preserve"> </w:t>
      </w:r>
      <w:r>
        <w:t>bilirubin</w:t>
      </w:r>
      <w:r>
        <w:rPr>
          <w:spacing w:val="-3"/>
        </w:rPr>
        <w:t xml:space="preserve"> </w:t>
      </w:r>
      <w:r>
        <w:t>&gt;</w:t>
      </w:r>
      <w:r>
        <w:rPr>
          <w:spacing w:val="-3"/>
        </w:rPr>
        <w:t xml:space="preserve"> </w:t>
      </w:r>
      <w:r>
        <w:t>1.5</w:t>
      </w:r>
      <w:r>
        <w:rPr>
          <w:spacing w:val="-2"/>
        </w:rPr>
        <w:t xml:space="preserve"> </w:t>
      </w:r>
      <w:r>
        <w:t>to</w:t>
      </w:r>
      <w:r>
        <w:rPr>
          <w:spacing w:val="-2"/>
        </w:rPr>
        <w:t xml:space="preserve"> </w:t>
      </w:r>
      <w:r>
        <w:t>≤</w:t>
      </w:r>
      <w:r>
        <w:rPr>
          <w:spacing w:val="-3"/>
        </w:rPr>
        <w:t xml:space="preserve"> </w:t>
      </w:r>
      <w:r>
        <w:t>3</w:t>
      </w:r>
      <w:r>
        <w:rPr>
          <w:spacing w:val="-2"/>
        </w:rPr>
        <w:t xml:space="preserve"> </w:t>
      </w:r>
      <w:r>
        <w:t>×</w:t>
      </w:r>
      <w:r>
        <w:rPr>
          <w:spacing w:val="-6"/>
        </w:rPr>
        <w:t xml:space="preserve"> </w:t>
      </w:r>
      <w:r>
        <w:t>ULN</w:t>
      </w:r>
      <w:r>
        <w:rPr>
          <w:spacing w:val="-2"/>
        </w:rPr>
        <w:t xml:space="preserve"> </w:t>
      </w:r>
      <w:r>
        <w:t>and</w:t>
      </w:r>
      <w:r>
        <w:rPr>
          <w:spacing w:val="-3"/>
        </w:rPr>
        <w:t xml:space="preserve"> </w:t>
      </w:r>
      <w:r>
        <w:t>any</w:t>
      </w:r>
      <w:r>
        <w:rPr>
          <w:spacing w:val="-4"/>
        </w:rPr>
        <w:t xml:space="preserve"> </w:t>
      </w:r>
      <w:r>
        <w:t>AST)</w:t>
      </w:r>
      <w:r>
        <w:rPr>
          <w:spacing w:val="-3"/>
        </w:rPr>
        <w:t xml:space="preserve"> </w:t>
      </w:r>
      <w:r>
        <w:t>and by 83% in subjects with severe hepatic impairment (total bilirubin &gt; 3 × ULN and any AST) relative to subjects with normal liver function. The unbound AUC of orelabrutinib increased by 21% in subjects with mild hepatic impairment, by 102% in subjects with moderate hepatic impairment, and by 199% in subjects with severe hepatic impairment relative to subjects with normal liver function.</w:t>
      </w:r>
    </w:p>
    <w:p w14:paraId="726A610B" w14:textId="44D3076E" w:rsidR="001C1EDA" w:rsidRDefault="001C1EDA" w:rsidP="007A4C40">
      <w:r>
        <w:t>Given</w:t>
      </w:r>
      <w:r>
        <w:rPr>
          <w:spacing w:val="-9"/>
        </w:rPr>
        <w:t xml:space="preserve"> </w:t>
      </w:r>
      <w:r>
        <w:t>that</w:t>
      </w:r>
      <w:r>
        <w:rPr>
          <w:spacing w:val="-7"/>
        </w:rPr>
        <w:t xml:space="preserve"> </w:t>
      </w:r>
      <w:r>
        <w:t>dosing</w:t>
      </w:r>
      <w:r>
        <w:rPr>
          <w:spacing w:val="-9"/>
        </w:rPr>
        <w:t xml:space="preserve"> </w:t>
      </w:r>
      <w:r>
        <w:t>recommendations</w:t>
      </w:r>
      <w:r>
        <w:rPr>
          <w:spacing w:val="-6"/>
        </w:rPr>
        <w:t xml:space="preserve"> </w:t>
      </w:r>
      <w:r>
        <w:t>for</w:t>
      </w:r>
      <w:r>
        <w:rPr>
          <w:spacing w:val="-10"/>
        </w:rPr>
        <w:t xml:space="preserve"> </w:t>
      </w:r>
      <w:r>
        <w:t>many</w:t>
      </w:r>
      <w:r>
        <w:rPr>
          <w:spacing w:val="-8"/>
        </w:rPr>
        <w:t xml:space="preserve"> </w:t>
      </w:r>
      <w:r>
        <w:t>approved</w:t>
      </w:r>
      <w:r>
        <w:rPr>
          <w:spacing w:val="-8"/>
        </w:rPr>
        <w:t xml:space="preserve"> </w:t>
      </w:r>
      <w:r>
        <w:t>oncology</w:t>
      </w:r>
      <w:r>
        <w:rPr>
          <w:spacing w:val="-8"/>
        </w:rPr>
        <w:t xml:space="preserve"> </w:t>
      </w:r>
      <w:r>
        <w:t>compounds</w:t>
      </w:r>
      <w:r>
        <w:rPr>
          <w:spacing w:val="-7"/>
        </w:rPr>
        <w:t xml:space="preserve"> </w:t>
      </w:r>
      <w:r>
        <w:t>are</w:t>
      </w:r>
      <w:r>
        <w:rPr>
          <w:spacing w:val="-7"/>
        </w:rPr>
        <w:t xml:space="preserve"> </w:t>
      </w:r>
      <w:r>
        <w:t>using</w:t>
      </w:r>
      <w:r>
        <w:rPr>
          <w:spacing w:val="-8"/>
        </w:rPr>
        <w:t xml:space="preserve"> </w:t>
      </w:r>
      <w:r>
        <w:rPr>
          <w:spacing w:val="-2"/>
        </w:rPr>
        <w:t>Child-</w:t>
      </w:r>
      <w:r>
        <w:t>Pugh,</w:t>
      </w:r>
      <w:r>
        <w:rPr>
          <w:spacing w:val="-9"/>
        </w:rPr>
        <w:t xml:space="preserve"> </w:t>
      </w:r>
      <w:r>
        <w:t>whereas</w:t>
      </w:r>
      <w:r>
        <w:rPr>
          <w:spacing w:val="-5"/>
        </w:rPr>
        <w:t xml:space="preserve"> </w:t>
      </w:r>
      <w:r>
        <w:t>the</w:t>
      </w:r>
      <w:r>
        <w:rPr>
          <w:spacing w:val="-6"/>
        </w:rPr>
        <w:t xml:space="preserve"> </w:t>
      </w:r>
      <w:r>
        <w:t>prescribing</w:t>
      </w:r>
      <w:r>
        <w:rPr>
          <w:spacing w:val="-7"/>
        </w:rPr>
        <w:t xml:space="preserve"> </w:t>
      </w:r>
      <w:r>
        <w:t>oncologists</w:t>
      </w:r>
      <w:r>
        <w:rPr>
          <w:spacing w:val="-5"/>
        </w:rPr>
        <w:t xml:space="preserve"> </w:t>
      </w:r>
      <w:r>
        <w:t>are</w:t>
      </w:r>
      <w:r>
        <w:rPr>
          <w:spacing w:val="-8"/>
        </w:rPr>
        <w:t xml:space="preserve"> </w:t>
      </w:r>
      <w:r>
        <w:t>more</w:t>
      </w:r>
      <w:r>
        <w:rPr>
          <w:spacing w:val="-9"/>
        </w:rPr>
        <w:t xml:space="preserve"> </w:t>
      </w:r>
      <w:r>
        <w:t>commonly</w:t>
      </w:r>
      <w:r>
        <w:rPr>
          <w:spacing w:val="-7"/>
        </w:rPr>
        <w:t xml:space="preserve"> </w:t>
      </w:r>
      <w:r>
        <w:t>using</w:t>
      </w:r>
      <w:r>
        <w:rPr>
          <w:spacing w:val="-7"/>
        </w:rPr>
        <w:t xml:space="preserve"> </w:t>
      </w:r>
      <w:r>
        <w:t>NCI,</w:t>
      </w:r>
      <w:r>
        <w:rPr>
          <w:spacing w:val="-6"/>
        </w:rPr>
        <w:t xml:space="preserve"> </w:t>
      </w:r>
      <w:r>
        <w:t>an</w:t>
      </w:r>
      <w:r>
        <w:rPr>
          <w:spacing w:val="-9"/>
        </w:rPr>
        <w:t xml:space="preserve"> </w:t>
      </w:r>
      <w:r>
        <w:rPr>
          <w:spacing w:val="-2"/>
        </w:rPr>
        <w:t>integrated</w:t>
      </w:r>
      <w:r w:rsidR="00CE355A">
        <w:rPr>
          <w:spacing w:val="-2"/>
        </w:rPr>
        <w:t xml:space="preserve"> </w:t>
      </w:r>
      <w:r>
        <w:t>approach</w:t>
      </w:r>
      <w:r>
        <w:rPr>
          <w:spacing w:val="-4"/>
        </w:rPr>
        <w:t xml:space="preserve"> </w:t>
      </w:r>
      <w:r>
        <w:t>to</w:t>
      </w:r>
      <w:r>
        <w:rPr>
          <w:spacing w:val="-7"/>
        </w:rPr>
        <w:t xml:space="preserve"> </w:t>
      </w:r>
      <w:r>
        <w:t>inform</w:t>
      </w:r>
      <w:r>
        <w:rPr>
          <w:spacing w:val="-3"/>
        </w:rPr>
        <w:t xml:space="preserve"> </w:t>
      </w:r>
      <w:r>
        <w:t>dosing</w:t>
      </w:r>
      <w:r>
        <w:rPr>
          <w:spacing w:val="-5"/>
        </w:rPr>
        <w:t xml:space="preserve"> </w:t>
      </w:r>
      <w:r>
        <w:t>recommendation</w:t>
      </w:r>
      <w:r>
        <w:rPr>
          <w:spacing w:val="-5"/>
        </w:rPr>
        <w:t xml:space="preserve"> </w:t>
      </w:r>
      <w:r>
        <w:t>for</w:t>
      </w:r>
      <w:r>
        <w:rPr>
          <w:spacing w:val="-7"/>
        </w:rPr>
        <w:t xml:space="preserve"> </w:t>
      </w:r>
      <w:r>
        <w:t>oncology</w:t>
      </w:r>
      <w:r>
        <w:rPr>
          <w:spacing w:val="-6"/>
        </w:rPr>
        <w:t xml:space="preserve"> </w:t>
      </w:r>
      <w:r>
        <w:t>compounds</w:t>
      </w:r>
      <w:r>
        <w:rPr>
          <w:spacing w:val="-3"/>
        </w:rPr>
        <w:t xml:space="preserve"> </w:t>
      </w:r>
      <w:r>
        <w:t>based</w:t>
      </w:r>
      <w:r>
        <w:rPr>
          <w:spacing w:val="-5"/>
        </w:rPr>
        <w:t xml:space="preserve"> </w:t>
      </w:r>
      <w:r>
        <w:t>on</w:t>
      </w:r>
      <w:r>
        <w:rPr>
          <w:spacing w:val="-5"/>
        </w:rPr>
        <w:t xml:space="preserve"> </w:t>
      </w:r>
      <w:r>
        <w:t>hepatic</w:t>
      </w:r>
      <w:r>
        <w:rPr>
          <w:spacing w:val="-3"/>
        </w:rPr>
        <w:t xml:space="preserve"> </w:t>
      </w:r>
      <w:r>
        <w:t>function would be useful</w:t>
      </w:r>
      <w:hyperlink w:anchor="_bookmark0" w:history="1">
        <w:r>
          <w:t>.</w:t>
        </w:r>
        <w:r w:rsidR="001E0C65">
          <w:rPr>
            <w:rStyle w:val="FootnoteReference"/>
          </w:rPr>
          <w:footnoteReference w:id="2"/>
        </w:r>
      </w:hyperlink>
      <w:r>
        <w:rPr>
          <w:spacing w:val="23"/>
          <w:position w:val="5"/>
          <w:sz w:val="14"/>
        </w:rPr>
        <w:t xml:space="preserve"> </w:t>
      </w:r>
      <w:r>
        <w:t>This was incorporated in the draft Australian PI which included PK results</w:t>
      </w:r>
      <w:r w:rsidR="00CE355A">
        <w:t xml:space="preserve"> </w:t>
      </w:r>
      <w:r>
        <w:t>based on both classification (C</w:t>
      </w:r>
      <w:r w:rsidR="006D0188">
        <w:t>hild-</w:t>
      </w:r>
      <w:r>
        <w:t>P</w:t>
      </w:r>
      <w:r w:rsidR="006D0188">
        <w:t>ugh</w:t>
      </w:r>
      <w:r>
        <w:t xml:space="preserve"> and NCI-ODWG), but the dosing recommendations</w:t>
      </w:r>
      <w:r>
        <w:rPr>
          <w:spacing w:val="-3"/>
        </w:rPr>
        <w:t xml:space="preserve"> </w:t>
      </w:r>
      <w:r>
        <w:t>in</w:t>
      </w:r>
      <w:r>
        <w:rPr>
          <w:spacing w:val="-5"/>
        </w:rPr>
        <w:t xml:space="preserve"> </w:t>
      </w:r>
      <w:r>
        <w:t>hepatic</w:t>
      </w:r>
      <w:r>
        <w:rPr>
          <w:spacing w:val="-3"/>
        </w:rPr>
        <w:t xml:space="preserve"> </w:t>
      </w:r>
      <w:r>
        <w:t>impairment</w:t>
      </w:r>
      <w:r>
        <w:rPr>
          <w:spacing w:val="-4"/>
        </w:rPr>
        <w:t xml:space="preserve"> </w:t>
      </w:r>
      <w:r>
        <w:t>only</w:t>
      </w:r>
      <w:r>
        <w:rPr>
          <w:spacing w:val="-5"/>
        </w:rPr>
        <w:t xml:space="preserve"> </w:t>
      </w:r>
      <w:r>
        <w:t>included</w:t>
      </w:r>
      <w:r>
        <w:rPr>
          <w:spacing w:val="-5"/>
        </w:rPr>
        <w:t xml:space="preserve"> </w:t>
      </w:r>
      <w:r>
        <w:t>the</w:t>
      </w:r>
      <w:r>
        <w:rPr>
          <w:spacing w:val="-4"/>
        </w:rPr>
        <w:t xml:space="preserve"> </w:t>
      </w:r>
      <w:r>
        <w:t>results</w:t>
      </w:r>
      <w:r>
        <w:rPr>
          <w:spacing w:val="-3"/>
        </w:rPr>
        <w:t xml:space="preserve"> </w:t>
      </w:r>
      <w:r>
        <w:t>from the analysis based on the NCI-ODWG classification.</w:t>
      </w:r>
    </w:p>
    <w:p w14:paraId="30C6C4DC" w14:textId="69D7880C" w:rsidR="007A4C40" w:rsidRPr="00D42853" w:rsidRDefault="001C1EDA" w:rsidP="00D42853">
      <w:pPr>
        <w:pStyle w:val="Heading5"/>
        <w:rPr>
          <w:i w:val="0"/>
          <w:iCs/>
        </w:rPr>
      </w:pPr>
      <w:r w:rsidRPr="00D42853">
        <w:rPr>
          <w:i w:val="0"/>
          <w:iCs/>
        </w:rPr>
        <w:t>Effect</w:t>
      </w:r>
      <w:r w:rsidRPr="00D42853">
        <w:rPr>
          <w:i w:val="0"/>
          <w:iCs/>
          <w:spacing w:val="-4"/>
        </w:rPr>
        <w:t xml:space="preserve"> </w:t>
      </w:r>
      <w:r w:rsidRPr="00D42853">
        <w:rPr>
          <w:i w:val="0"/>
          <w:iCs/>
        </w:rPr>
        <w:t>of</w:t>
      </w:r>
      <w:r w:rsidRPr="00D42853">
        <w:rPr>
          <w:i w:val="0"/>
          <w:iCs/>
          <w:spacing w:val="-1"/>
        </w:rPr>
        <w:t xml:space="preserve"> </w:t>
      </w:r>
      <w:r w:rsidRPr="00D42853">
        <w:rPr>
          <w:i w:val="0"/>
          <w:iCs/>
        </w:rPr>
        <w:t>renal</w:t>
      </w:r>
      <w:r w:rsidRPr="00D42853">
        <w:rPr>
          <w:i w:val="0"/>
          <w:iCs/>
          <w:spacing w:val="-3"/>
        </w:rPr>
        <w:t xml:space="preserve"> </w:t>
      </w:r>
      <w:r w:rsidRPr="00D42853">
        <w:rPr>
          <w:i w:val="0"/>
          <w:iCs/>
        </w:rPr>
        <w:t>impairment</w:t>
      </w:r>
      <w:r w:rsidRPr="00D42853">
        <w:rPr>
          <w:i w:val="0"/>
          <w:iCs/>
          <w:spacing w:val="-1"/>
        </w:rPr>
        <w:t xml:space="preserve"> </w:t>
      </w:r>
      <w:r w:rsidRPr="00D42853">
        <w:rPr>
          <w:i w:val="0"/>
          <w:iCs/>
        </w:rPr>
        <w:t>on</w:t>
      </w:r>
      <w:r w:rsidRPr="00D42853">
        <w:rPr>
          <w:i w:val="0"/>
          <w:iCs/>
          <w:spacing w:val="-2"/>
        </w:rPr>
        <w:t xml:space="preserve"> </w:t>
      </w:r>
      <w:r w:rsidRPr="00D42853">
        <w:rPr>
          <w:i w:val="0"/>
          <w:iCs/>
        </w:rPr>
        <w:t>orelabrutinib</w:t>
      </w:r>
      <w:r w:rsidRPr="00D42853">
        <w:rPr>
          <w:i w:val="0"/>
          <w:iCs/>
          <w:spacing w:val="-1"/>
        </w:rPr>
        <w:t xml:space="preserve"> </w:t>
      </w:r>
      <w:r w:rsidR="004D6EFB">
        <w:rPr>
          <w:i w:val="0"/>
          <w:iCs/>
        </w:rPr>
        <w:t>pharmacokinetics</w:t>
      </w:r>
    </w:p>
    <w:p w14:paraId="7619EAB0" w14:textId="773954E6" w:rsidR="001C1EDA" w:rsidRDefault="001C1EDA" w:rsidP="007A4C40">
      <w:r>
        <w:t>There</w:t>
      </w:r>
      <w:r>
        <w:rPr>
          <w:spacing w:val="-2"/>
        </w:rPr>
        <w:t xml:space="preserve"> </w:t>
      </w:r>
      <w:r>
        <w:t>were</w:t>
      </w:r>
      <w:r>
        <w:rPr>
          <w:spacing w:val="-2"/>
        </w:rPr>
        <w:t xml:space="preserve"> </w:t>
      </w:r>
      <w:r>
        <w:t>no</w:t>
      </w:r>
      <w:r>
        <w:rPr>
          <w:spacing w:val="-5"/>
        </w:rPr>
        <w:t xml:space="preserve"> </w:t>
      </w:r>
      <w:r>
        <w:t>studies</w:t>
      </w:r>
      <w:r>
        <w:rPr>
          <w:spacing w:val="-1"/>
        </w:rPr>
        <w:t xml:space="preserve"> </w:t>
      </w:r>
      <w:r>
        <w:t>conducted</w:t>
      </w:r>
      <w:r>
        <w:rPr>
          <w:spacing w:val="-3"/>
        </w:rPr>
        <w:t xml:space="preserve"> </w:t>
      </w:r>
      <w:r>
        <w:t>to</w:t>
      </w:r>
      <w:r>
        <w:rPr>
          <w:spacing w:val="-5"/>
        </w:rPr>
        <w:t xml:space="preserve"> </w:t>
      </w:r>
      <w:r>
        <w:t>evaluate PKs of orelabrutinib in subjects with renal impairment. Results of the PopPK analysis showed</w:t>
      </w:r>
      <w:r>
        <w:rPr>
          <w:spacing w:val="40"/>
        </w:rPr>
        <w:t xml:space="preserve"> </w:t>
      </w:r>
      <w:r>
        <w:t xml:space="preserve">no clinically meaningful differences in the orelabrutinib PKs based on mild to moderate renal impairment (creatinine clearance </w:t>
      </w:r>
      <w:r w:rsidR="00B70873">
        <w:t>(</w:t>
      </w:r>
      <w:r>
        <w:t>CrCl</w:t>
      </w:r>
      <w:r w:rsidR="00B70873">
        <w:t>)</w:t>
      </w:r>
      <w:r>
        <w:t xml:space="preserve"> ≥ 30mL/min, as estimated by Cockcroft-Gault</w:t>
      </w:r>
      <w:r>
        <w:rPr>
          <w:spacing w:val="40"/>
        </w:rPr>
        <w:t xml:space="preserve"> </w:t>
      </w:r>
      <w:r>
        <w:t xml:space="preserve">equation). The effect of severe renal impairment (CrCl &lt; 30 mL/min) and dialysis on orelabrutinib </w:t>
      </w:r>
      <w:r w:rsidR="002C00A5">
        <w:t>PKs</w:t>
      </w:r>
      <w:r>
        <w:t xml:space="preserve"> is unknown.</w:t>
      </w:r>
    </w:p>
    <w:p w14:paraId="002041EF" w14:textId="1A6B3753" w:rsidR="007A4C40" w:rsidRPr="00D42853" w:rsidRDefault="001C1EDA" w:rsidP="00D42853">
      <w:pPr>
        <w:pStyle w:val="Heading5"/>
        <w:rPr>
          <w:i w:val="0"/>
          <w:iCs/>
        </w:rPr>
      </w:pPr>
      <w:r w:rsidRPr="00D42853">
        <w:rPr>
          <w:i w:val="0"/>
          <w:iCs/>
        </w:rPr>
        <w:t xml:space="preserve">Results of </w:t>
      </w:r>
      <w:r w:rsidR="00A5576D">
        <w:rPr>
          <w:i w:val="0"/>
          <w:iCs/>
        </w:rPr>
        <w:t>population pharmacokinetic</w:t>
      </w:r>
      <w:r w:rsidR="00241CE4">
        <w:rPr>
          <w:i w:val="0"/>
          <w:iCs/>
        </w:rPr>
        <w:t>s</w:t>
      </w:r>
      <w:r w:rsidRPr="00D42853">
        <w:rPr>
          <w:i w:val="0"/>
          <w:iCs/>
        </w:rPr>
        <w:t xml:space="preserve"> analysis</w:t>
      </w:r>
    </w:p>
    <w:p w14:paraId="7DD7B146" w14:textId="70B797D6" w:rsidR="003A2381" w:rsidRDefault="001C1EDA" w:rsidP="007A4C40">
      <w:pPr>
        <w:rPr>
          <w:spacing w:val="27"/>
          <w:position w:val="5"/>
          <w:sz w:val="14"/>
        </w:rPr>
      </w:pPr>
      <w:r>
        <w:t xml:space="preserve">The conduct and analysis of the </w:t>
      </w:r>
      <w:r w:rsidR="00241CE4" w:rsidRPr="00241CE4">
        <w:t>population pharmacokinetics</w:t>
      </w:r>
      <w:r w:rsidR="00241CE4" w:rsidRPr="00D42853">
        <w:rPr>
          <w:iCs/>
        </w:rPr>
        <w:t xml:space="preserve"> </w:t>
      </w:r>
      <w:r w:rsidR="00241CE4">
        <w:t>(</w:t>
      </w:r>
      <w:r w:rsidR="00F343E2">
        <w:t>P</w:t>
      </w:r>
      <w:r>
        <w:t>opPK</w:t>
      </w:r>
      <w:r w:rsidR="00241CE4">
        <w:t>)</w:t>
      </w:r>
      <w:r>
        <w:t xml:space="preserve"> modelling of orelabrutinib was</w:t>
      </w:r>
      <w:r>
        <w:rPr>
          <w:spacing w:val="-3"/>
        </w:rPr>
        <w:t xml:space="preserve"> </w:t>
      </w:r>
      <w:r>
        <w:t>satisfactory</w:t>
      </w:r>
      <w:r>
        <w:rPr>
          <w:spacing w:val="-4"/>
        </w:rPr>
        <w:t xml:space="preserve"> </w:t>
      </w:r>
      <w:r>
        <w:t>and</w:t>
      </w:r>
      <w:r>
        <w:rPr>
          <w:spacing w:val="-4"/>
        </w:rPr>
        <w:t xml:space="preserve"> </w:t>
      </w:r>
      <w:r>
        <w:t>complied</w:t>
      </w:r>
      <w:r>
        <w:rPr>
          <w:spacing w:val="-3"/>
        </w:rPr>
        <w:t xml:space="preserve"> </w:t>
      </w:r>
      <w:r>
        <w:t>with</w:t>
      </w:r>
      <w:r>
        <w:rPr>
          <w:spacing w:val="-3"/>
        </w:rPr>
        <w:t xml:space="preserve"> </w:t>
      </w:r>
      <w:r>
        <w:t>the</w:t>
      </w:r>
      <w:r>
        <w:rPr>
          <w:spacing w:val="-5"/>
        </w:rPr>
        <w:t xml:space="preserve"> </w:t>
      </w:r>
      <w:r>
        <w:t>US</w:t>
      </w:r>
      <w:r>
        <w:rPr>
          <w:spacing w:val="-3"/>
        </w:rPr>
        <w:t xml:space="preserve"> </w:t>
      </w:r>
      <w:r>
        <w:t>Guidance</w:t>
      </w:r>
      <w:r>
        <w:rPr>
          <w:spacing w:val="-3"/>
        </w:rPr>
        <w:t xml:space="preserve"> </w:t>
      </w:r>
      <w:r>
        <w:t>for</w:t>
      </w:r>
      <w:r>
        <w:rPr>
          <w:spacing w:val="-3"/>
        </w:rPr>
        <w:t xml:space="preserve"> </w:t>
      </w:r>
      <w:r>
        <w:t>Industry:</w:t>
      </w:r>
      <w:r>
        <w:rPr>
          <w:spacing w:val="-4"/>
        </w:rPr>
        <w:t xml:space="preserve"> </w:t>
      </w:r>
      <w:r>
        <w:t>Population</w:t>
      </w:r>
      <w:r>
        <w:rPr>
          <w:spacing w:val="-5"/>
        </w:rPr>
        <w:t xml:space="preserve"> </w:t>
      </w:r>
      <w:r>
        <w:lastRenderedPageBreak/>
        <w:t>Pharmacokinetics</w:t>
      </w:r>
      <w:r w:rsidR="001E0C65" w:rsidRPr="001E0C65">
        <w:rPr>
          <w:vertAlign w:val="superscript"/>
        </w:rPr>
        <w:footnoteReference w:id="3"/>
      </w:r>
      <w:r>
        <w:rPr>
          <w:spacing w:val="40"/>
          <w:position w:val="5"/>
          <w:sz w:val="14"/>
        </w:rPr>
        <w:t xml:space="preserve"> </w:t>
      </w:r>
      <w:r>
        <w:t>and the TGA-adopted EMA Guideline on Reporting the Results of Population Pharmacokinetic Analyses</w:t>
      </w:r>
      <w:hyperlink w:anchor="_bookmark2" w:history="1">
        <w:r>
          <w:t>.</w:t>
        </w:r>
        <w:r w:rsidR="001E0C65">
          <w:rPr>
            <w:rStyle w:val="FootnoteReference"/>
          </w:rPr>
          <w:footnoteReference w:id="4"/>
        </w:r>
      </w:hyperlink>
      <w:r>
        <w:rPr>
          <w:spacing w:val="27"/>
          <w:position w:val="5"/>
          <w:sz w:val="14"/>
        </w:rPr>
        <w:t xml:space="preserve"> </w:t>
      </w:r>
    </w:p>
    <w:p w14:paraId="4275D3EE" w14:textId="3F781C05" w:rsidR="001C1EDA" w:rsidRDefault="001C1EDA" w:rsidP="007A4C40">
      <w:pPr>
        <w:rPr>
          <w:b/>
        </w:rPr>
      </w:pPr>
      <w:r>
        <w:t xml:space="preserve">The </w:t>
      </w:r>
      <w:r w:rsidR="00F343E2">
        <w:t>P</w:t>
      </w:r>
      <w:r>
        <w:t>opPK analyses evaluated PK and covariate data obtained from Studies ICP-CL-001, ICP-CL-00102, ICP-CL-00103, ICP-CL-00104, ICP-CL-00105, ICP-CL-00106, ICP-CL-00107, ICP-CL-00111, ICP-CL-00117, ICP-CL-00119, ICP-CL-00120, ICP-CL-00122, and ICP-CL-00127</w:t>
      </w:r>
      <w:r>
        <w:rPr>
          <w:b/>
        </w:rPr>
        <w:t>.</w:t>
      </w:r>
    </w:p>
    <w:p w14:paraId="3D5021A2" w14:textId="77777777" w:rsidR="001C1EDA" w:rsidRDefault="001C1EDA" w:rsidP="007A4C40">
      <w:pPr>
        <w:rPr>
          <w:b/>
        </w:rPr>
      </w:pPr>
      <w:r>
        <w:t>The</w:t>
      </w:r>
      <w:r>
        <w:rPr>
          <w:spacing w:val="-6"/>
        </w:rPr>
        <w:t xml:space="preserve"> </w:t>
      </w:r>
      <w:r>
        <w:t>source</w:t>
      </w:r>
      <w:r>
        <w:rPr>
          <w:spacing w:val="-3"/>
        </w:rPr>
        <w:t xml:space="preserve"> </w:t>
      </w:r>
      <w:r>
        <w:t>data</w:t>
      </w:r>
      <w:r>
        <w:rPr>
          <w:spacing w:val="-3"/>
        </w:rPr>
        <w:t xml:space="preserve"> </w:t>
      </w:r>
      <w:r>
        <w:t>included</w:t>
      </w:r>
      <w:r>
        <w:rPr>
          <w:spacing w:val="-3"/>
        </w:rPr>
        <w:t xml:space="preserve"> </w:t>
      </w:r>
      <w:r>
        <w:t>dosing</w:t>
      </w:r>
      <w:r>
        <w:rPr>
          <w:spacing w:val="-5"/>
        </w:rPr>
        <w:t xml:space="preserve"> </w:t>
      </w:r>
      <w:r>
        <w:t>information,</w:t>
      </w:r>
      <w:r>
        <w:rPr>
          <w:spacing w:val="-4"/>
        </w:rPr>
        <w:t xml:space="preserve"> </w:t>
      </w:r>
      <w:r>
        <w:t>PK</w:t>
      </w:r>
      <w:r>
        <w:rPr>
          <w:spacing w:val="-4"/>
        </w:rPr>
        <w:t xml:space="preserve"> </w:t>
      </w:r>
      <w:r>
        <w:t>sampling</w:t>
      </w:r>
      <w:r>
        <w:rPr>
          <w:spacing w:val="-2"/>
        </w:rPr>
        <w:t xml:space="preserve"> </w:t>
      </w:r>
      <w:r>
        <w:t>information,</w:t>
      </w:r>
      <w:r>
        <w:rPr>
          <w:spacing w:val="-4"/>
        </w:rPr>
        <w:t xml:space="preserve"> </w:t>
      </w:r>
      <w:r>
        <w:t>demographics,</w:t>
      </w:r>
      <w:r>
        <w:rPr>
          <w:spacing w:val="-6"/>
        </w:rPr>
        <w:t xml:space="preserve"> </w:t>
      </w:r>
      <w:r>
        <w:t>clinical laboratory values, and other covariate information collected in the clinical studies under the analysis plan. Handling of missing data was clearly stated and appropriate</w:t>
      </w:r>
      <w:r>
        <w:rPr>
          <w:b/>
        </w:rPr>
        <w:t>.</w:t>
      </w:r>
    </w:p>
    <w:p w14:paraId="46272B54" w14:textId="77777777" w:rsidR="001C1EDA" w:rsidRDefault="001C1EDA" w:rsidP="007A4C40">
      <w:r>
        <w:t>The</w:t>
      </w:r>
      <w:r>
        <w:rPr>
          <w:spacing w:val="-2"/>
        </w:rPr>
        <w:t xml:space="preserve"> </w:t>
      </w:r>
      <w:r>
        <w:t>PK</w:t>
      </w:r>
      <w:r>
        <w:rPr>
          <w:spacing w:val="-2"/>
        </w:rPr>
        <w:t xml:space="preserve"> </w:t>
      </w:r>
      <w:r>
        <w:t>analysis</w:t>
      </w:r>
      <w:r>
        <w:rPr>
          <w:spacing w:val="-2"/>
        </w:rPr>
        <w:t xml:space="preserve"> </w:t>
      </w:r>
      <w:r>
        <w:t>dataset</w:t>
      </w:r>
      <w:r>
        <w:rPr>
          <w:spacing w:val="-2"/>
        </w:rPr>
        <w:t xml:space="preserve"> </w:t>
      </w:r>
      <w:r>
        <w:t>included</w:t>
      </w:r>
      <w:r>
        <w:rPr>
          <w:spacing w:val="-2"/>
        </w:rPr>
        <w:t xml:space="preserve"> </w:t>
      </w:r>
      <w:r>
        <w:t>4218</w:t>
      </w:r>
      <w:r>
        <w:rPr>
          <w:spacing w:val="-5"/>
        </w:rPr>
        <w:t xml:space="preserve"> </w:t>
      </w:r>
      <w:r>
        <w:t>observations</w:t>
      </w:r>
      <w:r>
        <w:rPr>
          <w:spacing w:val="-4"/>
        </w:rPr>
        <w:t xml:space="preserve"> </w:t>
      </w:r>
      <w:r>
        <w:t>from</w:t>
      </w:r>
      <w:r>
        <w:rPr>
          <w:spacing w:val="-2"/>
        </w:rPr>
        <w:t xml:space="preserve"> </w:t>
      </w:r>
      <w:r>
        <w:t>338</w:t>
      </w:r>
      <w:r>
        <w:rPr>
          <w:spacing w:val="-2"/>
        </w:rPr>
        <w:t xml:space="preserve"> </w:t>
      </w:r>
      <w:r>
        <w:t>subjects</w:t>
      </w:r>
      <w:r>
        <w:rPr>
          <w:spacing w:val="-2"/>
        </w:rPr>
        <w:t xml:space="preserve"> </w:t>
      </w:r>
      <w:r>
        <w:t>from</w:t>
      </w:r>
      <w:r>
        <w:rPr>
          <w:spacing w:val="-2"/>
        </w:rPr>
        <w:t xml:space="preserve"> </w:t>
      </w:r>
      <w:r>
        <w:t>13</w:t>
      </w:r>
      <w:r>
        <w:rPr>
          <w:spacing w:val="-2"/>
        </w:rPr>
        <w:t xml:space="preserve"> </w:t>
      </w:r>
      <w:r>
        <w:t>studies.</w:t>
      </w:r>
      <w:r>
        <w:rPr>
          <w:spacing w:val="-2"/>
        </w:rPr>
        <w:t xml:space="preserve"> </w:t>
      </w:r>
      <w:r>
        <w:t>Of</w:t>
      </w:r>
      <w:r>
        <w:rPr>
          <w:spacing w:val="-3"/>
        </w:rPr>
        <w:t xml:space="preserve"> </w:t>
      </w:r>
      <w:r>
        <w:t>these subjects, 179 (53%) subjects had B-cell malignancies, while the remaining 159 (47%) were healthy subjects. Orelabrutinib dose ranged from 20 to 400 mg, with single dosing in 141 subjects (41.7%), daily dosing in 182 subjects (53.8%), and BID dosing for 15 subjects (4.4%).</w:t>
      </w:r>
    </w:p>
    <w:p w14:paraId="7A52C2BB" w14:textId="77777777" w:rsidR="009030D7" w:rsidRDefault="009030D7" w:rsidP="009030D7">
      <w:r>
        <w:t>The PK of orelabrutinib following oral administration was well characterized by a 2-compartment</w:t>
      </w:r>
      <w:r>
        <w:rPr>
          <w:spacing w:val="-3"/>
        </w:rPr>
        <w:t xml:space="preserve"> </w:t>
      </w:r>
      <w:r>
        <w:t>model</w:t>
      </w:r>
      <w:r>
        <w:rPr>
          <w:spacing w:val="-3"/>
        </w:rPr>
        <w:t xml:space="preserve"> </w:t>
      </w:r>
      <w:r>
        <w:t>and</w:t>
      </w:r>
      <w:r>
        <w:rPr>
          <w:spacing w:val="-4"/>
        </w:rPr>
        <w:t xml:space="preserve"> </w:t>
      </w:r>
      <w:r>
        <w:t>linear</w:t>
      </w:r>
      <w:r>
        <w:rPr>
          <w:spacing w:val="-3"/>
        </w:rPr>
        <w:t xml:space="preserve"> </w:t>
      </w:r>
      <w:r>
        <w:t>elimination</w:t>
      </w:r>
      <w:r>
        <w:rPr>
          <w:spacing w:val="-3"/>
        </w:rPr>
        <w:t xml:space="preserve"> </w:t>
      </w:r>
      <w:r>
        <w:t>with</w:t>
      </w:r>
      <w:r>
        <w:rPr>
          <w:spacing w:val="-5"/>
        </w:rPr>
        <w:t xml:space="preserve"> </w:t>
      </w:r>
      <w:r>
        <w:t>absorption</w:t>
      </w:r>
      <w:r>
        <w:rPr>
          <w:spacing w:val="-3"/>
        </w:rPr>
        <w:t xml:space="preserve"> </w:t>
      </w:r>
      <w:r>
        <w:t>characterized</w:t>
      </w:r>
      <w:r>
        <w:rPr>
          <w:spacing w:val="-3"/>
        </w:rPr>
        <w:t xml:space="preserve"> </w:t>
      </w:r>
      <w:r>
        <w:t>by</w:t>
      </w:r>
      <w:r>
        <w:rPr>
          <w:spacing w:val="-6"/>
        </w:rPr>
        <w:t xml:space="preserve"> </w:t>
      </w:r>
      <w:r>
        <w:t>4</w:t>
      </w:r>
      <w:r>
        <w:rPr>
          <w:spacing w:val="-3"/>
        </w:rPr>
        <w:t xml:space="preserve"> </w:t>
      </w:r>
      <w:r>
        <w:t>transit compartments between the depot and central compartment.</w:t>
      </w:r>
    </w:p>
    <w:p w14:paraId="3AA93653" w14:textId="7BF901AC" w:rsidR="00EF71DA" w:rsidRDefault="009030D7" w:rsidP="005E2D31">
      <w:pPr>
        <w:spacing w:after="0"/>
      </w:pPr>
      <w:r>
        <w:t xml:space="preserve">In the final </w:t>
      </w:r>
      <w:r w:rsidR="00F343E2">
        <w:t>P</w:t>
      </w:r>
      <w:r>
        <w:t xml:space="preserve">opPK model, covariate effects of body weight, gamma-glutamyl transferase (GGT) and presence of B-cell malignancies caused statistically significant improvements in model fit. </w:t>
      </w:r>
    </w:p>
    <w:p w14:paraId="14AD9E0C" w14:textId="1E09611C" w:rsidR="005D1CD8" w:rsidRDefault="009030D7" w:rsidP="005D1CD8">
      <w:r>
        <w:t>Body weight was included using fixed-allometric exponents on clearance (0.75) and volume of distribution</w:t>
      </w:r>
      <w:r>
        <w:rPr>
          <w:spacing w:val="-2"/>
        </w:rPr>
        <w:t xml:space="preserve"> </w:t>
      </w:r>
      <w:r>
        <w:t>(1.0)</w:t>
      </w:r>
      <w:r>
        <w:rPr>
          <w:spacing w:val="-2"/>
        </w:rPr>
        <w:t xml:space="preserve"> </w:t>
      </w:r>
      <w:r>
        <w:t>parameters.</w:t>
      </w:r>
      <w:r>
        <w:rPr>
          <w:spacing w:val="-4"/>
        </w:rPr>
        <w:t xml:space="preserve"> </w:t>
      </w:r>
      <w:r>
        <w:t>With</w:t>
      </w:r>
      <w:r>
        <w:rPr>
          <w:spacing w:val="-2"/>
        </w:rPr>
        <w:t xml:space="preserve"> </w:t>
      </w:r>
      <w:r>
        <w:t>fixed</w:t>
      </w:r>
      <w:r>
        <w:rPr>
          <w:spacing w:val="-2"/>
        </w:rPr>
        <w:t xml:space="preserve"> </w:t>
      </w:r>
      <w:r>
        <w:t>allometry</w:t>
      </w:r>
      <w:r>
        <w:rPr>
          <w:spacing w:val="-2"/>
        </w:rPr>
        <w:t xml:space="preserve"> </w:t>
      </w:r>
      <w:r>
        <w:t>exponents,</w:t>
      </w:r>
      <w:r>
        <w:rPr>
          <w:spacing w:val="-2"/>
        </w:rPr>
        <w:t xml:space="preserve"> </w:t>
      </w:r>
      <w:r>
        <w:t>increases</w:t>
      </w:r>
      <w:r>
        <w:rPr>
          <w:spacing w:val="-1"/>
        </w:rPr>
        <w:t xml:space="preserve"> </w:t>
      </w:r>
      <w:r>
        <w:t>in</w:t>
      </w:r>
      <w:r>
        <w:rPr>
          <w:spacing w:val="-2"/>
        </w:rPr>
        <w:t xml:space="preserve"> </w:t>
      </w:r>
      <w:r>
        <w:t>bodyweight</w:t>
      </w:r>
      <w:r>
        <w:rPr>
          <w:spacing w:val="-2"/>
        </w:rPr>
        <w:t xml:space="preserve"> </w:t>
      </w:r>
      <w:r>
        <w:t>result</w:t>
      </w:r>
      <w:r>
        <w:rPr>
          <w:spacing w:val="-5"/>
        </w:rPr>
        <w:t xml:space="preserve"> </w:t>
      </w:r>
      <w:r>
        <w:t>in higher clearance and volume of distribution thus lowering exposure. Increase in</w:t>
      </w:r>
      <w:r w:rsidR="00076678">
        <w:t xml:space="preserve"> g</w:t>
      </w:r>
      <w:r w:rsidR="00076678" w:rsidRPr="00076678">
        <w:t>amma-</w:t>
      </w:r>
      <w:r w:rsidR="00076678">
        <w:t>g</w:t>
      </w:r>
      <w:r w:rsidR="00076678" w:rsidRPr="00076678">
        <w:t xml:space="preserve">lutamyl </w:t>
      </w:r>
      <w:r w:rsidR="00076678">
        <w:t>t</w:t>
      </w:r>
      <w:r w:rsidR="00076678" w:rsidRPr="00076678">
        <w:t xml:space="preserve">ransferase </w:t>
      </w:r>
      <w:r w:rsidR="00076678">
        <w:t>(</w:t>
      </w:r>
      <w:r>
        <w:t>GGT</w:t>
      </w:r>
      <w:r w:rsidR="00076678">
        <w:t>)</w:t>
      </w:r>
      <w:r>
        <w:t xml:space="preserve"> was estimated to decrease orelabrutinib clearance while healthy subjects were expected to have a higher clearance than subjects with B-cell malignancies. The model was thoroughly validated using</w:t>
      </w:r>
      <w:r>
        <w:rPr>
          <w:spacing w:val="-5"/>
        </w:rPr>
        <w:t xml:space="preserve"> </w:t>
      </w:r>
      <w:r>
        <w:t>goodness-of-fit</w:t>
      </w:r>
      <w:r>
        <w:rPr>
          <w:spacing w:val="-4"/>
        </w:rPr>
        <w:t xml:space="preserve"> </w:t>
      </w:r>
      <w:r>
        <w:t>(GOF)</w:t>
      </w:r>
      <w:r>
        <w:rPr>
          <w:spacing w:val="-4"/>
        </w:rPr>
        <w:t xml:space="preserve"> </w:t>
      </w:r>
      <w:r>
        <w:t>plots,</w:t>
      </w:r>
      <w:r>
        <w:rPr>
          <w:spacing w:val="-3"/>
        </w:rPr>
        <w:t xml:space="preserve"> </w:t>
      </w:r>
      <w:r>
        <w:t>-plots,</w:t>
      </w:r>
      <w:r>
        <w:rPr>
          <w:spacing w:val="-3"/>
        </w:rPr>
        <w:t xml:space="preserve"> </w:t>
      </w:r>
      <w:r>
        <w:t>SIR</w:t>
      </w:r>
      <w:r>
        <w:rPr>
          <w:spacing w:val="-4"/>
        </w:rPr>
        <w:t xml:space="preserve"> </w:t>
      </w:r>
      <w:r>
        <w:t>and</w:t>
      </w:r>
      <w:r>
        <w:rPr>
          <w:spacing w:val="-4"/>
        </w:rPr>
        <w:t xml:space="preserve"> </w:t>
      </w:r>
      <w:r>
        <w:t>pcVPC</w:t>
      </w:r>
      <w:r>
        <w:rPr>
          <w:spacing w:val="-4"/>
        </w:rPr>
        <w:t xml:space="preserve"> </w:t>
      </w:r>
      <w:r>
        <w:t>techniques.</w:t>
      </w:r>
      <w:r>
        <w:rPr>
          <w:spacing w:val="-3"/>
        </w:rPr>
        <w:t xml:space="preserve"> </w:t>
      </w:r>
      <w:r>
        <w:t>Model</w:t>
      </w:r>
      <w:r>
        <w:rPr>
          <w:spacing w:val="-3"/>
        </w:rPr>
        <w:t xml:space="preserve"> </w:t>
      </w:r>
      <w:r>
        <w:t>validation</w:t>
      </w:r>
      <w:r>
        <w:rPr>
          <w:spacing w:val="-4"/>
        </w:rPr>
        <w:t xml:space="preserve"> </w:t>
      </w:r>
      <w:r>
        <w:t>techniques confirmed that orelabrutinib PK is not statistically significantly impacted based on other covariates</w:t>
      </w:r>
      <w:r>
        <w:rPr>
          <w:spacing w:val="-1"/>
        </w:rPr>
        <w:t xml:space="preserve"> </w:t>
      </w:r>
      <w:r>
        <w:t>including</w:t>
      </w:r>
      <w:r>
        <w:rPr>
          <w:spacing w:val="-1"/>
        </w:rPr>
        <w:t xml:space="preserve"> </w:t>
      </w:r>
      <w:r>
        <w:t>age,</w:t>
      </w:r>
      <w:r>
        <w:rPr>
          <w:spacing w:val="-5"/>
        </w:rPr>
        <w:t xml:space="preserve"> </w:t>
      </w:r>
      <w:r>
        <w:t>sex,</w:t>
      </w:r>
      <w:r>
        <w:rPr>
          <w:spacing w:val="-2"/>
        </w:rPr>
        <w:t xml:space="preserve"> </w:t>
      </w:r>
      <w:r>
        <w:t>race,</w:t>
      </w:r>
      <w:r>
        <w:rPr>
          <w:spacing w:val="-5"/>
        </w:rPr>
        <w:t xml:space="preserve"> </w:t>
      </w:r>
      <w:r>
        <w:t>Chinese</w:t>
      </w:r>
      <w:r>
        <w:rPr>
          <w:spacing w:val="-2"/>
        </w:rPr>
        <w:t xml:space="preserve"> </w:t>
      </w:r>
      <w:r>
        <w:t>origin</w:t>
      </w:r>
      <w:r>
        <w:rPr>
          <w:spacing w:val="-3"/>
        </w:rPr>
        <w:t xml:space="preserve"> </w:t>
      </w:r>
      <w:r>
        <w:t>or</w:t>
      </w:r>
      <w:r>
        <w:rPr>
          <w:spacing w:val="-5"/>
        </w:rPr>
        <w:t xml:space="preserve"> </w:t>
      </w:r>
      <w:r>
        <w:t>renal impairment.</w:t>
      </w:r>
      <w:r>
        <w:rPr>
          <w:spacing w:val="-5"/>
        </w:rPr>
        <w:t xml:space="preserve"> </w:t>
      </w:r>
      <w:r>
        <w:t>There</w:t>
      </w:r>
      <w:r>
        <w:rPr>
          <w:spacing w:val="-5"/>
        </w:rPr>
        <w:t xml:space="preserve"> </w:t>
      </w:r>
      <w:r>
        <w:t>were</w:t>
      </w:r>
      <w:r>
        <w:rPr>
          <w:spacing w:val="-3"/>
        </w:rPr>
        <w:t xml:space="preserve"> </w:t>
      </w:r>
      <w:r>
        <w:t>not</w:t>
      </w:r>
      <w:r>
        <w:rPr>
          <w:spacing w:val="-2"/>
        </w:rPr>
        <w:t xml:space="preserve"> </w:t>
      </w:r>
      <w:r>
        <w:t>sufficient subjects on concomitant drugs to adequately evaluate their impact on orelabrutinib PK.</w:t>
      </w:r>
    </w:p>
    <w:p w14:paraId="36244594" w14:textId="64AAACCE" w:rsidR="001C1EDA" w:rsidRDefault="001C1EDA" w:rsidP="005D1CD8">
      <w:r>
        <w:t>Covariate analysis on pharmacokinetic model parameters identified a statistically significant impact of body weight on all clearance/volume of distribution parameters, time-varying GGT, and subject type (healthy subject versus subject with B-cell malignancies) on elimination clearance.</w:t>
      </w:r>
      <w:r>
        <w:rPr>
          <w:spacing w:val="-2"/>
        </w:rPr>
        <w:t xml:space="preserve"> </w:t>
      </w:r>
      <w:r>
        <w:t>All</w:t>
      </w:r>
      <w:r>
        <w:rPr>
          <w:spacing w:val="-5"/>
        </w:rPr>
        <w:t xml:space="preserve"> </w:t>
      </w:r>
      <w:r>
        <w:t>covariates</w:t>
      </w:r>
      <w:r>
        <w:rPr>
          <w:spacing w:val="-4"/>
        </w:rPr>
        <w:t xml:space="preserve"> </w:t>
      </w:r>
      <w:r>
        <w:t>were</w:t>
      </w:r>
      <w:r>
        <w:rPr>
          <w:spacing w:val="-3"/>
        </w:rPr>
        <w:t xml:space="preserve"> </w:t>
      </w:r>
      <w:r>
        <w:t>evaluated</w:t>
      </w:r>
      <w:r>
        <w:rPr>
          <w:spacing w:val="-2"/>
        </w:rPr>
        <w:t xml:space="preserve"> </w:t>
      </w:r>
      <w:r>
        <w:t>against</w:t>
      </w:r>
      <w:r>
        <w:rPr>
          <w:spacing w:val="-3"/>
        </w:rPr>
        <w:t xml:space="preserve"> </w:t>
      </w:r>
      <w:r>
        <w:t>standard</w:t>
      </w:r>
      <w:r>
        <w:rPr>
          <w:spacing w:val="-3"/>
        </w:rPr>
        <w:t xml:space="preserve"> </w:t>
      </w:r>
      <w:r>
        <w:t>exposure</w:t>
      </w:r>
      <w:r>
        <w:rPr>
          <w:spacing w:val="-5"/>
        </w:rPr>
        <w:t xml:space="preserve"> </w:t>
      </w:r>
      <w:r>
        <w:t>metrics</w:t>
      </w:r>
      <w:r>
        <w:rPr>
          <w:spacing w:val="-4"/>
        </w:rPr>
        <w:t xml:space="preserve"> </w:t>
      </w:r>
      <w:r>
        <w:t>(AUC,</w:t>
      </w:r>
      <w:r>
        <w:rPr>
          <w:spacing w:val="-5"/>
        </w:rPr>
        <w:t xml:space="preserve"> </w:t>
      </w:r>
      <w:r>
        <w:t>C</w:t>
      </w:r>
      <w:r w:rsidRPr="005C1220">
        <w:rPr>
          <w:vertAlign w:val="subscript"/>
        </w:rPr>
        <w:t>max</w:t>
      </w:r>
      <w:r>
        <w:rPr>
          <w:spacing w:val="-1"/>
        </w:rPr>
        <w:t xml:space="preserve"> </w:t>
      </w:r>
      <w:r>
        <w:t>and C</w:t>
      </w:r>
      <w:r w:rsidRPr="009D6D6D">
        <w:rPr>
          <w:vertAlign w:val="subscript"/>
        </w:rPr>
        <w:t>min</w:t>
      </w:r>
      <w:r>
        <w:t>) and most</w:t>
      </w:r>
      <w:r>
        <w:rPr>
          <w:spacing w:val="-2"/>
        </w:rPr>
        <w:t xml:space="preserve"> </w:t>
      </w:r>
      <w:r>
        <w:t>stayed</w:t>
      </w:r>
      <w:r>
        <w:rPr>
          <w:spacing w:val="-1"/>
        </w:rPr>
        <w:t xml:space="preserve"> </w:t>
      </w:r>
      <w:r>
        <w:t>between the clinically relevant limits</w:t>
      </w:r>
      <w:r>
        <w:rPr>
          <w:spacing w:val="-1"/>
        </w:rPr>
        <w:t xml:space="preserve"> </w:t>
      </w:r>
      <w:r>
        <w:t>of 0.8 to</w:t>
      </w:r>
      <w:r>
        <w:rPr>
          <w:spacing w:val="-1"/>
        </w:rPr>
        <w:t xml:space="preserve"> </w:t>
      </w:r>
      <w:r>
        <w:t>1.25</w:t>
      </w:r>
      <w:r>
        <w:rPr>
          <w:spacing w:val="-1"/>
        </w:rPr>
        <w:t xml:space="preserve"> </w:t>
      </w:r>
      <w:r>
        <w:t>when compared to a reference typical subject (71.6 kg with B-cell malignancies and GGT of 19.0 IU/L). Even covariates such as body weight and GGT that were considered most significant, showed less than 50% impacts on orelabrutinib exposure across the 90% range of any particular covariate, suggesting lack of clinically relevant changes.</w:t>
      </w:r>
    </w:p>
    <w:p w14:paraId="288E1024" w14:textId="77777777" w:rsidR="001C1EDA" w:rsidRDefault="001C1EDA" w:rsidP="005D1CD8">
      <w:r>
        <w:t>The dataset used for the above analysis was updated with 44 new subjects and additional PK observations</w:t>
      </w:r>
      <w:r>
        <w:rPr>
          <w:spacing w:val="-6"/>
        </w:rPr>
        <w:t xml:space="preserve"> </w:t>
      </w:r>
      <w:r>
        <w:t>for</w:t>
      </w:r>
      <w:r>
        <w:rPr>
          <w:spacing w:val="-3"/>
        </w:rPr>
        <w:t xml:space="preserve"> </w:t>
      </w:r>
      <w:r>
        <w:t>several</w:t>
      </w:r>
      <w:r>
        <w:rPr>
          <w:spacing w:val="-4"/>
        </w:rPr>
        <w:t xml:space="preserve"> </w:t>
      </w:r>
      <w:r>
        <w:t>existing</w:t>
      </w:r>
      <w:r>
        <w:rPr>
          <w:spacing w:val="-2"/>
        </w:rPr>
        <w:t xml:space="preserve"> </w:t>
      </w:r>
      <w:r>
        <w:t>subjects.</w:t>
      </w:r>
      <w:r>
        <w:rPr>
          <w:spacing w:val="-3"/>
        </w:rPr>
        <w:t xml:space="preserve"> </w:t>
      </w:r>
      <w:r>
        <w:t>Sensitivity</w:t>
      </w:r>
      <w:r>
        <w:rPr>
          <w:spacing w:val="-4"/>
        </w:rPr>
        <w:t xml:space="preserve"> </w:t>
      </w:r>
      <w:r>
        <w:t>testing</w:t>
      </w:r>
      <w:r>
        <w:rPr>
          <w:spacing w:val="-2"/>
        </w:rPr>
        <w:t xml:space="preserve"> </w:t>
      </w:r>
      <w:r>
        <w:t>of</w:t>
      </w:r>
      <w:r>
        <w:rPr>
          <w:spacing w:val="-3"/>
        </w:rPr>
        <w:t xml:space="preserve"> </w:t>
      </w:r>
      <w:r>
        <w:t>this</w:t>
      </w:r>
      <w:r>
        <w:rPr>
          <w:spacing w:val="-2"/>
        </w:rPr>
        <w:t xml:space="preserve"> </w:t>
      </w:r>
      <w:r>
        <w:t>new</w:t>
      </w:r>
      <w:r>
        <w:rPr>
          <w:spacing w:val="-4"/>
        </w:rPr>
        <w:t xml:space="preserve"> </w:t>
      </w:r>
      <w:r>
        <w:t>dataset</w:t>
      </w:r>
      <w:r>
        <w:rPr>
          <w:spacing w:val="-3"/>
        </w:rPr>
        <w:t xml:space="preserve"> </w:t>
      </w:r>
      <w:r>
        <w:t>using</w:t>
      </w:r>
      <w:r>
        <w:rPr>
          <w:spacing w:val="-2"/>
        </w:rPr>
        <w:t xml:space="preserve"> </w:t>
      </w:r>
      <w:r>
        <w:t>the</w:t>
      </w:r>
      <w:r>
        <w:rPr>
          <w:spacing w:val="-3"/>
        </w:rPr>
        <w:t xml:space="preserve"> </w:t>
      </w:r>
      <w:r>
        <w:t>final popPK model did not change any outcome of the analysis using the prior dataset.</w:t>
      </w:r>
    </w:p>
    <w:p w14:paraId="4B208FEE" w14:textId="06612456" w:rsidR="001C1EDA" w:rsidRPr="00204023" w:rsidRDefault="001C1EDA" w:rsidP="00494247">
      <w:pPr>
        <w:pStyle w:val="Heading5"/>
        <w:rPr>
          <w:i w:val="0"/>
          <w:iCs/>
        </w:rPr>
      </w:pPr>
      <w:r w:rsidRPr="00552C40">
        <w:rPr>
          <w:i w:val="0"/>
          <w:iCs/>
        </w:rPr>
        <w:lastRenderedPageBreak/>
        <w:t>Summary</w:t>
      </w:r>
      <w:r w:rsidRPr="00552C40">
        <w:rPr>
          <w:i w:val="0"/>
          <w:iCs/>
          <w:spacing w:val="-6"/>
        </w:rPr>
        <w:t xml:space="preserve"> </w:t>
      </w:r>
      <w:r w:rsidRPr="00552C40">
        <w:rPr>
          <w:i w:val="0"/>
          <w:iCs/>
        </w:rPr>
        <w:t>of</w:t>
      </w:r>
      <w:r w:rsidRPr="00552C40">
        <w:rPr>
          <w:i w:val="0"/>
          <w:iCs/>
          <w:spacing w:val="-5"/>
        </w:rPr>
        <w:t xml:space="preserve"> </w:t>
      </w:r>
      <w:r w:rsidR="00872228" w:rsidRPr="00552C40">
        <w:rPr>
          <w:i w:val="0"/>
          <w:iCs/>
          <w:spacing w:val="-5"/>
        </w:rPr>
        <w:t>d</w:t>
      </w:r>
      <w:r w:rsidR="009C2A1D" w:rsidRPr="00552C40">
        <w:rPr>
          <w:i w:val="0"/>
          <w:iCs/>
        </w:rPr>
        <w:t>rug-drug interaction</w:t>
      </w:r>
      <w:r w:rsidRPr="00552C40">
        <w:rPr>
          <w:i w:val="0"/>
          <w:iCs/>
          <w:spacing w:val="-4"/>
        </w:rPr>
        <w:t xml:space="preserve"> </w:t>
      </w:r>
      <w:r w:rsidRPr="00552C40">
        <w:rPr>
          <w:i w:val="0"/>
          <w:iCs/>
        </w:rPr>
        <w:t>studies</w:t>
      </w:r>
      <w:r w:rsidRPr="00552C40">
        <w:rPr>
          <w:i w:val="0"/>
          <w:iCs/>
          <w:spacing w:val="-4"/>
        </w:rPr>
        <w:t xml:space="preserve"> </w:t>
      </w:r>
      <w:r w:rsidRPr="00552C40">
        <w:rPr>
          <w:i w:val="0"/>
          <w:iCs/>
        </w:rPr>
        <w:t>and</w:t>
      </w:r>
      <w:r w:rsidRPr="00552C40">
        <w:rPr>
          <w:i w:val="0"/>
          <w:iCs/>
          <w:spacing w:val="-5"/>
        </w:rPr>
        <w:t xml:space="preserve"> </w:t>
      </w:r>
      <w:r w:rsidR="00204023" w:rsidRPr="00552C40">
        <w:rPr>
          <w:i w:val="0"/>
          <w:iCs/>
          <w:spacing w:val="-5"/>
        </w:rPr>
        <w:t>p</w:t>
      </w:r>
      <w:r w:rsidR="00204023" w:rsidRPr="00552C40">
        <w:rPr>
          <w:i w:val="0"/>
          <w:iCs/>
        </w:rPr>
        <w:t xml:space="preserve">hysiologically based pharmacokinetic </w:t>
      </w:r>
      <w:r w:rsidRPr="00552C40">
        <w:rPr>
          <w:i w:val="0"/>
          <w:iCs/>
        </w:rPr>
        <w:t>modelling</w:t>
      </w:r>
      <w:r w:rsidRPr="00552C40">
        <w:rPr>
          <w:i w:val="0"/>
          <w:iCs/>
          <w:spacing w:val="-1"/>
        </w:rPr>
        <w:t xml:space="preserve"> </w:t>
      </w:r>
      <w:r w:rsidRPr="00552C40">
        <w:rPr>
          <w:i w:val="0"/>
          <w:iCs/>
          <w:spacing w:val="-2"/>
        </w:rPr>
        <w:t>results</w:t>
      </w:r>
    </w:p>
    <w:p w14:paraId="3B3E67B7" w14:textId="4F2A0E26" w:rsidR="001C1EDA" w:rsidRDefault="001C1EDA" w:rsidP="00494247">
      <w:pPr>
        <w:pStyle w:val="Heading6"/>
      </w:pPr>
      <w:r>
        <w:t>CYP3A</w:t>
      </w:r>
      <w:r>
        <w:rPr>
          <w:spacing w:val="-3"/>
        </w:rPr>
        <w:t xml:space="preserve"> </w:t>
      </w:r>
      <w:r w:rsidR="00552C40">
        <w:rPr>
          <w:spacing w:val="-3"/>
        </w:rPr>
        <w:t>i</w:t>
      </w:r>
      <w:r>
        <w:t>nhibitors</w:t>
      </w:r>
    </w:p>
    <w:p w14:paraId="641DB18B" w14:textId="5911C577" w:rsidR="001C1EDA" w:rsidRDefault="001C1EDA" w:rsidP="001148C9">
      <w:pPr>
        <w:pStyle w:val="ListBullet"/>
      </w:pPr>
      <w:r>
        <w:t>Co-administration</w:t>
      </w:r>
      <w:r>
        <w:rPr>
          <w:spacing w:val="-4"/>
        </w:rPr>
        <w:t xml:space="preserve"> </w:t>
      </w:r>
      <w:r>
        <w:t>of</w:t>
      </w:r>
      <w:r>
        <w:rPr>
          <w:spacing w:val="-6"/>
        </w:rPr>
        <w:t xml:space="preserve"> </w:t>
      </w:r>
      <w:r>
        <w:t>multiple</w:t>
      </w:r>
      <w:r>
        <w:rPr>
          <w:spacing w:val="-3"/>
        </w:rPr>
        <w:t xml:space="preserve"> </w:t>
      </w:r>
      <w:r>
        <w:t>doses</w:t>
      </w:r>
      <w:r>
        <w:rPr>
          <w:spacing w:val="-2"/>
        </w:rPr>
        <w:t xml:space="preserve"> </w:t>
      </w:r>
      <w:r>
        <w:t>of</w:t>
      </w:r>
      <w:r>
        <w:rPr>
          <w:spacing w:val="-3"/>
        </w:rPr>
        <w:t xml:space="preserve"> </w:t>
      </w:r>
      <w:r>
        <w:t>itraconazole</w:t>
      </w:r>
      <w:r>
        <w:rPr>
          <w:spacing w:val="-6"/>
        </w:rPr>
        <w:t xml:space="preserve"> </w:t>
      </w:r>
      <w:r>
        <w:t>(strong</w:t>
      </w:r>
      <w:r>
        <w:rPr>
          <w:spacing w:val="-2"/>
        </w:rPr>
        <w:t xml:space="preserve"> </w:t>
      </w:r>
      <w:r>
        <w:t>CYP3A</w:t>
      </w:r>
      <w:r>
        <w:rPr>
          <w:spacing w:val="-5"/>
        </w:rPr>
        <w:t xml:space="preserve"> </w:t>
      </w:r>
      <w:r>
        <w:t>inhibitor)</w:t>
      </w:r>
      <w:r>
        <w:rPr>
          <w:spacing w:val="-7"/>
        </w:rPr>
        <w:t xml:space="preserve"> </w:t>
      </w:r>
      <w:r>
        <w:t xml:space="preserve">increased the orelabrutinib </w:t>
      </w:r>
      <w:r w:rsidR="00783CDF">
        <w:t>C</w:t>
      </w:r>
      <w:r w:rsidR="00783CDF" w:rsidRPr="00AA1A1D">
        <w:rPr>
          <w:vertAlign w:val="subscript"/>
        </w:rPr>
        <w:t>max</w:t>
      </w:r>
      <w:r>
        <w:t xml:space="preserve"> by 59% and AUC by 110%.</w:t>
      </w:r>
    </w:p>
    <w:p w14:paraId="62310812" w14:textId="0EF21D6B" w:rsidR="001C1EDA" w:rsidRDefault="001C1EDA" w:rsidP="001148C9">
      <w:pPr>
        <w:pStyle w:val="ListBullet"/>
      </w:pPr>
      <w:r>
        <w:t>Co-administration</w:t>
      </w:r>
      <w:r>
        <w:rPr>
          <w:spacing w:val="-5"/>
        </w:rPr>
        <w:t xml:space="preserve"> </w:t>
      </w:r>
      <w:r>
        <w:t>of</w:t>
      </w:r>
      <w:r>
        <w:rPr>
          <w:spacing w:val="-7"/>
        </w:rPr>
        <w:t xml:space="preserve"> </w:t>
      </w:r>
      <w:r>
        <w:t>multiple</w:t>
      </w:r>
      <w:r>
        <w:rPr>
          <w:spacing w:val="-4"/>
        </w:rPr>
        <w:t xml:space="preserve"> </w:t>
      </w:r>
      <w:r>
        <w:t>doses</w:t>
      </w:r>
      <w:r>
        <w:rPr>
          <w:spacing w:val="-3"/>
        </w:rPr>
        <w:t xml:space="preserve"> </w:t>
      </w:r>
      <w:r>
        <w:t>of</w:t>
      </w:r>
      <w:r>
        <w:rPr>
          <w:spacing w:val="-4"/>
        </w:rPr>
        <w:t xml:space="preserve"> </w:t>
      </w:r>
      <w:r>
        <w:t>fluconazole</w:t>
      </w:r>
      <w:r>
        <w:rPr>
          <w:spacing w:val="-4"/>
        </w:rPr>
        <w:t xml:space="preserve"> </w:t>
      </w:r>
      <w:r>
        <w:t>(moderate</w:t>
      </w:r>
      <w:r>
        <w:rPr>
          <w:spacing w:val="-4"/>
        </w:rPr>
        <w:t xml:space="preserve"> </w:t>
      </w:r>
      <w:r>
        <w:t>CYP3A</w:t>
      </w:r>
      <w:r>
        <w:rPr>
          <w:spacing w:val="-6"/>
        </w:rPr>
        <w:t xml:space="preserve"> </w:t>
      </w:r>
      <w:r>
        <w:t>inhibitor)</w:t>
      </w:r>
      <w:r>
        <w:rPr>
          <w:spacing w:val="-5"/>
        </w:rPr>
        <w:t xml:space="preserve"> </w:t>
      </w:r>
      <w:r>
        <w:t xml:space="preserve">was predicted to increase orelabrutinib </w:t>
      </w:r>
      <w:r w:rsidR="00783CDF">
        <w:t>C</w:t>
      </w:r>
      <w:r w:rsidR="00783CDF" w:rsidRPr="00AA1A1D">
        <w:rPr>
          <w:vertAlign w:val="subscript"/>
        </w:rPr>
        <w:t>max</w:t>
      </w:r>
      <w:r>
        <w:t xml:space="preserve"> by 30% and AUC by 70%.</w:t>
      </w:r>
    </w:p>
    <w:p w14:paraId="0E0F8DEF" w14:textId="77777777" w:rsidR="001C1EDA" w:rsidRDefault="001C1EDA" w:rsidP="001148C9">
      <w:pPr>
        <w:pStyle w:val="ListBullet"/>
      </w:pPr>
      <w:r>
        <w:t>Co-administration</w:t>
      </w:r>
      <w:r>
        <w:rPr>
          <w:spacing w:val="-4"/>
        </w:rPr>
        <w:t xml:space="preserve"> </w:t>
      </w:r>
      <w:r>
        <w:t>of</w:t>
      </w:r>
      <w:r>
        <w:rPr>
          <w:spacing w:val="-6"/>
        </w:rPr>
        <w:t xml:space="preserve"> </w:t>
      </w:r>
      <w:r>
        <w:t>multiple</w:t>
      </w:r>
      <w:r>
        <w:rPr>
          <w:spacing w:val="-3"/>
        </w:rPr>
        <w:t xml:space="preserve"> </w:t>
      </w:r>
      <w:r>
        <w:t>doses</w:t>
      </w:r>
      <w:r>
        <w:rPr>
          <w:spacing w:val="-2"/>
        </w:rPr>
        <w:t xml:space="preserve"> </w:t>
      </w:r>
      <w:r>
        <w:t>of</w:t>
      </w:r>
      <w:r>
        <w:rPr>
          <w:spacing w:val="-6"/>
        </w:rPr>
        <w:t xml:space="preserve"> </w:t>
      </w:r>
      <w:r>
        <w:t>cimetidine</w:t>
      </w:r>
      <w:r>
        <w:rPr>
          <w:spacing w:val="-3"/>
        </w:rPr>
        <w:t xml:space="preserve"> </w:t>
      </w:r>
      <w:r>
        <w:t>(weak</w:t>
      </w:r>
      <w:r>
        <w:rPr>
          <w:spacing w:val="-5"/>
        </w:rPr>
        <w:t xml:space="preserve"> </w:t>
      </w:r>
      <w:r>
        <w:t>CYP3A</w:t>
      </w:r>
      <w:r>
        <w:rPr>
          <w:spacing w:val="-4"/>
        </w:rPr>
        <w:t xml:space="preserve"> </w:t>
      </w:r>
      <w:r>
        <w:t>inhibitor)</w:t>
      </w:r>
      <w:r>
        <w:rPr>
          <w:spacing w:val="-4"/>
        </w:rPr>
        <w:t xml:space="preserve"> </w:t>
      </w:r>
      <w:r>
        <w:t>was</w:t>
      </w:r>
      <w:r>
        <w:rPr>
          <w:spacing w:val="-2"/>
        </w:rPr>
        <w:t xml:space="preserve"> </w:t>
      </w:r>
      <w:r>
        <w:t>predicted to have no clinically significant interaction.</w:t>
      </w:r>
    </w:p>
    <w:p w14:paraId="660C96C0" w14:textId="572FB080" w:rsidR="001C1EDA" w:rsidRDefault="001C1EDA" w:rsidP="00494247">
      <w:pPr>
        <w:pStyle w:val="Heading6"/>
      </w:pPr>
      <w:r>
        <w:t>CYP3A</w:t>
      </w:r>
      <w:r>
        <w:rPr>
          <w:spacing w:val="-3"/>
        </w:rPr>
        <w:t xml:space="preserve"> </w:t>
      </w:r>
      <w:r w:rsidR="00552C40">
        <w:rPr>
          <w:spacing w:val="-3"/>
        </w:rPr>
        <w:t>i</w:t>
      </w:r>
      <w:r>
        <w:t>nducers</w:t>
      </w:r>
    </w:p>
    <w:p w14:paraId="0C001EA4" w14:textId="559588C8" w:rsidR="001C1EDA" w:rsidRDefault="001C1EDA" w:rsidP="001148C9">
      <w:pPr>
        <w:pStyle w:val="ListBullet"/>
      </w:pPr>
      <w:r>
        <w:t>Co-administration</w:t>
      </w:r>
      <w:r>
        <w:rPr>
          <w:spacing w:val="-4"/>
        </w:rPr>
        <w:t xml:space="preserve"> </w:t>
      </w:r>
      <w:r>
        <w:t>of</w:t>
      </w:r>
      <w:r>
        <w:rPr>
          <w:spacing w:val="-6"/>
        </w:rPr>
        <w:t xml:space="preserve"> </w:t>
      </w:r>
      <w:r>
        <w:t>multiple</w:t>
      </w:r>
      <w:r>
        <w:rPr>
          <w:spacing w:val="-3"/>
        </w:rPr>
        <w:t xml:space="preserve"> </w:t>
      </w:r>
      <w:r>
        <w:t>doses</w:t>
      </w:r>
      <w:r>
        <w:rPr>
          <w:spacing w:val="-2"/>
        </w:rPr>
        <w:t xml:space="preserve"> </w:t>
      </w:r>
      <w:r>
        <w:t>of</w:t>
      </w:r>
      <w:r>
        <w:rPr>
          <w:spacing w:val="-3"/>
        </w:rPr>
        <w:t xml:space="preserve"> </w:t>
      </w:r>
      <w:r>
        <w:t>rifampin</w:t>
      </w:r>
      <w:r>
        <w:rPr>
          <w:spacing w:val="-4"/>
        </w:rPr>
        <w:t xml:space="preserve"> </w:t>
      </w:r>
      <w:r>
        <w:t>(strong</w:t>
      </w:r>
      <w:r>
        <w:rPr>
          <w:spacing w:val="-3"/>
        </w:rPr>
        <w:t xml:space="preserve"> </w:t>
      </w:r>
      <w:r>
        <w:t>CYP3A</w:t>
      </w:r>
      <w:r>
        <w:rPr>
          <w:spacing w:val="-5"/>
        </w:rPr>
        <w:t xml:space="preserve"> </w:t>
      </w:r>
      <w:r>
        <w:t>inducer)</w:t>
      </w:r>
      <w:r>
        <w:rPr>
          <w:spacing w:val="-4"/>
        </w:rPr>
        <w:t xml:space="preserve"> </w:t>
      </w:r>
      <w:r>
        <w:t>decreased</w:t>
      </w:r>
      <w:r>
        <w:rPr>
          <w:spacing w:val="-4"/>
        </w:rPr>
        <w:t xml:space="preserve"> </w:t>
      </w:r>
      <w:r>
        <w:t xml:space="preserve">the orelabrutinib </w:t>
      </w:r>
      <w:r w:rsidR="00783CDF">
        <w:t>C</w:t>
      </w:r>
      <w:r w:rsidR="00783CDF" w:rsidRPr="00AA1A1D">
        <w:rPr>
          <w:vertAlign w:val="subscript"/>
        </w:rPr>
        <w:t>max</w:t>
      </w:r>
      <w:r>
        <w:t xml:space="preserve"> by 75% and AUC by 87%.</w:t>
      </w:r>
    </w:p>
    <w:p w14:paraId="7BA439B7" w14:textId="6533E599" w:rsidR="001C1EDA" w:rsidRDefault="001C1EDA" w:rsidP="001148C9">
      <w:pPr>
        <w:pStyle w:val="ListBullet"/>
      </w:pPr>
      <w:r>
        <w:t>Co-administration</w:t>
      </w:r>
      <w:r>
        <w:rPr>
          <w:spacing w:val="-4"/>
        </w:rPr>
        <w:t xml:space="preserve"> </w:t>
      </w:r>
      <w:r>
        <w:t>of</w:t>
      </w:r>
      <w:r>
        <w:rPr>
          <w:spacing w:val="-6"/>
        </w:rPr>
        <w:t xml:space="preserve"> </w:t>
      </w:r>
      <w:r>
        <w:t>multiple</w:t>
      </w:r>
      <w:r>
        <w:rPr>
          <w:spacing w:val="-3"/>
        </w:rPr>
        <w:t xml:space="preserve"> </w:t>
      </w:r>
      <w:r>
        <w:t>doses</w:t>
      </w:r>
      <w:r>
        <w:rPr>
          <w:spacing w:val="-2"/>
        </w:rPr>
        <w:t xml:space="preserve"> </w:t>
      </w:r>
      <w:r>
        <w:t>of</w:t>
      </w:r>
      <w:r>
        <w:rPr>
          <w:spacing w:val="-3"/>
        </w:rPr>
        <w:t xml:space="preserve"> </w:t>
      </w:r>
      <w:r>
        <w:t>efavirenz</w:t>
      </w:r>
      <w:r>
        <w:rPr>
          <w:spacing w:val="-3"/>
        </w:rPr>
        <w:t xml:space="preserve"> </w:t>
      </w:r>
      <w:r>
        <w:t>(moderate</w:t>
      </w:r>
      <w:r>
        <w:rPr>
          <w:spacing w:val="-6"/>
        </w:rPr>
        <w:t xml:space="preserve"> </w:t>
      </w:r>
      <w:r>
        <w:t>CYP3A</w:t>
      </w:r>
      <w:r>
        <w:rPr>
          <w:spacing w:val="-4"/>
        </w:rPr>
        <w:t xml:space="preserve"> </w:t>
      </w:r>
      <w:r>
        <w:t>inducer)</w:t>
      </w:r>
      <w:r>
        <w:rPr>
          <w:spacing w:val="-7"/>
        </w:rPr>
        <w:t xml:space="preserve"> </w:t>
      </w:r>
      <w:r>
        <w:t xml:space="preserve">was predicted to decrease orelabrutinib </w:t>
      </w:r>
      <w:r w:rsidR="00783CDF">
        <w:t>C</w:t>
      </w:r>
      <w:r w:rsidR="00783CDF" w:rsidRPr="00AA1A1D">
        <w:rPr>
          <w:vertAlign w:val="subscript"/>
        </w:rPr>
        <w:t>max</w:t>
      </w:r>
      <w:r>
        <w:t xml:space="preserve"> by 34% and AUC by 53%.</w:t>
      </w:r>
    </w:p>
    <w:p w14:paraId="66470DE6" w14:textId="6C3EA1D0" w:rsidR="001C1EDA" w:rsidRDefault="001C1EDA" w:rsidP="001148C9">
      <w:pPr>
        <w:pStyle w:val="ListBullet"/>
      </w:pPr>
      <w:r>
        <w:t>Co-administration</w:t>
      </w:r>
      <w:r>
        <w:rPr>
          <w:spacing w:val="-5"/>
        </w:rPr>
        <w:t xml:space="preserve"> </w:t>
      </w:r>
      <w:r>
        <w:t>of</w:t>
      </w:r>
      <w:r>
        <w:rPr>
          <w:spacing w:val="-6"/>
        </w:rPr>
        <w:t xml:space="preserve"> </w:t>
      </w:r>
      <w:r>
        <w:t>multiple</w:t>
      </w:r>
      <w:r>
        <w:rPr>
          <w:spacing w:val="-4"/>
        </w:rPr>
        <w:t xml:space="preserve"> </w:t>
      </w:r>
      <w:r>
        <w:t>doses</w:t>
      </w:r>
      <w:r>
        <w:rPr>
          <w:spacing w:val="-3"/>
        </w:rPr>
        <w:t xml:space="preserve"> </w:t>
      </w:r>
      <w:r>
        <w:t>of</w:t>
      </w:r>
      <w:r>
        <w:rPr>
          <w:spacing w:val="-4"/>
        </w:rPr>
        <w:t xml:space="preserve"> </w:t>
      </w:r>
      <w:r>
        <w:t>dexamethasone</w:t>
      </w:r>
      <w:r>
        <w:rPr>
          <w:spacing w:val="-5"/>
        </w:rPr>
        <w:t xml:space="preserve"> </w:t>
      </w:r>
      <w:r>
        <w:t>(weak</w:t>
      </w:r>
      <w:r>
        <w:rPr>
          <w:spacing w:val="-4"/>
        </w:rPr>
        <w:t xml:space="preserve"> </w:t>
      </w:r>
      <w:r>
        <w:t>CYP3A</w:t>
      </w:r>
      <w:r>
        <w:rPr>
          <w:spacing w:val="-5"/>
        </w:rPr>
        <w:t xml:space="preserve"> </w:t>
      </w:r>
      <w:r>
        <w:t>inducer)</w:t>
      </w:r>
      <w:r>
        <w:rPr>
          <w:spacing w:val="-5"/>
        </w:rPr>
        <w:t xml:space="preserve"> </w:t>
      </w:r>
      <w:r>
        <w:t xml:space="preserve">was predicted to decrease orelabrutinib </w:t>
      </w:r>
      <w:r w:rsidR="00783CDF">
        <w:t>C</w:t>
      </w:r>
      <w:r w:rsidR="00783CDF" w:rsidRPr="00AA1A1D">
        <w:rPr>
          <w:vertAlign w:val="subscript"/>
        </w:rPr>
        <w:t>max</w:t>
      </w:r>
      <w:r>
        <w:t xml:space="preserve"> by 18% and AUC by 30%.</w:t>
      </w:r>
    </w:p>
    <w:p w14:paraId="61C26E6E" w14:textId="0D9AE388" w:rsidR="001C1EDA" w:rsidRDefault="001C1EDA" w:rsidP="00D57830">
      <w:r>
        <w:t>Adequate</w:t>
      </w:r>
      <w:r>
        <w:rPr>
          <w:spacing w:val="-4"/>
        </w:rPr>
        <w:t xml:space="preserve"> </w:t>
      </w:r>
      <w:r>
        <w:t>precautions</w:t>
      </w:r>
      <w:r>
        <w:rPr>
          <w:spacing w:val="-3"/>
        </w:rPr>
        <w:t xml:space="preserve"> </w:t>
      </w:r>
      <w:r>
        <w:t>regarding</w:t>
      </w:r>
      <w:r>
        <w:rPr>
          <w:spacing w:val="-3"/>
        </w:rPr>
        <w:t xml:space="preserve"> </w:t>
      </w:r>
      <w:r>
        <w:t>risks</w:t>
      </w:r>
      <w:r>
        <w:rPr>
          <w:spacing w:val="-4"/>
        </w:rPr>
        <w:t xml:space="preserve"> </w:t>
      </w:r>
      <w:r>
        <w:t>of</w:t>
      </w:r>
      <w:r>
        <w:rPr>
          <w:spacing w:val="-4"/>
        </w:rPr>
        <w:t xml:space="preserve"> </w:t>
      </w:r>
      <w:r>
        <w:t>increase</w:t>
      </w:r>
      <w:r>
        <w:rPr>
          <w:spacing w:val="-4"/>
        </w:rPr>
        <w:t xml:space="preserve"> </w:t>
      </w:r>
      <w:r>
        <w:t>exposure</w:t>
      </w:r>
      <w:r>
        <w:rPr>
          <w:spacing w:val="-4"/>
        </w:rPr>
        <w:t xml:space="preserve"> </w:t>
      </w:r>
      <w:r>
        <w:t>to</w:t>
      </w:r>
      <w:r>
        <w:rPr>
          <w:spacing w:val="-5"/>
        </w:rPr>
        <w:t xml:space="preserve"> </w:t>
      </w:r>
      <w:r>
        <w:t>orelabrutinib</w:t>
      </w:r>
      <w:r>
        <w:rPr>
          <w:spacing w:val="-5"/>
        </w:rPr>
        <w:t xml:space="preserve"> </w:t>
      </w:r>
      <w:r>
        <w:t>(and</w:t>
      </w:r>
      <w:r>
        <w:rPr>
          <w:spacing w:val="-5"/>
        </w:rPr>
        <w:t xml:space="preserve"> </w:t>
      </w:r>
      <w:r>
        <w:t>increased</w:t>
      </w:r>
      <w:r>
        <w:rPr>
          <w:spacing w:val="-4"/>
        </w:rPr>
        <w:t xml:space="preserve"> </w:t>
      </w:r>
      <w:r>
        <w:t>risk of toxicity) following co-administration with a moderate or strong CYP3A4 inhibitors is included in the draft Aus</w:t>
      </w:r>
      <w:r w:rsidR="00552C40">
        <w:t>tralian</w:t>
      </w:r>
      <w:r>
        <w:t xml:space="preserve"> PI; reduction of dose of orelabrutinib is recommended during concomitant administration with strong or moderate CYP3A4 inhibitors. Similarly, risk of decrease in</w:t>
      </w:r>
      <w:r>
        <w:rPr>
          <w:spacing w:val="-1"/>
        </w:rPr>
        <w:t xml:space="preserve"> </w:t>
      </w:r>
      <w:r>
        <w:t>exposure to orelabrutinib</w:t>
      </w:r>
      <w:r>
        <w:rPr>
          <w:spacing w:val="-1"/>
        </w:rPr>
        <w:t xml:space="preserve"> </w:t>
      </w:r>
      <w:r>
        <w:t>(and</w:t>
      </w:r>
      <w:r>
        <w:rPr>
          <w:spacing w:val="-1"/>
        </w:rPr>
        <w:t xml:space="preserve"> </w:t>
      </w:r>
      <w:r>
        <w:t>risk</w:t>
      </w:r>
      <w:r>
        <w:rPr>
          <w:spacing w:val="-2"/>
        </w:rPr>
        <w:t xml:space="preserve"> </w:t>
      </w:r>
      <w:r>
        <w:t>of reduced efficacy)</w:t>
      </w:r>
      <w:r>
        <w:rPr>
          <w:spacing w:val="-1"/>
        </w:rPr>
        <w:t xml:space="preserve"> </w:t>
      </w:r>
      <w:r>
        <w:t>has been</w:t>
      </w:r>
      <w:r>
        <w:rPr>
          <w:spacing w:val="-4"/>
        </w:rPr>
        <w:t xml:space="preserve"> </w:t>
      </w:r>
      <w:r>
        <w:t>highlighted</w:t>
      </w:r>
      <w:r>
        <w:rPr>
          <w:spacing w:val="-3"/>
        </w:rPr>
        <w:t xml:space="preserve"> </w:t>
      </w:r>
      <w:r>
        <w:t>in</w:t>
      </w:r>
      <w:r>
        <w:rPr>
          <w:spacing w:val="-1"/>
        </w:rPr>
        <w:t xml:space="preserve"> </w:t>
      </w:r>
      <w:r>
        <w:t>the</w:t>
      </w:r>
      <w:r w:rsidR="00D57830">
        <w:t xml:space="preserve"> </w:t>
      </w:r>
      <w:r>
        <w:t>draft</w:t>
      </w:r>
      <w:r>
        <w:rPr>
          <w:spacing w:val="-3"/>
        </w:rPr>
        <w:t xml:space="preserve"> </w:t>
      </w:r>
      <w:r>
        <w:t>Aus</w:t>
      </w:r>
      <w:r w:rsidR="00D57830">
        <w:t>tralian</w:t>
      </w:r>
      <w:r>
        <w:rPr>
          <w:spacing w:val="-2"/>
        </w:rPr>
        <w:t xml:space="preserve"> </w:t>
      </w:r>
      <w:r>
        <w:t>PI</w:t>
      </w:r>
      <w:r>
        <w:rPr>
          <w:spacing w:val="-3"/>
        </w:rPr>
        <w:t xml:space="preserve"> </w:t>
      </w:r>
      <w:r>
        <w:t>and</w:t>
      </w:r>
      <w:r>
        <w:rPr>
          <w:spacing w:val="-5"/>
        </w:rPr>
        <w:t xml:space="preserve"> </w:t>
      </w:r>
      <w:r>
        <w:t>it</w:t>
      </w:r>
      <w:r>
        <w:rPr>
          <w:spacing w:val="-3"/>
        </w:rPr>
        <w:t xml:space="preserve"> </w:t>
      </w:r>
      <w:r>
        <w:t>is</w:t>
      </w:r>
      <w:r>
        <w:rPr>
          <w:spacing w:val="-2"/>
        </w:rPr>
        <w:t xml:space="preserve"> </w:t>
      </w:r>
      <w:r>
        <w:t>recommended</w:t>
      </w:r>
      <w:r>
        <w:rPr>
          <w:spacing w:val="-3"/>
        </w:rPr>
        <w:t xml:space="preserve"> </w:t>
      </w:r>
      <w:r>
        <w:t>that</w:t>
      </w:r>
      <w:r>
        <w:rPr>
          <w:spacing w:val="-3"/>
        </w:rPr>
        <w:t xml:space="preserve"> </w:t>
      </w:r>
      <w:r>
        <w:t>concomitant</w:t>
      </w:r>
      <w:r>
        <w:rPr>
          <w:spacing w:val="-3"/>
        </w:rPr>
        <w:t xml:space="preserve"> </w:t>
      </w:r>
      <w:r>
        <w:t>administration</w:t>
      </w:r>
      <w:r>
        <w:rPr>
          <w:spacing w:val="-3"/>
        </w:rPr>
        <w:t xml:space="preserve"> </w:t>
      </w:r>
      <w:r>
        <w:t>with</w:t>
      </w:r>
      <w:r>
        <w:rPr>
          <w:spacing w:val="-3"/>
        </w:rPr>
        <w:t xml:space="preserve"> </w:t>
      </w:r>
      <w:r>
        <w:t>strong</w:t>
      </w:r>
      <w:r>
        <w:rPr>
          <w:spacing w:val="-3"/>
        </w:rPr>
        <w:t xml:space="preserve"> </w:t>
      </w:r>
      <w:r>
        <w:t>or</w:t>
      </w:r>
      <w:r>
        <w:rPr>
          <w:spacing w:val="-6"/>
        </w:rPr>
        <w:t xml:space="preserve"> </w:t>
      </w:r>
      <w:r>
        <w:t>moderate CYP3A4 inducers should be avoided.</w:t>
      </w:r>
    </w:p>
    <w:p w14:paraId="3155065B" w14:textId="3FA8CD22" w:rsidR="001C1EDA" w:rsidRPr="00D57830" w:rsidRDefault="001C1EDA" w:rsidP="00BE4C16">
      <w:pPr>
        <w:pStyle w:val="Heading6"/>
      </w:pPr>
      <w:r>
        <w:t>Gastric</w:t>
      </w:r>
      <w:r w:rsidRPr="00D57830">
        <w:t xml:space="preserve"> </w:t>
      </w:r>
      <w:r w:rsidR="00686F5D">
        <w:t>r</w:t>
      </w:r>
      <w:r>
        <w:t>educing</w:t>
      </w:r>
      <w:r w:rsidRPr="00D57830">
        <w:t xml:space="preserve"> </w:t>
      </w:r>
      <w:r w:rsidR="00B82633">
        <w:t>a</w:t>
      </w:r>
      <w:r w:rsidRPr="00D57830">
        <w:t>gents</w:t>
      </w:r>
    </w:p>
    <w:p w14:paraId="25E1AE7F" w14:textId="77777777" w:rsidR="001C1EDA" w:rsidRDefault="001C1EDA" w:rsidP="00003412">
      <w:r>
        <w:t>The</w:t>
      </w:r>
      <w:r>
        <w:rPr>
          <w:spacing w:val="-5"/>
        </w:rPr>
        <w:t xml:space="preserve"> </w:t>
      </w:r>
      <w:r>
        <w:t>impact</w:t>
      </w:r>
      <w:r>
        <w:rPr>
          <w:spacing w:val="-3"/>
        </w:rPr>
        <w:t xml:space="preserve"> </w:t>
      </w:r>
      <w:r>
        <w:t>of</w:t>
      </w:r>
      <w:r>
        <w:rPr>
          <w:spacing w:val="-2"/>
        </w:rPr>
        <w:t xml:space="preserve"> </w:t>
      </w:r>
      <w:r>
        <w:t>administration</w:t>
      </w:r>
      <w:r>
        <w:rPr>
          <w:spacing w:val="-3"/>
        </w:rPr>
        <w:t xml:space="preserve"> </w:t>
      </w:r>
      <w:r>
        <w:t>of</w:t>
      </w:r>
      <w:r>
        <w:rPr>
          <w:spacing w:val="-2"/>
        </w:rPr>
        <w:t xml:space="preserve"> </w:t>
      </w:r>
      <w:r>
        <w:t>proton</w:t>
      </w:r>
      <w:r>
        <w:rPr>
          <w:spacing w:val="-3"/>
        </w:rPr>
        <w:t xml:space="preserve"> </w:t>
      </w:r>
      <w:r>
        <w:t>pump</w:t>
      </w:r>
      <w:r>
        <w:rPr>
          <w:spacing w:val="-6"/>
        </w:rPr>
        <w:t xml:space="preserve"> </w:t>
      </w:r>
      <w:r>
        <w:t>inhibitors</w:t>
      </w:r>
      <w:r>
        <w:rPr>
          <w:spacing w:val="-2"/>
        </w:rPr>
        <w:t xml:space="preserve"> </w:t>
      </w:r>
      <w:r>
        <w:t>(PPI)</w:t>
      </w:r>
      <w:r>
        <w:rPr>
          <w:spacing w:val="-2"/>
        </w:rPr>
        <w:t xml:space="preserve"> </w:t>
      </w:r>
      <w:r>
        <w:t>on</w:t>
      </w:r>
      <w:r>
        <w:rPr>
          <w:spacing w:val="-3"/>
        </w:rPr>
        <w:t xml:space="preserve"> </w:t>
      </w:r>
      <w:r>
        <w:t>the</w:t>
      </w:r>
      <w:r>
        <w:rPr>
          <w:spacing w:val="-2"/>
        </w:rPr>
        <w:t xml:space="preserve"> </w:t>
      </w:r>
      <w:r>
        <w:t>plasma</w:t>
      </w:r>
      <w:r>
        <w:rPr>
          <w:spacing w:val="-2"/>
        </w:rPr>
        <w:t xml:space="preserve"> </w:t>
      </w:r>
      <w:r>
        <w:t>exposure of orelabrutinib is predicted to be not clinically significant.</w:t>
      </w:r>
    </w:p>
    <w:p w14:paraId="5BFD6436" w14:textId="1B207677" w:rsidR="001C1EDA" w:rsidRDefault="001C1EDA" w:rsidP="00F03E33">
      <w:pPr>
        <w:pStyle w:val="Heading6"/>
        <w:rPr>
          <w:spacing w:val="-2"/>
        </w:rPr>
      </w:pPr>
      <w:r>
        <w:t>CYP3A4,</w:t>
      </w:r>
      <w:r>
        <w:rPr>
          <w:spacing w:val="-7"/>
        </w:rPr>
        <w:t xml:space="preserve"> </w:t>
      </w:r>
      <w:r>
        <w:t>CYP2D6,</w:t>
      </w:r>
      <w:r>
        <w:rPr>
          <w:spacing w:val="-9"/>
        </w:rPr>
        <w:t xml:space="preserve"> </w:t>
      </w:r>
      <w:r>
        <w:t>CYP2C9,</w:t>
      </w:r>
      <w:r>
        <w:rPr>
          <w:spacing w:val="-9"/>
        </w:rPr>
        <w:t xml:space="preserve"> </w:t>
      </w:r>
      <w:r>
        <w:t>CYP2C19,</w:t>
      </w:r>
      <w:r>
        <w:rPr>
          <w:spacing w:val="-6"/>
        </w:rPr>
        <w:t xml:space="preserve"> </w:t>
      </w:r>
      <w:r>
        <w:t>CYP1A2,</w:t>
      </w:r>
      <w:r>
        <w:rPr>
          <w:spacing w:val="-7"/>
        </w:rPr>
        <w:t xml:space="preserve"> </w:t>
      </w:r>
      <w:r>
        <w:t>CYP2B6</w:t>
      </w:r>
      <w:r>
        <w:rPr>
          <w:spacing w:val="-2"/>
        </w:rPr>
        <w:t xml:space="preserve"> </w:t>
      </w:r>
      <w:r w:rsidR="00BE4C16">
        <w:rPr>
          <w:spacing w:val="-2"/>
        </w:rPr>
        <w:t>s</w:t>
      </w:r>
      <w:r>
        <w:rPr>
          <w:spacing w:val="-2"/>
        </w:rPr>
        <w:t>ubstrates</w:t>
      </w:r>
    </w:p>
    <w:p w14:paraId="7A72B66A" w14:textId="0D5ED99F" w:rsidR="00EE2138" w:rsidRPr="00EE2138" w:rsidRDefault="00EE2138" w:rsidP="00EE2138">
      <w:r>
        <w:t>Orelabrutinib:</w:t>
      </w:r>
    </w:p>
    <w:p w14:paraId="22FA4BD4" w14:textId="0BDE67E3" w:rsidR="001C1EDA" w:rsidRDefault="001C1EDA" w:rsidP="00003412">
      <w:pPr>
        <w:pStyle w:val="ListBullet"/>
      </w:pPr>
      <w:r>
        <w:t>had</w:t>
      </w:r>
      <w:r>
        <w:rPr>
          <w:spacing w:val="-2"/>
        </w:rPr>
        <w:t xml:space="preserve"> </w:t>
      </w:r>
      <w:r>
        <w:t>no</w:t>
      </w:r>
      <w:r>
        <w:rPr>
          <w:spacing w:val="-5"/>
        </w:rPr>
        <w:t xml:space="preserve"> </w:t>
      </w:r>
      <w:r>
        <w:t>clinically</w:t>
      </w:r>
      <w:r>
        <w:rPr>
          <w:spacing w:val="-3"/>
        </w:rPr>
        <w:t xml:space="preserve"> </w:t>
      </w:r>
      <w:r>
        <w:t>meaningful</w:t>
      </w:r>
      <w:r>
        <w:rPr>
          <w:spacing w:val="-2"/>
        </w:rPr>
        <w:t xml:space="preserve"> </w:t>
      </w:r>
      <w:r>
        <w:t>effect</w:t>
      </w:r>
      <w:r>
        <w:rPr>
          <w:spacing w:val="-3"/>
        </w:rPr>
        <w:t xml:space="preserve"> </w:t>
      </w:r>
      <w:r>
        <w:t>on</w:t>
      </w:r>
      <w:r>
        <w:rPr>
          <w:spacing w:val="-6"/>
        </w:rPr>
        <w:t xml:space="preserve"> </w:t>
      </w:r>
      <w:r>
        <w:t>the</w:t>
      </w:r>
      <w:r>
        <w:rPr>
          <w:spacing w:val="-2"/>
        </w:rPr>
        <w:t xml:space="preserve"> </w:t>
      </w:r>
      <w:r>
        <w:t>plasma</w:t>
      </w:r>
      <w:r>
        <w:rPr>
          <w:spacing w:val="-5"/>
        </w:rPr>
        <w:t xml:space="preserve"> </w:t>
      </w:r>
      <w:r>
        <w:t>exposure</w:t>
      </w:r>
      <w:r>
        <w:rPr>
          <w:spacing w:val="-2"/>
        </w:rPr>
        <w:t xml:space="preserve"> </w:t>
      </w:r>
      <w:r>
        <w:t>of</w:t>
      </w:r>
      <w:r>
        <w:rPr>
          <w:spacing w:val="-5"/>
        </w:rPr>
        <w:t xml:space="preserve"> </w:t>
      </w:r>
      <w:r>
        <w:t>midazolam (CYP3A</w:t>
      </w:r>
      <w:r>
        <w:rPr>
          <w:spacing w:val="-2"/>
        </w:rPr>
        <w:t xml:space="preserve"> </w:t>
      </w:r>
      <w:r>
        <w:t>substrate)</w:t>
      </w:r>
    </w:p>
    <w:p w14:paraId="773BC02E" w14:textId="47846325" w:rsidR="001C1EDA" w:rsidRDefault="001C1EDA" w:rsidP="00003412">
      <w:pPr>
        <w:pStyle w:val="ListBullet"/>
      </w:pPr>
      <w:r>
        <w:t>increased</w:t>
      </w:r>
      <w:r>
        <w:rPr>
          <w:spacing w:val="-3"/>
        </w:rPr>
        <w:t xml:space="preserve"> </w:t>
      </w:r>
      <w:r>
        <w:t>the</w:t>
      </w:r>
      <w:r>
        <w:rPr>
          <w:spacing w:val="-3"/>
        </w:rPr>
        <w:t xml:space="preserve"> </w:t>
      </w:r>
      <w:r>
        <w:t>AUC</w:t>
      </w:r>
      <w:r>
        <w:rPr>
          <w:spacing w:val="-3"/>
        </w:rPr>
        <w:t xml:space="preserve"> </w:t>
      </w:r>
      <w:r>
        <w:t>and</w:t>
      </w:r>
      <w:r>
        <w:rPr>
          <w:spacing w:val="-6"/>
        </w:rPr>
        <w:t xml:space="preserve"> </w:t>
      </w:r>
      <w:r w:rsidR="00783CDF">
        <w:t>C</w:t>
      </w:r>
      <w:r w:rsidR="00783CDF" w:rsidRPr="00AA1A1D">
        <w:rPr>
          <w:vertAlign w:val="subscript"/>
        </w:rPr>
        <w:t>max</w:t>
      </w:r>
      <w:r>
        <w:rPr>
          <w:spacing w:val="-4"/>
        </w:rPr>
        <w:t xml:space="preserve"> </w:t>
      </w:r>
      <w:r>
        <w:t>of</w:t>
      </w:r>
      <w:r>
        <w:rPr>
          <w:spacing w:val="-3"/>
        </w:rPr>
        <w:t xml:space="preserve"> </w:t>
      </w:r>
      <w:r>
        <w:t>dextromethorphan</w:t>
      </w:r>
      <w:r>
        <w:rPr>
          <w:spacing w:val="-4"/>
        </w:rPr>
        <w:t xml:space="preserve"> </w:t>
      </w:r>
      <w:r>
        <w:t>(CYP2D6</w:t>
      </w:r>
      <w:r>
        <w:rPr>
          <w:spacing w:val="-6"/>
        </w:rPr>
        <w:t xml:space="preserve"> </w:t>
      </w:r>
      <w:r>
        <w:t>substrate) by 29% and 37%, respectively</w:t>
      </w:r>
    </w:p>
    <w:p w14:paraId="4A489F71" w14:textId="6C76CBB5" w:rsidR="001C1EDA" w:rsidRDefault="001C1EDA" w:rsidP="00003412">
      <w:pPr>
        <w:pStyle w:val="ListBullet"/>
      </w:pPr>
      <w:r>
        <w:t>had</w:t>
      </w:r>
      <w:r>
        <w:rPr>
          <w:spacing w:val="-2"/>
        </w:rPr>
        <w:t xml:space="preserve"> </w:t>
      </w:r>
      <w:r>
        <w:t>no</w:t>
      </w:r>
      <w:r>
        <w:rPr>
          <w:spacing w:val="-5"/>
        </w:rPr>
        <w:t xml:space="preserve"> </w:t>
      </w:r>
      <w:r>
        <w:t>clinically</w:t>
      </w:r>
      <w:r>
        <w:rPr>
          <w:spacing w:val="-3"/>
        </w:rPr>
        <w:t xml:space="preserve"> </w:t>
      </w:r>
      <w:r>
        <w:t>meaningful</w:t>
      </w:r>
      <w:r>
        <w:rPr>
          <w:spacing w:val="-2"/>
        </w:rPr>
        <w:t xml:space="preserve"> </w:t>
      </w:r>
      <w:r>
        <w:t>effect</w:t>
      </w:r>
      <w:r>
        <w:rPr>
          <w:spacing w:val="-3"/>
        </w:rPr>
        <w:t xml:space="preserve"> </w:t>
      </w:r>
      <w:r>
        <w:t>on</w:t>
      </w:r>
      <w:r>
        <w:rPr>
          <w:spacing w:val="-3"/>
        </w:rPr>
        <w:t xml:space="preserve"> </w:t>
      </w:r>
      <w:r>
        <w:t>the</w:t>
      </w:r>
      <w:r>
        <w:rPr>
          <w:spacing w:val="-2"/>
        </w:rPr>
        <w:t xml:space="preserve"> </w:t>
      </w:r>
      <w:r>
        <w:t>plasma</w:t>
      </w:r>
      <w:r>
        <w:rPr>
          <w:spacing w:val="-2"/>
        </w:rPr>
        <w:t xml:space="preserve"> </w:t>
      </w:r>
      <w:r>
        <w:t>exposure</w:t>
      </w:r>
      <w:r>
        <w:rPr>
          <w:spacing w:val="-2"/>
        </w:rPr>
        <w:t xml:space="preserve"> </w:t>
      </w:r>
      <w:r>
        <w:t>of</w:t>
      </w:r>
      <w:r>
        <w:rPr>
          <w:spacing w:val="-5"/>
        </w:rPr>
        <w:t xml:space="preserve"> </w:t>
      </w:r>
      <w:r>
        <w:t>S-warfarin (CYP2C9 substrate)</w:t>
      </w:r>
    </w:p>
    <w:p w14:paraId="5F19A045" w14:textId="3396A7FA" w:rsidR="001C1EDA" w:rsidRDefault="001C1EDA" w:rsidP="00003412">
      <w:pPr>
        <w:pStyle w:val="ListBullet"/>
      </w:pPr>
      <w:r>
        <w:t>increased</w:t>
      </w:r>
      <w:r>
        <w:rPr>
          <w:spacing w:val="-2"/>
        </w:rPr>
        <w:t xml:space="preserve"> </w:t>
      </w:r>
      <w:r>
        <w:t>the</w:t>
      </w:r>
      <w:r>
        <w:rPr>
          <w:spacing w:val="-2"/>
        </w:rPr>
        <w:t xml:space="preserve"> </w:t>
      </w:r>
      <w:r>
        <w:t>AUC</w:t>
      </w:r>
      <w:r>
        <w:rPr>
          <w:spacing w:val="-5"/>
        </w:rPr>
        <w:t xml:space="preserve"> </w:t>
      </w:r>
      <w:r>
        <w:t>of</w:t>
      </w:r>
      <w:r>
        <w:rPr>
          <w:spacing w:val="-2"/>
        </w:rPr>
        <w:t xml:space="preserve"> </w:t>
      </w:r>
      <w:r>
        <w:t>omeprazole</w:t>
      </w:r>
      <w:r>
        <w:rPr>
          <w:spacing w:val="-2"/>
        </w:rPr>
        <w:t xml:space="preserve"> </w:t>
      </w:r>
      <w:r>
        <w:t>(CYP2C19</w:t>
      </w:r>
      <w:r>
        <w:rPr>
          <w:spacing w:val="-5"/>
        </w:rPr>
        <w:t xml:space="preserve"> </w:t>
      </w:r>
      <w:r>
        <w:t>substrate)</w:t>
      </w:r>
      <w:r>
        <w:rPr>
          <w:spacing w:val="-2"/>
        </w:rPr>
        <w:t xml:space="preserve"> </w:t>
      </w:r>
      <w:r>
        <w:t>by</w:t>
      </w:r>
      <w:r>
        <w:rPr>
          <w:spacing w:val="-3"/>
        </w:rPr>
        <w:t xml:space="preserve"> </w:t>
      </w:r>
      <w:r>
        <w:t>27%</w:t>
      </w:r>
      <w:r>
        <w:rPr>
          <w:spacing w:val="-5"/>
        </w:rPr>
        <w:t xml:space="preserve"> </w:t>
      </w:r>
      <w:r>
        <w:t>and</w:t>
      </w:r>
      <w:r>
        <w:rPr>
          <w:spacing w:val="-3"/>
        </w:rPr>
        <w:t xml:space="preserve"> </w:t>
      </w:r>
      <w:r>
        <w:t xml:space="preserve">had no clinically significant impact on </w:t>
      </w:r>
      <w:r w:rsidR="00783CDF">
        <w:t>C</w:t>
      </w:r>
      <w:r w:rsidR="00783CDF" w:rsidRPr="00AA1A1D">
        <w:rPr>
          <w:vertAlign w:val="subscript"/>
        </w:rPr>
        <w:t>max</w:t>
      </w:r>
    </w:p>
    <w:p w14:paraId="75265852" w14:textId="465A65A8" w:rsidR="001C1EDA" w:rsidRDefault="001C1EDA" w:rsidP="00003412">
      <w:pPr>
        <w:pStyle w:val="ListBullet"/>
      </w:pPr>
      <w:r>
        <w:t>had</w:t>
      </w:r>
      <w:r>
        <w:rPr>
          <w:spacing w:val="-2"/>
        </w:rPr>
        <w:t xml:space="preserve"> </w:t>
      </w:r>
      <w:r>
        <w:t>no</w:t>
      </w:r>
      <w:r>
        <w:rPr>
          <w:spacing w:val="-5"/>
        </w:rPr>
        <w:t xml:space="preserve"> </w:t>
      </w:r>
      <w:r>
        <w:t>clinically</w:t>
      </w:r>
      <w:r>
        <w:rPr>
          <w:spacing w:val="-3"/>
        </w:rPr>
        <w:t xml:space="preserve"> </w:t>
      </w:r>
      <w:r>
        <w:t>meaningful</w:t>
      </w:r>
      <w:r>
        <w:rPr>
          <w:spacing w:val="-2"/>
        </w:rPr>
        <w:t xml:space="preserve"> </w:t>
      </w:r>
      <w:r>
        <w:t>effect</w:t>
      </w:r>
      <w:r>
        <w:rPr>
          <w:spacing w:val="-3"/>
        </w:rPr>
        <w:t xml:space="preserve"> </w:t>
      </w:r>
      <w:r>
        <w:t>on</w:t>
      </w:r>
      <w:r>
        <w:rPr>
          <w:spacing w:val="-3"/>
        </w:rPr>
        <w:t xml:space="preserve"> </w:t>
      </w:r>
      <w:r>
        <w:t>the</w:t>
      </w:r>
      <w:r>
        <w:rPr>
          <w:spacing w:val="-2"/>
        </w:rPr>
        <w:t xml:space="preserve"> </w:t>
      </w:r>
      <w:r>
        <w:t>plasma</w:t>
      </w:r>
      <w:r>
        <w:rPr>
          <w:spacing w:val="-2"/>
        </w:rPr>
        <w:t xml:space="preserve"> </w:t>
      </w:r>
      <w:r>
        <w:t>exposure</w:t>
      </w:r>
      <w:r>
        <w:rPr>
          <w:spacing w:val="-2"/>
        </w:rPr>
        <w:t xml:space="preserve"> </w:t>
      </w:r>
      <w:r>
        <w:t>of</w:t>
      </w:r>
      <w:r>
        <w:rPr>
          <w:spacing w:val="-5"/>
        </w:rPr>
        <w:t xml:space="preserve"> </w:t>
      </w:r>
      <w:r>
        <w:t>caffeine (CYP1A2 substrate)</w:t>
      </w:r>
    </w:p>
    <w:p w14:paraId="5B173926" w14:textId="14FAA870" w:rsidR="001C1EDA" w:rsidRDefault="001C1EDA" w:rsidP="00003412">
      <w:pPr>
        <w:pStyle w:val="ListBullet"/>
      </w:pPr>
      <w:r>
        <w:t>was</w:t>
      </w:r>
      <w:r>
        <w:rPr>
          <w:spacing w:val="-2"/>
        </w:rPr>
        <w:t xml:space="preserve"> </w:t>
      </w:r>
      <w:r>
        <w:t>predicted</w:t>
      </w:r>
      <w:r>
        <w:rPr>
          <w:spacing w:val="-3"/>
        </w:rPr>
        <w:t xml:space="preserve"> </w:t>
      </w:r>
      <w:r>
        <w:t>to</w:t>
      </w:r>
      <w:r>
        <w:rPr>
          <w:spacing w:val="-3"/>
        </w:rPr>
        <w:t xml:space="preserve"> </w:t>
      </w:r>
      <w:r>
        <w:t>have</w:t>
      </w:r>
      <w:r>
        <w:rPr>
          <w:spacing w:val="-4"/>
        </w:rPr>
        <w:t xml:space="preserve"> </w:t>
      </w:r>
      <w:r>
        <w:t>no</w:t>
      </w:r>
      <w:r>
        <w:rPr>
          <w:spacing w:val="-3"/>
        </w:rPr>
        <w:t xml:space="preserve"> </w:t>
      </w:r>
      <w:r>
        <w:t>DDI</w:t>
      </w:r>
      <w:r>
        <w:rPr>
          <w:spacing w:val="-3"/>
        </w:rPr>
        <w:t xml:space="preserve"> </w:t>
      </w:r>
      <w:r>
        <w:t>risk</w:t>
      </w:r>
      <w:r>
        <w:rPr>
          <w:spacing w:val="-5"/>
        </w:rPr>
        <w:t xml:space="preserve"> </w:t>
      </w:r>
      <w:r>
        <w:t>when</w:t>
      </w:r>
      <w:r>
        <w:rPr>
          <w:spacing w:val="-4"/>
        </w:rPr>
        <w:t xml:space="preserve"> </w:t>
      </w:r>
      <w:r>
        <w:t>co-administered</w:t>
      </w:r>
      <w:r>
        <w:rPr>
          <w:spacing w:val="-3"/>
        </w:rPr>
        <w:t xml:space="preserve"> </w:t>
      </w:r>
      <w:r>
        <w:t>with</w:t>
      </w:r>
      <w:r>
        <w:rPr>
          <w:spacing w:val="-3"/>
        </w:rPr>
        <w:t xml:space="preserve"> </w:t>
      </w:r>
      <w:r>
        <w:t>bupropion (CYP2B6 substrate).</w:t>
      </w:r>
    </w:p>
    <w:p w14:paraId="54327F44" w14:textId="77777777" w:rsidR="00FA7AD8" w:rsidRDefault="00FA7AD8">
      <w:pPr>
        <w:rPr>
          <w:rFonts w:ascii="Arial" w:eastAsia="Times New Roman" w:hAnsi="Arial" w:cs="Times New Roman"/>
          <w:b/>
          <w:bCs/>
          <w:i/>
          <w:color w:val="001871"/>
          <w:sz w:val="24"/>
          <w:szCs w:val="21"/>
        </w:rPr>
      </w:pPr>
      <w:r>
        <w:br w:type="page"/>
      </w:r>
    </w:p>
    <w:p w14:paraId="64DFF413" w14:textId="0D0000FC" w:rsidR="001C1EDA" w:rsidRDefault="001C1EDA" w:rsidP="00B30A4A">
      <w:pPr>
        <w:pStyle w:val="Heading6"/>
      </w:pPr>
      <w:r>
        <w:lastRenderedPageBreak/>
        <w:t>P-gp,</w:t>
      </w:r>
      <w:r>
        <w:rPr>
          <w:spacing w:val="-4"/>
        </w:rPr>
        <w:t xml:space="preserve"> </w:t>
      </w:r>
      <w:r>
        <w:t>BCRP</w:t>
      </w:r>
      <w:r>
        <w:rPr>
          <w:spacing w:val="-3"/>
        </w:rPr>
        <w:t xml:space="preserve"> </w:t>
      </w:r>
      <w:r>
        <w:t>Substrates</w:t>
      </w:r>
    </w:p>
    <w:p w14:paraId="4BE568DF" w14:textId="77777777" w:rsidR="00C37ECB" w:rsidRDefault="001C1EDA" w:rsidP="00C37ECB">
      <w:pPr>
        <w:pStyle w:val="ListBullet"/>
        <w:numPr>
          <w:ilvl w:val="0"/>
          <w:numId w:val="0"/>
        </w:numPr>
        <w:ind w:left="360" w:hanging="360"/>
      </w:pPr>
      <w:r>
        <w:t>Multiple</w:t>
      </w:r>
      <w:r>
        <w:rPr>
          <w:spacing w:val="-3"/>
        </w:rPr>
        <w:t xml:space="preserve"> </w:t>
      </w:r>
      <w:r>
        <w:t>doses</w:t>
      </w:r>
      <w:r>
        <w:rPr>
          <w:spacing w:val="-4"/>
        </w:rPr>
        <w:t xml:space="preserve"> </w:t>
      </w:r>
      <w:r>
        <w:t>of</w:t>
      </w:r>
      <w:r>
        <w:rPr>
          <w:spacing w:val="-3"/>
        </w:rPr>
        <w:t xml:space="preserve"> </w:t>
      </w:r>
      <w:r>
        <w:t>orelabrutinib</w:t>
      </w:r>
      <w:r w:rsidR="00C37ECB">
        <w:t>:</w:t>
      </w:r>
    </w:p>
    <w:p w14:paraId="7EA36786" w14:textId="37CF2F0A" w:rsidR="001C1EDA" w:rsidRDefault="001C1EDA" w:rsidP="00C37ECB">
      <w:pPr>
        <w:pStyle w:val="ListBullet"/>
      </w:pPr>
      <w:r>
        <w:t>increased</w:t>
      </w:r>
      <w:r>
        <w:rPr>
          <w:spacing w:val="-3"/>
        </w:rPr>
        <w:t xml:space="preserve"> </w:t>
      </w:r>
      <w:r>
        <w:t>the</w:t>
      </w:r>
      <w:r>
        <w:rPr>
          <w:spacing w:val="-3"/>
        </w:rPr>
        <w:t xml:space="preserve"> </w:t>
      </w:r>
      <w:r w:rsidR="00783CDF">
        <w:t>C</w:t>
      </w:r>
      <w:r w:rsidR="00783CDF" w:rsidRPr="00AA1A1D">
        <w:rPr>
          <w:vertAlign w:val="subscript"/>
        </w:rPr>
        <w:t>max</w:t>
      </w:r>
      <w:r>
        <w:rPr>
          <w:spacing w:val="-4"/>
        </w:rPr>
        <w:t xml:space="preserve"> </w:t>
      </w:r>
      <w:r>
        <w:t>of</w:t>
      </w:r>
      <w:r>
        <w:rPr>
          <w:spacing w:val="-3"/>
        </w:rPr>
        <w:t xml:space="preserve"> </w:t>
      </w:r>
      <w:r>
        <w:t>digoxin</w:t>
      </w:r>
      <w:r>
        <w:rPr>
          <w:spacing w:val="-4"/>
        </w:rPr>
        <w:t xml:space="preserve"> </w:t>
      </w:r>
      <w:r>
        <w:t>(P-gp</w:t>
      </w:r>
      <w:r>
        <w:rPr>
          <w:spacing w:val="-4"/>
        </w:rPr>
        <w:t xml:space="preserve"> </w:t>
      </w:r>
      <w:r>
        <w:t>substrate)</w:t>
      </w:r>
      <w:r>
        <w:rPr>
          <w:spacing w:val="-4"/>
        </w:rPr>
        <w:t xml:space="preserve"> </w:t>
      </w:r>
      <w:r>
        <w:t>by</w:t>
      </w:r>
      <w:r>
        <w:rPr>
          <w:spacing w:val="-4"/>
        </w:rPr>
        <w:t xml:space="preserve"> </w:t>
      </w:r>
      <w:r>
        <w:t>52% but had no clinically significant impact on AUC</w:t>
      </w:r>
    </w:p>
    <w:p w14:paraId="5DC76BBA" w14:textId="224C53E6" w:rsidR="001C1EDA" w:rsidRDefault="001C1EDA" w:rsidP="00003412">
      <w:pPr>
        <w:pStyle w:val="ListBullet"/>
      </w:pPr>
      <w:r>
        <w:t>had</w:t>
      </w:r>
      <w:r>
        <w:rPr>
          <w:spacing w:val="-3"/>
        </w:rPr>
        <w:t xml:space="preserve"> </w:t>
      </w:r>
      <w:r>
        <w:t>no</w:t>
      </w:r>
      <w:r>
        <w:rPr>
          <w:spacing w:val="-3"/>
        </w:rPr>
        <w:t xml:space="preserve"> </w:t>
      </w:r>
      <w:r>
        <w:t>clinically</w:t>
      </w:r>
      <w:r>
        <w:rPr>
          <w:spacing w:val="-4"/>
        </w:rPr>
        <w:t xml:space="preserve"> </w:t>
      </w:r>
      <w:r>
        <w:t>significant</w:t>
      </w:r>
      <w:r>
        <w:rPr>
          <w:spacing w:val="-4"/>
        </w:rPr>
        <w:t xml:space="preserve"> </w:t>
      </w:r>
      <w:r>
        <w:t>impact</w:t>
      </w:r>
      <w:r>
        <w:rPr>
          <w:spacing w:val="-4"/>
        </w:rPr>
        <w:t xml:space="preserve"> </w:t>
      </w:r>
      <w:r>
        <w:t>on</w:t>
      </w:r>
      <w:r>
        <w:rPr>
          <w:spacing w:val="-4"/>
        </w:rPr>
        <w:t xml:space="preserve"> </w:t>
      </w:r>
      <w:r>
        <w:t>the</w:t>
      </w:r>
      <w:r>
        <w:rPr>
          <w:spacing w:val="-3"/>
        </w:rPr>
        <w:t xml:space="preserve"> </w:t>
      </w:r>
      <w:r>
        <w:t>plasma exposure of rosuvastatin (BCRP substrate).</w:t>
      </w:r>
    </w:p>
    <w:p w14:paraId="11E4FE5F" w14:textId="41FAAC03" w:rsidR="00C01D7B" w:rsidRDefault="00571C6E" w:rsidP="00571C6E">
      <w:pPr>
        <w:pStyle w:val="Heading5"/>
        <w:rPr>
          <w:i w:val="0"/>
          <w:iCs/>
          <w:lang w:val="en-US"/>
        </w:rPr>
      </w:pPr>
      <w:r w:rsidRPr="00571C6E">
        <w:rPr>
          <w:i w:val="0"/>
          <w:iCs/>
          <w:lang w:val="en-US"/>
        </w:rPr>
        <w:t>Pharmacodynamics</w:t>
      </w:r>
      <w:r>
        <w:rPr>
          <w:i w:val="0"/>
          <w:iCs/>
          <w:lang w:val="en-US"/>
        </w:rPr>
        <w:t xml:space="preserve"> </w:t>
      </w:r>
    </w:p>
    <w:p w14:paraId="0987592D" w14:textId="4020E8AE" w:rsidR="00571C6E" w:rsidRDefault="004E49EF" w:rsidP="004E49EF">
      <w:pPr>
        <w:pStyle w:val="Heading6"/>
        <w:rPr>
          <w:lang w:val="en-US"/>
        </w:rPr>
      </w:pPr>
      <w:r>
        <w:rPr>
          <w:lang w:val="en-US"/>
        </w:rPr>
        <w:t>Primary pharmacodynamic actions</w:t>
      </w:r>
    </w:p>
    <w:p w14:paraId="37E4CABF" w14:textId="621F5190" w:rsidR="00A041B3" w:rsidRDefault="00A041B3" w:rsidP="00A041B3">
      <w:r>
        <w:t>BTK occupancy</w:t>
      </w:r>
      <w:r w:rsidR="00E579E6">
        <w:t>,</w:t>
      </w:r>
      <w:r>
        <w:t xml:space="preserve"> which demonstrates the percentage of total BTK bound by orelabrutinib</w:t>
      </w:r>
      <w:r w:rsidR="00E579E6">
        <w:t>,</w:t>
      </w:r>
      <w:r>
        <w:t xml:space="preserve"> was used as a PD biomarker in the Phase II studies in MCL patients. Orelabrutinib achieved nearly complete</w:t>
      </w:r>
      <w:r>
        <w:rPr>
          <w:spacing w:val="-2"/>
        </w:rPr>
        <w:t xml:space="preserve"> </w:t>
      </w:r>
      <w:r>
        <w:t>and</w:t>
      </w:r>
      <w:r>
        <w:rPr>
          <w:spacing w:val="-3"/>
        </w:rPr>
        <w:t xml:space="preserve"> </w:t>
      </w:r>
      <w:r>
        <w:t>persistent</w:t>
      </w:r>
      <w:r>
        <w:rPr>
          <w:spacing w:val="-3"/>
        </w:rPr>
        <w:t xml:space="preserve"> </w:t>
      </w:r>
      <w:r>
        <w:t>BTK</w:t>
      </w:r>
      <w:r>
        <w:rPr>
          <w:spacing w:val="-2"/>
        </w:rPr>
        <w:t xml:space="preserve"> </w:t>
      </w:r>
      <w:r>
        <w:t>occupancy</w:t>
      </w:r>
      <w:r>
        <w:rPr>
          <w:spacing w:val="-3"/>
        </w:rPr>
        <w:t xml:space="preserve"> </w:t>
      </w:r>
      <w:r>
        <w:t>up</w:t>
      </w:r>
      <w:r>
        <w:rPr>
          <w:spacing w:val="-2"/>
        </w:rPr>
        <w:t xml:space="preserve"> </w:t>
      </w:r>
      <w:r>
        <w:t>to</w:t>
      </w:r>
      <w:r>
        <w:rPr>
          <w:spacing w:val="-6"/>
        </w:rPr>
        <w:t xml:space="preserve"> </w:t>
      </w:r>
      <w:r>
        <w:t>24</w:t>
      </w:r>
      <w:r>
        <w:rPr>
          <w:spacing w:val="-2"/>
        </w:rPr>
        <w:t xml:space="preserve"> </w:t>
      </w:r>
      <w:r>
        <w:t>hours</w:t>
      </w:r>
      <w:r>
        <w:rPr>
          <w:spacing w:val="-1"/>
        </w:rPr>
        <w:t xml:space="preserve"> </w:t>
      </w:r>
      <w:r>
        <w:t>after</w:t>
      </w:r>
      <w:r>
        <w:rPr>
          <w:spacing w:val="-2"/>
        </w:rPr>
        <w:t xml:space="preserve"> </w:t>
      </w:r>
      <w:r>
        <w:t>a</w:t>
      </w:r>
      <w:r>
        <w:rPr>
          <w:spacing w:val="-3"/>
        </w:rPr>
        <w:t xml:space="preserve"> </w:t>
      </w:r>
      <w:r>
        <w:t>therapeutic</w:t>
      </w:r>
      <w:r>
        <w:rPr>
          <w:spacing w:val="-1"/>
        </w:rPr>
        <w:t xml:space="preserve"> </w:t>
      </w:r>
      <w:r>
        <w:t>dose</w:t>
      </w:r>
      <w:r>
        <w:rPr>
          <w:spacing w:val="-2"/>
        </w:rPr>
        <w:t xml:space="preserve"> </w:t>
      </w:r>
      <w:r>
        <w:t>of</w:t>
      </w:r>
      <w:r>
        <w:rPr>
          <w:spacing w:val="-2"/>
        </w:rPr>
        <w:t xml:space="preserve"> </w:t>
      </w:r>
      <w:r>
        <w:t>150</w:t>
      </w:r>
      <w:r>
        <w:rPr>
          <w:spacing w:val="-2"/>
        </w:rPr>
        <w:t xml:space="preserve"> </w:t>
      </w:r>
      <w:r>
        <w:t>mg</w:t>
      </w:r>
      <w:r>
        <w:rPr>
          <w:spacing w:val="-1"/>
        </w:rPr>
        <w:t xml:space="preserve"> </w:t>
      </w:r>
      <w:r>
        <w:t xml:space="preserve">QD. The E-R analysis showed that even at the nadir values of </w:t>
      </w:r>
      <w:r w:rsidR="00783CDF">
        <w:t>C</w:t>
      </w:r>
      <w:r w:rsidR="00783CDF" w:rsidRPr="00AA1A1D">
        <w:rPr>
          <w:vertAlign w:val="subscript"/>
        </w:rPr>
        <w:t>max</w:t>
      </w:r>
      <w:r>
        <w:t xml:space="preserve"> 372 ng/mL and AUC</w:t>
      </w:r>
      <w:r w:rsidRPr="00F24B73">
        <w:rPr>
          <w:vertAlign w:val="subscript"/>
        </w:rPr>
        <w:t>0-t</w:t>
      </w:r>
      <w:r>
        <w:t xml:space="preserve"> 3154</w:t>
      </w:r>
      <w:r w:rsidR="007501ED">
        <w:t xml:space="preserve"> </w:t>
      </w:r>
      <w:r>
        <w:t>h*ng/mL in MCL patients, the BTK occupancy was almost 100% at 4 hours post-dose.</w:t>
      </w:r>
    </w:p>
    <w:p w14:paraId="5D7F4D67" w14:textId="498B2FCE" w:rsidR="008367DD" w:rsidRPr="008367DD" w:rsidRDefault="008367DD" w:rsidP="008367DD">
      <w:pPr>
        <w:pStyle w:val="Heading6"/>
        <w:rPr>
          <w:lang w:val="en-US"/>
        </w:rPr>
      </w:pPr>
      <w:r w:rsidRPr="008367DD">
        <w:rPr>
          <w:lang w:val="en-US"/>
        </w:rPr>
        <w:t>Secondary pharmacodynamic actions</w:t>
      </w:r>
    </w:p>
    <w:p w14:paraId="77C96266" w14:textId="5E5DF8D2" w:rsidR="008367DD" w:rsidRDefault="008367DD" w:rsidP="008367DD">
      <w:r>
        <w:t>The</w:t>
      </w:r>
      <w:r>
        <w:rPr>
          <w:spacing w:val="-5"/>
        </w:rPr>
        <w:t xml:space="preserve"> </w:t>
      </w:r>
      <w:r>
        <w:t>concentration-QTc</w:t>
      </w:r>
      <w:r>
        <w:rPr>
          <w:spacing w:val="-1"/>
        </w:rPr>
        <w:t xml:space="preserve"> </w:t>
      </w:r>
      <w:r>
        <w:t>model</w:t>
      </w:r>
      <w:r>
        <w:rPr>
          <w:spacing w:val="-2"/>
        </w:rPr>
        <w:t xml:space="preserve"> </w:t>
      </w:r>
      <w:r>
        <w:t>predicted</w:t>
      </w:r>
      <w:r>
        <w:rPr>
          <w:spacing w:val="-2"/>
        </w:rPr>
        <w:t xml:space="preserve"> </w:t>
      </w:r>
      <w:r>
        <w:t>effect</w:t>
      </w:r>
      <w:r>
        <w:rPr>
          <w:spacing w:val="-3"/>
        </w:rPr>
        <w:t xml:space="preserve"> </w:t>
      </w:r>
      <w:r>
        <w:t>on</w:t>
      </w:r>
      <w:r>
        <w:rPr>
          <w:spacing w:val="-3"/>
        </w:rPr>
        <w:t xml:space="preserve"> </w:t>
      </w:r>
      <w:r>
        <w:t>ΔΔQTcF</w:t>
      </w:r>
      <w:r>
        <w:rPr>
          <w:spacing w:val="-3"/>
        </w:rPr>
        <w:t xml:space="preserve"> </w:t>
      </w:r>
      <w:r>
        <w:t>at</w:t>
      </w:r>
      <w:r>
        <w:rPr>
          <w:spacing w:val="-4"/>
        </w:rPr>
        <w:t xml:space="preserve"> </w:t>
      </w:r>
      <w:r>
        <w:t>the</w:t>
      </w:r>
      <w:r>
        <w:rPr>
          <w:spacing w:val="-3"/>
        </w:rPr>
        <w:t xml:space="preserve"> </w:t>
      </w:r>
      <w:r>
        <w:t>geometric</w:t>
      </w:r>
      <w:r>
        <w:rPr>
          <w:spacing w:val="-4"/>
        </w:rPr>
        <w:t xml:space="preserve"> </w:t>
      </w:r>
      <w:r>
        <w:t>mean</w:t>
      </w:r>
      <w:r>
        <w:rPr>
          <w:spacing w:val="-3"/>
        </w:rPr>
        <w:t xml:space="preserve"> </w:t>
      </w:r>
      <w:r w:rsidR="00783CDF">
        <w:t>C</w:t>
      </w:r>
      <w:r w:rsidR="00783CDF" w:rsidRPr="00AA1A1D">
        <w:rPr>
          <w:vertAlign w:val="subscript"/>
        </w:rPr>
        <w:t>max</w:t>
      </w:r>
      <w:r>
        <w:rPr>
          <w:spacing w:val="-1"/>
        </w:rPr>
        <w:t xml:space="preserve"> </w:t>
      </w:r>
      <w:r>
        <w:t>was</w:t>
      </w:r>
      <w:r>
        <w:rPr>
          <w:spacing w:val="-1"/>
        </w:rPr>
        <w:t xml:space="preserve"> </w:t>
      </w:r>
      <w:r>
        <w:t>1.65 ms (90% CI: 1.18 to 2.12) and 3.65 ms (90% CI: 2.62 to 4.67) after single orelabrutinib doses of 150 and 400 mg, respectively. This suggests that an effect on ΔΔQTcF exceeding 10 ms can be excluded within the full observed range of orelabrutinib plasma concentrations up to ~4550 ng/mL. Based on the concentration-QTc analysis, an effect on ΔΔQTcF exceeding 10 ms (the threshold</w:t>
      </w:r>
      <w:r>
        <w:rPr>
          <w:spacing w:val="-1"/>
        </w:rPr>
        <w:t xml:space="preserve"> </w:t>
      </w:r>
      <w:r>
        <w:t>for</w:t>
      </w:r>
      <w:r>
        <w:rPr>
          <w:spacing w:val="-1"/>
        </w:rPr>
        <w:t xml:space="preserve"> </w:t>
      </w:r>
      <w:r>
        <w:t>regulatory</w:t>
      </w:r>
      <w:r>
        <w:rPr>
          <w:spacing w:val="-2"/>
        </w:rPr>
        <w:t xml:space="preserve"> </w:t>
      </w:r>
      <w:r>
        <w:t>concern</w:t>
      </w:r>
      <w:r>
        <w:rPr>
          <w:spacing w:val="-2"/>
        </w:rPr>
        <w:t xml:space="preserve"> </w:t>
      </w:r>
      <w:r>
        <w:t>as described</w:t>
      </w:r>
      <w:r>
        <w:rPr>
          <w:spacing w:val="-1"/>
        </w:rPr>
        <w:t xml:space="preserve"> </w:t>
      </w:r>
      <w:r>
        <w:t>in</w:t>
      </w:r>
      <w:r>
        <w:rPr>
          <w:spacing w:val="-2"/>
        </w:rPr>
        <w:t xml:space="preserve"> </w:t>
      </w:r>
      <w:r>
        <w:t>ICH E14</w:t>
      </w:r>
      <w:r>
        <w:rPr>
          <w:spacing w:val="-1"/>
        </w:rPr>
        <w:t xml:space="preserve"> </w:t>
      </w:r>
      <w:r>
        <w:t>guidelines)</w:t>
      </w:r>
      <w:r>
        <w:rPr>
          <w:spacing w:val="-2"/>
        </w:rPr>
        <w:t xml:space="preserve"> </w:t>
      </w:r>
      <w:r>
        <w:t>can</w:t>
      </w:r>
      <w:r>
        <w:rPr>
          <w:spacing w:val="-2"/>
        </w:rPr>
        <w:t xml:space="preserve"> </w:t>
      </w:r>
      <w:r>
        <w:t>be</w:t>
      </w:r>
      <w:r>
        <w:rPr>
          <w:spacing w:val="-4"/>
        </w:rPr>
        <w:t xml:space="preserve"> </w:t>
      </w:r>
      <w:r>
        <w:t>excluded</w:t>
      </w:r>
      <w:r>
        <w:rPr>
          <w:spacing w:val="-2"/>
        </w:rPr>
        <w:t xml:space="preserve"> </w:t>
      </w:r>
      <w:r>
        <w:t>within</w:t>
      </w:r>
      <w:r>
        <w:rPr>
          <w:spacing w:val="-2"/>
        </w:rPr>
        <w:t xml:space="preserve"> </w:t>
      </w:r>
      <w:r>
        <w:t>the full observed range of orelabrutinib plasma concentrations up to ~4550 ng/mL. Assay sensitivity was well established in this study by using moxifloxacin as a positive control which generated an effect on ΔΔQTcF exceeding 5 ms.</w:t>
      </w:r>
    </w:p>
    <w:p w14:paraId="15D591D4" w14:textId="76D2D4A9" w:rsidR="004E49EF" w:rsidRDefault="00A1226F" w:rsidP="00A1226F">
      <w:pPr>
        <w:pStyle w:val="Heading4"/>
        <w:rPr>
          <w:lang w:val="en-US"/>
        </w:rPr>
      </w:pPr>
      <w:bookmarkStart w:id="47" w:name="_Toc241844858"/>
      <w:r>
        <w:rPr>
          <w:lang w:val="en-US"/>
        </w:rPr>
        <w:t>Efficacy</w:t>
      </w:r>
      <w:bookmarkEnd w:id="47"/>
    </w:p>
    <w:p w14:paraId="6C372898" w14:textId="45D7E955" w:rsidR="00446EFE" w:rsidRPr="00B2685B" w:rsidRDefault="002B27F5" w:rsidP="00B2685B">
      <w:pPr>
        <w:pStyle w:val="Heading5"/>
        <w:rPr>
          <w:i w:val="0"/>
          <w:iCs/>
          <w:lang w:val="en-US"/>
        </w:rPr>
      </w:pPr>
      <w:r w:rsidRPr="00B2685B">
        <w:rPr>
          <w:i w:val="0"/>
          <w:iCs/>
          <w:lang w:val="en-US"/>
        </w:rPr>
        <w:t>Studies providing efficacy data</w:t>
      </w:r>
    </w:p>
    <w:p w14:paraId="1360BB3A" w14:textId="77777777" w:rsidR="00633717" w:rsidRPr="0001268F" w:rsidRDefault="00633717" w:rsidP="00633717">
      <w:pPr>
        <w:rPr>
          <w:lang w:eastAsia="ja-JP"/>
        </w:rPr>
      </w:pPr>
      <w:r>
        <w:rPr>
          <w:lang w:eastAsia="ja-JP"/>
        </w:rPr>
        <w:t>The dossier contained 3 studies for efficacy evaluation in R/R MCL or B-cell malignancies.</w:t>
      </w:r>
    </w:p>
    <w:p w14:paraId="00FB6B74" w14:textId="411A2EFA" w:rsidR="00633717" w:rsidRPr="00FA7B7D" w:rsidRDefault="00633717" w:rsidP="00633717">
      <w:pPr>
        <w:pStyle w:val="Numberbullet0"/>
        <w:rPr>
          <w:lang w:val="en-GB"/>
        </w:rPr>
      </w:pPr>
      <w:r w:rsidRPr="00FA7B7D">
        <w:rPr>
          <w:lang w:val="en-GB" w:eastAsia="ja-JP"/>
        </w:rPr>
        <w:t xml:space="preserve">The </w:t>
      </w:r>
      <w:r w:rsidRPr="00633717">
        <w:rPr>
          <w:lang w:val="en-GB" w:eastAsia="ja-JP"/>
        </w:rPr>
        <w:t>pivotal</w:t>
      </w:r>
      <w:r w:rsidR="00FB1162">
        <w:rPr>
          <w:lang w:val="en-GB" w:eastAsia="ja-JP"/>
        </w:rPr>
        <w:t xml:space="preserve"> P</w:t>
      </w:r>
      <w:r w:rsidRPr="00FA7B7D">
        <w:rPr>
          <w:lang w:val="en-GB" w:eastAsia="ja-JP"/>
        </w:rPr>
        <w:t xml:space="preserve">hase </w:t>
      </w:r>
      <w:r w:rsidR="00FB1162">
        <w:rPr>
          <w:lang w:val="en-GB" w:eastAsia="ja-JP"/>
        </w:rPr>
        <w:t>1/2</w:t>
      </w:r>
      <w:r w:rsidRPr="00FA7B7D">
        <w:rPr>
          <w:lang w:val="en-GB" w:eastAsia="ja-JP"/>
        </w:rPr>
        <w:t xml:space="preserve"> study (ICP-CL-00102</w:t>
      </w:r>
      <w:r w:rsidR="00FB1162">
        <w:rPr>
          <w:lang w:val="en-GB" w:eastAsia="ja-JP"/>
        </w:rPr>
        <w:t>)</w:t>
      </w:r>
      <w:r w:rsidR="009A43DF">
        <w:rPr>
          <w:lang w:val="en-GB" w:eastAsia="ja-JP"/>
        </w:rPr>
        <w:t xml:space="preserve"> </w:t>
      </w:r>
    </w:p>
    <w:p w14:paraId="4855EA47" w14:textId="2E7B010E" w:rsidR="00633717" w:rsidRPr="00FA7B7D" w:rsidRDefault="00633717" w:rsidP="00633717">
      <w:pPr>
        <w:pStyle w:val="Numberbullet0"/>
        <w:rPr>
          <w:lang w:val="en-GB"/>
        </w:rPr>
      </w:pPr>
      <w:r w:rsidRPr="00FA7B7D">
        <w:rPr>
          <w:lang w:val="en-GB"/>
        </w:rPr>
        <w:t xml:space="preserve">The </w:t>
      </w:r>
      <w:r w:rsidRPr="00633717">
        <w:rPr>
          <w:lang w:val="en-GB"/>
        </w:rPr>
        <w:t>main supporting</w:t>
      </w:r>
      <w:r w:rsidRPr="00FA7B7D">
        <w:rPr>
          <w:lang w:val="en-GB"/>
        </w:rPr>
        <w:t xml:space="preserve"> Phase </w:t>
      </w:r>
      <w:r w:rsidR="00FB1162">
        <w:rPr>
          <w:lang w:val="en-GB"/>
        </w:rPr>
        <w:t>1/2</w:t>
      </w:r>
      <w:r w:rsidRPr="00FA7B7D">
        <w:rPr>
          <w:lang w:val="en-GB"/>
        </w:rPr>
        <w:t xml:space="preserve"> study (ICP-CL-00107</w:t>
      </w:r>
      <w:r w:rsidR="00FB1162">
        <w:rPr>
          <w:lang w:val="en-GB"/>
        </w:rPr>
        <w:t>)</w:t>
      </w:r>
    </w:p>
    <w:p w14:paraId="39191C55" w14:textId="639593D6" w:rsidR="00633717" w:rsidRPr="00DC7E21" w:rsidRDefault="00633717">
      <w:pPr>
        <w:pStyle w:val="Numberbullet0"/>
        <w:rPr>
          <w:lang w:val="en-GB"/>
        </w:rPr>
      </w:pPr>
      <w:r w:rsidRPr="00DC7E21">
        <w:rPr>
          <w:lang w:val="en-GB"/>
        </w:rPr>
        <w:t xml:space="preserve">A supporting Phase </w:t>
      </w:r>
      <w:r w:rsidR="00FB1162" w:rsidRPr="00DC7E21">
        <w:rPr>
          <w:lang w:val="en-GB"/>
        </w:rPr>
        <w:t>2</w:t>
      </w:r>
      <w:r w:rsidRPr="00DC7E21">
        <w:rPr>
          <w:lang w:val="en-GB"/>
        </w:rPr>
        <w:t xml:space="preserve"> study (ICP-CL-00127</w:t>
      </w:r>
      <w:r w:rsidR="00DC7E21">
        <w:rPr>
          <w:lang w:val="en-GB"/>
        </w:rPr>
        <w:t>)</w:t>
      </w:r>
    </w:p>
    <w:p w14:paraId="7C48A0E0" w14:textId="00A2FD3E" w:rsidR="0072689D" w:rsidRDefault="0072689D" w:rsidP="00B2685B">
      <w:pPr>
        <w:pStyle w:val="Heading5"/>
        <w:rPr>
          <w:i w:val="0"/>
          <w:iCs/>
          <w:spacing w:val="-4"/>
        </w:rPr>
      </w:pPr>
      <w:r w:rsidRPr="00B2685B">
        <w:rPr>
          <w:i w:val="0"/>
          <w:iCs/>
        </w:rPr>
        <w:t>Study</w:t>
      </w:r>
      <w:r w:rsidRPr="00B2685B">
        <w:rPr>
          <w:i w:val="0"/>
          <w:iCs/>
          <w:spacing w:val="-12"/>
        </w:rPr>
        <w:t xml:space="preserve"> </w:t>
      </w:r>
      <w:r w:rsidRPr="00B2685B">
        <w:rPr>
          <w:i w:val="0"/>
          <w:iCs/>
        </w:rPr>
        <w:t>ICP-CL-</w:t>
      </w:r>
      <w:r w:rsidRPr="00B2685B">
        <w:rPr>
          <w:i w:val="0"/>
          <w:iCs/>
          <w:spacing w:val="-4"/>
        </w:rPr>
        <w:t>00102</w:t>
      </w:r>
    </w:p>
    <w:p w14:paraId="589FEB83" w14:textId="52FBD6CC" w:rsidR="00F904AF" w:rsidRPr="00F904AF" w:rsidRDefault="00F904AF" w:rsidP="006E28A5">
      <w:pPr>
        <w:pStyle w:val="Heading6"/>
      </w:pPr>
      <w:r>
        <w:t xml:space="preserve">Design and </w:t>
      </w:r>
      <w:r w:rsidR="006E28A5">
        <w:t>location</w:t>
      </w:r>
    </w:p>
    <w:p w14:paraId="715F0383" w14:textId="3B6FF68E" w:rsidR="00DC7E21" w:rsidRDefault="009A7AFA" w:rsidP="00123B28">
      <w:pPr>
        <w:rPr>
          <w:spacing w:val="40"/>
        </w:rPr>
      </w:pPr>
      <w:r w:rsidRPr="004513F0">
        <w:rPr>
          <w:bCs/>
        </w:rPr>
        <w:t>This was a</w:t>
      </w:r>
      <w:r>
        <w:t xml:space="preserve"> </w:t>
      </w:r>
      <w:r w:rsidR="003A3353">
        <w:t>P</w:t>
      </w:r>
      <w:r>
        <w:t>hase 1/2, multi-centre, open-label study evaluating safety and efficacy of orelabrutinib</w:t>
      </w:r>
      <w:r>
        <w:rPr>
          <w:spacing w:val="-3"/>
        </w:rPr>
        <w:t xml:space="preserve"> </w:t>
      </w:r>
      <w:r>
        <w:t>in</w:t>
      </w:r>
      <w:r>
        <w:rPr>
          <w:spacing w:val="-3"/>
        </w:rPr>
        <w:t xml:space="preserve"> </w:t>
      </w:r>
      <w:r>
        <w:t>adults</w:t>
      </w:r>
      <w:r>
        <w:rPr>
          <w:spacing w:val="-2"/>
        </w:rPr>
        <w:t xml:space="preserve"> </w:t>
      </w:r>
      <w:r>
        <w:t>with</w:t>
      </w:r>
      <w:r>
        <w:rPr>
          <w:spacing w:val="-2"/>
        </w:rPr>
        <w:t xml:space="preserve"> </w:t>
      </w:r>
      <w:r w:rsidR="00A72EA4">
        <w:t>R/R</w:t>
      </w:r>
      <w:r>
        <w:rPr>
          <w:spacing w:val="-4"/>
        </w:rPr>
        <w:t xml:space="preserve"> </w:t>
      </w:r>
      <w:r>
        <w:t>MCL</w:t>
      </w:r>
      <w:r w:rsidR="000D2816">
        <w:t xml:space="preserve"> (failed or intolerant to standard of care).</w:t>
      </w:r>
      <w:r>
        <w:rPr>
          <w:spacing w:val="40"/>
        </w:rPr>
        <w:t xml:space="preserve"> </w:t>
      </w:r>
    </w:p>
    <w:p w14:paraId="0036E3A3" w14:textId="77777777" w:rsidR="00665965" w:rsidRDefault="009A7AFA" w:rsidP="00665965">
      <w:pPr>
        <w:pStyle w:val="BodyText"/>
        <w:spacing w:before="121"/>
        <w:ind w:left="23"/>
      </w:pPr>
      <w:r>
        <w:t>Th</w:t>
      </w:r>
      <w:r w:rsidR="00DC7E21">
        <w:t>e</w:t>
      </w:r>
      <w:r>
        <w:rPr>
          <w:spacing w:val="-4"/>
        </w:rPr>
        <w:t xml:space="preserve"> </w:t>
      </w:r>
      <w:r>
        <w:t>study</w:t>
      </w:r>
      <w:r>
        <w:rPr>
          <w:spacing w:val="-3"/>
        </w:rPr>
        <w:t xml:space="preserve"> </w:t>
      </w:r>
      <w:r>
        <w:t>was</w:t>
      </w:r>
      <w:r>
        <w:rPr>
          <w:spacing w:val="-1"/>
        </w:rPr>
        <w:t xml:space="preserve"> </w:t>
      </w:r>
      <w:r>
        <w:t>conducted</w:t>
      </w:r>
      <w:r>
        <w:rPr>
          <w:spacing w:val="-2"/>
        </w:rPr>
        <w:t xml:space="preserve"> </w:t>
      </w:r>
      <w:r>
        <w:t>in</w:t>
      </w:r>
      <w:r>
        <w:rPr>
          <w:spacing w:val="-3"/>
        </w:rPr>
        <w:t xml:space="preserve"> </w:t>
      </w:r>
      <w:r>
        <w:t>26</w:t>
      </w:r>
      <w:r>
        <w:rPr>
          <w:spacing w:val="-5"/>
        </w:rPr>
        <w:t xml:space="preserve"> </w:t>
      </w:r>
      <w:r>
        <w:t>centres in China.</w:t>
      </w:r>
      <w:r w:rsidR="00123B28">
        <w:t xml:space="preserve"> The recruitment period was 2 April 2018 to</w:t>
      </w:r>
      <w:r w:rsidR="00873A96">
        <w:br/>
      </w:r>
      <w:r w:rsidR="00123B28">
        <w:t>19 April 2019.</w:t>
      </w:r>
      <w:r w:rsidR="00665965">
        <w:t xml:space="preserve"> The study schema is presented in figure 2. </w:t>
      </w:r>
    </w:p>
    <w:p w14:paraId="6014D5DF" w14:textId="3FC92042" w:rsidR="009A7AFA" w:rsidRDefault="009A7AFA" w:rsidP="009A7AFA">
      <w:pPr>
        <w:pStyle w:val="ListBullet"/>
      </w:pPr>
      <w:r>
        <w:t>Phase</w:t>
      </w:r>
      <w:r>
        <w:rPr>
          <w:spacing w:val="-6"/>
        </w:rPr>
        <w:t xml:space="preserve"> </w:t>
      </w:r>
      <w:r>
        <w:t>1:</w:t>
      </w:r>
      <w:r>
        <w:rPr>
          <w:spacing w:val="-4"/>
        </w:rPr>
        <w:t xml:space="preserve"> </w:t>
      </w:r>
      <w:r>
        <w:t>(n=40)</w:t>
      </w:r>
      <w:r w:rsidR="00BF304A">
        <w:t xml:space="preserve">; recommended Phase </w:t>
      </w:r>
      <w:r w:rsidR="00381BB2">
        <w:t>2 dose (</w:t>
      </w:r>
      <w:r>
        <w:t>RP2D</w:t>
      </w:r>
      <w:r w:rsidR="00381BB2">
        <w:t>)</w:t>
      </w:r>
      <w:r>
        <w:rPr>
          <w:spacing w:val="-3"/>
        </w:rPr>
        <w:t xml:space="preserve"> </w:t>
      </w:r>
      <w:r>
        <w:t>was</w:t>
      </w:r>
      <w:r>
        <w:rPr>
          <w:spacing w:val="-2"/>
        </w:rPr>
        <w:t xml:space="preserve"> </w:t>
      </w:r>
      <w:r>
        <w:t>determined</w:t>
      </w:r>
      <w:r>
        <w:rPr>
          <w:spacing w:val="-2"/>
        </w:rPr>
        <w:t xml:space="preserve"> </w:t>
      </w:r>
      <w:r w:rsidR="00381BB2">
        <w:t>at</w:t>
      </w:r>
      <w:r>
        <w:rPr>
          <w:spacing w:val="-3"/>
        </w:rPr>
        <w:t xml:space="preserve"> </w:t>
      </w:r>
      <w:r>
        <w:t>150mg</w:t>
      </w:r>
      <w:r>
        <w:rPr>
          <w:spacing w:val="-1"/>
        </w:rPr>
        <w:t xml:space="preserve"> </w:t>
      </w:r>
      <w:r>
        <w:rPr>
          <w:spacing w:val="-2"/>
        </w:rPr>
        <w:t>daily.</w:t>
      </w:r>
    </w:p>
    <w:p w14:paraId="1A5DC16D" w14:textId="3C1AA7A9" w:rsidR="009A7AFA" w:rsidRDefault="009A7AFA" w:rsidP="009A7AFA">
      <w:pPr>
        <w:pStyle w:val="ListBullet"/>
      </w:pPr>
      <w:r>
        <w:t>Phase</w:t>
      </w:r>
      <w:r>
        <w:rPr>
          <w:spacing w:val="-5"/>
        </w:rPr>
        <w:t xml:space="preserve"> </w:t>
      </w:r>
      <w:r>
        <w:t>2:</w:t>
      </w:r>
      <w:r>
        <w:rPr>
          <w:spacing w:val="-3"/>
        </w:rPr>
        <w:t xml:space="preserve"> </w:t>
      </w:r>
      <w:r>
        <w:t>(n=66);</w:t>
      </w:r>
      <w:r>
        <w:rPr>
          <w:spacing w:val="-3"/>
        </w:rPr>
        <w:t xml:space="preserve"> </w:t>
      </w:r>
      <w:r>
        <w:t>total</w:t>
      </w:r>
      <w:r>
        <w:rPr>
          <w:spacing w:val="-3"/>
        </w:rPr>
        <w:t xml:space="preserve"> </w:t>
      </w:r>
      <w:r>
        <w:t>of</w:t>
      </w:r>
      <w:r>
        <w:rPr>
          <w:spacing w:val="-3"/>
        </w:rPr>
        <w:t xml:space="preserve"> </w:t>
      </w:r>
      <w:r>
        <w:t>86</w:t>
      </w:r>
      <w:r>
        <w:rPr>
          <w:spacing w:val="-3"/>
        </w:rPr>
        <w:t xml:space="preserve"> </w:t>
      </w:r>
      <w:r>
        <w:t>participants</w:t>
      </w:r>
      <w:r>
        <w:rPr>
          <w:spacing w:val="-2"/>
        </w:rPr>
        <w:t xml:space="preserve"> </w:t>
      </w:r>
      <w:r>
        <w:t>including</w:t>
      </w:r>
      <w:r>
        <w:rPr>
          <w:spacing w:val="-2"/>
        </w:rPr>
        <w:t xml:space="preserve"> </w:t>
      </w:r>
      <w:r>
        <w:t>20</w:t>
      </w:r>
      <w:r>
        <w:rPr>
          <w:spacing w:val="-3"/>
        </w:rPr>
        <w:t xml:space="preserve"> </w:t>
      </w:r>
      <w:r>
        <w:t>from</w:t>
      </w:r>
      <w:r>
        <w:rPr>
          <w:spacing w:val="-2"/>
        </w:rPr>
        <w:t xml:space="preserve"> </w:t>
      </w:r>
      <w:r>
        <w:t>the</w:t>
      </w:r>
      <w:r>
        <w:rPr>
          <w:spacing w:val="-3"/>
        </w:rPr>
        <w:t xml:space="preserve"> </w:t>
      </w:r>
      <w:r>
        <w:t>150mg daily</w:t>
      </w:r>
      <w:r>
        <w:rPr>
          <w:spacing w:val="-3"/>
        </w:rPr>
        <w:t xml:space="preserve"> </w:t>
      </w:r>
      <w:r>
        <w:t>dose</w:t>
      </w:r>
      <w:r>
        <w:rPr>
          <w:spacing w:val="-5"/>
        </w:rPr>
        <w:t xml:space="preserve"> </w:t>
      </w:r>
      <w:r>
        <w:t xml:space="preserve">group in </w:t>
      </w:r>
      <w:r w:rsidR="00D1393D">
        <w:t>P</w:t>
      </w:r>
      <w:r>
        <w:t>hase 1.</w:t>
      </w:r>
    </w:p>
    <w:p w14:paraId="74D574C4" w14:textId="5A27F488" w:rsidR="001D5508" w:rsidRDefault="001D5508" w:rsidP="00BB0ADF">
      <w:pPr>
        <w:pStyle w:val="FigureTitle"/>
        <w:spacing w:before="240"/>
      </w:pPr>
      <w:r>
        <w:lastRenderedPageBreak/>
        <w:t xml:space="preserve">Figure </w:t>
      </w:r>
      <w:r w:rsidR="00665965">
        <w:t>2</w:t>
      </w:r>
      <w:r>
        <w:t>: Study schema for ICP-CL-00</w:t>
      </w:r>
      <w:r w:rsidR="00BD6C9F">
        <w:t>102</w:t>
      </w:r>
    </w:p>
    <w:p w14:paraId="00EF6942" w14:textId="1FAA530D" w:rsidR="0072689D" w:rsidRDefault="00BF32EB" w:rsidP="0072689D">
      <w:pPr>
        <w:pStyle w:val="BodyText"/>
        <w:spacing w:before="1"/>
        <w:rPr>
          <w:sz w:val="8"/>
        </w:rPr>
      </w:pPr>
      <w:r w:rsidRPr="00BF32EB">
        <w:rPr>
          <w:noProof/>
          <w:sz w:val="8"/>
        </w:rPr>
        <w:drawing>
          <wp:inline distT="0" distB="0" distL="0" distR="0" wp14:anchorId="6440DF8E" wp14:editId="61AE251B">
            <wp:extent cx="3371850" cy="2224962"/>
            <wp:effectExtent l="0" t="0" r="0" b="4445"/>
            <wp:docPr id="453075382" name="Picture 1" descr="Figure 2: Study schema for ICP-CL-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075382" name="Picture 1" descr="Figure 2: Study schema for ICP-CL-00102."/>
                    <pic:cNvPicPr/>
                  </pic:nvPicPr>
                  <pic:blipFill>
                    <a:blip r:embed="rId26"/>
                    <a:stretch>
                      <a:fillRect/>
                    </a:stretch>
                  </pic:blipFill>
                  <pic:spPr>
                    <a:xfrm>
                      <a:off x="0" y="0"/>
                      <a:ext cx="3385020" cy="2233652"/>
                    </a:xfrm>
                    <a:prstGeom prst="rect">
                      <a:avLst/>
                    </a:prstGeom>
                  </pic:spPr>
                </pic:pic>
              </a:graphicData>
            </a:graphic>
          </wp:inline>
        </w:drawing>
      </w:r>
    </w:p>
    <w:p w14:paraId="3C0D5D2B" w14:textId="218FBDFC" w:rsidR="00FB2666" w:rsidRDefault="000C216A" w:rsidP="005D0DC5">
      <w:pPr>
        <w:pStyle w:val="Heading6"/>
        <w:spacing w:before="360"/>
      </w:pPr>
      <w:r>
        <w:t>Key inclusion</w:t>
      </w:r>
      <w:r w:rsidR="000A50DD">
        <w:t xml:space="preserve"> c</w:t>
      </w:r>
      <w:r w:rsidR="00333425">
        <w:t>riteria</w:t>
      </w:r>
    </w:p>
    <w:p w14:paraId="19676EF4" w14:textId="5DA395D1" w:rsidR="00C363BA" w:rsidRDefault="005C1170" w:rsidP="00600093">
      <w:r w:rsidRPr="00600093">
        <w:t>Key inclusion criteria</w:t>
      </w:r>
      <w:r w:rsidR="001F7159">
        <w:t xml:space="preserve"> included the following</w:t>
      </w:r>
      <w:r>
        <w:t>:</w:t>
      </w:r>
    </w:p>
    <w:p w14:paraId="739BFC7F" w14:textId="7D98B1EA" w:rsidR="005C1170" w:rsidRPr="005C1170" w:rsidRDefault="001F7159" w:rsidP="005C1170">
      <w:pPr>
        <w:pStyle w:val="ListBullet"/>
      </w:pPr>
      <w:r>
        <w:t>h</w:t>
      </w:r>
      <w:r w:rsidR="005C1170" w:rsidRPr="005C1170">
        <w:t>istopathologically</w:t>
      </w:r>
      <w:r w:rsidR="005C1170" w:rsidRPr="005C1170">
        <w:rPr>
          <w:spacing w:val="-4"/>
        </w:rPr>
        <w:t xml:space="preserve"> </w:t>
      </w:r>
      <w:r w:rsidR="005C1170" w:rsidRPr="005C1170">
        <w:t>confirmed</w:t>
      </w:r>
      <w:r w:rsidR="005C1170" w:rsidRPr="005C1170">
        <w:rPr>
          <w:spacing w:val="-4"/>
        </w:rPr>
        <w:t xml:space="preserve"> </w:t>
      </w:r>
      <w:r w:rsidR="005C1170" w:rsidRPr="005C1170">
        <w:t>relapsed</w:t>
      </w:r>
      <w:r w:rsidR="005C1170" w:rsidRPr="005C1170">
        <w:rPr>
          <w:spacing w:val="-5"/>
        </w:rPr>
        <w:t xml:space="preserve"> </w:t>
      </w:r>
      <w:r w:rsidR="005C1170" w:rsidRPr="005C1170">
        <w:t>or</w:t>
      </w:r>
      <w:r w:rsidR="005C1170" w:rsidRPr="005C1170">
        <w:rPr>
          <w:spacing w:val="-4"/>
        </w:rPr>
        <w:t xml:space="preserve"> </w:t>
      </w:r>
      <w:r w:rsidR="005C1170" w:rsidRPr="005C1170">
        <w:t>refractory</w:t>
      </w:r>
      <w:r w:rsidR="005C1170" w:rsidRPr="005C1170">
        <w:rPr>
          <w:spacing w:val="-5"/>
        </w:rPr>
        <w:t xml:space="preserve"> </w:t>
      </w:r>
      <w:r w:rsidR="005C1170" w:rsidRPr="005C1170">
        <w:t>(between</w:t>
      </w:r>
      <w:r w:rsidR="005C1170" w:rsidRPr="005C1170">
        <w:rPr>
          <w:spacing w:val="-8"/>
        </w:rPr>
        <w:t xml:space="preserve"> </w:t>
      </w:r>
      <w:r w:rsidR="005C1170" w:rsidRPr="005C1170">
        <w:t>1-4</w:t>
      </w:r>
      <w:r w:rsidR="005C1170" w:rsidRPr="005C1170">
        <w:rPr>
          <w:spacing w:val="-5"/>
        </w:rPr>
        <w:t xml:space="preserve"> </w:t>
      </w:r>
      <w:r w:rsidR="005C1170" w:rsidRPr="005C1170">
        <w:t>treatments)</w:t>
      </w:r>
      <w:r w:rsidR="005C1170" w:rsidRPr="005C1170">
        <w:rPr>
          <w:spacing w:val="-4"/>
        </w:rPr>
        <w:t xml:space="preserve"> </w:t>
      </w:r>
      <w:r w:rsidR="005C1170" w:rsidRPr="005C1170">
        <w:t>Mantle cell</w:t>
      </w:r>
      <w:r w:rsidR="005C1170" w:rsidRPr="005C1170">
        <w:rPr>
          <w:spacing w:val="-1"/>
        </w:rPr>
        <w:t xml:space="preserve"> </w:t>
      </w:r>
      <w:r w:rsidR="005C1170" w:rsidRPr="005C1170">
        <w:t>lymphoma</w:t>
      </w:r>
    </w:p>
    <w:p w14:paraId="42327758" w14:textId="05A6A3AD" w:rsidR="005C1170" w:rsidRPr="005C1170" w:rsidRDefault="001F7159" w:rsidP="005C1170">
      <w:pPr>
        <w:pStyle w:val="ListBullet"/>
      </w:pPr>
      <w:r>
        <w:t>a</w:t>
      </w:r>
      <w:r w:rsidR="005C1170" w:rsidRPr="005C1170">
        <w:t>ge:</w:t>
      </w:r>
      <w:r w:rsidR="005C1170" w:rsidRPr="005C1170">
        <w:rPr>
          <w:spacing w:val="-3"/>
        </w:rPr>
        <w:t xml:space="preserve"> </w:t>
      </w:r>
      <w:r w:rsidR="005C1170" w:rsidRPr="005C1170">
        <w:t>≥18</w:t>
      </w:r>
      <w:r w:rsidR="005C1170" w:rsidRPr="005C1170">
        <w:rPr>
          <w:spacing w:val="1"/>
        </w:rPr>
        <w:t xml:space="preserve"> </w:t>
      </w:r>
      <w:r w:rsidR="005C1170" w:rsidRPr="005C1170">
        <w:t>and</w:t>
      </w:r>
      <w:r w:rsidR="005C1170" w:rsidRPr="005C1170">
        <w:rPr>
          <w:spacing w:val="-3"/>
        </w:rPr>
        <w:t xml:space="preserve"> </w:t>
      </w:r>
      <w:r w:rsidR="005C1170" w:rsidRPr="005C1170">
        <w:t>≤75</w:t>
      </w:r>
      <w:r w:rsidR="005C1170" w:rsidRPr="005C1170">
        <w:rPr>
          <w:spacing w:val="1"/>
        </w:rPr>
        <w:t xml:space="preserve"> </w:t>
      </w:r>
      <w:r w:rsidR="005C1170" w:rsidRPr="005C1170">
        <w:rPr>
          <w:spacing w:val="-2"/>
        </w:rPr>
        <w:t>years</w:t>
      </w:r>
    </w:p>
    <w:p w14:paraId="25193154" w14:textId="77777777" w:rsidR="005C1170" w:rsidRPr="005C1170" w:rsidRDefault="005C1170" w:rsidP="005C1170">
      <w:pPr>
        <w:pStyle w:val="ListBullet"/>
      </w:pPr>
      <w:r w:rsidRPr="005C1170">
        <w:t>ECOG:</w:t>
      </w:r>
      <w:r w:rsidRPr="005C1170">
        <w:rPr>
          <w:spacing w:val="-2"/>
        </w:rPr>
        <w:t xml:space="preserve"> </w:t>
      </w:r>
      <w:r w:rsidRPr="005C1170">
        <w:t>0-</w:t>
      </w:r>
      <w:r w:rsidRPr="005C1170">
        <w:rPr>
          <w:spacing w:val="-10"/>
        </w:rPr>
        <w:t>2</w:t>
      </w:r>
    </w:p>
    <w:p w14:paraId="52862C7F" w14:textId="449E98E3" w:rsidR="005C1170" w:rsidRPr="005C1170" w:rsidRDefault="001F7159" w:rsidP="005C1170">
      <w:pPr>
        <w:pStyle w:val="ListBullet"/>
      </w:pPr>
      <w:r>
        <w:t>m</w:t>
      </w:r>
      <w:r w:rsidR="005C1170" w:rsidRPr="005C1170">
        <w:t>easurable</w:t>
      </w:r>
      <w:r w:rsidR="005C1170" w:rsidRPr="005C1170">
        <w:rPr>
          <w:spacing w:val="-4"/>
        </w:rPr>
        <w:t xml:space="preserve"> </w:t>
      </w:r>
      <w:r w:rsidR="005C1170" w:rsidRPr="005C1170">
        <w:rPr>
          <w:spacing w:val="-2"/>
        </w:rPr>
        <w:t>disease</w:t>
      </w:r>
    </w:p>
    <w:p w14:paraId="0065DAD5" w14:textId="50884C38" w:rsidR="005C1170" w:rsidRPr="005C1170" w:rsidRDefault="001F7159" w:rsidP="005C1170">
      <w:pPr>
        <w:pStyle w:val="ListBullet"/>
      </w:pPr>
      <w:r>
        <w:t>a</w:t>
      </w:r>
      <w:r w:rsidR="005C1170" w:rsidRPr="005C1170">
        <w:t>dequate</w:t>
      </w:r>
      <w:r w:rsidR="005C1170" w:rsidRPr="005C1170">
        <w:rPr>
          <w:spacing w:val="-5"/>
        </w:rPr>
        <w:t xml:space="preserve"> </w:t>
      </w:r>
      <w:r w:rsidR="005C1170" w:rsidRPr="005C1170">
        <w:t>organ</w:t>
      </w:r>
      <w:r w:rsidR="005C1170" w:rsidRPr="005C1170">
        <w:rPr>
          <w:spacing w:val="-4"/>
        </w:rPr>
        <w:t xml:space="preserve"> </w:t>
      </w:r>
      <w:r w:rsidR="005C1170" w:rsidRPr="005C1170">
        <w:rPr>
          <w:spacing w:val="-2"/>
        </w:rPr>
        <w:t>function</w:t>
      </w:r>
    </w:p>
    <w:p w14:paraId="403195A4" w14:textId="32F58E07" w:rsidR="005C1170" w:rsidRDefault="00C42468" w:rsidP="001F7159">
      <w:pPr>
        <w:pStyle w:val="Heading6"/>
      </w:pPr>
      <w:r>
        <w:t>Key exclusion criteria</w:t>
      </w:r>
    </w:p>
    <w:p w14:paraId="62439C5E" w14:textId="6CCBCAA5" w:rsidR="003D5682" w:rsidRPr="003D5682" w:rsidRDefault="003D5682" w:rsidP="003D5682">
      <w:r>
        <w:t>Key exclusion criteria included the following:</w:t>
      </w:r>
    </w:p>
    <w:p w14:paraId="5EB52AFE" w14:textId="398D7FB6" w:rsidR="00C42468" w:rsidRPr="00C42468" w:rsidRDefault="001F7159" w:rsidP="00C42468">
      <w:pPr>
        <w:pStyle w:val="ListBullet"/>
      </w:pPr>
      <w:r>
        <w:t>l</w:t>
      </w:r>
      <w:r w:rsidR="00C42468" w:rsidRPr="00C42468">
        <w:t>ymphoma</w:t>
      </w:r>
      <w:r w:rsidR="00C42468" w:rsidRPr="00C42468">
        <w:rPr>
          <w:spacing w:val="-4"/>
        </w:rPr>
        <w:t xml:space="preserve"> </w:t>
      </w:r>
      <w:r w:rsidR="00C42468" w:rsidRPr="00C42468">
        <w:t>involving</w:t>
      </w:r>
      <w:r w:rsidR="00C42468" w:rsidRPr="00C42468">
        <w:rPr>
          <w:spacing w:val="-2"/>
        </w:rPr>
        <w:t xml:space="preserve"> </w:t>
      </w:r>
      <w:r w:rsidR="00C42468" w:rsidRPr="00C42468">
        <w:rPr>
          <w:spacing w:val="-5"/>
        </w:rPr>
        <w:t>CNS</w:t>
      </w:r>
    </w:p>
    <w:p w14:paraId="7D47294F" w14:textId="0E972639" w:rsidR="00C42468" w:rsidRPr="00C42468" w:rsidRDefault="001F7159" w:rsidP="00C42468">
      <w:pPr>
        <w:pStyle w:val="ListBullet"/>
      </w:pPr>
      <w:r>
        <w:t>p</w:t>
      </w:r>
      <w:r w:rsidR="00C42468" w:rsidRPr="00C42468">
        <w:t>revious</w:t>
      </w:r>
      <w:r w:rsidR="00C42468" w:rsidRPr="00C42468">
        <w:rPr>
          <w:spacing w:val="-3"/>
        </w:rPr>
        <w:t xml:space="preserve"> </w:t>
      </w:r>
      <w:r w:rsidR="00C42468" w:rsidRPr="00C42468">
        <w:rPr>
          <w:spacing w:val="-2"/>
        </w:rPr>
        <w:t>alloSCT</w:t>
      </w:r>
    </w:p>
    <w:p w14:paraId="2E08AB45" w14:textId="49BD2F6F" w:rsidR="00C42468" w:rsidRPr="00C42468" w:rsidRDefault="0072160E" w:rsidP="00C42468">
      <w:pPr>
        <w:pStyle w:val="ListBullet"/>
      </w:pPr>
      <w:r>
        <w:t>a</w:t>
      </w:r>
      <w:r w:rsidR="00C42468" w:rsidRPr="00C42468">
        <w:t>utoSCT</w:t>
      </w:r>
      <w:r w:rsidR="00C42468" w:rsidRPr="00C42468">
        <w:rPr>
          <w:spacing w:val="-5"/>
        </w:rPr>
        <w:t xml:space="preserve"> </w:t>
      </w:r>
      <w:r w:rsidR="00C42468" w:rsidRPr="00C42468">
        <w:t>within</w:t>
      </w:r>
      <w:r w:rsidR="00C42468" w:rsidRPr="00C42468">
        <w:rPr>
          <w:spacing w:val="-2"/>
        </w:rPr>
        <w:t xml:space="preserve"> </w:t>
      </w:r>
      <w:r w:rsidR="00C42468" w:rsidRPr="00C42468">
        <w:t xml:space="preserve">6 </w:t>
      </w:r>
      <w:r w:rsidR="00C42468" w:rsidRPr="00C42468">
        <w:rPr>
          <w:spacing w:val="-2"/>
        </w:rPr>
        <w:t>months</w:t>
      </w:r>
    </w:p>
    <w:p w14:paraId="0FD5BF75" w14:textId="79D18D83" w:rsidR="00C42468" w:rsidRPr="00193D5C" w:rsidRDefault="00C42468" w:rsidP="00C42468">
      <w:pPr>
        <w:pStyle w:val="ListBullet"/>
      </w:pPr>
      <w:r w:rsidRPr="00C42468">
        <w:t>previous</w:t>
      </w:r>
      <w:r w:rsidRPr="00C42468">
        <w:rPr>
          <w:spacing w:val="-3"/>
        </w:rPr>
        <w:t xml:space="preserve"> </w:t>
      </w:r>
      <w:r w:rsidRPr="00C42468">
        <w:t>BTK</w:t>
      </w:r>
      <w:r w:rsidRPr="00C42468">
        <w:rPr>
          <w:spacing w:val="-3"/>
        </w:rPr>
        <w:t xml:space="preserve"> </w:t>
      </w:r>
      <w:r w:rsidRPr="00C42468">
        <w:t>inhibitor/BCL2</w:t>
      </w:r>
      <w:r w:rsidRPr="00C42468">
        <w:rPr>
          <w:spacing w:val="-4"/>
        </w:rPr>
        <w:t xml:space="preserve"> </w:t>
      </w:r>
      <w:r w:rsidRPr="00C42468">
        <w:t>kinase</w:t>
      </w:r>
      <w:r w:rsidRPr="00C42468">
        <w:rPr>
          <w:spacing w:val="-1"/>
        </w:rPr>
        <w:t xml:space="preserve"> </w:t>
      </w:r>
      <w:r w:rsidRPr="00C42468">
        <w:rPr>
          <w:spacing w:val="-2"/>
        </w:rPr>
        <w:t>inhibitor</w:t>
      </w:r>
      <w:r w:rsidR="0072160E">
        <w:rPr>
          <w:spacing w:val="-2"/>
        </w:rPr>
        <w:t>.</w:t>
      </w:r>
    </w:p>
    <w:p w14:paraId="25BEE67F" w14:textId="6E9FD5A2" w:rsidR="00193D5C" w:rsidRDefault="00193D5C" w:rsidP="007A3735">
      <w:pPr>
        <w:pStyle w:val="Heading6"/>
      </w:pPr>
      <w:r>
        <w:t>Intervention</w:t>
      </w:r>
    </w:p>
    <w:p w14:paraId="2893239D" w14:textId="6537A250" w:rsidR="0081378A" w:rsidRPr="00B14512" w:rsidRDefault="0081378A" w:rsidP="006D4898">
      <w:pPr>
        <w:pStyle w:val="ListBullet"/>
        <w:numPr>
          <w:ilvl w:val="0"/>
          <w:numId w:val="0"/>
        </w:numPr>
        <w:ind w:left="360" w:hanging="360"/>
      </w:pPr>
      <w:r w:rsidRPr="00B14512">
        <w:t>Orelabrutinib</w:t>
      </w:r>
      <w:r w:rsidR="0061770F">
        <w:t xml:space="preserve"> </w:t>
      </w:r>
      <w:r w:rsidR="006D4898">
        <w:t>as follows:</w:t>
      </w:r>
    </w:p>
    <w:p w14:paraId="3605F79C" w14:textId="77777777" w:rsidR="00B14512" w:rsidRPr="00B14512" w:rsidRDefault="0081378A" w:rsidP="00B14512">
      <w:pPr>
        <w:pStyle w:val="ListBullet"/>
      </w:pPr>
      <w:r w:rsidRPr="00B14512">
        <w:t>Stage 1:</w:t>
      </w:r>
      <w:r w:rsidRPr="00B14512">
        <w:rPr>
          <w:spacing w:val="-4"/>
        </w:rPr>
        <w:t xml:space="preserve"> </w:t>
      </w:r>
      <w:r w:rsidRPr="00B14512">
        <w:t>planned</w:t>
      </w:r>
      <w:r w:rsidRPr="00B14512">
        <w:rPr>
          <w:spacing w:val="-4"/>
        </w:rPr>
        <w:t xml:space="preserve"> </w:t>
      </w:r>
      <w:r w:rsidRPr="00B14512">
        <w:t>n=40</w:t>
      </w:r>
      <w:r w:rsidRPr="00B14512">
        <w:rPr>
          <w:spacing w:val="-4"/>
        </w:rPr>
        <w:t xml:space="preserve"> </w:t>
      </w:r>
      <w:r w:rsidRPr="00B14512">
        <w:t>(20</w:t>
      </w:r>
      <w:r w:rsidRPr="00B14512">
        <w:rPr>
          <w:spacing w:val="-4"/>
        </w:rPr>
        <w:t xml:space="preserve"> </w:t>
      </w:r>
      <w:r w:rsidRPr="00B14512">
        <w:t>patients</w:t>
      </w:r>
      <w:r w:rsidRPr="00B14512">
        <w:rPr>
          <w:spacing w:val="-3"/>
        </w:rPr>
        <w:t xml:space="preserve"> </w:t>
      </w:r>
      <w:r w:rsidRPr="00B14512">
        <w:t>at</w:t>
      </w:r>
      <w:r w:rsidRPr="00B14512">
        <w:rPr>
          <w:spacing w:val="-3"/>
        </w:rPr>
        <w:t xml:space="preserve"> </w:t>
      </w:r>
      <w:r w:rsidRPr="00B14512">
        <w:t>each</w:t>
      </w:r>
      <w:r w:rsidRPr="00B14512">
        <w:rPr>
          <w:spacing w:val="-6"/>
        </w:rPr>
        <w:t xml:space="preserve"> </w:t>
      </w:r>
      <w:r w:rsidRPr="00B14512">
        <w:t>dose</w:t>
      </w:r>
      <w:r w:rsidRPr="00B14512">
        <w:rPr>
          <w:spacing w:val="-4"/>
        </w:rPr>
        <w:t xml:space="preserve"> </w:t>
      </w:r>
      <w:r w:rsidRPr="00B14512">
        <w:t>of</w:t>
      </w:r>
      <w:r w:rsidRPr="00B14512">
        <w:rPr>
          <w:spacing w:val="-4"/>
        </w:rPr>
        <w:t xml:space="preserve"> </w:t>
      </w:r>
      <w:r w:rsidRPr="00B14512">
        <w:t>150mg</w:t>
      </w:r>
      <w:r w:rsidRPr="00B14512">
        <w:rPr>
          <w:spacing w:val="-3"/>
        </w:rPr>
        <w:t xml:space="preserve"> </w:t>
      </w:r>
      <w:r w:rsidRPr="00B14512">
        <w:t>daily</w:t>
      </w:r>
      <w:r w:rsidRPr="00B14512">
        <w:rPr>
          <w:spacing w:val="-5"/>
        </w:rPr>
        <w:t xml:space="preserve"> </w:t>
      </w:r>
      <w:r w:rsidRPr="00B14512">
        <w:t>or 100mg</w:t>
      </w:r>
      <w:r w:rsidRPr="00B14512">
        <w:rPr>
          <w:spacing w:val="-3"/>
        </w:rPr>
        <w:t xml:space="preserve"> </w:t>
      </w:r>
      <w:r w:rsidRPr="00B14512">
        <w:t>bd)</w:t>
      </w:r>
      <w:r w:rsidRPr="00B14512">
        <w:rPr>
          <w:spacing w:val="40"/>
        </w:rPr>
        <w:t xml:space="preserve"> </w:t>
      </w:r>
    </w:p>
    <w:p w14:paraId="28522753" w14:textId="01918A1B" w:rsidR="00193D5C" w:rsidRDefault="0081378A" w:rsidP="00B14512">
      <w:pPr>
        <w:pStyle w:val="ListBullet"/>
      </w:pPr>
      <w:r w:rsidRPr="00B14512">
        <w:t>Stage 2: planned n=60 (RP2D = 150mg orally daily)</w:t>
      </w:r>
      <w:r w:rsidR="0061770F">
        <w:t>.</w:t>
      </w:r>
    </w:p>
    <w:p w14:paraId="503CDD0A" w14:textId="0461ABEC" w:rsidR="0072689D" w:rsidRDefault="0072689D" w:rsidP="0072689D">
      <w:pPr>
        <w:pStyle w:val="Heading6"/>
      </w:pPr>
      <w:r>
        <w:t>Randomisation</w:t>
      </w:r>
      <w:r w:rsidR="0082045B">
        <w:t xml:space="preserve"> </w:t>
      </w:r>
      <w:r>
        <w:t>and</w:t>
      </w:r>
      <w:r>
        <w:rPr>
          <w:spacing w:val="-7"/>
        </w:rPr>
        <w:t xml:space="preserve"> </w:t>
      </w:r>
      <w:r>
        <w:rPr>
          <w:spacing w:val="-2"/>
        </w:rPr>
        <w:t>blinding</w:t>
      </w:r>
      <w:r w:rsidR="00FF74F0">
        <w:rPr>
          <w:spacing w:val="-2"/>
        </w:rPr>
        <w:t xml:space="preserve"> </w:t>
      </w:r>
    </w:p>
    <w:p w14:paraId="338450BF" w14:textId="2A44877E" w:rsidR="00950383" w:rsidRDefault="00F36868" w:rsidP="00F36868">
      <w:pPr>
        <w:rPr>
          <w:lang w:val="en-GB"/>
        </w:rPr>
      </w:pPr>
      <w:r w:rsidRPr="00C64874">
        <w:rPr>
          <w:lang w:val="en-GB"/>
        </w:rPr>
        <w:t xml:space="preserve">In Stage </w:t>
      </w:r>
      <w:r w:rsidR="00345415">
        <w:rPr>
          <w:lang w:val="en-GB"/>
        </w:rPr>
        <w:t>1</w:t>
      </w:r>
      <w:r w:rsidRPr="00C64874">
        <w:rPr>
          <w:lang w:val="en-GB"/>
        </w:rPr>
        <w:t>, subjects were randomised 1:1</w:t>
      </w:r>
      <w:r>
        <w:rPr>
          <w:lang w:val="en-GB"/>
        </w:rPr>
        <w:t xml:space="preserve"> </w:t>
      </w:r>
      <w:r w:rsidRPr="00C64874">
        <w:rPr>
          <w:lang w:val="en-GB"/>
        </w:rPr>
        <w:t>into the 100 mg BD dose group or the 150 mg OD dose</w:t>
      </w:r>
      <w:r>
        <w:rPr>
          <w:lang w:val="en-GB"/>
        </w:rPr>
        <w:t xml:space="preserve"> </w:t>
      </w:r>
      <w:r w:rsidRPr="00C64874">
        <w:rPr>
          <w:lang w:val="en-GB"/>
        </w:rPr>
        <w:t>group. Each patient enrolled was identified by a unique patient number, which</w:t>
      </w:r>
      <w:r>
        <w:rPr>
          <w:lang w:val="en-GB"/>
        </w:rPr>
        <w:t xml:space="preserve"> </w:t>
      </w:r>
      <w:r w:rsidRPr="00C64874">
        <w:rPr>
          <w:lang w:val="en-GB"/>
        </w:rPr>
        <w:t>was assigned in the screening period, and remained unchanged during screening,</w:t>
      </w:r>
      <w:r>
        <w:rPr>
          <w:lang w:val="en-GB"/>
        </w:rPr>
        <w:t xml:space="preserve"> </w:t>
      </w:r>
      <w:r w:rsidRPr="00C64874">
        <w:rPr>
          <w:lang w:val="en-GB"/>
        </w:rPr>
        <w:t>randomisation, and throughout the study. Eligible subjects enrolled were</w:t>
      </w:r>
      <w:r>
        <w:rPr>
          <w:lang w:val="en-GB"/>
        </w:rPr>
        <w:t xml:space="preserve"> </w:t>
      </w:r>
      <w:r w:rsidRPr="00C64874">
        <w:rPr>
          <w:lang w:val="en-GB"/>
        </w:rPr>
        <w:t xml:space="preserve">randomised on </w:t>
      </w:r>
      <w:r w:rsidR="00345415">
        <w:rPr>
          <w:lang w:val="en-GB"/>
        </w:rPr>
        <w:t>d</w:t>
      </w:r>
      <w:r w:rsidRPr="00C64874">
        <w:rPr>
          <w:lang w:val="en-GB"/>
        </w:rPr>
        <w:t>ay</w:t>
      </w:r>
      <w:r>
        <w:rPr>
          <w:lang w:val="en-GB"/>
        </w:rPr>
        <w:t xml:space="preserve"> </w:t>
      </w:r>
      <w:r w:rsidRPr="00C64874">
        <w:rPr>
          <w:lang w:val="en-GB"/>
        </w:rPr>
        <w:t xml:space="preserve">1. Investigational products were randomly numbered according to the grouping label. The randomisation scheme was completed by a statistician from a </w:t>
      </w:r>
      <w:r>
        <w:rPr>
          <w:lang w:val="en-GB"/>
        </w:rPr>
        <w:t>contract research organisation (</w:t>
      </w:r>
      <w:r w:rsidRPr="00C64874">
        <w:rPr>
          <w:lang w:val="en-GB"/>
        </w:rPr>
        <w:t>CRO</w:t>
      </w:r>
      <w:r>
        <w:rPr>
          <w:lang w:val="en-GB"/>
        </w:rPr>
        <w:t>)</w:t>
      </w:r>
      <w:r w:rsidRPr="00C64874">
        <w:rPr>
          <w:lang w:val="en-GB"/>
        </w:rPr>
        <w:t xml:space="preserve">. The investigator </w:t>
      </w:r>
      <w:r w:rsidRPr="00C64874">
        <w:rPr>
          <w:lang w:val="en-GB"/>
        </w:rPr>
        <w:lastRenderedPageBreak/>
        <w:t xml:space="preserve">recorded the patient's randomisation number in the </w:t>
      </w:r>
      <w:r>
        <w:rPr>
          <w:lang w:val="en-GB"/>
        </w:rPr>
        <w:t>case report form (</w:t>
      </w:r>
      <w:r w:rsidRPr="00C64874">
        <w:rPr>
          <w:lang w:val="en-GB"/>
        </w:rPr>
        <w:t>CRF</w:t>
      </w:r>
      <w:r>
        <w:rPr>
          <w:lang w:val="en-GB"/>
        </w:rPr>
        <w:t>)</w:t>
      </w:r>
      <w:r w:rsidRPr="00C64874">
        <w:rPr>
          <w:lang w:val="en-GB"/>
        </w:rPr>
        <w:t xml:space="preserve"> and source documents. </w:t>
      </w:r>
    </w:p>
    <w:p w14:paraId="4370CDD9" w14:textId="0D6F3204" w:rsidR="00F36868" w:rsidRDefault="00F36868" w:rsidP="00F36868">
      <w:pPr>
        <w:rPr>
          <w:lang w:val="en-GB"/>
        </w:rPr>
      </w:pPr>
      <w:r w:rsidRPr="00C64874">
        <w:rPr>
          <w:lang w:val="en-GB"/>
        </w:rPr>
        <w:t>This study was an open-label study</w:t>
      </w:r>
      <w:r>
        <w:rPr>
          <w:lang w:val="en-GB"/>
        </w:rPr>
        <w:t xml:space="preserve"> (without blinding)</w:t>
      </w:r>
      <w:r w:rsidRPr="00C64874">
        <w:rPr>
          <w:lang w:val="en-GB"/>
        </w:rPr>
        <w:t>. Both the investigator and the subjects were aware of the randomi</w:t>
      </w:r>
      <w:r>
        <w:rPr>
          <w:lang w:val="en-GB"/>
        </w:rPr>
        <w:t>s</w:t>
      </w:r>
      <w:r w:rsidRPr="00C64874">
        <w:rPr>
          <w:lang w:val="en-GB"/>
        </w:rPr>
        <w:t>ation.</w:t>
      </w:r>
      <w:r>
        <w:rPr>
          <w:lang w:val="en-GB"/>
        </w:rPr>
        <w:t xml:space="preserve"> All patients in </w:t>
      </w:r>
      <w:r w:rsidR="00133C6A">
        <w:rPr>
          <w:lang w:val="en-GB"/>
        </w:rPr>
        <w:t>S</w:t>
      </w:r>
      <w:r>
        <w:rPr>
          <w:lang w:val="en-GB"/>
        </w:rPr>
        <w:t xml:space="preserve">tage </w:t>
      </w:r>
      <w:r w:rsidR="00345415">
        <w:rPr>
          <w:lang w:val="en-GB"/>
        </w:rPr>
        <w:t>2</w:t>
      </w:r>
      <w:r>
        <w:rPr>
          <w:lang w:val="en-GB"/>
        </w:rPr>
        <w:t xml:space="preserve"> were treated at the RP</w:t>
      </w:r>
      <w:r w:rsidR="003D0DD7">
        <w:rPr>
          <w:lang w:val="en-GB"/>
        </w:rPr>
        <w:t>2</w:t>
      </w:r>
      <w:r>
        <w:rPr>
          <w:lang w:val="en-GB"/>
        </w:rPr>
        <w:t>D (150</w:t>
      </w:r>
      <w:r w:rsidR="00075DD9">
        <w:rPr>
          <w:lang w:val="en-GB"/>
        </w:rPr>
        <w:t xml:space="preserve"> </w:t>
      </w:r>
      <w:r>
        <w:rPr>
          <w:lang w:val="en-GB"/>
        </w:rPr>
        <w:t>mg OD).</w:t>
      </w:r>
    </w:p>
    <w:p w14:paraId="6515CFC1" w14:textId="6B4CAC24" w:rsidR="0072689D" w:rsidRDefault="0072689D" w:rsidP="00664168">
      <w:pPr>
        <w:pStyle w:val="Heading6"/>
      </w:pPr>
      <w:r>
        <w:t>Statistical</w:t>
      </w:r>
      <w:r>
        <w:rPr>
          <w:spacing w:val="-11"/>
        </w:rPr>
        <w:t xml:space="preserve"> </w:t>
      </w:r>
      <w:r>
        <w:t>analysis</w:t>
      </w:r>
      <w:r>
        <w:rPr>
          <w:spacing w:val="-7"/>
        </w:rPr>
        <w:t xml:space="preserve"> </w:t>
      </w:r>
      <w:r>
        <w:rPr>
          <w:spacing w:val="-4"/>
        </w:rPr>
        <w:t>plan</w:t>
      </w:r>
      <w:r w:rsidR="00147C71">
        <w:rPr>
          <w:spacing w:val="-4"/>
        </w:rPr>
        <w:t xml:space="preserve"> and efficacy endpoints</w:t>
      </w:r>
    </w:p>
    <w:p w14:paraId="0ABCE00C" w14:textId="77777777" w:rsidR="00A83891" w:rsidRDefault="00F00D3C" w:rsidP="00FA1D41">
      <w:r>
        <w:t>The s</w:t>
      </w:r>
      <w:r w:rsidR="007B312C">
        <w:t xml:space="preserve">tatistical </w:t>
      </w:r>
      <w:r>
        <w:t>analysis plan</w:t>
      </w:r>
      <w:r w:rsidR="007B312C">
        <w:t xml:space="preserve"> </w:t>
      </w:r>
      <w:r w:rsidR="000D3D80">
        <w:t xml:space="preserve">for each efficacy endpoint </w:t>
      </w:r>
      <w:r w:rsidR="00717575">
        <w:t>is</w:t>
      </w:r>
      <w:r w:rsidR="000D3D80">
        <w:t xml:space="preserve"> provide</w:t>
      </w:r>
      <w:r w:rsidR="0008095C">
        <w:t>d</w:t>
      </w:r>
      <w:r w:rsidR="000D3D80">
        <w:t xml:space="preserve"> in </w:t>
      </w:r>
      <w:r w:rsidR="003D1AC1">
        <w:t xml:space="preserve">table </w:t>
      </w:r>
      <w:r w:rsidR="00646F14">
        <w:t>3</w:t>
      </w:r>
      <w:r w:rsidR="000D3D80">
        <w:t>.</w:t>
      </w:r>
    </w:p>
    <w:p w14:paraId="132B81B7" w14:textId="0AEBD4C0" w:rsidR="007B312C" w:rsidRDefault="007B312C" w:rsidP="00FA1D41">
      <w:r w:rsidRPr="005F2F47">
        <w:t>No</w:t>
      </w:r>
      <w:r w:rsidRPr="005F2F47">
        <w:rPr>
          <w:spacing w:val="-7"/>
        </w:rPr>
        <w:t xml:space="preserve"> </w:t>
      </w:r>
      <w:r w:rsidRPr="005F2F47">
        <w:t>formal</w:t>
      </w:r>
      <w:r w:rsidRPr="005F2F47">
        <w:rPr>
          <w:spacing w:val="-5"/>
        </w:rPr>
        <w:t xml:space="preserve"> </w:t>
      </w:r>
      <w:r w:rsidRPr="005F2F47">
        <w:t>statistical</w:t>
      </w:r>
      <w:r w:rsidRPr="005F2F47">
        <w:rPr>
          <w:spacing w:val="-4"/>
        </w:rPr>
        <w:t xml:space="preserve"> </w:t>
      </w:r>
      <w:r w:rsidRPr="005F2F47">
        <w:t>hypotheses</w:t>
      </w:r>
      <w:r w:rsidRPr="005F2F47">
        <w:rPr>
          <w:spacing w:val="-4"/>
        </w:rPr>
        <w:t xml:space="preserve"> </w:t>
      </w:r>
      <w:r w:rsidRPr="005F2F47">
        <w:t>were</w:t>
      </w:r>
      <w:r w:rsidRPr="005F2F47">
        <w:rPr>
          <w:spacing w:val="-5"/>
        </w:rPr>
        <w:t xml:space="preserve"> </w:t>
      </w:r>
      <w:r w:rsidRPr="005F2F47">
        <w:t>tested.</w:t>
      </w:r>
      <w:r w:rsidRPr="005F2F47">
        <w:rPr>
          <w:spacing w:val="-4"/>
        </w:rPr>
        <w:t xml:space="preserve"> </w:t>
      </w:r>
      <w:r w:rsidRPr="005F2F47">
        <w:t>The</w:t>
      </w:r>
      <w:r w:rsidRPr="005F2F47">
        <w:rPr>
          <w:spacing w:val="-5"/>
        </w:rPr>
        <w:t xml:space="preserve"> </w:t>
      </w:r>
      <w:r w:rsidRPr="005F2F47">
        <w:t>data</w:t>
      </w:r>
      <w:r w:rsidRPr="005F2F47">
        <w:rPr>
          <w:spacing w:val="-5"/>
        </w:rPr>
        <w:t xml:space="preserve"> </w:t>
      </w:r>
      <w:r w:rsidRPr="005F2F47">
        <w:t>were</w:t>
      </w:r>
      <w:r w:rsidRPr="005F2F47">
        <w:rPr>
          <w:spacing w:val="-4"/>
        </w:rPr>
        <w:t xml:space="preserve"> </w:t>
      </w:r>
      <w:r w:rsidRPr="005F2F47">
        <w:t>analysed</w:t>
      </w:r>
      <w:r w:rsidRPr="005F2F47">
        <w:rPr>
          <w:spacing w:val="-5"/>
        </w:rPr>
        <w:t xml:space="preserve"> </w:t>
      </w:r>
      <w:r w:rsidRPr="005F2F47">
        <w:t>in</w:t>
      </w:r>
      <w:r w:rsidRPr="005F2F47">
        <w:rPr>
          <w:spacing w:val="-5"/>
        </w:rPr>
        <w:t xml:space="preserve"> </w:t>
      </w:r>
      <w:r w:rsidRPr="005F2F47">
        <w:t>a</w:t>
      </w:r>
      <w:r w:rsidRPr="005F2F47">
        <w:rPr>
          <w:spacing w:val="-5"/>
        </w:rPr>
        <w:t xml:space="preserve"> </w:t>
      </w:r>
      <w:r w:rsidRPr="005F2F47">
        <w:t>descriptive</w:t>
      </w:r>
      <w:r w:rsidRPr="005F2F47">
        <w:rPr>
          <w:spacing w:val="-4"/>
        </w:rPr>
        <w:t xml:space="preserve"> </w:t>
      </w:r>
      <w:r w:rsidRPr="005F2F47">
        <w:t>manner.</w:t>
      </w:r>
    </w:p>
    <w:p w14:paraId="4296080E" w14:textId="144D798F" w:rsidR="00D25A0A" w:rsidRPr="00FB142D" w:rsidRDefault="00D25A0A" w:rsidP="003D1AC1">
      <w:pPr>
        <w:pStyle w:val="TableTitle"/>
        <w:spacing w:before="240"/>
        <w:rPr>
          <w:lang w:val="en-GB"/>
        </w:rPr>
      </w:pPr>
      <w:bookmarkStart w:id="48" w:name="_Toc202463739"/>
      <w:bookmarkStart w:id="49" w:name="_Ref202471296"/>
      <w:bookmarkStart w:id="50" w:name="_Toc211510463"/>
      <w:r w:rsidRPr="00FB142D">
        <w:rPr>
          <w:bCs/>
          <w:lang w:val="en-GB"/>
        </w:rPr>
        <w:t xml:space="preserve">Table </w:t>
      </w:r>
      <w:r w:rsidR="00646F14">
        <w:rPr>
          <w:bCs/>
          <w:lang w:val="en-GB"/>
        </w:rPr>
        <w:t>3</w:t>
      </w:r>
      <w:r>
        <w:rPr>
          <w:bCs/>
          <w:lang w:val="en-GB"/>
        </w:rPr>
        <w:t>:</w:t>
      </w:r>
      <w:r w:rsidRPr="00FB142D">
        <w:rPr>
          <w:lang w:val="en-GB"/>
        </w:rPr>
        <w:t xml:space="preserve"> Efficacy outcome definitions and statistical analysis in ICP-CL-00102</w:t>
      </w:r>
      <w:bookmarkEnd w:id="48"/>
      <w:bookmarkEnd w:id="49"/>
      <w:bookmarkEnd w:id="50"/>
      <w:r w:rsidRPr="00FB142D">
        <w:rPr>
          <w:lang w:val="en-GB"/>
        </w:rPr>
        <w:t xml:space="preserve"> </w:t>
      </w:r>
    </w:p>
    <w:tbl>
      <w:tblPr>
        <w:tblStyle w:val="ListTable41"/>
        <w:tblW w:w="9667" w:type="dxa"/>
        <w:tblLook w:val="04A0" w:firstRow="1" w:lastRow="0" w:firstColumn="1" w:lastColumn="0" w:noHBand="0" w:noVBand="1"/>
      </w:tblPr>
      <w:tblGrid>
        <w:gridCol w:w="1549"/>
        <w:gridCol w:w="3412"/>
        <w:gridCol w:w="4706"/>
      </w:tblGrid>
      <w:tr w:rsidR="00D25A0A" w:rsidRPr="002A25AC" w14:paraId="19C9EE4C" w14:textId="77777777" w:rsidTr="007062B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283C2A6E" w14:textId="77777777" w:rsidR="00D25A0A" w:rsidRPr="005F2F47" w:rsidRDefault="00D25A0A">
            <w:pPr>
              <w:autoSpaceDE w:val="0"/>
              <w:autoSpaceDN w:val="0"/>
              <w:adjustRightInd w:val="0"/>
              <w:rPr>
                <w:rFonts w:cs="p·Ô3"/>
                <w:i/>
                <w:iCs/>
                <w:sz w:val="18"/>
                <w:szCs w:val="18"/>
                <w:lang w:val="en-GB"/>
              </w:rPr>
            </w:pPr>
            <w:r w:rsidRPr="005F2F47">
              <w:rPr>
                <w:rFonts w:cs="p·Ô3"/>
                <w:i/>
                <w:iCs/>
                <w:sz w:val="18"/>
                <w:szCs w:val="18"/>
                <w:lang w:val="en-GB"/>
              </w:rPr>
              <w:t>Efficacy Outcome</w:t>
            </w:r>
          </w:p>
        </w:tc>
        <w:tc>
          <w:tcPr>
            <w:tcW w:w="0" w:type="auto"/>
          </w:tcPr>
          <w:p w14:paraId="27348F43" w14:textId="77777777" w:rsidR="00D25A0A" w:rsidRPr="005F2F47" w:rsidRDefault="00D25A0A">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p·Ô3"/>
                <w:sz w:val="18"/>
                <w:szCs w:val="18"/>
                <w:lang w:val="en-GB"/>
              </w:rPr>
            </w:pPr>
            <w:r w:rsidRPr="005F2F47">
              <w:rPr>
                <w:rFonts w:cs="p·Ô3"/>
                <w:sz w:val="18"/>
                <w:szCs w:val="18"/>
                <w:lang w:val="en-GB"/>
              </w:rPr>
              <w:t>Definition</w:t>
            </w:r>
          </w:p>
        </w:tc>
        <w:tc>
          <w:tcPr>
            <w:tcW w:w="4706" w:type="dxa"/>
          </w:tcPr>
          <w:p w14:paraId="2668B3E4" w14:textId="77777777" w:rsidR="00D25A0A" w:rsidRPr="005F2F47" w:rsidRDefault="00D25A0A">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p·Ô3"/>
                <w:sz w:val="18"/>
                <w:szCs w:val="18"/>
                <w:lang w:val="en-GB"/>
              </w:rPr>
            </w:pPr>
            <w:r w:rsidRPr="005F2F47">
              <w:rPr>
                <w:rFonts w:cs="p·Ô3"/>
                <w:sz w:val="18"/>
                <w:szCs w:val="18"/>
                <w:lang w:val="en-GB"/>
              </w:rPr>
              <w:t>Statistical Analysis Plan</w:t>
            </w:r>
          </w:p>
        </w:tc>
      </w:tr>
      <w:tr w:rsidR="00D25A0A" w:rsidRPr="002A25AC" w14:paraId="2592B99B" w14:textId="77777777">
        <w:trPr>
          <w:cnfStyle w:val="000000100000" w:firstRow="0" w:lastRow="0" w:firstColumn="0" w:lastColumn="0" w:oddVBand="0" w:evenVBand="0" w:oddHBand="1" w:evenHBand="0" w:firstRowFirstColumn="0" w:firstRowLastColumn="0" w:lastRowFirstColumn="0" w:lastRowLastColumn="0"/>
          <w:trHeight w:val="2869"/>
        </w:trPr>
        <w:tc>
          <w:tcPr>
            <w:cnfStyle w:val="001000000000" w:firstRow="0" w:lastRow="0" w:firstColumn="1" w:lastColumn="0" w:oddVBand="0" w:evenVBand="0" w:oddHBand="0" w:evenHBand="0" w:firstRowFirstColumn="0" w:firstRowLastColumn="0" w:lastRowFirstColumn="0" w:lastRowLastColumn="0"/>
            <w:tcW w:w="0" w:type="auto"/>
          </w:tcPr>
          <w:p w14:paraId="72C7A37C" w14:textId="77777777" w:rsidR="00D25A0A" w:rsidRPr="005F2F47" w:rsidRDefault="00D25A0A">
            <w:pPr>
              <w:autoSpaceDE w:val="0"/>
              <w:autoSpaceDN w:val="0"/>
              <w:adjustRightInd w:val="0"/>
              <w:rPr>
                <w:rFonts w:cs="p·Ô3"/>
                <w:i/>
                <w:iCs/>
                <w:sz w:val="18"/>
                <w:szCs w:val="18"/>
                <w:lang w:val="en-GB"/>
              </w:rPr>
            </w:pPr>
            <w:r w:rsidRPr="005F2F47">
              <w:rPr>
                <w:rFonts w:cs="p·Ô3"/>
                <w:i/>
                <w:iCs/>
                <w:sz w:val="18"/>
                <w:szCs w:val="18"/>
                <w:lang w:val="en-GB"/>
              </w:rPr>
              <w:t>Overall Response Rate (ORR) either by IRC or investigator</w:t>
            </w:r>
          </w:p>
        </w:tc>
        <w:tc>
          <w:tcPr>
            <w:tcW w:w="0" w:type="auto"/>
          </w:tcPr>
          <w:p w14:paraId="6FD7CFFE"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p·Ô3"/>
                <w:sz w:val="18"/>
                <w:szCs w:val="18"/>
                <w:lang w:val="en-GB"/>
              </w:rPr>
            </w:pPr>
            <w:r w:rsidRPr="005F2F47">
              <w:rPr>
                <w:rFonts w:cs="p·Ô3"/>
                <w:sz w:val="18"/>
                <w:szCs w:val="18"/>
                <w:lang w:val="en-GB"/>
              </w:rPr>
              <w:t xml:space="preserve">Defined as the number of subjects who achieved CR or PR (as best overall response, </w:t>
            </w:r>
            <w:r w:rsidRPr="005F2F47">
              <w:rPr>
                <w:rFonts w:cs="Í::."/>
                <w:sz w:val="18"/>
                <w:szCs w:val="18"/>
                <w:lang w:val="en-GB"/>
              </w:rPr>
              <w:t>defined as the best overall response [BOR] from the first dose to disease progression, end of study or new anti-tumour treatment, whichever occurs first</w:t>
            </w:r>
            <w:r w:rsidRPr="005F2F47">
              <w:rPr>
                <w:rFonts w:cs="Í::."/>
                <w:i/>
                <w:iCs/>
                <w:sz w:val="18"/>
                <w:szCs w:val="18"/>
                <w:lang w:val="en-GB"/>
              </w:rPr>
              <w:t xml:space="preserve">) </w:t>
            </w:r>
            <w:r w:rsidRPr="005F2F47">
              <w:rPr>
                <w:rFonts w:cs="p·Ô3"/>
                <w:sz w:val="18"/>
                <w:szCs w:val="18"/>
                <w:lang w:val="en-GB"/>
              </w:rPr>
              <w:t>divided by the number of subjects included in the efficacy evaluation.</w:t>
            </w:r>
          </w:p>
        </w:tc>
        <w:tc>
          <w:tcPr>
            <w:tcW w:w="4706" w:type="dxa"/>
          </w:tcPr>
          <w:p w14:paraId="45533E88"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Í::."/>
                <w:sz w:val="18"/>
                <w:szCs w:val="18"/>
                <w:lang w:val="en-GB"/>
              </w:rPr>
            </w:pPr>
            <w:r w:rsidRPr="005F2F47">
              <w:rPr>
                <w:rFonts w:cs="Í::."/>
                <w:sz w:val="18"/>
                <w:szCs w:val="18"/>
                <w:lang w:val="en-GB"/>
              </w:rPr>
              <w:t>Number and percentages of subjects who achieved Overall Response (CR, PR) were described. 95% CI for ORR were estimated using Clopper-Pearson exact method. BOR was also summarized by response category (CR, PR, SD, PD, NE (including no post-baseline overall response). A swimmer plot over the whole treatment period was provided, and the overall response in each post-baseline visit was marked in the plot. ORR by subgroups together with 95% confidence interval were summarized. 95% CI was calculated using Clopper-Pearson exact method. A forest plot was provided to show the results of subgroup analysis. Concordance of ORR by IRC and investigator was assessed. The overall concordance rate and the kappa statistic was calculated.</w:t>
            </w:r>
          </w:p>
        </w:tc>
      </w:tr>
      <w:tr w:rsidR="00D25A0A" w:rsidRPr="002A25AC" w14:paraId="06DD927F" w14:textId="77777777">
        <w:tc>
          <w:tcPr>
            <w:cnfStyle w:val="001000000000" w:firstRow="0" w:lastRow="0" w:firstColumn="1" w:lastColumn="0" w:oddVBand="0" w:evenVBand="0" w:oddHBand="0" w:evenHBand="0" w:firstRowFirstColumn="0" w:firstRowLastColumn="0" w:lastRowFirstColumn="0" w:lastRowLastColumn="0"/>
            <w:tcW w:w="0" w:type="auto"/>
          </w:tcPr>
          <w:p w14:paraId="08E72CC1" w14:textId="77777777" w:rsidR="00D25A0A" w:rsidRPr="005F2F47" w:rsidRDefault="00D25A0A">
            <w:pPr>
              <w:autoSpaceDE w:val="0"/>
              <w:autoSpaceDN w:val="0"/>
              <w:adjustRightInd w:val="0"/>
              <w:rPr>
                <w:rFonts w:cs="p·Ô3"/>
                <w:i/>
                <w:iCs/>
                <w:sz w:val="18"/>
                <w:szCs w:val="18"/>
                <w:lang w:val="en-GB"/>
              </w:rPr>
            </w:pPr>
            <w:r w:rsidRPr="005F2F47">
              <w:rPr>
                <w:rFonts w:cs="p·Ô3"/>
                <w:i/>
                <w:iCs/>
                <w:sz w:val="18"/>
                <w:szCs w:val="18"/>
                <w:lang w:val="en-GB"/>
              </w:rPr>
              <w:t>Progression Free Survival (PFS)</w:t>
            </w:r>
          </w:p>
        </w:tc>
        <w:tc>
          <w:tcPr>
            <w:tcW w:w="0" w:type="auto"/>
          </w:tcPr>
          <w:p w14:paraId="27AC997E"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p·Ô3"/>
                <w:sz w:val="18"/>
                <w:szCs w:val="18"/>
                <w:lang w:val="en-GB"/>
              </w:rPr>
            </w:pPr>
            <w:r w:rsidRPr="005F2F47">
              <w:rPr>
                <w:rFonts w:cs="p·Ô3"/>
                <w:sz w:val="18"/>
                <w:szCs w:val="18"/>
                <w:lang w:val="en-GB"/>
              </w:rPr>
              <w:t>Defined as the time from the date of the first dose to the earlier of the dates of the first documented disease progression or death.</w:t>
            </w:r>
          </w:p>
          <w:p w14:paraId="23894527"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p·Ô3"/>
                <w:sz w:val="18"/>
                <w:szCs w:val="18"/>
                <w:lang w:val="en-GB"/>
              </w:rPr>
            </w:pPr>
          </w:p>
        </w:tc>
        <w:tc>
          <w:tcPr>
            <w:tcW w:w="4706" w:type="dxa"/>
          </w:tcPr>
          <w:p w14:paraId="642E9C7E"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Í::."/>
                <w:sz w:val="18"/>
                <w:szCs w:val="18"/>
                <w:lang w:val="en-GB"/>
              </w:rPr>
            </w:pPr>
            <w:r w:rsidRPr="005F2F47">
              <w:rPr>
                <w:rFonts w:cs="Í::."/>
                <w:sz w:val="18"/>
                <w:szCs w:val="18"/>
                <w:lang w:val="en-GB"/>
              </w:rPr>
              <w:t>Subjects without disease progression or death, or subjects who were lost to follow-up without disease progression before end of study (or date of data cut-off) were censored.</w:t>
            </w:r>
          </w:p>
          <w:p w14:paraId="6B3677DF"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Í::."/>
                <w:sz w:val="18"/>
                <w:szCs w:val="18"/>
                <w:lang w:val="en-GB"/>
              </w:rPr>
            </w:pPr>
            <w:r w:rsidRPr="005F2F47">
              <w:rPr>
                <w:rFonts w:cs="Í::."/>
                <w:sz w:val="18"/>
                <w:szCs w:val="18"/>
                <w:lang w:val="en-GB"/>
              </w:rPr>
              <w:t>PFS was calculated as:</w:t>
            </w:r>
          </w:p>
          <w:p w14:paraId="23A187A5"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Í::."/>
                <w:sz w:val="18"/>
                <w:szCs w:val="18"/>
                <w:lang w:val="en-GB"/>
              </w:rPr>
            </w:pPr>
            <w:r w:rsidRPr="005F2F47">
              <w:rPr>
                <w:rFonts w:cs="Í::."/>
                <w:sz w:val="18"/>
                <w:szCs w:val="18"/>
                <w:lang w:val="en-GB"/>
              </w:rPr>
              <w:t>• PFS (Month) = (Date of disease progression/death/last evaluable tumour assessment – Date of first dose + 1)/30.4375</w:t>
            </w:r>
          </w:p>
        </w:tc>
      </w:tr>
      <w:tr w:rsidR="00D25A0A" w:rsidRPr="002A25AC" w14:paraId="39D6616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49C589" w14:textId="77777777" w:rsidR="00D25A0A" w:rsidRPr="005F2F47" w:rsidRDefault="00D25A0A">
            <w:pPr>
              <w:autoSpaceDE w:val="0"/>
              <w:autoSpaceDN w:val="0"/>
              <w:adjustRightInd w:val="0"/>
              <w:rPr>
                <w:rFonts w:cs="p·Ô3"/>
                <w:i/>
                <w:iCs/>
                <w:sz w:val="18"/>
                <w:szCs w:val="18"/>
                <w:lang w:val="en-GB"/>
              </w:rPr>
            </w:pPr>
            <w:r w:rsidRPr="005F2F47">
              <w:rPr>
                <w:rFonts w:cs="p·Ô3"/>
                <w:i/>
                <w:iCs/>
                <w:sz w:val="18"/>
                <w:szCs w:val="18"/>
                <w:lang w:val="en-GB"/>
              </w:rPr>
              <w:t>Duration of Response (DOR)</w:t>
            </w:r>
          </w:p>
        </w:tc>
        <w:tc>
          <w:tcPr>
            <w:tcW w:w="0" w:type="auto"/>
          </w:tcPr>
          <w:p w14:paraId="122C09D7"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p·Ô3"/>
                <w:sz w:val="18"/>
                <w:szCs w:val="18"/>
                <w:lang w:val="en-GB"/>
              </w:rPr>
            </w:pPr>
            <w:r w:rsidRPr="005F2F47">
              <w:rPr>
                <w:rFonts w:cs="p·Ô3"/>
                <w:sz w:val="18"/>
                <w:szCs w:val="18"/>
                <w:lang w:val="en-GB"/>
              </w:rPr>
              <w:t>Defined as the time from the first documented response to the dates of the first documented disease progression or death</w:t>
            </w:r>
          </w:p>
        </w:tc>
        <w:tc>
          <w:tcPr>
            <w:tcW w:w="4706" w:type="dxa"/>
          </w:tcPr>
          <w:p w14:paraId="3E823454"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Í::."/>
                <w:sz w:val="18"/>
                <w:szCs w:val="18"/>
                <w:lang w:val="en-GB"/>
              </w:rPr>
            </w:pPr>
            <w:r w:rsidRPr="005F2F47">
              <w:rPr>
                <w:rFonts w:cs="Í::."/>
                <w:sz w:val="18"/>
                <w:szCs w:val="18"/>
                <w:lang w:val="en-GB"/>
              </w:rPr>
              <w:t>DOR was only calculated for subjects who achieved CR or PR. DOR was calculated as:</w:t>
            </w:r>
          </w:p>
          <w:p w14:paraId="241E4F56"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Í::."/>
                <w:sz w:val="18"/>
                <w:szCs w:val="18"/>
                <w:lang w:val="en-GB"/>
              </w:rPr>
            </w:pPr>
            <w:r w:rsidRPr="005F2F47">
              <w:rPr>
                <w:rFonts w:cs="Í::."/>
                <w:sz w:val="18"/>
                <w:szCs w:val="18"/>
                <w:lang w:val="en-GB"/>
              </w:rPr>
              <w:t>• DOR (Month) = (Date of disease progression/death/last evaluable tumour assessment – Date of first documented response of CR or PR + 1)/30.4375</w:t>
            </w:r>
          </w:p>
        </w:tc>
      </w:tr>
      <w:tr w:rsidR="00D25A0A" w:rsidRPr="002A25AC" w14:paraId="4B273C3A" w14:textId="77777777">
        <w:tc>
          <w:tcPr>
            <w:cnfStyle w:val="001000000000" w:firstRow="0" w:lastRow="0" w:firstColumn="1" w:lastColumn="0" w:oddVBand="0" w:evenVBand="0" w:oddHBand="0" w:evenHBand="0" w:firstRowFirstColumn="0" w:firstRowLastColumn="0" w:lastRowFirstColumn="0" w:lastRowLastColumn="0"/>
            <w:tcW w:w="0" w:type="auto"/>
          </w:tcPr>
          <w:p w14:paraId="706340A5" w14:textId="77777777" w:rsidR="00D25A0A" w:rsidRPr="005F2F47" w:rsidRDefault="00D25A0A">
            <w:pPr>
              <w:autoSpaceDE w:val="0"/>
              <w:autoSpaceDN w:val="0"/>
              <w:adjustRightInd w:val="0"/>
              <w:rPr>
                <w:rFonts w:cs="p·Ô3"/>
                <w:i/>
                <w:iCs/>
                <w:sz w:val="18"/>
                <w:szCs w:val="18"/>
                <w:lang w:val="en-GB"/>
              </w:rPr>
            </w:pPr>
            <w:r w:rsidRPr="005F2F47">
              <w:rPr>
                <w:rFonts w:cs="p·Ô3"/>
                <w:i/>
                <w:iCs/>
                <w:sz w:val="18"/>
                <w:szCs w:val="18"/>
                <w:lang w:val="en-GB"/>
              </w:rPr>
              <w:t>Overall Survival (OS)</w:t>
            </w:r>
          </w:p>
        </w:tc>
        <w:tc>
          <w:tcPr>
            <w:tcW w:w="0" w:type="auto"/>
          </w:tcPr>
          <w:p w14:paraId="2AB3FBCB"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p·Ô3"/>
                <w:sz w:val="18"/>
                <w:szCs w:val="18"/>
                <w:lang w:val="en-GB"/>
              </w:rPr>
            </w:pPr>
            <w:r w:rsidRPr="005F2F47">
              <w:rPr>
                <w:rFonts w:cs="p·Ô3"/>
                <w:sz w:val="18"/>
                <w:szCs w:val="18"/>
                <w:lang w:val="en-GB"/>
              </w:rPr>
              <w:t>Defined as the time from the date of the first dose to the date of death.</w:t>
            </w:r>
          </w:p>
          <w:p w14:paraId="55CF6C58"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p·Ô3"/>
                <w:sz w:val="18"/>
                <w:szCs w:val="18"/>
                <w:lang w:val="en-GB"/>
              </w:rPr>
            </w:pPr>
          </w:p>
        </w:tc>
        <w:tc>
          <w:tcPr>
            <w:tcW w:w="4706" w:type="dxa"/>
          </w:tcPr>
          <w:p w14:paraId="117C3E65"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Í::."/>
                <w:sz w:val="18"/>
                <w:szCs w:val="18"/>
                <w:lang w:val="en-GB"/>
              </w:rPr>
            </w:pPr>
            <w:r w:rsidRPr="005F2F47">
              <w:rPr>
                <w:rFonts w:cs="Í::."/>
                <w:sz w:val="18"/>
                <w:szCs w:val="18"/>
                <w:lang w:val="en-GB"/>
              </w:rPr>
              <w:t>Subjects without death before end of study (or date of data cut-off) were censored to last known alive date. OS was calculated as:</w:t>
            </w:r>
          </w:p>
          <w:p w14:paraId="667254AC"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p·Ô3"/>
                <w:sz w:val="18"/>
                <w:szCs w:val="18"/>
                <w:lang w:val="en-GB"/>
              </w:rPr>
            </w:pPr>
            <w:r w:rsidRPr="005F2F47">
              <w:rPr>
                <w:rFonts w:cs="Í::."/>
                <w:sz w:val="18"/>
                <w:szCs w:val="18"/>
                <w:lang w:val="en-GB"/>
              </w:rPr>
              <w:t>• OS (Month) = (Date of death/last known alive date – Date of first dose + 1)/30.4375</w:t>
            </w:r>
          </w:p>
        </w:tc>
      </w:tr>
      <w:tr w:rsidR="00D25A0A" w:rsidRPr="002A25AC" w14:paraId="2A1CE90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B3E4C92" w14:textId="77777777" w:rsidR="00D25A0A" w:rsidRPr="005F2F47" w:rsidRDefault="00D25A0A">
            <w:pPr>
              <w:autoSpaceDE w:val="0"/>
              <w:autoSpaceDN w:val="0"/>
              <w:adjustRightInd w:val="0"/>
              <w:rPr>
                <w:rFonts w:cs="p·Ô3"/>
                <w:i/>
                <w:iCs/>
                <w:sz w:val="18"/>
                <w:szCs w:val="18"/>
                <w:lang w:val="en-GB"/>
              </w:rPr>
            </w:pPr>
            <w:r w:rsidRPr="005F2F47">
              <w:rPr>
                <w:rFonts w:cs="p·Ô3"/>
                <w:i/>
                <w:iCs/>
                <w:sz w:val="18"/>
                <w:szCs w:val="18"/>
                <w:lang w:val="en-GB"/>
              </w:rPr>
              <w:t>Disease Control Rate (DCR)</w:t>
            </w:r>
          </w:p>
        </w:tc>
        <w:tc>
          <w:tcPr>
            <w:tcW w:w="0" w:type="auto"/>
          </w:tcPr>
          <w:p w14:paraId="600C4C29"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p·Ô3"/>
                <w:sz w:val="18"/>
                <w:szCs w:val="18"/>
                <w:lang w:val="en-GB"/>
              </w:rPr>
            </w:pPr>
            <w:r w:rsidRPr="005F2F47">
              <w:rPr>
                <w:rFonts w:cs="p·Ô3"/>
                <w:sz w:val="18"/>
                <w:szCs w:val="18"/>
                <w:lang w:val="en-GB"/>
              </w:rPr>
              <w:t>Defined as the number of subjects who achieved CR, PR and SD divided by the number of subjects included in the efficacy evaluation.</w:t>
            </w:r>
          </w:p>
          <w:p w14:paraId="52D2B9E7"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p·Ô3"/>
                <w:sz w:val="18"/>
                <w:szCs w:val="18"/>
                <w:lang w:val="en-GB"/>
              </w:rPr>
            </w:pPr>
          </w:p>
        </w:tc>
        <w:tc>
          <w:tcPr>
            <w:tcW w:w="4706" w:type="dxa"/>
          </w:tcPr>
          <w:p w14:paraId="7932BA2A"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Í::."/>
                <w:sz w:val="18"/>
                <w:szCs w:val="18"/>
                <w:lang w:val="en-GB"/>
              </w:rPr>
            </w:pPr>
            <w:r w:rsidRPr="005F2F47">
              <w:rPr>
                <w:rFonts w:cs="Í::."/>
                <w:sz w:val="18"/>
                <w:szCs w:val="18"/>
                <w:lang w:val="en-GB"/>
              </w:rPr>
              <w:t>Number and percentages of subjects who achieved best overall response of CR, PR, or SD were described. The 95% CI was estimated using Clopper-Pearson exact method.</w:t>
            </w:r>
          </w:p>
        </w:tc>
      </w:tr>
      <w:tr w:rsidR="00D25A0A" w:rsidRPr="002A25AC" w14:paraId="1D10BA36" w14:textId="77777777">
        <w:tc>
          <w:tcPr>
            <w:cnfStyle w:val="001000000000" w:firstRow="0" w:lastRow="0" w:firstColumn="1" w:lastColumn="0" w:oddVBand="0" w:evenVBand="0" w:oddHBand="0" w:evenHBand="0" w:firstRowFirstColumn="0" w:firstRowLastColumn="0" w:lastRowFirstColumn="0" w:lastRowLastColumn="0"/>
            <w:tcW w:w="0" w:type="auto"/>
          </w:tcPr>
          <w:p w14:paraId="322375B3" w14:textId="77777777" w:rsidR="00D25A0A" w:rsidRPr="005F2F47" w:rsidRDefault="00D25A0A">
            <w:pPr>
              <w:autoSpaceDE w:val="0"/>
              <w:autoSpaceDN w:val="0"/>
              <w:adjustRightInd w:val="0"/>
              <w:rPr>
                <w:rFonts w:cs="p·Ô3"/>
                <w:i/>
                <w:iCs/>
                <w:sz w:val="18"/>
                <w:szCs w:val="18"/>
                <w:lang w:val="en-GB"/>
              </w:rPr>
            </w:pPr>
            <w:r w:rsidRPr="005F2F47">
              <w:rPr>
                <w:rFonts w:cs="p·Ô3"/>
                <w:i/>
                <w:iCs/>
                <w:sz w:val="18"/>
                <w:szCs w:val="18"/>
                <w:lang w:val="en-GB"/>
              </w:rPr>
              <w:t>Time to Response (TTR)</w:t>
            </w:r>
          </w:p>
        </w:tc>
        <w:tc>
          <w:tcPr>
            <w:tcW w:w="0" w:type="auto"/>
          </w:tcPr>
          <w:p w14:paraId="15671F8F"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p·Ô3"/>
                <w:sz w:val="18"/>
                <w:szCs w:val="18"/>
                <w:lang w:val="en-GB"/>
              </w:rPr>
            </w:pPr>
            <w:r w:rsidRPr="005F2F47">
              <w:rPr>
                <w:rFonts w:cs="p·Ô3"/>
                <w:sz w:val="18"/>
                <w:szCs w:val="18"/>
                <w:lang w:val="en-GB"/>
              </w:rPr>
              <w:t>Defined as the time from the date of first dose to the first documented response for CR and PR</w:t>
            </w:r>
          </w:p>
        </w:tc>
        <w:tc>
          <w:tcPr>
            <w:tcW w:w="4706" w:type="dxa"/>
          </w:tcPr>
          <w:p w14:paraId="30326806"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Í::."/>
                <w:sz w:val="18"/>
                <w:szCs w:val="18"/>
                <w:lang w:val="en-GB"/>
              </w:rPr>
            </w:pPr>
            <w:r w:rsidRPr="005F2F47">
              <w:rPr>
                <w:rFonts w:cs="Í::."/>
                <w:sz w:val="18"/>
                <w:szCs w:val="18"/>
                <w:lang w:val="en-GB"/>
              </w:rPr>
              <w:t>TTR was only calculated for subjects who achieved CR or PR. TTR was calculated as:</w:t>
            </w:r>
          </w:p>
          <w:p w14:paraId="18CD7511"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p·Ô3"/>
                <w:sz w:val="18"/>
                <w:szCs w:val="18"/>
                <w:lang w:val="en-GB"/>
              </w:rPr>
            </w:pPr>
            <w:r w:rsidRPr="005F2F47">
              <w:rPr>
                <w:rFonts w:cs="Í::."/>
                <w:sz w:val="18"/>
                <w:szCs w:val="18"/>
                <w:lang w:val="en-GB"/>
              </w:rPr>
              <w:t>• TTR (Month) = (Date of first documented response – Date of first dose + 1)/30.4375</w:t>
            </w:r>
          </w:p>
        </w:tc>
      </w:tr>
      <w:tr w:rsidR="00D25A0A" w:rsidRPr="002A25AC" w14:paraId="4D54DCF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5C46377" w14:textId="77777777" w:rsidR="00D25A0A" w:rsidRPr="005F2F47" w:rsidRDefault="00D25A0A">
            <w:pPr>
              <w:autoSpaceDE w:val="0"/>
              <w:autoSpaceDN w:val="0"/>
              <w:adjustRightInd w:val="0"/>
              <w:rPr>
                <w:rFonts w:cs="p·Ô3"/>
                <w:i/>
                <w:iCs/>
                <w:sz w:val="18"/>
                <w:szCs w:val="18"/>
                <w:lang w:val="en-GB"/>
              </w:rPr>
            </w:pPr>
            <w:r w:rsidRPr="005F2F47">
              <w:rPr>
                <w:rFonts w:cs="p·Ô3"/>
                <w:i/>
                <w:iCs/>
                <w:sz w:val="18"/>
                <w:szCs w:val="18"/>
                <w:lang w:val="en-GB"/>
              </w:rPr>
              <w:t>Time to Progression (TTP)</w:t>
            </w:r>
          </w:p>
        </w:tc>
        <w:tc>
          <w:tcPr>
            <w:tcW w:w="0" w:type="auto"/>
          </w:tcPr>
          <w:p w14:paraId="7A288865"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p·Ô3"/>
                <w:sz w:val="18"/>
                <w:szCs w:val="18"/>
                <w:lang w:val="en-GB"/>
              </w:rPr>
            </w:pPr>
            <w:r w:rsidRPr="005F2F47">
              <w:rPr>
                <w:rFonts w:cs="p·Ô3"/>
                <w:sz w:val="18"/>
                <w:szCs w:val="18"/>
                <w:lang w:val="en-GB"/>
              </w:rPr>
              <w:t>Defined as the time from the date of the first dose to date of the first documented disease progression.</w:t>
            </w:r>
          </w:p>
        </w:tc>
        <w:tc>
          <w:tcPr>
            <w:tcW w:w="4706" w:type="dxa"/>
          </w:tcPr>
          <w:p w14:paraId="0005856E"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Í::."/>
                <w:sz w:val="18"/>
                <w:szCs w:val="18"/>
                <w:lang w:val="en-GB"/>
              </w:rPr>
            </w:pPr>
            <w:r w:rsidRPr="005F2F47">
              <w:rPr>
                <w:rFonts w:cs="Í::."/>
                <w:sz w:val="18"/>
                <w:szCs w:val="18"/>
                <w:lang w:val="en-GB"/>
              </w:rPr>
              <w:t>Subjects without disease progression, death without disease progression, or subjects who were lost to follow-up without disease progression before end of study (or date of data cut-off) were censored.</w:t>
            </w:r>
          </w:p>
          <w:p w14:paraId="6EDC6E74"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Í::."/>
                <w:sz w:val="18"/>
                <w:szCs w:val="18"/>
                <w:lang w:val="en-GB"/>
              </w:rPr>
            </w:pPr>
            <w:r w:rsidRPr="005F2F47">
              <w:rPr>
                <w:rFonts w:cs="Í::."/>
                <w:sz w:val="18"/>
                <w:szCs w:val="18"/>
                <w:lang w:val="en-GB"/>
              </w:rPr>
              <w:t>TTP was calculated as:</w:t>
            </w:r>
          </w:p>
          <w:p w14:paraId="19863967"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Í::."/>
                <w:sz w:val="18"/>
                <w:szCs w:val="18"/>
                <w:lang w:val="en-GB"/>
              </w:rPr>
            </w:pPr>
            <w:r w:rsidRPr="005F2F47">
              <w:rPr>
                <w:rFonts w:cs="Í::."/>
                <w:sz w:val="18"/>
                <w:szCs w:val="18"/>
                <w:lang w:val="en-GB"/>
              </w:rPr>
              <w:t>• TTP (Month) = (Date of first documented disease progression/last evaluable tumour assessment – Date of first dose + 1)/30.4375.</w:t>
            </w:r>
          </w:p>
        </w:tc>
      </w:tr>
      <w:tr w:rsidR="00D25A0A" w:rsidRPr="002A25AC" w14:paraId="0002381E" w14:textId="77777777">
        <w:tc>
          <w:tcPr>
            <w:cnfStyle w:val="001000000000" w:firstRow="0" w:lastRow="0" w:firstColumn="1" w:lastColumn="0" w:oddVBand="0" w:evenVBand="0" w:oddHBand="0" w:evenHBand="0" w:firstRowFirstColumn="0" w:firstRowLastColumn="0" w:lastRowFirstColumn="0" w:lastRowLastColumn="0"/>
            <w:tcW w:w="0" w:type="auto"/>
          </w:tcPr>
          <w:p w14:paraId="4BAEB512" w14:textId="77777777" w:rsidR="00D25A0A" w:rsidRPr="005F2F47" w:rsidRDefault="00D25A0A">
            <w:pPr>
              <w:autoSpaceDE w:val="0"/>
              <w:autoSpaceDN w:val="0"/>
              <w:adjustRightInd w:val="0"/>
              <w:rPr>
                <w:rFonts w:cs="p·Ô3"/>
                <w:i/>
                <w:iCs/>
                <w:sz w:val="18"/>
                <w:szCs w:val="18"/>
                <w:lang w:val="en-GB"/>
              </w:rPr>
            </w:pPr>
            <w:r w:rsidRPr="005F2F47">
              <w:rPr>
                <w:rFonts w:cs="p·Ô3"/>
                <w:i/>
                <w:iCs/>
                <w:sz w:val="18"/>
                <w:szCs w:val="18"/>
                <w:lang w:val="en-GB"/>
              </w:rPr>
              <w:lastRenderedPageBreak/>
              <w:t>Percentage changes from baseline of SPD in target lesions</w:t>
            </w:r>
          </w:p>
        </w:tc>
        <w:tc>
          <w:tcPr>
            <w:tcW w:w="0" w:type="auto"/>
          </w:tcPr>
          <w:p w14:paraId="0865413E"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p·Ô3"/>
                <w:sz w:val="18"/>
                <w:szCs w:val="18"/>
                <w:lang w:val="en-GB"/>
              </w:rPr>
            </w:pPr>
            <w:r w:rsidRPr="005F2F47">
              <w:rPr>
                <w:rFonts w:cs="p·Ô3"/>
                <w:sz w:val="18"/>
                <w:szCs w:val="18"/>
                <w:lang w:val="en-GB"/>
              </w:rPr>
              <w:t>The tumour measurement</w:t>
            </w:r>
          </w:p>
          <w:p w14:paraId="2F84A8DD"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p·Ô3"/>
                <w:sz w:val="18"/>
                <w:szCs w:val="18"/>
                <w:lang w:val="en-GB"/>
              </w:rPr>
            </w:pPr>
            <w:r w:rsidRPr="005F2F47">
              <w:rPr>
                <w:rFonts w:cs="p·Ô3"/>
                <w:sz w:val="18"/>
                <w:szCs w:val="18"/>
                <w:lang w:val="en-GB"/>
              </w:rPr>
              <w:t>at the screening visit will be used as the baseline tumour measurement.</w:t>
            </w:r>
          </w:p>
          <w:p w14:paraId="0F4EE8C0"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p·Ô3"/>
                <w:sz w:val="18"/>
                <w:szCs w:val="18"/>
                <w:lang w:val="en-GB"/>
              </w:rPr>
            </w:pPr>
          </w:p>
        </w:tc>
        <w:tc>
          <w:tcPr>
            <w:tcW w:w="4706" w:type="dxa"/>
          </w:tcPr>
          <w:p w14:paraId="6143C5A5"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Í::."/>
                <w:sz w:val="18"/>
                <w:szCs w:val="18"/>
                <w:lang w:val="en-GB"/>
              </w:rPr>
            </w:pPr>
            <w:r w:rsidRPr="005F2F47">
              <w:rPr>
                <w:rFonts w:cs="Í::."/>
                <w:sz w:val="18"/>
                <w:szCs w:val="18"/>
                <w:lang w:val="en-GB"/>
              </w:rPr>
              <w:t>Percentage changes from baseline of SPD at each visit were calculated. A spider plot was generated to show changes of SPD over time by patient. The reference lines for +/- 50% were added to the plot. Waterfall plot was provided based on the best percentage changes by patient, with best overall response of each patient labelled in the plot.</w:t>
            </w:r>
          </w:p>
        </w:tc>
      </w:tr>
      <w:tr w:rsidR="00D25A0A" w:rsidRPr="002A25AC" w14:paraId="6C0DA34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02F7CF6" w14:textId="77777777" w:rsidR="00D25A0A" w:rsidRPr="005F2F47" w:rsidRDefault="00D25A0A">
            <w:pPr>
              <w:autoSpaceDE w:val="0"/>
              <w:autoSpaceDN w:val="0"/>
              <w:adjustRightInd w:val="0"/>
              <w:rPr>
                <w:rFonts w:cs="p·Ô3"/>
                <w:i/>
                <w:iCs/>
                <w:sz w:val="18"/>
                <w:szCs w:val="18"/>
                <w:lang w:val="en-GB"/>
              </w:rPr>
            </w:pPr>
            <w:r w:rsidRPr="005F2F47">
              <w:rPr>
                <w:rFonts w:cs="p·Ô3"/>
                <w:i/>
                <w:iCs/>
                <w:sz w:val="18"/>
                <w:szCs w:val="18"/>
                <w:lang w:val="en-GB"/>
              </w:rPr>
              <w:t>Complete Response Rate (CRR)</w:t>
            </w:r>
          </w:p>
        </w:tc>
        <w:tc>
          <w:tcPr>
            <w:tcW w:w="0" w:type="auto"/>
          </w:tcPr>
          <w:p w14:paraId="68D9CDB2"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p·Ô3"/>
                <w:sz w:val="18"/>
                <w:szCs w:val="18"/>
                <w:lang w:val="en-GB"/>
              </w:rPr>
            </w:pPr>
            <w:r w:rsidRPr="005F2F47">
              <w:rPr>
                <w:rFonts w:cs="p·Ô3"/>
                <w:sz w:val="18"/>
                <w:szCs w:val="18"/>
                <w:lang w:val="en-GB"/>
              </w:rPr>
              <w:t>Defined as the proportion of subjects who achieve complete response (CR) based on PET/CT/MRI imaging and clinical results in accordance with the 2014 International Working Group criteria for non-Hodgkin’s lymphoma.</w:t>
            </w:r>
          </w:p>
        </w:tc>
        <w:tc>
          <w:tcPr>
            <w:tcW w:w="4706" w:type="dxa"/>
          </w:tcPr>
          <w:p w14:paraId="06B515B0" w14:textId="77777777" w:rsidR="00D25A0A" w:rsidRPr="005F2F47" w:rsidRDefault="00D25A0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Í::."/>
                <w:sz w:val="18"/>
                <w:szCs w:val="18"/>
                <w:lang w:val="en-GB"/>
              </w:rPr>
            </w:pPr>
            <w:r w:rsidRPr="005F2F47">
              <w:rPr>
                <w:rFonts w:cs="Í::."/>
                <w:sz w:val="18"/>
                <w:szCs w:val="18"/>
                <w:lang w:val="en-GB"/>
              </w:rPr>
              <w:t>This analysis was only performed for subjects with PET scans at baseline. Number and percentages of subjects who achieved CR response were described. The 95% CI was estimated using Clopper-Pearson exact method. BOR, ORR, and DCR based on PET/CT/MRI will be also provided.</w:t>
            </w:r>
          </w:p>
        </w:tc>
      </w:tr>
      <w:tr w:rsidR="00D25A0A" w:rsidRPr="002A25AC" w14:paraId="406849C4" w14:textId="77777777">
        <w:tc>
          <w:tcPr>
            <w:cnfStyle w:val="001000000000" w:firstRow="0" w:lastRow="0" w:firstColumn="1" w:lastColumn="0" w:oddVBand="0" w:evenVBand="0" w:oddHBand="0" w:evenHBand="0" w:firstRowFirstColumn="0" w:firstRowLastColumn="0" w:lastRowFirstColumn="0" w:lastRowLastColumn="0"/>
            <w:tcW w:w="0" w:type="auto"/>
          </w:tcPr>
          <w:p w14:paraId="623CD5CB" w14:textId="77777777" w:rsidR="00D25A0A" w:rsidRPr="005F2F47" w:rsidRDefault="00D25A0A">
            <w:pPr>
              <w:autoSpaceDE w:val="0"/>
              <w:autoSpaceDN w:val="0"/>
              <w:adjustRightInd w:val="0"/>
              <w:rPr>
                <w:rFonts w:cs="p·Ô3"/>
                <w:i/>
                <w:iCs/>
                <w:sz w:val="18"/>
                <w:szCs w:val="18"/>
                <w:lang w:val="en-GB"/>
              </w:rPr>
            </w:pPr>
            <w:r w:rsidRPr="005F2F47">
              <w:rPr>
                <w:rFonts w:cs="p·Ô3"/>
                <w:i/>
                <w:iCs/>
                <w:sz w:val="18"/>
                <w:szCs w:val="18"/>
                <w:lang w:val="en-GB"/>
              </w:rPr>
              <w:t>Additional information for all time-to-event-endpoints</w:t>
            </w:r>
          </w:p>
        </w:tc>
        <w:tc>
          <w:tcPr>
            <w:tcW w:w="0" w:type="auto"/>
          </w:tcPr>
          <w:p w14:paraId="52E2BD36"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p·Ô3"/>
                <w:sz w:val="18"/>
                <w:szCs w:val="18"/>
                <w:lang w:val="en-GB"/>
              </w:rPr>
            </w:pPr>
          </w:p>
        </w:tc>
        <w:tc>
          <w:tcPr>
            <w:tcW w:w="4706" w:type="dxa"/>
          </w:tcPr>
          <w:p w14:paraId="5F81B31B"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Í::."/>
                <w:sz w:val="18"/>
                <w:szCs w:val="18"/>
                <w:lang w:val="en-GB"/>
              </w:rPr>
            </w:pPr>
            <w:r w:rsidRPr="005F2F47">
              <w:rPr>
                <w:rFonts w:cs="Í::."/>
                <w:sz w:val="18"/>
                <w:szCs w:val="18"/>
                <w:lang w:val="en-GB"/>
              </w:rPr>
              <w:t>For each of these time-to-event endpoints, number and percentage of subjects with event and censored subjects were summarised. Median, 25% percentile, and 75% percentile were estimated using Kaplan-meier method, and the associated two-sided 95% CIs were calculated using Brookmeyer-Crowley method. The descriptive statistic minimum and maximum value were</w:t>
            </w:r>
          </w:p>
          <w:p w14:paraId="0DC101A2" w14:textId="77777777" w:rsidR="00D25A0A" w:rsidRPr="005F2F47" w:rsidRDefault="00D25A0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Í::."/>
                <w:sz w:val="18"/>
                <w:szCs w:val="18"/>
                <w:lang w:val="en-GB"/>
              </w:rPr>
            </w:pPr>
            <w:r w:rsidRPr="005F2F47">
              <w:rPr>
                <w:rFonts w:cs="Í::."/>
                <w:sz w:val="18"/>
                <w:szCs w:val="18"/>
                <w:lang w:val="en-GB"/>
              </w:rPr>
              <w:t>also provided. The survival rate for PFS, DOR, and OS and event rate for TTR and TTP associated with 95% CI at the specific timepoints were estimated using Kaplan-meier method. A Kaplan-Meier plot was provided. Subgroup analysis was performed for PFS and DOR, number and percentage of subjects with event, number and percentage of censored subjects, 25% percentile, median, and 75% percentile associated with the 95% CI was provided in each subgroup.</w:t>
            </w:r>
          </w:p>
        </w:tc>
      </w:tr>
    </w:tbl>
    <w:p w14:paraId="0C7B6CDE" w14:textId="4E4F5BC7" w:rsidR="000D3D80" w:rsidRPr="00D25A0A" w:rsidRDefault="0073560C" w:rsidP="00030E18">
      <w:pPr>
        <w:pStyle w:val="TableDescription"/>
        <w:spacing w:after="240"/>
        <w:rPr>
          <w:spacing w:val="-2"/>
        </w:rPr>
      </w:pPr>
      <w:r w:rsidRPr="005752C9">
        <w:rPr>
          <w:lang w:val="en-GB"/>
        </w:rPr>
        <w:t>Note: Response is assessed based on the status of lymph nodes and lesions, per the 2014 International Working Group criteria for non-Hodgkin's lymphoma by investigator and IRC.</w:t>
      </w:r>
    </w:p>
    <w:p w14:paraId="6C71F8B8" w14:textId="4DEBAA56" w:rsidR="0072689D" w:rsidRDefault="0072689D" w:rsidP="00030E18">
      <w:pPr>
        <w:pStyle w:val="Heading6"/>
        <w:spacing w:before="120"/>
      </w:pPr>
      <w:r>
        <w:t>Participant</w:t>
      </w:r>
      <w:r>
        <w:rPr>
          <w:spacing w:val="-12"/>
        </w:rPr>
        <w:t xml:space="preserve"> </w:t>
      </w:r>
      <w:r>
        <w:rPr>
          <w:spacing w:val="-4"/>
        </w:rPr>
        <w:t>flow</w:t>
      </w:r>
    </w:p>
    <w:p w14:paraId="4BF34551" w14:textId="361759A7" w:rsidR="00770B69" w:rsidRPr="00693A0B" w:rsidRDefault="00770B69" w:rsidP="00821DCC">
      <w:pPr>
        <w:pStyle w:val="BodyText"/>
        <w:spacing w:before="121"/>
        <w:ind w:left="23"/>
      </w:pPr>
      <w:r>
        <w:rPr>
          <w:lang w:eastAsia="ja-JP"/>
        </w:rPr>
        <w:t xml:space="preserve">A total of 106 patients </w:t>
      </w:r>
      <w:r w:rsidR="00693A0B">
        <w:t>were</w:t>
      </w:r>
      <w:r w:rsidR="00693A0B">
        <w:rPr>
          <w:spacing w:val="-2"/>
        </w:rPr>
        <w:t xml:space="preserve"> </w:t>
      </w:r>
      <w:r w:rsidR="00693A0B">
        <w:t>enrolled</w:t>
      </w:r>
      <w:r w:rsidR="00B6438E">
        <w:t xml:space="preserve">: </w:t>
      </w:r>
      <w:r w:rsidR="00693A0B">
        <w:t>20</w:t>
      </w:r>
      <w:r w:rsidR="00693A0B">
        <w:rPr>
          <w:spacing w:val="-3"/>
        </w:rPr>
        <w:t xml:space="preserve"> </w:t>
      </w:r>
      <w:r w:rsidR="00693A0B">
        <w:t>patients</w:t>
      </w:r>
      <w:r w:rsidR="00693A0B">
        <w:rPr>
          <w:spacing w:val="-1"/>
        </w:rPr>
        <w:t xml:space="preserve"> </w:t>
      </w:r>
      <w:r w:rsidR="00693A0B">
        <w:t>in</w:t>
      </w:r>
      <w:r w:rsidR="00693A0B">
        <w:rPr>
          <w:spacing w:val="-3"/>
        </w:rPr>
        <w:t xml:space="preserve"> </w:t>
      </w:r>
      <w:r w:rsidR="00693A0B">
        <w:t>100mg</w:t>
      </w:r>
      <w:r w:rsidR="00693A0B">
        <w:rPr>
          <w:spacing w:val="-1"/>
        </w:rPr>
        <w:t xml:space="preserve"> </w:t>
      </w:r>
      <w:r w:rsidR="00821DCC">
        <w:t>twice daily</w:t>
      </w:r>
      <w:r w:rsidR="00F57F3E">
        <w:t xml:space="preserve"> (B</w:t>
      </w:r>
      <w:r w:rsidR="00957AE2">
        <w:t>I</w:t>
      </w:r>
      <w:r w:rsidR="00F57F3E">
        <w:t>D)</w:t>
      </w:r>
      <w:r w:rsidR="00693A0B">
        <w:t>,</w:t>
      </w:r>
      <w:r w:rsidR="00693A0B">
        <w:rPr>
          <w:spacing w:val="-2"/>
        </w:rPr>
        <w:t xml:space="preserve"> </w:t>
      </w:r>
      <w:r w:rsidR="00693A0B">
        <w:t>and</w:t>
      </w:r>
      <w:r w:rsidR="00693A0B">
        <w:rPr>
          <w:spacing w:val="-3"/>
        </w:rPr>
        <w:t xml:space="preserve"> </w:t>
      </w:r>
      <w:r w:rsidR="00693A0B">
        <w:t xml:space="preserve">86 patients in 150mg </w:t>
      </w:r>
      <w:r w:rsidR="00B6438E">
        <w:t>once daily (</w:t>
      </w:r>
      <w:r w:rsidR="00073522">
        <w:t>Q</w:t>
      </w:r>
      <w:r w:rsidR="00B6438E">
        <w:t>D)</w:t>
      </w:r>
      <w:r w:rsidR="00BA6EF0">
        <w:t xml:space="preserve"> (</w:t>
      </w:r>
      <w:r w:rsidR="00EB430C">
        <w:t>figure 3)</w:t>
      </w:r>
      <w:r w:rsidR="00693A0B">
        <w:t>.</w:t>
      </w:r>
    </w:p>
    <w:p w14:paraId="07974550" w14:textId="27DE57F9" w:rsidR="001B3100" w:rsidRPr="00FB142D" w:rsidRDefault="001B3100" w:rsidP="00821DCC">
      <w:pPr>
        <w:pStyle w:val="FigureTitle"/>
        <w:spacing w:before="120"/>
        <w:rPr>
          <w:lang w:eastAsia="ja-JP"/>
        </w:rPr>
      </w:pPr>
      <w:bookmarkStart w:id="51" w:name="_Toc202463741"/>
      <w:bookmarkStart w:id="52" w:name="_Toc211510465"/>
      <w:r w:rsidRPr="00FB142D">
        <w:rPr>
          <w:bCs/>
          <w:lang w:eastAsia="ja-JP"/>
        </w:rPr>
        <w:lastRenderedPageBreak/>
        <w:t xml:space="preserve">Figure </w:t>
      </w:r>
      <w:r w:rsidR="00201B49">
        <w:rPr>
          <w:bCs/>
          <w:lang w:eastAsia="ja-JP"/>
        </w:rPr>
        <w:t>3</w:t>
      </w:r>
      <w:r w:rsidR="00152DFB">
        <w:rPr>
          <w:bCs/>
          <w:lang w:eastAsia="ja-JP"/>
        </w:rPr>
        <w:t xml:space="preserve">: </w:t>
      </w:r>
      <w:r w:rsidR="005A1393">
        <w:rPr>
          <w:lang w:eastAsia="ja-JP"/>
        </w:rPr>
        <w:t>Participant flow</w:t>
      </w:r>
      <w:r w:rsidRPr="00FB142D">
        <w:rPr>
          <w:lang w:eastAsia="ja-JP"/>
        </w:rPr>
        <w:t xml:space="preserve"> in ICP-CL-00102</w:t>
      </w:r>
      <w:bookmarkEnd w:id="51"/>
      <w:bookmarkEnd w:id="52"/>
    </w:p>
    <w:p w14:paraId="5837997D" w14:textId="3DD4E95E" w:rsidR="00254C70" w:rsidRDefault="00CB72C3" w:rsidP="007062BB">
      <w:pPr>
        <w:rPr>
          <w:lang w:eastAsia="ja-JP"/>
        </w:rPr>
      </w:pPr>
      <w:r w:rsidRPr="00CB72C3">
        <w:rPr>
          <w:noProof/>
          <w:lang w:eastAsia="ja-JP"/>
        </w:rPr>
        <w:drawing>
          <wp:inline distT="0" distB="0" distL="0" distR="0" wp14:anchorId="7A0CC6A0" wp14:editId="3EC3EFA1">
            <wp:extent cx="4783106" cy="5162550"/>
            <wp:effectExtent l="0" t="0" r="0" b="0"/>
            <wp:docPr id="2025745479" name="Picture 1" descr="Figure 3: Participant flow in ICP-CL-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745479" name="Picture 1" descr="Figure 3: Participant flow in ICP-CL-00102."/>
                    <pic:cNvPicPr/>
                  </pic:nvPicPr>
                  <pic:blipFill>
                    <a:blip r:embed="rId27"/>
                    <a:stretch>
                      <a:fillRect/>
                    </a:stretch>
                  </pic:blipFill>
                  <pic:spPr>
                    <a:xfrm>
                      <a:off x="0" y="0"/>
                      <a:ext cx="4877279" cy="5264193"/>
                    </a:xfrm>
                    <a:prstGeom prst="rect">
                      <a:avLst/>
                    </a:prstGeom>
                  </pic:spPr>
                </pic:pic>
              </a:graphicData>
            </a:graphic>
          </wp:inline>
        </w:drawing>
      </w:r>
    </w:p>
    <w:p w14:paraId="5A6FAAC2" w14:textId="77777777" w:rsidR="00FE48A7" w:rsidRPr="00FB142D" w:rsidRDefault="00FE48A7" w:rsidP="00FE48A7">
      <w:pPr>
        <w:pStyle w:val="FigureDescription"/>
        <w:rPr>
          <w:lang w:eastAsia="ja-JP"/>
        </w:rPr>
      </w:pPr>
      <w:r w:rsidRPr="00FB142D">
        <w:rPr>
          <w:lang w:eastAsia="ja-JP"/>
        </w:rPr>
        <w:t>Note: 25.5% (27/106) remain on treatment through compassionate access although the study is closed.</w:t>
      </w:r>
    </w:p>
    <w:p w14:paraId="6368F467" w14:textId="16B3F90F" w:rsidR="0072689D" w:rsidRDefault="0072689D" w:rsidP="0072689D">
      <w:pPr>
        <w:pStyle w:val="Heading6"/>
      </w:pPr>
      <w:r>
        <w:t>Protoco</w:t>
      </w:r>
      <w:r w:rsidR="00B75486">
        <w:t>l</w:t>
      </w:r>
      <w:r>
        <w:rPr>
          <w:spacing w:val="-4"/>
        </w:rPr>
        <w:t xml:space="preserve"> </w:t>
      </w:r>
      <w:r>
        <w:rPr>
          <w:spacing w:val="-2"/>
        </w:rPr>
        <w:t>deviations</w:t>
      </w:r>
    </w:p>
    <w:p w14:paraId="253E7368" w14:textId="77777777" w:rsidR="001A607D" w:rsidRDefault="001A607D" w:rsidP="00921F23">
      <w:pPr>
        <w:pStyle w:val="ListBullet"/>
        <w:numPr>
          <w:ilvl w:val="0"/>
          <w:numId w:val="0"/>
        </w:numPr>
        <w:spacing w:before="121"/>
      </w:pPr>
      <w:r>
        <w:t>It is notable that 5 patients (of 86) received concurrent or within wash out alternative anti-cancer</w:t>
      </w:r>
      <w:r w:rsidRPr="001A607D">
        <w:rPr>
          <w:spacing w:val="-2"/>
        </w:rPr>
        <w:t xml:space="preserve"> </w:t>
      </w:r>
      <w:r>
        <w:t>therapy.</w:t>
      </w:r>
      <w:r w:rsidRPr="001A607D">
        <w:rPr>
          <w:spacing w:val="40"/>
        </w:rPr>
        <w:t xml:space="preserve"> </w:t>
      </w:r>
      <w:r>
        <w:t>Otherwise,</w:t>
      </w:r>
      <w:r w:rsidRPr="001A607D">
        <w:rPr>
          <w:spacing w:val="-2"/>
        </w:rPr>
        <w:t xml:space="preserve"> </w:t>
      </w:r>
      <w:r>
        <w:t>the</w:t>
      </w:r>
      <w:r w:rsidRPr="001A607D">
        <w:rPr>
          <w:spacing w:val="-5"/>
        </w:rPr>
        <w:t xml:space="preserve"> </w:t>
      </w:r>
      <w:r>
        <w:t>majority</w:t>
      </w:r>
      <w:r w:rsidRPr="001A607D">
        <w:rPr>
          <w:spacing w:val="-3"/>
        </w:rPr>
        <w:t xml:space="preserve"> </w:t>
      </w:r>
      <w:r>
        <w:t>of</w:t>
      </w:r>
      <w:r w:rsidRPr="001A607D">
        <w:rPr>
          <w:spacing w:val="-2"/>
        </w:rPr>
        <w:t xml:space="preserve"> </w:t>
      </w:r>
      <w:r>
        <w:t>deviations</w:t>
      </w:r>
      <w:r w:rsidRPr="001A607D">
        <w:rPr>
          <w:spacing w:val="-1"/>
        </w:rPr>
        <w:t xml:space="preserve"> </w:t>
      </w:r>
      <w:r>
        <w:t>were</w:t>
      </w:r>
      <w:r w:rsidRPr="001A607D">
        <w:rPr>
          <w:spacing w:val="-2"/>
        </w:rPr>
        <w:t xml:space="preserve"> </w:t>
      </w:r>
      <w:r>
        <w:t>not</w:t>
      </w:r>
      <w:r w:rsidRPr="001A607D">
        <w:rPr>
          <w:spacing w:val="-2"/>
        </w:rPr>
        <w:t xml:space="preserve"> </w:t>
      </w:r>
      <w:r>
        <w:t>considered</w:t>
      </w:r>
      <w:r w:rsidRPr="001A607D">
        <w:rPr>
          <w:spacing w:val="-3"/>
        </w:rPr>
        <w:t xml:space="preserve"> </w:t>
      </w:r>
      <w:r>
        <w:t>to</w:t>
      </w:r>
      <w:r w:rsidRPr="001A607D">
        <w:rPr>
          <w:spacing w:val="-5"/>
        </w:rPr>
        <w:t xml:space="preserve"> </w:t>
      </w:r>
      <w:r>
        <w:t>impact</w:t>
      </w:r>
      <w:r w:rsidRPr="001A607D">
        <w:rPr>
          <w:spacing w:val="-3"/>
        </w:rPr>
        <w:t xml:space="preserve"> </w:t>
      </w:r>
      <w:r>
        <w:t>on</w:t>
      </w:r>
      <w:r w:rsidRPr="001A607D">
        <w:rPr>
          <w:spacing w:val="-3"/>
        </w:rPr>
        <w:t xml:space="preserve"> </w:t>
      </w:r>
      <w:r>
        <w:t>efficacy or safety analysis.</w:t>
      </w:r>
    </w:p>
    <w:p w14:paraId="1A2D3BDA" w14:textId="77777777" w:rsidR="0072689D" w:rsidRDefault="0072689D" w:rsidP="0072689D">
      <w:pPr>
        <w:pStyle w:val="Heading6"/>
      </w:pPr>
      <w:r>
        <w:t>Baseline</w:t>
      </w:r>
      <w:r>
        <w:rPr>
          <w:spacing w:val="-7"/>
        </w:rPr>
        <w:t xml:space="preserve"> </w:t>
      </w:r>
      <w:r>
        <w:rPr>
          <w:spacing w:val="-2"/>
        </w:rPr>
        <w:t>characteristics</w:t>
      </w:r>
    </w:p>
    <w:p w14:paraId="545DCC2C" w14:textId="77777777" w:rsidR="0072689D" w:rsidRDefault="0072689D" w:rsidP="00C56A14">
      <w:r>
        <w:t>Median</w:t>
      </w:r>
      <w:r>
        <w:rPr>
          <w:spacing w:val="-4"/>
        </w:rPr>
        <w:t xml:space="preserve"> </w:t>
      </w:r>
      <w:r>
        <w:t>follow-up</w:t>
      </w:r>
      <w:r>
        <w:rPr>
          <w:spacing w:val="-3"/>
        </w:rPr>
        <w:t xml:space="preserve"> </w:t>
      </w:r>
      <w:r>
        <w:t>was</w:t>
      </w:r>
      <w:r>
        <w:rPr>
          <w:spacing w:val="-2"/>
        </w:rPr>
        <w:t xml:space="preserve"> </w:t>
      </w:r>
      <w:r>
        <w:t>47.1</w:t>
      </w:r>
      <w:r>
        <w:rPr>
          <w:spacing w:val="-3"/>
        </w:rPr>
        <w:t xml:space="preserve"> </w:t>
      </w:r>
      <w:r>
        <w:t>months.</w:t>
      </w:r>
      <w:r>
        <w:rPr>
          <w:spacing w:val="-2"/>
        </w:rPr>
        <w:t xml:space="preserve"> </w:t>
      </w:r>
      <w:r>
        <w:t>25.5%</w:t>
      </w:r>
      <w:r>
        <w:rPr>
          <w:spacing w:val="-3"/>
        </w:rPr>
        <w:t xml:space="preserve"> </w:t>
      </w:r>
      <w:r>
        <w:t>(27/106)</w:t>
      </w:r>
      <w:r>
        <w:rPr>
          <w:spacing w:val="-4"/>
        </w:rPr>
        <w:t xml:space="preserve"> </w:t>
      </w:r>
      <w:r>
        <w:t>patients</w:t>
      </w:r>
      <w:r>
        <w:rPr>
          <w:spacing w:val="-2"/>
        </w:rPr>
        <w:t xml:space="preserve"> </w:t>
      </w:r>
      <w:r>
        <w:t>remain</w:t>
      </w:r>
      <w:r>
        <w:rPr>
          <w:spacing w:val="-4"/>
        </w:rPr>
        <w:t xml:space="preserve"> </w:t>
      </w:r>
      <w:r>
        <w:t>on</w:t>
      </w:r>
      <w:r>
        <w:rPr>
          <w:spacing w:val="-4"/>
        </w:rPr>
        <w:t xml:space="preserve"> </w:t>
      </w:r>
      <w:r>
        <w:t>treatment</w:t>
      </w:r>
      <w:r>
        <w:rPr>
          <w:spacing w:val="-4"/>
        </w:rPr>
        <w:t xml:space="preserve"> </w:t>
      </w:r>
      <w:r>
        <w:t>through compassionate access although the study is closed.</w:t>
      </w:r>
    </w:p>
    <w:p w14:paraId="2D6E93BF" w14:textId="04E33864" w:rsidR="0072689D" w:rsidRDefault="0072689D" w:rsidP="00C56A14">
      <w:pPr>
        <w:pStyle w:val="ListBullet"/>
      </w:pPr>
      <w:r>
        <w:t>79%</w:t>
      </w:r>
      <w:r>
        <w:rPr>
          <w:spacing w:val="-2"/>
        </w:rPr>
        <w:t xml:space="preserve"> </w:t>
      </w:r>
      <w:r w:rsidR="00AC17CD">
        <w:rPr>
          <w:spacing w:val="-2"/>
        </w:rPr>
        <w:t>were male</w:t>
      </w:r>
      <w:r w:rsidR="002C172D">
        <w:rPr>
          <w:spacing w:val="-2"/>
        </w:rPr>
        <w:t xml:space="preserve"> (</w:t>
      </w:r>
      <w:r>
        <w:t>any</w:t>
      </w:r>
      <w:r>
        <w:rPr>
          <w:spacing w:val="-2"/>
        </w:rPr>
        <w:t xml:space="preserve"> </w:t>
      </w:r>
      <w:r>
        <w:rPr>
          <w:spacing w:val="-4"/>
        </w:rPr>
        <w:t>dose</w:t>
      </w:r>
      <w:r w:rsidR="002C172D">
        <w:rPr>
          <w:spacing w:val="-4"/>
        </w:rPr>
        <w:t>)</w:t>
      </w:r>
    </w:p>
    <w:p w14:paraId="0626BF1C" w14:textId="6907270F" w:rsidR="0072689D" w:rsidRDefault="00AC17CD" w:rsidP="00C56A14">
      <w:pPr>
        <w:pStyle w:val="ListBullet"/>
      </w:pPr>
      <w:r>
        <w:t>Me</w:t>
      </w:r>
      <w:r w:rsidR="002C172D">
        <w:t>dian age was</w:t>
      </w:r>
      <w:r w:rsidR="0072689D">
        <w:rPr>
          <w:spacing w:val="-4"/>
        </w:rPr>
        <w:t xml:space="preserve"> </w:t>
      </w:r>
      <w:r w:rsidR="0072689D">
        <w:t>62</w:t>
      </w:r>
      <w:r w:rsidR="0072689D">
        <w:rPr>
          <w:spacing w:val="-4"/>
        </w:rPr>
        <w:t xml:space="preserve"> </w:t>
      </w:r>
      <w:r w:rsidR="0072689D">
        <w:t>years</w:t>
      </w:r>
      <w:r w:rsidR="0072689D">
        <w:rPr>
          <w:spacing w:val="-1"/>
        </w:rPr>
        <w:t xml:space="preserve"> </w:t>
      </w:r>
      <w:r w:rsidR="0072689D">
        <w:t>(range:</w:t>
      </w:r>
      <w:r w:rsidR="0072689D">
        <w:rPr>
          <w:spacing w:val="-3"/>
        </w:rPr>
        <w:t xml:space="preserve"> </w:t>
      </w:r>
      <w:r w:rsidR="0072689D">
        <w:t>56,</w:t>
      </w:r>
      <w:r w:rsidR="0072689D">
        <w:rPr>
          <w:spacing w:val="-3"/>
        </w:rPr>
        <w:t xml:space="preserve"> </w:t>
      </w:r>
      <w:r w:rsidR="0072689D">
        <w:t>65)</w:t>
      </w:r>
      <w:r w:rsidR="002C172D">
        <w:t xml:space="preserve"> (</w:t>
      </w:r>
      <w:r w:rsidR="0072689D">
        <w:t>any</w:t>
      </w:r>
      <w:r w:rsidR="0072689D">
        <w:rPr>
          <w:spacing w:val="-3"/>
        </w:rPr>
        <w:t xml:space="preserve"> </w:t>
      </w:r>
      <w:r w:rsidR="0072689D">
        <w:rPr>
          <w:spacing w:val="-4"/>
        </w:rPr>
        <w:t>dose</w:t>
      </w:r>
      <w:r w:rsidR="00A6187A">
        <w:rPr>
          <w:spacing w:val="-4"/>
        </w:rPr>
        <w:t>)</w:t>
      </w:r>
    </w:p>
    <w:p w14:paraId="177E5BE8" w14:textId="15ED4D69" w:rsidR="0072689D" w:rsidRDefault="0072689D" w:rsidP="00C56A14">
      <w:pPr>
        <w:pStyle w:val="ListBullet"/>
      </w:pPr>
      <w:r>
        <w:t>100%</w:t>
      </w:r>
      <w:r>
        <w:rPr>
          <w:spacing w:val="-3"/>
        </w:rPr>
        <w:t xml:space="preserve"> </w:t>
      </w:r>
      <w:r w:rsidR="00A6187A">
        <w:rPr>
          <w:spacing w:val="-3"/>
        </w:rPr>
        <w:t xml:space="preserve">were Asian </w:t>
      </w:r>
      <w:r>
        <w:t>(any</w:t>
      </w:r>
      <w:r>
        <w:rPr>
          <w:spacing w:val="-3"/>
        </w:rPr>
        <w:t xml:space="preserve"> </w:t>
      </w:r>
      <w:r>
        <w:rPr>
          <w:spacing w:val="-4"/>
        </w:rPr>
        <w:t>dose)</w:t>
      </w:r>
    </w:p>
    <w:p w14:paraId="4EEA7953" w14:textId="77777777" w:rsidR="00121CF6" w:rsidRDefault="0072689D" w:rsidP="00C56A14">
      <w:pPr>
        <w:pStyle w:val="ListBullet"/>
      </w:pPr>
      <w:r>
        <w:t>ECOG</w:t>
      </w:r>
      <w:r>
        <w:rPr>
          <w:spacing w:val="-4"/>
        </w:rPr>
        <w:t xml:space="preserve"> </w:t>
      </w:r>
      <w:r>
        <w:t>0:</w:t>
      </w:r>
      <w:r>
        <w:rPr>
          <w:spacing w:val="-4"/>
        </w:rPr>
        <w:t xml:space="preserve"> </w:t>
      </w:r>
      <w:r>
        <w:t>49%</w:t>
      </w:r>
      <w:r>
        <w:rPr>
          <w:spacing w:val="-3"/>
        </w:rPr>
        <w:t xml:space="preserve"> </w:t>
      </w:r>
      <w:r>
        <w:t>(150mg</w:t>
      </w:r>
      <w:r>
        <w:rPr>
          <w:spacing w:val="-2"/>
        </w:rPr>
        <w:t xml:space="preserve"> </w:t>
      </w:r>
      <w:r>
        <w:t>daily,</w:t>
      </w:r>
      <w:r>
        <w:rPr>
          <w:spacing w:val="-3"/>
        </w:rPr>
        <w:t xml:space="preserve"> </w:t>
      </w:r>
      <w:r>
        <w:t>n=86)</w:t>
      </w:r>
    </w:p>
    <w:p w14:paraId="659898BD" w14:textId="6698B6D4" w:rsidR="0072689D" w:rsidRDefault="00121CF6" w:rsidP="00C56A14">
      <w:pPr>
        <w:pStyle w:val="ListBullet"/>
      </w:pPr>
      <w:r>
        <w:t>ECOG 0:</w:t>
      </w:r>
      <w:r w:rsidR="0072689D">
        <w:rPr>
          <w:spacing w:val="-3"/>
        </w:rPr>
        <w:t xml:space="preserve"> </w:t>
      </w:r>
      <w:r w:rsidR="0072689D">
        <w:t>48%</w:t>
      </w:r>
      <w:r w:rsidR="0072689D">
        <w:rPr>
          <w:spacing w:val="-2"/>
        </w:rPr>
        <w:t xml:space="preserve"> </w:t>
      </w:r>
      <w:r w:rsidR="0072689D">
        <w:t>(any</w:t>
      </w:r>
      <w:r w:rsidR="0072689D">
        <w:rPr>
          <w:spacing w:val="-5"/>
        </w:rPr>
        <w:t xml:space="preserve"> </w:t>
      </w:r>
      <w:r w:rsidR="0072689D">
        <w:t>dose,</w:t>
      </w:r>
      <w:r w:rsidR="0072689D">
        <w:rPr>
          <w:spacing w:val="-5"/>
        </w:rPr>
        <w:t xml:space="preserve"> </w:t>
      </w:r>
      <w:r w:rsidR="0072689D">
        <w:rPr>
          <w:spacing w:val="-2"/>
        </w:rPr>
        <w:t>n=106)</w:t>
      </w:r>
    </w:p>
    <w:p w14:paraId="2A28731D" w14:textId="2ED8C138" w:rsidR="0072689D" w:rsidRDefault="0072689D" w:rsidP="00C56A14">
      <w:r>
        <w:lastRenderedPageBreak/>
        <w:t>Most</w:t>
      </w:r>
      <w:r>
        <w:rPr>
          <w:spacing w:val="-3"/>
        </w:rPr>
        <w:t xml:space="preserve"> </w:t>
      </w:r>
      <w:r>
        <w:t>patients</w:t>
      </w:r>
      <w:r>
        <w:rPr>
          <w:spacing w:val="-4"/>
        </w:rPr>
        <w:t xml:space="preserve"> </w:t>
      </w:r>
      <w:r>
        <w:t>had</w:t>
      </w:r>
      <w:r>
        <w:rPr>
          <w:spacing w:val="-3"/>
        </w:rPr>
        <w:t xml:space="preserve"> </w:t>
      </w:r>
      <w:r>
        <w:t>stage</w:t>
      </w:r>
      <w:r>
        <w:rPr>
          <w:spacing w:val="-2"/>
        </w:rPr>
        <w:t xml:space="preserve"> </w:t>
      </w:r>
      <w:r>
        <w:t>IV</w:t>
      </w:r>
      <w:r>
        <w:rPr>
          <w:spacing w:val="-1"/>
        </w:rPr>
        <w:t xml:space="preserve"> </w:t>
      </w:r>
      <w:r>
        <w:t>disease</w:t>
      </w:r>
      <w:r>
        <w:rPr>
          <w:spacing w:val="-2"/>
        </w:rPr>
        <w:t xml:space="preserve"> </w:t>
      </w:r>
      <w:r>
        <w:t>with</w:t>
      </w:r>
      <w:r>
        <w:rPr>
          <w:spacing w:val="-2"/>
        </w:rPr>
        <w:t xml:space="preserve"> </w:t>
      </w:r>
      <w:r>
        <w:t>largest</w:t>
      </w:r>
      <w:r>
        <w:rPr>
          <w:spacing w:val="-3"/>
        </w:rPr>
        <w:t xml:space="preserve"> </w:t>
      </w:r>
      <w:r>
        <w:t>lesion</w:t>
      </w:r>
      <w:r>
        <w:rPr>
          <w:spacing w:val="-3"/>
        </w:rPr>
        <w:t xml:space="preserve"> </w:t>
      </w:r>
      <w:r>
        <w:t>&lt;5cm,</w:t>
      </w:r>
      <w:r>
        <w:rPr>
          <w:spacing w:val="-2"/>
        </w:rPr>
        <w:t xml:space="preserve"> </w:t>
      </w:r>
      <w:r>
        <w:t>LDH</w:t>
      </w:r>
      <w:r>
        <w:rPr>
          <w:spacing w:val="-3"/>
        </w:rPr>
        <w:t xml:space="preserve"> </w:t>
      </w:r>
      <w:r>
        <w:t>&lt;ULN,</w:t>
      </w:r>
      <w:r>
        <w:rPr>
          <w:spacing w:val="-2"/>
        </w:rPr>
        <w:t xml:space="preserve"> </w:t>
      </w:r>
      <w:r>
        <w:t>did</w:t>
      </w:r>
      <w:r>
        <w:rPr>
          <w:spacing w:val="-5"/>
        </w:rPr>
        <w:t xml:space="preserve"> </w:t>
      </w:r>
      <w:r>
        <w:t>not</w:t>
      </w:r>
      <w:r>
        <w:rPr>
          <w:spacing w:val="-2"/>
        </w:rPr>
        <w:t xml:space="preserve"> </w:t>
      </w:r>
      <w:r>
        <w:t>have</w:t>
      </w:r>
      <w:r>
        <w:rPr>
          <w:spacing w:val="-3"/>
        </w:rPr>
        <w:t xml:space="preserve"> </w:t>
      </w:r>
      <w:r>
        <w:t xml:space="preserve">cytopenia, hepatomegaly or splenomegaly, had a Ki67 &gt;/= 30% and a low </w:t>
      </w:r>
      <w:r w:rsidR="001B2F2E" w:rsidRPr="001B2F2E">
        <w:t>simplified Mantle Cell Lymphoma International Prognostic Index</w:t>
      </w:r>
      <w:r w:rsidR="001B2F2E">
        <w:t xml:space="preserve"> (</w:t>
      </w:r>
      <w:r>
        <w:t>sMIPI</w:t>
      </w:r>
      <w:r w:rsidR="001B2F2E">
        <w:t>)</w:t>
      </w:r>
      <w:r>
        <w:t xml:space="preserve"> score.</w:t>
      </w:r>
    </w:p>
    <w:p w14:paraId="192CF3BD" w14:textId="77777777" w:rsidR="00C36F28" w:rsidRDefault="0072689D" w:rsidP="00632D8D">
      <w:r>
        <w:t>Bone</w:t>
      </w:r>
      <w:r>
        <w:rPr>
          <w:spacing w:val="-2"/>
        </w:rPr>
        <w:t xml:space="preserve"> </w:t>
      </w:r>
      <w:r>
        <w:t>marrow</w:t>
      </w:r>
      <w:r>
        <w:rPr>
          <w:spacing w:val="-3"/>
        </w:rPr>
        <w:t xml:space="preserve"> </w:t>
      </w:r>
      <w:r>
        <w:t>involvement</w:t>
      </w:r>
      <w:r>
        <w:rPr>
          <w:spacing w:val="-3"/>
        </w:rPr>
        <w:t xml:space="preserve"> </w:t>
      </w:r>
      <w:r>
        <w:t>was</w:t>
      </w:r>
      <w:r>
        <w:rPr>
          <w:spacing w:val="-2"/>
        </w:rPr>
        <w:t xml:space="preserve"> </w:t>
      </w:r>
      <w:r>
        <w:t>seen</w:t>
      </w:r>
      <w:r>
        <w:rPr>
          <w:spacing w:val="-3"/>
        </w:rPr>
        <w:t xml:space="preserve"> </w:t>
      </w:r>
      <w:r>
        <w:t>in</w:t>
      </w:r>
      <w:r>
        <w:rPr>
          <w:spacing w:val="-3"/>
        </w:rPr>
        <w:t xml:space="preserve"> </w:t>
      </w:r>
      <w:r>
        <w:t>41.9%</w:t>
      </w:r>
      <w:r>
        <w:rPr>
          <w:spacing w:val="-2"/>
        </w:rPr>
        <w:t xml:space="preserve"> </w:t>
      </w:r>
      <w:r>
        <w:t>(36/86)</w:t>
      </w:r>
      <w:r>
        <w:rPr>
          <w:spacing w:val="-3"/>
        </w:rPr>
        <w:t xml:space="preserve"> </w:t>
      </w:r>
      <w:r>
        <w:t>in</w:t>
      </w:r>
      <w:r>
        <w:rPr>
          <w:spacing w:val="-3"/>
        </w:rPr>
        <w:t xml:space="preserve"> </w:t>
      </w:r>
      <w:r>
        <w:t>the</w:t>
      </w:r>
      <w:r>
        <w:rPr>
          <w:spacing w:val="-2"/>
        </w:rPr>
        <w:t xml:space="preserve"> </w:t>
      </w:r>
      <w:r>
        <w:t>150mg</w:t>
      </w:r>
      <w:r>
        <w:rPr>
          <w:spacing w:val="-1"/>
        </w:rPr>
        <w:t xml:space="preserve"> </w:t>
      </w:r>
      <w:r>
        <w:t>OD</w:t>
      </w:r>
      <w:r>
        <w:rPr>
          <w:spacing w:val="-2"/>
        </w:rPr>
        <w:t xml:space="preserve"> </w:t>
      </w:r>
      <w:r>
        <w:t>and</w:t>
      </w:r>
      <w:r>
        <w:rPr>
          <w:spacing w:val="-5"/>
        </w:rPr>
        <w:t xml:space="preserve"> </w:t>
      </w:r>
      <w:r>
        <w:t>40.6%</w:t>
      </w:r>
      <w:r>
        <w:rPr>
          <w:spacing w:val="-2"/>
        </w:rPr>
        <w:t xml:space="preserve"> </w:t>
      </w:r>
      <w:r>
        <w:t>(43/106)</w:t>
      </w:r>
      <w:r>
        <w:rPr>
          <w:spacing w:val="-6"/>
        </w:rPr>
        <w:t xml:space="preserve"> </w:t>
      </w:r>
      <w:r>
        <w:t>in the any dose groups.</w:t>
      </w:r>
    </w:p>
    <w:p w14:paraId="6CD4DAF3" w14:textId="0C1ECF35" w:rsidR="0072689D" w:rsidRPr="00C36F28" w:rsidRDefault="00C36F28" w:rsidP="00632D8D">
      <w:pPr>
        <w:rPr>
          <w:spacing w:val="80"/>
        </w:rPr>
      </w:pPr>
      <w:r>
        <w:t>N</w:t>
      </w:r>
      <w:r w:rsidR="0072689D">
        <w:t>early all patients were not experiencing B symptoms at baseline.</w:t>
      </w:r>
    </w:p>
    <w:p w14:paraId="09A064AB" w14:textId="5A837EEE" w:rsidR="003F2D0D" w:rsidRDefault="00A84F10" w:rsidP="003F2D0D">
      <w:r>
        <w:t>A summary of p</w:t>
      </w:r>
      <w:r w:rsidR="0072689D">
        <w:t>rior</w:t>
      </w:r>
      <w:r w:rsidR="0072689D">
        <w:rPr>
          <w:spacing w:val="-5"/>
        </w:rPr>
        <w:t xml:space="preserve"> </w:t>
      </w:r>
      <w:r w:rsidR="0072689D">
        <w:t>anti-tumour</w:t>
      </w:r>
      <w:r w:rsidR="0072689D">
        <w:rPr>
          <w:spacing w:val="-5"/>
        </w:rPr>
        <w:t xml:space="preserve"> </w:t>
      </w:r>
      <w:r w:rsidR="0072689D">
        <w:rPr>
          <w:spacing w:val="-2"/>
        </w:rPr>
        <w:t>therapy</w:t>
      </w:r>
      <w:r w:rsidR="00632FA4">
        <w:rPr>
          <w:spacing w:val="-2"/>
        </w:rPr>
        <w:t xml:space="preserve"> is provided </w:t>
      </w:r>
      <w:r w:rsidR="00C95ED9">
        <w:rPr>
          <w:spacing w:val="-2"/>
        </w:rPr>
        <w:t xml:space="preserve">in </w:t>
      </w:r>
      <w:r w:rsidR="00734BC0">
        <w:rPr>
          <w:spacing w:val="-2"/>
        </w:rPr>
        <w:t>t</w:t>
      </w:r>
      <w:r w:rsidR="00C95ED9">
        <w:rPr>
          <w:spacing w:val="-2"/>
        </w:rPr>
        <w:t xml:space="preserve">able </w:t>
      </w:r>
      <w:r w:rsidR="00260DA6">
        <w:rPr>
          <w:spacing w:val="-2"/>
        </w:rPr>
        <w:t>4</w:t>
      </w:r>
      <w:r w:rsidR="00C95ED9">
        <w:rPr>
          <w:spacing w:val="-2"/>
        </w:rPr>
        <w:t>.</w:t>
      </w:r>
      <w:r w:rsidR="00092C6F">
        <w:rPr>
          <w:spacing w:val="-2"/>
        </w:rPr>
        <w:t xml:space="preserve"> </w:t>
      </w:r>
      <w:r w:rsidR="007A5E03">
        <w:rPr>
          <w:spacing w:val="-2"/>
        </w:rPr>
        <w:t xml:space="preserve"> </w:t>
      </w:r>
      <w:r w:rsidR="003F2D0D">
        <w:t xml:space="preserve">Most patients had not had a prior </w:t>
      </w:r>
      <w:r w:rsidR="003F2D0D" w:rsidRPr="00AF3F30">
        <w:rPr>
          <w:rFonts w:eastAsia="Cambria" w:cs="Times New Roman"/>
          <w:color w:val="000000" w:themeColor="text1"/>
        </w:rPr>
        <w:t>Hematopoietic Stem Cell Transplantation</w:t>
      </w:r>
      <w:r w:rsidR="003F2D0D">
        <w:t xml:space="preserve"> (HSCT), had received 1-2 lines of previous therapy and experienced</w:t>
      </w:r>
      <w:r w:rsidR="003F2D0D">
        <w:rPr>
          <w:spacing w:val="-2"/>
        </w:rPr>
        <w:t xml:space="preserve"> </w:t>
      </w:r>
      <w:r w:rsidR="003F2D0D">
        <w:t>CR</w:t>
      </w:r>
      <w:r w:rsidR="003F2D0D">
        <w:rPr>
          <w:spacing w:val="-3"/>
        </w:rPr>
        <w:t xml:space="preserve"> </w:t>
      </w:r>
      <w:r w:rsidR="003F2D0D">
        <w:t>or</w:t>
      </w:r>
      <w:r w:rsidR="003F2D0D">
        <w:rPr>
          <w:spacing w:val="-3"/>
        </w:rPr>
        <w:t xml:space="preserve"> </w:t>
      </w:r>
      <w:r w:rsidR="003F2D0D">
        <w:t>PR</w:t>
      </w:r>
      <w:r w:rsidR="003F2D0D">
        <w:rPr>
          <w:spacing w:val="-3"/>
        </w:rPr>
        <w:t xml:space="preserve"> </w:t>
      </w:r>
      <w:r w:rsidR="003F2D0D">
        <w:t>as</w:t>
      </w:r>
      <w:r w:rsidR="003F2D0D">
        <w:rPr>
          <w:spacing w:val="-2"/>
        </w:rPr>
        <w:t xml:space="preserve"> </w:t>
      </w:r>
      <w:r w:rsidR="003F2D0D">
        <w:t>best</w:t>
      </w:r>
      <w:r w:rsidR="003F2D0D">
        <w:rPr>
          <w:spacing w:val="-3"/>
        </w:rPr>
        <w:t xml:space="preserve"> </w:t>
      </w:r>
      <w:r w:rsidR="003F2D0D">
        <w:t>response</w:t>
      </w:r>
      <w:r w:rsidR="003F2D0D">
        <w:rPr>
          <w:spacing w:val="-2"/>
        </w:rPr>
        <w:t xml:space="preserve"> </w:t>
      </w:r>
      <w:r w:rsidR="003F2D0D">
        <w:t>with</w:t>
      </w:r>
      <w:r w:rsidR="003F2D0D">
        <w:rPr>
          <w:spacing w:val="-2"/>
        </w:rPr>
        <w:t xml:space="preserve"> </w:t>
      </w:r>
      <w:r w:rsidR="003F2D0D">
        <w:t>previous</w:t>
      </w:r>
      <w:r w:rsidR="003F2D0D">
        <w:rPr>
          <w:spacing w:val="-1"/>
        </w:rPr>
        <w:t xml:space="preserve"> </w:t>
      </w:r>
      <w:r w:rsidR="003F2D0D">
        <w:t>therapy.</w:t>
      </w:r>
      <w:r w:rsidR="003F2D0D">
        <w:rPr>
          <w:spacing w:val="40"/>
        </w:rPr>
        <w:t xml:space="preserve"> </w:t>
      </w:r>
      <w:r w:rsidR="003F2D0D">
        <w:t>As</w:t>
      </w:r>
      <w:r w:rsidR="003F2D0D">
        <w:rPr>
          <w:spacing w:val="-1"/>
        </w:rPr>
        <w:t xml:space="preserve"> </w:t>
      </w:r>
      <w:r w:rsidR="003F2D0D">
        <w:t>expected,</w:t>
      </w:r>
      <w:r w:rsidR="003F2D0D">
        <w:rPr>
          <w:spacing w:val="-2"/>
        </w:rPr>
        <w:t xml:space="preserve"> </w:t>
      </w:r>
      <w:r w:rsidR="003F2D0D">
        <w:t>nearly</w:t>
      </w:r>
      <w:r w:rsidR="003F2D0D">
        <w:rPr>
          <w:spacing w:val="-3"/>
        </w:rPr>
        <w:t xml:space="preserve"> </w:t>
      </w:r>
      <w:r w:rsidR="003F2D0D">
        <w:t>all</w:t>
      </w:r>
      <w:r w:rsidR="003F2D0D">
        <w:rPr>
          <w:spacing w:val="-2"/>
        </w:rPr>
        <w:t xml:space="preserve"> </w:t>
      </w:r>
      <w:r w:rsidR="003F2D0D">
        <w:t>patients had received previous rituximab. Most had received a previous high intensity chemotherapy regimen</w:t>
      </w:r>
      <w:r w:rsidR="003F2D0D">
        <w:rPr>
          <w:spacing w:val="-4"/>
        </w:rPr>
        <w:t xml:space="preserve"> </w:t>
      </w:r>
      <w:r w:rsidR="003F2D0D">
        <w:t>and</w:t>
      </w:r>
      <w:r w:rsidR="003F2D0D">
        <w:rPr>
          <w:spacing w:val="-4"/>
        </w:rPr>
        <w:t xml:space="preserve"> </w:t>
      </w:r>
      <w:r w:rsidR="003F2D0D">
        <w:t>an</w:t>
      </w:r>
      <w:r w:rsidR="003F2D0D">
        <w:rPr>
          <w:spacing w:val="-4"/>
        </w:rPr>
        <w:t xml:space="preserve"> </w:t>
      </w:r>
      <w:r w:rsidR="003F2D0D">
        <w:t>R-CHOP</w:t>
      </w:r>
      <w:r w:rsidR="003F2D0D">
        <w:rPr>
          <w:spacing w:val="-4"/>
        </w:rPr>
        <w:t xml:space="preserve"> </w:t>
      </w:r>
      <w:r w:rsidR="003F2D0D">
        <w:t>type</w:t>
      </w:r>
      <w:r w:rsidR="003F2D0D">
        <w:rPr>
          <w:spacing w:val="-4"/>
        </w:rPr>
        <w:t xml:space="preserve"> </w:t>
      </w:r>
      <w:r w:rsidR="003F2D0D">
        <w:t>regimen.</w:t>
      </w:r>
      <w:r w:rsidR="003F2D0D">
        <w:rPr>
          <w:spacing w:val="-4"/>
        </w:rPr>
        <w:t xml:space="preserve"> </w:t>
      </w:r>
      <w:r w:rsidR="003F2D0D">
        <w:t>No</w:t>
      </w:r>
      <w:r w:rsidR="003F2D0D">
        <w:rPr>
          <w:spacing w:val="-3"/>
        </w:rPr>
        <w:t xml:space="preserve"> </w:t>
      </w:r>
      <w:r w:rsidR="003F2D0D">
        <w:t>patients</w:t>
      </w:r>
      <w:r w:rsidR="003F2D0D">
        <w:rPr>
          <w:spacing w:val="-2"/>
        </w:rPr>
        <w:t xml:space="preserve"> </w:t>
      </w:r>
      <w:r w:rsidR="003F2D0D">
        <w:t>had</w:t>
      </w:r>
      <w:r w:rsidR="003F2D0D">
        <w:rPr>
          <w:spacing w:val="-3"/>
        </w:rPr>
        <w:t xml:space="preserve"> </w:t>
      </w:r>
      <w:r w:rsidR="003F2D0D">
        <w:t>previously</w:t>
      </w:r>
      <w:r w:rsidR="003F2D0D">
        <w:rPr>
          <w:spacing w:val="-4"/>
        </w:rPr>
        <w:t xml:space="preserve"> </w:t>
      </w:r>
      <w:r w:rsidR="003F2D0D">
        <w:t>received</w:t>
      </w:r>
      <w:r w:rsidR="003F2D0D">
        <w:rPr>
          <w:spacing w:val="-3"/>
        </w:rPr>
        <w:t xml:space="preserve"> </w:t>
      </w:r>
      <w:r w:rsidR="003F2D0D">
        <w:t>bendamustine</w:t>
      </w:r>
      <w:r w:rsidR="003F2D0D">
        <w:rPr>
          <w:spacing w:val="-3"/>
        </w:rPr>
        <w:t xml:space="preserve"> </w:t>
      </w:r>
      <w:r w:rsidR="003F2D0D">
        <w:t>and most had not received bortezomib or lenalidomide/thalidomide.</w:t>
      </w:r>
    </w:p>
    <w:p w14:paraId="0373F644" w14:textId="539E959D" w:rsidR="0072689D" w:rsidRDefault="00C95ED9" w:rsidP="00984EB1">
      <w:pPr>
        <w:pStyle w:val="TableTitle"/>
        <w:spacing w:before="240"/>
        <w:rPr>
          <w:sz w:val="20"/>
        </w:rPr>
      </w:pPr>
      <w:r w:rsidRPr="00734BC0">
        <w:t xml:space="preserve">Table </w:t>
      </w:r>
      <w:r w:rsidR="00260DA6">
        <w:t>4</w:t>
      </w:r>
      <w:r w:rsidR="0072689D" w:rsidRPr="00734BC0">
        <w:t>:</w:t>
      </w:r>
      <w:r>
        <w:t xml:space="preserve"> </w:t>
      </w:r>
      <w:r w:rsidR="00EC5C0E">
        <w:t>Prior anti-tumour therapy</w:t>
      </w:r>
      <w:r w:rsidR="00755756">
        <w:t xml:space="preserve"> </w:t>
      </w:r>
      <w:r w:rsidR="00755756" w:rsidRPr="00FB142D">
        <w:rPr>
          <w:lang w:val="en-GB"/>
        </w:rPr>
        <w:t>in ICP-CL-00102</w:t>
      </w:r>
    </w:p>
    <w:p w14:paraId="12BB36DE" w14:textId="77777777" w:rsidR="0072689D" w:rsidRDefault="0072689D" w:rsidP="0072689D">
      <w:pPr>
        <w:ind w:left="45"/>
        <w:rPr>
          <w:sz w:val="20"/>
        </w:rPr>
      </w:pPr>
      <w:r>
        <w:rPr>
          <w:noProof/>
          <w:sz w:val="20"/>
        </w:rPr>
        <w:drawing>
          <wp:inline distT="0" distB="0" distL="0" distR="0" wp14:anchorId="152F68EE" wp14:editId="6F12D3C7">
            <wp:extent cx="5288400" cy="3182400"/>
            <wp:effectExtent l="0" t="0" r="7620" b="0"/>
            <wp:docPr id="17" name="Image 17" descr="Table 4: Prior anti-tumour therapy in ICP-CL-00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Table 4: Prior anti-tumour therapy in ICP-CL-00102."/>
                    <pic:cNvPicPr/>
                  </pic:nvPicPr>
                  <pic:blipFill>
                    <a:blip r:embed="rId28" cstate="print"/>
                    <a:stretch>
                      <a:fillRect/>
                    </a:stretch>
                  </pic:blipFill>
                  <pic:spPr>
                    <a:xfrm>
                      <a:off x="0" y="0"/>
                      <a:ext cx="5288400" cy="3182400"/>
                    </a:xfrm>
                    <a:prstGeom prst="rect">
                      <a:avLst/>
                    </a:prstGeom>
                  </pic:spPr>
                </pic:pic>
              </a:graphicData>
            </a:graphic>
          </wp:inline>
        </w:drawing>
      </w:r>
    </w:p>
    <w:p w14:paraId="18EC4BC1" w14:textId="1D6D3452" w:rsidR="005A3018" w:rsidRDefault="005A3018" w:rsidP="005A3018">
      <w:pPr>
        <w:pStyle w:val="TableTitle"/>
        <w:rPr>
          <w:sz w:val="20"/>
        </w:rPr>
      </w:pPr>
      <w:r w:rsidRPr="00734BC0">
        <w:lastRenderedPageBreak/>
        <w:t xml:space="preserve">Table </w:t>
      </w:r>
      <w:r w:rsidR="00260DA6">
        <w:t>4</w:t>
      </w:r>
      <w:r>
        <w:t xml:space="preserve"> (continued)</w:t>
      </w:r>
      <w:r w:rsidRPr="00734BC0">
        <w:t>:</w:t>
      </w:r>
      <w:r>
        <w:t xml:space="preserve"> Prior anti-tumour therapy</w:t>
      </w:r>
      <w:r w:rsidR="009E7943">
        <w:t xml:space="preserve"> </w:t>
      </w:r>
      <w:r w:rsidR="009E7943" w:rsidRPr="00FB142D">
        <w:rPr>
          <w:lang w:val="en-GB"/>
        </w:rPr>
        <w:t>in ICP-CL-00102</w:t>
      </w:r>
    </w:p>
    <w:p w14:paraId="6A643304" w14:textId="14EB14D3" w:rsidR="00692357" w:rsidRDefault="0015293D" w:rsidP="005E78CE">
      <w:pPr>
        <w:rPr>
          <w:sz w:val="8"/>
        </w:rPr>
      </w:pPr>
      <w:r w:rsidRPr="0015293D">
        <w:rPr>
          <w:noProof/>
          <w:sz w:val="20"/>
        </w:rPr>
        <w:drawing>
          <wp:inline distT="0" distB="0" distL="0" distR="0" wp14:anchorId="38F6BB2E" wp14:editId="04B826B0">
            <wp:extent cx="5313600" cy="5428800"/>
            <wp:effectExtent l="0" t="0" r="1905" b="635"/>
            <wp:docPr id="1500967869" name="Picture 1" descr="Table 4 (continued): Prior anti-tumour therapy in ICP-CL-0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67869" name="Picture 1" descr="Table 4 (continued): Prior anti-tumour therapy in ICP-CL-00102."/>
                    <pic:cNvPicPr/>
                  </pic:nvPicPr>
                  <pic:blipFill>
                    <a:blip r:embed="rId29"/>
                    <a:stretch>
                      <a:fillRect/>
                    </a:stretch>
                  </pic:blipFill>
                  <pic:spPr>
                    <a:xfrm>
                      <a:off x="0" y="0"/>
                      <a:ext cx="5313600" cy="5428800"/>
                    </a:xfrm>
                    <a:prstGeom prst="rect">
                      <a:avLst/>
                    </a:prstGeom>
                  </pic:spPr>
                </pic:pic>
              </a:graphicData>
            </a:graphic>
          </wp:inline>
        </w:drawing>
      </w:r>
    </w:p>
    <w:p w14:paraId="06B6CF8A" w14:textId="75906A4D" w:rsidR="0072689D" w:rsidRDefault="0072689D" w:rsidP="002D755A">
      <w:pPr>
        <w:pStyle w:val="Heading6"/>
        <w:spacing w:before="360"/>
      </w:pPr>
      <w:r>
        <w:rPr>
          <w:spacing w:val="-2"/>
        </w:rPr>
        <w:t>Results</w:t>
      </w:r>
      <w:r w:rsidR="005D5C23">
        <w:rPr>
          <w:spacing w:val="-2"/>
        </w:rPr>
        <w:t xml:space="preserve"> </w:t>
      </w:r>
      <w:r w:rsidR="003D4F7D">
        <w:rPr>
          <w:spacing w:val="-2"/>
        </w:rPr>
        <w:t xml:space="preserve">for the primary </w:t>
      </w:r>
      <w:r w:rsidR="00C74470">
        <w:rPr>
          <w:spacing w:val="-2"/>
        </w:rPr>
        <w:t>en</w:t>
      </w:r>
      <w:r w:rsidR="00B91B6E">
        <w:rPr>
          <w:spacing w:val="-2"/>
        </w:rPr>
        <w:t>d</w:t>
      </w:r>
      <w:r w:rsidR="00C74470">
        <w:rPr>
          <w:spacing w:val="-2"/>
        </w:rPr>
        <w:t>point</w:t>
      </w:r>
    </w:p>
    <w:p w14:paraId="2E448AB8" w14:textId="05DC0380" w:rsidR="0072689D" w:rsidRDefault="0072689D" w:rsidP="004C4A0D">
      <w:r>
        <w:t>The</w:t>
      </w:r>
      <w:r>
        <w:rPr>
          <w:spacing w:val="-6"/>
        </w:rPr>
        <w:t xml:space="preserve"> </w:t>
      </w:r>
      <w:r>
        <w:t>primary</w:t>
      </w:r>
      <w:r>
        <w:rPr>
          <w:spacing w:val="-4"/>
        </w:rPr>
        <w:t xml:space="preserve"> </w:t>
      </w:r>
      <w:r>
        <w:t>endpoint</w:t>
      </w:r>
      <w:r>
        <w:rPr>
          <w:spacing w:val="-4"/>
        </w:rPr>
        <w:t xml:space="preserve"> </w:t>
      </w:r>
      <w:r>
        <w:t>was</w:t>
      </w:r>
      <w:r w:rsidR="00CC2262">
        <w:t xml:space="preserve"> Independent Review Committee (</w:t>
      </w:r>
      <w:r>
        <w:t>IRC</w:t>
      </w:r>
      <w:r w:rsidR="00CC2262">
        <w:t>)</w:t>
      </w:r>
      <w:r>
        <w:rPr>
          <w:spacing w:val="-3"/>
        </w:rPr>
        <w:t xml:space="preserve"> </w:t>
      </w:r>
      <w:r>
        <w:t>assessed</w:t>
      </w:r>
      <w:r>
        <w:rPr>
          <w:spacing w:val="-3"/>
        </w:rPr>
        <w:t xml:space="preserve"> </w:t>
      </w:r>
      <w:r w:rsidR="00AD5906">
        <w:rPr>
          <w:spacing w:val="-3"/>
        </w:rPr>
        <w:t>overall response rate (</w:t>
      </w:r>
      <w:r>
        <w:t>ORR</w:t>
      </w:r>
      <w:r w:rsidR="00AD5906">
        <w:t>)</w:t>
      </w:r>
      <w:r>
        <w:rPr>
          <w:spacing w:val="-5"/>
        </w:rPr>
        <w:t xml:space="preserve"> </w:t>
      </w:r>
      <w:r>
        <w:t>performed</w:t>
      </w:r>
      <w:r>
        <w:rPr>
          <w:spacing w:val="-3"/>
        </w:rPr>
        <w:t xml:space="preserve"> </w:t>
      </w:r>
      <w:r>
        <w:t>only</w:t>
      </w:r>
      <w:r>
        <w:rPr>
          <w:spacing w:val="-4"/>
        </w:rPr>
        <w:t xml:space="preserve"> </w:t>
      </w:r>
      <w:r>
        <w:t>in</w:t>
      </w:r>
      <w:r>
        <w:rPr>
          <w:spacing w:val="-4"/>
        </w:rPr>
        <w:t xml:space="preserve"> </w:t>
      </w:r>
      <w:r>
        <w:t>the</w:t>
      </w:r>
      <w:r>
        <w:rPr>
          <w:spacing w:val="-4"/>
        </w:rPr>
        <w:t xml:space="preserve"> </w:t>
      </w:r>
      <w:r>
        <w:t>150mg</w:t>
      </w:r>
      <w:r>
        <w:rPr>
          <w:spacing w:val="-2"/>
        </w:rPr>
        <w:t xml:space="preserve"> </w:t>
      </w:r>
      <w:r>
        <w:t>OD</w:t>
      </w:r>
      <w:r>
        <w:rPr>
          <w:spacing w:val="-3"/>
        </w:rPr>
        <w:t xml:space="preserve"> </w:t>
      </w:r>
      <w:r>
        <w:rPr>
          <w:spacing w:val="-2"/>
        </w:rPr>
        <w:t>group.</w:t>
      </w:r>
    </w:p>
    <w:p w14:paraId="4CFB1CC9" w14:textId="415ED4ED" w:rsidR="00664045" w:rsidRDefault="0072689D" w:rsidP="00664045">
      <w:r>
        <w:t>The</w:t>
      </w:r>
      <w:r>
        <w:rPr>
          <w:spacing w:val="-2"/>
        </w:rPr>
        <w:t xml:space="preserve"> </w:t>
      </w:r>
      <w:r>
        <w:t>ORR</w:t>
      </w:r>
      <w:r>
        <w:rPr>
          <w:spacing w:val="-3"/>
        </w:rPr>
        <w:t xml:space="preserve"> </w:t>
      </w:r>
      <w:r>
        <w:t>by</w:t>
      </w:r>
      <w:r>
        <w:rPr>
          <w:spacing w:val="-3"/>
        </w:rPr>
        <w:t xml:space="preserve"> </w:t>
      </w:r>
      <w:r>
        <w:t>IRC</w:t>
      </w:r>
      <w:r>
        <w:rPr>
          <w:spacing w:val="-4"/>
        </w:rPr>
        <w:t xml:space="preserve"> </w:t>
      </w:r>
      <w:r>
        <w:t>in</w:t>
      </w:r>
      <w:r>
        <w:rPr>
          <w:spacing w:val="-3"/>
        </w:rPr>
        <w:t xml:space="preserve"> </w:t>
      </w:r>
      <w:r>
        <w:t>the</w:t>
      </w:r>
      <w:r>
        <w:rPr>
          <w:spacing w:val="-2"/>
        </w:rPr>
        <w:t xml:space="preserve"> </w:t>
      </w:r>
      <w:r>
        <w:t>FAS</w:t>
      </w:r>
      <w:r>
        <w:rPr>
          <w:spacing w:val="-2"/>
        </w:rPr>
        <w:t xml:space="preserve"> </w:t>
      </w:r>
      <w:r>
        <w:t>population</w:t>
      </w:r>
      <w:r>
        <w:rPr>
          <w:spacing w:val="-3"/>
        </w:rPr>
        <w:t xml:space="preserve"> </w:t>
      </w:r>
      <w:r>
        <w:t xml:space="preserve">was </w:t>
      </w:r>
      <w:r w:rsidRPr="005D5C23">
        <w:rPr>
          <w:bCs/>
        </w:rPr>
        <w:t>72.1</w:t>
      </w:r>
      <w:r w:rsidRPr="005D5C23">
        <w:rPr>
          <w:bCs/>
          <w:spacing w:val="-3"/>
        </w:rPr>
        <w:t xml:space="preserve"> </w:t>
      </w:r>
      <w:r w:rsidRPr="005D5C23">
        <w:rPr>
          <w:bCs/>
        </w:rPr>
        <w:t>%</w:t>
      </w:r>
      <w:r w:rsidRPr="005D5C23">
        <w:rPr>
          <w:bCs/>
          <w:spacing w:val="-4"/>
        </w:rPr>
        <w:t xml:space="preserve"> </w:t>
      </w:r>
      <w:r w:rsidRPr="005D5C23">
        <w:rPr>
          <w:bCs/>
        </w:rPr>
        <w:t>(61.4,</w:t>
      </w:r>
      <w:r w:rsidRPr="005D5C23">
        <w:rPr>
          <w:bCs/>
          <w:spacing w:val="-5"/>
        </w:rPr>
        <w:t xml:space="preserve"> </w:t>
      </w:r>
      <w:r w:rsidRPr="005D5C23">
        <w:rPr>
          <w:bCs/>
        </w:rPr>
        <w:t>81.2)</w:t>
      </w:r>
      <w:r>
        <w:rPr>
          <w:b/>
        </w:rPr>
        <w:t xml:space="preserve"> </w:t>
      </w:r>
      <w:r>
        <w:t>which</w:t>
      </w:r>
      <w:r>
        <w:rPr>
          <w:spacing w:val="-2"/>
        </w:rPr>
        <w:t xml:space="preserve"> </w:t>
      </w:r>
      <w:r>
        <w:t>passed</w:t>
      </w:r>
      <w:r>
        <w:rPr>
          <w:spacing w:val="-3"/>
        </w:rPr>
        <w:t xml:space="preserve"> </w:t>
      </w:r>
      <w:r>
        <w:t>the</w:t>
      </w:r>
      <w:r>
        <w:rPr>
          <w:spacing w:val="-2"/>
        </w:rPr>
        <w:t xml:space="preserve"> </w:t>
      </w:r>
      <w:r>
        <w:t>target</w:t>
      </w:r>
      <w:r>
        <w:rPr>
          <w:spacing w:val="-2"/>
        </w:rPr>
        <w:t xml:space="preserve"> </w:t>
      </w:r>
      <w:r>
        <w:t>ORR</w:t>
      </w:r>
      <w:r>
        <w:rPr>
          <w:spacing w:val="-3"/>
        </w:rPr>
        <w:t xml:space="preserve"> </w:t>
      </w:r>
      <w:r>
        <w:t>of 65% with the lower CI being &gt;45%</w:t>
      </w:r>
      <w:r w:rsidR="00B47386">
        <w:t xml:space="preserve"> (table</w:t>
      </w:r>
      <w:r w:rsidR="00614859">
        <w:t xml:space="preserve"> 5</w:t>
      </w:r>
      <w:r w:rsidR="00CB6C7C">
        <w:t>)</w:t>
      </w:r>
      <w:r>
        <w:t>.</w:t>
      </w:r>
      <w:r w:rsidR="00664045">
        <w:t xml:space="preserve"> </w:t>
      </w:r>
    </w:p>
    <w:p w14:paraId="5DD193BB" w14:textId="4B350B30" w:rsidR="00664045" w:rsidRDefault="00664045" w:rsidP="00664045">
      <w:r>
        <w:t>The</w:t>
      </w:r>
      <w:r>
        <w:rPr>
          <w:spacing w:val="-2"/>
        </w:rPr>
        <w:t xml:space="preserve"> </w:t>
      </w:r>
      <w:r>
        <w:t>results</w:t>
      </w:r>
      <w:r>
        <w:rPr>
          <w:spacing w:val="-5"/>
        </w:rPr>
        <w:t xml:space="preserve"> </w:t>
      </w:r>
      <w:r>
        <w:t>in</w:t>
      </w:r>
      <w:r>
        <w:rPr>
          <w:spacing w:val="-3"/>
        </w:rPr>
        <w:t xml:space="preserve"> </w:t>
      </w:r>
      <w:r>
        <w:t>the</w:t>
      </w:r>
      <w:r>
        <w:rPr>
          <w:spacing w:val="-2"/>
        </w:rPr>
        <w:t xml:space="preserve"> per protocol set (</w:t>
      </w:r>
      <w:r>
        <w:t>PPS)</w:t>
      </w:r>
      <w:r>
        <w:rPr>
          <w:spacing w:val="-2"/>
        </w:rPr>
        <w:t xml:space="preserve"> </w:t>
      </w:r>
      <w:r>
        <w:t>population</w:t>
      </w:r>
      <w:r>
        <w:rPr>
          <w:spacing w:val="-3"/>
        </w:rPr>
        <w:t xml:space="preserve"> </w:t>
      </w:r>
      <w:r>
        <w:t>were</w:t>
      </w:r>
      <w:r>
        <w:rPr>
          <w:spacing w:val="-3"/>
        </w:rPr>
        <w:t xml:space="preserve"> </w:t>
      </w:r>
      <w:r>
        <w:t>similar.</w:t>
      </w:r>
      <w:r>
        <w:rPr>
          <w:spacing w:val="40"/>
        </w:rPr>
        <w:t xml:space="preserve"> </w:t>
      </w:r>
      <w:r>
        <w:t>All</w:t>
      </w:r>
      <w:r>
        <w:rPr>
          <w:spacing w:val="-2"/>
        </w:rPr>
        <w:t xml:space="preserve"> </w:t>
      </w:r>
      <w:r>
        <w:t>subgroups</w:t>
      </w:r>
      <w:r>
        <w:rPr>
          <w:spacing w:val="-4"/>
        </w:rPr>
        <w:t xml:space="preserve"> </w:t>
      </w:r>
      <w:r>
        <w:t>contained</w:t>
      </w:r>
      <w:r>
        <w:rPr>
          <w:spacing w:val="-2"/>
        </w:rPr>
        <w:t xml:space="preserve"> </w:t>
      </w:r>
      <w:r>
        <w:t>small</w:t>
      </w:r>
      <w:r>
        <w:rPr>
          <w:spacing w:val="-5"/>
        </w:rPr>
        <w:t xml:space="preserve"> </w:t>
      </w:r>
      <w:r>
        <w:t>numbers</w:t>
      </w:r>
      <w:r>
        <w:rPr>
          <w:spacing w:val="-1"/>
        </w:rPr>
        <w:t xml:space="preserve"> </w:t>
      </w:r>
      <w:r>
        <w:t>(as overall n=86), limiting the interpretation of this analysis. Generally, all subgroups favoured orelabrutinib with the ORR remaining similar within the limitations of this interpretation.</w:t>
      </w:r>
    </w:p>
    <w:p w14:paraId="19F16C39" w14:textId="77777777" w:rsidR="00664045" w:rsidRDefault="00664045" w:rsidP="004C4A0D"/>
    <w:p w14:paraId="082ACF80" w14:textId="476DB598" w:rsidR="00CA50CF" w:rsidRDefault="00CA50CF" w:rsidP="005803E7">
      <w:pPr>
        <w:pStyle w:val="TableTitle"/>
        <w:spacing w:before="240"/>
      </w:pPr>
      <w:r>
        <w:lastRenderedPageBreak/>
        <w:t xml:space="preserve">Table </w:t>
      </w:r>
      <w:r w:rsidR="00614859">
        <w:t>5</w:t>
      </w:r>
      <w:r w:rsidR="00026C65">
        <w:t>:</w:t>
      </w:r>
      <w:r>
        <w:t xml:space="preserve"> O</w:t>
      </w:r>
      <w:r w:rsidR="008B0758">
        <w:t>verall response rate (O</w:t>
      </w:r>
      <w:r>
        <w:t>RR</w:t>
      </w:r>
      <w:r w:rsidR="008B0758">
        <w:t>)</w:t>
      </w:r>
      <w:r>
        <w:t xml:space="preserve"> by IRC in ICP-CL-00102</w:t>
      </w:r>
      <w:r w:rsidR="00BE5897">
        <w:t xml:space="preserve"> </w:t>
      </w:r>
      <w:r w:rsidR="000755E8">
        <w:t>-</w:t>
      </w:r>
      <w:r w:rsidR="002C5677">
        <w:t xml:space="preserve"> </w:t>
      </w:r>
      <w:r w:rsidR="000755E8">
        <w:t>(</w:t>
      </w:r>
      <w:r w:rsidR="002C5677">
        <w:t>FAS population</w:t>
      </w:r>
      <w:r w:rsidR="000755E8">
        <w:t>)</w:t>
      </w:r>
    </w:p>
    <w:p w14:paraId="032C199B" w14:textId="64335B39" w:rsidR="00734149" w:rsidRDefault="005803E7" w:rsidP="007062BB">
      <w:r w:rsidRPr="005803E7">
        <w:rPr>
          <w:noProof/>
        </w:rPr>
        <w:drawing>
          <wp:inline distT="0" distB="0" distL="0" distR="0" wp14:anchorId="213F9172" wp14:editId="6555F001">
            <wp:extent cx="3893363" cy="1990725"/>
            <wp:effectExtent l="0" t="0" r="0" b="0"/>
            <wp:docPr id="1013076695" name="Picture 1" descr="Table 5: Overall response rate (ORR) by IRC in ICP-CL-00102 - A (FAS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076695" name="Picture 1" descr="Table 5: Overall response rate (ORR) by IRC in ICP-CL-00102 - A (FAS population)."/>
                    <pic:cNvPicPr/>
                  </pic:nvPicPr>
                  <pic:blipFill>
                    <a:blip r:embed="rId30"/>
                    <a:stretch>
                      <a:fillRect/>
                    </a:stretch>
                  </pic:blipFill>
                  <pic:spPr>
                    <a:xfrm>
                      <a:off x="0" y="0"/>
                      <a:ext cx="3911883" cy="2000194"/>
                    </a:xfrm>
                    <a:prstGeom prst="rect">
                      <a:avLst/>
                    </a:prstGeom>
                  </pic:spPr>
                </pic:pic>
              </a:graphicData>
            </a:graphic>
          </wp:inline>
        </w:drawing>
      </w:r>
    </w:p>
    <w:p w14:paraId="539DC23E" w14:textId="1FDF3E78" w:rsidR="0072689D" w:rsidRPr="00CB6C7C" w:rsidRDefault="00423869" w:rsidP="00CB6C7C">
      <w:pPr>
        <w:pStyle w:val="Heading6"/>
      </w:pPr>
      <w:r w:rsidRPr="00CB6C7C">
        <w:t xml:space="preserve">Results for </w:t>
      </w:r>
      <w:r w:rsidR="00D5614C" w:rsidRPr="00CB6C7C">
        <w:t>secondary endpoints</w:t>
      </w:r>
    </w:p>
    <w:p w14:paraId="6631AD7F" w14:textId="7E7C0093" w:rsidR="0072689D" w:rsidRDefault="00742DA9" w:rsidP="006F0663">
      <w:r>
        <w:t>Overall response rate (</w:t>
      </w:r>
      <w:r w:rsidR="0072689D">
        <w:t>ORR</w:t>
      </w:r>
      <w:r>
        <w:t>)</w:t>
      </w:r>
      <w:r w:rsidR="0072689D">
        <w:rPr>
          <w:spacing w:val="-2"/>
        </w:rPr>
        <w:t xml:space="preserve"> </w:t>
      </w:r>
      <w:r w:rsidR="0072689D">
        <w:t>by</w:t>
      </w:r>
      <w:r w:rsidR="0072689D">
        <w:rPr>
          <w:spacing w:val="-2"/>
        </w:rPr>
        <w:t xml:space="preserve"> </w:t>
      </w:r>
      <w:r w:rsidR="0072689D">
        <w:t>investigator:</w:t>
      </w:r>
      <w:r w:rsidR="0072689D">
        <w:rPr>
          <w:spacing w:val="-5"/>
        </w:rPr>
        <w:t xml:space="preserve"> </w:t>
      </w:r>
      <w:r w:rsidR="0072689D" w:rsidRPr="00D47DC7">
        <w:rPr>
          <w:bCs/>
        </w:rPr>
        <w:t>79.1%</w:t>
      </w:r>
      <w:r w:rsidR="0072689D" w:rsidRPr="00D47DC7">
        <w:rPr>
          <w:bCs/>
          <w:spacing w:val="-1"/>
        </w:rPr>
        <w:t xml:space="preserve"> </w:t>
      </w:r>
      <w:r w:rsidR="0072689D" w:rsidRPr="00D47DC7">
        <w:rPr>
          <w:bCs/>
        </w:rPr>
        <w:t>(69,</w:t>
      </w:r>
      <w:r w:rsidR="0072689D" w:rsidRPr="00D47DC7">
        <w:rPr>
          <w:bCs/>
          <w:spacing w:val="-5"/>
        </w:rPr>
        <w:t xml:space="preserve"> </w:t>
      </w:r>
      <w:r w:rsidR="0072689D" w:rsidRPr="00D47DC7">
        <w:rPr>
          <w:bCs/>
        </w:rPr>
        <w:t>87.1)</w:t>
      </w:r>
      <w:r w:rsidR="0072689D" w:rsidRPr="00D47DC7">
        <w:rPr>
          <w:bCs/>
          <w:spacing w:val="-1"/>
        </w:rPr>
        <w:t xml:space="preserve"> </w:t>
      </w:r>
      <w:r w:rsidR="0072689D" w:rsidRPr="00D47DC7">
        <w:rPr>
          <w:bCs/>
        </w:rPr>
        <w:t>and</w:t>
      </w:r>
      <w:r w:rsidR="0072689D" w:rsidRPr="00D47DC7">
        <w:rPr>
          <w:bCs/>
          <w:spacing w:val="-4"/>
        </w:rPr>
        <w:t xml:space="preserve"> </w:t>
      </w:r>
      <w:r w:rsidR="0072689D" w:rsidRPr="00D47DC7">
        <w:rPr>
          <w:bCs/>
        </w:rPr>
        <w:t>82.1%</w:t>
      </w:r>
      <w:r w:rsidR="0072689D" w:rsidRPr="00D47DC7">
        <w:rPr>
          <w:bCs/>
          <w:spacing w:val="-4"/>
        </w:rPr>
        <w:t xml:space="preserve"> </w:t>
      </w:r>
      <w:r w:rsidR="0072689D" w:rsidRPr="00D47DC7">
        <w:rPr>
          <w:bCs/>
        </w:rPr>
        <w:t>(73.4,</w:t>
      </w:r>
      <w:r w:rsidR="0072689D" w:rsidRPr="00D47DC7">
        <w:rPr>
          <w:bCs/>
          <w:spacing w:val="-5"/>
        </w:rPr>
        <w:t xml:space="preserve"> </w:t>
      </w:r>
      <w:r w:rsidR="0072689D" w:rsidRPr="00D47DC7">
        <w:rPr>
          <w:bCs/>
        </w:rPr>
        <w:t>88.8) in</w:t>
      </w:r>
      <w:r w:rsidR="0072689D">
        <w:rPr>
          <w:spacing w:val="-2"/>
        </w:rPr>
        <w:t xml:space="preserve"> </w:t>
      </w:r>
      <w:r w:rsidR="0072689D">
        <w:t>the</w:t>
      </w:r>
      <w:r w:rsidR="0072689D">
        <w:rPr>
          <w:spacing w:val="-1"/>
        </w:rPr>
        <w:t xml:space="preserve"> </w:t>
      </w:r>
      <w:r w:rsidR="0072689D">
        <w:t>150mg</w:t>
      </w:r>
      <w:r w:rsidR="0072689D">
        <w:rPr>
          <w:spacing w:val="-2"/>
        </w:rPr>
        <w:t xml:space="preserve"> </w:t>
      </w:r>
      <w:r w:rsidR="0072689D">
        <w:t>OD</w:t>
      </w:r>
      <w:r w:rsidR="0072689D">
        <w:rPr>
          <w:spacing w:val="-1"/>
        </w:rPr>
        <w:t xml:space="preserve"> </w:t>
      </w:r>
      <w:r w:rsidR="0072689D">
        <w:t>and</w:t>
      </w:r>
      <w:r w:rsidR="0072689D">
        <w:rPr>
          <w:spacing w:val="-2"/>
        </w:rPr>
        <w:t xml:space="preserve"> </w:t>
      </w:r>
      <w:r w:rsidR="0072689D">
        <w:t>any</w:t>
      </w:r>
      <w:r w:rsidR="0072689D">
        <w:rPr>
          <w:spacing w:val="-3"/>
        </w:rPr>
        <w:t xml:space="preserve"> </w:t>
      </w:r>
      <w:r w:rsidR="0072689D">
        <w:t>dose arms</w:t>
      </w:r>
      <w:r w:rsidR="00FA0D22">
        <w:t>,</w:t>
      </w:r>
      <w:r w:rsidR="0072689D">
        <w:t xml:space="preserve"> respectively</w:t>
      </w:r>
      <w:r w:rsidR="00D47DC7">
        <w:t>.</w:t>
      </w:r>
    </w:p>
    <w:p w14:paraId="1AD9CD56" w14:textId="62E822AF" w:rsidR="0072689D" w:rsidRPr="00D47DC7" w:rsidRDefault="00742DA9" w:rsidP="006F0663">
      <w:pPr>
        <w:rPr>
          <w:bCs/>
        </w:rPr>
      </w:pPr>
      <w:r>
        <w:t>Disease control rate (</w:t>
      </w:r>
      <w:r w:rsidR="0072689D">
        <w:t>DCR</w:t>
      </w:r>
      <w:r>
        <w:t>)</w:t>
      </w:r>
      <w:r w:rsidR="0072689D">
        <w:rPr>
          <w:spacing w:val="-6"/>
        </w:rPr>
        <w:t xml:space="preserve"> </w:t>
      </w:r>
      <w:r w:rsidR="0072689D">
        <w:t>as</w:t>
      </w:r>
      <w:r w:rsidR="0072689D">
        <w:rPr>
          <w:spacing w:val="-2"/>
        </w:rPr>
        <w:t xml:space="preserve"> </w:t>
      </w:r>
      <w:r w:rsidR="0072689D">
        <w:t>assessed</w:t>
      </w:r>
      <w:r w:rsidR="0072689D">
        <w:rPr>
          <w:spacing w:val="-3"/>
        </w:rPr>
        <w:t xml:space="preserve"> </w:t>
      </w:r>
      <w:r w:rsidR="0072689D">
        <w:t>by</w:t>
      </w:r>
      <w:r w:rsidR="0072689D">
        <w:rPr>
          <w:spacing w:val="-4"/>
        </w:rPr>
        <w:t xml:space="preserve"> </w:t>
      </w:r>
      <w:r w:rsidR="0072689D">
        <w:t>IRC:</w:t>
      </w:r>
      <w:r w:rsidR="0072689D">
        <w:rPr>
          <w:spacing w:val="-4"/>
        </w:rPr>
        <w:t xml:space="preserve"> </w:t>
      </w:r>
      <w:r w:rsidR="0072689D">
        <w:t>DCR</w:t>
      </w:r>
      <w:r w:rsidR="0072689D">
        <w:rPr>
          <w:spacing w:val="-2"/>
        </w:rPr>
        <w:t xml:space="preserve"> </w:t>
      </w:r>
      <w:r w:rsidR="0072689D">
        <w:t>(150mg</w:t>
      </w:r>
      <w:r w:rsidR="0072689D">
        <w:rPr>
          <w:spacing w:val="-2"/>
        </w:rPr>
        <w:t xml:space="preserve"> </w:t>
      </w:r>
      <w:r w:rsidR="0072689D">
        <w:t>OD)</w:t>
      </w:r>
      <w:r w:rsidR="0072689D">
        <w:rPr>
          <w:spacing w:val="-4"/>
        </w:rPr>
        <w:t xml:space="preserve"> </w:t>
      </w:r>
      <w:r w:rsidR="0072689D">
        <w:t>was</w:t>
      </w:r>
      <w:r w:rsidR="0072689D">
        <w:rPr>
          <w:spacing w:val="-5"/>
        </w:rPr>
        <w:t xml:space="preserve"> </w:t>
      </w:r>
      <w:r w:rsidR="0072689D" w:rsidRPr="00D47DC7">
        <w:rPr>
          <w:bCs/>
        </w:rPr>
        <w:t>82.6%</w:t>
      </w:r>
      <w:r w:rsidR="0072689D" w:rsidRPr="00D47DC7">
        <w:rPr>
          <w:bCs/>
          <w:spacing w:val="-3"/>
        </w:rPr>
        <w:t xml:space="preserve"> </w:t>
      </w:r>
      <w:r w:rsidR="0072689D" w:rsidRPr="00D47DC7">
        <w:rPr>
          <w:bCs/>
        </w:rPr>
        <w:t>(72.9,</w:t>
      </w:r>
      <w:r w:rsidR="0072689D" w:rsidRPr="00D47DC7">
        <w:rPr>
          <w:bCs/>
          <w:spacing w:val="-3"/>
        </w:rPr>
        <w:t xml:space="preserve"> </w:t>
      </w:r>
      <w:r w:rsidR="0072689D" w:rsidRPr="00D47DC7">
        <w:rPr>
          <w:bCs/>
          <w:spacing w:val="-2"/>
        </w:rPr>
        <w:t>89.9)</w:t>
      </w:r>
      <w:r w:rsidR="00D47DC7">
        <w:rPr>
          <w:bCs/>
          <w:spacing w:val="-2"/>
        </w:rPr>
        <w:t>.</w:t>
      </w:r>
    </w:p>
    <w:p w14:paraId="30A71ACF" w14:textId="0E0E7F90" w:rsidR="0072689D" w:rsidRDefault="0072689D" w:rsidP="006F0663">
      <w:r>
        <w:t>DCR</w:t>
      </w:r>
      <w:r>
        <w:rPr>
          <w:spacing w:val="-2"/>
        </w:rPr>
        <w:t xml:space="preserve"> </w:t>
      </w:r>
      <w:r>
        <w:t>by</w:t>
      </w:r>
      <w:r>
        <w:rPr>
          <w:spacing w:val="-2"/>
        </w:rPr>
        <w:t xml:space="preserve"> </w:t>
      </w:r>
      <w:r>
        <w:t>investigator:</w:t>
      </w:r>
      <w:r>
        <w:rPr>
          <w:spacing w:val="-2"/>
        </w:rPr>
        <w:t xml:space="preserve"> </w:t>
      </w:r>
      <w:r>
        <w:t>DCR</w:t>
      </w:r>
      <w:r>
        <w:rPr>
          <w:spacing w:val="-5"/>
        </w:rPr>
        <w:t xml:space="preserve"> </w:t>
      </w:r>
      <w:r>
        <w:t xml:space="preserve">was </w:t>
      </w:r>
      <w:r w:rsidRPr="00D47DC7">
        <w:rPr>
          <w:bCs/>
        </w:rPr>
        <w:t>84.9%</w:t>
      </w:r>
      <w:r w:rsidRPr="00D47DC7">
        <w:rPr>
          <w:bCs/>
          <w:spacing w:val="-1"/>
        </w:rPr>
        <w:t xml:space="preserve"> </w:t>
      </w:r>
      <w:r w:rsidRPr="00D47DC7">
        <w:rPr>
          <w:bCs/>
        </w:rPr>
        <w:t>(75.5,</w:t>
      </w:r>
      <w:r w:rsidRPr="00D47DC7">
        <w:rPr>
          <w:bCs/>
          <w:spacing w:val="-5"/>
        </w:rPr>
        <w:t xml:space="preserve"> </w:t>
      </w:r>
      <w:r w:rsidRPr="00D47DC7">
        <w:rPr>
          <w:bCs/>
        </w:rPr>
        <w:t>91.7)</w:t>
      </w:r>
      <w:r w:rsidRPr="00D47DC7">
        <w:rPr>
          <w:bCs/>
          <w:spacing w:val="-1"/>
        </w:rPr>
        <w:t xml:space="preserve"> </w:t>
      </w:r>
      <w:r w:rsidRPr="00D47DC7">
        <w:rPr>
          <w:bCs/>
        </w:rPr>
        <w:t>and</w:t>
      </w:r>
      <w:r w:rsidRPr="00D47DC7">
        <w:rPr>
          <w:bCs/>
          <w:spacing w:val="-1"/>
        </w:rPr>
        <w:t xml:space="preserve"> </w:t>
      </w:r>
      <w:r w:rsidRPr="00D47DC7">
        <w:rPr>
          <w:bCs/>
        </w:rPr>
        <w:t>87.7%</w:t>
      </w:r>
      <w:r w:rsidRPr="00D47DC7">
        <w:rPr>
          <w:bCs/>
          <w:spacing w:val="-4"/>
        </w:rPr>
        <w:t xml:space="preserve"> </w:t>
      </w:r>
      <w:r w:rsidRPr="00D47DC7">
        <w:rPr>
          <w:bCs/>
        </w:rPr>
        <w:t>(79.9,</w:t>
      </w:r>
      <w:r w:rsidRPr="00D47DC7">
        <w:rPr>
          <w:bCs/>
          <w:spacing w:val="-5"/>
        </w:rPr>
        <w:t xml:space="preserve"> </w:t>
      </w:r>
      <w:r w:rsidRPr="00D47DC7">
        <w:rPr>
          <w:bCs/>
        </w:rPr>
        <w:t>93.3)</w:t>
      </w:r>
      <w:r>
        <w:rPr>
          <w:b/>
        </w:rPr>
        <w:t xml:space="preserve"> </w:t>
      </w:r>
      <w:r>
        <w:t>in</w:t>
      </w:r>
      <w:r>
        <w:rPr>
          <w:spacing w:val="-5"/>
        </w:rPr>
        <w:t xml:space="preserve"> </w:t>
      </w:r>
      <w:r>
        <w:t>the</w:t>
      </w:r>
      <w:r>
        <w:rPr>
          <w:spacing w:val="-1"/>
        </w:rPr>
        <w:t xml:space="preserve"> </w:t>
      </w:r>
      <w:r>
        <w:t>investigator assessed 150mg OD and any dose populations respectively</w:t>
      </w:r>
      <w:r w:rsidR="00D47DC7">
        <w:t>.</w:t>
      </w:r>
    </w:p>
    <w:p w14:paraId="15BC4461" w14:textId="085D6540" w:rsidR="0072689D" w:rsidRDefault="00095E54" w:rsidP="006F0663">
      <w:r>
        <w:t>Duration of response (</w:t>
      </w:r>
      <w:r w:rsidR="0072689D">
        <w:t>DOR</w:t>
      </w:r>
      <w:r>
        <w:t>)</w:t>
      </w:r>
      <w:r w:rsidR="0072689D">
        <w:t>:</w:t>
      </w:r>
      <w:r w:rsidR="0072689D">
        <w:rPr>
          <w:spacing w:val="-3"/>
        </w:rPr>
        <w:t xml:space="preserve"> </w:t>
      </w:r>
      <w:r w:rsidR="0072689D">
        <w:t>The</w:t>
      </w:r>
      <w:r w:rsidR="0072689D">
        <w:rPr>
          <w:spacing w:val="-2"/>
        </w:rPr>
        <w:t xml:space="preserve"> </w:t>
      </w:r>
      <w:r w:rsidR="0072689D">
        <w:t>median</w:t>
      </w:r>
      <w:r w:rsidR="0072689D">
        <w:rPr>
          <w:spacing w:val="-3"/>
        </w:rPr>
        <w:t xml:space="preserve"> </w:t>
      </w:r>
      <w:r w:rsidR="0072689D">
        <w:t>DOR</w:t>
      </w:r>
      <w:r w:rsidR="0072689D">
        <w:rPr>
          <w:spacing w:val="-3"/>
        </w:rPr>
        <w:t xml:space="preserve"> </w:t>
      </w:r>
      <w:r w:rsidR="0072689D">
        <w:t>by</w:t>
      </w:r>
      <w:r w:rsidR="0072689D">
        <w:rPr>
          <w:spacing w:val="-6"/>
        </w:rPr>
        <w:t xml:space="preserve"> </w:t>
      </w:r>
      <w:r w:rsidR="0072689D">
        <w:t>IRC</w:t>
      </w:r>
      <w:r w:rsidR="0072689D">
        <w:rPr>
          <w:spacing w:val="-2"/>
        </w:rPr>
        <w:t xml:space="preserve"> </w:t>
      </w:r>
      <w:r w:rsidR="0072689D">
        <w:t>in</w:t>
      </w:r>
      <w:r w:rsidR="0072689D">
        <w:rPr>
          <w:spacing w:val="-3"/>
        </w:rPr>
        <w:t xml:space="preserve"> </w:t>
      </w:r>
      <w:r w:rsidR="0072689D">
        <w:t>the</w:t>
      </w:r>
      <w:r w:rsidR="0072689D">
        <w:rPr>
          <w:spacing w:val="-2"/>
        </w:rPr>
        <w:t xml:space="preserve"> </w:t>
      </w:r>
      <w:r w:rsidR="0072689D">
        <w:t>FAS</w:t>
      </w:r>
      <w:r w:rsidR="0072689D">
        <w:rPr>
          <w:spacing w:val="-2"/>
        </w:rPr>
        <w:t xml:space="preserve"> </w:t>
      </w:r>
      <w:r w:rsidR="0072689D">
        <w:t>population</w:t>
      </w:r>
      <w:r w:rsidR="0072689D">
        <w:rPr>
          <w:spacing w:val="-6"/>
        </w:rPr>
        <w:t xml:space="preserve"> </w:t>
      </w:r>
      <w:r w:rsidR="0072689D">
        <w:t>(150mg</w:t>
      </w:r>
      <w:r w:rsidR="0072689D">
        <w:rPr>
          <w:spacing w:val="-1"/>
        </w:rPr>
        <w:t xml:space="preserve"> </w:t>
      </w:r>
      <w:r w:rsidR="0072689D">
        <w:t>OD)</w:t>
      </w:r>
      <w:r w:rsidR="0072689D">
        <w:rPr>
          <w:spacing w:val="-3"/>
        </w:rPr>
        <w:t xml:space="preserve"> </w:t>
      </w:r>
      <w:r w:rsidR="0072689D">
        <w:t>was</w:t>
      </w:r>
      <w:r w:rsidR="0072689D">
        <w:rPr>
          <w:spacing w:val="-1"/>
        </w:rPr>
        <w:t xml:space="preserve"> </w:t>
      </w:r>
      <w:r w:rsidR="0072689D">
        <w:t>not</w:t>
      </w:r>
      <w:r w:rsidR="0072689D">
        <w:rPr>
          <w:spacing w:val="-2"/>
        </w:rPr>
        <w:t xml:space="preserve"> </w:t>
      </w:r>
      <w:r w:rsidR="0072689D">
        <w:t>reached</w:t>
      </w:r>
      <w:r w:rsidR="0072689D">
        <w:rPr>
          <w:spacing w:val="-3"/>
        </w:rPr>
        <w:t xml:space="preserve"> </w:t>
      </w:r>
      <w:r w:rsidR="0072689D">
        <w:t>(NA</w:t>
      </w:r>
      <w:r w:rsidR="0072689D">
        <w:rPr>
          <w:spacing w:val="-3"/>
        </w:rPr>
        <w:t xml:space="preserve"> </w:t>
      </w:r>
      <w:r w:rsidR="0072689D">
        <w:t>20.27, NA</w:t>
      </w:r>
      <w:r w:rsidR="00660867">
        <w:t>)</w:t>
      </w:r>
      <w:r w:rsidR="0072689D">
        <w:t>).</w:t>
      </w:r>
      <w:r w:rsidR="0072689D">
        <w:rPr>
          <w:spacing w:val="40"/>
        </w:rPr>
        <w:t xml:space="preserve"> </w:t>
      </w:r>
      <w:r w:rsidR="0072689D">
        <w:t xml:space="preserve">The 6- and 24-month DOR rate was 86.8% (75.4, 93.2) and 59.6% (45.6, 71.1) </w:t>
      </w:r>
      <w:r w:rsidR="0072689D">
        <w:rPr>
          <w:spacing w:val="-2"/>
        </w:rPr>
        <w:t>respectively.</w:t>
      </w:r>
    </w:p>
    <w:p w14:paraId="4A7EA834" w14:textId="4B127248" w:rsidR="0072689D" w:rsidRDefault="0072689D" w:rsidP="004878EB">
      <w:r>
        <w:t>As</w:t>
      </w:r>
      <w:r>
        <w:rPr>
          <w:spacing w:val="-3"/>
        </w:rPr>
        <w:t xml:space="preserve"> </w:t>
      </w:r>
      <w:r>
        <w:t>per</w:t>
      </w:r>
      <w:r>
        <w:rPr>
          <w:spacing w:val="-4"/>
        </w:rPr>
        <w:t xml:space="preserve"> </w:t>
      </w:r>
      <w:r>
        <w:t>regulatory</w:t>
      </w:r>
      <w:r>
        <w:rPr>
          <w:spacing w:val="-5"/>
        </w:rPr>
        <w:t xml:space="preserve"> </w:t>
      </w:r>
      <w:r>
        <w:t>guidelines</w:t>
      </w:r>
      <w:r w:rsidR="00D47DC7">
        <w:rPr>
          <w:spacing w:val="-3"/>
        </w:rPr>
        <w:t xml:space="preserve">, </w:t>
      </w:r>
      <w:r>
        <w:t>time-to-event endpoints, such</w:t>
      </w:r>
      <w:r w:rsidR="00486320">
        <w:t xml:space="preserve"> as</w:t>
      </w:r>
      <w:r>
        <w:t xml:space="preserve"> </w:t>
      </w:r>
      <w:r w:rsidR="00840CD0">
        <w:t>progression free survival (</w:t>
      </w:r>
      <w:r>
        <w:t>PFS</w:t>
      </w:r>
      <w:r w:rsidR="00840CD0">
        <w:t>)</w:t>
      </w:r>
      <w:r>
        <w:t xml:space="preserve"> and </w:t>
      </w:r>
      <w:r w:rsidR="00840CD0">
        <w:t>overall survival (</w:t>
      </w:r>
      <w:r>
        <w:t>OS</w:t>
      </w:r>
      <w:r w:rsidR="00840CD0">
        <w:t>)</w:t>
      </w:r>
      <w:r>
        <w:t xml:space="preserve">, are difficult to interpret in single arm trials, given the lack of </w:t>
      </w:r>
      <w:r w:rsidR="00F268D2">
        <w:t>contemporaneous internal</w:t>
      </w:r>
      <w:r>
        <w:t xml:space="preserve"> controls. The results for PFS and OS have not been used for regulatory decision-making in this submission.</w:t>
      </w:r>
    </w:p>
    <w:p w14:paraId="64E05C04" w14:textId="142715D1" w:rsidR="00F33DDB" w:rsidRDefault="00F33DDB" w:rsidP="004878EB">
      <w:r>
        <w:t xml:space="preserve">The following comments </w:t>
      </w:r>
      <w:r w:rsidR="00064E6B">
        <w:t xml:space="preserve">on </w:t>
      </w:r>
      <w:r w:rsidR="007557E3">
        <w:t xml:space="preserve">the </w:t>
      </w:r>
      <w:r w:rsidR="00064E6B">
        <w:t>evaluation of ICP-CL-00102</w:t>
      </w:r>
      <w:r w:rsidR="007557E3">
        <w:t xml:space="preserve"> were noted</w:t>
      </w:r>
      <w:r w:rsidR="00064E6B">
        <w:t>:</w:t>
      </w:r>
    </w:p>
    <w:p w14:paraId="1B80283A" w14:textId="60F73B51" w:rsidR="0072689D" w:rsidRDefault="0072689D" w:rsidP="00064E6B">
      <w:pPr>
        <w:pStyle w:val="ListBullet"/>
      </w:pPr>
      <w:r>
        <w:t>This</w:t>
      </w:r>
      <w:r>
        <w:rPr>
          <w:spacing w:val="-2"/>
        </w:rPr>
        <w:t xml:space="preserve"> </w:t>
      </w:r>
      <w:r>
        <w:t>pivotal</w:t>
      </w:r>
      <w:r>
        <w:rPr>
          <w:spacing w:val="-2"/>
        </w:rPr>
        <w:t xml:space="preserve"> </w:t>
      </w:r>
      <w:r>
        <w:t>trial</w:t>
      </w:r>
      <w:r>
        <w:rPr>
          <w:spacing w:val="-2"/>
        </w:rPr>
        <w:t xml:space="preserve"> </w:t>
      </w:r>
      <w:r>
        <w:t>does</w:t>
      </w:r>
      <w:r>
        <w:rPr>
          <w:spacing w:val="-2"/>
        </w:rPr>
        <w:t xml:space="preserve"> </w:t>
      </w:r>
      <w:r>
        <w:t>strongly</w:t>
      </w:r>
      <w:r>
        <w:rPr>
          <w:spacing w:val="-3"/>
        </w:rPr>
        <w:t xml:space="preserve"> </w:t>
      </w:r>
      <w:r>
        <w:t>suggest</w:t>
      </w:r>
      <w:r>
        <w:rPr>
          <w:spacing w:val="-3"/>
        </w:rPr>
        <w:t xml:space="preserve"> </w:t>
      </w:r>
      <w:r>
        <w:t>that</w:t>
      </w:r>
      <w:r>
        <w:rPr>
          <w:spacing w:val="-2"/>
        </w:rPr>
        <w:t xml:space="preserve"> </w:t>
      </w:r>
      <w:r>
        <w:t>orelabrutinib</w:t>
      </w:r>
      <w:r>
        <w:rPr>
          <w:spacing w:val="-3"/>
        </w:rPr>
        <w:t xml:space="preserve"> </w:t>
      </w:r>
      <w:r>
        <w:t>has</w:t>
      </w:r>
      <w:r>
        <w:rPr>
          <w:spacing w:val="-2"/>
        </w:rPr>
        <w:t xml:space="preserve"> </w:t>
      </w:r>
      <w:r>
        <w:t>efficacy</w:t>
      </w:r>
      <w:r>
        <w:rPr>
          <w:spacing w:val="-3"/>
        </w:rPr>
        <w:t xml:space="preserve"> </w:t>
      </w:r>
      <w:r>
        <w:t>based</w:t>
      </w:r>
      <w:r>
        <w:rPr>
          <w:spacing w:val="-5"/>
        </w:rPr>
        <w:t xml:space="preserve"> </w:t>
      </w:r>
      <w:r>
        <w:t>on</w:t>
      </w:r>
      <w:r>
        <w:rPr>
          <w:spacing w:val="-3"/>
        </w:rPr>
        <w:t xml:space="preserve"> </w:t>
      </w:r>
      <w:r>
        <w:t>the</w:t>
      </w:r>
      <w:r>
        <w:rPr>
          <w:spacing w:val="-2"/>
        </w:rPr>
        <w:t xml:space="preserve"> </w:t>
      </w:r>
      <w:r>
        <w:t xml:space="preserve">ORR and </w:t>
      </w:r>
      <w:r w:rsidR="00401895">
        <w:t xml:space="preserve">complete response </w:t>
      </w:r>
      <w:r w:rsidR="004643CD">
        <w:t>(</w:t>
      </w:r>
      <w:r>
        <w:t>CRR</w:t>
      </w:r>
      <w:r w:rsidR="004643CD">
        <w:t>)</w:t>
      </w:r>
      <w:r>
        <w:t xml:space="preserve"> as surrogate markers for time-to-event outcomes in a rare disease.</w:t>
      </w:r>
    </w:p>
    <w:p w14:paraId="1E93F7DD" w14:textId="6100E1A0" w:rsidR="0072689D" w:rsidRDefault="0072689D" w:rsidP="00064E6B">
      <w:pPr>
        <w:pStyle w:val="ListBullet"/>
      </w:pPr>
      <w:r>
        <w:t>Other</w:t>
      </w:r>
      <w:r>
        <w:rPr>
          <w:spacing w:val="-3"/>
        </w:rPr>
        <w:t xml:space="preserve"> </w:t>
      </w:r>
      <w:r>
        <w:t>factors</w:t>
      </w:r>
      <w:r>
        <w:rPr>
          <w:spacing w:val="-2"/>
        </w:rPr>
        <w:t xml:space="preserve"> </w:t>
      </w:r>
      <w:r w:rsidR="00646FCA">
        <w:t>supporting</w:t>
      </w:r>
      <w:r>
        <w:rPr>
          <w:spacing w:val="-3"/>
        </w:rPr>
        <w:t xml:space="preserve"> </w:t>
      </w:r>
      <w:r>
        <w:t>the</w:t>
      </w:r>
      <w:r>
        <w:rPr>
          <w:spacing w:val="-3"/>
        </w:rPr>
        <w:t xml:space="preserve"> </w:t>
      </w:r>
      <w:r>
        <w:t>efficacy</w:t>
      </w:r>
      <w:r>
        <w:rPr>
          <w:spacing w:val="-3"/>
        </w:rPr>
        <w:t xml:space="preserve"> </w:t>
      </w:r>
      <w:r>
        <w:t>of</w:t>
      </w:r>
      <w:r>
        <w:rPr>
          <w:spacing w:val="-5"/>
        </w:rPr>
        <w:t xml:space="preserve"> </w:t>
      </w:r>
      <w:r>
        <w:t>orelabrutinib</w:t>
      </w:r>
      <w:r>
        <w:rPr>
          <w:spacing w:val="-3"/>
        </w:rPr>
        <w:t xml:space="preserve"> </w:t>
      </w:r>
      <w:r w:rsidR="005F4DE3">
        <w:t xml:space="preserve">include that </w:t>
      </w:r>
      <w:r>
        <w:t>the</w:t>
      </w:r>
      <w:r>
        <w:rPr>
          <w:spacing w:val="-3"/>
        </w:rPr>
        <w:t xml:space="preserve"> </w:t>
      </w:r>
      <w:r>
        <w:t>median</w:t>
      </w:r>
      <w:r>
        <w:rPr>
          <w:spacing w:val="-3"/>
        </w:rPr>
        <w:t xml:space="preserve"> </w:t>
      </w:r>
      <w:r>
        <w:t>DOR,</w:t>
      </w:r>
      <w:r>
        <w:rPr>
          <w:spacing w:val="-3"/>
        </w:rPr>
        <w:t xml:space="preserve"> </w:t>
      </w:r>
      <w:r>
        <w:t>PFS and OS are not reached with 47.1 months of follow up (median) and that 25.5% (27/106) patients remain on treatment through compassionate access although the study is closed (the time-to-event results are immature).</w:t>
      </w:r>
    </w:p>
    <w:p w14:paraId="2D989501" w14:textId="29D15267" w:rsidR="0072689D" w:rsidRDefault="0072689D" w:rsidP="00064E6B">
      <w:pPr>
        <w:pStyle w:val="ListBullet"/>
      </w:pPr>
      <w:r>
        <w:t xml:space="preserve">External validity of this study is limited as it was conducted only in Chinese </w:t>
      </w:r>
      <w:r w:rsidR="005A7743">
        <w:t>patients</w:t>
      </w:r>
      <w:r>
        <w:t>. Extrapolation</w:t>
      </w:r>
      <w:r>
        <w:rPr>
          <w:spacing w:val="-4"/>
        </w:rPr>
        <w:t xml:space="preserve"> </w:t>
      </w:r>
      <w:r>
        <w:t>to</w:t>
      </w:r>
      <w:r>
        <w:rPr>
          <w:spacing w:val="-3"/>
        </w:rPr>
        <w:t xml:space="preserve"> </w:t>
      </w:r>
      <w:r>
        <w:t>predominantly</w:t>
      </w:r>
      <w:r>
        <w:rPr>
          <w:spacing w:val="-4"/>
        </w:rPr>
        <w:t xml:space="preserve"> </w:t>
      </w:r>
      <w:r>
        <w:t>Caucasian</w:t>
      </w:r>
      <w:r>
        <w:rPr>
          <w:spacing w:val="-4"/>
        </w:rPr>
        <w:t xml:space="preserve"> </w:t>
      </w:r>
      <w:r>
        <w:t>population</w:t>
      </w:r>
      <w:r>
        <w:rPr>
          <w:spacing w:val="-4"/>
        </w:rPr>
        <w:t xml:space="preserve"> </w:t>
      </w:r>
      <w:r>
        <w:t>in</w:t>
      </w:r>
      <w:r>
        <w:rPr>
          <w:spacing w:val="-4"/>
        </w:rPr>
        <w:t xml:space="preserve"> </w:t>
      </w:r>
      <w:r>
        <w:t>Australia</w:t>
      </w:r>
      <w:r>
        <w:rPr>
          <w:spacing w:val="-6"/>
        </w:rPr>
        <w:t xml:space="preserve"> </w:t>
      </w:r>
      <w:r>
        <w:t>is</w:t>
      </w:r>
      <w:r>
        <w:rPr>
          <w:spacing w:val="-3"/>
        </w:rPr>
        <w:t xml:space="preserve"> </w:t>
      </w:r>
      <w:r>
        <w:t>limited</w:t>
      </w:r>
      <w:r>
        <w:rPr>
          <w:spacing w:val="-4"/>
        </w:rPr>
        <w:t xml:space="preserve"> </w:t>
      </w:r>
      <w:r>
        <w:t xml:space="preserve">although this </w:t>
      </w:r>
      <w:r w:rsidRPr="00556C6C">
        <w:rPr>
          <w:bCs/>
        </w:rPr>
        <w:t>has been addressed</w:t>
      </w:r>
      <w:r>
        <w:rPr>
          <w:b/>
        </w:rPr>
        <w:t xml:space="preserve"> </w:t>
      </w:r>
      <w:r>
        <w:t xml:space="preserve">in study ICP-CL-00107 conducted in non-Chinese patients (predominantly in </w:t>
      </w:r>
      <w:r w:rsidR="00B63188">
        <w:t xml:space="preserve">the </w:t>
      </w:r>
      <w:r>
        <w:t>USA)</w:t>
      </w:r>
      <w:r w:rsidR="00556C6C">
        <w:t>.</w:t>
      </w:r>
    </w:p>
    <w:p w14:paraId="481B40AD" w14:textId="77777777" w:rsidR="00AB1928" w:rsidRPr="00F61AAD" w:rsidRDefault="00AB1928">
      <w:pPr>
        <w:rPr>
          <w:rFonts w:ascii="Arial" w:eastAsia="Times New Roman" w:hAnsi="Arial" w:cs="Times New Roman"/>
          <w:b/>
          <w:bCs/>
          <w:iCs/>
          <w:color w:val="001871"/>
          <w:sz w:val="26"/>
          <w:szCs w:val="26"/>
        </w:rPr>
      </w:pPr>
      <w:r w:rsidRPr="00F61AAD">
        <w:rPr>
          <w:i/>
          <w:iCs/>
        </w:rPr>
        <w:br w:type="page"/>
      </w:r>
    </w:p>
    <w:p w14:paraId="794588F3" w14:textId="14C9EB66" w:rsidR="0072689D" w:rsidRPr="00BB444F" w:rsidRDefault="0072689D" w:rsidP="00AB1928">
      <w:pPr>
        <w:pStyle w:val="Heading5"/>
        <w:spacing w:before="0"/>
        <w:rPr>
          <w:i w:val="0"/>
          <w:iCs/>
          <w:lang w:val="it-IT"/>
        </w:rPr>
      </w:pPr>
      <w:r w:rsidRPr="00BB444F">
        <w:rPr>
          <w:i w:val="0"/>
          <w:iCs/>
          <w:lang w:val="it-IT"/>
        </w:rPr>
        <w:lastRenderedPageBreak/>
        <w:t>Study ICP-CL-00107 (USA, Israel, Ukraine)</w:t>
      </w:r>
    </w:p>
    <w:p w14:paraId="663F3CDE" w14:textId="28D7A7DA" w:rsidR="00AE3A4B" w:rsidRPr="00AE3A4B" w:rsidRDefault="00AE3A4B" w:rsidP="00AE3A4B">
      <w:pPr>
        <w:pStyle w:val="Heading6"/>
      </w:pPr>
      <w:r>
        <w:t>Study design</w:t>
      </w:r>
      <w:r w:rsidR="00D66C27">
        <w:t xml:space="preserve"> </w:t>
      </w:r>
      <w:r w:rsidR="00E168A9">
        <w:t>and dates</w:t>
      </w:r>
      <w:r w:rsidR="005A1C4B">
        <w:t xml:space="preserve"> </w:t>
      </w:r>
    </w:p>
    <w:p w14:paraId="10363925" w14:textId="59EE7DB8" w:rsidR="009450CB" w:rsidRDefault="00BB5261" w:rsidP="007062BB">
      <w:r w:rsidRPr="004513F0">
        <w:rPr>
          <w:bCs/>
        </w:rPr>
        <w:t>This was a</w:t>
      </w:r>
      <w:r>
        <w:rPr>
          <w:spacing w:val="-5"/>
        </w:rPr>
        <w:t xml:space="preserve"> </w:t>
      </w:r>
      <w:r w:rsidR="00057C28">
        <w:rPr>
          <w:spacing w:val="-5"/>
        </w:rPr>
        <w:t>P</w:t>
      </w:r>
      <w:r>
        <w:t>hase</w:t>
      </w:r>
      <w:r>
        <w:rPr>
          <w:spacing w:val="-3"/>
        </w:rPr>
        <w:t xml:space="preserve"> </w:t>
      </w:r>
      <w:r>
        <w:t>1/2,</w:t>
      </w:r>
      <w:r>
        <w:rPr>
          <w:spacing w:val="-3"/>
        </w:rPr>
        <w:t xml:space="preserve"> </w:t>
      </w:r>
      <w:r>
        <w:t>multi-centre,</w:t>
      </w:r>
      <w:r>
        <w:rPr>
          <w:spacing w:val="-3"/>
        </w:rPr>
        <w:t xml:space="preserve"> </w:t>
      </w:r>
      <w:r>
        <w:t>open-label</w:t>
      </w:r>
      <w:r>
        <w:rPr>
          <w:spacing w:val="-6"/>
        </w:rPr>
        <w:t xml:space="preserve"> </w:t>
      </w:r>
      <w:r w:rsidR="009450CB">
        <w:rPr>
          <w:spacing w:val="-6"/>
        </w:rPr>
        <w:t xml:space="preserve">study </w:t>
      </w:r>
      <w:r w:rsidR="009450CB">
        <w:t>of</w:t>
      </w:r>
      <w:r w:rsidR="009450CB">
        <w:rPr>
          <w:spacing w:val="-4"/>
        </w:rPr>
        <w:t xml:space="preserve"> </w:t>
      </w:r>
      <w:r w:rsidR="009450CB">
        <w:t>a</w:t>
      </w:r>
      <w:r w:rsidR="009450CB">
        <w:rPr>
          <w:spacing w:val="-4"/>
        </w:rPr>
        <w:t xml:space="preserve"> </w:t>
      </w:r>
      <w:r w:rsidR="009450CB">
        <w:t>novel</w:t>
      </w:r>
      <w:r w:rsidR="009450CB">
        <w:rPr>
          <w:spacing w:val="-6"/>
        </w:rPr>
        <w:t xml:space="preserve"> </w:t>
      </w:r>
      <w:r w:rsidR="009450CB">
        <w:t>bruton’s</w:t>
      </w:r>
      <w:r w:rsidR="009450CB">
        <w:rPr>
          <w:spacing w:val="-3"/>
        </w:rPr>
        <w:t xml:space="preserve"> </w:t>
      </w:r>
      <w:r w:rsidR="009450CB">
        <w:t>tyrosine</w:t>
      </w:r>
      <w:r w:rsidR="009450CB">
        <w:rPr>
          <w:spacing w:val="-7"/>
        </w:rPr>
        <w:t xml:space="preserve"> </w:t>
      </w:r>
      <w:r w:rsidR="009450CB">
        <w:t>kinase</w:t>
      </w:r>
      <w:r w:rsidR="009450CB">
        <w:rPr>
          <w:spacing w:val="-7"/>
        </w:rPr>
        <w:t xml:space="preserve"> </w:t>
      </w:r>
      <w:r w:rsidR="009450CB">
        <w:rPr>
          <w:spacing w:val="-2"/>
        </w:rPr>
        <w:t>inhibitor,</w:t>
      </w:r>
    </w:p>
    <w:p w14:paraId="6E7ADD4C" w14:textId="27690AED" w:rsidR="009450CB" w:rsidRDefault="009450CB" w:rsidP="007062BB">
      <w:pPr>
        <w:rPr>
          <w:spacing w:val="-2"/>
        </w:rPr>
      </w:pPr>
      <w:r>
        <w:t>orelabrutinib,</w:t>
      </w:r>
      <w:r>
        <w:rPr>
          <w:spacing w:val="-8"/>
        </w:rPr>
        <w:t xml:space="preserve"> </w:t>
      </w:r>
      <w:r>
        <w:t>in</w:t>
      </w:r>
      <w:r>
        <w:rPr>
          <w:spacing w:val="-6"/>
        </w:rPr>
        <w:t xml:space="preserve"> </w:t>
      </w:r>
      <w:r>
        <w:t>patients</w:t>
      </w:r>
      <w:r>
        <w:rPr>
          <w:spacing w:val="-6"/>
        </w:rPr>
        <w:t xml:space="preserve"> </w:t>
      </w:r>
      <w:r>
        <w:t>with</w:t>
      </w:r>
      <w:r>
        <w:rPr>
          <w:spacing w:val="-5"/>
        </w:rPr>
        <w:t xml:space="preserve"> </w:t>
      </w:r>
      <w:r>
        <w:t>b-cell</w:t>
      </w:r>
      <w:r>
        <w:rPr>
          <w:spacing w:val="-7"/>
        </w:rPr>
        <w:t xml:space="preserve"> </w:t>
      </w:r>
      <w:r>
        <w:rPr>
          <w:spacing w:val="-2"/>
        </w:rPr>
        <w:t xml:space="preserve">malignancies. </w:t>
      </w:r>
    </w:p>
    <w:p w14:paraId="441F6AD5" w14:textId="2D59F0E2" w:rsidR="00A81702" w:rsidRPr="00716554" w:rsidRDefault="00A81702" w:rsidP="007062BB">
      <w:pPr>
        <w:rPr>
          <w:sz w:val="8"/>
        </w:rPr>
      </w:pPr>
      <w:r>
        <w:t>The</w:t>
      </w:r>
      <w:r w:rsidRPr="00716554">
        <w:rPr>
          <w:spacing w:val="-6"/>
        </w:rPr>
        <w:t xml:space="preserve"> </w:t>
      </w:r>
      <w:r>
        <w:t>study</w:t>
      </w:r>
      <w:r w:rsidRPr="00716554">
        <w:rPr>
          <w:spacing w:val="-3"/>
        </w:rPr>
        <w:t xml:space="preserve"> </w:t>
      </w:r>
      <w:r>
        <w:t>commenced</w:t>
      </w:r>
      <w:r w:rsidRPr="00716554">
        <w:rPr>
          <w:spacing w:val="-2"/>
        </w:rPr>
        <w:t xml:space="preserve"> </w:t>
      </w:r>
      <w:r>
        <w:t>on</w:t>
      </w:r>
      <w:r w:rsidRPr="00716554">
        <w:rPr>
          <w:spacing w:val="-6"/>
        </w:rPr>
        <w:t xml:space="preserve"> </w:t>
      </w:r>
      <w:r>
        <w:t>18</w:t>
      </w:r>
      <w:r w:rsidRPr="00716554">
        <w:rPr>
          <w:spacing w:val="-3"/>
        </w:rPr>
        <w:t xml:space="preserve"> </w:t>
      </w:r>
      <w:r>
        <w:t>November</w:t>
      </w:r>
      <w:r w:rsidRPr="00716554">
        <w:rPr>
          <w:spacing w:val="-2"/>
        </w:rPr>
        <w:t xml:space="preserve"> </w:t>
      </w:r>
      <w:r>
        <w:t>2019</w:t>
      </w:r>
      <w:r w:rsidRPr="00716554">
        <w:rPr>
          <w:spacing w:val="-2"/>
        </w:rPr>
        <w:t xml:space="preserve"> </w:t>
      </w:r>
      <w:r>
        <w:t>with</w:t>
      </w:r>
      <w:r w:rsidRPr="00716554">
        <w:rPr>
          <w:spacing w:val="-2"/>
        </w:rPr>
        <w:t xml:space="preserve"> </w:t>
      </w:r>
      <w:r>
        <w:t>a</w:t>
      </w:r>
      <w:r w:rsidRPr="00716554">
        <w:rPr>
          <w:spacing w:val="-2"/>
        </w:rPr>
        <w:t xml:space="preserve"> </w:t>
      </w:r>
      <w:r>
        <w:t>data</w:t>
      </w:r>
      <w:r w:rsidRPr="00716554">
        <w:rPr>
          <w:spacing w:val="-3"/>
        </w:rPr>
        <w:t xml:space="preserve"> </w:t>
      </w:r>
      <w:r>
        <w:t>cut</w:t>
      </w:r>
      <w:r w:rsidRPr="00716554">
        <w:rPr>
          <w:spacing w:val="-5"/>
        </w:rPr>
        <w:t>-</w:t>
      </w:r>
      <w:r>
        <w:rPr>
          <w:spacing w:val="-5"/>
        </w:rPr>
        <w:t xml:space="preserve">off date for this evaluation </w:t>
      </w:r>
      <w:r>
        <w:t>of</w:t>
      </w:r>
      <w:r w:rsidRPr="00716554">
        <w:rPr>
          <w:spacing w:val="-2"/>
        </w:rPr>
        <w:t xml:space="preserve"> </w:t>
      </w:r>
      <w:r>
        <w:t>1</w:t>
      </w:r>
      <w:r w:rsidRPr="00716554">
        <w:rPr>
          <w:spacing w:val="-2"/>
        </w:rPr>
        <w:t xml:space="preserve"> </w:t>
      </w:r>
      <w:r>
        <w:t>May</w:t>
      </w:r>
      <w:r w:rsidRPr="00716554">
        <w:rPr>
          <w:spacing w:val="-2"/>
        </w:rPr>
        <w:t xml:space="preserve"> 2024.</w:t>
      </w:r>
    </w:p>
    <w:p w14:paraId="04523889" w14:textId="0B0CC057" w:rsidR="00A81702" w:rsidRDefault="00A81702" w:rsidP="007062BB">
      <w:r>
        <w:t>The</w:t>
      </w:r>
      <w:r w:rsidRPr="00716554">
        <w:rPr>
          <w:spacing w:val="-5"/>
        </w:rPr>
        <w:t xml:space="preserve"> </w:t>
      </w:r>
      <w:r>
        <w:t>study</w:t>
      </w:r>
      <w:r w:rsidRPr="00716554">
        <w:rPr>
          <w:spacing w:val="-3"/>
        </w:rPr>
        <w:t xml:space="preserve"> </w:t>
      </w:r>
      <w:r>
        <w:t>design</w:t>
      </w:r>
      <w:r w:rsidRPr="00716554">
        <w:rPr>
          <w:spacing w:val="-3"/>
        </w:rPr>
        <w:t xml:space="preserve"> </w:t>
      </w:r>
      <w:r>
        <w:t>was</w:t>
      </w:r>
      <w:r w:rsidRPr="00716554">
        <w:rPr>
          <w:spacing w:val="-1"/>
        </w:rPr>
        <w:t xml:space="preserve"> </w:t>
      </w:r>
      <w:r>
        <w:t>a</w:t>
      </w:r>
      <w:r w:rsidRPr="00716554">
        <w:rPr>
          <w:spacing w:val="-3"/>
        </w:rPr>
        <w:t xml:space="preserve"> </w:t>
      </w:r>
      <w:r>
        <w:t>classical</w:t>
      </w:r>
      <w:r w:rsidRPr="00716554">
        <w:rPr>
          <w:spacing w:val="-2"/>
        </w:rPr>
        <w:t xml:space="preserve"> </w:t>
      </w:r>
      <w:r>
        <w:t>phase</w:t>
      </w:r>
      <w:r w:rsidRPr="00716554">
        <w:rPr>
          <w:spacing w:val="-2"/>
        </w:rPr>
        <w:t xml:space="preserve"> </w:t>
      </w:r>
      <w:r>
        <w:t>1</w:t>
      </w:r>
      <w:r w:rsidRPr="00716554">
        <w:rPr>
          <w:spacing w:val="-3"/>
        </w:rPr>
        <w:t xml:space="preserve"> </w:t>
      </w:r>
      <w:r>
        <w:t>dose</w:t>
      </w:r>
      <w:r w:rsidRPr="00716554">
        <w:rPr>
          <w:spacing w:val="-2"/>
        </w:rPr>
        <w:t xml:space="preserve"> </w:t>
      </w:r>
      <w:r>
        <w:t>escalation</w:t>
      </w:r>
      <w:r w:rsidRPr="00716554">
        <w:rPr>
          <w:spacing w:val="-3"/>
        </w:rPr>
        <w:t xml:space="preserve"> </w:t>
      </w:r>
      <w:r>
        <w:t>followed</w:t>
      </w:r>
      <w:r w:rsidRPr="00716554">
        <w:rPr>
          <w:spacing w:val="-2"/>
        </w:rPr>
        <w:t xml:space="preserve"> </w:t>
      </w:r>
      <w:r>
        <w:t>by</w:t>
      </w:r>
      <w:r w:rsidRPr="00716554">
        <w:rPr>
          <w:spacing w:val="-3"/>
        </w:rPr>
        <w:t xml:space="preserve"> </w:t>
      </w:r>
      <w:r>
        <w:t>a</w:t>
      </w:r>
      <w:r w:rsidRPr="00716554">
        <w:rPr>
          <w:spacing w:val="-3"/>
        </w:rPr>
        <w:t xml:space="preserve"> </w:t>
      </w:r>
      <w:r>
        <w:t>phase</w:t>
      </w:r>
      <w:r w:rsidRPr="00716554">
        <w:rPr>
          <w:spacing w:val="-5"/>
        </w:rPr>
        <w:t xml:space="preserve"> </w:t>
      </w:r>
      <w:r>
        <w:t>2</w:t>
      </w:r>
      <w:r w:rsidRPr="00716554">
        <w:rPr>
          <w:spacing w:val="-2"/>
        </w:rPr>
        <w:t xml:space="preserve"> </w:t>
      </w:r>
      <w:r>
        <w:t>dose</w:t>
      </w:r>
      <w:r w:rsidRPr="00716554">
        <w:rPr>
          <w:spacing w:val="-5"/>
        </w:rPr>
        <w:t xml:space="preserve"> </w:t>
      </w:r>
      <w:r>
        <w:t>expansion phase</w:t>
      </w:r>
      <w:r w:rsidR="00082C91">
        <w:t xml:space="preserve"> (figure </w:t>
      </w:r>
      <w:r w:rsidR="00F800FF">
        <w:t>3</w:t>
      </w:r>
      <w:r w:rsidR="005D4F61">
        <w:t>, page 26</w:t>
      </w:r>
      <w:r w:rsidR="00F800FF">
        <w:t>)</w:t>
      </w:r>
      <w:r>
        <w:t>. Dose escalation was performed in R/R B-cell</w:t>
      </w:r>
      <w:r w:rsidRPr="00716554">
        <w:rPr>
          <w:spacing w:val="-2"/>
        </w:rPr>
        <w:t xml:space="preserve"> </w:t>
      </w:r>
      <w:r>
        <w:t>malignancies at</w:t>
      </w:r>
      <w:r w:rsidRPr="00716554">
        <w:rPr>
          <w:spacing w:val="-1"/>
        </w:rPr>
        <w:t xml:space="preserve"> </w:t>
      </w:r>
      <w:r>
        <w:t xml:space="preserve">100mg </w:t>
      </w:r>
      <w:r w:rsidR="00D26EBC">
        <w:t xml:space="preserve">OD </w:t>
      </w:r>
      <w:r>
        <w:t xml:space="preserve">(cohort 1) and 150mg </w:t>
      </w:r>
      <w:r w:rsidR="00D26EBC">
        <w:t>OD</w:t>
      </w:r>
      <w:r w:rsidR="00237463">
        <w:t xml:space="preserve"> </w:t>
      </w:r>
      <w:r>
        <w:t xml:space="preserve">(cohort 2) of orelabrutinib. The </w:t>
      </w:r>
      <w:r w:rsidR="00FA5B8C">
        <w:t>recommended Phase 2 dose (</w:t>
      </w:r>
      <w:r>
        <w:t>RP</w:t>
      </w:r>
      <w:r w:rsidR="00FA5B8C">
        <w:t>2</w:t>
      </w:r>
      <w:r>
        <w:t>D</w:t>
      </w:r>
      <w:r w:rsidR="00FA5B8C">
        <w:t>)</w:t>
      </w:r>
      <w:r>
        <w:t xml:space="preserve"> was determined at 150mg </w:t>
      </w:r>
      <w:r w:rsidR="00F800FF">
        <w:t>OD</w:t>
      </w:r>
      <w:r>
        <w:t>.</w:t>
      </w:r>
    </w:p>
    <w:p w14:paraId="02D7C653" w14:textId="77777777" w:rsidR="007062BB" w:rsidRDefault="00844A77" w:rsidP="00844A77">
      <w:pPr>
        <w:pStyle w:val="FigureTitle"/>
        <w:rPr>
          <w:lang w:eastAsia="ja-JP"/>
        </w:rPr>
      </w:pPr>
      <w:r>
        <w:t xml:space="preserve">Figure </w:t>
      </w:r>
      <w:r w:rsidR="00D53046">
        <w:t>4</w:t>
      </w:r>
      <w:r>
        <w:t xml:space="preserve">: </w:t>
      </w:r>
      <w:r>
        <w:rPr>
          <w:lang w:eastAsia="ja-JP"/>
        </w:rPr>
        <w:t>Dose expansion design in ICP-CL-00107</w:t>
      </w:r>
    </w:p>
    <w:p w14:paraId="21A1E77F" w14:textId="513F421A" w:rsidR="00844A77" w:rsidRDefault="008F157C" w:rsidP="007062BB">
      <w:r w:rsidRPr="008F157C">
        <w:rPr>
          <w:noProof/>
          <w:lang w:eastAsia="ja-JP"/>
        </w:rPr>
        <w:drawing>
          <wp:inline distT="0" distB="0" distL="0" distR="0" wp14:anchorId="29DA7A57" wp14:editId="28BDC5E8">
            <wp:extent cx="4518212" cy="2158546"/>
            <wp:effectExtent l="0" t="0" r="0" b="0"/>
            <wp:docPr id="959758127" name="图片 1" descr="Figure 4: Dose expansion design in ICP-CL-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58127" name="图片 1" descr="Figure 4: Dose expansion design in ICP-CL-00107"/>
                    <pic:cNvPicPr/>
                  </pic:nvPicPr>
                  <pic:blipFill>
                    <a:blip r:embed="rId31"/>
                    <a:stretch>
                      <a:fillRect/>
                    </a:stretch>
                  </pic:blipFill>
                  <pic:spPr>
                    <a:xfrm>
                      <a:off x="0" y="0"/>
                      <a:ext cx="4521394" cy="2160066"/>
                    </a:xfrm>
                    <a:prstGeom prst="rect">
                      <a:avLst/>
                    </a:prstGeom>
                  </pic:spPr>
                </pic:pic>
              </a:graphicData>
            </a:graphic>
          </wp:inline>
        </w:drawing>
      </w:r>
    </w:p>
    <w:p w14:paraId="1D03DA2B" w14:textId="5C9FFB47" w:rsidR="00D66C27" w:rsidRDefault="004F1739" w:rsidP="00D0312C">
      <w:pPr>
        <w:pStyle w:val="Heading6"/>
      </w:pPr>
      <w:r>
        <w:t>Study location</w:t>
      </w:r>
    </w:p>
    <w:p w14:paraId="45B18BCF" w14:textId="2C9D3CB8" w:rsidR="000A3B61" w:rsidRDefault="000A3B61" w:rsidP="000A3B61">
      <w:r>
        <w:t>The</w:t>
      </w:r>
      <w:r>
        <w:rPr>
          <w:spacing w:val="-5"/>
        </w:rPr>
        <w:t xml:space="preserve"> </w:t>
      </w:r>
      <w:r>
        <w:t>study</w:t>
      </w:r>
      <w:r>
        <w:rPr>
          <w:spacing w:val="-3"/>
        </w:rPr>
        <w:t xml:space="preserve"> </w:t>
      </w:r>
      <w:r>
        <w:t>was</w:t>
      </w:r>
      <w:r>
        <w:rPr>
          <w:spacing w:val="-6"/>
        </w:rPr>
        <w:t xml:space="preserve"> </w:t>
      </w:r>
      <w:r>
        <w:t>conducted</w:t>
      </w:r>
      <w:r>
        <w:rPr>
          <w:spacing w:val="-3"/>
        </w:rPr>
        <w:t xml:space="preserve"> </w:t>
      </w:r>
      <w:r>
        <w:t>in</w:t>
      </w:r>
      <w:r>
        <w:rPr>
          <w:spacing w:val="-3"/>
        </w:rPr>
        <w:t xml:space="preserve"> </w:t>
      </w:r>
      <w:r>
        <w:t>45</w:t>
      </w:r>
      <w:r>
        <w:rPr>
          <w:spacing w:val="-6"/>
        </w:rPr>
        <w:t xml:space="preserve"> </w:t>
      </w:r>
      <w:r>
        <w:t>centres</w:t>
      </w:r>
      <w:r>
        <w:rPr>
          <w:spacing w:val="-1"/>
        </w:rPr>
        <w:t xml:space="preserve"> </w:t>
      </w:r>
      <w:r>
        <w:t>(</w:t>
      </w:r>
      <w:r w:rsidR="008D6A41">
        <w:t xml:space="preserve">the </w:t>
      </w:r>
      <w:r>
        <w:t>principal</w:t>
      </w:r>
      <w:r>
        <w:rPr>
          <w:spacing w:val="-2"/>
        </w:rPr>
        <w:t xml:space="preserve"> </w:t>
      </w:r>
      <w:r>
        <w:t>site</w:t>
      </w:r>
      <w:r>
        <w:rPr>
          <w:spacing w:val="-2"/>
        </w:rPr>
        <w:t xml:space="preserve"> </w:t>
      </w:r>
      <w:r>
        <w:t>was</w:t>
      </w:r>
      <w:r>
        <w:rPr>
          <w:spacing w:val="-1"/>
        </w:rPr>
        <w:t xml:space="preserve"> </w:t>
      </w:r>
      <w:r>
        <w:t>in</w:t>
      </w:r>
      <w:r>
        <w:rPr>
          <w:spacing w:val="-3"/>
        </w:rPr>
        <w:t xml:space="preserve"> </w:t>
      </w:r>
      <w:r w:rsidR="008D6A41">
        <w:rPr>
          <w:spacing w:val="-3"/>
        </w:rPr>
        <w:t xml:space="preserve">the </w:t>
      </w:r>
      <w:r>
        <w:t>USA). Sites included the USA (12), Israel (2) and Ukraine (6).</w:t>
      </w:r>
    </w:p>
    <w:p w14:paraId="112900B1" w14:textId="3CE81EA6" w:rsidR="00D0312C" w:rsidRDefault="000C216A" w:rsidP="00D0312C">
      <w:pPr>
        <w:pStyle w:val="Heading6"/>
      </w:pPr>
      <w:r>
        <w:t>Key inclusion c</w:t>
      </w:r>
      <w:r w:rsidR="00D0312C">
        <w:t xml:space="preserve">riteria </w:t>
      </w:r>
    </w:p>
    <w:p w14:paraId="6CCC975A" w14:textId="69F85872" w:rsidR="00037A86" w:rsidRPr="00037A86" w:rsidRDefault="00037A86" w:rsidP="00037A86">
      <w:r>
        <w:t>Key inclusion criteria included</w:t>
      </w:r>
      <w:r w:rsidR="003D528E">
        <w:t xml:space="preserve"> the following</w:t>
      </w:r>
      <w:r>
        <w:t>:</w:t>
      </w:r>
    </w:p>
    <w:p w14:paraId="329B4525" w14:textId="39C845EA" w:rsidR="000875DB" w:rsidRDefault="003D54F2" w:rsidP="000875DB">
      <w:pPr>
        <w:pStyle w:val="ListBullet"/>
      </w:pPr>
      <w:r>
        <w:t>h</w:t>
      </w:r>
      <w:r w:rsidR="000875DB">
        <w:t>istopathologically</w:t>
      </w:r>
      <w:r w:rsidR="000875DB">
        <w:rPr>
          <w:spacing w:val="-4"/>
        </w:rPr>
        <w:t xml:space="preserve"> </w:t>
      </w:r>
      <w:r w:rsidR="000875DB">
        <w:t>confirmed</w:t>
      </w:r>
      <w:r w:rsidR="000875DB">
        <w:rPr>
          <w:spacing w:val="-4"/>
        </w:rPr>
        <w:t xml:space="preserve"> </w:t>
      </w:r>
      <w:r w:rsidR="000875DB">
        <w:t>relapsed</w:t>
      </w:r>
      <w:r w:rsidR="000875DB">
        <w:rPr>
          <w:spacing w:val="-5"/>
        </w:rPr>
        <w:t xml:space="preserve"> </w:t>
      </w:r>
      <w:r w:rsidR="000875DB">
        <w:t>or</w:t>
      </w:r>
      <w:r w:rsidR="000875DB">
        <w:rPr>
          <w:spacing w:val="-4"/>
        </w:rPr>
        <w:t xml:space="preserve"> </w:t>
      </w:r>
      <w:r w:rsidR="000875DB">
        <w:t>refractory</w:t>
      </w:r>
      <w:r w:rsidR="0000124E">
        <w:t xml:space="preserve"> (R/R)</w:t>
      </w:r>
      <w:r w:rsidR="000875DB">
        <w:rPr>
          <w:spacing w:val="-1"/>
        </w:rPr>
        <w:t xml:space="preserve"> </w:t>
      </w:r>
      <w:r w:rsidR="000875DB">
        <w:t>B-cell</w:t>
      </w:r>
      <w:r w:rsidR="000875DB">
        <w:rPr>
          <w:spacing w:val="-5"/>
        </w:rPr>
        <w:t xml:space="preserve"> </w:t>
      </w:r>
      <w:r w:rsidR="000875DB">
        <w:t>malignancies</w:t>
      </w:r>
      <w:r w:rsidR="000875DB">
        <w:rPr>
          <w:spacing w:val="-6"/>
        </w:rPr>
        <w:t xml:space="preserve"> </w:t>
      </w:r>
      <w:r w:rsidR="000875DB">
        <w:t>(grade</w:t>
      </w:r>
      <w:r w:rsidR="000875DB">
        <w:rPr>
          <w:spacing w:val="-5"/>
        </w:rPr>
        <w:t xml:space="preserve"> </w:t>
      </w:r>
      <w:r w:rsidR="000875DB">
        <w:t>1-3a</w:t>
      </w:r>
      <w:r w:rsidR="000875DB">
        <w:rPr>
          <w:spacing w:val="-4"/>
        </w:rPr>
        <w:t xml:space="preserve"> </w:t>
      </w:r>
      <w:r w:rsidR="000875DB">
        <w:t>FL,</w:t>
      </w:r>
      <w:r w:rsidR="000875DB">
        <w:rPr>
          <w:spacing w:val="40"/>
        </w:rPr>
        <w:t xml:space="preserve"> </w:t>
      </w:r>
      <w:r w:rsidR="000875DB">
        <w:t>MZL, MCL, and CLL/SLL)</w:t>
      </w:r>
    </w:p>
    <w:p w14:paraId="09B8644D" w14:textId="5DD41429" w:rsidR="000875DB" w:rsidRDefault="003D54F2" w:rsidP="000875DB">
      <w:pPr>
        <w:pStyle w:val="ListBullet"/>
      </w:pPr>
      <w:r>
        <w:t>a</w:t>
      </w:r>
      <w:r w:rsidR="000875DB">
        <w:t>ge</w:t>
      </w:r>
      <w:r w:rsidR="000875DB">
        <w:rPr>
          <w:spacing w:val="-2"/>
        </w:rPr>
        <w:t xml:space="preserve"> </w:t>
      </w:r>
      <w:r w:rsidR="000875DB">
        <w:t>≥18</w:t>
      </w:r>
      <w:r w:rsidR="000875DB">
        <w:rPr>
          <w:spacing w:val="2"/>
        </w:rPr>
        <w:t xml:space="preserve"> </w:t>
      </w:r>
      <w:r w:rsidR="000875DB">
        <w:rPr>
          <w:spacing w:val="-2"/>
        </w:rPr>
        <w:t>years</w:t>
      </w:r>
    </w:p>
    <w:p w14:paraId="01EC98DF" w14:textId="77777777" w:rsidR="000875DB" w:rsidRDefault="000875DB" w:rsidP="000875DB">
      <w:pPr>
        <w:pStyle w:val="ListBullet"/>
      </w:pPr>
      <w:r>
        <w:t>ECOG:</w:t>
      </w:r>
      <w:r>
        <w:rPr>
          <w:spacing w:val="-2"/>
        </w:rPr>
        <w:t xml:space="preserve"> </w:t>
      </w:r>
      <w:r>
        <w:t>0-</w:t>
      </w:r>
      <w:r>
        <w:rPr>
          <w:spacing w:val="-10"/>
        </w:rPr>
        <w:t>1</w:t>
      </w:r>
    </w:p>
    <w:p w14:paraId="6CB14DA5" w14:textId="71665CCA" w:rsidR="000875DB" w:rsidRDefault="003D54F2" w:rsidP="000875DB">
      <w:pPr>
        <w:pStyle w:val="ListBullet"/>
      </w:pPr>
      <w:r>
        <w:t>m</w:t>
      </w:r>
      <w:r w:rsidR="000875DB">
        <w:t>easurable</w:t>
      </w:r>
      <w:r w:rsidR="000875DB">
        <w:rPr>
          <w:spacing w:val="-4"/>
        </w:rPr>
        <w:t xml:space="preserve"> </w:t>
      </w:r>
      <w:r w:rsidR="000875DB">
        <w:rPr>
          <w:spacing w:val="-2"/>
        </w:rPr>
        <w:t>disease</w:t>
      </w:r>
    </w:p>
    <w:p w14:paraId="68FC9A58" w14:textId="25CDF462" w:rsidR="000875DB" w:rsidRDefault="003D54F2" w:rsidP="000875DB">
      <w:pPr>
        <w:pStyle w:val="ListBullet"/>
      </w:pPr>
      <w:r>
        <w:t>a</w:t>
      </w:r>
      <w:r w:rsidR="000875DB">
        <w:t>dequate</w:t>
      </w:r>
      <w:r w:rsidR="000875DB">
        <w:rPr>
          <w:spacing w:val="-5"/>
        </w:rPr>
        <w:t xml:space="preserve"> </w:t>
      </w:r>
      <w:r w:rsidR="000875DB">
        <w:t>organ</w:t>
      </w:r>
      <w:r w:rsidR="000875DB">
        <w:rPr>
          <w:spacing w:val="-4"/>
        </w:rPr>
        <w:t xml:space="preserve"> </w:t>
      </w:r>
      <w:r w:rsidR="000875DB">
        <w:rPr>
          <w:spacing w:val="-2"/>
        </w:rPr>
        <w:t>function</w:t>
      </w:r>
    </w:p>
    <w:p w14:paraId="3DBA0600" w14:textId="50A08DA1" w:rsidR="000875DB" w:rsidRDefault="000875DB" w:rsidP="000875DB">
      <w:pPr>
        <w:pStyle w:val="ListBullet"/>
      </w:pPr>
      <w:r>
        <w:t>dose</w:t>
      </w:r>
      <w:r>
        <w:rPr>
          <w:spacing w:val="-3"/>
        </w:rPr>
        <w:t xml:space="preserve"> </w:t>
      </w:r>
      <w:r>
        <w:t>escalation</w:t>
      </w:r>
      <w:r>
        <w:rPr>
          <w:spacing w:val="-3"/>
        </w:rPr>
        <w:t xml:space="preserve"> </w:t>
      </w:r>
      <w:r>
        <w:t>phase:</w:t>
      </w:r>
      <w:r>
        <w:rPr>
          <w:spacing w:val="-3"/>
        </w:rPr>
        <w:t xml:space="preserve"> </w:t>
      </w:r>
      <w:r>
        <w:t>participants</w:t>
      </w:r>
      <w:r>
        <w:rPr>
          <w:spacing w:val="-2"/>
        </w:rPr>
        <w:t xml:space="preserve"> </w:t>
      </w:r>
      <w:r>
        <w:t>must</w:t>
      </w:r>
      <w:r>
        <w:rPr>
          <w:spacing w:val="-2"/>
        </w:rPr>
        <w:t xml:space="preserve"> </w:t>
      </w:r>
      <w:r>
        <w:t>have received</w:t>
      </w:r>
      <w:r>
        <w:rPr>
          <w:spacing w:val="-3"/>
        </w:rPr>
        <w:t xml:space="preserve"> </w:t>
      </w:r>
      <w:r>
        <w:t>&gt;1</w:t>
      </w:r>
      <w:r>
        <w:rPr>
          <w:spacing w:val="-5"/>
        </w:rPr>
        <w:t xml:space="preserve"> </w:t>
      </w:r>
      <w:r>
        <w:t>or</w:t>
      </w:r>
      <w:r>
        <w:rPr>
          <w:spacing w:val="-1"/>
        </w:rPr>
        <w:t xml:space="preserve"> </w:t>
      </w:r>
      <w:r>
        <w:t>≤4 prior</w:t>
      </w:r>
      <w:r>
        <w:rPr>
          <w:spacing w:val="-1"/>
        </w:rPr>
        <w:t xml:space="preserve"> </w:t>
      </w:r>
      <w:r>
        <w:rPr>
          <w:spacing w:val="-2"/>
        </w:rPr>
        <w:t>therapies</w:t>
      </w:r>
    </w:p>
    <w:p w14:paraId="0CA049C6" w14:textId="3A663AE5" w:rsidR="003D54F2" w:rsidRDefault="000875DB" w:rsidP="000875DB">
      <w:pPr>
        <w:pStyle w:val="ListBullet"/>
      </w:pPr>
      <w:r>
        <w:t>dose</w:t>
      </w:r>
      <w:r>
        <w:rPr>
          <w:spacing w:val="-4"/>
        </w:rPr>
        <w:t xml:space="preserve"> </w:t>
      </w:r>
      <w:r>
        <w:t>expansion</w:t>
      </w:r>
      <w:r>
        <w:rPr>
          <w:spacing w:val="-4"/>
        </w:rPr>
        <w:t xml:space="preserve"> </w:t>
      </w:r>
      <w:r>
        <w:t>phase:</w:t>
      </w:r>
      <w:r>
        <w:rPr>
          <w:spacing w:val="-4"/>
        </w:rPr>
        <w:t xml:space="preserve"> </w:t>
      </w:r>
      <w:r>
        <w:t>participants</w:t>
      </w:r>
      <w:r>
        <w:rPr>
          <w:spacing w:val="-3"/>
        </w:rPr>
        <w:t xml:space="preserve"> </w:t>
      </w:r>
      <w:r>
        <w:t>with</w:t>
      </w:r>
      <w:r>
        <w:rPr>
          <w:spacing w:val="-3"/>
        </w:rPr>
        <w:t xml:space="preserve"> </w:t>
      </w:r>
      <w:r w:rsidR="003D528E">
        <w:rPr>
          <w:spacing w:val="-3"/>
        </w:rPr>
        <w:t>R</w:t>
      </w:r>
      <w:r>
        <w:t>/</w:t>
      </w:r>
      <w:r w:rsidR="003D528E">
        <w:t>R</w:t>
      </w:r>
      <w:r>
        <w:rPr>
          <w:spacing w:val="-2"/>
        </w:rPr>
        <w:t xml:space="preserve"> </w:t>
      </w:r>
      <w:r>
        <w:t>FL</w:t>
      </w:r>
      <w:r>
        <w:rPr>
          <w:spacing w:val="-3"/>
        </w:rPr>
        <w:t xml:space="preserve"> </w:t>
      </w:r>
      <w:r>
        <w:t>must</w:t>
      </w:r>
      <w:r>
        <w:rPr>
          <w:spacing w:val="-3"/>
        </w:rPr>
        <w:t xml:space="preserve"> </w:t>
      </w:r>
      <w:r>
        <w:t>have</w:t>
      </w:r>
      <w:r>
        <w:rPr>
          <w:spacing w:val="-1"/>
        </w:rPr>
        <w:t xml:space="preserve"> </w:t>
      </w:r>
      <w:r>
        <w:t>received</w:t>
      </w:r>
      <w:r>
        <w:rPr>
          <w:spacing w:val="-4"/>
        </w:rPr>
        <w:t xml:space="preserve"> </w:t>
      </w:r>
      <w:r>
        <w:t>≥2</w:t>
      </w:r>
      <w:r>
        <w:rPr>
          <w:spacing w:val="-4"/>
        </w:rPr>
        <w:t xml:space="preserve"> </w:t>
      </w:r>
      <w:r>
        <w:t>or</w:t>
      </w:r>
      <w:r>
        <w:rPr>
          <w:spacing w:val="-4"/>
        </w:rPr>
        <w:t xml:space="preserve"> </w:t>
      </w:r>
      <w:r>
        <w:t>≤4</w:t>
      </w:r>
      <w:r>
        <w:rPr>
          <w:spacing w:val="-4"/>
        </w:rPr>
        <w:t xml:space="preserve"> </w:t>
      </w:r>
      <w:r>
        <w:t>prior</w:t>
      </w:r>
      <w:r>
        <w:rPr>
          <w:spacing w:val="40"/>
        </w:rPr>
        <w:t xml:space="preserve"> </w:t>
      </w:r>
      <w:r>
        <w:t>therapies</w:t>
      </w:r>
    </w:p>
    <w:p w14:paraId="2484F449" w14:textId="5D9D80DE" w:rsidR="000875DB" w:rsidRPr="007062BB" w:rsidRDefault="000875DB" w:rsidP="000875DB">
      <w:pPr>
        <w:pStyle w:val="ListBullet"/>
      </w:pPr>
      <w:r>
        <w:t>other r/r malignancies</w:t>
      </w:r>
      <w:r w:rsidR="001A2381">
        <w:t>:</w:t>
      </w:r>
      <w:r>
        <w:t xml:space="preserve"> participants must have received &gt;1 or ≤4 prior</w:t>
      </w:r>
      <w:r>
        <w:rPr>
          <w:spacing w:val="40"/>
        </w:rPr>
        <w:t xml:space="preserve"> </w:t>
      </w:r>
      <w:r>
        <w:rPr>
          <w:spacing w:val="-2"/>
        </w:rPr>
        <w:t>therapies</w:t>
      </w:r>
      <w:r w:rsidR="003D54F2">
        <w:rPr>
          <w:spacing w:val="-2"/>
        </w:rPr>
        <w:t>.</w:t>
      </w:r>
    </w:p>
    <w:p w14:paraId="31FAE38F" w14:textId="77777777" w:rsidR="007062BB" w:rsidRDefault="007062BB" w:rsidP="007062BB"/>
    <w:p w14:paraId="241AC5EA" w14:textId="489E0A82" w:rsidR="004D0A7D" w:rsidRDefault="00090B48" w:rsidP="00037A86">
      <w:pPr>
        <w:pStyle w:val="Heading6"/>
        <w:rPr>
          <w:lang w:val="en-US"/>
        </w:rPr>
      </w:pPr>
      <w:r>
        <w:rPr>
          <w:lang w:val="en-US"/>
        </w:rPr>
        <w:lastRenderedPageBreak/>
        <w:t>Key exclusion criteria</w:t>
      </w:r>
    </w:p>
    <w:p w14:paraId="2EADC4AC" w14:textId="4D04572E" w:rsidR="00037A86" w:rsidRPr="00037A86" w:rsidRDefault="00037A86" w:rsidP="00037A86">
      <w:pPr>
        <w:rPr>
          <w:lang w:val="en-US"/>
        </w:rPr>
      </w:pPr>
      <w:r>
        <w:rPr>
          <w:lang w:val="en-US"/>
        </w:rPr>
        <w:t>Key exclusion criteria included</w:t>
      </w:r>
      <w:r w:rsidR="003D528E">
        <w:rPr>
          <w:lang w:val="en-US"/>
        </w:rPr>
        <w:t xml:space="preserve"> the following</w:t>
      </w:r>
      <w:r>
        <w:rPr>
          <w:lang w:val="en-US"/>
        </w:rPr>
        <w:t>:</w:t>
      </w:r>
    </w:p>
    <w:p w14:paraId="7AD74BE8" w14:textId="5C08D608" w:rsidR="00090B48" w:rsidRDefault="003D54F2" w:rsidP="00090B48">
      <w:pPr>
        <w:pStyle w:val="ListBullet"/>
      </w:pPr>
      <w:r>
        <w:t>l</w:t>
      </w:r>
      <w:r w:rsidR="00090B48">
        <w:t>ymphoma</w:t>
      </w:r>
      <w:r w:rsidR="00090B48">
        <w:rPr>
          <w:spacing w:val="-4"/>
        </w:rPr>
        <w:t xml:space="preserve"> </w:t>
      </w:r>
      <w:r w:rsidR="00090B48">
        <w:t>involving</w:t>
      </w:r>
      <w:r w:rsidR="00090B48">
        <w:rPr>
          <w:spacing w:val="-2"/>
        </w:rPr>
        <w:t xml:space="preserve"> </w:t>
      </w:r>
      <w:r w:rsidR="00090B48">
        <w:rPr>
          <w:spacing w:val="-5"/>
        </w:rPr>
        <w:t>CNS</w:t>
      </w:r>
    </w:p>
    <w:p w14:paraId="30880FB3" w14:textId="7C973DE7" w:rsidR="00090B48" w:rsidRDefault="003D54F2" w:rsidP="00090B48">
      <w:pPr>
        <w:pStyle w:val="ListBullet"/>
      </w:pPr>
      <w:r>
        <w:t>r</w:t>
      </w:r>
      <w:r w:rsidR="00090B48">
        <w:t>ecent</w:t>
      </w:r>
      <w:r w:rsidR="00090B48">
        <w:rPr>
          <w:spacing w:val="-2"/>
        </w:rPr>
        <w:t xml:space="preserve"> </w:t>
      </w:r>
      <w:r w:rsidR="00090B48">
        <w:t>high</w:t>
      </w:r>
      <w:r w:rsidR="00090B48">
        <w:rPr>
          <w:spacing w:val="-4"/>
        </w:rPr>
        <w:t xml:space="preserve"> </w:t>
      </w:r>
      <w:r w:rsidR="00090B48">
        <w:t>dose</w:t>
      </w:r>
      <w:r w:rsidR="00090B48">
        <w:rPr>
          <w:spacing w:val="-1"/>
        </w:rPr>
        <w:t xml:space="preserve"> </w:t>
      </w:r>
      <w:r w:rsidR="00090B48">
        <w:t>steroid</w:t>
      </w:r>
      <w:r w:rsidR="00090B48">
        <w:rPr>
          <w:spacing w:val="1"/>
        </w:rPr>
        <w:t xml:space="preserve"> </w:t>
      </w:r>
      <w:r w:rsidR="00090B48">
        <w:rPr>
          <w:spacing w:val="-5"/>
        </w:rPr>
        <w:t>use</w:t>
      </w:r>
    </w:p>
    <w:p w14:paraId="6ECF08C9" w14:textId="09AB2CAC" w:rsidR="00090B48" w:rsidRDefault="003D54F2" w:rsidP="00090B48">
      <w:pPr>
        <w:pStyle w:val="ListBullet"/>
      </w:pPr>
      <w:r>
        <w:t>p</w:t>
      </w:r>
      <w:r w:rsidR="00090B48">
        <w:t>revious</w:t>
      </w:r>
      <w:r w:rsidR="00090B48">
        <w:rPr>
          <w:spacing w:val="-3"/>
        </w:rPr>
        <w:t xml:space="preserve"> </w:t>
      </w:r>
      <w:r w:rsidR="00090B48">
        <w:rPr>
          <w:spacing w:val="-2"/>
        </w:rPr>
        <w:t>alloSCT</w:t>
      </w:r>
    </w:p>
    <w:p w14:paraId="1F665D77" w14:textId="4FE9B146" w:rsidR="00090B48" w:rsidRPr="00090B48" w:rsidRDefault="003D54F2" w:rsidP="00090B48">
      <w:pPr>
        <w:pStyle w:val="ListBullet"/>
        <w:rPr>
          <w:lang w:val="en-US"/>
        </w:rPr>
      </w:pPr>
      <w:r>
        <w:t>i</w:t>
      </w:r>
      <w:r w:rsidR="00090B48">
        <w:t>n</w:t>
      </w:r>
      <w:r w:rsidR="00090B48">
        <w:rPr>
          <w:spacing w:val="-1"/>
        </w:rPr>
        <w:t xml:space="preserve"> </w:t>
      </w:r>
      <w:r w:rsidR="00090B48">
        <w:t>expansion</w:t>
      </w:r>
      <w:r w:rsidR="00090B48">
        <w:rPr>
          <w:spacing w:val="-1"/>
        </w:rPr>
        <w:t xml:space="preserve"> </w:t>
      </w:r>
      <w:r w:rsidR="00090B48">
        <w:t>phase:</w:t>
      </w:r>
      <w:r w:rsidR="00090B48">
        <w:rPr>
          <w:spacing w:val="1"/>
        </w:rPr>
        <w:t xml:space="preserve"> </w:t>
      </w:r>
      <w:r w:rsidR="00090B48">
        <w:t>previous</w:t>
      </w:r>
      <w:r w:rsidR="00090B48">
        <w:rPr>
          <w:spacing w:val="-2"/>
        </w:rPr>
        <w:t xml:space="preserve"> </w:t>
      </w:r>
      <w:r w:rsidR="00090B48">
        <w:t>BTK</w:t>
      </w:r>
      <w:r w:rsidR="00090B48">
        <w:rPr>
          <w:spacing w:val="-2"/>
        </w:rPr>
        <w:t xml:space="preserve"> </w:t>
      </w:r>
      <w:r w:rsidR="00090B48">
        <w:t>inhibitor</w:t>
      </w:r>
      <w:r w:rsidR="00090B48">
        <w:rPr>
          <w:spacing w:val="-1"/>
        </w:rPr>
        <w:t xml:space="preserve"> </w:t>
      </w:r>
      <w:r w:rsidR="00090B48">
        <w:t>in</w:t>
      </w:r>
      <w:r w:rsidR="00090B48">
        <w:rPr>
          <w:spacing w:val="-1"/>
        </w:rPr>
        <w:t xml:space="preserve"> </w:t>
      </w:r>
      <w:r w:rsidR="00090B48">
        <w:t>arm</w:t>
      </w:r>
      <w:r w:rsidR="00090B48">
        <w:rPr>
          <w:spacing w:val="-5"/>
        </w:rPr>
        <w:t xml:space="preserve"> </w:t>
      </w:r>
      <w:r w:rsidR="00090B48">
        <w:t>1</w:t>
      </w:r>
      <w:r w:rsidR="00090B48">
        <w:rPr>
          <w:spacing w:val="-3"/>
        </w:rPr>
        <w:t xml:space="preserve"> </w:t>
      </w:r>
      <w:r w:rsidR="00090B48">
        <w:t>(</w:t>
      </w:r>
      <w:r w:rsidR="003D528E">
        <w:t>R</w:t>
      </w:r>
      <w:r w:rsidR="00090B48">
        <w:t>/</w:t>
      </w:r>
      <w:r w:rsidR="003D528E">
        <w:t>R</w:t>
      </w:r>
      <w:r w:rsidR="00090B48">
        <w:t xml:space="preserve"> </w:t>
      </w:r>
      <w:r w:rsidR="00090B48">
        <w:rPr>
          <w:spacing w:val="-4"/>
        </w:rPr>
        <w:t>MCL)</w:t>
      </w:r>
      <w:r>
        <w:rPr>
          <w:spacing w:val="-4"/>
        </w:rPr>
        <w:t>.</w:t>
      </w:r>
    </w:p>
    <w:p w14:paraId="7BDE8964" w14:textId="1FC193C2" w:rsidR="0072689D" w:rsidRDefault="0072689D" w:rsidP="0072689D">
      <w:pPr>
        <w:pStyle w:val="Heading6"/>
        <w:jc w:val="both"/>
      </w:pPr>
      <w:r>
        <w:t>Randomisation</w:t>
      </w:r>
      <w:r w:rsidR="0082045B">
        <w:t xml:space="preserve"> </w:t>
      </w:r>
      <w:r>
        <w:t>and</w:t>
      </w:r>
      <w:r>
        <w:rPr>
          <w:spacing w:val="-7"/>
        </w:rPr>
        <w:t xml:space="preserve"> </w:t>
      </w:r>
      <w:r>
        <w:rPr>
          <w:spacing w:val="-2"/>
        </w:rPr>
        <w:t>blinding</w:t>
      </w:r>
      <w:r w:rsidR="00FF74F0">
        <w:rPr>
          <w:spacing w:val="-2"/>
        </w:rPr>
        <w:t xml:space="preserve"> </w:t>
      </w:r>
    </w:p>
    <w:p w14:paraId="24BD87F1" w14:textId="35B17AC7" w:rsidR="00E6176B" w:rsidRDefault="00E6176B" w:rsidP="00817068">
      <w:pPr>
        <w:rPr>
          <w:rFonts w:cs="ƒx_Ô'1"/>
          <w:lang w:val="en-GB"/>
        </w:rPr>
      </w:pPr>
      <w:r w:rsidRPr="00376AC2">
        <w:rPr>
          <w:lang w:val="en-GB"/>
        </w:rPr>
        <w:t xml:space="preserve">A set of screening numbers was provided to each site by the </w:t>
      </w:r>
      <w:r>
        <w:rPr>
          <w:lang w:val="en-GB"/>
        </w:rPr>
        <w:t>s</w:t>
      </w:r>
      <w:r w:rsidRPr="00376AC2">
        <w:rPr>
          <w:lang w:val="en-GB"/>
        </w:rPr>
        <w:t>ponsor or designee. Sites were required to notify the Sponsor or designee of planned subject screening to manage recruitment. An Eligibility Screening Form (ESF) documenting the i</w:t>
      </w:r>
      <w:r w:rsidRPr="00376AC2">
        <w:rPr>
          <w:rFonts w:cs="ƒx_Ô'1"/>
          <w:lang w:val="en-GB"/>
        </w:rPr>
        <w:t xml:space="preserve">nvestigator’s assessment of each screened </w:t>
      </w:r>
      <w:r w:rsidRPr="00376AC2">
        <w:rPr>
          <w:lang w:val="en-GB"/>
        </w:rPr>
        <w:t xml:space="preserve">subject </w:t>
      </w:r>
      <w:r w:rsidRPr="00376AC2">
        <w:rPr>
          <w:rFonts w:cs="ƒx_Ô'1"/>
          <w:lang w:val="en-GB"/>
        </w:rPr>
        <w:t>with regards to the protocol’s inclusion and</w:t>
      </w:r>
      <w:r w:rsidRPr="00376AC2">
        <w:rPr>
          <w:lang w:val="en-GB"/>
        </w:rPr>
        <w:t xml:space="preserve"> exclusion criteria was completed and signed by the investigator (or designee). The investigator maintained a screening log to record details of all subjects screened and to confirm eligibility or record reasons for screening failure, as applicable. </w:t>
      </w:r>
      <w:r w:rsidRPr="00376AC2">
        <w:rPr>
          <w:rFonts w:cs="ƒx_Ô'1"/>
          <w:lang w:val="en-GB"/>
        </w:rPr>
        <w:t>Under no circumstances were subjects who enrolled and received study medication, as specified in</w:t>
      </w:r>
      <w:r w:rsidRPr="00376AC2">
        <w:rPr>
          <w:lang w:val="en-GB"/>
        </w:rPr>
        <w:t xml:space="preserve"> </w:t>
      </w:r>
      <w:r w:rsidRPr="00376AC2">
        <w:rPr>
          <w:rFonts w:cs="ƒx_Ô'1"/>
          <w:lang w:val="en-GB"/>
        </w:rPr>
        <w:t>this clinical trial, permitted to be allocated to a new enrolment number/subject number and</w:t>
      </w:r>
      <w:r w:rsidRPr="00376AC2">
        <w:rPr>
          <w:lang w:val="en-GB"/>
        </w:rPr>
        <w:t xml:space="preserve"> </w:t>
      </w:r>
      <w:r w:rsidRPr="00376AC2">
        <w:rPr>
          <w:rFonts w:cs="ƒx_Ô'1"/>
          <w:lang w:val="en-GB"/>
        </w:rPr>
        <w:t>re-enrol in this study.</w:t>
      </w:r>
    </w:p>
    <w:p w14:paraId="0BD98D23" w14:textId="7F3BC9B6" w:rsidR="00E6176B" w:rsidRDefault="00E6176B" w:rsidP="00817068">
      <w:pPr>
        <w:rPr>
          <w:lang w:eastAsia="ja-JP"/>
        </w:rPr>
      </w:pPr>
      <w:r w:rsidRPr="00376AC2">
        <w:rPr>
          <w:lang w:eastAsia="ja-JP"/>
        </w:rPr>
        <w:t>Th</w:t>
      </w:r>
      <w:r>
        <w:rPr>
          <w:lang w:eastAsia="ja-JP"/>
        </w:rPr>
        <w:t>e</w:t>
      </w:r>
      <w:r w:rsidRPr="00376AC2">
        <w:rPr>
          <w:lang w:eastAsia="ja-JP"/>
        </w:rPr>
        <w:t xml:space="preserve"> study was open-label and </w:t>
      </w:r>
      <w:r>
        <w:rPr>
          <w:lang w:eastAsia="ja-JP"/>
        </w:rPr>
        <w:t>therefore</w:t>
      </w:r>
      <w:r w:rsidRPr="00376AC2">
        <w:rPr>
          <w:lang w:eastAsia="ja-JP"/>
        </w:rPr>
        <w:t xml:space="preserve"> </w:t>
      </w:r>
      <w:r>
        <w:rPr>
          <w:lang w:eastAsia="ja-JP"/>
        </w:rPr>
        <w:t>blinding was not applicable</w:t>
      </w:r>
      <w:r w:rsidRPr="00376AC2">
        <w:rPr>
          <w:lang w:eastAsia="ja-JP"/>
        </w:rPr>
        <w:t xml:space="preserve">. </w:t>
      </w:r>
    </w:p>
    <w:p w14:paraId="5F41D3C6" w14:textId="227F7BF8" w:rsidR="0072689D" w:rsidRDefault="0072689D" w:rsidP="00745CFA">
      <w:pPr>
        <w:pStyle w:val="Heading6"/>
        <w:jc w:val="both"/>
      </w:pPr>
      <w:r>
        <w:t>Statistical</w:t>
      </w:r>
      <w:r>
        <w:rPr>
          <w:spacing w:val="-11"/>
        </w:rPr>
        <w:t xml:space="preserve"> </w:t>
      </w:r>
      <w:r>
        <w:t>analysis</w:t>
      </w:r>
      <w:r>
        <w:rPr>
          <w:spacing w:val="-7"/>
        </w:rPr>
        <w:t xml:space="preserve"> </w:t>
      </w:r>
      <w:r>
        <w:rPr>
          <w:spacing w:val="-4"/>
        </w:rPr>
        <w:t>plan</w:t>
      </w:r>
      <w:r w:rsidR="0051157B">
        <w:rPr>
          <w:spacing w:val="-4"/>
        </w:rPr>
        <w:t xml:space="preserve"> and efficacy endpoints</w:t>
      </w:r>
    </w:p>
    <w:p w14:paraId="3C8C6DCB" w14:textId="77777777" w:rsidR="003E125B" w:rsidRDefault="003E125B" w:rsidP="00817068">
      <w:bookmarkStart w:id="53" w:name="_Toc202463748"/>
      <w:bookmarkStart w:id="54" w:name="_Ref202470898"/>
      <w:bookmarkStart w:id="55" w:name="_Toc211510473"/>
      <w:r>
        <w:t>No</w:t>
      </w:r>
      <w:r w:rsidRPr="00183375">
        <w:t xml:space="preserve"> formal statistical hypotheses were tested. The data were analysed in</w:t>
      </w:r>
      <w:r w:rsidRPr="00183375">
        <w:rPr>
          <w:spacing w:val="-1"/>
        </w:rPr>
        <w:t xml:space="preserve"> </w:t>
      </w:r>
      <w:r w:rsidRPr="00183375">
        <w:t xml:space="preserve">a descriptive manner. </w:t>
      </w:r>
    </w:p>
    <w:p w14:paraId="725CD092" w14:textId="77777777" w:rsidR="003E125B" w:rsidRDefault="003E125B" w:rsidP="00817068">
      <w:pPr>
        <w:rPr>
          <w:spacing w:val="-5"/>
        </w:rPr>
      </w:pPr>
      <w:r w:rsidRPr="00183375">
        <w:t>All</w:t>
      </w:r>
      <w:r w:rsidRPr="00183375">
        <w:rPr>
          <w:spacing w:val="-2"/>
        </w:rPr>
        <w:t xml:space="preserve"> </w:t>
      </w:r>
      <w:r w:rsidRPr="00183375">
        <w:t>subjects</w:t>
      </w:r>
      <w:r w:rsidRPr="00183375">
        <w:rPr>
          <w:spacing w:val="-1"/>
        </w:rPr>
        <w:t xml:space="preserve"> </w:t>
      </w:r>
      <w:r w:rsidRPr="00183375">
        <w:t>with</w:t>
      </w:r>
      <w:r w:rsidRPr="00183375">
        <w:rPr>
          <w:spacing w:val="-2"/>
        </w:rPr>
        <w:t xml:space="preserve"> </w:t>
      </w:r>
      <w:r w:rsidRPr="00183375">
        <w:t>MCL</w:t>
      </w:r>
      <w:r w:rsidRPr="00183375">
        <w:rPr>
          <w:spacing w:val="-3"/>
        </w:rPr>
        <w:t xml:space="preserve"> </w:t>
      </w:r>
      <w:r w:rsidRPr="00183375">
        <w:t>enrolled</w:t>
      </w:r>
      <w:r w:rsidRPr="00183375">
        <w:rPr>
          <w:spacing w:val="-2"/>
        </w:rPr>
        <w:t xml:space="preserve"> </w:t>
      </w:r>
      <w:r w:rsidRPr="00183375">
        <w:t>in</w:t>
      </w:r>
      <w:r w:rsidRPr="00183375">
        <w:rPr>
          <w:spacing w:val="-3"/>
        </w:rPr>
        <w:t xml:space="preserve"> </w:t>
      </w:r>
      <w:r>
        <w:rPr>
          <w:spacing w:val="-3"/>
        </w:rPr>
        <w:t>P</w:t>
      </w:r>
      <w:r w:rsidRPr="00183375">
        <w:t>hase</w:t>
      </w:r>
      <w:r w:rsidRPr="00183375">
        <w:rPr>
          <w:spacing w:val="-2"/>
        </w:rPr>
        <w:t xml:space="preserve"> </w:t>
      </w:r>
      <w:r>
        <w:t>1</w:t>
      </w:r>
      <w:r w:rsidRPr="00183375">
        <w:rPr>
          <w:spacing w:val="-2"/>
        </w:rPr>
        <w:t xml:space="preserve"> </w:t>
      </w:r>
      <w:r w:rsidRPr="00183375">
        <w:t>and</w:t>
      </w:r>
      <w:r w:rsidRPr="00183375">
        <w:rPr>
          <w:spacing w:val="-3"/>
        </w:rPr>
        <w:t xml:space="preserve"> </w:t>
      </w:r>
      <w:r w:rsidRPr="00183375">
        <w:t>arm</w:t>
      </w:r>
      <w:r w:rsidRPr="00183375">
        <w:rPr>
          <w:spacing w:val="-1"/>
        </w:rPr>
        <w:t xml:space="preserve"> </w:t>
      </w:r>
      <w:r>
        <w:t>1</w:t>
      </w:r>
      <w:r w:rsidRPr="00183375">
        <w:rPr>
          <w:spacing w:val="-5"/>
        </w:rPr>
        <w:t xml:space="preserve"> </w:t>
      </w:r>
      <w:r w:rsidRPr="00183375">
        <w:t>of</w:t>
      </w:r>
      <w:r w:rsidRPr="00183375">
        <w:rPr>
          <w:spacing w:val="-2"/>
        </w:rPr>
        <w:t xml:space="preserve"> </w:t>
      </w:r>
      <w:r>
        <w:rPr>
          <w:spacing w:val="-2"/>
        </w:rPr>
        <w:t>P</w:t>
      </w:r>
      <w:r w:rsidRPr="00183375">
        <w:t>hase</w:t>
      </w:r>
      <w:r w:rsidRPr="00183375">
        <w:rPr>
          <w:spacing w:val="-2"/>
        </w:rPr>
        <w:t xml:space="preserve"> </w:t>
      </w:r>
      <w:r>
        <w:t>2</w:t>
      </w:r>
      <w:r w:rsidRPr="00183375">
        <w:rPr>
          <w:spacing w:val="-2"/>
        </w:rPr>
        <w:t xml:space="preserve"> </w:t>
      </w:r>
      <w:r w:rsidRPr="00183375">
        <w:t>were</w:t>
      </w:r>
      <w:r w:rsidRPr="00183375">
        <w:rPr>
          <w:spacing w:val="-2"/>
        </w:rPr>
        <w:t xml:space="preserve"> </w:t>
      </w:r>
      <w:r w:rsidRPr="00183375">
        <w:t>combined</w:t>
      </w:r>
      <w:r w:rsidRPr="00183375">
        <w:rPr>
          <w:spacing w:val="-3"/>
        </w:rPr>
        <w:t xml:space="preserve"> </w:t>
      </w:r>
      <w:r w:rsidRPr="00183375">
        <w:t>and</w:t>
      </w:r>
      <w:r w:rsidRPr="00183375">
        <w:rPr>
          <w:spacing w:val="-3"/>
        </w:rPr>
        <w:t xml:space="preserve"> </w:t>
      </w:r>
      <w:r w:rsidRPr="00183375">
        <w:t>included</w:t>
      </w:r>
      <w:r w:rsidRPr="00183375">
        <w:rPr>
          <w:spacing w:val="-2"/>
        </w:rPr>
        <w:t xml:space="preserve"> </w:t>
      </w:r>
      <w:r w:rsidRPr="00183375">
        <w:t>in the</w:t>
      </w:r>
      <w:r w:rsidRPr="00183375">
        <w:rPr>
          <w:spacing w:val="-2"/>
        </w:rPr>
        <w:t xml:space="preserve"> </w:t>
      </w:r>
      <w:r w:rsidRPr="00183375">
        <w:t>efficacy</w:t>
      </w:r>
      <w:r w:rsidRPr="00183375">
        <w:rPr>
          <w:spacing w:val="-3"/>
        </w:rPr>
        <w:t xml:space="preserve"> </w:t>
      </w:r>
      <w:r w:rsidRPr="00183375">
        <w:t>analysis</w:t>
      </w:r>
      <w:r w:rsidRPr="00183375">
        <w:rPr>
          <w:spacing w:val="-1"/>
        </w:rPr>
        <w:t xml:space="preserve"> </w:t>
      </w:r>
      <w:r w:rsidRPr="00183375">
        <w:t>of</w:t>
      </w:r>
      <w:r w:rsidRPr="00183375">
        <w:rPr>
          <w:spacing w:val="-2"/>
        </w:rPr>
        <w:t xml:space="preserve"> </w:t>
      </w:r>
      <w:r w:rsidRPr="00183375">
        <w:t>patients</w:t>
      </w:r>
      <w:r w:rsidRPr="00183375">
        <w:rPr>
          <w:spacing w:val="-1"/>
        </w:rPr>
        <w:t xml:space="preserve"> </w:t>
      </w:r>
      <w:r w:rsidRPr="00183375">
        <w:t>with</w:t>
      </w:r>
      <w:r w:rsidRPr="00183375">
        <w:rPr>
          <w:spacing w:val="-2"/>
        </w:rPr>
        <w:t xml:space="preserve"> </w:t>
      </w:r>
      <w:r w:rsidRPr="00183375">
        <w:t>MCL</w:t>
      </w:r>
      <w:r w:rsidRPr="00183375">
        <w:rPr>
          <w:spacing w:val="-6"/>
        </w:rPr>
        <w:t xml:space="preserve"> </w:t>
      </w:r>
      <w:r w:rsidRPr="00183375">
        <w:t>subjects.</w:t>
      </w:r>
      <w:r w:rsidRPr="00183375">
        <w:rPr>
          <w:spacing w:val="-5"/>
        </w:rPr>
        <w:t xml:space="preserve"> </w:t>
      </w:r>
    </w:p>
    <w:p w14:paraId="6DBA6A58" w14:textId="77777777" w:rsidR="003E125B" w:rsidRDefault="003E125B" w:rsidP="00817068">
      <w:r w:rsidRPr="00183375">
        <w:t>The</w:t>
      </w:r>
      <w:r w:rsidRPr="00183375">
        <w:rPr>
          <w:spacing w:val="-2"/>
        </w:rPr>
        <w:t xml:space="preserve"> </w:t>
      </w:r>
      <w:r w:rsidRPr="00183375">
        <w:t>primary</w:t>
      </w:r>
      <w:r w:rsidRPr="00183375">
        <w:rPr>
          <w:spacing w:val="-3"/>
        </w:rPr>
        <w:t xml:space="preserve"> </w:t>
      </w:r>
      <w:r w:rsidRPr="00183375">
        <w:t>efficacy</w:t>
      </w:r>
      <w:r w:rsidRPr="00183375">
        <w:rPr>
          <w:spacing w:val="-3"/>
        </w:rPr>
        <w:t xml:space="preserve"> </w:t>
      </w:r>
      <w:r w:rsidRPr="00183375">
        <w:t>analysis</w:t>
      </w:r>
      <w:r w:rsidRPr="00183375">
        <w:rPr>
          <w:spacing w:val="-1"/>
        </w:rPr>
        <w:t xml:space="preserve"> </w:t>
      </w:r>
      <w:r w:rsidRPr="00183375">
        <w:t>was</w:t>
      </w:r>
      <w:r w:rsidRPr="00183375">
        <w:rPr>
          <w:spacing w:val="-1"/>
        </w:rPr>
        <w:t xml:space="preserve"> </w:t>
      </w:r>
      <w:r w:rsidRPr="00183375">
        <w:t>based</w:t>
      </w:r>
      <w:r w:rsidRPr="00183375">
        <w:rPr>
          <w:spacing w:val="-2"/>
        </w:rPr>
        <w:t xml:space="preserve"> </w:t>
      </w:r>
      <w:r w:rsidRPr="00183375">
        <w:t xml:space="preserve">on the ORR assessed by IRC for MCL subjects in both </w:t>
      </w:r>
      <w:r>
        <w:t>P</w:t>
      </w:r>
      <w:r w:rsidRPr="00183375">
        <w:t xml:space="preserve">hase </w:t>
      </w:r>
      <w:r>
        <w:t>1</w:t>
      </w:r>
      <w:r w:rsidRPr="00183375">
        <w:t xml:space="preserve"> and arm 1 of </w:t>
      </w:r>
      <w:r>
        <w:t>P</w:t>
      </w:r>
      <w:r w:rsidRPr="00183375">
        <w:t xml:space="preserve">hase </w:t>
      </w:r>
      <w:r>
        <w:t>2</w:t>
      </w:r>
      <w:r w:rsidRPr="00183375">
        <w:t>.</w:t>
      </w:r>
    </w:p>
    <w:p w14:paraId="5644A022" w14:textId="666D08CE" w:rsidR="0078736D" w:rsidRDefault="00F558F6" w:rsidP="003E125B">
      <w:pPr>
        <w:pStyle w:val="TableTitle"/>
        <w:spacing w:before="240"/>
        <w:rPr>
          <w:lang w:eastAsia="ja-JP"/>
        </w:rPr>
      </w:pPr>
      <w:r>
        <w:rPr>
          <w:bCs/>
          <w:lang w:eastAsia="ja-JP"/>
        </w:rPr>
        <w:t xml:space="preserve">Table </w:t>
      </w:r>
      <w:r w:rsidR="00264898">
        <w:rPr>
          <w:bCs/>
          <w:lang w:eastAsia="ja-JP"/>
        </w:rPr>
        <w:t>6</w:t>
      </w:r>
      <w:r>
        <w:rPr>
          <w:bCs/>
          <w:lang w:eastAsia="ja-JP"/>
        </w:rPr>
        <w:t xml:space="preserve">: </w:t>
      </w:r>
      <w:r w:rsidR="0078736D">
        <w:rPr>
          <w:lang w:eastAsia="ja-JP"/>
        </w:rPr>
        <w:t>Efficacy endpoints, definitions and statistical analysis</w:t>
      </w:r>
      <w:r w:rsidR="009619B6">
        <w:rPr>
          <w:lang w:eastAsia="ja-JP"/>
        </w:rPr>
        <w:t xml:space="preserve"> plans</w:t>
      </w:r>
      <w:r w:rsidR="0078736D">
        <w:rPr>
          <w:lang w:eastAsia="ja-JP"/>
        </w:rPr>
        <w:t xml:space="preserve"> in ICP-CL-00107</w:t>
      </w:r>
      <w:bookmarkEnd w:id="53"/>
      <w:bookmarkEnd w:id="54"/>
      <w:bookmarkEnd w:id="55"/>
      <w:r w:rsidR="0078736D">
        <w:rPr>
          <w:lang w:eastAsia="ja-JP"/>
        </w:rPr>
        <w:t xml:space="preserve"> </w:t>
      </w:r>
    </w:p>
    <w:tbl>
      <w:tblPr>
        <w:tblStyle w:val="ListTable41"/>
        <w:tblW w:w="0" w:type="auto"/>
        <w:tblLook w:val="04A0" w:firstRow="1" w:lastRow="0" w:firstColumn="1" w:lastColumn="0" w:noHBand="0" w:noVBand="1"/>
      </w:tblPr>
      <w:tblGrid>
        <w:gridCol w:w="1594"/>
        <w:gridCol w:w="2518"/>
        <w:gridCol w:w="4948"/>
      </w:tblGrid>
      <w:tr w:rsidR="0078736D" w:rsidRPr="00D07A48" w14:paraId="707DB7B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1C01B7C" w14:textId="77777777" w:rsidR="0078736D" w:rsidRPr="004A50E4" w:rsidRDefault="0078736D">
            <w:pPr>
              <w:rPr>
                <w:sz w:val="18"/>
                <w:szCs w:val="18"/>
                <w:lang w:eastAsia="ja-JP"/>
              </w:rPr>
            </w:pPr>
            <w:r w:rsidRPr="004A50E4">
              <w:rPr>
                <w:sz w:val="18"/>
                <w:szCs w:val="18"/>
                <w:lang w:eastAsia="ja-JP"/>
              </w:rPr>
              <w:t>Endpoint</w:t>
            </w:r>
          </w:p>
        </w:tc>
        <w:tc>
          <w:tcPr>
            <w:tcW w:w="0" w:type="auto"/>
          </w:tcPr>
          <w:p w14:paraId="61EB236F" w14:textId="77777777" w:rsidR="0078736D" w:rsidRPr="004A50E4" w:rsidRDefault="0078736D">
            <w:pPr>
              <w:cnfStyle w:val="100000000000" w:firstRow="1" w:lastRow="0" w:firstColumn="0" w:lastColumn="0" w:oddVBand="0" w:evenVBand="0" w:oddHBand="0" w:evenHBand="0" w:firstRowFirstColumn="0" w:firstRowLastColumn="0" w:lastRowFirstColumn="0" w:lastRowLastColumn="0"/>
              <w:rPr>
                <w:sz w:val="18"/>
                <w:szCs w:val="18"/>
                <w:lang w:eastAsia="ja-JP"/>
              </w:rPr>
            </w:pPr>
            <w:r w:rsidRPr="004A50E4">
              <w:rPr>
                <w:sz w:val="18"/>
                <w:szCs w:val="18"/>
                <w:lang w:eastAsia="ja-JP"/>
              </w:rPr>
              <w:t>Definition</w:t>
            </w:r>
          </w:p>
        </w:tc>
        <w:tc>
          <w:tcPr>
            <w:tcW w:w="0" w:type="auto"/>
          </w:tcPr>
          <w:p w14:paraId="14BB4CCB" w14:textId="77777777" w:rsidR="0078736D" w:rsidRPr="004A50E4" w:rsidRDefault="0078736D">
            <w:pPr>
              <w:cnfStyle w:val="100000000000" w:firstRow="1" w:lastRow="0" w:firstColumn="0" w:lastColumn="0" w:oddVBand="0" w:evenVBand="0" w:oddHBand="0" w:evenHBand="0" w:firstRowFirstColumn="0" w:firstRowLastColumn="0" w:lastRowFirstColumn="0" w:lastRowLastColumn="0"/>
              <w:rPr>
                <w:sz w:val="18"/>
                <w:szCs w:val="18"/>
                <w:lang w:eastAsia="ja-JP"/>
              </w:rPr>
            </w:pPr>
            <w:r w:rsidRPr="004A50E4">
              <w:rPr>
                <w:sz w:val="18"/>
                <w:szCs w:val="18"/>
                <w:lang w:eastAsia="ja-JP"/>
              </w:rPr>
              <w:t>Statistical Analysis Plan</w:t>
            </w:r>
          </w:p>
        </w:tc>
      </w:tr>
      <w:tr w:rsidR="0078736D" w:rsidRPr="00D07A48" w14:paraId="1FACF6C8" w14:textId="77777777">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0" w:type="auto"/>
          </w:tcPr>
          <w:p w14:paraId="21FD3176" w14:textId="77777777" w:rsidR="0078736D" w:rsidRPr="004A50E4" w:rsidRDefault="0078736D">
            <w:pPr>
              <w:rPr>
                <w:i/>
                <w:iCs/>
                <w:sz w:val="18"/>
                <w:szCs w:val="18"/>
                <w:lang w:eastAsia="ja-JP"/>
              </w:rPr>
            </w:pPr>
            <w:r w:rsidRPr="004A50E4">
              <w:rPr>
                <w:i/>
                <w:iCs/>
                <w:sz w:val="18"/>
                <w:szCs w:val="18"/>
                <w:lang w:eastAsia="ja-JP"/>
              </w:rPr>
              <w:t>ORR by IRC (for NHL patients, this includes MCL)</w:t>
            </w:r>
          </w:p>
        </w:tc>
        <w:tc>
          <w:tcPr>
            <w:tcW w:w="0" w:type="auto"/>
          </w:tcPr>
          <w:p w14:paraId="095F30D8" w14:textId="77777777" w:rsidR="0078736D" w:rsidRPr="004A50E4" w:rsidRDefault="0078736D">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ƒx_Ô'1"/>
                <w:sz w:val="18"/>
                <w:szCs w:val="18"/>
                <w:lang w:val="en-GB"/>
              </w:rPr>
            </w:pPr>
            <w:r w:rsidRPr="004A50E4">
              <w:rPr>
                <w:rFonts w:cs="ƒx_Ô'1"/>
                <w:sz w:val="18"/>
                <w:szCs w:val="18"/>
                <w:lang w:val="en-GB"/>
              </w:rPr>
              <w:t>includes complete response (CR) and partial response (PR)</w:t>
            </w:r>
          </w:p>
        </w:tc>
        <w:tc>
          <w:tcPr>
            <w:tcW w:w="0" w:type="auto"/>
          </w:tcPr>
          <w:p w14:paraId="23E1920E" w14:textId="77777777" w:rsidR="0078736D" w:rsidRPr="004A50E4" w:rsidRDefault="0078736D">
            <w:p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lang w:val="en-GB"/>
              </w:rPr>
            </w:pPr>
            <w:r w:rsidRPr="004A50E4">
              <w:rPr>
                <w:sz w:val="18"/>
                <w:szCs w:val="18"/>
                <w:lang w:val="en-GB"/>
              </w:rPr>
              <w:t xml:space="preserve">Tumour response data was reported using descriptive statistics. Objective overall response rate was summarized using frequencies and </w:t>
            </w:r>
            <w:r w:rsidRPr="004A50E4">
              <w:rPr>
                <w:color w:val="222222"/>
                <w:sz w:val="18"/>
                <w:szCs w:val="18"/>
                <w:lang w:val="en-GB"/>
              </w:rPr>
              <w:t>proportions</w:t>
            </w:r>
            <w:r w:rsidRPr="004A50E4">
              <w:rPr>
                <w:sz w:val="18"/>
                <w:szCs w:val="18"/>
                <w:lang w:val="en-GB"/>
              </w:rPr>
              <w:t xml:space="preserve">. ORR and its 95% CI was calculated using Clopper-Pearson exact method. </w:t>
            </w:r>
          </w:p>
        </w:tc>
      </w:tr>
      <w:tr w:rsidR="0078736D" w:rsidRPr="00D07A48" w14:paraId="42ED2B14" w14:textId="77777777">
        <w:tc>
          <w:tcPr>
            <w:cnfStyle w:val="001000000000" w:firstRow="0" w:lastRow="0" w:firstColumn="1" w:lastColumn="0" w:oddVBand="0" w:evenVBand="0" w:oddHBand="0" w:evenHBand="0" w:firstRowFirstColumn="0" w:firstRowLastColumn="0" w:lastRowFirstColumn="0" w:lastRowLastColumn="0"/>
            <w:tcW w:w="0" w:type="auto"/>
          </w:tcPr>
          <w:p w14:paraId="49842C60" w14:textId="77777777" w:rsidR="0078736D" w:rsidRPr="004A50E4" w:rsidRDefault="0078736D">
            <w:pPr>
              <w:rPr>
                <w:i/>
                <w:iCs/>
                <w:sz w:val="18"/>
                <w:szCs w:val="18"/>
                <w:lang w:eastAsia="ja-JP"/>
              </w:rPr>
            </w:pPr>
            <w:r w:rsidRPr="004A50E4">
              <w:rPr>
                <w:i/>
                <w:iCs/>
                <w:sz w:val="18"/>
                <w:szCs w:val="18"/>
                <w:lang w:eastAsia="ja-JP"/>
              </w:rPr>
              <w:t>DOR</w:t>
            </w:r>
          </w:p>
        </w:tc>
        <w:tc>
          <w:tcPr>
            <w:tcW w:w="0" w:type="auto"/>
          </w:tcPr>
          <w:p w14:paraId="6EA730EB" w14:textId="77777777" w:rsidR="0078736D" w:rsidRPr="004A50E4" w:rsidRDefault="0078736D">
            <w:pPr>
              <w:cnfStyle w:val="000000000000" w:firstRow="0" w:lastRow="0" w:firstColumn="0" w:lastColumn="0" w:oddVBand="0" w:evenVBand="0" w:oddHBand="0" w:evenHBand="0" w:firstRowFirstColumn="0" w:firstRowLastColumn="0" w:lastRowFirstColumn="0" w:lastRowLastColumn="0"/>
              <w:rPr>
                <w:sz w:val="18"/>
                <w:szCs w:val="18"/>
                <w:lang w:eastAsia="ja-JP"/>
              </w:rPr>
            </w:pPr>
            <w:r w:rsidRPr="004A50E4">
              <w:rPr>
                <w:rFonts w:cs="ƒx_Ô'1"/>
                <w:sz w:val="18"/>
                <w:szCs w:val="18"/>
                <w:lang w:val="en-GB"/>
              </w:rPr>
              <w:t>defined as the period from CR or PR to progressive disease (PD) or death</w:t>
            </w:r>
          </w:p>
        </w:tc>
        <w:tc>
          <w:tcPr>
            <w:tcW w:w="0" w:type="auto"/>
          </w:tcPr>
          <w:p w14:paraId="1F0CA39B" w14:textId="77777777" w:rsidR="0078736D" w:rsidRPr="004A50E4" w:rsidRDefault="0078736D">
            <w:pPr>
              <w:cnfStyle w:val="000000000000" w:firstRow="0" w:lastRow="0" w:firstColumn="0" w:lastColumn="0" w:oddVBand="0" w:evenVBand="0" w:oddHBand="0" w:evenHBand="0" w:firstRowFirstColumn="0" w:firstRowLastColumn="0" w:lastRowFirstColumn="0" w:lastRowLastColumn="0"/>
              <w:rPr>
                <w:sz w:val="18"/>
                <w:szCs w:val="18"/>
                <w:lang w:eastAsia="ja-JP"/>
              </w:rPr>
            </w:pPr>
            <w:r w:rsidRPr="004A50E4">
              <w:rPr>
                <w:sz w:val="18"/>
                <w:szCs w:val="18"/>
                <w:lang w:val="en-GB"/>
              </w:rPr>
              <w:t>Kaplan-Meier method was used to estimate duration of response.</w:t>
            </w:r>
          </w:p>
        </w:tc>
      </w:tr>
      <w:tr w:rsidR="0078736D" w:rsidRPr="00D07A48" w14:paraId="3022E0C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9A79D5" w14:textId="77777777" w:rsidR="0078736D" w:rsidRPr="004A50E4" w:rsidRDefault="0078736D">
            <w:pPr>
              <w:rPr>
                <w:i/>
                <w:iCs/>
                <w:sz w:val="18"/>
                <w:szCs w:val="18"/>
                <w:lang w:eastAsia="ja-JP"/>
              </w:rPr>
            </w:pPr>
            <w:r w:rsidRPr="004A50E4">
              <w:rPr>
                <w:i/>
                <w:iCs/>
                <w:sz w:val="18"/>
                <w:szCs w:val="18"/>
                <w:lang w:eastAsia="ja-JP"/>
              </w:rPr>
              <w:t>DCR</w:t>
            </w:r>
          </w:p>
        </w:tc>
        <w:tc>
          <w:tcPr>
            <w:tcW w:w="0" w:type="auto"/>
          </w:tcPr>
          <w:p w14:paraId="04409283" w14:textId="77777777" w:rsidR="0078736D" w:rsidRPr="004A50E4" w:rsidRDefault="0078736D">
            <w:pPr>
              <w:cnfStyle w:val="000000100000" w:firstRow="0" w:lastRow="0" w:firstColumn="0" w:lastColumn="0" w:oddVBand="0" w:evenVBand="0" w:oddHBand="1" w:evenHBand="0" w:firstRowFirstColumn="0" w:firstRowLastColumn="0" w:lastRowFirstColumn="0" w:lastRowLastColumn="0"/>
              <w:rPr>
                <w:sz w:val="18"/>
                <w:szCs w:val="18"/>
                <w:lang w:eastAsia="ja-JP"/>
              </w:rPr>
            </w:pPr>
            <w:r w:rsidRPr="004A50E4">
              <w:rPr>
                <w:rFonts w:cs="ƒx_Ô'1"/>
                <w:sz w:val="18"/>
                <w:szCs w:val="18"/>
                <w:lang w:val="en-GB"/>
              </w:rPr>
              <w:t>represents the total rate of CR, PR, and SD.</w:t>
            </w:r>
          </w:p>
        </w:tc>
        <w:tc>
          <w:tcPr>
            <w:tcW w:w="0" w:type="auto"/>
          </w:tcPr>
          <w:p w14:paraId="3C414C8F" w14:textId="77777777" w:rsidR="0078736D" w:rsidRPr="004A50E4" w:rsidRDefault="0078736D">
            <w:p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lang w:val="en-GB"/>
              </w:rPr>
            </w:pPr>
            <w:r w:rsidRPr="004A50E4">
              <w:rPr>
                <w:sz w:val="18"/>
                <w:szCs w:val="18"/>
                <w:lang w:val="en-GB"/>
              </w:rPr>
              <w:t>DCR and its 95% CI was calculated using Clopper-Pearson exact method.</w:t>
            </w:r>
          </w:p>
        </w:tc>
      </w:tr>
      <w:tr w:rsidR="0078736D" w:rsidRPr="00D07A48" w14:paraId="3B94E5DA" w14:textId="77777777">
        <w:tc>
          <w:tcPr>
            <w:cnfStyle w:val="001000000000" w:firstRow="0" w:lastRow="0" w:firstColumn="1" w:lastColumn="0" w:oddVBand="0" w:evenVBand="0" w:oddHBand="0" w:evenHBand="0" w:firstRowFirstColumn="0" w:firstRowLastColumn="0" w:lastRowFirstColumn="0" w:lastRowLastColumn="0"/>
            <w:tcW w:w="0" w:type="auto"/>
          </w:tcPr>
          <w:p w14:paraId="4516933A" w14:textId="77777777" w:rsidR="0078736D" w:rsidRPr="004A50E4" w:rsidRDefault="0078736D">
            <w:pPr>
              <w:rPr>
                <w:i/>
                <w:iCs/>
                <w:sz w:val="18"/>
                <w:szCs w:val="18"/>
                <w:lang w:eastAsia="ja-JP"/>
              </w:rPr>
            </w:pPr>
            <w:r w:rsidRPr="004A50E4">
              <w:rPr>
                <w:i/>
                <w:iCs/>
                <w:sz w:val="18"/>
                <w:szCs w:val="18"/>
                <w:lang w:eastAsia="ja-JP"/>
              </w:rPr>
              <w:t>PFS</w:t>
            </w:r>
          </w:p>
        </w:tc>
        <w:tc>
          <w:tcPr>
            <w:tcW w:w="0" w:type="auto"/>
          </w:tcPr>
          <w:p w14:paraId="0E1AFCDA" w14:textId="77777777" w:rsidR="0078736D" w:rsidRPr="004A50E4" w:rsidRDefault="0078736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ƒx_Ô'1"/>
                <w:sz w:val="18"/>
                <w:szCs w:val="18"/>
                <w:lang w:val="en-GB"/>
              </w:rPr>
            </w:pPr>
            <w:r w:rsidRPr="004A50E4">
              <w:rPr>
                <w:rFonts w:cs="ƒx_Ô'1"/>
                <w:sz w:val="18"/>
                <w:szCs w:val="18"/>
                <w:lang w:val="en-GB"/>
              </w:rPr>
              <w:t>defined as the time between first dose and PD or death (caused by any reason) whichever occurs earlier</w:t>
            </w:r>
          </w:p>
        </w:tc>
        <w:tc>
          <w:tcPr>
            <w:tcW w:w="0" w:type="auto"/>
          </w:tcPr>
          <w:p w14:paraId="3C62F66F" w14:textId="77777777" w:rsidR="0078736D" w:rsidRPr="004A50E4" w:rsidRDefault="0078736D">
            <w:pPr>
              <w:autoSpaceDE w:val="0"/>
              <w:autoSpaceDN w:val="0"/>
              <w:adjustRightInd w:val="0"/>
              <w:cnfStyle w:val="000000000000" w:firstRow="0" w:lastRow="0" w:firstColumn="0" w:lastColumn="0" w:oddVBand="0" w:evenVBand="0" w:oddHBand="0" w:evenHBand="0" w:firstRowFirstColumn="0" w:firstRowLastColumn="0" w:lastRowFirstColumn="0" w:lastRowLastColumn="0"/>
              <w:rPr>
                <w:sz w:val="18"/>
                <w:szCs w:val="18"/>
                <w:lang w:val="en-GB"/>
              </w:rPr>
            </w:pPr>
            <w:r w:rsidRPr="004A50E4">
              <w:rPr>
                <w:sz w:val="18"/>
                <w:szCs w:val="18"/>
                <w:lang w:val="en-GB"/>
              </w:rPr>
              <w:t>Kaplan-Meier method was used to estimate PFS.</w:t>
            </w:r>
          </w:p>
        </w:tc>
      </w:tr>
      <w:tr w:rsidR="0078736D" w:rsidRPr="00D07A48" w14:paraId="7CE48E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A42BAC1" w14:textId="77777777" w:rsidR="0078736D" w:rsidRPr="004A50E4" w:rsidRDefault="0078736D">
            <w:pPr>
              <w:rPr>
                <w:i/>
                <w:iCs/>
                <w:sz w:val="18"/>
                <w:szCs w:val="18"/>
                <w:lang w:eastAsia="ja-JP"/>
              </w:rPr>
            </w:pPr>
            <w:r w:rsidRPr="004A50E4">
              <w:rPr>
                <w:i/>
                <w:iCs/>
                <w:sz w:val="18"/>
                <w:szCs w:val="18"/>
                <w:lang w:eastAsia="ja-JP"/>
              </w:rPr>
              <w:t>OS</w:t>
            </w:r>
          </w:p>
        </w:tc>
        <w:tc>
          <w:tcPr>
            <w:tcW w:w="0" w:type="auto"/>
          </w:tcPr>
          <w:p w14:paraId="4D0360CB" w14:textId="77777777" w:rsidR="0078736D" w:rsidRPr="004A50E4" w:rsidRDefault="0078736D">
            <w:pPr>
              <w:cnfStyle w:val="000000100000" w:firstRow="0" w:lastRow="0" w:firstColumn="0" w:lastColumn="0" w:oddVBand="0" w:evenVBand="0" w:oddHBand="1" w:evenHBand="0" w:firstRowFirstColumn="0" w:firstRowLastColumn="0" w:lastRowFirstColumn="0" w:lastRowLastColumn="0"/>
              <w:rPr>
                <w:sz w:val="18"/>
                <w:szCs w:val="18"/>
                <w:lang w:eastAsia="ja-JP"/>
              </w:rPr>
            </w:pPr>
            <w:r w:rsidRPr="004A50E4">
              <w:rPr>
                <w:rFonts w:cs="ƒx_Ô'1"/>
                <w:sz w:val="18"/>
                <w:szCs w:val="18"/>
                <w:lang w:val="en-GB"/>
              </w:rPr>
              <w:t>defined as the time between first dose and death (caused by any reasons)</w:t>
            </w:r>
          </w:p>
        </w:tc>
        <w:tc>
          <w:tcPr>
            <w:tcW w:w="0" w:type="auto"/>
          </w:tcPr>
          <w:p w14:paraId="15A52E0E" w14:textId="77777777" w:rsidR="0078736D" w:rsidRPr="004A50E4" w:rsidRDefault="0078736D">
            <w:p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lang w:val="en-GB"/>
              </w:rPr>
            </w:pPr>
            <w:r w:rsidRPr="004A50E4">
              <w:rPr>
                <w:sz w:val="18"/>
                <w:szCs w:val="18"/>
                <w:lang w:val="en-GB"/>
              </w:rPr>
              <w:t>For the subjects lost to follow-up, OS is the time between first dose and the date of last visit; if the subject is still alive at the end of study, OS is defined as the time between first dose and the date that the study ends. Kaplan-Meier method was used to estimate OS.</w:t>
            </w:r>
          </w:p>
        </w:tc>
      </w:tr>
    </w:tbl>
    <w:p w14:paraId="1B1DC8AD" w14:textId="532EF853" w:rsidR="0072689D" w:rsidRDefault="0072689D" w:rsidP="008C3CF8">
      <w:pPr>
        <w:pStyle w:val="Heading6"/>
        <w:jc w:val="both"/>
      </w:pPr>
      <w:r>
        <w:t>Participant</w:t>
      </w:r>
      <w:r>
        <w:rPr>
          <w:spacing w:val="-12"/>
        </w:rPr>
        <w:t xml:space="preserve"> </w:t>
      </w:r>
      <w:r>
        <w:rPr>
          <w:spacing w:val="-4"/>
        </w:rPr>
        <w:t>flow</w:t>
      </w:r>
    </w:p>
    <w:p w14:paraId="51D59639" w14:textId="77777777" w:rsidR="00E30916" w:rsidRDefault="0072689D" w:rsidP="008007A1">
      <w:pPr>
        <w:rPr>
          <w:spacing w:val="-2"/>
        </w:rPr>
      </w:pPr>
      <w:r>
        <w:t xml:space="preserve">A total of 45 patients with R/R MCL were screened across both </w:t>
      </w:r>
      <w:r w:rsidR="00766477">
        <w:t>p</w:t>
      </w:r>
      <w:r>
        <w:t xml:space="preserve">hase </w:t>
      </w:r>
      <w:r w:rsidR="00E42D9B">
        <w:t>1</w:t>
      </w:r>
      <w:r>
        <w:t xml:space="preserve"> and </w:t>
      </w:r>
      <w:r w:rsidR="00E42D9B">
        <w:t>2</w:t>
      </w:r>
      <w:r>
        <w:t xml:space="preserve"> with 43 subjects enrolled</w:t>
      </w:r>
      <w:r>
        <w:rPr>
          <w:spacing w:val="-2"/>
        </w:rPr>
        <w:t xml:space="preserve"> </w:t>
      </w:r>
      <w:r>
        <w:t>(2</w:t>
      </w:r>
      <w:r>
        <w:rPr>
          <w:spacing w:val="-5"/>
        </w:rPr>
        <w:t xml:space="preserve"> </w:t>
      </w:r>
      <w:r>
        <w:t>screen</w:t>
      </w:r>
      <w:r w:rsidR="007E6D6C">
        <w:t>-</w:t>
      </w:r>
      <w:r>
        <w:t>failed).</w:t>
      </w:r>
      <w:r>
        <w:rPr>
          <w:spacing w:val="40"/>
        </w:rPr>
        <w:t xml:space="preserve"> </w:t>
      </w:r>
      <w:r>
        <w:t>Of</w:t>
      </w:r>
      <w:r>
        <w:rPr>
          <w:spacing w:val="-2"/>
        </w:rPr>
        <w:t xml:space="preserve"> </w:t>
      </w:r>
      <w:r>
        <w:t>these,</w:t>
      </w:r>
      <w:r>
        <w:rPr>
          <w:spacing w:val="-2"/>
        </w:rPr>
        <w:t xml:space="preserve"> </w:t>
      </w:r>
      <w:r>
        <w:t>51.2%</w:t>
      </w:r>
      <w:r>
        <w:rPr>
          <w:spacing w:val="-2"/>
        </w:rPr>
        <w:t xml:space="preserve"> </w:t>
      </w:r>
      <w:r>
        <w:t>(22/43)</w:t>
      </w:r>
      <w:r>
        <w:rPr>
          <w:spacing w:val="-3"/>
        </w:rPr>
        <w:t xml:space="preserve"> </w:t>
      </w:r>
      <w:r>
        <w:t>remain</w:t>
      </w:r>
      <w:r w:rsidR="00E035C5">
        <w:t>ed</w:t>
      </w:r>
      <w:r>
        <w:rPr>
          <w:spacing w:val="-3"/>
        </w:rPr>
        <w:t xml:space="preserve"> </w:t>
      </w:r>
      <w:r>
        <w:t>on</w:t>
      </w:r>
      <w:r>
        <w:rPr>
          <w:spacing w:val="-3"/>
        </w:rPr>
        <w:t xml:space="preserve"> </w:t>
      </w:r>
      <w:r>
        <w:t>ongoing</w:t>
      </w:r>
      <w:r>
        <w:rPr>
          <w:spacing w:val="-1"/>
        </w:rPr>
        <w:t xml:space="preserve"> </w:t>
      </w:r>
      <w:r>
        <w:t>study</w:t>
      </w:r>
      <w:r>
        <w:rPr>
          <w:spacing w:val="-3"/>
        </w:rPr>
        <w:t xml:space="preserve"> </w:t>
      </w:r>
      <w:r>
        <w:t>treatment.</w:t>
      </w:r>
      <w:r>
        <w:rPr>
          <w:spacing w:val="-2"/>
        </w:rPr>
        <w:t xml:space="preserve"> </w:t>
      </w:r>
    </w:p>
    <w:p w14:paraId="3856B105" w14:textId="77777777" w:rsidR="00E0244F" w:rsidRDefault="0072689D" w:rsidP="008007A1">
      <w:pPr>
        <w:rPr>
          <w:spacing w:val="40"/>
        </w:rPr>
      </w:pPr>
      <w:r>
        <w:lastRenderedPageBreak/>
        <w:t>Overall, 26.5% (11/43) experienced disease progression, 11.6% (5/43) discontinuation for AE</w:t>
      </w:r>
      <w:r w:rsidR="009422D4">
        <w:t>s</w:t>
      </w:r>
      <w:r>
        <w:t xml:space="preserve"> and 23.3% (10/43) death.</w:t>
      </w:r>
      <w:r>
        <w:rPr>
          <w:spacing w:val="40"/>
        </w:rPr>
        <w:t xml:space="preserve"> </w:t>
      </w:r>
    </w:p>
    <w:p w14:paraId="31F90E8A" w14:textId="57861826" w:rsidR="00E035C5" w:rsidRDefault="0072689D" w:rsidP="008007A1">
      <w:r>
        <w:t xml:space="preserve">The median follow-up was 16.8 months in </w:t>
      </w:r>
      <w:r w:rsidR="009422D4">
        <w:t xml:space="preserve">the </w:t>
      </w:r>
      <w:r>
        <w:t>R/R MCL population.</w:t>
      </w:r>
      <w:bookmarkStart w:id="56" w:name="_Toc202463941"/>
      <w:bookmarkStart w:id="57" w:name="_Ref202470911"/>
      <w:bookmarkStart w:id="58" w:name="_Toc211510667"/>
    </w:p>
    <w:p w14:paraId="00458EDE" w14:textId="5C73E0A5" w:rsidR="006B3518" w:rsidRDefault="00A13114" w:rsidP="006B3518">
      <w:pPr>
        <w:pStyle w:val="TableTitle"/>
        <w:rPr>
          <w:lang w:eastAsia="ja-JP"/>
        </w:rPr>
      </w:pPr>
      <w:r>
        <w:t xml:space="preserve">Table </w:t>
      </w:r>
      <w:r w:rsidR="00264898">
        <w:t>7</w:t>
      </w:r>
      <w:r>
        <w:t xml:space="preserve">: </w:t>
      </w:r>
      <w:r w:rsidR="006B3518">
        <w:rPr>
          <w:lang w:eastAsia="ja-JP"/>
        </w:rPr>
        <w:t xml:space="preserve">Study disposition in ICP-CL-00107 </w:t>
      </w:r>
    </w:p>
    <w:tbl>
      <w:tblPr>
        <w:tblStyle w:val="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2408"/>
        <w:gridCol w:w="855"/>
        <w:gridCol w:w="855"/>
        <w:gridCol w:w="918"/>
        <w:gridCol w:w="918"/>
        <w:gridCol w:w="953"/>
        <w:gridCol w:w="918"/>
        <w:gridCol w:w="1245"/>
      </w:tblGrid>
      <w:tr w:rsidR="00893203" w:rsidRPr="00893203" w14:paraId="252E7529" w14:textId="77777777" w:rsidTr="009F3366">
        <w:trPr>
          <w:trHeight w:val="283"/>
          <w:tblHeader/>
        </w:trPr>
        <w:tc>
          <w:tcPr>
            <w:tcW w:w="2408" w:type="dxa"/>
            <w:vMerge w:val="restart"/>
            <w:tcBorders>
              <w:top w:val="single" w:sz="12" w:space="0" w:color="auto"/>
              <w:bottom w:val="nil"/>
            </w:tcBorders>
          </w:tcPr>
          <w:p w14:paraId="17C8CA13" w14:textId="77777777" w:rsidR="00893203" w:rsidRPr="00893203" w:rsidRDefault="00893203" w:rsidP="00893203">
            <w:pPr>
              <w:spacing w:line="240" w:lineRule="exact"/>
              <w:rPr>
                <w:rFonts w:ascii="Times New Roman" w:hAnsi="Times New Roman"/>
                <w:sz w:val="21"/>
                <w:szCs w:val="21"/>
                <w:lang w:val="en-GB"/>
              </w:rPr>
            </w:pPr>
          </w:p>
        </w:tc>
        <w:tc>
          <w:tcPr>
            <w:tcW w:w="2628" w:type="dxa"/>
            <w:gridSpan w:val="3"/>
            <w:tcBorders>
              <w:top w:val="single" w:sz="12" w:space="0" w:color="auto"/>
              <w:bottom w:val="single" w:sz="4" w:space="0" w:color="auto"/>
            </w:tcBorders>
            <w:vAlign w:val="center"/>
          </w:tcPr>
          <w:p w14:paraId="0CFCF008" w14:textId="77777777" w:rsidR="00893203" w:rsidRPr="00893203" w:rsidRDefault="00893203" w:rsidP="00893203">
            <w:pPr>
              <w:spacing w:line="240" w:lineRule="exact"/>
              <w:jc w:val="center"/>
              <w:rPr>
                <w:rFonts w:ascii="Times New Roman" w:hAnsi="Times New Roman"/>
                <w:color w:val="000000"/>
                <w:sz w:val="21"/>
                <w:szCs w:val="21"/>
                <w:lang w:val="en-GB"/>
              </w:rPr>
            </w:pPr>
            <w:r w:rsidRPr="00893203">
              <w:rPr>
                <w:rFonts w:ascii="Times New Roman" w:hAnsi="Times New Roman"/>
                <w:color w:val="000000"/>
                <w:sz w:val="21"/>
                <w:szCs w:val="21"/>
                <w:lang w:val="en-GB"/>
              </w:rPr>
              <w:t>Phase 1</w:t>
            </w:r>
          </w:p>
        </w:tc>
        <w:tc>
          <w:tcPr>
            <w:tcW w:w="2789" w:type="dxa"/>
            <w:gridSpan w:val="3"/>
            <w:tcBorders>
              <w:top w:val="single" w:sz="12" w:space="0" w:color="auto"/>
              <w:bottom w:val="single" w:sz="4" w:space="0" w:color="auto"/>
            </w:tcBorders>
            <w:vAlign w:val="center"/>
          </w:tcPr>
          <w:p w14:paraId="5E910E10" w14:textId="77777777" w:rsidR="00893203" w:rsidRPr="00893203" w:rsidRDefault="00893203" w:rsidP="00893203">
            <w:pPr>
              <w:spacing w:line="240" w:lineRule="exact"/>
              <w:jc w:val="center"/>
              <w:rPr>
                <w:rFonts w:ascii="Times New Roman" w:hAnsi="Times New Roman"/>
                <w:color w:val="000000"/>
                <w:sz w:val="21"/>
                <w:szCs w:val="21"/>
                <w:lang w:val="en-GB"/>
              </w:rPr>
            </w:pPr>
            <w:r w:rsidRPr="00893203">
              <w:rPr>
                <w:rFonts w:ascii="Times New Roman" w:hAnsi="Times New Roman"/>
                <w:color w:val="000000"/>
                <w:sz w:val="21"/>
                <w:szCs w:val="21"/>
                <w:lang w:val="en-GB"/>
              </w:rPr>
              <w:t>Phase 2</w:t>
            </w:r>
            <w:r w:rsidRPr="00893203">
              <w:rPr>
                <w:rFonts w:ascii="Times New Roman" w:hAnsi="Times New Roman"/>
                <w:color w:val="000000"/>
                <w:sz w:val="21"/>
                <w:lang w:val="en-GB"/>
              </w:rPr>
              <w:t>: Orelabrutinib 150 mg QD</w:t>
            </w:r>
          </w:p>
        </w:tc>
        <w:tc>
          <w:tcPr>
            <w:tcW w:w="1245" w:type="dxa"/>
            <w:tcBorders>
              <w:top w:val="single" w:sz="12" w:space="0" w:color="auto"/>
              <w:bottom w:val="single" w:sz="4" w:space="0" w:color="auto"/>
            </w:tcBorders>
            <w:vAlign w:val="center"/>
          </w:tcPr>
          <w:p w14:paraId="7DD56DA0" w14:textId="77777777" w:rsidR="00893203" w:rsidRPr="00893203" w:rsidRDefault="00893203" w:rsidP="00893203">
            <w:pPr>
              <w:spacing w:line="240" w:lineRule="exact"/>
              <w:jc w:val="center"/>
              <w:rPr>
                <w:rFonts w:ascii="Times New Roman" w:hAnsi="Times New Roman"/>
                <w:color w:val="000000"/>
                <w:sz w:val="21"/>
                <w:szCs w:val="21"/>
                <w:lang w:val="en-GB"/>
              </w:rPr>
            </w:pPr>
            <w:r w:rsidRPr="00893203">
              <w:rPr>
                <w:rFonts w:ascii="Times New Roman" w:hAnsi="Times New Roman"/>
                <w:color w:val="000000"/>
                <w:sz w:val="21"/>
                <w:szCs w:val="21"/>
                <w:lang w:val="en-GB"/>
              </w:rPr>
              <w:t>Phase 1 &amp; 2:</w:t>
            </w:r>
          </w:p>
          <w:p w14:paraId="7FDB8FF4" w14:textId="77777777" w:rsidR="00893203" w:rsidRPr="00893203" w:rsidRDefault="00893203" w:rsidP="00893203">
            <w:pPr>
              <w:spacing w:line="240" w:lineRule="exact"/>
              <w:jc w:val="center"/>
              <w:rPr>
                <w:rFonts w:ascii="Times New Roman" w:hAnsi="Times New Roman"/>
                <w:color w:val="000000"/>
                <w:sz w:val="21"/>
                <w:szCs w:val="21"/>
                <w:lang w:val="en-GB"/>
              </w:rPr>
            </w:pPr>
            <w:r w:rsidRPr="00893203">
              <w:rPr>
                <w:rFonts w:ascii="Times New Roman" w:hAnsi="Times New Roman"/>
                <w:color w:val="000000"/>
                <w:sz w:val="21"/>
                <w:szCs w:val="21"/>
                <w:lang w:val="en-GB"/>
              </w:rPr>
              <w:t>All r/r MCL Subjects</w:t>
            </w:r>
          </w:p>
        </w:tc>
      </w:tr>
      <w:tr w:rsidR="00893203" w:rsidRPr="00893203" w14:paraId="12608143" w14:textId="77777777" w:rsidTr="009F3366">
        <w:trPr>
          <w:trHeight w:val="283"/>
          <w:tblHeader/>
        </w:trPr>
        <w:tc>
          <w:tcPr>
            <w:tcW w:w="2408" w:type="dxa"/>
            <w:vMerge/>
            <w:tcBorders>
              <w:top w:val="nil"/>
              <w:bottom w:val="single" w:sz="4" w:space="0" w:color="auto"/>
            </w:tcBorders>
          </w:tcPr>
          <w:p w14:paraId="02516091" w14:textId="77777777" w:rsidR="00893203" w:rsidRPr="00893203" w:rsidRDefault="00893203" w:rsidP="00893203">
            <w:pPr>
              <w:spacing w:line="240" w:lineRule="exact"/>
              <w:rPr>
                <w:rFonts w:ascii="Times New Roman" w:hAnsi="Times New Roman"/>
                <w:sz w:val="21"/>
                <w:szCs w:val="21"/>
                <w:lang w:val="en-GB"/>
              </w:rPr>
            </w:pPr>
          </w:p>
        </w:tc>
        <w:tc>
          <w:tcPr>
            <w:tcW w:w="855" w:type="dxa"/>
            <w:tcBorders>
              <w:top w:val="single" w:sz="4" w:space="0" w:color="auto"/>
              <w:bottom w:val="single" w:sz="4" w:space="0" w:color="auto"/>
            </w:tcBorders>
            <w:vAlign w:val="bottom"/>
          </w:tcPr>
          <w:p w14:paraId="06F256C6" w14:textId="77777777" w:rsidR="00893203" w:rsidRPr="00893203" w:rsidRDefault="00893203" w:rsidP="00893203">
            <w:pPr>
              <w:spacing w:line="240" w:lineRule="exact"/>
              <w:jc w:val="center"/>
              <w:rPr>
                <w:rFonts w:ascii="Times New Roman" w:hAnsi="Times New Roman"/>
                <w:sz w:val="21"/>
                <w:szCs w:val="21"/>
                <w:lang w:val="en-GB"/>
              </w:rPr>
            </w:pPr>
            <w:r w:rsidRPr="00893203">
              <w:rPr>
                <w:rFonts w:ascii="Times New Roman" w:hAnsi="Times New Roman"/>
                <w:sz w:val="21"/>
                <w:szCs w:val="21"/>
                <w:lang w:val="en-GB"/>
              </w:rPr>
              <w:t>100 mg QD</w:t>
            </w:r>
          </w:p>
          <w:p w14:paraId="19F790F9" w14:textId="77777777" w:rsidR="00893203" w:rsidRPr="00893203" w:rsidRDefault="00893203" w:rsidP="00893203">
            <w:pPr>
              <w:spacing w:line="240" w:lineRule="exact"/>
              <w:jc w:val="center"/>
              <w:rPr>
                <w:rFonts w:ascii="Times New Roman" w:hAnsi="Times New Roman"/>
                <w:sz w:val="21"/>
                <w:szCs w:val="21"/>
                <w:lang w:val="en-GB"/>
              </w:rPr>
            </w:pPr>
            <w:r w:rsidRPr="00893203">
              <w:rPr>
                <w:rFonts w:ascii="Times New Roman" w:hAnsi="Times New Roman"/>
                <w:sz w:val="21"/>
                <w:szCs w:val="21"/>
                <w:lang w:val="en-GB"/>
              </w:rPr>
              <w:t>(N=3)</w:t>
            </w:r>
          </w:p>
        </w:tc>
        <w:tc>
          <w:tcPr>
            <w:tcW w:w="855" w:type="dxa"/>
            <w:tcBorders>
              <w:top w:val="single" w:sz="4" w:space="0" w:color="auto"/>
              <w:bottom w:val="single" w:sz="4" w:space="0" w:color="auto"/>
            </w:tcBorders>
            <w:vAlign w:val="bottom"/>
          </w:tcPr>
          <w:p w14:paraId="49815CEA" w14:textId="77777777" w:rsidR="00893203" w:rsidRPr="00893203" w:rsidRDefault="00893203" w:rsidP="00893203">
            <w:pPr>
              <w:spacing w:line="240" w:lineRule="exact"/>
              <w:jc w:val="center"/>
              <w:rPr>
                <w:rFonts w:ascii="Times New Roman" w:hAnsi="Times New Roman"/>
                <w:sz w:val="21"/>
                <w:szCs w:val="21"/>
                <w:lang w:val="en-GB"/>
              </w:rPr>
            </w:pPr>
            <w:r w:rsidRPr="00893203">
              <w:rPr>
                <w:rFonts w:ascii="Times New Roman" w:hAnsi="Times New Roman"/>
                <w:sz w:val="21"/>
                <w:szCs w:val="21"/>
                <w:lang w:val="en-GB"/>
              </w:rPr>
              <w:t>150 mg QD (N=9)</w:t>
            </w:r>
          </w:p>
        </w:tc>
        <w:tc>
          <w:tcPr>
            <w:tcW w:w="918" w:type="dxa"/>
            <w:tcBorders>
              <w:top w:val="single" w:sz="4" w:space="0" w:color="auto"/>
              <w:bottom w:val="single" w:sz="4" w:space="0" w:color="auto"/>
            </w:tcBorders>
            <w:vAlign w:val="bottom"/>
          </w:tcPr>
          <w:p w14:paraId="02D65E02" w14:textId="77777777" w:rsidR="00893203" w:rsidRPr="00893203" w:rsidRDefault="00893203" w:rsidP="00893203">
            <w:pPr>
              <w:spacing w:line="240" w:lineRule="exact"/>
              <w:jc w:val="center"/>
              <w:rPr>
                <w:rFonts w:ascii="Times New Roman" w:hAnsi="Times New Roman"/>
                <w:sz w:val="21"/>
                <w:szCs w:val="21"/>
                <w:lang w:val="en-GB"/>
              </w:rPr>
            </w:pPr>
            <w:r w:rsidRPr="00893203">
              <w:rPr>
                <w:rFonts w:ascii="Times New Roman" w:hAnsi="Times New Roman"/>
                <w:sz w:val="21"/>
                <w:szCs w:val="21"/>
                <w:lang w:val="en-GB"/>
              </w:rPr>
              <w:t>Total</w:t>
            </w:r>
          </w:p>
          <w:p w14:paraId="74E11830" w14:textId="77777777" w:rsidR="00893203" w:rsidRPr="00893203" w:rsidRDefault="00893203" w:rsidP="00893203">
            <w:pPr>
              <w:spacing w:line="240" w:lineRule="exact"/>
              <w:jc w:val="center"/>
              <w:rPr>
                <w:rFonts w:ascii="Times New Roman" w:hAnsi="Times New Roman"/>
                <w:sz w:val="21"/>
                <w:szCs w:val="21"/>
                <w:lang w:val="en-GB"/>
              </w:rPr>
            </w:pPr>
            <w:r w:rsidRPr="00893203">
              <w:rPr>
                <w:rFonts w:ascii="Times New Roman" w:hAnsi="Times New Roman"/>
                <w:sz w:val="21"/>
                <w:szCs w:val="21"/>
                <w:lang w:val="en-GB"/>
              </w:rPr>
              <w:t>(N=12)</w:t>
            </w:r>
          </w:p>
        </w:tc>
        <w:tc>
          <w:tcPr>
            <w:tcW w:w="918" w:type="dxa"/>
            <w:tcBorders>
              <w:top w:val="single" w:sz="4" w:space="0" w:color="auto"/>
              <w:bottom w:val="single" w:sz="4" w:space="0" w:color="auto"/>
            </w:tcBorders>
            <w:vAlign w:val="bottom"/>
          </w:tcPr>
          <w:p w14:paraId="7A69E2BF" w14:textId="77777777" w:rsidR="00893203" w:rsidRPr="00893203" w:rsidRDefault="00893203" w:rsidP="00893203">
            <w:pPr>
              <w:spacing w:line="240" w:lineRule="exact"/>
              <w:jc w:val="center"/>
              <w:rPr>
                <w:rFonts w:ascii="Times New Roman" w:hAnsi="Times New Roman"/>
                <w:sz w:val="21"/>
                <w:szCs w:val="21"/>
                <w:lang w:val="en-GB"/>
              </w:rPr>
            </w:pPr>
            <w:r w:rsidRPr="00893203">
              <w:rPr>
                <w:rFonts w:ascii="Times New Roman" w:hAnsi="Times New Roman"/>
                <w:sz w:val="21"/>
                <w:szCs w:val="21"/>
                <w:lang w:val="en-GB"/>
              </w:rPr>
              <w:t>r/r MCL</w:t>
            </w:r>
          </w:p>
          <w:p w14:paraId="4B2CAD27" w14:textId="77777777" w:rsidR="00893203" w:rsidRPr="00893203" w:rsidRDefault="00893203" w:rsidP="00893203">
            <w:pPr>
              <w:spacing w:line="240" w:lineRule="exact"/>
              <w:jc w:val="center"/>
              <w:rPr>
                <w:rFonts w:ascii="Times New Roman" w:hAnsi="Times New Roman"/>
                <w:sz w:val="21"/>
                <w:lang w:val="en-GB"/>
              </w:rPr>
            </w:pPr>
            <w:r w:rsidRPr="00893203">
              <w:rPr>
                <w:rFonts w:ascii="Times New Roman" w:hAnsi="Times New Roman"/>
                <w:sz w:val="21"/>
                <w:szCs w:val="21"/>
                <w:lang w:val="en-GB"/>
              </w:rPr>
              <w:t>(N=39)</w:t>
            </w:r>
          </w:p>
        </w:tc>
        <w:tc>
          <w:tcPr>
            <w:tcW w:w="953" w:type="dxa"/>
            <w:tcBorders>
              <w:top w:val="single" w:sz="4" w:space="0" w:color="auto"/>
              <w:bottom w:val="single" w:sz="4" w:space="0" w:color="auto"/>
            </w:tcBorders>
            <w:vAlign w:val="bottom"/>
          </w:tcPr>
          <w:p w14:paraId="0BFB7D13" w14:textId="77777777" w:rsidR="00893203" w:rsidRPr="00893203" w:rsidRDefault="00893203" w:rsidP="00893203">
            <w:pPr>
              <w:spacing w:line="240" w:lineRule="exact"/>
              <w:jc w:val="center"/>
              <w:rPr>
                <w:rFonts w:ascii="Times New Roman" w:hAnsi="Times New Roman"/>
                <w:sz w:val="21"/>
                <w:lang w:val="en-GB"/>
              </w:rPr>
            </w:pPr>
            <w:r w:rsidRPr="00893203">
              <w:rPr>
                <w:rFonts w:ascii="Times New Roman" w:hAnsi="Times New Roman"/>
                <w:sz w:val="21"/>
                <w:szCs w:val="21"/>
                <w:lang w:val="en-GB"/>
              </w:rPr>
              <w:t>Other Tumo</w:t>
            </w:r>
            <w:r w:rsidRPr="00893203">
              <w:rPr>
                <w:rFonts w:ascii="Times New Roman" w:hAnsi="Times New Roman"/>
                <w:sz w:val="21"/>
                <w:szCs w:val="21"/>
                <w:lang w:val="en-GB" w:eastAsia="zh-CN"/>
              </w:rPr>
              <w:t>u</w:t>
            </w:r>
            <w:r w:rsidRPr="00893203">
              <w:rPr>
                <w:rFonts w:ascii="Times New Roman" w:hAnsi="Times New Roman"/>
                <w:sz w:val="21"/>
                <w:szCs w:val="21"/>
                <w:lang w:val="en-GB"/>
              </w:rPr>
              <w:t>r Types</w:t>
            </w:r>
            <w:r w:rsidRPr="00893203">
              <w:rPr>
                <w:rFonts w:ascii="Times New Roman" w:hAnsi="Times New Roman"/>
                <w:sz w:val="21"/>
                <w:szCs w:val="21"/>
                <w:lang w:val="en-GB" w:eastAsia="zh-CN"/>
              </w:rPr>
              <w:t xml:space="preserve"> </w:t>
            </w:r>
            <w:r w:rsidRPr="00893203">
              <w:rPr>
                <w:rFonts w:ascii="Times New Roman" w:hAnsi="Times New Roman"/>
                <w:sz w:val="21"/>
                <w:szCs w:val="21"/>
                <w:lang w:val="en-GB"/>
              </w:rPr>
              <w:t>(N=43)</w:t>
            </w:r>
          </w:p>
        </w:tc>
        <w:tc>
          <w:tcPr>
            <w:tcW w:w="918" w:type="dxa"/>
            <w:tcBorders>
              <w:top w:val="single" w:sz="4" w:space="0" w:color="auto"/>
              <w:bottom w:val="single" w:sz="4" w:space="0" w:color="auto"/>
            </w:tcBorders>
            <w:vAlign w:val="bottom"/>
          </w:tcPr>
          <w:p w14:paraId="49F9F574" w14:textId="77777777" w:rsidR="00893203" w:rsidRPr="00893203" w:rsidRDefault="00893203" w:rsidP="00893203">
            <w:pPr>
              <w:spacing w:line="240" w:lineRule="exact"/>
              <w:jc w:val="center"/>
              <w:rPr>
                <w:rFonts w:ascii="Times New Roman" w:hAnsi="Times New Roman"/>
                <w:sz w:val="21"/>
                <w:szCs w:val="21"/>
                <w:lang w:val="en-GB"/>
              </w:rPr>
            </w:pPr>
            <w:r w:rsidRPr="00893203">
              <w:rPr>
                <w:rFonts w:ascii="Times New Roman" w:hAnsi="Times New Roman"/>
                <w:sz w:val="21"/>
                <w:szCs w:val="21"/>
                <w:lang w:val="en-GB"/>
              </w:rPr>
              <w:t>Total</w:t>
            </w:r>
          </w:p>
          <w:p w14:paraId="154A3BC9" w14:textId="77777777" w:rsidR="00893203" w:rsidRPr="00893203" w:rsidRDefault="00893203" w:rsidP="00893203">
            <w:pPr>
              <w:spacing w:line="240" w:lineRule="exact"/>
              <w:jc w:val="center"/>
              <w:rPr>
                <w:rFonts w:ascii="Times New Roman" w:hAnsi="Times New Roman"/>
                <w:sz w:val="21"/>
                <w:lang w:val="en-GB"/>
              </w:rPr>
            </w:pPr>
            <w:r w:rsidRPr="00893203">
              <w:rPr>
                <w:rFonts w:ascii="Times New Roman" w:hAnsi="Times New Roman"/>
                <w:sz w:val="21"/>
                <w:szCs w:val="21"/>
                <w:lang w:val="en-GB"/>
              </w:rPr>
              <w:t>(N=82)</w:t>
            </w:r>
          </w:p>
        </w:tc>
        <w:tc>
          <w:tcPr>
            <w:tcW w:w="1245" w:type="dxa"/>
            <w:tcBorders>
              <w:top w:val="single" w:sz="4" w:space="0" w:color="auto"/>
              <w:bottom w:val="single" w:sz="4" w:space="0" w:color="auto"/>
            </w:tcBorders>
            <w:vAlign w:val="bottom"/>
          </w:tcPr>
          <w:p w14:paraId="5BE43CEC" w14:textId="77777777" w:rsidR="00893203" w:rsidRPr="00893203" w:rsidRDefault="00893203" w:rsidP="00893203">
            <w:pPr>
              <w:spacing w:line="240" w:lineRule="exact"/>
              <w:jc w:val="center"/>
              <w:rPr>
                <w:rFonts w:ascii="Times New Roman" w:hAnsi="Times New Roman"/>
                <w:color w:val="000000"/>
                <w:sz w:val="21"/>
                <w:szCs w:val="21"/>
                <w:lang w:val="en-GB"/>
              </w:rPr>
            </w:pPr>
            <w:r w:rsidRPr="00893203">
              <w:rPr>
                <w:rFonts w:ascii="Times New Roman" w:hAnsi="Times New Roman"/>
                <w:color w:val="000000"/>
                <w:sz w:val="21"/>
                <w:szCs w:val="21"/>
                <w:lang w:val="en-GB"/>
              </w:rPr>
              <w:t>Total</w:t>
            </w:r>
          </w:p>
          <w:p w14:paraId="5E021EB2" w14:textId="77777777" w:rsidR="00893203" w:rsidRPr="00893203" w:rsidRDefault="00893203" w:rsidP="00893203">
            <w:pPr>
              <w:spacing w:line="240" w:lineRule="exact"/>
              <w:jc w:val="center"/>
              <w:rPr>
                <w:rFonts w:ascii="Times New Roman" w:hAnsi="Times New Roman"/>
                <w:sz w:val="21"/>
                <w:lang w:val="en-GB"/>
              </w:rPr>
            </w:pPr>
            <w:r w:rsidRPr="00893203">
              <w:rPr>
                <w:rFonts w:ascii="Times New Roman" w:hAnsi="Times New Roman"/>
                <w:sz w:val="21"/>
                <w:szCs w:val="21"/>
                <w:lang w:val="en-GB"/>
              </w:rPr>
              <w:t>(N=43)</w:t>
            </w:r>
          </w:p>
        </w:tc>
      </w:tr>
      <w:tr w:rsidR="00893203" w:rsidRPr="00893203" w14:paraId="16F7A589" w14:textId="77777777" w:rsidTr="009F3366">
        <w:trPr>
          <w:trHeight w:val="283"/>
        </w:trPr>
        <w:tc>
          <w:tcPr>
            <w:tcW w:w="2408" w:type="dxa"/>
            <w:vAlign w:val="center"/>
          </w:tcPr>
          <w:p w14:paraId="1B4B9EB7" w14:textId="77777777" w:rsidR="00893203" w:rsidRPr="00893203" w:rsidRDefault="00893203" w:rsidP="00893203">
            <w:pPr>
              <w:spacing w:line="240" w:lineRule="exact"/>
              <w:jc w:val="both"/>
              <w:rPr>
                <w:rFonts w:ascii="Times New Roman" w:hAnsi="Times New Roman"/>
                <w:sz w:val="21"/>
                <w:lang w:val="en-GB"/>
              </w:rPr>
            </w:pPr>
            <w:r w:rsidRPr="00893203">
              <w:rPr>
                <w:rFonts w:ascii="Times New Roman" w:hAnsi="Times New Roman"/>
                <w:sz w:val="21"/>
                <w:szCs w:val="21"/>
                <w:lang w:val="en-GB"/>
              </w:rPr>
              <w:t>Subjects Screened</w:t>
            </w:r>
          </w:p>
        </w:tc>
        <w:tc>
          <w:tcPr>
            <w:tcW w:w="855" w:type="dxa"/>
            <w:vAlign w:val="center"/>
          </w:tcPr>
          <w:p w14:paraId="3F148EE0" w14:textId="77777777" w:rsidR="00893203" w:rsidRPr="00893203" w:rsidRDefault="00893203" w:rsidP="00893203">
            <w:pPr>
              <w:snapToGrid w:val="0"/>
              <w:jc w:val="center"/>
              <w:rPr>
                <w:rFonts w:ascii="Times New Roman" w:hAnsi="Times New Roman"/>
                <w:sz w:val="21"/>
                <w:lang w:val="en-GB" w:eastAsia="zh-CN"/>
              </w:rPr>
            </w:pPr>
            <w:r w:rsidRPr="00893203">
              <w:rPr>
                <w:rFonts w:ascii="Times New Roman" w:hAnsi="Times New Roman"/>
                <w:sz w:val="21"/>
                <w:lang w:val="en-GB" w:eastAsia="zh-CN"/>
              </w:rPr>
              <w:t>/</w:t>
            </w:r>
          </w:p>
        </w:tc>
        <w:tc>
          <w:tcPr>
            <w:tcW w:w="855" w:type="dxa"/>
            <w:vAlign w:val="center"/>
          </w:tcPr>
          <w:p w14:paraId="12B9EA4A"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918" w:type="dxa"/>
            <w:vAlign w:val="center"/>
          </w:tcPr>
          <w:p w14:paraId="015DD43B"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14 (100)</w:t>
            </w:r>
          </w:p>
        </w:tc>
        <w:tc>
          <w:tcPr>
            <w:tcW w:w="918" w:type="dxa"/>
            <w:vAlign w:val="center"/>
          </w:tcPr>
          <w:p w14:paraId="07A38985"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53" w:type="dxa"/>
            <w:vAlign w:val="center"/>
          </w:tcPr>
          <w:p w14:paraId="27DF5BA1"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3ECB0A30"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103 (100)</w:t>
            </w:r>
          </w:p>
        </w:tc>
        <w:tc>
          <w:tcPr>
            <w:tcW w:w="1245" w:type="dxa"/>
            <w:vAlign w:val="center"/>
          </w:tcPr>
          <w:p w14:paraId="0E52BBB4"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45 (100)</w:t>
            </w:r>
          </w:p>
        </w:tc>
      </w:tr>
      <w:tr w:rsidR="00893203" w:rsidRPr="00893203" w14:paraId="025D54F2" w14:textId="77777777" w:rsidTr="009F3366">
        <w:trPr>
          <w:trHeight w:val="283"/>
        </w:trPr>
        <w:tc>
          <w:tcPr>
            <w:tcW w:w="2408" w:type="dxa"/>
            <w:vAlign w:val="center"/>
          </w:tcPr>
          <w:p w14:paraId="359634A3" w14:textId="77777777" w:rsidR="00893203" w:rsidRPr="00893203" w:rsidRDefault="00893203" w:rsidP="00893203">
            <w:pPr>
              <w:spacing w:line="240" w:lineRule="exact"/>
              <w:jc w:val="both"/>
              <w:rPr>
                <w:rFonts w:ascii="Times New Roman" w:hAnsi="Times New Roman"/>
                <w:sz w:val="21"/>
                <w:lang w:val="en-GB"/>
              </w:rPr>
            </w:pPr>
            <w:r w:rsidRPr="00893203">
              <w:rPr>
                <w:rFonts w:ascii="Times New Roman" w:hAnsi="Times New Roman"/>
                <w:sz w:val="21"/>
                <w:szCs w:val="21"/>
                <w:lang w:val="en-GB"/>
              </w:rPr>
              <w:t>Screening Failed</w:t>
            </w:r>
          </w:p>
        </w:tc>
        <w:tc>
          <w:tcPr>
            <w:tcW w:w="855" w:type="dxa"/>
            <w:vAlign w:val="center"/>
          </w:tcPr>
          <w:p w14:paraId="5E6E3013"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855" w:type="dxa"/>
            <w:vAlign w:val="center"/>
          </w:tcPr>
          <w:p w14:paraId="44372118"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918" w:type="dxa"/>
            <w:vAlign w:val="center"/>
          </w:tcPr>
          <w:p w14:paraId="11FD678B"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 (14.3)</w:t>
            </w:r>
          </w:p>
        </w:tc>
        <w:tc>
          <w:tcPr>
            <w:tcW w:w="918" w:type="dxa"/>
            <w:vAlign w:val="center"/>
          </w:tcPr>
          <w:p w14:paraId="417A0076"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53" w:type="dxa"/>
            <w:vAlign w:val="center"/>
          </w:tcPr>
          <w:p w14:paraId="007074DB"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753F9BB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21 (20.4)</w:t>
            </w:r>
          </w:p>
        </w:tc>
        <w:tc>
          <w:tcPr>
            <w:tcW w:w="1245" w:type="dxa"/>
            <w:vAlign w:val="center"/>
          </w:tcPr>
          <w:p w14:paraId="2444E6F7"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 (4.4)</w:t>
            </w:r>
          </w:p>
        </w:tc>
      </w:tr>
      <w:tr w:rsidR="00893203" w:rsidRPr="00893203" w14:paraId="68F7C2CF" w14:textId="77777777" w:rsidTr="009F3366">
        <w:trPr>
          <w:trHeight w:val="283"/>
        </w:trPr>
        <w:tc>
          <w:tcPr>
            <w:tcW w:w="2408" w:type="dxa"/>
            <w:vAlign w:val="center"/>
          </w:tcPr>
          <w:p w14:paraId="519078C4" w14:textId="77777777" w:rsidR="00893203" w:rsidRPr="00893203" w:rsidRDefault="00893203" w:rsidP="00893203">
            <w:pPr>
              <w:spacing w:line="240" w:lineRule="exact"/>
              <w:ind w:leftChars="100" w:left="220"/>
              <w:rPr>
                <w:rFonts w:ascii="Times New Roman" w:hAnsi="Times New Roman"/>
                <w:sz w:val="21"/>
                <w:lang w:val="en-GB"/>
              </w:rPr>
            </w:pPr>
            <w:r w:rsidRPr="00893203">
              <w:rPr>
                <w:rFonts w:ascii="Times New Roman" w:hAnsi="Times New Roman"/>
                <w:sz w:val="21"/>
                <w:szCs w:val="21"/>
                <w:lang w:val="en-GB"/>
              </w:rPr>
              <w:t>Reason for Screening Failure</w:t>
            </w:r>
          </w:p>
        </w:tc>
        <w:tc>
          <w:tcPr>
            <w:tcW w:w="855" w:type="dxa"/>
            <w:vAlign w:val="center"/>
          </w:tcPr>
          <w:p w14:paraId="2E75E188"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855" w:type="dxa"/>
            <w:vAlign w:val="center"/>
          </w:tcPr>
          <w:p w14:paraId="7B59DF37"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918" w:type="dxa"/>
            <w:vAlign w:val="center"/>
          </w:tcPr>
          <w:p w14:paraId="41D545C1" w14:textId="77777777" w:rsidR="00893203" w:rsidRPr="00893203" w:rsidRDefault="00893203" w:rsidP="00893203">
            <w:pPr>
              <w:snapToGrid w:val="0"/>
              <w:jc w:val="center"/>
              <w:rPr>
                <w:rFonts w:ascii="Times New Roman" w:hAnsi="Times New Roman"/>
                <w:sz w:val="21"/>
                <w:szCs w:val="21"/>
                <w:lang w:val="en-GB" w:eastAsia="zh-CN"/>
              </w:rPr>
            </w:pPr>
            <w:r w:rsidRPr="00893203">
              <w:rPr>
                <w:rFonts w:ascii="Times New Roman" w:hAnsi="Times New Roman"/>
                <w:sz w:val="21"/>
                <w:szCs w:val="21"/>
                <w:lang w:val="en-GB" w:eastAsia="zh-CN"/>
              </w:rPr>
              <w:t>/</w:t>
            </w:r>
          </w:p>
        </w:tc>
        <w:tc>
          <w:tcPr>
            <w:tcW w:w="918" w:type="dxa"/>
            <w:vAlign w:val="center"/>
          </w:tcPr>
          <w:p w14:paraId="2DE1D1D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53" w:type="dxa"/>
            <w:vAlign w:val="center"/>
          </w:tcPr>
          <w:p w14:paraId="4B3CA91B"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713055E2" w14:textId="77777777" w:rsidR="00893203" w:rsidRPr="00893203" w:rsidRDefault="00893203" w:rsidP="00893203">
            <w:pPr>
              <w:snapToGrid w:val="0"/>
              <w:jc w:val="center"/>
              <w:rPr>
                <w:rFonts w:ascii="Times New Roman" w:hAnsi="Times New Roman"/>
                <w:sz w:val="21"/>
                <w:szCs w:val="21"/>
                <w:lang w:val="en-GB" w:eastAsia="zh-CN"/>
              </w:rPr>
            </w:pPr>
            <w:r w:rsidRPr="00893203">
              <w:rPr>
                <w:rFonts w:ascii="Times New Roman" w:hAnsi="Times New Roman"/>
                <w:sz w:val="21"/>
                <w:szCs w:val="21"/>
                <w:lang w:val="en-GB" w:eastAsia="zh-CN"/>
              </w:rPr>
              <w:t>/</w:t>
            </w:r>
          </w:p>
        </w:tc>
        <w:tc>
          <w:tcPr>
            <w:tcW w:w="1245" w:type="dxa"/>
            <w:vAlign w:val="center"/>
          </w:tcPr>
          <w:p w14:paraId="665BC093" w14:textId="77777777" w:rsidR="00893203" w:rsidRPr="00893203" w:rsidRDefault="00893203" w:rsidP="00893203">
            <w:pPr>
              <w:snapToGrid w:val="0"/>
              <w:jc w:val="center"/>
              <w:rPr>
                <w:rFonts w:ascii="Times New Roman" w:hAnsi="Times New Roman"/>
                <w:sz w:val="21"/>
                <w:szCs w:val="21"/>
                <w:lang w:val="en-GB" w:eastAsia="zh-CN"/>
              </w:rPr>
            </w:pPr>
            <w:r w:rsidRPr="00893203">
              <w:rPr>
                <w:rFonts w:ascii="Times New Roman" w:hAnsi="Times New Roman"/>
                <w:sz w:val="21"/>
                <w:szCs w:val="21"/>
                <w:lang w:val="en-GB" w:eastAsia="zh-CN"/>
              </w:rPr>
              <w:t>/</w:t>
            </w:r>
          </w:p>
        </w:tc>
      </w:tr>
      <w:tr w:rsidR="00893203" w:rsidRPr="00893203" w14:paraId="44C26015" w14:textId="77777777" w:rsidTr="009F3366">
        <w:trPr>
          <w:trHeight w:val="283"/>
        </w:trPr>
        <w:tc>
          <w:tcPr>
            <w:tcW w:w="2408" w:type="dxa"/>
            <w:vAlign w:val="center"/>
          </w:tcPr>
          <w:p w14:paraId="03F95F43" w14:textId="77777777" w:rsidR="00893203" w:rsidRPr="00893203" w:rsidRDefault="00893203" w:rsidP="00893203">
            <w:pPr>
              <w:spacing w:line="240" w:lineRule="exact"/>
              <w:ind w:leftChars="200" w:left="440"/>
              <w:jc w:val="both"/>
              <w:rPr>
                <w:rFonts w:ascii="Times New Roman" w:eastAsia="Times New Roman" w:hAnsi="Times New Roman"/>
                <w:sz w:val="21"/>
                <w:szCs w:val="21"/>
                <w:lang w:val="en-GB"/>
              </w:rPr>
            </w:pPr>
            <w:r w:rsidRPr="00893203">
              <w:rPr>
                <w:rFonts w:ascii="Times New Roman" w:eastAsia="Times New Roman" w:hAnsi="Times New Roman"/>
                <w:sz w:val="21"/>
                <w:szCs w:val="21"/>
                <w:lang w:val="en-GB"/>
              </w:rPr>
              <w:t>Inclusion Criteria not Met</w:t>
            </w:r>
          </w:p>
        </w:tc>
        <w:tc>
          <w:tcPr>
            <w:tcW w:w="855" w:type="dxa"/>
            <w:vAlign w:val="center"/>
          </w:tcPr>
          <w:p w14:paraId="10C83B93"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855" w:type="dxa"/>
            <w:vAlign w:val="center"/>
          </w:tcPr>
          <w:p w14:paraId="6CA22CA6"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918" w:type="dxa"/>
            <w:vAlign w:val="center"/>
          </w:tcPr>
          <w:p w14:paraId="2497C9A1"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(7.1)</w:t>
            </w:r>
          </w:p>
        </w:tc>
        <w:tc>
          <w:tcPr>
            <w:tcW w:w="918" w:type="dxa"/>
            <w:vAlign w:val="center"/>
          </w:tcPr>
          <w:p w14:paraId="6E1ED990"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53" w:type="dxa"/>
            <w:vAlign w:val="center"/>
          </w:tcPr>
          <w:p w14:paraId="308D4C5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37B79115"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13 (12.6)</w:t>
            </w:r>
          </w:p>
        </w:tc>
        <w:tc>
          <w:tcPr>
            <w:tcW w:w="1245" w:type="dxa"/>
            <w:vAlign w:val="center"/>
          </w:tcPr>
          <w:p w14:paraId="1845B1CA"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(2.2)</w:t>
            </w:r>
          </w:p>
        </w:tc>
      </w:tr>
      <w:tr w:rsidR="00893203" w:rsidRPr="00893203" w14:paraId="342C0C72" w14:textId="77777777" w:rsidTr="009F3366">
        <w:trPr>
          <w:trHeight w:val="283"/>
        </w:trPr>
        <w:tc>
          <w:tcPr>
            <w:tcW w:w="2408" w:type="dxa"/>
            <w:vAlign w:val="center"/>
          </w:tcPr>
          <w:p w14:paraId="6FECED54" w14:textId="77777777" w:rsidR="00893203" w:rsidRPr="00893203" w:rsidRDefault="00893203" w:rsidP="00893203">
            <w:pPr>
              <w:spacing w:line="240" w:lineRule="exact"/>
              <w:ind w:leftChars="200" w:left="440"/>
              <w:jc w:val="both"/>
              <w:rPr>
                <w:rFonts w:ascii="Times New Roman" w:eastAsia="Times New Roman" w:hAnsi="Times New Roman"/>
                <w:sz w:val="21"/>
                <w:szCs w:val="21"/>
                <w:lang w:val="en-GB"/>
              </w:rPr>
            </w:pPr>
            <w:r w:rsidRPr="00893203">
              <w:rPr>
                <w:rFonts w:ascii="Times New Roman" w:eastAsia="Times New Roman" w:hAnsi="Times New Roman"/>
                <w:sz w:val="21"/>
                <w:szCs w:val="21"/>
                <w:lang w:val="en-GB"/>
              </w:rPr>
              <w:t>Exclusion Criteria Met</w:t>
            </w:r>
          </w:p>
        </w:tc>
        <w:tc>
          <w:tcPr>
            <w:tcW w:w="855" w:type="dxa"/>
            <w:vAlign w:val="center"/>
          </w:tcPr>
          <w:p w14:paraId="6F599856"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855" w:type="dxa"/>
            <w:vAlign w:val="center"/>
          </w:tcPr>
          <w:p w14:paraId="5B361FF0"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918" w:type="dxa"/>
            <w:vAlign w:val="center"/>
          </w:tcPr>
          <w:p w14:paraId="46742E67"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(7.1)</w:t>
            </w:r>
          </w:p>
        </w:tc>
        <w:tc>
          <w:tcPr>
            <w:tcW w:w="918" w:type="dxa"/>
            <w:vAlign w:val="center"/>
          </w:tcPr>
          <w:p w14:paraId="7224F4B0"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53" w:type="dxa"/>
            <w:vAlign w:val="center"/>
          </w:tcPr>
          <w:p w14:paraId="0ECC0AE3"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44CA5F30"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9 (8.7)</w:t>
            </w:r>
          </w:p>
        </w:tc>
        <w:tc>
          <w:tcPr>
            <w:tcW w:w="1245" w:type="dxa"/>
            <w:vAlign w:val="center"/>
          </w:tcPr>
          <w:p w14:paraId="22B27B2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(2.2)</w:t>
            </w:r>
          </w:p>
        </w:tc>
      </w:tr>
      <w:tr w:rsidR="00893203" w:rsidRPr="00893203" w14:paraId="43EF6264" w14:textId="77777777" w:rsidTr="009F3366">
        <w:trPr>
          <w:trHeight w:val="283"/>
        </w:trPr>
        <w:tc>
          <w:tcPr>
            <w:tcW w:w="2408" w:type="dxa"/>
            <w:vAlign w:val="center"/>
          </w:tcPr>
          <w:p w14:paraId="18E63381" w14:textId="77777777" w:rsidR="00893203" w:rsidRPr="00893203" w:rsidRDefault="00893203" w:rsidP="00893203">
            <w:pPr>
              <w:spacing w:line="240" w:lineRule="exact"/>
              <w:ind w:leftChars="200" w:left="440"/>
              <w:jc w:val="both"/>
              <w:rPr>
                <w:rFonts w:ascii="Times New Roman" w:eastAsia="Times New Roman" w:hAnsi="Times New Roman"/>
                <w:sz w:val="21"/>
                <w:szCs w:val="21"/>
                <w:lang w:val="en-GB"/>
              </w:rPr>
            </w:pPr>
            <w:r w:rsidRPr="00893203">
              <w:rPr>
                <w:rFonts w:ascii="Times New Roman" w:eastAsia="Times New Roman" w:hAnsi="Times New Roman"/>
                <w:sz w:val="21"/>
                <w:szCs w:val="21"/>
                <w:lang w:val="en-GB"/>
              </w:rPr>
              <w:t>Consent Withdrawn</w:t>
            </w:r>
          </w:p>
        </w:tc>
        <w:tc>
          <w:tcPr>
            <w:tcW w:w="855" w:type="dxa"/>
            <w:vAlign w:val="center"/>
          </w:tcPr>
          <w:p w14:paraId="52529748"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855" w:type="dxa"/>
            <w:vAlign w:val="center"/>
          </w:tcPr>
          <w:p w14:paraId="45828092"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918" w:type="dxa"/>
            <w:vAlign w:val="center"/>
          </w:tcPr>
          <w:p w14:paraId="3A8B2B98"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918" w:type="dxa"/>
            <w:vAlign w:val="center"/>
          </w:tcPr>
          <w:p w14:paraId="081435C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53" w:type="dxa"/>
            <w:vAlign w:val="center"/>
          </w:tcPr>
          <w:p w14:paraId="0A6082D8"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338840A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(1.0)</w:t>
            </w:r>
          </w:p>
        </w:tc>
        <w:tc>
          <w:tcPr>
            <w:tcW w:w="1245" w:type="dxa"/>
            <w:vAlign w:val="center"/>
          </w:tcPr>
          <w:p w14:paraId="0D24481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r>
      <w:tr w:rsidR="00893203" w:rsidRPr="00893203" w14:paraId="7EA4EC6B" w14:textId="77777777" w:rsidTr="009F3366">
        <w:trPr>
          <w:trHeight w:val="283"/>
        </w:trPr>
        <w:tc>
          <w:tcPr>
            <w:tcW w:w="2408" w:type="dxa"/>
            <w:vAlign w:val="center"/>
          </w:tcPr>
          <w:p w14:paraId="519E78B5" w14:textId="77777777" w:rsidR="00893203" w:rsidRPr="00893203" w:rsidRDefault="00893203" w:rsidP="00893203">
            <w:pPr>
              <w:spacing w:line="240" w:lineRule="exact"/>
              <w:ind w:leftChars="200" w:left="440"/>
              <w:jc w:val="both"/>
              <w:rPr>
                <w:rFonts w:ascii="Times New Roman" w:eastAsia="Times New Roman" w:hAnsi="Times New Roman"/>
                <w:sz w:val="21"/>
                <w:szCs w:val="21"/>
                <w:lang w:val="en-GB"/>
              </w:rPr>
            </w:pPr>
            <w:r w:rsidRPr="00893203">
              <w:rPr>
                <w:rFonts w:ascii="Times New Roman" w:eastAsia="Times New Roman" w:hAnsi="Times New Roman"/>
                <w:sz w:val="21"/>
                <w:szCs w:val="21"/>
                <w:lang w:val="en-GB"/>
              </w:rPr>
              <w:t>Other</w:t>
            </w:r>
          </w:p>
        </w:tc>
        <w:tc>
          <w:tcPr>
            <w:tcW w:w="855" w:type="dxa"/>
            <w:vAlign w:val="center"/>
          </w:tcPr>
          <w:p w14:paraId="4789A48D"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855" w:type="dxa"/>
            <w:vAlign w:val="center"/>
          </w:tcPr>
          <w:p w14:paraId="067A852D"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w:t>
            </w:r>
          </w:p>
        </w:tc>
        <w:tc>
          <w:tcPr>
            <w:tcW w:w="918" w:type="dxa"/>
            <w:vAlign w:val="center"/>
          </w:tcPr>
          <w:p w14:paraId="2553BB8F"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918" w:type="dxa"/>
            <w:vAlign w:val="center"/>
          </w:tcPr>
          <w:p w14:paraId="184F16DF"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53" w:type="dxa"/>
            <w:vAlign w:val="center"/>
          </w:tcPr>
          <w:p w14:paraId="2D2D2C26"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39037E0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1245" w:type="dxa"/>
            <w:vAlign w:val="center"/>
          </w:tcPr>
          <w:p w14:paraId="5607A72A"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r>
      <w:tr w:rsidR="00893203" w:rsidRPr="00893203" w14:paraId="6785B4A9" w14:textId="77777777" w:rsidTr="009F3366">
        <w:trPr>
          <w:trHeight w:val="283"/>
        </w:trPr>
        <w:tc>
          <w:tcPr>
            <w:tcW w:w="2408" w:type="dxa"/>
            <w:vAlign w:val="center"/>
          </w:tcPr>
          <w:p w14:paraId="180EAFDF" w14:textId="77777777" w:rsidR="00893203" w:rsidRPr="00893203" w:rsidRDefault="00893203" w:rsidP="00893203">
            <w:pPr>
              <w:spacing w:line="240" w:lineRule="exact"/>
              <w:jc w:val="both"/>
              <w:rPr>
                <w:rFonts w:ascii="Times New Roman" w:hAnsi="Times New Roman"/>
                <w:sz w:val="21"/>
                <w:szCs w:val="21"/>
                <w:lang w:val="en-GB" w:eastAsia="zh-CN"/>
              </w:rPr>
            </w:pPr>
            <w:r w:rsidRPr="00893203">
              <w:rPr>
                <w:rFonts w:ascii="Times New Roman" w:hAnsi="Times New Roman"/>
                <w:sz w:val="21"/>
                <w:szCs w:val="21"/>
                <w:lang w:val="en-GB"/>
              </w:rPr>
              <w:t xml:space="preserve">Subjects Treated </w:t>
            </w:r>
            <w:r w:rsidRPr="00893203">
              <w:rPr>
                <w:rFonts w:ascii="Times New Roman" w:hAnsi="Times New Roman"/>
                <w:sz w:val="21"/>
                <w:szCs w:val="21"/>
                <w:lang w:val="en-GB" w:eastAsia="zh-CN"/>
              </w:rPr>
              <w:t>[1]</w:t>
            </w:r>
          </w:p>
        </w:tc>
        <w:tc>
          <w:tcPr>
            <w:tcW w:w="855" w:type="dxa"/>
            <w:vAlign w:val="center"/>
          </w:tcPr>
          <w:p w14:paraId="067DC02D"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3 (100)</w:t>
            </w:r>
          </w:p>
        </w:tc>
        <w:tc>
          <w:tcPr>
            <w:tcW w:w="855" w:type="dxa"/>
            <w:vAlign w:val="center"/>
          </w:tcPr>
          <w:p w14:paraId="214240B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9 (100)</w:t>
            </w:r>
          </w:p>
        </w:tc>
        <w:tc>
          <w:tcPr>
            <w:tcW w:w="918" w:type="dxa"/>
            <w:vAlign w:val="center"/>
          </w:tcPr>
          <w:p w14:paraId="05BA4398"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12 (100)</w:t>
            </w:r>
          </w:p>
        </w:tc>
        <w:tc>
          <w:tcPr>
            <w:tcW w:w="918" w:type="dxa"/>
            <w:vAlign w:val="center"/>
          </w:tcPr>
          <w:p w14:paraId="55BFC2C8"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39 (100)</w:t>
            </w:r>
          </w:p>
        </w:tc>
        <w:tc>
          <w:tcPr>
            <w:tcW w:w="953" w:type="dxa"/>
            <w:vAlign w:val="center"/>
          </w:tcPr>
          <w:p w14:paraId="38A06513"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43 (100)</w:t>
            </w:r>
          </w:p>
        </w:tc>
        <w:tc>
          <w:tcPr>
            <w:tcW w:w="918" w:type="dxa"/>
            <w:vAlign w:val="center"/>
          </w:tcPr>
          <w:p w14:paraId="7C524B63"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82 (100)</w:t>
            </w:r>
          </w:p>
        </w:tc>
        <w:tc>
          <w:tcPr>
            <w:tcW w:w="1245" w:type="dxa"/>
            <w:vAlign w:val="center"/>
          </w:tcPr>
          <w:p w14:paraId="7C230BB9"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43 (100)</w:t>
            </w:r>
          </w:p>
        </w:tc>
      </w:tr>
      <w:tr w:rsidR="00893203" w:rsidRPr="00893203" w14:paraId="1BFFF0F5" w14:textId="77777777" w:rsidTr="009F3366">
        <w:trPr>
          <w:trHeight w:val="283"/>
        </w:trPr>
        <w:tc>
          <w:tcPr>
            <w:tcW w:w="2408" w:type="dxa"/>
            <w:vAlign w:val="center"/>
          </w:tcPr>
          <w:p w14:paraId="0F70AC5C" w14:textId="77777777" w:rsidR="00893203" w:rsidRPr="00893203" w:rsidRDefault="00893203" w:rsidP="00893203">
            <w:pPr>
              <w:spacing w:line="240" w:lineRule="exact"/>
              <w:jc w:val="both"/>
              <w:rPr>
                <w:rFonts w:ascii="Times New Roman" w:hAnsi="Times New Roman"/>
                <w:sz w:val="21"/>
                <w:szCs w:val="21"/>
                <w:lang w:val="en-GB"/>
              </w:rPr>
            </w:pPr>
            <w:r w:rsidRPr="00893203">
              <w:rPr>
                <w:rFonts w:ascii="Times New Roman" w:hAnsi="Times New Roman"/>
                <w:sz w:val="21"/>
                <w:szCs w:val="21"/>
                <w:lang w:val="en-GB"/>
              </w:rPr>
              <w:t>Ongoing Study Treatment</w:t>
            </w:r>
          </w:p>
        </w:tc>
        <w:tc>
          <w:tcPr>
            <w:tcW w:w="855" w:type="dxa"/>
            <w:vAlign w:val="center"/>
          </w:tcPr>
          <w:p w14:paraId="70910DA6"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855" w:type="dxa"/>
            <w:vAlign w:val="center"/>
          </w:tcPr>
          <w:p w14:paraId="07C59D68"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5 (55.6)</w:t>
            </w:r>
          </w:p>
        </w:tc>
        <w:tc>
          <w:tcPr>
            <w:tcW w:w="918" w:type="dxa"/>
            <w:vAlign w:val="center"/>
          </w:tcPr>
          <w:p w14:paraId="43345B40"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5 (41.7)</w:t>
            </w:r>
          </w:p>
        </w:tc>
        <w:tc>
          <w:tcPr>
            <w:tcW w:w="918" w:type="dxa"/>
            <w:vAlign w:val="center"/>
          </w:tcPr>
          <w:p w14:paraId="4A9D7021"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20 (51.3)</w:t>
            </w:r>
          </w:p>
        </w:tc>
        <w:tc>
          <w:tcPr>
            <w:tcW w:w="953" w:type="dxa"/>
            <w:vAlign w:val="center"/>
          </w:tcPr>
          <w:p w14:paraId="14E37F94"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28 (65.1)</w:t>
            </w:r>
          </w:p>
        </w:tc>
        <w:tc>
          <w:tcPr>
            <w:tcW w:w="918" w:type="dxa"/>
            <w:vAlign w:val="center"/>
          </w:tcPr>
          <w:p w14:paraId="76A1FF38"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48 (58.5)</w:t>
            </w:r>
          </w:p>
        </w:tc>
        <w:tc>
          <w:tcPr>
            <w:tcW w:w="1245" w:type="dxa"/>
            <w:vAlign w:val="center"/>
          </w:tcPr>
          <w:p w14:paraId="3FC8F8D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22 (51.2)</w:t>
            </w:r>
          </w:p>
        </w:tc>
      </w:tr>
      <w:tr w:rsidR="00893203" w:rsidRPr="00893203" w14:paraId="07ECEE89" w14:textId="77777777" w:rsidTr="009F3366">
        <w:trPr>
          <w:trHeight w:val="283"/>
        </w:trPr>
        <w:tc>
          <w:tcPr>
            <w:tcW w:w="2408" w:type="dxa"/>
            <w:vAlign w:val="center"/>
          </w:tcPr>
          <w:p w14:paraId="44CBA319" w14:textId="77777777" w:rsidR="00893203" w:rsidRPr="00893203" w:rsidRDefault="00893203" w:rsidP="00893203">
            <w:pPr>
              <w:spacing w:line="240" w:lineRule="exact"/>
              <w:rPr>
                <w:rFonts w:ascii="Times New Roman" w:hAnsi="Times New Roman"/>
                <w:sz w:val="21"/>
                <w:szCs w:val="21"/>
                <w:lang w:val="en-GB"/>
              </w:rPr>
            </w:pPr>
            <w:r w:rsidRPr="00893203">
              <w:rPr>
                <w:rFonts w:ascii="Times New Roman" w:hAnsi="Times New Roman"/>
                <w:sz w:val="21"/>
                <w:szCs w:val="21"/>
                <w:lang w:val="en-GB"/>
              </w:rPr>
              <w:t>Discontinued from Study Treatment</w:t>
            </w:r>
          </w:p>
        </w:tc>
        <w:tc>
          <w:tcPr>
            <w:tcW w:w="855" w:type="dxa"/>
            <w:vAlign w:val="center"/>
          </w:tcPr>
          <w:p w14:paraId="533CC37B"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3 (100)</w:t>
            </w:r>
          </w:p>
        </w:tc>
        <w:tc>
          <w:tcPr>
            <w:tcW w:w="855" w:type="dxa"/>
            <w:vAlign w:val="center"/>
          </w:tcPr>
          <w:p w14:paraId="5D2437DF"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4 (44.4)</w:t>
            </w:r>
          </w:p>
        </w:tc>
        <w:tc>
          <w:tcPr>
            <w:tcW w:w="918" w:type="dxa"/>
            <w:vAlign w:val="center"/>
          </w:tcPr>
          <w:p w14:paraId="51805F5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7 (58.3)</w:t>
            </w:r>
          </w:p>
        </w:tc>
        <w:tc>
          <w:tcPr>
            <w:tcW w:w="918" w:type="dxa"/>
            <w:vAlign w:val="center"/>
          </w:tcPr>
          <w:p w14:paraId="44D5A98D"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19 (48.7)</w:t>
            </w:r>
          </w:p>
        </w:tc>
        <w:tc>
          <w:tcPr>
            <w:tcW w:w="953" w:type="dxa"/>
            <w:vAlign w:val="center"/>
          </w:tcPr>
          <w:p w14:paraId="53D65B1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15 (34.9)</w:t>
            </w:r>
          </w:p>
        </w:tc>
        <w:tc>
          <w:tcPr>
            <w:tcW w:w="918" w:type="dxa"/>
            <w:vAlign w:val="center"/>
          </w:tcPr>
          <w:p w14:paraId="61726005"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34 (41.5)</w:t>
            </w:r>
          </w:p>
        </w:tc>
        <w:tc>
          <w:tcPr>
            <w:tcW w:w="1245" w:type="dxa"/>
            <w:vAlign w:val="center"/>
          </w:tcPr>
          <w:p w14:paraId="7BDA7CA6"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21 (48.8)</w:t>
            </w:r>
          </w:p>
        </w:tc>
      </w:tr>
      <w:tr w:rsidR="00893203" w:rsidRPr="00893203" w14:paraId="2F3C3C75" w14:textId="77777777" w:rsidTr="009F3366">
        <w:trPr>
          <w:trHeight w:val="283"/>
        </w:trPr>
        <w:tc>
          <w:tcPr>
            <w:tcW w:w="2408" w:type="dxa"/>
            <w:vAlign w:val="center"/>
          </w:tcPr>
          <w:p w14:paraId="2787A58F" w14:textId="77777777" w:rsidR="00893203" w:rsidRPr="00893203" w:rsidRDefault="00893203" w:rsidP="00893203">
            <w:pPr>
              <w:spacing w:line="240" w:lineRule="exact"/>
              <w:ind w:leftChars="100" w:left="220"/>
              <w:rPr>
                <w:rFonts w:ascii="Times New Roman" w:hAnsi="Times New Roman"/>
                <w:sz w:val="21"/>
                <w:szCs w:val="21"/>
                <w:lang w:val="en-GB"/>
              </w:rPr>
            </w:pPr>
            <w:r w:rsidRPr="00893203">
              <w:rPr>
                <w:rFonts w:ascii="Times New Roman" w:hAnsi="Times New Roman"/>
                <w:sz w:val="21"/>
                <w:szCs w:val="21"/>
                <w:lang w:val="en-GB"/>
              </w:rPr>
              <w:t xml:space="preserve">Primary Reason for Discontinuation </w:t>
            </w:r>
          </w:p>
        </w:tc>
        <w:tc>
          <w:tcPr>
            <w:tcW w:w="855" w:type="dxa"/>
            <w:vAlign w:val="center"/>
          </w:tcPr>
          <w:p w14:paraId="19E723B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855" w:type="dxa"/>
            <w:vAlign w:val="center"/>
          </w:tcPr>
          <w:p w14:paraId="5352B365"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26B90A33"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23C91E9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53" w:type="dxa"/>
            <w:vAlign w:val="center"/>
          </w:tcPr>
          <w:p w14:paraId="75A68AE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112C6F4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1245" w:type="dxa"/>
            <w:vAlign w:val="center"/>
          </w:tcPr>
          <w:p w14:paraId="70B6C8A4"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r>
      <w:tr w:rsidR="00893203" w:rsidRPr="00893203" w14:paraId="345B557C" w14:textId="77777777" w:rsidTr="009F3366">
        <w:trPr>
          <w:trHeight w:val="283"/>
        </w:trPr>
        <w:tc>
          <w:tcPr>
            <w:tcW w:w="2408" w:type="dxa"/>
            <w:vAlign w:val="center"/>
          </w:tcPr>
          <w:p w14:paraId="34E8182A" w14:textId="77777777" w:rsidR="00893203" w:rsidRPr="00893203" w:rsidRDefault="00893203" w:rsidP="00893203">
            <w:pPr>
              <w:spacing w:line="240" w:lineRule="exact"/>
              <w:ind w:leftChars="200" w:left="440"/>
              <w:jc w:val="both"/>
              <w:rPr>
                <w:rFonts w:ascii="Times New Roman" w:hAnsi="Times New Roman"/>
                <w:sz w:val="21"/>
                <w:szCs w:val="21"/>
                <w:lang w:val="en-GB" w:eastAsia="zh-CN"/>
              </w:rPr>
            </w:pPr>
            <w:r w:rsidRPr="00893203">
              <w:rPr>
                <w:rFonts w:ascii="Times New Roman" w:eastAsia="Times New Roman" w:hAnsi="Times New Roman"/>
                <w:sz w:val="21"/>
                <w:szCs w:val="21"/>
                <w:lang w:val="en-GB"/>
              </w:rPr>
              <w:t>Disease progression</w:t>
            </w:r>
          </w:p>
        </w:tc>
        <w:tc>
          <w:tcPr>
            <w:tcW w:w="855" w:type="dxa"/>
            <w:vAlign w:val="center"/>
          </w:tcPr>
          <w:p w14:paraId="46F3DDE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0</w:t>
            </w:r>
          </w:p>
        </w:tc>
        <w:tc>
          <w:tcPr>
            <w:tcW w:w="855" w:type="dxa"/>
            <w:vAlign w:val="center"/>
          </w:tcPr>
          <w:p w14:paraId="14957856"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3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33.3)</w:t>
            </w:r>
          </w:p>
        </w:tc>
        <w:tc>
          <w:tcPr>
            <w:tcW w:w="918" w:type="dxa"/>
            <w:vAlign w:val="center"/>
          </w:tcPr>
          <w:p w14:paraId="4536274D"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3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25.0)</w:t>
            </w:r>
          </w:p>
        </w:tc>
        <w:tc>
          <w:tcPr>
            <w:tcW w:w="918" w:type="dxa"/>
            <w:vAlign w:val="center"/>
          </w:tcPr>
          <w:p w14:paraId="498E875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9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23.1)</w:t>
            </w:r>
          </w:p>
        </w:tc>
        <w:tc>
          <w:tcPr>
            <w:tcW w:w="953" w:type="dxa"/>
            <w:vAlign w:val="center"/>
          </w:tcPr>
          <w:p w14:paraId="7BEA202A"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6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14.0)</w:t>
            </w:r>
          </w:p>
        </w:tc>
        <w:tc>
          <w:tcPr>
            <w:tcW w:w="918" w:type="dxa"/>
            <w:vAlign w:val="center"/>
          </w:tcPr>
          <w:p w14:paraId="5FE0E11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15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18.3)</w:t>
            </w:r>
          </w:p>
        </w:tc>
        <w:tc>
          <w:tcPr>
            <w:tcW w:w="1245" w:type="dxa"/>
            <w:vAlign w:val="center"/>
          </w:tcPr>
          <w:p w14:paraId="51293176"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11 (25.6)</w:t>
            </w:r>
          </w:p>
        </w:tc>
      </w:tr>
      <w:tr w:rsidR="00893203" w:rsidRPr="00893203" w14:paraId="518E40A1" w14:textId="77777777" w:rsidTr="009F3366">
        <w:trPr>
          <w:trHeight w:val="283"/>
        </w:trPr>
        <w:tc>
          <w:tcPr>
            <w:tcW w:w="2408" w:type="dxa"/>
            <w:vAlign w:val="center"/>
          </w:tcPr>
          <w:p w14:paraId="2EEB32D1" w14:textId="77777777" w:rsidR="00893203" w:rsidRPr="00893203" w:rsidRDefault="00893203" w:rsidP="00893203">
            <w:pPr>
              <w:tabs>
                <w:tab w:val="left" w:pos="709"/>
                <w:tab w:val="left" w:pos="4111"/>
              </w:tabs>
              <w:spacing w:line="240" w:lineRule="exact"/>
              <w:ind w:leftChars="200" w:left="440"/>
              <w:jc w:val="both"/>
              <w:rPr>
                <w:rFonts w:ascii="Times New Roman" w:hAnsi="Times New Roman"/>
                <w:sz w:val="21"/>
                <w:szCs w:val="21"/>
                <w:lang w:val="en-GB" w:eastAsia="zh-CN"/>
              </w:rPr>
            </w:pPr>
            <w:r w:rsidRPr="00893203">
              <w:rPr>
                <w:rFonts w:ascii="Times New Roman" w:hAnsi="Times New Roman"/>
                <w:sz w:val="21"/>
                <w:szCs w:val="21"/>
                <w:lang w:val="en-GB" w:eastAsia="zh-CN"/>
              </w:rPr>
              <w:t>Adverse Event</w:t>
            </w:r>
          </w:p>
        </w:tc>
        <w:tc>
          <w:tcPr>
            <w:tcW w:w="855" w:type="dxa"/>
            <w:vAlign w:val="center"/>
          </w:tcPr>
          <w:p w14:paraId="10093B5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2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66.7)</w:t>
            </w:r>
          </w:p>
        </w:tc>
        <w:tc>
          <w:tcPr>
            <w:tcW w:w="855" w:type="dxa"/>
            <w:vAlign w:val="center"/>
          </w:tcPr>
          <w:p w14:paraId="4D355F87"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1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11.1)</w:t>
            </w:r>
          </w:p>
        </w:tc>
        <w:tc>
          <w:tcPr>
            <w:tcW w:w="918" w:type="dxa"/>
            <w:vAlign w:val="center"/>
          </w:tcPr>
          <w:p w14:paraId="139E945D"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3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25.0)</w:t>
            </w:r>
          </w:p>
        </w:tc>
        <w:tc>
          <w:tcPr>
            <w:tcW w:w="918" w:type="dxa"/>
            <w:vAlign w:val="center"/>
          </w:tcPr>
          <w:p w14:paraId="45AE70DA"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5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12.8)</w:t>
            </w:r>
          </w:p>
        </w:tc>
        <w:tc>
          <w:tcPr>
            <w:tcW w:w="953" w:type="dxa"/>
            <w:vAlign w:val="center"/>
          </w:tcPr>
          <w:p w14:paraId="502C3675"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5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11.6)</w:t>
            </w:r>
          </w:p>
        </w:tc>
        <w:tc>
          <w:tcPr>
            <w:tcW w:w="918" w:type="dxa"/>
            <w:vAlign w:val="center"/>
          </w:tcPr>
          <w:p w14:paraId="4B32097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10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12.2)</w:t>
            </w:r>
          </w:p>
        </w:tc>
        <w:tc>
          <w:tcPr>
            <w:tcW w:w="1245" w:type="dxa"/>
            <w:vAlign w:val="center"/>
          </w:tcPr>
          <w:p w14:paraId="59A2B1DD"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5 (11.6)</w:t>
            </w:r>
          </w:p>
        </w:tc>
      </w:tr>
      <w:tr w:rsidR="00893203" w:rsidRPr="00893203" w14:paraId="70C392AA" w14:textId="77777777" w:rsidTr="009F3366">
        <w:trPr>
          <w:trHeight w:val="283"/>
        </w:trPr>
        <w:tc>
          <w:tcPr>
            <w:tcW w:w="2408" w:type="dxa"/>
            <w:vAlign w:val="center"/>
          </w:tcPr>
          <w:p w14:paraId="5952360E" w14:textId="77777777" w:rsidR="00893203" w:rsidRPr="00893203" w:rsidRDefault="00893203" w:rsidP="00893203">
            <w:pPr>
              <w:tabs>
                <w:tab w:val="left" w:pos="709"/>
                <w:tab w:val="left" w:pos="4111"/>
              </w:tabs>
              <w:spacing w:line="240" w:lineRule="exact"/>
              <w:ind w:leftChars="200" w:left="440"/>
              <w:jc w:val="both"/>
              <w:rPr>
                <w:rFonts w:ascii="Times New Roman" w:hAnsi="Times New Roman"/>
                <w:sz w:val="21"/>
                <w:szCs w:val="21"/>
                <w:lang w:val="en-GB" w:eastAsia="zh-CN"/>
              </w:rPr>
            </w:pPr>
            <w:r w:rsidRPr="00893203">
              <w:rPr>
                <w:rFonts w:ascii="Times New Roman" w:eastAsia="Times New Roman" w:hAnsi="Times New Roman"/>
                <w:sz w:val="21"/>
                <w:szCs w:val="21"/>
                <w:lang w:val="en-GB"/>
              </w:rPr>
              <w:t>Withdrawal of Consent</w:t>
            </w:r>
          </w:p>
        </w:tc>
        <w:tc>
          <w:tcPr>
            <w:tcW w:w="855" w:type="dxa"/>
            <w:vAlign w:val="center"/>
          </w:tcPr>
          <w:p w14:paraId="41F0A18F"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0</w:t>
            </w:r>
          </w:p>
        </w:tc>
        <w:tc>
          <w:tcPr>
            <w:tcW w:w="855" w:type="dxa"/>
            <w:vAlign w:val="center"/>
          </w:tcPr>
          <w:p w14:paraId="4772C90F"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0</w:t>
            </w:r>
          </w:p>
        </w:tc>
        <w:tc>
          <w:tcPr>
            <w:tcW w:w="918" w:type="dxa"/>
            <w:vAlign w:val="center"/>
          </w:tcPr>
          <w:p w14:paraId="199823B0"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0</w:t>
            </w:r>
          </w:p>
        </w:tc>
        <w:tc>
          <w:tcPr>
            <w:tcW w:w="918" w:type="dxa"/>
            <w:vAlign w:val="center"/>
          </w:tcPr>
          <w:p w14:paraId="7C9DC53D"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1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2.6)</w:t>
            </w:r>
          </w:p>
        </w:tc>
        <w:tc>
          <w:tcPr>
            <w:tcW w:w="953" w:type="dxa"/>
            <w:vAlign w:val="center"/>
          </w:tcPr>
          <w:p w14:paraId="4BA4BF1A"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0</w:t>
            </w:r>
          </w:p>
        </w:tc>
        <w:tc>
          <w:tcPr>
            <w:tcW w:w="918" w:type="dxa"/>
            <w:vAlign w:val="center"/>
          </w:tcPr>
          <w:p w14:paraId="0A4431B9"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1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1.2)</w:t>
            </w:r>
          </w:p>
        </w:tc>
        <w:tc>
          <w:tcPr>
            <w:tcW w:w="1245" w:type="dxa"/>
            <w:vAlign w:val="center"/>
          </w:tcPr>
          <w:p w14:paraId="7534418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(2.3)</w:t>
            </w:r>
          </w:p>
        </w:tc>
      </w:tr>
      <w:tr w:rsidR="00893203" w:rsidRPr="00893203" w14:paraId="2F30AF83" w14:textId="77777777" w:rsidTr="009F3366">
        <w:trPr>
          <w:trHeight w:val="283"/>
        </w:trPr>
        <w:tc>
          <w:tcPr>
            <w:tcW w:w="2408" w:type="dxa"/>
            <w:vAlign w:val="center"/>
          </w:tcPr>
          <w:p w14:paraId="19DE78E0" w14:textId="77777777" w:rsidR="00893203" w:rsidRPr="00893203" w:rsidRDefault="00893203" w:rsidP="00893203">
            <w:pPr>
              <w:tabs>
                <w:tab w:val="left" w:pos="709"/>
                <w:tab w:val="left" w:pos="4111"/>
              </w:tabs>
              <w:spacing w:line="240" w:lineRule="exact"/>
              <w:ind w:leftChars="200" w:left="440"/>
              <w:jc w:val="both"/>
              <w:rPr>
                <w:rFonts w:ascii="Times New Roman" w:eastAsia="Times New Roman" w:hAnsi="Times New Roman"/>
                <w:sz w:val="21"/>
                <w:szCs w:val="21"/>
                <w:lang w:val="en-GB"/>
              </w:rPr>
            </w:pPr>
            <w:r w:rsidRPr="00893203">
              <w:rPr>
                <w:rFonts w:ascii="Times New Roman" w:hAnsi="Times New Roman"/>
                <w:sz w:val="21"/>
                <w:szCs w:val="21"/>
                <w:lang w:val="en-GB" w:eastAsia="zh-CN"/>
              </w:rPr>
              <w:t>Investigator Decision</w:t>
            </w:r>
          </w:p>
        </w:tc>
        <w:tc>
          <w:tcPr>
            <w:tcW w:w="855" w:type="dxa"/>
            <w:vAlign w:val="center"/>
          </w:tcPr>
          <w:p w14:paraId="06CFD94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0</w:t>
            </w:r>
          </w:p>
        </w:tc>
        <w:tc>
          <w:tcPr>
            <w:tcW w:w="855" w:type="dxa"/>
            <w:vAlign w:val="center"/>
          </w:tcPr>
          <w:p w14:paraId="6ECE6F1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0</w:t>
            </w:r>
          </w:p>
        </w:tc>
        <w:tc>
          <w:tcPr>
            <w:tcW w:w="918" w:type="dxa"/>
            <w:vAlign w:val="center"/>
          </w:tcPr>
          <w:p w14:paraId="00880B4A"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0</w:t>
            </w:r>
          </w:p>
        </w:tc>
        <w:tc>
          <w:tcPr>
            <w:tcW w:w="918" w:type="dxa"/>
            <w:vAlign w:val="center"/>
          </w:tcPr>
          <w:p w14:paraId="7E25D23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2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5.1)</w:t>
            </w:r>
          </w:p>
        </w:tc>
        <w:tc>
          <w:tcPr>
            <w:tcW w:w="953" w:type="dxa"/>
            <w:vAlign w:val="center"/>
          </w:tcPr>
          <w:p w14:paraId="0BFDD0D7"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2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4.7)</w:t>
            </w:r>
          </w:p>
        </w:tc>
        <w:tc>
          <w:tcPr>
            <w:tcW w:w="918" w:type="dxa"/>
            <w:vAlign w:val="center"/>
          </w:tcPr>
          <w:p w14:paraId="23416CBF"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4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4.9)</w:t>
            </w:r>
          </w:p>
        </w:tc>
        <w:tc>
          <w:tcPr>
            <w:tcW w:w="1245" w:type="dxa"/>
            <w:vAlign w:val="center"/>
          </w:tcPr>
          <w:p w14:paraId="1FF5AE69"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 (4.7)</w:t>
            </w:r>
          </w:p>
        </w:tc>
      </w:tr>
      <w:tr w:rsidR="00893203" w:rsidRPr="00893203" w14:paraId="2C419E01" w14:textId="77777777" w:rsidTr="009F3366">
        <w:trPr>
          <w:trHeight w:val="283"/>
        </w:trPr>
        <w:tc>
          <w:tcPr>
            <w:tcW w:w="2408" w:type="dxa"/>
            <w:vAlign w:val="center"/>
          </w:tcPr>
          <w:p w14:paraId="79CA055C" w14:textId="77777777" w:rsidR="00893203" w:rsidRPr="00893203" w:rsidRDefault="00893203" w:rsidP="00893203">
            <w:pPr>
              <w:spacing w:line="240" w:lineRule="exact"/>
              <w:ind w:leftChars="200" w:left="440"/>
              <w:jc w:val="both"/>
              <w:rPr>
                <w:rFonts w:ascii="Times New Roman" w:hAnsi="Times New Roman"/>
                <w:sz w:val="21"/>
                <w:szCs w:val="21"/>
                <w:lang w:val="en-GB" w:eastAsia="zh-CN"/>
              </w:rPr>
            </w:pPr>
            <w:r w:rsidRPr="00893203">
              <w:rPr>
                <w:rFonts w:ascii="Times New Roman" w:eastAsia="Times New Roman" w:hAnsi="Times New Roman"/>
                <w:sz w:val="21"/>
                <w:szCs w:val="21"/>
                <w:lang w:val="en-GB"/>
              </w:rPr>
              <w:t>Death</w:t>
            </w:r>
          </w:p>
        </w:tc>
        <w:tc>
          <w:tcPr>
            <w:tcW w:w="855" w:type="dxa"/>
            <w:vAlign w:val="center"/>
          </w:tcPr>
          <w:p w14:paraId="563C9348"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0</w:t>
            </w:r>
          </w:p>
        </w:tc>
        <w:tc>
          <w:tcPr>
            <w:tcW w:w="855" w:type="dxa"/>
            <w:vAlign w:val="center"/>
          </w:tcPr>
          <w:p w14:paraId="6CEB0A8B"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0</w:t>
            </w:r>
          </w:p>
        </w:tc>
        <w:tc>
          <w:tcPr>
            <w:tcW w:w="918" w:type="dxa"/>
            <w:vAlign w:val="center"/>
          </w:tcPr>
          <w:p w14:paraId="10006B16"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0</w:t>
            </w:r>
          </w:p>
        </w:tc>
        <w:tc>
          <w:tcPr>
            <w:tcW w:w="918" w:type="dxa"/>
            <w:vAlign w:val="center"/>
          </w:tcPr>
          <w:p w14:paraId="7B18F6B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1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2.6)</w:t>
            </w:r>
          </w:p>
        </w:tc>
        <w:tc>
          <w:tcPr>
            <w:tcW w:w="953" w:type="dxa"/>
            <w:vAlign w:val="center"/>
          </w:tcPr>
          <w:p w14:paraId="07BEC95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0</w:t>
            </w:r>
          </w:p>
        </w:tc>
        <w:tc>
          <w:tcPr>
            <w:tcW w:w="918" w:type="dxa"/>
            <w:vAlign w:val="center"/>
          </w:tcPr>
          <w:p w14:paraId="3D3FD5D1"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kern w:val="2"/>
                <w:sz w:val="21"/>
                <w:szCs w:val="21"/>
                <w:lang w:val="en-GB" w:eastAsia="zh-CN"/>
              </w:rPr>
              <w:t xml:space="preserve">1 </w:t>
            </w:r>
            <w:r w:rsidRPr="00893203">
              <w:rPr>
                <w:rFonts w:ascii="Times New Roman" w:hAnsi="Times New Roman"/>
                <w:sz w:val="21"/>
                <w:szCs w:val="21"/>
                <w:lang w:val="en-GB"/>
              </w:rPr>
              <w:t>(</w:t>
            </w:r>
            <w:r w:rsidRPr="00893203">
              <w:rPr>
                <w:rFonts w:ascii="Times New Roman" w:hAnsi="Times New Roman"/>
                <w:kern w:val="2"/>
                <w:sz w:val="21"/>
                <w:szCs w:val="21"/>
                <w:lang w:val="en-GB" w:eastAsia="zh-CN"/>
              </w:rPr>
              <w:t>1.2)</w:t>
            </w:r>
          </w:p>
        </w:tc>
        <w:tc>
          <w:tcPr>
            <w:tcW w:w="1245" w:type="dxa"/>
            <w:vAlign w:val="center"/>
          </w:tcPr>
          <w:p w14:paraId="54FA9561"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(2.3)</w:t>
            </w:r>
          </w:p>
        </w:tc>
      </w:tr>
      <w:tr w:rsidR="00893203" w:rsidRPr="00893203" w14:paraId="2189B27A" w14:textId="77777777" w:rsidTr="009F3366">
        <w:trPr>
          <w:trHeight w:val="283"/>
        </w:trPr>
        <w:tc>
          <w:tcPr>
            <w:tcW w:w="2408" w:type="dxa"/>
            <w:vAlign w:val="center"/>
          </w:tcPr>
          <w:p w14:paraId="6C575830" w14:textId="77777777" w:rsidR="00893203" w:rsidRPr="00893203" w:rsidRDefault="00893203" w:rsidP="00893203">
            <w:pPr>
              <w:spacing w:line="240" w:lineRule="exact"/>
              <w:ind w:leftChars="200" w:left="440"/>
              <w:jc w:val="both"/>
              <w:rPr>
                <w:rFonts w:ascii="Times New Roman" w:hAnsi="Times New Roman"/>
                <w:sz w:val="21"/>
                <w:szCs w:val="21"/>
                <w:lang w:val="en-GB" w:eastAsia="zh-CN"/>
              </w:rPr>
            </w:pPr>
            <w:r w:rsidRPr="00893203">
              <w:rPr>
                <w:rFonts w:ascii="Times New Roman" w:hAnsi="Times New Roman"/>
                <w:sz w:val="21"/>
                <w:szCs w:val="21"/>
                <w:lang w:val="en-GB" w:eastAsia="zh-CN"/>
              </w:rPr>
              <w:t>Other</w:t>
            </w:r>
          </w:p>
        </w:tc>
        <w:tc>
          <w:tcPr>
            <w:tcW w:w="855" w:type="dxa"/>
            <w:vAlign w:val="center"/>
          </w:tcPr>
          <w:p w14:paraId="6DDF22B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(33.3)</w:t>
            </w:r>
          </w:p>
        </w:tc>
        <w:tc>
          <w:tcPr>
            <w:tcW w:w="855" w:type="dxa"/>
            <w:vAlign w:val="center"/>
          </w:tcPr>
          <w:p w14:paraId="2444D63A"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918" w:type="dxa"/>
            <w:vAlign w:val="center"/>
          </w:tcPr>
          <w:p w14:paraId="7FDB24A4"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(8.3)</w:t>
            </w:r>
          </w:p>
        </w:tc>
        <w:tc>
          <w:tcPr>
            <w:tcW w:w="918" w:type="dxa"/>
            <w:vAlign w:val="center"/>
          </w:tcPr>
          <w:p w14:paraId="1519A2EA"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(2.6)</w:t>
            </w:r>
          </w:p>
        </w:tc>
        <w:tc>
          <w:tcPr>
            <w:tcW w:w="953" w:type="dxa"/>
            <w:vAlign w:val="center"/>
          </w:tcPr>
          <w:p w14:paraId="138B9DE3"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 (4.7)</w:t>
            </w:r>
          </w:p>
        </w:tc>
        <w:tc>
          <w:tcPr>
            <w:tcW w:w="918" w:type="dxa"/>
            <w:vAlign w:val="center"/>
          </w:tcPr>
          <w:p w14:paraId="6E34CDC0"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3 (3.7)</w:t>
            </w:r>
          </w:p>
        </w:tc>
        <w:tc>
          <w:tcPr>
            <w:tcW w:w="1245" w:type="dxa"/>
            <w:vAlign w:val="center"/>
          </w:tcPr>
          <w:p w14:paraId="7AC6391B"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(2.3)</w:t>
            </w:r>
          </w:p>
        </w:tc>
      </w:tr>
      <w:tr w:rsidR="00893203" w:rsidRPr="00893203" w14:paraId="7D284CB5" w14:textId="77777777" w:rsidTr="009F3366">
        <w:trPr>
          <w:trHeight w:val="283"/>
        </w:trPr>
        <w:tc>
          <w:tcPr>
            <w:tcW w:w="2408" w:type="dxa"/>
            <w:vAlign w:val="center"/>
          </w:tcPr>
          <w:p w14:paraId="3A90BAED" w14:textId="77777777" w:rsidR="00893203" w:rsidRPr="00893203" w:rsidRDefault="00893203" w:rsidP="00893203">
            <w:pPr>
              <w:keepNext/>
              <w:widowControl w:val="0"/>
              <w:spacing w:line="240" w:lineRule="exact"/>
              <w:jc w:val="both"/>
              <w:rPr>
                <w:rFonts w:ascii="Times New Roman" w:hAnsi="Times New Roman"/>
                <w:sz w:val="21"/>
                <w:szCs w:val="21"/>
                <w:lang w:val="en-GB"/>
              </w:rPr>
            </w:pPr>
            <w:r w:rsidRPr="00893203">
              <w:rPr>
                <w:rFonts w:ascii="Times New Roman" w:hAnsi="Times New Roman"/>
                <w:sz w:val="21"/>
                <w:szCs w:val="21"/>
                <w:lang w:val="en-GB"/>
              </w:rPr>
              <w:t>Completed Study</w:t>
            </w:r>
          </w:p>
        </w:tc>
        <w:tc>
          <w:tcPr>
            <w:tcW w:w="855" w:type="dxa"/>
            <w:vAlign w:val="center"/>
          </w:tcPr>
          <w:p w14:paraId="5D5FF04F"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855" w:type="dxa"/>
            <w:vAlign w:val="center"/>
          </w:tcPr>
          <w:p w14:paraId="4492FB36"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918" w:type="dxa"/>
            <w:vAlign w:val="center"/>
          </w:tcPr>
          <w:p w14:paraId="55BC31C3"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918" w:type="dxa"/>
            <w:vAlign w:val="center"/>
          </w:tcPr>
          <w:p w14:paraId="2FCDFC4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953" w:type="dxa"/>
            <w:vAlign w:val="center"/>
          </w:tcPr>
          <w:p w14:paraId="0C54F67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918" w:type="dxa"/>
            <w:vAlign w:val="center"/>
          </w:tcPr>
          <w:p w14:paraId="3280A4BA"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1245" w:type="dxa"/>
            <w:vAlign w:val="center"/>
          </w:tcPr>
          <w:p w14:paraId="0C3C3775"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rPr>
              <w:t>0</w:t>
            </w:r>
          </w:p>
        </w:tc>
      </w:tr>
      <w:tr w:rsidR="00893203" w:rsidRPr="00893203" w14:paraId="466CD71A" w14:textId="77777777" w:rsidTr="009F3366">
        <w:trPr>
          <w:trHeight w:val="283"/>
        </w:trPr>
        <w:tc>
          <w:tcPr>
            <w:tcW w:w="2408" w:type="dxa"/>
            <w:vAlign w:val="center"/>
          </w:tcPr>
          <w:p w14:paraId="0E13A75B" w14:textId="77777777" w:rsidR="00893203" w:rsidRPr="00893203" w:rsidRDefault="00893203" w:rsidP="00893203">
            <w:pPr>
              <w:spacing w:line="240" w:lineRule="exact"/>
              <w:jc w:val="both"/>
              <w:rPr>
                <w:rFonts w:ascii="Times New Roman" w:hAnsi="Times New Roman"/>
                <w:sz w:val="21"/>
                <w:szCs w:val="21"/>
                <w:lang w:val="en-GB"/>
              </w:rPr>
            </w:pPr>
            <w:r w:rsidRPr="00893203">
              <w:rPr>
                <w:rFonts w:ascii="Times New Roman" w:hAnsi="Times New Roman"/>
                <w:sz w:val="21"/>
                <w:szCs w:val="21"/>
                <w:lang w:val="en-GB"/>
              </w:rPr>
              <w:t>Ongoing Study</w:t>
            </w:r>
          </w:p>
        </w:tc>
        <w:tc>
          <w:tcPr>
            <w:tcW w:w="855" w:type="dxa"/>
            <w:vAlign w:val="center"/>
          </w:tcPr>
          <w:p w14:paraId="2307FB3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855" w:type="dxa"/>
            <w:vAlign w:val="center"/>
          </w:tcPr>
          <w:p w14:paraId="043E414F"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7 (77.8)</w:t>
            </w:r>
          </w:p>
        </w:tc>
        <w:tc>
          <w:tcPr>
            <w:tcW w:w="918" w:type="dxa"/>
            <w:vAlign w:val="center"/>
          </w:tcPr>
          <w:p w14:paraId="635C279F"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7 (58.3)</w:t>
            </w:r>
          </w:p>
        </w:tc>
        <w:tc>
          <w:tcPr>
            <w:tcW w:w="918" w:type="dxa"/>
            <w:vAlign w:val="center"/>
          </w:tcPr>
          <w:p w14:paraId="6168FA3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26 (66.7)</w:t>
            </w:r>
          </w:p>
        </w:tc>
        <w:tc>
          <w:tcPr>
            <w:tcW w:w="953" w:type="dxa"/>
            <w:vAlign w:val="center"/>
          </w:tcPr>
          <w:p w14:paraId="1355038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35 (81.4)</w:t>
            </w:r>
          </w:p>
        </w:tc>
        <w:tc>
          <w:tcPr>
            <w:tcW w:w="918" w:type="dxa"/>
            <w:vAlign w:val="center"/>
          </w:tcPr>
          <w:p w14:paraId="3F7608B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61 (74.4)</w:t>
            </w:r>
          </w:p>
        </w:tc>
        <w:tc>
          <w:tcPr>
            <w:tcW w:w="1245" w:type="dxa"/>
            <w:vAlign w:val="center"/>
          </w:tcPr>
          <w:p w14:paraId="2E3871A7"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29 (67.4)</w:t>
            </w:r>
          </w:p>
        </w:tc>
      </w:tr>
      <w:tr w:rsidR="00893203" w:rsidRPr="00893203" w14:paraId="5B5E57CD" w14:textId="77777777" w:rsidTr="009F3366">
        <w:trPr>
          <w:trHeight w:val="283"/>
        </w:trPr>
        <w:tc>
          <w:tcPr>
            <w:tcW w:w="2408" w:type="dxa"/>
            <w:vAlign w:val="center"/>
          </w:tcPr>
          <w:p w14:paraId="5884EC91" w14:textId="77777777" w:rsidR="00893203" w:rsidRPr="00893203" w:rsidRDefault="00893203" w:rsidP="00893203">
            <w:pPr>
              <w:spacing w:line="240" w:lineRule="exact"/>
              <w:jc w:val="both"/>
              <w:rPr>
                <w:rFonts w:ascii="Times New Roman" w:hAnsi="Times New Roman"/>
                <w:sz w:val="21"/>
                <w:szCs w:val="21"/>
                <w:lang w:val="en-GB"/>
              </w:rPr>
            </w:pPr>
            <w:r w:rsidRPr="00893203">
              <w:rPr>
                <w:rFonts w:ascii="Times New Roman" w:hAnsi="Times New Roman"/>
                <w:sz w:val="21"/>
                <w:szCs w:val="21"/>
                <w:lang w:val="en-GB"/>
              </w:rPr>
              <w:t>Discontinued from Study</w:t>
            </w:r>
          </w:p>
        </w:tc>
        <w:tc>
          <w:tcPr>
            <w:tcW w:w="855" w:type="dxa"/>
            <w:vAlign w:val="center"/>
          </w:tcPr>
          <w:p w14:paraId="7E7454A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3 (100)</w:t>
            </w:r>
          </w:p>
        </w:tc>
        <w:tc>
          <w:tcPr>
            <w:tcW w:w="855" w:type="dxa"/>
            <w:vAlign w:val="center"/>
          </w:tcPr>
          <w:p w14:paraId="4FDFC283"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 (22.2)</w:t>
            </w:r>
          </w:p>
        </w:tc>
        <w:tc>
          <w:tcPr>
            <w:tcW w:w="918" w:type="dxa"/>
            <w:vAlign w:val="center"/>
          </w:tcPr>
          <w:p w14:paraId="5635F893"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5 (41.7)</w:t>
            </w:r>
          </w:p>
        </w:tc>
        <w:tc>
          <w:tcPr>
            <w:tcW w:w="918" w:type="dxa"/>
            <w:vAlign w:val="center"/>
          </w:tcPr>
          <w:p w14:paraId="6F8E0933"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13 (33.3)</w:t>
            </w:r>
          </w:p>
        </w:tc>
        <w:tc>
          <w:tcPr>
            <w:tcW w:w="953" w:type="dxa"/>
            <w:vAlign w:val="center"/>
          </w:tcPr>
          <w:p w14:paraId="3703D5A6"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8 (18.6)</w:t>
            </w:r>
          </w:p>
        </w:tc>
        <w:tc>
          <w:tcPr>
            <w:tcW w:w="918" w:type="dxa"/>
            <w:vAlign w:val="center"/>
          </w:tcPr>
          <w:p w14:paraId="29281F57"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21 (25.6)</w:t>
            </w:r>
          </w:p>
        </w:tc>
        <w:tc>
          <w:tcPr>
            <w:tcW w:w="1245" w:type="dxa"/>
            <w:vAlign w:val="center"/>
          </w:tcPr>
          <w:p w14:paraId="034724E0"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14 (32.6)</w:t>
            </w:r>
          </w:p>
        </w:tc>
      </w:tr>
      <w:tr w:rsidR="00893203" w:rsidRPr="00893203" w14:paraId="39232BA4" w14:textId="77777777" w:rsidTr="009F3366">
        <w:trPr>
          <w:trHeight w:val="283"/>
        </w:trPr>
        <w:tc>
          <w:tcPr>
            <w:tcW w:w="2408" w:type="dxa"/>
            <w:vAlign w:val="center"/>
          </w:tcPr>
          <w:p w14:paraId="4D5B36AE" w14:textId="77777777" w:rsidR="00893203" w:rsidRPr="00893203" w:rsidRDefault="00893203" w:rsidP="00893203">
            <w:pPr>
              <w:spacing w:line="240" w:lineRule="exact"/>
              <w:ind w:leftChars="100" w:left="220"/>
              <w:rPr>
                <w:rFonts w:ascii="Times New Roman" w:hAnsi="Times New Roman"/>
                <w:sz w:val="21"/>
                <w:szCs w:val="21"/>
                <w:lang w:val="en-GB"/>
              </w:rPr>
            </w:pPr>
            <w:r w:rsidRPr="00893203">
              <w:rPr>
                <w:rFonts w:ascii="Times New Roman" w:hAnsi="Times New Roman"/>
                <w:sz w:val="21"/>
                <w:szCs w:val="21"/>
                <w:lang w:val="en-GB"/>
              </w:rPr>
              <w:t xml:space="preserve">Primary Reason for Discontinuation </w:t>
            </w:r>
          </w:p>
        </w:tc>
        <w:tc>
          <w:tcPr>
            <w:tcW w:w="855" w:type="dxa"/>
            <w:vAlign w:val="center"/>
          </w:tcPr>
          <w:p w14:paraId="3F4D8E9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855" w:type="dxa"/>
            <w:vAlign w:val="center"/>
          </w:tcPr>
          <w:p w14:paraId="1D635D5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07FFC3F2"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7A0CD461"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53" w:type="dxa"/>
            <w:vAlign w:val="center"/>
          </w:tcPr>
          <w:p w14:paraId="593C99A7"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918" w:type="dxa"/>
            <w:vAlign w:val="center"/>
          </w:tcPr>
          <w:p w14:paraId="04DF84C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c>
          <w:tcPr>
            <w:tcW w:w="1245" w:type="dxa"/>
            <w:vAlign w:val="center"/>
          </w:tcPr>
          <w:p w14:paraId="0DF63385"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lang w:val="en-GB" w:eastAsia="zh-CN"/>
              </w:rPr>
              <w:t>/</w:t>
            </w:r>
          </w:p>
        </w:tc>
      </w:tr>
      <w:tr w:rsidR="00893203" w:rsidRPr="00893203" w14:paraId="6A804827" w14:textId="77777777" w:rsidTr="009F3366">
        <w:trPr>
          <w:trHeight w:val="283"/>
        </w:trPr>
        <w:tc>
          <w:tcPr>
            <w:tcW w:w="2408" w:type="dxa"/>
            <w:vAlign w:val="center"/>
          </w:tcPr>
          <w:p w14:paraId="154E0082" w14:textId="77777777" w:rsidR="00893203" w:rsidRPr="00893203" w:rsidRDefault="00893203" w:rsidP="00893203">
            <w:pPr>
              <w:spacing w:line="240" w:lineRule="exact"/>
              <w:ind w:leftChars="200" w:left="440"/>
              <w:jc w:val="both"/>
              <w:rPr>
                <w:rFonts w:ascii="Times New Roman" w:eastAsia="Times New Roman" w:hAnsi="Times New Roman"/>
                <w:sz w:val="21"/>
                <w:szCs w:val="21"/>
                <w:lang w:val="en-GB"/>
              </w:rPr>
            </w:pPr>
            <w:r w:rsidRPr="00893203">
              <w:rPr>
                <w:rFonts w:ascii="Times New Roman" w:eastAsia="Times New Roman" w:hAnsi="Times New Roman"/>
                <w:sz w:val="21"/>
                <w:szCs w:val="21"/>
                <w:lang w:val="en-GB"/>
              </w:rPr>
              <w:t>Withdrawal of Consent</w:t>
            </w:r>
          </w:p>
        </w:tc>
        <w:tc>
          <w:tcPr>
            <w:tcW w:w="855" w:type="dxa"/>
            <w:vAlign w:val="center"/>
          </w:tcPr>
          <w:p w14:paraId="6C762B1A"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 (66.7)</w:t>
            </w:r>
          </w:p>
        </w:tc>
        <w:tc>
          <w:tcPr>
            <w:tcW w:w="855" w:type="dxa"/>
            <w:vAlign w:val="center"/>
          </w:tcPr>
          <w:p w14:paraId="0C608746"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(11.1)</w:t>
            </w:r>
          </w:p>
        </w:tc>
        <w:tc>
          <w:tcPr>
            <w:tcW w:w="918" w:type="dxa"/>
            <w:vAlign w:val="center"/>
          </w:tcPr>
          <w:p w14:paraId="6E324199"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3 (25.0)</w:t>
            </w:r>
          </w:p>
        </w:tc>
        <w:tc>
          <w:tcPr>
            <w:tcW w:w="918" w:type="dxa"/>
            <w:vAlign w:val="center"/>
          </w:tcPr>
          <w:p w14:paraId="190B7B21"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 (5.1)</w:t>
            </w:r>
          </w:p>
        </w:tc>
        <w:tc>
          <w:tcPr>
            <w:tcW w:w="953" w:type="dxa"/>
            <w:vAlign w:val="center"/>
          </w:tcPr>
          <w:p w14:paraId="687F4DD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3 (7.0)</w:t>
            </w:r>
          </w:p>
        </w:tc>
        <w:tc>
          <w:tcPr>
            <w:tcW w:w="918" w:type="dxa"/>
            <w:vAlign w:val="center"/>
          </w:tcPr>
          <w:p w14:paraId="76DB3648"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5 (6.1)</w:t>
            </w:r>
          </w:p>
        </w:tc>
        <w:tc>
          <w:tcPr>
            <w:tcW w:w="1245" w:type="dxa"/>
            <w:vAlign w:val="center"/>
          </w:tcPr>
          <w:p w14:paraId="52BE52E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 (4.7)</w:t>
            </w:r>
          </w:p>
        </w:tc>
      </w:tr>
      <w:tr w:rsidR="00893203" w:rsidRPr="00893203" w14:paraId="1CEF8909" w14:textId="77777777" w:rsidTr="009F3366">
        <w:trPr>
          <w:trHeight w:val="283"/>
        </w:trPr>
        <w:tc>
          <w:tcPr>
            <w:tcW w:w="2408" w:type="dxa"/>
            <w:vAlign w:val="center"/>
          </w:tcPr>
          <w:p w14:paraId="565CFC40" w14:textId="77777777" w:rsidR="00893203" w:rsidRPr="00893203" w:rsidRDefault="00893203" w:rsidP="00893203">
            <w:pPr>
              <w:spacing w:line="240" w:lineRule="exact"/>
              <w:ind w:leftChars="200" w:left="440"/>
              <w:jc w:val="both"/>
              <w:rPr>
                <w:rFonts w:ascii="Times New Roman" w:eastAsia="Times New Roman" w:hAnsi="Times New Roman"/>
                <w:sz w:val="21"/>
                <w:szCs w:val="21"/>
                <w:lang w:val="en-GB"/>
              </w:rPr>
            </w:pPr>
            <w:r w:rsidRPr="00893203">
              <w:rPr>
                <w:rFonts w:ascii="Times New Roman" w:eastAsia="Times New Roman" w:hAnsi="Times New Roman"/>
                <w:sz w:val="21"/>
                <w:szCs w:val="21"/>
                <w:lang w:val="en-GB"/>
              </w:rPr>
              <w:t>Death</w:t>
            </w:r>
          </w:p>
        </w:tc>
        <w:tc>
          <w:tcPr>
            <w:tcW w:w="855" w:type="dxa"/>
            <w:vAlign w:val="center"/>
          </w:tcPr>
          <w:p w14:paraId="4845F54C"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0</w:t>
            </w:r>
          </w:p>
        </w:tc>
        <w:tc>
          <w:tcPr>
            <w:tcW w:w="855" w:type="dxa"/>
            <w:vAlign w:val="center"/>
          </w:tcPr>
          <w:p w14:paraId="3EE03A7A"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(11.1)</w:t>
            </w:r>
          </w:p>
        </w:tc>
        <w:tc>
          <w:tcPr>
            <w:tcW w:w="918" w:type="dxa"/>
            <w:vAlign w:val="center"/>
          </w:tcPr>
          <w:p w14:paraId="3B303A4E"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 (8.3)</w:t>
            </w:r>
          </w:p>
        </w:tc>
        <w:tc>
          <w:tcPr>
            <w:tcW w:w="918" w:type="dxa"/>
            <w:vAlign w:val="center"/>
          </w:tcPr>
          <w:p w14:paraId="44398FF6"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9 (23.1)</w:t>
            </w:r>
          </w:p>
        </w:tc>
        <w:tc>
          <w:tcPr>
            <w:tcW w:w="953" w:type="dxa"/>
            <w:vAlign w:val="center"/>
          </w:tcPr>
          <w:p w14:paraId="6F54B119"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2 (4.7)</w:t>
            </w:r>
          </w:p>
        </w:tc>
        <w:tc>
          <w:tcPr>
            <w:tcW w:w="918" w:type="dxa"/>
            <w:vAlign w:val="center"/>
          </w:tcPr>
          <w:p w14:paraId="1F1AF908"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11 (13.4)</w:t>
            </w:r>
          </w:p>
        </w:tc>
        <w:tc>
          <w:tcPr>
            <w:tcW w:w="1245" w:type="dxa"/>
            <w:vAlign w:val="center"/>
          </w:tcPr>
          <w:p w14:paraId="68D05F93" w14:textId="77777777" w:rsidR="00893203" w:rsidRPr="00893203" w:rsidRDefault="00893203" w:rsidP="00893203">
            <w:pPr>
              <w:snapToGrid w:val="0"/>
              <w:jc w:val="center"/>
              <w:rPr>
                <w:rFonts w:ascii="Times New Roman" w:hAnsi="Times New Roman"/>
                <w:sz w:val="21"/>
                <w:szCs w:val="21"/>
                <w:lang w:val="en-GB"/>
              </w:rPr>
            </w:pPr>
            <w:r w:rsidRPr="00893203">
              <w:rPr>
                <w:rFonts w:ascii="Times New Roman" w:hAnsi="Times New Roman"/>
                <w:sz w:val="21"/>
                <w:szCs w:val="21"/>
                <w:lang w:val="en-GB"/>
              </w:rPr>
              <w:t>10 (23.3)</w:t>
            </w:r>
          </w:p>
        </w:tc>
      </w:tr>
      <w:tr w:rsidR="00893203" w:rsidRPr="00893203" w14:paraId="04424461" w14:textId="77777777" w:rsidTr="009F3366">
        <w:trPr>
          <w:trHeight w:val="283"/>
        </w:trPr>
        <w:tc>
          <w:tcPr>
            <w:tcW w:w="2408" w:type="dxa"/>
            <w:vAlign w:val="center"/>
          </w:tcPr>
          <w:p w14:paraId="2C68D0B3" w14:textId="77777777" w:rsidR="00893203" w:rsidRPr="00893203" w:rsidRDefault="00893203" w:rsidP="00893203">
            <w:pPr>
              <w:spacing w:line="240" w:lineRule="exact"/>
              <w:ind w:leftChars="200" w:left="440"/>
              <w:jc w:val="both"/>
              <w:rPr>
                <w:rFonts w:ascii="Times New Roman" w:eastAsia="Times New Roman" w:hAnsi="Times New Roman"/>
                <w:sz w:val="21"/>
                <w:szCs w:val="21"/>
                <w:lang w:val="en-GB"/>
              </w:rPr>
            </w:pPr>
            <w:r w:rsidRPr="00893203">
              <w:rPr>
                <w:rFonts w:ascii="Times New Roman" w:eastAsia="DengXian" w:hAnsi="Times New Roman"/>
                <w:sz w:val="21"/>
                <w:szCs w:val="21"/>
                <w:lang w:val="en-GB" w:eastAsia="zh-CN"/>
              </w:rPr>
              <w:t>Investigator Decision</w:t>
            </w:r>
          </w:p>
        </w:tc>
        <w:tc>
          <w:tcPr>
            <w:tcW w:w="855" w:type="dxa"/>
            <w:vAlign w:val="center"/>
          </w:tcPr>
          <w:p w14:paraId="4C1B1FDE"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0</w:t>
            </w:r>
          </w:p>
        </w:tc>
        <w:tc>
          <w:tcPr>
            <w:tcW w:w="855" w:type="dxa"/>
            <w:vAlign w:val="center"/>
          </w:tcPr>
          <w:p w14:paraId="47A2745F"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0</w:t>
            </w:r>
          </w:p>
        </w:tc>
        <w:tc>
          <w:tcPr>
            <w:tcW w:w="918" w:type="dxa"/>
            <w:vAlign w:val="center"/>
          </w:tcPr>
          <w:p w14:paraId="3E57297E"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0</w:t>
            </w:r>
          </w:p>
        </w:tc>
        <w:tc>
          <w:tcPr>
            <w:tcW w:w="918" w:type="dxa"/>
            <w:vAlign w:val="center"/>
          </w:tcPr>
          <w:p w14:paraId="30DF9D77"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1 (2.6)</w:t>
            </w:r>
          </w:p>
        </w:tc>
        <w:tc>
          <w:tcPr>
            <w:tcW w:w="953" w:type="dxa"/>
            <w:vAlign w:val="center"/>
          </w:tcPr>
          <w:p w14:paraId="0DA8BE24"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2</w:t>
            </w:r>
            <w:r w:rsidRPr="00893203">
              <w:rPr>
                <w:rFonts w:ascii="Times New Roman" w:hAnsi="Times New Roman"/>
                <w:sz w:val="21"/>
                <w:szCs w:val="21"/>
                <w:lang w:val="en-GB"/>
              </w:rPr>
              <w:t xml:space="preserve"> (4.7)</w:t>
            </w:r>
          </w:p>
        </w:tc>
        <w:tc>
          <w:tcPr>
            <w:tcW w:w="918" w:type="dxa"/>
            <w:vAlign w:val="center"/>
          </w:tcPr>
          <w:p w14:paraId="1D9331BD"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3</w:t>
            </w:r>
            <w:r w:rsidRPr="00893203">
              <w:rPr>
                <w:rFonts w:ascii="Times New Roman" w:hAnsi="Times New Roman"/>
                <w:sz w:val="21"/>
                <w:szCs w:val="21"/>
                <w:lang w:val="en-GB"/>
              </w:rPr>
              <w:t xml:space="preserve"> (3.7)</w:t>
            </w:r>
          </w:p>
        </w:tc>
        <w:tc>
          <w:tcPr>
            <w:tcW w:w="1245" w:type="dxa"/>
            <w:vAlign w:val="center"/>
          </w:tcPr>
          <w:p w14:paraId="32E7DE27"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eastAsia="zh-CN"/>
              </w:rPr>
              <w:t>1</w:t>
            </w:r>
            <w:r w:rsidRPr="00893203">
              <w:rPr>
                <w:rFonts w:ascii="Times New Roman" w:hAnsi="Times New Roman"/>
                <w:sz w:val="21"/>
                <w:szCs w:val="21"/>
                <w:lang w:val="en-GB"/>
              </w:rPr>
              <w:t xml:space="preserve"> (2.3)</w:t>
            </w:r>
          </w:p>
        </w:tc>
      </w:tr>
      <w:tr w:rsidR="00893203" w:rsidRPr="00893203" w14:paraId="1E3030E4" w14:textId="77777777" w:rsidTr="009F3366">
        <w:trPr>
          <w:trHeight w:val="283"/>
        </w:trPr>
        <w:tc>
          <w:tcPr>
            <w:tcW w:w="2408" w:type="dxa"/>
            <w:vAlign w:val="center"/>
          </w:tcPr>
          <w:p w14:paraId="7D45F847" w14:textId="77777777" w:rsidR="00893203" w:rsidRPr="00893203" w:rsidRDefault="00893203" w:rsidP="00893203">
            <w:pPr>
              <w:spacing w:line="240" w:lineRule="exact"/>
              <w:ind w:leftChars="200" w:left="440"/>
              <w:jc w:val="both"/>
              <w:rPr>
                <w:rFonts w:ascii="Times New Roman" w:eastAsia="DengXian" w:hAnsi="Times New Roman"/>
                <w:sz w:val="21"/>
                <w:szCs w:val="21"/>
                <w:lang w:val="en-GB" w:eastAsia="zh-CN"/>
              </w:rPr>
            </w:pPr>
            <w:r w:rsidRPr="00893203">
              <w:rPr>
                <w:rFonts w:ascii="Times New Roman" w:eastAsia="Times New Roman" w:hAnsi="Times New Roman"/>
                <w:color w:val="000000"/>
                <w:sz w:val="21"/>
                <w:szCs w:val="16"/>
                <w:lang w:val="en-GB"/>
              </w:rPr>
              <w:t>Other</w:t>
            </w:r>
          </w:p>
        </w:tc>
        <w:tc>
          <w:tcPr>
            <w:tcW w:w="855" w:type="dxa"/>
            <w:vAlign w:val="center"/>
          </w:tcPr>
          <w:p w14:paraId="0052C118"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szCs w:val="21"/>
                <w:lang w:val="en-GB"/>
              </w:rPr>
              <w:t>1 (33.3)</w:t>
            </w:r>
          </w:p>
        </w:tc>
        <w:tc>
          <w:tcPr>
            <w:tcW w:w="855" w:type="dxa"/>
            <w:vAlign w:val="center"/>
          </w:tcPr>
          <w:p w14:paraId="01C66E98"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szCs w:val="21"/>
                <w:lang w:val="en-GB"/>
              </w:rPr>
              <w:t>0</w:t>
            </w:r>
          </w:p>
        </w:tc>
        <w:tc>
          <w:tcPr>
            <w:tcW w:w="918" w:type="dxa"/>
            <w:vAlign w:val="center"/>
          </w:tcPr>
          <w:p w14:paraId="348D6B87"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szCs w:val="21"/>
                <w:lang w:val="en-GB"/>
              </w:rPr>
              <w:t>1 (8.3)</w:t>
            </w:r>
          </w:p>
        </w:tc>
        <w:tc>
          <w:tcPr>
            <w:tcW w:w="918" w:type="dxa"/>
            <w:vAlign w:val="center"/>
          </w:tcPr>
          <w:p w14:paraId="3062E5A3"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szCs w:val="21"/>
                <w:lang w:val="en-GB"/>
              </w:rPr>
              <w:t>1 (2.6)</w:t>
            </w:r>
          </w:p>
        </w:tc>
        <w:tc>
          <w:tcPr>
            <w:tcW w:w="953" w:type="dxa"/>
            <w:vAlign w:val="center"/>
          </w:tcPr>
          <w:p w14:paraId="5D105C5E"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szCs w:val="21"/>
                <w:lang w:val="en-GB"/>
              </w:rPr>
              <w:t>1 (2.3)</w:t>
            </w:r>
          </w:p>
        </w:tc>
        <w:tc>
          <w:tcPr>
            <w:tcW w:w="918" w:type="dxa"/>
            <w:vAlign w:val="center"/>
          </w:tcPr>
          <w:p w14:paraId="57B4628B"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szCs w:val="21"/>
                <w:lang w:val="en-GB"/>
              </w:rPr>
              <w:t>2 (2.4)</w:t>
            </w:r>
          </w:p>
        </w:tc>
        <w:tc>
          <w:tcPr>
            <w:tcW w:w="1245" w:type="dxa"/>
            <w:vAlign w:val="center"/>
          </w:tcPr>
          <w:p w14:paraId="3E354F4E" w14:textId="77777777" w:rsidR="00893203" w:rsidRPr="00893203" w:rsidRDefault="00893203" w:rsidP="00893203">
            <w:pPr>
              <w:snapToGrid w:val="0"/>
              <w:jc w:val="center"/>
              <w:rPr>
                <w:rFonts w:ascii="Times New Roman" w:hAnsi="Times New Roman"/>
                <w:sz w:val="21"/>
                <w:lang w:val="en-GB"/>
              </w:rPr>
            </w:pPr>
            <w:r w:rsidRPr="00893203">
              <w:rPr>
                <w:rFonts w:ascii="Times New Roman" w:hAnsi="Times New Roman"/>
                <w:sz w:val="21"/>
                <w:lang w:val="en-GB"/>
              </w:rPr>
              <w:t>1</w:t>
            </w:r>
            <w:r w:rsidRPr="00893203">
              <w:rPr>
                <w:rFonts w:ascii="Times New Roman" w:hAnsi="Times New Roman"/>
                <w:sz w:val="21"/>
                <w:szCs w:val="21"/>
                <w:lang w:val="en-GB"/>
              </w:rPr>
              <w:t xml:space="preserve"> (</w:t>
            </w:r>
            <w:r w:rsidRPr="00893203">
              <w:rPr>
                <w:rFonts w:ascii="Times New Roman" w:hAnsi="Times New Roman"/>
                <w:sz w:val="21"/>
                <w:lang w:val="en-GB"/>
              </w:rPr>
              <w:t>2.3)</w:t>
            </w:r>
          </w:p>
        </w:tc>
      </w:tr>
    </w:tbl>
    <w:p w14:paraId="35A3AE2E" w14:textId="12E1C05A" w:rsidR="006B3518" w:rsidRDefault="006B3518" w:rsidP="00E035C5">
      <w:pPr>
        <w:pStyle w:val="FigureTitle"/>
      </w:pPr>
    </w:p>
    <w:bookmarkEnd w:id="56"/>
    <w:bookmarkEnd w:id="57"/>
    <w:bookmarkEnd w:id="58"/>
    <w:p w14:paraId="3B0D4D53" w14:textId="77777777" w:rsidR="0072689D" w:rsidRDefault="0072689D" w:rsidP="0072689D">
      <w:pPr>
        <w:pStyle w:val="Heading6"/>
      </w:pPr>
      <w:r>
        <w:t>Protocol</w:t>
      </w:r>
      <w:r>
        <w:rPr>
          <w:spacing w:val="-4"/>
        </w:rPr>
        <w:t xml:space="preserve"> </w:t>
      </w:r>
      <w:r>
        <w:rPr>
          <w:spacing w:val="-2"/>
        </w:rPr>
        <w:t>deviations</w:t>
      </w:r>
    </w:p>
    <w:p w14:paraId="576031FC" w14:textId="3D79AEDE" w:rsidR="0072689D" w:rsidRDefault="0072689D" w:rsidP="008007A1">
      <w:r>
        <w:t>Major</w:t>
      </w:r>
      <w:r>
        <w:rPr>
          <w:spacing w:val="-3"/>
        </w:rPr>
        <w:t xml:space="preserve"> </w:t>
      </w:r>
      <w:r>
        <w:t>protocol</w:t>
      </w:r>
      <w:r>
        <w:rPr>
          <w:spacing w:val="-2"/>
        </w:rPr>
        <w:t xml:space="preserve"> </w:t>
      </w:r>
      <w:r>
        <w:t>violations</w:t>
      </w:r>
      <w:r>
        <w:rPr>
          <w:spacing w:val="-5"/>
        </w:rPr>
        <w:t xml:space="preserve"> </w:t>
      </w:r>
      <w:r>
        <w:t>evaluated</w:t>
      </w:r>
      <w:r>
        <w:rPr>
          <w:spacing w:val="-2"/>
        </w:rPr>
        <w:t xml:space="preserve"> </w:t>
      </w:r>
      <w:r>
        <w:t>were</w:t>
      </w:r>
      <w:r>
        <w:rPr>
          <w:spacing w:val="-2"/>
        </w:rPr>
        <w:t xml:space="preserve"> </w:t>
      </w:r>
      <w:r>
        <w:t>considered</w:t>
      </w:r>
      <w:r>
        <w:rPr>
          <w:spacing w:val="-3"/>
        </w:rPr>
        <w:t xml:space="preserve"> </w:t>
      </w:r>
      <w:r>
        <w:t>unlikely</w:t>
      </w:r>
      <w:r>
        <w:rPr>
          <w:spacing w:val="-3"/>
        </w:rPr>
        <w:t xml:space="preserve"> </w:t>
      </w:r>
      <w:r>
        <w:t>to</w:t>
      </w:r>
      <w:r>
        <w:rPr>
          <w:spacing w:val="-2"/>
        </w:rPr>
        <w:t xml:space="preserve"> </w:t>
      </w:r>
      <w:r>
        <w:t>affect</w:t>
      </w:r>
      <w:r>
        <w:rPr>
          <w:spacing w:val="-6"/>
        </w:rPr>
        <w:t xml:space="preserve"> </w:t>
      </w:r>
      <w:r>
        <w:t>safety</w:t>
      </w:r>
      <w:r>
        <w:rPr>
          <w:spacing w:val="-3"/>
        </w:rPr>
        <w:t xml:space="preserve"> </w:t>
      </w:r>
      <w:r>
        <w:t>and</w:t>
      </w:r>
      <w:r>
        <w:rPr>
          <w:spacing w:val="-3"/>
        </w:rPr>
        <w:t xml:space="preserve"> </w:t>
      </w:r>
      <w:r>
        <w:t>efficacy</w:t>
      </w:r>
      <w:r>
        <w:rPr>
          <w:spacing w:val="-3"/>
        </w:rPr>
        <w:t xml:space="preserve"> </w:t>
      </w:r>
      <w:r>
        <w:t xml:space="preserve">on study, particularly as efficacy analysis was in </w:t>
      </w:r>
      <w:r w:rsidR="005D776C">
        <w:t xml:space="preserve">the </w:t>
      </w:r>
      <w:r w:rsidR="00BC070C">
        <w:t>intention to treat (</w:t>
      </w:r>
      <w:r>
        <w:t>ITT</w:t>
      </w:r>
      <w:r w:rsidR="00BC070C">
        <w:t>)</w:t>
      </w:r>
      <w:r>
        <w:t xml:space="preserve"> population.</w:t>
      </w:r>
    </w:p>
    <w:p w14:paraId="206A85E3" w14:textId="2B5B2B31" w:rsidR="0072689D" w:rsidRDefault="0072689D" w:rsidP="00B75545">
      <w:pPr>
        <w:pStyle w:val="Heading6"/>
      </w:pPr>
      <w:r>
        <w:lastRenderedPageBreak/>
        <w:t>Baseline</w:t>
      </w:r>
      <w:r>
        <w:rPr>
          <w:spacing w:val="-7"/>
        </w:rPr>
        <w:t xml:space="preserve"> </w:t>
      </w:r>
      <w:r>
        <w:rPr>
          <w:spacing w:val="-2"/>
        </w:rPr>
        <w:t>characteristics</w:t>
      </w:r>
    </w:p>
    <w:p w14:paraId="319F1A2D" w14:textId="17C359F2" w:rsidR="0072689D" w:rsidRDefault="0072689D" w:rsidP="008007A1">
      <w:r w:rsidRPr="006012B3">
        <w:t>Within</w:t>
      </w:r>
      <w:r w:rsidRPr="006012B3">
        <w:rPr>
          <w:spacing w:val="-2"/>
        </w:rPr>
        <w:t xml:space="preserve"> </w:t>
      </w:r>
      <w:r w:rsidRPr="006012B3">
        <w:t>the</w:t>
      </w:r>
      <w:r w:rsidR="00E42D9B" w:rsidRPr="006012B3">
        <w:t xml:space="preserve"> R</w:t>
      </w:r>
      <w:r w:rsidRPr="006012B3">
        <w:t>/</w:t>
      </w:r>
      <w:r w:rsidR="00E42D9B" w:rsidRPr="006012B3">
        <w:t>R</w:t>
      </w:r>
      <w:r w:rsidRPr="006012B3">
        <w:rPr>
          <w:spacing w:val="-3"/>
        </w:rPr>
        <w:t xml:space="preserve"> </w:t>
      </w:r>
      <w:r w:rsidRPr="006012B3">
        <w:t>MCL</w:t>
      </w:r>
      <w:r>
        <w:rPr>
          <w:spacing w:val="-2"/>
        </w:rPr>
        <w:t xml:space="preserve"> cohort:</w:t>
      </w:r>
    </w:p>
    <w:p w14:paraId="3FBBF97A" w14:textId="2A7C9BED" w:rsidR="0072689D" w:rsidRDefault="0072689D" w:rsidP="00DF3A29">
      <w:pPr>
        <w:pStyle w:val="ListBullet"/>
      </w:pPr>
      <w:r>
        <w:rPr>
          <w:spacing w:val="-5"/>
        </w:rPr>
        <w:t>86%</w:t>
      </w:r>
      <w:r w:rsidR="002C0805">
        <w:rPr>
          <w:spacing w:val="-5"/>
        </w:rPr>
        <w:t xml:space="preserve"> were male</w:t>
      </w:r>
    </w:p>
    <w:p w14:paraId="295EA1F3" w14:textId="461248AB" w:rsidR="0072689D" w:rsidRDefault="0072689D" w:rsidP="00DF3A29">
      <w:pPr>
        <w:pStyle w:val="ListBullet"/>
      </w:pPr>
      <w:r>
        <w:t>median</w:t>
      </w:r>
      <w:r w:rsidR="008007A1">
        <w:t xml:space="preserve"> age was</w:t>
      </w:r>
      <w:r>
        <w:rPr>
          <w:spacing w:val="-4"/>
        </w:rPr>
        <w:t xml:space="preserve"> </w:t>
      </w:r>
      <w:r>
        <w:t>64</w:t>
      </w:r>
      <w:r>
        <w:rPr>
          <w:spacing w:val="-4"/>
        </w:rPr>
        <w:t xml:space="preserve"> </w:t>
      </w:r>
      <w:r>
        <w:t>years</w:t>
      </w:r>
      <w:r>
        <w:rPr>
          <w:spacing w:val="-1"/>
        </w:rPr>
        <w:t xml:space="preserve"> </w:t>
      </w:r>
      <w:r>
        <w:t>(39-</w:t>
      </w:r>
      <w:r>
        <w:rPr>
          <w:spacing w:val="-5"/>
        </w:rPr>
        <w:t>84)</w:t>
      </w:r>
    </w:p>
    <w:p w14:paraId="2E77BEF2" w14:textId="3767F1CC" w:rsidR="0072689D" w:rsidRDefault="0072689D" w:rsidP="00DF3A29">
      <w:pPr>
        <w:pStyle w:val="ListBullet"/>
      </w:pPr>
      <w:r>
        <w:rPr>
          <w:spacing w:val="-5"/>
        </w:rPr>
        <w:t>88%</w:t>
      </w:r>
      <w:r w:rsidR="008007A1">
        <w:rPr>
          <w:spacing w:val="-5"/>
        </w:rPr>
        <w:t xml:space="preserve"> were white</w:t>
      </w:r>
    </w:p>
    <w:p w14:paraId="7FB684F7" w14:textId="08909109" w:rsidR="00647F02" w:rsidRDefault="008007A1" w:rsidP="00DF3A29">
      <w:pPr>
        <w:pStyle w:val="ListBullet"/>
      </w:pPr>
      <w:r>
        <w:t>m</w:t>
      </w:r>
      <w:r w:rsidR="0072689D">
        <w:t>ost</w:t>
      </w:r>
      <w:r w:rsidR="0072689D">
        <w:rPr>
          <w:spacing w:val="-3"/>
        </w:rPr>
        <w:t xml:space="preserve"> </w:t>
      </w:r>
      <w:r w:rsidR="0072689D">
        <w:t>patients</w:t>
      </w:r>
      <w:r w:rsidR="0072689D">
        <w:rPr>
          <w:spacing w:val="-1"/>
        </w:rPr>
        <w:t xml:space="preserve"> </w:t>
      </w:r>
      <w:r w:rsidR="0072689D">
        <w:t>were</w:t>
      </w:r>
      <w:r w:rsidR="0072689D">
        <w:rPr>
          <w:spacing w:val="-2"/>
        </w:rPr>
        <w:t xml:space="preserve"> </w:t>
      </w:r>
      <w:r w:rsidR="0072689D">
        <w:t>fit</w:t>
      </w:r>
      <w:r w:rsidR="0072689D">
        <w:rPr>
          <w:spacing w:val="-3"/>
        </w:rPr>
        <w:t xml:space="preserve"> </w:t>
      </w:r>
      <w:r w:rsidR="0072689D">
        <w:t>(ECOG</w:t>
      </w:r>
      <w:r w:rsidR="0072689D">
        <w:rPr>
          <w:spacing w:val="-3"/>
        </w:rPr>
        <w:t xml:space="preserve"> </w:t>
      </w:r>
      <w:r w:rsidR="0072689D">
        <w:t>0</w:t>
      </w:r>
      <w:r w:rsidR="0072689D">
        <w:rPr>
          <w:spacing w:val="-3"/>
        </w:rPr>
        <w:t xml:space="preserve"> </w:t>
      </w:r>
      <w:r w:rsidR="0072689D">
        <w:t>=</w:t>
      </w:r>
      <w:r w:rsidR="0072689D">
        <w:rPr>
          <w:spacing w:val="-2"/>
        </w:rPr>
        <w:t xml:space="preserve"> </w:t>
      </w:r>
      <w:r w:rsidR="0072689D">
        <w:t>60.5%),</w:t>
      </w:r>
      <w:r w:rsidR="0072689D">
        <w:rPr>
          <w:spacing w:val="-2"/>
        </w:rPr>
        <w:t xml:space="preserve"> </w:t>
      </w:r>
      <w:r w:rsidR="0072689D">
        <w:t>with</w:t>
      </w:r>
      <w:r w:rsidR="0072689D">
        <w:rPr>
          <w:spacing w:val="-2"/>
        </w:rPr>
        <w:t xml:space="preserve"> </w:t>
      </w:r>
      <w:r w:rsidR="0072689D">
        <w:t>evidence</w:t>
      </w:r>
      <w:r w:rsidR="0072689D">
        <w:rPr>
          <w:spacing w:val="-2"/>
        </w:rPr>
        <w:t xml:space="preserve"> </w:t>
      </w:r>
      <w:r w:rsidR="0072689D">
        <w:t>of</w:t>
      </w:r>
      <w:r w:rsidR="0072689D">
        <w:rPr>
          <w:spacing w:val="-2"/>
        </w:rPr>
        <w:t xml:space="preserve"> </w:t>
      </w:r>
      <w:r w:rsidR="0072689D">
        <w:t>bone</w:t>
      </w:r>
      <w:r w:rsidR="0072689D">
        <w:rPr>
          <w:spacing w:val="-5"/>
        </w:rPr>
        <w:t xml:space="preserve"> </w:t>
      </w:r>
      <w:r w:rsidR="0072689D">
        <w:t>marrow</w:t>
      </w:r>
      <w:r w:rsidR="0072689D">
        <w:rPr>
          <w:spacing w:val="-6"/>
        </w:rPr>
        <w:t xml:space="preserve"> </w:t>
      </w:r>
      <w:r w:rsidR="0072689D">
        <w:t>involvement,</w:t>
      </w:r>
      <w:r w:rsidR="0072689D">
        <w:rPr>
          <w:spacing w:val="-2"/>
        </w:rPr>
        <w:t xml:space="preserve"> </w:t>
      </w:r>
      <w:r w:rsidR="0072689D">
        <w:t xml:space="preserve">non-bulky disease &lt;5cm, relapsed disease (rather than refractory), </w:t>
      </w:r>
      <w:r w:rsidR="005D2BEA">
        <w:t>had</w:t>
      </w:r>
      <w:r w:rsidR="00EC52E8">
        <w:t xml:space="preserve"> </w:t>
      </w:r>
      <w:r w:rsidR="0072689D">
        <w:t xml:space="preserve">a median of 3 years from diagnosis and </w:t>
      </w:r>
      <w:r w:rsidR="005D2BEA">
        <w:t xml:space="preserve">had </w:t>
      </w:r>
      <w:r w:rsidR="0072689D">
        <w:t>stage 4 disease</w:t>
      </w:r>
    </w:p>
    <w:p w14:paraId="68D65499" w14:textId="29249FDA" w:rsidR="0072689D" w:rsidRDefault="008007A1" w:rsidP="00DF3A29">
      <w:pPr>
        <w:pStyle w:val="ListBullet"/>
      </w:pPr>
      <w:r>
        <w:t>p</w:t>
      </w:r>
      <w:r w:rsidR="0072689D">
        <w:t>atients were mostly low risk (</w:t>
      </w:r>
      <w:r w:rsidR="00C16DCA">
        <w:t>based on</w:t>
      </w:r>
      <w:r w:rsidR="0072689D">
        <w:t xml:space="preserve"> MIPI).</w:t>
      </w:r>
    </w:p>
    <w:p w14:paraId="618F74A3" w14:textId="7B27496C" w:rsidR="002D53FA" w:rsidRDefault="002D53FA" w:rsidP="008007A1">
      <w:r>
        <w:t xml:space="preserve">While the baseline and disease characteristics </w:t>
      </w:r>
      <w:r w:rsidR="0073259E">
        <w:t xml:space="preserve">in Study </w:t>
      </w:r>
      <w:r w:rsidR="0073259E">
        <w:rPr>
          <w:lang w:eastAsia="ja-JP"/>
        </w:rPr>
        <w:t>ICP-CL-00107</w:t>
      </w:r>
      <w:r>
        <w:t>are similar to ICP-CL-00102 (apart from this being</w:t>
      </w:r>
      <w:r w:rsidRPr="002D53FA">
        <w:rPr>
          <w:spacing w:val="-2"/>
        </w:rPr>
        <w:t xml:space="preserve"> </w:t>
      </w:r>
      <w:r>
        <w:t>a</w:t>
      </w:r>
      <w:r w:rsidRPr="002D53FA">
        <w:rPr>
          <w:spacing w:val="-4"/>
        </w:rPr>
        <w:t xml:space="preserve"> </w:t>
      </w:r>
      <w:r>
        <w:t>Caucasian</w:t>
      </w:r>
      <w:r w:rsidRPr="002D53FA">
        <w:rPr>
          <w:spacing w:val="-4"/>
        </w:rPr>
        <w:t xml:space="preserve"> </w:t>
      </w:r>
      <w:r>
        <w:t>population),</w:t>
      </w:r>
      <w:r w:rsidRPr="002D53FA">
        <w:rPr>
          <w:spacing w:val="-3"/>
        </w:rPr>
        <w:t xml:space="preserve"> </w:t>
      </w:r>
      <w:r>
        <w:t>the</w:t>
      </w:r>
      <w:r w:rsidRPr="002D53FA">
        <w:rPr>
          <w:spacing w:val="-3"/>
        </w:rPr>
        <w:t xml:space="preserve"> </w:t>
      </w:r>
      <w:r>
        <w:t>previous</w:t>
      </w:r>
      <w:r w:rsidRPr="002D53FA">
        <w:rPr>
          <w:spacing w:val="-2"/>
        </w:rPr>
        <w:t xml:space="preserve"> </w:t>
      </w:r>
      <w:r>
        <w:t>treatment</w:t>
      </w:r>
      <w:r w:rsidRPr="002D53FA">
        <w:rPr>
          <w:spacing w:val="-4"/>
        </w:rPr>
        <w:t xml:space="preserve"> </w:t>
      </w:r>
      <w:r>
        <w:t>characteristics</w:t>
      </w:r>
      <w:r w:rsidRPr="002D53FA">
        <w:rPr>
          <w:spacing w:val="-2"/>
        </w:rPr>
        <w:t xml:space="preserve"> </w:t>
      </w:r>
      <w:r>
        <w:t>display</w:t>
      </w:r>
      <w:r w:rsidRPr="002D53FA">
        <w:rPr>
          <w:spacing w:val="-7"/>
        </w:rPr>
        <w:t xml:space="preserve"> </w:t>
      </w:r>
      <w:r>
        <w:t>a</w:t>
      </w:r>
      <w:r w:rsidRPr="002D53FA">
        <w:rPr>
          <w:spacing w:val="-3"/>
        </w:rPr>
        <w:t xml:space="preserve"> </w:t>
      </w:r>
      <w:r>
        <w:t>higher</w:t>
      </w:r>
      <w:r w:rsidRPr="002D53FA">
        <w:rPr>
          <w:spacing w:val="-4"/>
        </w:rPr>
        <w:t xml:space="preserve"> </w:t>
      </w:r>
      <w:r>
        <w:t xml:space="preserve">variation, including a higher number of patients having previous </w:t>
      </w:r>
      <w:r w:rsidR="00AF3F30" w:rsidRPr="00AF3F30">
        <w:t>Hematopoietic Stem Cell Transplantation</w:t>
      </w:r>
      <w:r w:rsidR="00AF3F30">
        <w:t xml:space="preserve"> (</w:t>
      </w:r>
      <w:r>
        <w:t>HSCT</w:t>
      </w:r>
      <w:r w:rsidR="00AF3F30">
        <w:t>)</w:t>
      </w:r>
      <w:r w:rsidR="00AF7CFF">
        <w:t xml:space="preserve"> (table </w:t>
      </w:r>
      <w:r w:rsidR="003F015B">
        <w:t>8</w:t>
      </w:r>
      <w:r w:rsidR="00AF7CFF">
        <w:t>)</w:t>
      </w:r>
      <w:r>
        <w:t>. This either indicates higher risk disease (not reflected in the baseline disease characteristics), more heavily pretreated disease (not reflected in median lines of previous therapy) or more aggressive treatment practices/different treatment paradigm in the study locations.</w:t>
      </w:r>
    </w:p>
    <w:p w14:paraId="38B682DA" w14:textId="5000C5B0" w:rsidR="007D77CE" w:rsidRDefault="002327F5" w:rsidP="00D47FBA">
      <w:pPr>
        <w:pStyle w:val="TableTitle"/>
        <w:spacing w:before="240"/>
      </w:pPr>
      <w:r>
        <w:t xml:space="preserve">Table </w:t>
      </w:r>
      <w:r w:rsidR="00264898">
        <w:t>8</w:t>
      </w:r>
      <w:r>
        <w:t xml:space="preserve">: </w:t>
      </w:r>
      <w:r w:rsidR="007D77CE" w:rsidRPr="00763BDB">
        <w:t>Summary of prior anti-tumour therapy in ICP-CL-00107</w:t>
      </w:r>
    </w:p>
    <w:p w14:paraId="36C537CE" w14:textId="1EE6AB3F" w:rsidR="00AA33A9" w:rsidRPr="00763BDB" w:rsidRDefault="00AA33A9" w:rsidP="0076140A">
      <w:r w:rsidRPr="00AA33A9">
        <w:rPr>
          <w:noProof/>
        </w:rPr>
        <w:drawing>
          <wp:inline distT="0" distB="0" distL="0" distR="0" wp14:anchorId="12446010" wp14:editId="3C84F9F6">
            <wp:extent cx="5811716" cy="4912164"/>
            <wp:effectExtent l="0" t="0" r="0" b="3175"/>
            <wp:docPr id="460804124" name="Picture 1" descr="Table 8: Summary of prior anti-tumour therapy in ICP-CL-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04124" name="Picture 1" descr="Table 8: Summary of prior anti-tumour therapy in ICP-CL-00107."/>
                    <pic:cNvPicPr/>
                  </pic:nvPicPr>
                  <pic:blipFill>
                    <a:blip r:embed="rId32"/>
                    <a:stretch>
                      <a:fillRect/>
                    </a:stretch>
                  </pic:blipFill>
                  <pic:spPr>
                    <a:xfrm>
                      <a:off x="0" y="0"/>
                      <a:ext cx="5814114" cy="4914191"/>
                    </a:xfrm>
                    <a:prstGeom prst="rect">
                      <a:avLst/>
                    </a:prstGeom>
                  </pic:spPr>
                </pic:pic>
              </a:graphicData>
            </a:graphic>
          </wp:inline>
        </w:drawing>
      </w:r>
    </w:p>
    <w:p w14:paraId="2A95A77C" w14:textId="77777777" w:rsidR="00AA33A9" w:rsidRDefault="00AA33A9" w:rsidP="0072689D">
      <w:pPr>
        <w:pStyle w:val="BodyText"/>
        <w:ind w:left="23"/>
      </w:pPr>
    </w:p>
    <w:p w14:paraId="7C4DD53F" w14:textId="5CECA1A9" w:rsidR="0072689D" w:rsidRDefault="0072689D" w:rsidP="0072689D">
      <w:pPr>
        <w:pStyle w:val="Heading6"/>
      </w:pPr>
      <w:r>
        <w:rPr>
          <w:spacing w:val="-2"/>
        </w:rPr>
        <w:lastRenderedPageBreak/>
        <w:t>Results</w:t>
      </w:r>
      <w:r w:rsidR="00C17D99">
        <w:rPr>
          <w:spacing w:val="-2"/>
        </w:rPr>
        <w:t xml:space="preserve"> for </w:t>
      </w:r>
      <w:r w:rsidR="00817068">
        <w:rPr>
          <w:spacing w:val="-2"/>
        </w:rPr>
        <w:t xml:space="preserve">the </w:t>
      </w:r>
      <w:r w:rsidR="00C17D99">
        <w:rPr>
          <w:spacing w:val="-2"/>
        </w:rPr>
        <w:t xml:space="preserve">primary efficacy </w:t>
      </w:r>
      <w:r w:rsidR="0044240B">
        <w:rPr>
          <w:spacing w:val="-2"/>
        </w:rPr>
        <w:t>en</w:t>
      </w:r>
      <w:r w:rsidR="0058618F">
        <w:rPr>
          <w:spacing w:val="-2"/>
        </w:rPr>
        <w:t>dpoint</w:t>
      </w:r>
      <w:r w:rsidR="009E1B70">
        <w:rPr>
          <w:spacing w:val="-2"/>
        </w:rPr>
        <w:t>s</w:t>
      </w:r>
    </w:p>
    <w:p w14:paraId="4C4E204F" w14:textId="7BFAD1B9" w:rsidR="00645D3F" w:rsidRDefault="0072689D" w:rsidP="00817068">
      <w:pPr>
        <w:rPr>
          <w:spacing w:val="40"/>
        </w:rPr>
      </w:pPr>
      <w:r>
        <w:t xml:space="preserve">The evaluation focused on the efficacy results in the R/R MCL </w:t>
      </w:r>
      <w:r w:rsidR="001F5C5B">
        <w:t xml:space="preserve">full analysis </w:t>
      </w:r>
      <w:r w:rsidR="001A5F48">
        <w:t>(</w:t>
      </w:r>
      <w:r>
        <w:t>FAS</w:t>
      </w:r>
      <w:r w:rsidR="001A5F48">
        <w:t>)</w:t>
      </w:r>
      <w:r>
        <w:t xml:space="preserve"> population and by IRC.</w:t>
      </w:r>
      <w:r>
        <w:rPr>
          <w:spacing w:val="40"/>
        </w:rPr>
        <w:t xml:space="preserve"> </w:t>
      </w:r>
    </w:p>
    <w:p w14:paraId="50FAD696" w14:textId="2C393E47" w:rsidR="0072689D" w:rsidRDefault="0072689D" w:rsidP="00817068">
      <w:r>
        <w:t xml:space="preserve">It </w:t>
      </w:r>
      <w:r w:rsidR="0074262E">
        <w:t>was</w:t>
      </w:r>
      <w:r>
        <w:rPr>
          <w:spacing w:val="-2"/>
        </w:rPr>
        <w:t xml:space="preserve"> </w:t>
      </w:r>
      <w:r>
        <w:t>noted</w:t>
      </w:r>
      <w:r>
        <w:rPr>
          <w:spacing w:val="-2"/>
        </w:rPr>
        <w:t xml:space="preserve"> </w:t>
      </w:r>
      <w:r>
        <w:t>that</w:t>
      </w:r>
      <w:r>
        <w:rPr>
          <w:spacing w:val="-3"/>
        </w:rPr>
        <w:t xml:space="preserve"> </w:t>
      </w:r>
      <w:r>
        <w:t>technically</w:t>
      </w:r>
      <w:r>
        <w:rPr>
          <w:spacing w:val="-2"/>
        </w:rPr>
        <w:t xml:space="preserve"> </w:t>
      </w:r>
      <w:r>
        <w:t>the</w:t>
      </w:r>
      <w:r>
        <w:rPr>
          <w:spacing w:val="-2"/>
        </w:rPr>
        <w:t xml:space="preserve"> </w:t>
      </w:r>
      <w:r w:rsidR="00A72CB2">
        <w:rPr>
          <w:spacing w:val="-2"/>
        </w:rPr>
        <w:t>P</w:t>
      </w:r>
      <w:r>
        <w:t>hase</w:t>
      </w:r>
      <w:r>
        <w:rPr>
          <w:spacing w:val="-2"/>
        </w:rPr>
        <w:t xml:space="preserve"> </w:t>
      </w:r>
      <w:r w:rsidR="006C2BE2">
        <w:t>2</w:t>
      </w:r>
      <w:r>
        <w:rPr>
          <w:spacing w:val="-2"/>
        </w:rPr>
        <w:t xml:space="preserve"> </w:t>
      </w:r>
      <w:r>
        <w:t>primary</w:t>
      </w:r>
      <w:r>
        <w:rPr>
          <w:spacing w:val="-3"/>
        </w:rPr>
        <w:t xml:space="preserve"> </w:t>
      </w:r>
      <w:r>
        <w:t>efficacy</w:t>
      </w:r>
      <w:r>
        <w:rPr>
          <w:spacing w:val="-3"/>
        </w:rPr>
        <w:t xml:space="preserve"> </w:t>
      </w:r>
      <w:r>
        <w:t>endpoint</w:t>
      </w:r>
      <w:r>
        <w:rPr>
          <w:spacing w:val="-3"/>
        </w:rPr>
        <w:t xml:space="preserve"> </w:t>
      </w:r>
      <w:r>
        <w:t>was</w:t>
      </w:r>
      <w:r>
        <w:rPr>
          <w:spacing w:val="-1"/>
        </w:rPr>
        <w:t xml:space="preserve"> </w:t>
      </w:r>
      <w:r>
        <w:t>ORR</w:t>
      </w:r>
      <w:r>
        <w:rPr>
          <w:spacing w:val="-3"/>
        </w:rPr>
        <w:t xml:space="preserve"> </w:t>
      </w:r>
      <w:r>
        <w:t>by</w:t>
      </w:r>
      <w:r>
        <w:rPr>
          <w:spacing w:val="-3"/>
        </w:rPr>
        <w:t xml:space="preserve"> </w:t>
      </w:r>
      <w:r>
        <w:t>IRC</w:t>
      </w:r>
      <w:r>
        <w:rPr>
          <w:spacing w:val="-2"/>
        </w:rPr>
        <w:t xml:space="preserve"> </w:t>
      </w:r>
      <w:r>
        <w:t>in</w:t>
      </w:r>
      <w:r>
        <w:rPr>
          <w:spacing w:val="-3"/>
        </w:rPr>
        <w:t xml:space="preserve"> </w:t>
      </w:r>
      <w:r>
        <w:t xml:space="preserve">each arm of the </w:t>
      </w:r>
      <w:r w:rsidR="00A72CB2">
        <w:t>P</w:t>
      </w:r>
      <w:r>
        <w:t xml:space="preserve">hase </w:t>
      </w:r>
      <w:r w:rsidR="00A72CB2">
        <w:t xml:space="preserve">2 </w:t>
      </w:r>
      <w:r w:rsidR="006C76BB">
        <w:t>study component</w:t>
      </w:r>
      <w:r>
        <w:t xml:space="preserve"> (R/R MCL, other B-cell</w:t>
      </w:r>
      <w:r>
        <w:rPr>
          <w:spacing w:val="-2"/>
        </w:rPr>
        <w:t xml:space="preserve"> </w:t>
      </w:r>
      <w:r>
        <w:t>malignancies, ethnic</w:t>
      </w:r>
      <w:r>
        <w:rPr>
          <w:spacing w:val="-1"/>
        </w:rPr>
        <w:t xml:space="preserve"> </w:t>
      </w:r>
      <w:r>
        <w:t>minority population with R/R MCL</w:t>
      </w:r>
      <w:r w:rsidR="005F05D3">
        <w:t>)</w:t>
      </w:r>
      <w:r>
        <w:t>, although the statistical analysis plan stated that all R/R MCL patients would be grouped for analysis.</w:t>
      </w:r>
    </w:p>
    <w:p w14:paraId="42070658" w14:textId="36F82565" w:rsidR="0072689D" w:rsidRDefault="0072689D" w:rsidP="00817068">
      <w:pPr>
        <w:rPr>
          <w:b/>
        </w:rPr>
      </w:pPr>
      <w:r>
        <w:t>The</w:t>
      </w:r>
      <w:r>
        <w:rPr>
          <w:spacing w:val="-2"/>
        </w:rPr>
        <w:t xml:space="preserve"> </w:t>
      </w:r>
      <w:r>
        <w:t>R/R</w:t>
      </w:r>
      <w:r>
        <w:rPr>
          <w:spacing w:val="-3"/>
        </w:rPr>
        <w:t xml:space="preserve"> </w:t>
      </w:r>
      <w:r>
        <w:t>MCL</w:t>
      </w:r>
      <w:r>
        <w:rPr>
          <w:spacing w:val="-3"/>
        </w:rPr>
        <w:t xml:space="preserve"> </w:t>
      </w:r>
      <w:r>
        <w:t>population</w:t>
      </w:r>
      <w:r>
        <w:rPr>
          <w:spacing w:val="-6"/>
        </w:rPr>
        <w:t xml:space="preserve"> </w:t>
      </w:r>
      <w:r>
        <w:t>include</w:t>
      </w:r>
      <w:r w:rsidR="0074262E">
        <w:t>d</w:t>
      </w:r>
      <w:r>
        <w:rPr>
          <w:spacing w:val="-1"/>
        </w:rPr>
        <w:t xml:space="preserve"> </w:t>
      </w:r>
      <w:r>
        <w:t>43</w:t>
      </w:r>
      <w:r>
        <w:rPr>
          <w:spacing w:val="-6"/>
        </w:rPr>
        <w:t xml:space="preserve"> </w:t>
      </w:r>
      <w:r>
        <w:t>subjects</w:t>
      </w:r>
      <w:r>
        <w:rPr>
          <w:spacing w:val="-1"/>
        </w:rPr>
        <w:t xml:space="preserve"> </w:t>
      </w:r>
      <w:r>
        <w:t>(39</w:t>
      </w:r>
      <w:r>
        <w:rPr>
          <w:spacing w:val="-2"/>
        </w:rPr>
        <w:t xml:space="preserve"> </w:t>
      </w:r>
      <w:r>
        <w:t>from</w:t>
      </w:r>
      <w:r>
        <w:rPr>
          <w:spacing w:val="-1"/>
        </w:rPr>
        <w:t xml:space="preserve"> </w:t>
      </w:r>
      <w:r>
        <w:t>phase</w:t>
      </w:r>
      <w:r>
        <w:rPr>
          <w:spacing w:val="-5"/>
        </w:rPr>
        <w:t xml:space="preserve"> </w:t>
      </w:r>
      <w:r>
        <w:t>II</w:t>
      </w:r>
      <w:r>
        <w:rPr>
          <w:spacing w:val="-2"/>
        </w:rPr>
        <w:t xml:space="preserve"> </w:t>
      </w:r>
      <w:r>
        <w:t>and</w:t>
      </w:r>
      <w:r>
        <w:rPr>
          <w:spacing w:val="-3"/>
        </w:rPr>
        <w:t xml:space="preserve"> </w:t>
      </w:r>
      <w:r>
        <w:t>4</w:t>
      </w:r>
      <w:r>
        <w:rPr>
          <w:spacing w:val="-2"/>
        </w:rPr>
        <w:t xml:space="preserve"> </w:t>
      </w:r>
      <w:r>
        <w:t>subjects</w:t>
      </w:r>
      <w:r>
        <w:rPr>
          <w:spacing w:val="-1"/>
        </w:rPr>
        <w:t xml:space="preserve"> </w:t>
      </w:r>
      <w:r>
        <w:t>from</w:t>
      </w:r>
      <w:r>
        <w:rPr>
          <w:spacing w:val="-1"/>
        </w:rPr>
        <w:t xml:space="preserve"> </w:t>
      </w:r>
      <w:r w:rsidR="007A5E3B">
        <w:rPr>
          <w:spacing w:val="-1"/>
        </w:rPr>
        <w:t>P</w:t>
      </w:r>
      <w:r>
        <w:t>hase</w:t>
      </w:r>
      <w:r>
        <w:rPr>
          <w:spacing w:val="-2"/>
        </w:rPr>
        <w:t xml:space="preserve"> </w:t>
      </w:r>
      <w:r w:rsidR="007A5E3B">
        <w:t>1</w:t>
      </w:r>
      <w:r>
        <w:rPr>
          <w:spacing w:val="-2"/>
        </w:rPr>
        <w:t xml:space="preserve"> </w:t>
      </w:r>
      <w:r>
        <w:t>who received</w:t>
      </w:r>
      <w:r>
        <w:rPr>
          <w:spacing w:val="-5"/>
        </w:rPr>
        <w:t xml:space="preserve"> </w:t>
      </w:r>
      <w:r>
        <w:t>150mg</w:t>
      </w:r>
      <w:r>
        <w:rPr>
          <w:spacing w:val="-2"/>
        </w:rPr>
        <w:t xml:space="preserve"> </w:t>
      </w:r>
      <w:r>
        <w:t>OD</w:t>
      </w:r>
      <w:r>
        <w:rPr>
          <w:spacing w:val="-2"/>
        </w:rPr>
        <w:t xml:space="preserve"> </w:t>
      </w:r>
      <w:r>
        <w:t>orelabrutinib).</w:t>
      </w:r>
      <w:r>
        <w:rPr>
          <w:spacing w:val="-6"/>
        </w:rPr>
        <w:t xml:space="preserve"> </w:t>
      </w:r>
      <w:r>
        <w:t>The</w:t>
      </w:r>
      <w:r>
        <w:rPr>
          <w:spacing w:val="-2"/>
        </w:rPr>
        <w:t xml:space="preserve"> </w:t>
      </w:r>
      <w:r>
        <w:t>ORR</w:t>
      </w:r>
      <w:r>
        <w:rPr>
          <w:spacing w:val="-4"/>
        </w:rPr>
        <w:t xml:space="preserve"> </w:t>
      </w:r>
      <w:r>
        <w:t>by</w:t>
      </w:r>
      <w:r>
        <w:rPr>
          <w:spacing w:val="-4"/>
        </w:rPr>
        <w:t xml:space="preserve"> </w:t>
      </w:r>
      <w:r>
        <w:t>IRC</w:t>
      </w:r>
      <w:r>
        <w:rPr>
          <w:spacing w:val="-5"/>
        </w:rPr>
        <w:t xml:space="preserve"> </w:t>
      </w:r>
      <w:r>
        <w:t>(FAS-</w:t>
      </w:r>
      <w:r>
        <w:rPr>
          <w:spacing w:val="-3"/>
        </w:rPr>
        <w:t xml:space="preserve"> </w:t>
      </w:r>
      <w:r>
        <w:t>R/R</w:t>
      </w:r>
      <w:r>
        <w:rPr>
          <w:spacing w:val="-3"/>
        </w:rPr>
        <w:t xml:space="preserve"> </w:t>
      </w:r>
      <w:r>
        <w:t>MCL)</w:t>
      </w:r>
      <w:r>
        <w:rPr>
          <w:spacing w:val="-4"/>
        </w:rPr>
        <w:t xml:space="preserve"> </w:t>
      </w:r>
      <w:r>
        <w:t>was</w:t>
      </w:r>
      <w:r>
        <w:rPr>
          <w:spacing w:val="-2"/>
        </w:rPr>
        <w:t xml:space="preserve"> </w:t>
      </w:r>
      <w:r w:rsidRPr="00AA33A9">
        <w:rPr>
          <w:bCs/>
        </w:rPr>
        <w:t>83.7%</w:t>
      </w:r>
      <w:r w:rsidRPr="00AA33A9">
        <w:rPr>
          <w:bCs/>
          <w:spacing w:val="-6"/>
        </w:rPr>
        <w:t xml:space="preserve"> </w:t>
      </w:r>
      <w:r w:rsidRPr="00AA33A9">
        <w:rPr>
          <w:bCs/>
        </w:rPr>
        <w:t>(69.30,</w:t>
      </w:r>
      <w:r w:rsidRPr="00AA33A9">
        <w:rPr>
          <w:bCs/>
          <w:spacing w:val="-3"/>
        </w:rPr>
        <w:t xml:space="preserve"> </w:t>
      </w:r>
      <w:r w:rsidRPr="00AA33A9">
        <w:rPr>
          <w:bCs/>
          <w:spacing w:val="-2"/>
        </w:rPr>
        <w:t>93.19).</w:t>
      </w:r>
    </w:p>
    <w:p w14:paraId="5722024A" w14:textId="29C370C2" w:rsidR="002E3192" w:rsidRDefault="004C0C5D" w:rsidP="0076140A">
      <w:pPr>
        <w:pStyle w:val="TableTitle"/>
        <w:rPr>
          <w:sz w:val="20"/>
        </w:rPr>
      </w:pPr>
      <w:bookmarkStart w:id="59" w:name="_Toc202463752"/>
      <w:bookmarkStart w:id="60" w:name="_Toc211510477"/>
      <w:r>
        <w:rPr>
          <w:bCs/>
          <w:lang w:eastAsia="ja-JP"/>
        </w:rPr>
        <w:t xml:space="preserve">Table </w:t>
      </w:r>
      <w:r w:rsidR="00264898">
        <w:rPr>
          <w:bCs/>
          <w:lang w:eastAsia="ja-JP"/>
        </w:rPr>
        <w:t>9</w:t>
      </w:r>
      <w:r>
        <w:rPr>
          <w:bCs/>
          <w:lang w:eastAsia="ja-JP"/>
        </w:rPr>
        <w:t xml:space="preserve">: </w:t>
      </w:r>
      <w:r>
        <w:rPr>
          <w:lang w:eastAsia="ja-JP"/>
        </w:rPr>
        <w:t>Evaluation of best overall response by IRC (R/R MCL</w:t>
      </w:r>
      <w:r w:rsidR="0093362B">
        <w:rPr>
          <w:lang w:eastAsia="ja-JP"/>
        </w:rPr>
        <w:t xml:space="preserve"> - FAS</w:t>
      </w:r>
      <w:r>
        <w:rPr>
          <w:lang w:eastAsia="ja-JP"/>
        </w:rPr>
        <w:t>)</w:t>
      </w:r>
      <w:bookmarkEnd w:id="59"/>
      <w:bookmarkEnd w:id="60"/>
      <w:r w:rsidR="002E3192">
        <w:rPr>
          <w:lang w:eastAsia="ja-JP"/>
        </w:rPr>
        <w:t xml:space="preserve"> in ICP-CL-00107</w:t>
      </w:r>
    </w:p>
    <w:p w14:paraId="2913DE0E" w14:textId="06B05B3B" w:rsidR="0072689D" w:rsidRDefault="009C20ED" w:rsidP="0076140A">
      <w:r w:rsidRPr="009C20ED">
        <w:rPr>
          <w:noProof/>
        </w:rPr>
        <w:drawing>
          <wp:inline distT="0" distB="0" distL="0" distR="0" wp14:anchorId="36A8950A" wp14:editId="6D9006BC">
            <wp:extent cx="5353797" cy="3762900"/>
            <wp:effectExtent l="0" t="0" r="0" b="9525"/>
            <wp:docPr id="1251660090" name="Picture 1" descr="Table 9: Evaluation of best overall response by IRC (R/R MCL - FAS) in ICP-CL-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660090" name="Picture 1" descr="Table 9: Evaluation of best overall response by IRC (R/R MCL - FAS) in ICP-CL-00107."/>
                    <pic:cNvPicPr/>
                  </pic:nvPicPr>
                  <pic:blipFill>
                    <a:blip r:embed="rId33"/>
                    <a:stretch>
                      <a:fillRect/>
                    </a:stretch>
                  </pic:blipFill>
                  <pic:spPr>
                    <a:xfrm>
                      <a:off x="0" y="0"/>
                      <a:ext cx="5353797" cy="3762900"/>
                    </a:xfrm>
                    <a:prstGeom prst="rect">
                      <a:avLst/>
                    </a:prstGeom>
                  </pic:spPr>
                </pic:pic>
              </a:graphicData>
            </a:graphic>
          </wp:inline>
        </w:drawing>
      </w:r>
    </w:p>
    <w:p w14:paraId="7A3A88AA" w14:textId="77777777" w:rsidR="0072689D" w:rsidRDefault="0072689D" w:rsidP="0076140A">
      <w:r>
        <w:t>Interpretation of the subgroup analysis (not pre-defined) is limited by small numbers although overall</w:t>
      </w:r>
      <w:r>
        <w:rPr>
          <w:spacing w:val="-2"/>
        </w:rPr>
        <w:t xml:space="preserve"> </w:t>
      </w:r>
      <w:r>
        <w:t>trend</w:t>
      </w:r>
      <w:r>
        <w:rPr>
          <w:spacing w:val="-3"/>
        </w:rPr>
        <w:t xml:space="preserve"> </w:t>
      </w:r>
      <w:r>
        <w:t>is</w:t>
      </w:r>
      <w:r>
        <w:rPr>
          <w:spacing w:val="-1"/>
        </w:rPr>
        <w:t xml:space="preserve"> </w:t>
      </w:r>
      <w:r>
        <w:t>to</w:t>
      </w:r>
      <w:r>
        <w:rPr>
          <w:spacing w:val="-2"/>
        </w:rPr>
        <w:t xml:space="preserve"> </w:t>
      </w:r>
      <w:r>
        <w:t>favour</w:t>
      </w:r>
      <w:r>
        <w:rPr>
          <w:spacing w:val="-5"/>
        </w:rPr>
        <w:t xml:space="preserve"> </w:t>
      </w:r>
      <w:r>
        <w:t>a</w:t>
      </w:r>
      <w:r>
        <w:rPr>
          <w:spacing w:val="-2"/>
        </w:rPr>
        <w:t xml:space="preserve"> </w:t>
      </w:r>
      <w:r>
        <w:t>positive</w:t>
      </w:r>
      <w:r>
        <w:rPr>
          <w:spacing w:val="-2"/>
        </w:rPr>
        <w:t xml:space="preserve"> </w:t>
      </w:r>
      <w:r>
        <w:t>ORR</w:t>
      </w:r>
      <w:r>
        <w:rPr>
          <w:spacing w:val="-3"/>
        </w:rPr>
        <w:t xml:space="preserve"> </w:t>
      </w:r>
      <w:r>
        <w:t>to</w:t>
      </w:r>
      <w:r>
        <w:rPr>
          <w:spacing w:val="-2"/>
        </w:rPr>
        <w:t xml:space="preserve"> </w:t>
      </w:r>
      <w:r>
        <w:t>orelabrutinib</w:t>
      </w:r>
      <w:r>
        <w:rPr>
          <w:spacing w:val="-3"/>
        </w:rPr>
        <w:t xml:space="preserve"> </w:t>
      </w:r>
      <w:r>
        <w:t>that</w:t>
      </w:r>
      <w:r>
        <w:rPr>
          <w:spacing w:val="-2"/>
        </w:rPr>
        <w:t xml:space="preserve"> </w:t>
      </w:r>
      <w:r>
        <w:t>is</w:t>
      </w:r>
      <w:r>
        <w:rPr>
          <w:spacing w:val="-4"/>
        </w:rPr>
        <w:t xml:space="preserve"> </w:t>
      </w:r>
      <w:proofErr w:type="gramStart"/>
      <w:r>
        <w:t>similar</w:t>
      </w:r>
      <w:r>
        <w:rPr>
          <w:spacing w:val="-2"/>
        </w:rPr>
        <w:t xml:space="preserve"> </w:t>
      </w:r>
      <w:r>
        <w:t>to</w:t>
      </w:r>
      <w:proofErr w:type="gramEnd"/>
      <w:r>
        <w:rPr>
          <w:spacing w:val="-3"/>
        </w:rPr>
        <w:t xml:space="preserve"> </w:t>
      </w:r>
      <w:r>
        <w:t>the</w:t>
      </w:r>
      <w:r>
        <w:rPr>
          <w:spacing w:val="-2"/>
        </w:rPr>
        <w:t xml:space="preserve"> </w:t>
      </w:r>
      <w:r>
        <w:t>overall</w:t>
      </w:r>
      <w:r>
        <w:rPr>
          <w:spacing w:val="-2"/>
        </w:rPr>
        <w:t xml:space="preserve"> </w:t>
      </w:r>
      <w:r>
        <w:t>population</w:t>
      </w:r>
    </w:p>
    <w:p w14:paraId="3299C9D6" w14:textId="77777777" w:rsidR="0072689D" w:rsidRDefault="0072689D" w:rsidP="0072689D">
      <w:pPr>
        <w:pStyle w:val="BodyText"/>
        <w:rPr>
          <w:sz w:val="20"/>
        </w:rPr>
      </w:pPr>
    </w:p>
    <w:p w14:paraId="60F6DC60" w14:textId="1167A3F1" w:rsidR="009F792B" w:rsidRDefault="00143C09" w:rsidP="00143C09">
      <w:pPr>
        <w:pStyle w:val="FigureTitle"/>
        <w:rPr>
          <w:sz w:val="20"/>
        </w:rPr>
      </w:pPr>
      <w:bookmarkStart w:id="61" w:name="_Toc202463753"/>
      <w:bookmarkStart w:id="62" w:name="_Toc211510478"/>
      <w:r>
        <w:rPr>
          <w:bCs/>
          <w:lang w:eastAsia="ja-JP"/>
        </w:rPr>
        <w:lastRenderedPageBreak/>
        <w:t xml:space="preserve">Figure </w:t>
      </w:r>
      <w:r w:rsidR="00893203">
        <w:rPr>
          <w:rFonts w:hint="eastAsia"/>
          <w:bCs/>
          <w:lang w:eastAsia="zh-CN"/>
        </w:rPr>
        <w:t>5</w:t>
      </w:r>
      <w:r>
        <w:rPr>
          <w:bCs/>
          <w:lang w:eastAsia="ja-JP"/>
        </w:rPr>
        <w:t xml:space="preserve">: </w:t>
      </w:r>
      <w:r>
        <w:rPr>
          <w:lang w:eastAsia="ja-JP"/>
        </w:rPr>
        <w:t>Forest plot of ORR (IRC evaluation, all R/R MCL</w:t>
      </w:r>
      <w:r w:rsidR="0093362B">
        <w:rPr>
          <w:lang w:eastAsia="ja-JP"/>
        </w:rPr>
        <w:t xml:space="preserve"> -</w:t>
      </w:r>
      <w:r>
        <w:rPr>
          <w:lang w:eastAsia="ja-JP"/>
        </w:rPr>
        <w:t xml:space="preserve"> FAS) in ICP-CL-00107</w:t>
      </w:r>
      <w:bookmarkEnd w:id="61"/>
      <w:bookmarkEnd w:id="62"/>
    </w:p>
    <w:p w14:paraId="00A55962" w14:textId="385D5CA4" w:rsidR="00015D36" w:rsidRDefault="0072689D" w:rsidP="0076140A">
      <w:pPr>
        <w:rPr>
          <w:sz w:val="20"/>
        </w:rPr>
      </w:pPr>
      <w:r>
        <w:rPr>
          <w:noProof/>
        </w:rPr>
        <w:drawing>
          <wp:anchor distT="0" distB="0" distL="0" distR="0" simplePos="0" relativeHeight="251658243" behindDoc="1" locked="0" layoutInCell="1" allowOverlap="1" wp14:anchorId="2943D542" wp14:editId="5CBC57C9">
            <wp:simplePos x="0" y="0"/>
            <wp:positionH relativeFrom="page">
              <wp:posOffset>1036319</wp:posOffset>
            </wp:positionH>
            <wp:positionV relativeFrom="paragraph">
              <wp:posOffset>166603</wp:posOffset>
            </wp:positionV>
            <wp:extent cx="4632959" cy="2606040"/>
            <wp:effectExtent l="0" t="0" r="0" b="0"/>
            <wp:wrapTopAndBottom/>
            <wp:docPr id="25" name="Image 25" descr="Figure 5: Forest plot of ORR (IRC evaluation, all R/R MCL - FAS) in ICP-CL-00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Figure 5: Forest plot of ORR (IRC evaluation, all R/R MCL - FAS) in ICP-CL-00107."/>
                    <pic:cNvPicPr/>
                  </pic:nvPicPr>
                  <pic:blipFill>
                    <a:blip r:embed="rId34" cstate="print"/>
                    <a:stretch>
                      <a:fillRect/>
                    </a:stretch>
                  </pic:blipFill>
                  <pic:spPr>
                    <a:xfrm>
                      <a:off x="0" y="0"/>
                      <a:ext cx="4632959" cy="2606040"/>
                    </a:xfrm>
                    <a:prstGeom prst="rect">
                      <a:avLst/>
                    </a:prstGeom>
                  </pic:spPr>
                </pic:pic>
              </a:graphicData>
            </a:graphic>
          </wp:anchor>
        </w:drawing>
      </w:r>
    </w:p>
    <w:p w14:paraId="7DA786AE" w14:textId="77777777" w:rsidR="00015D36" w:rsidRDefault="00015D36" w:rsidP="0072689D">
      <w:pPr>
        <w:pStyle w:val="BodyText"/>
        <w:rPr>
          <w:sz w:val="20"/>
        </w:rPr>
      </w:pPr>
    </w:p>
    <w:p w14:paraId="19C25E02" w14:textId="7926521C" w:rsidR="0072689D" w:rsidRDefault="0048172F" w:rsidP="00EB738B">
      <w:pPr>
        <w:pStyle w:val="FigureTitle"/>
      </w:pPr>
      <w:r>
        <w:t>Figure</w:t>
      </w:r>
      <w:r w:rsidR="00EB738B">
        <w:t xml:space="preserve"> </w:t>
      </w:r>
      <w:r w:rsidR="00893203">
        <w:rPr>
          <w:rFonts w:hint="eastAsia"/>
          <w:lang w:eastAsia="zh-CN"/>
        </w:rPr>
        <w:t>6</w:t>
      </w:r>
      <w:r w:rsidR="00EB738B">
        <w:t>:</w:t>
      </w:r>
      <w:r>
        <w:t xml:space="preserve"> Waterfall plot of best percentage change from baseline in SPD of target lesions (IRC, all R/R</w:t>
      </w:r>
      <w:r w:rsidR="002A1313">
        <w:t xml:space="preserve"> MCL, FAS) in ICP-CL-00107</w:t>
      </w:r>
    </w:p>
    <w:p w14:paraId="509D2DEB" w14:textId="46713151" w:rsidR="0072689D" w:rsidRDefault="00EB738B" w:rsidP="0076140A">
      <w:pPr>
        <w:rPr>
          <w:noProof/>
        </w:rPr>
      </w:pPr>
      <w:r w:rsidRPr="00EB738B">
        <w:rPr>
          <w:noProof/>
        </w:rPr>
        <w:drawing>
          <wp:inline distT="0" distB="0" distL="0" distR="0" wp14:anchorId="7F7DD0A1" wp14:editId="151B3877">
            <wp:extent cx="3972479" cy="2133898"/>
            <wp:effectExtent l="0" t="0" r="0" b="0"/>
            <wp:docPr id="135277230" name="Picture 1" descr="Figure 6: Waterfall plot of best percentage change from baseline in SPD of target lesions (IRC, all R/R MCL, FAS) in ICP-CL-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77230" name="Picture 1" descr="Figure 6: Waterfall plot of best percentage change from baseline in SPD of target lesions (IRC, all R/R MCL, FAS) in ICP-CL-00107."/>
                    <pic:cNvPicPr/>
                  </pic:nvPicPr>
                  <pic:blipFill>
                    <a:blip r:embed="rId35"/>
                    <a:stretch>
                      <a:fillRect/>
                    </a:stretch>
                  </pic:blipFill>
                  <pic:spPr>
                    <a:xfrm>
                      <a:off x="0" y="0"/>
                      <a:ext cx="3972479" cy="2133898"/>
                    </a:xfrm>
                    <a:prstGeom prst="rect">
                      <a:avLst/>
                    </a:prstGeom>
                  </pic:spPr>
                </pic:pic>
              </a:graphicData>
            </a:graphic>
          </wp:inline>
        </w:drawing>
      </w:r>
    </w:p>
    <w:p w14:paraId="098C8A72" w14:textId="0838D04D" w:rsidR="0072689D" w:rsidRDefault="00A50919" w:rsidP="00C17D99">
      <w:pPr>
        <w:pStyle w:val="Heading6"/>
      </w:pPr>
      <w:r>
        <w:t xml:space="preserve">Results for </w:t>
      </w:r>
      <w:r w:rsidR="00A3421E">
        <w:t xml:space="preserve">the </w:t>
      </w:r>
      <w:r>
        <w:t>s</w:t>
      </w:r>
      <w:r w:rsidR="0072689D">
        <w:t>econdary</w:t>
      </w:r>
      <w:r w:rsidR="0072689D">
        <w:rPr>
          <w:spacing w:val="-3"/>
        </w:rPr>
        <w:t xml:space="preserve"> </w:t>
      </w:r>
      <w:r w:rsidR="0072689D">
        <w:rPr>
          <w:spacing w:val="-2"/>
        </w:rPr>
        <w:t>endpoints</w:t>
      </w:r>
    </w:p>
    <w:p w14:paraId="27C5F4A5" w14:textId="44D7C727" w:rsidR="003A4EC5" w:rsidRDefault="007B719E" w:rsidP="00A50919">
      <w:r>
        <w:t>Not</w:t>
      </w:r>
      <w:r w:rsidR="0072689D">
        <w:rPr>
          <w:spacing w:val="-3"/>
        </w:rPr>
        <w:t xml:space="preserve"> </w:t>
      </w:r>
      <w:r w:rsidR="0072689D">
        <w:t>all</w:t>
      </w:r>
      <w:r w:rsidR="0072689D">
        <w:rPr>
          <w:spacing w:val="-6"/>
        </w:rPr>
        <w:t xml:space="preserve"> </w:t>
      </w:r>
      <w:r w:rsidR="0072689D">
        <w:t>secondary</w:t>
      </w:r>
      <w:r w:rsidR="0072689D">
        <w:rPr>
          <w:spacing w:val="-5"/>
        </w:rPr>
        <w:t xml:space="preserve"> </w:t>
      </w:r>
      <w:r w:rsidR="0072689D">
        <w:t>efficacy</w:t>
      </w:r>
      <w:r w:rsidR="0072689D">
        <w:rPr>
          <w:spacing w:val="-7"/>
        </w:rPr>
        <w:t xml:space="preserve"> </w:t>
      </w:r>
      <w:r w:rsidR="0072689D">
        <w:t>outcomes</w:t>
      </w:r>
      <w:r w:rsidR="0072689D">
        <w:rPr>
          <w:spacing w:val="-2"/>
        </w:rPr>
        <w:t xml:space="preserve"> </w:t>
      </w:r>
      <w:r w:rsidR="0072689D">
        <w:t>were</w:t>
      </w:r>
      <w:r w:rsidR="0072689D">
        <w:rPr>
          <w:spacing w:val="-3"/>
        </w:rPr>
        <w:t xml:space="preserve"> </w:t>
      </w:r>
      <w:r w:rsidR="0072689D">
        <w:t>predefined</w:t>
      </w:r>
      <w:r w:rsidR="0072689D">
        <w:rPr>
          <w:spacing w:val="-4"/>
        </w:rPr>
        <w:t xml:space="preserve"> </w:t>
      </w:r>
      <w:r w:rsidR="0072689D">
        <w:t>in</w:t>
      </w:r>
      <w:r w:rsidR="0072689D">
        <w:rPr>
          <w:spacing w:val="-4"/>
        </w:rPr>
        <w:t xml:space="preserve"> </w:t>
      </w:r>
      <w:r w:rsidR="0072689D">
        <w:t>the</w:t>
      </w:r>
      <w:r w:rsidR="0072689D">
        <w:rPr>
          <w:spacing w:val="-3"/>
        </w:rPr>
        <w:t xml:space="preserve"> </w:t>
      </w:r>
      <w:r w:rsidR="0072689D">
        <w:t>analysis</w:t>
      </w:r>
      <w:r w:rsidR="0072689D">
        <w:rPr>
          <w:spacing w:val="-2"/>
        </w:rPr>
        <w:t xml:space="preserve"> </w:t>
      </w:r>
      <w:r w:rsidR="0072689D">
        <w:t xml:space="preserve">plan. </w:t>
      </w:r>
    </w:p>
    <w:p w14:paraId="6DF1F4BA" w14:textId="195AEC7E" w:rsidR="00FA7062" w:rsidRDefault="00FA7062" w:rsidP="00A50919">
      <w:r>
        <w:t>DCR and CRR by IDC:</w:t>
      </w:r>
    </w:p>
    <w:p w14:paraId="002AE162" w14:textId="053EE349" w:rsidR="00545000" w:rsidRPr="00545000" w:rsidRDefault="0072689D">
      <w:pPr>
        <w:pStyle w:val="ListBullet"/>
      </w:pPr>
      <w:r>
        <w:t xml:space="preserve">DCR was </w:t>
      </w:r>
      <w:r w:rsidRPr="007901BB">
        <w:rPr>
          <w:bCs/>
        </w:rPr>
        <w:t>97.7% (87.71, 99.94)</w:t>
      </w:r>
      <w:r w:rsidR="00E96400">
        <w:rPr>
          <w:bCs/>
        </w:rPr>
        <w:t>.</w:t>
      </w:r>
    </w:p>
    <w:p w14:paraId="16361229" w14:textId="60E65A81" w:rsidR="0072689D" w:rsidRDefault="0072689D">
      <w:pPr>
        <w:pStyle w:val="ListBullet"/>
      </w:pPr>
      <w:r>
        <w:t>CRR was 39.5%.</w:t>
      </w:r>
    </w:p>
    <w:p w14:paraId="3A43E048" w14:textId="13273ED0" w:rsidR="00FA7062" w:rsidRDefault="0072689D" w:rsidP="00A50919">
      <w:r>
        <w:t xml:space="preserve">ORR, DCR and CRR by </w:t>
      </w:r>
      <w:r w:rsidR="00FA7062">
        <w:t>I</w:t>
      </w:r>
      <w:r>
        <w:t>nvestigator</w:t>
      </w:r>
      <w:r w:rsidR="00FA7062">
        <w:t>:</w:t>
      </w:r>
    </w:p>
    <w:p w14:paraId="33636EA9" w14:textId="44754803" w:rsidR="0072689D" w:rsidRDefault="0072689D" w:rsidP="00E96400">
      <w:pPr>
        <w:pStyle w:val="ListBullet"/>
      </w:pPr>
      <w:r>
        <w:t>ORR and DCR followed</w:t>
      </w:r>
      <w:r>
        <w:rPr>
          <w:spacing w:val="-3"/>
        </w:rPr>
        <w:t xml:space="preserve"> </w:t>
      </w:r>
      <w:r>
        <w:t>a</w:t>
      </w:r>
      <w:r>
        <w:rPr>
          <w:spacing w:val="-2"/>
        </w:rPr>
        <w:t xml:space="preserve"> </w:t>
      </w:r>
      <w:r>
        <w:t>similar</w:t>
      </w:r>
      <w:r>
        <w:rPr>
          <w:spacing w:val="-2"/>
        </w:rPr>
        <w:t xml:space="preserve"> </w:t>
      </w:r>
      <w:r>
        <w:t>pattern</w:t>
      </w:r>
      <w:r>
        <w:rPr>
          <w:spacing w:val="-5"/>
        </w:rPr>
        <w:t xml:space="preserve"> </w:t>
      </w:r>
      <w:r>
        <w:t>to</w:t>
      </w:r>
      <w:r>
        <w:rPr>
          <w:spacing w:val="-2"/>
        </w:rPr>
        <w:t xml:space="preserve"> </w:t>
      </w:r>
      <w:r>
        <w:t>IRC</w:t>
      </w:r>
      <w:r>
        <w:rPr>
          <w:spacing w:val="-2"/>
        </w:rPr>
        <w:t xml:space="preserve"> </w:t>
      </w:r>
      <w:r>
        <w:t>assessment</w:t>
      </w:r>
      <w:r>
        <w:rPr>
          <w:spacing w:val="-3"/>
        </w:rPr>
        <w:t xml:space="preserve"> </w:t>
      </w:r>
      <w:r>
        <w:t>but</w:t>
      </w:r>
      <w:r>
        <w:rPr>
          <w:spacing w:val="-2"/>
        </w:rPr>
        <w:t xml:space="preserve"> </w:t>
      </w:r>
      <w:r>
        <w:t>were</w:t>
      </w:r>
      <w:r>
        <w:rPr>
          <w:spacing w:val="-2"/>
        </w:rPr>
        <w:t xml:space="preserve"> </w:t>
      </w:r>
      <w:r>
        <w:t>slightly</w:t>
      </w:r>
      <w:r>
        <w:rPr>
          <w:spacing w:val="-3"/>
        </w:rPr>
        <w:t xml:space="preserve"> </w:t>
      </w:r>
      <w:r>
        <w:t>higher</w:t>
      </w:r>
      <w:r>
        <w:rPr>
          <w:spacing w:val="-2"/>
        </w:rPr>
        <w:t xml:space="preserve"> </w:t>
      </w:r>
      <w:r>
        <w:t>total</w:t>
      </w:r>
      <w:r>
        <w:rPr>
          <w:spacing w:val="-2"/>
        </w:rPr>
        <w:t xml:space="preserve"> </w:t>
      </w:r>
      <w:r>
        <w:t>percentages</w:t>
      </w:r>
      <w:r>
        <w:rPr>
          <w:spacing w:val="-1"/>
        </w:rPr>
        <w:t xml:space="preserve"> </w:t>
      </w:r>
      <w:r w:rsidRPr="00A50919">
        <w:t>(88.4% and 100% respectively)</w:t>
      </w:r>
      <w:r w:rsidR="0013592E">
        <w:t>.</w:t>
      </w:r>
    </w:p>
    <w:p w14:paraId="33C4B95C" w14:textId="77777777" w:rsidR="0013592E" w:rsidRDefault="0013592E" w:rsidP="0013592E">
      <w:pPr>
        <w:pStyle w:val="ListBullet"/>
      </w:pPr>
      <w:r>
        <w:t xml:space="preserve">CRR was the same as by IRC assessment. </w:t>
      </w:r>
    </w:p>
    <w:p w14:paraId="06537704" w14:textId="2133CCE4" w:rsidR="00124B7D" w:rsidRDefault="0072689D" w:rsidP="00A50919">
      <w:r>
        <w:t xml:space="preserve">DOR: </w:t>
      </w:r>
    </w:p>
    <w:p w14:paraId="1FEC1FBE" w14:textId="77777777" w:rsidR="00E655F7" w:rsidRDefault="0072689D" w:rsidP="00124B7D">
      <w:pPr>
        <w:pStyle w:val="ListBullet"/>
      </w:pPr>
      <w:r>
        <w:t xml:space="preserve">The median DOR was </w:t>
      </w:r>
      <w:r w:rsidR="00971FA7">
        <w:t>not reached (</w:t>
      </w:r>
      <w:r>
        <w:t>NR</w:t>
      </w:r>
      <w:r w:rsidR="00971FA7">
        <w:t>)</w:t>
      </w:r>
      <w:r>
        <w:t xml:space="preserve"> in the R/R MCL (FAS) subjects in either the IRC or </w:t>
      </w:r>
      <w:r w:rsidR="00971FA7">
        <w:t>I</w:t>
      </w:r>
      <w:r>
        <w:t>nvestigator assessed groups (</w:t>
      </w:r>
      <w:r w:rsidRPr="00A50919">
        <w:rPr>
          <w:bCs/>
        </w:rPr>
        <w:t>NR (13.832, NR) and NR (12.123, NR)</w:t>
      </w:r>
      <w:r>
        <w:t xml:space="preserve"> respectively). </w:t>
      </w:r>
    </w:p>
    <w:p w14:paraId="1E9E7CBA" w14:textId="77777777" w:rsidR="00E655F7" w:rsidRPr="00E655F7" w:rsidRDefault="0072689D" w:rsidP="00124B7D">
      <w:pPr>
        <w:pStyle w:val="ListBullet"/>
      </w:pPr>
      <w:r>
        <w:lastRenderedPageBreak/>
        <w:t>The DOR rates at 6- and 24-</w:t>
      </w:r>
      <w:r>
        <w:rPr>
          <w:spacing w:val="-4"/>
        </w:rPr>
        <w:t xml:space="preserve"> </w:t>
      </w:r>
      <w:r>
        <w:t>months</w:t>
      </w:r>
      <w:r>
        <w:rPr>
          <w:spacing w:val="-1"/>
        </w:rPr>
        <w:t xml:space="preserve"> </w:t>
      </w:r>
      <w:r>
        <w:t>were</w:t>
      </w:r>
      <w:r>
        <w:rPr>
          <w:spacing w:val="-2"/>
        </w:rPr>
        <w:t xml:space="preserve"> </w:t>
      </w:r>
      <w:r>
        <w:t>88</w:t>
      </w:r>
      <w:r>
        <w:rPr>
          <w:spacing w:val="-2"/>
        </w:rPr>
        <w:t xml:space="preserve"> </w:t>
      </w:r>
      <w:r>
        <w:t>%</w:t>
      </w:r>
      <w:r>
        <w:rPr>
          <w:spacing w:val="-3"/>
        </w:rPr>
        <w:t xml:space="preserve"> </w:t>
      </w:r>
      <w:r>
        <w:t>(71.02,</w:t>
      </w:r>
      <w:r>
        <w:rPr>
          <w:spacing w:val="-2"/>
        </w:rPr>
        <w:t xml:space="preserve"> </w:t>
      </w:r>
      <w:r>
        <w:t>95.30)</w:t>
      </w:r>
      <w:r>
        <w:rPr>
          <w:spacing w:val="-2"/>
        </w:rPr>
        <w:t xml:space="preserve"> </w:t>
      </w:r>
      <w:r>
        <w:t>and</w:t>
      </w:r>
      <w:r>
        <w:rPr>
          <w:spacing w:val="-4"/>
        </w:rPr>
        <w:t xml:space="preserve"> </w:t>
      </w:r>
      <w:r w:rsidRPr="00A50919">
        <w:rPr>
          <w:bCs/>
        </w:rPr>
        <w:t>70.1%</w:t>
      </w:r>
      <w:r w:rsidRPr="00A50919">
        <w:rPr>
          <w:bCs/>
          <w:spacing w:val="-5"/>
        </w:rPr>
        <w:t xml:space="preserve"> </w:t>
      </w:r>
      <w:r w:rsidRPr="00A50919">
        <w:rPr>
          <w:bCs/>
        </w:rPr>
        <w:t>(49.74,</w:t>
      </w:r>
      <w:r w:rsidRPr="00A50919">
        <w:rPr>
          <w:bCs/>
          <w:spacing w:val="-3"/>
        </w:rPr>
        <w:t xml:space="preserve"> </w:t>
      </w:r>
      <w:r w:rsidRPr="00A50919">
        <w:rPr>
          <w:bCs/>
        </w:rPr>
        <w:t>83.42</w:t>
      </w:r>
      <w:r>
        <w:rPr>
          <w:b/>
        </w:rPr>
        <w:t xml:space="preserve">) </w:t>
      </w:r>
      <w:r>
        <w:t>respectively.</w:t>
      </w:r>
      <w:r>
        <w:rPr>
          <w:spacing w:val="-2"/>
        </w:rPr>
        <w:t xml:space="preserve"> </w:t>
      </w:r>
    </w:p>
    <w:p w14:paraId="089912FA" w14:textId="408A8F0B" w:rsidR="0072689D" w:rsidRDefault="0072689D" w:rsidP="00124B7D">
      <w:pPr>
        <w:pStyle w:val="ListBullet"/>
      </w:pPr>
      <w:r>
        <w:t>The</w:t>
      </w:r>
      <w:r>
        <w:rPr>
          <w:spacing w:val="-2"/>
        </w:rPr>
        <w:t xml:space="preserve"> </w:t>
      </w:r>
      <w:r>
        <w:t>DOR</w:t>
      </w:r>
      <w:r>
        <w:rPr>
          <w:spacing w:val="-3"/>
        </w:rPr>
        <w:t xml:space="preserve"> </w:t>
      </w:r>
      <w:r>
        <w:t>rates</w:t>
      </w:r>
      <w:r>
        <w:rPr>
          <w:spacing w:val="-1"/>
        </w:rPr>
        <w:t xml:space="preserve"> </w:t>
      </w:r>
      <w:r>
        <w:t>by investigator assessment were similar to the IRC assessed rates (&lt;5% difference).</w:t>
      </w:r>
    </w:p>
    <w:p w14:paraId="2128C0B6" w14:textId="1AB8048C" w:rsidR="0072689D" w:rsidRDefault="0072689D" w:rsidP="00A50919">
      <w:r>
        <w:t>As per regulatory guidelines</w:t>
      </w:r>
      <w:r w:rsidR="00A50919">
        <w:t>,</w:t>
      </w:r>
      <w:r>
        <w:t xml:space="preserve"> time-to-event</w:t>
      </w:r>
      <w:r>
        <w:rPr>
          <w:spacing w:val="-3"/>
        </w:rPr>
        <w:t xml:space="preserve"> </w:t>
      </w:r>
      <w:r>
        <w:t>endpoints,</w:t>
      </w:r>
      <w:r>
        <w:rPr>
          <w:spacing w:val="-2"/>
        </w:rPr>
        <w:t xml:space="preserve"> </w:t>
      </w:r>
      <w:r>
        <w:t>such</w:t>
      </w:r>
      <w:r w:rsidR="00E655F7">
        <w:t xml:space="preserve"> as</w:t>
      </w:r>
      <w:r>
        <w:rPr>
          <w:spacing w:val="-5"/>
        </w:rPr>
        <w:t xml:space="preserve"> </w:t>
      </w:r>
      <w:r>
        <w:t>PFS</w:t>
      </w:r>
      <w:r>
        <w:rPr>
          <w:spacing w:val="-2"/>
        </w:rPr>
        <w:t xml:space="preserve"> </w:t>
      </w:r>
      <w:r>
        <w:t>and</w:t>
      </w:r>
      <w:r>
        <w:rPr>
          <w:spacing w:val="-3"/>
        </w:rPr>
        <w:t xml:space="preserve"> </w:t>
      </w:r>
      <w:r>
        <w:t>OS,</w:t>
      </w:r>
      <w:r>
        <w:rPr>
          <w:spacing w:val="-2"/>
        </w:rPr>
        <w:t xml:space="preserve"> </w:t>
      </w:r>
      <w:r>
        <w:t>are</w:t>
      </w:r>
      <w:r>
        <w:rPr>
          <w:spacing w:val="-2"/>
        </w:rPr>
        <w:t xml:space="preserve"> </w:t>
      </w:r>
      <w:r>
        <w:t>difficult</w:t>
      </w:r>
      <w:r>
        <w:rPr>
          <w:spacing w:val="-3"/>
        </w:rPr>
        <w:t xml:space="preserve"> </w:t>
      </w:r>
      <w:r>
        <w:t>to</w:t>
      </w:r>
      <w:r>
        <w:rPr>
          <w:spacing w:val="-2"/>
        </w:rPr>
        <w:t xml:space="preserve"> </w:t>
      </w:r>
      <w:r>
        <w:t>interpret</w:t>
      </w:r>
      <w:r>
        <w:rPr>
          <w:spacing w:val="-5"/>
        </w:rPr>
        <w:t xml:space="preserve"> </w:t>
      </w:r>
      <w:r>
        <w:t>in</w:t>
      </w:r>
      <w:r>
        <w:rPr>
          <w:spacing w:val="-3"/>
        </w:rPr>
        <w:t xml:space="preserve"> </w:t>
      </w:r>
      <w:r>
        <w:t>single</w:t>
      </w:r>
      <w:r>
        <w:rPr>
          <w:spacing w:val="-2"/>
        </w:rPr>
        <w:t xml:space="preserve"> </w:t>
      </w:r>
      <w:r>
        <w:t>arm</w:t>
      </w:r>
      <w:r>
        <w:rPr>
          <w:spacing w:val="-1"/>
        </w:rPr>
        <w:t xml:space="preserve"> </w:t>
      </w:r>
      <w:r>
        <w:t>trials,</w:t>
      </w:r>
      <w:r>
        <w:rPr>
          <w:spacing w:val="-2"/>
        </w:rPr>
        <w:t xml:space="preserve"> </w:t>
      </w:r>
      <w:r>
        <w:t>given</w:t>
      </w:r>
      <w:r>
        <w:rPr>
          <w:spacing w:val="-3"/>
        </w:rPr>
        <w:t xml:space="preserve"> </w:t>
      </w:r>
      <w:r>
        <w:t>the</w:t>
      </w:r>
      <w:r>
        <w:rPr>
          <w:spacing w:val="-2"/>
        </w:rPr>
        <w:t xml:space="preserve"> </w:t>
      </w:r>
      <w:r>
        <w:t>lack of internal contemporaneous controls. The results for PFS and OS have not been used for regulatory decision-making in this submission.</w:t>
      </w:r>
    </w:p>
    <w:p w14:paraId="3375CFC6" w14:textId="2440A4EE" w:rsidR="0072689D" w:rsidRDefault="008D5572" w:rsidP="003C5DBD">
      <w:r>
        <w:t xml:space="preserve">The following </w:t>
      </w:r>
      <w:r w:rsidR="00A33AF6">
        <w:t xml:space="preserve">comments on evaluation of </w:t>
      </w:r>
      <w:r w:rsidR="003C5DBD" w:rsidRPr="007B719E">
        <w:t>ICP-CL-00107</w:t>
      </w:r>
      <w:r w:rsidR="00A33AF6">
        <w:t xml:space="preserve"> were </w:t>
      </w:r>
      <w:r w:rsidR="00935905">
        <w:t>noted</w:t>
      </w:r>
      <w:r w:rsidR="003C5DBD" w:rsidRPr="007B719E">
        <w:t>:</w:t>
      </w:r>
    </w:p>
    <w:p w14:paraId="191AECDB" w14:textId="731F0E70" w:rsidR="0072689D" w:rsidRDefault="00A33AF6" w:rsidP="003C5DBD">
      <w:pPr>
        <w:pStyle w:val="ListBullet"/>
      </w:pPr>
      <w:r>
        <w:t>As</w:t>
      </w:r>
      <w:r w:rsidR="00370D44">
        <w:t xml:space="preserve"> noted previously (on page 30), w</w:t>
      </w:r>
      <w:r w:rsidR="0072689D">
        <w:t>hile</w:t>
      </w:r>
      <w:r w:rsidR="0072689D">
        <w:rPr>
          <w:spacing w:val="-3"/>
        </w:rPr>
        <w:t xml:space="preserve"> </w:t>
      </w:r>
      <w:r w:rsidR="0072689D">
        <w:t>the</w:t>
      </w:r>
      <w:r w:rsidR="0072689D">
        <w:rPr>
          <w:spacing w:val="-2"/>
        </w:rPr>
        <w:t xml:space="preserve"> </w:t>
      </w:r>
      <w:r w:rsidR="0072689D">
        <w:t>baseline</w:t>
      </w:r>
      <w:r w:rsidR="0072689D">
        <w:rPr>
          <w:spacing w:val="-2"/>
        </w:rPr>
        <w:t xml:space="preserve"> </w:t>
      </w:r>
      <w:r w:rsidR="0072689D">
        <w:t>and</w:t>
      </w:r>
      <w:r w:rsidR="0072689D">
        <w:rPr>
          <w:spacing w:val="-3"/>
        </w:rPr>
        <w:t xml:space="preserve"> </w:t>
      </w:r>
      <w:r w:rsidR="0072689D">
        <w:t>disease</w:t>
      </w:r>
      <w:r w:rsidR="0072689D">
        <w:rPr>
          <w:spacing w:val="-2"/>
        </w:rPr>
        <w:t xml:space="preserve"> </w:t>
      </w:r>
      <w:r w:rsidR="0072689D">
        <w:t>characteristics</w:t>
      </w:r>
      <w:r w:rsidR="0072689D">
        <w:rPr>
          <w:spacing w:val="-1"/>
        </w:rPr>
        <w:t xml:space="preserve"> </w:t>
      </w:r>
      <w:r w:rsidR="0072689D">
        <w:t>are</w:t>
      </w:r>
      <w:r w:rsidR="0072689D">
        <w:rPr>
          <w:spacing w:val="-2"/>
        </w:rPr>
        <w:t xml:space="preserve"> </w:t>
      </w:r>
      <w:r w:rsidR="0072689D">
        <w:t>similar</w:t>
      </w:r>
      <w:r w:rsidR="0072689D">
        <w:rPr>
          <w:spacing w:val="-2"/>
        </w:rPr>
        <w:t xml:space="preserve"> </w:t>
      </w:r>
      <w:r w:rsidR="0072689D">
        <w:t>to</w:t>
      </w:r>
      <w:r w:rsidR="0072689D">
        <w:rPr>
          <w:spacing w:val="-3"/>
        </w:rPr>
        <w:t xml:space="preserve"> </w:t>
      </w:r>
      <w:r w:rsidR="0072689D">
        <w:t>ICP-CL-00102</w:t>
      </w:r>
      <w:r w:rsidR="0072689D">
        <w:rPr>
          <w:spacing w:val="-2"/>
        </w:rPr>
        <w:t xml:space="preserve"> </w:t>
      </w:r>
      <w:r w:rsidR="0072689D">
        <w:t>(apart</w:t>
      </w:r>
      <w:r w:rsidR="0072689D">
        <w:rPr>
          <w:spacing w:val="-3"/>
        </w:rPr>
        <w:t xml:space="preserve"> </w:t>
      </w:r>
      <w:r w:rsidR="0072689D">
        <w:t>from this being a Caucasian population), the previous treatment characteristics display a higher variation, including a higher number of patients having previous HSCT either indicating higher risk disease (not reflected in the baseline disease characteristics), more</w:t>
      </w:r>
      <w:r w:rsidR="0072689D">
        <w:rPr>
          <w:spacing w:val="-6"/>
        </w:rPr>
        <w:t xml:space="preserve"> </w:t>
      </w:r>
      <w:r w:rsidR="0072689D">
        <w:t>heavily</w:t>
      </w:r>
      <w:r w:rsidR="0072689D">
        <w:rPr>
          <w:spacing w:val="-4"/>
        </w:rPr>
        <w:t xml:space="preserve"> </w:t>
      </w:r>
      <w:r w:rsidR="0072689D">
        <w:t>pretreated</w:t>
      </w:r>
      <w:r w:rsidR="0072689D">
        <w:rPr>
          <w:spacing w:val="-4"/>
        </w:rPr>
        <w:t xml:space="preserve"> </w:t>
      </w:r>
      <w:r w:rsidR="0072689D">
        <w:t>patients</w:t>
      </w:r>
      <w:r w:rsidR="0072689D">
        <w:rPr>
          <w:spacing w:val="-2"/>
        </w:rPr>
        <w:t xml:space="preserve"> </w:t>
      </w:r>
      <w:r w:rsidR="0072689D">
        <w:t>(not</w:t>
      </w:r>
      <w:r w:rsidR="0072689D">
        <w:rPr>
          <w:spacing w:val="-3"/>
        </w:rPr>
        <w:t xml:space="preserve"> </w:t>
      </w:r>
      <w:r w:rsidR="0072689D">
        <w:t>reflected</w:t>
      </w:r>
      <w:r w:rsidR="0072689D">
        <w:rPr>
          <w:spacing w:val="-6"/>
        </w:rPr>
        <w:t xml:space="preserve"> </w:t>
      </w:r>
      <w:r w:rsidR="0072689D">
        <w:t>in</w:t>
      </w:r>
      <w:r w:rsidR="0072689D">
        <w:rPr>
          <w:spacing w:val="-4"/>
        </w:rPr>
        <w:t xml:space="preserve"> </w:t>
      </w:r>
      <w:r w:rsidR="0072689D">
        <w:t>median</w:t>
      </w:r>
      <w:r w:rsidR="0072689D">
        <w:rPr>
          <w:spacing w:val="-4"/>
        </w:rPr>
        <w:t xml:space="preserve"> </w:t>
      </w:r>
      <w:r w:rsidR="0072689D">
        <w:t>lines</w:t>
      </w:r>
      <w:r w:rsidR="0072689D">
        <w:rPr>
          <w:spacing w:val="-2"/>
        </w:rPr>
        <w:t xml:space="preserve"> </w:t>
      </w:r>
      <w:r w:rsidR="0072689D">
        <w:t>of</w:t>
      </w:r>
      <w:r w:rsidR="0072689D">
        <w:rPr>
          <w:spacing w:val="-3"/>
        </w:rPr>
        <w:t xml:space="preserve"> </w:t>
      </w:r>
      <w:r w:rsidR="0072689D">
        <w:t>previous</w:t>
      </w:r>
      <w:r w:rsidR="0072689D">
        <w:rPr>
          <w:spacing w:val="-2"/>
        </w:rPr>
        <w:t xml:space="preserve"> </w:t>
      </w:r>
      <w:r w:rsidR="0072689D">
        <w:t>therapy)</w:t>
      </w:r>
      <w:r w:rsidR="0072689D">
        <w:rPr>
          <w:spacing w:val="-4"/>
        </w:rPr>
        <w:t xml:space="preserve"> </w:t>
      </w:r>
      <w:r w:rsidR="0072689D">
        <w:t xml:space="preserve">or more aggressive treatment practices/different treatment paradigm in the study </w:t>
      </w:r>
      <w:r w:rsidR="0072689D">
        <w:rPr>
          <w:spacing w:val="-2"/>
        </w:rPr>
        <w:t>locations.</w:t>
      </w:r>
    </w:p>
    <w:p w14:paraId="6A160103" w14:textId="5D6ABEDE" w:rsidR="0072689D" w:rsidRDefault="0072689D">
      <w:pPr>
        <w:pStyle w:val="ListBullet"/>
      </w:pPr>
      <w:r>
        <w:t>The evaluation focussed on the efficacy results in the R/R MCL FAS population and by IRC.</w:t>
      </w:r>
      <w:r w:rsidRPr="00E64337">
        <w:rPr>
          <w:spacing w:val="-2"/>
        </w:rPr>
        <w:t xml:space="preserve"> </w:t>
      </w:r>
      <w:r>
        <w:t>The</w:t>
      </w:r>
      <w:r w:rsidRPr="00E64337">
        <w:rPr>
          <w:spacing w:val="-2"/>
        </w:rPr>
        <w:t xml:space="preserve"> </w:t>
      </w:r>
      <w:r>
        <w:t>ORR</w:t>
      </w:r>
      <w:r w:rsidRPr="00E64337">
        <w:rPr>
          <w:spacing w:val="-3"/>
        </w:rPr>
        <w:t xml:space="preserve"> </w:t>
      </w:r>
      <w:r>
        <w:t>by</w:t>
      </w:r>
      <w:r w:rsidRPr="00E64337">
        <w:rPr>
          <w:spacing w:val="-3"/>
        </w:rPr>
        <w:t xml:space="preserve"> </w:t>
      </w:r>
      <w:r>
        <w:t>IRC</w:t>
      </w:r>
      <w:r w:rsidRPr="00E64337">
        <w:rPr>
          <w:spacing w:val="-2"/>
        </w:rPr>
        <w:t xml:space="preserve"> </w:t>
      </w:r>
      <w:r>
        <w:t>(FAS-</w:t>
      </w:r>
      <w:r w:rsidRPr="00E64337">
        <w:rPr>
          <w:spacing w:val="-2"/>
        </w:rPr>
        <w:t xml:space="preserve"> </w:t>
      </w:r>
      <w:r>
        <w:t>R/R</w:t>
      </w:r>
      <w:r w:rsidRPr="00E64337">
        <w:rPr>
          <w:spacing w:val="-3"/>
        </w:rPr>
        <w:t xml:space="preserve"> </w:t>
      </w:r>
      <w:r>
        <w:t>MCL,</w:t>
      </w:r>
      <w:r w:rsidRPr="00E64337">
        <w:rPr>
          <w:spacing w:val="-2"/>
        </w:rPr>
        <w:t xml:space="preserve"> </w:t>
      </w:r>
      <w:r>
        <w:t>primary</w:t>
      </w:r>
      <w:r w:rsidRPr="00E64337">
        <w:rPr>
          <w:spacing w:val="-3"/>
        </w:rPr>
        <w:t xml:space="preserve"> </w:t>
      </w:r>
      <w:r>
        <w:t>efficacy</w:t>
      </w:r>
      <w:r w:rsidRPr="00E64337">
        <w:rPr>
          <w:spacing w:val="-3"/>
        </w:rPr>
        <w:t xml:space="preserve"> </w:t>
      </w:r>
      <w:r>
        <w:t>endpoint</w:t>
      </w:r>
      <w:r w:rsidRPr="00E64337">
        <w:rPr>
          <w:spacing w:val="-6"/>
        </w:rPr>
        <w:t xml:space="preserve"> </w:t>
      </w:r>
      <w:r>
        <w:t>in</w:t>
      </w:r>
      <w:r w:rsidRPr="00E64337">
        <w:rPr>
          <w:spacing w:val="-3"/>
        </w:rPr>
        <w:t xml:space="preserve"> </w:t>
      </w:r>
      <w:r>
        <w:t>expansion)</w:t>
      </w:r>
      <w:r w:rsidRPr="00E64337">
        <w:rPr>
          <w:spacing w:val="-5"/>
        </w:rPr>
        <w:t xml:space="preserve"> </w:t>
      </w:r>
      <w:r>
        <w:t>was</w:t>
      </w:r>
      <w:r w:rsidRPr="00E64337">
        <w:rPr>
          <w:spacing w:val="-1"/>
        </w:rPr>
        <w:t xml:space="preserve"> </w:t>
      </w:r>
      <w:r>
        <w:t>83.7% (69.30, 93.19), the overall trend of the subgroup analysis (secondary or exploratory endpoint) reflecting these results. The DCR was 97.7% (87.71, 99.94) with a CRR of 39.5%. The concordance between IRC and investigator assessment was high (90.7%, 39/43). Time-to-event data analysis was limited by small numbers of events, as with</w:t>
      </w:r>
      <w:r w:rsidR="00E64337">
        <w:t xml:space="preserve"> </w:t>
      </w:r>
      <w:r>
        <w:t>ICP-CL-00102. The median DOR was NR in the R/R MCL (FAS) subjects in the IRC assessed</w:t>
      </w:r>
      <w:r w:rsidRPr="00E64337">
        <w:rPr>
          <w:spacing w:val="-5"/>
        </w:rPr>
        <w:t xml:space="preserve"> </w:t>
      </w:r>
      <w:r>
        <w:t>groups</w:t>
      </w:r>
      <w:r w:rsidRPr="00E64337">
        <w:rPr>
          <w:spacing w:val="-2"/>
        </w:rPr>
        <w:t xml:space="preserve"> </w:t>
      </w:r>
      <w:r>
        <w:t>(NR</w:t>
      </w:r>
      <w:r w:rsidRPr="00E64337">
        <w:rPr>
          <w:spacing w:val="-3"/>
        </w:rPr>
        <w:t xml:space="preserve"> </w:t>
      </w:r>
      <w:r>
        <w:t>(13.832,</w:t>
      </w:r>
      <w:r w:rsidRPr="00E64337">
        <w:rPr>
          <w:spacing w:val="-2"/>
        </w:rPr>
        <w:t xml:space="preserve"> </w:t>
      </w:r>
      <w:r>
        <w:t>NR).</w:t>
      </w:r>
      <w:r w:rsidRPr="00E64337">
        <w:rPr>
          <w:spacing w:val="-2"/>
        </w:rPr>
        <w:t xml:space="preserve"> </w:t>
      </w:r>
      <w:r>
        <w:t>Median</w:t>
      </w:r>
      <w:r w:rsidRPr="00E64337">
        <w:rPr>
          <w:spacing w:val="-3"/>
        </w:rPr>
        <w:t xml:space="preserve"> </w:t>
      </w:r>
      <w:r>
        <w:t>TTR</w:t>
      </w:r>
      <w:r w:rsidRPr="00E64337">
        <w:rPr>
          <w:spacing w:val="-3"/>
        </w:rPr>
        <w:t xml:space="preserve"> </w:t>
      </w:r>
      <w:r>
        <w:t>was</w:t>
      </w:r>
      <w:r w:rsidRPr="00E64337">
        <w:rPr>
          <w:spacing w:val="-2"/>
        </w:rPr>
        <w:t xml:space="preserve"> </w:t>
      </w:r>
      <w:r>
        <w:t>2.79</w:t>
      </w:r>
      <w:r w:rsidRPr="00E64337">
        <w:rPr>
          <w:spacing w:val="-2"/>
        </w:rPr>
        <w:t xml:space="preserve"> </w:t>
      </w:r>
      <w:r>
        <w:t>(2.793,</w:t>
      </w:r>
      <w:r w:rsidRPr="00E64337">
        <w:rPr>
          <w:spacing w:val="-2"/>
        </w:rPr>
        <w:t xml:space="preserve"> </w:t>
      </w:r>
      <w:r>
        <w:t>2.825).</w:t>
      </w:r>
      <w:r w:rsidRPr="00E64337">
        <w:rPr>
          <w:spacing w:val="-2"/>
        </w:rPr>
        <w:t xml:space="preserve"> </w:t>
      </w:r>
      <w:r>
        <w:t>The</w:t>
      </w:r>
      <w:r w:rsidRPr="00E64337">
        <w:rPr>
          <w:spacing w:val="-5"/>
        </w:rPr>
        <w:t xml:space="preserve"> </w:t>
      </w:r>
      <w:r>
        <w:t>median</w:t>
      </w:r>
      <w:r w:rsidRPr="00E64337">
        <w:rPr>
          <w:spacing w:val="-3"/>
        </w:rPr>
        <w:t xml:space="preserve"> </w:t>
      </w:r>
      <w:r>
        <w:t xml:space="preserve">PFS was NR (16.591, NR) and OS was NR (42.251, NR) in the FAS R/R MCL IRC assessed population. The 24-month PFS rate was &gt;60% (IRC) and the 24-month OS rate was </w:t>
      </w:r>
      <w:r w:rsidRPr="004D2F11">
        <w:t>high (73.8% (53.80, 86.15)).</w:t>
      </w:r>
      <w:r>
        <w:t xml:space="preserve"> The median change from baseline in SPD was -84%.</w:t>
      </w:r>
    </w:p>
    <w:p w14:paraId="6931C307" w14:textId="37BC7AED" w:rsidR="0072689D" w:rsidRDefault="0072689D" w:rsidP="003C5DBD">
      <w:pPr>
        <w:pStyle w:val="ListBullet"/>
      </w:pPr>
      <w:r>
        <w:t>Th</w:t>
      </w:r>
      <w:r w:rsidR="00921CA4">
        <w:t>e</w:t>
      </w:r>
      <w:r>
        <w:t xml:space="preserve"> study analysis population was approximately half the size of ICP-CL-00102 in a Caucasian population. The results of the efficacy analysis are very similar to those in ICP-CL-00102.</w:t>
      </w:r>
      <w:r>
        <w:rPr>
          <w:spacing w:val="-2"/>
        </w:rPr>
        <w:t xml:space="preserve"> </w:t>
      </w:r>
      <w:r>
        <w:t>However,</w:t>
      </w:r>
      <w:r>
        <w:rPr>
          <w:spacing w:val="-2"/>
        </w:rPr>
        <w:t xml:space="preserve"> </w:t>
      </w:r>
      <w:r>
        <w:t>the</w:t>
      </w:r>
      <w:r>
        <w:rPr>
          <w:spacing w:val="-2"/>
        </w:rPr>
        <w:t xml:space="preserve"> </w:t>
      </w:r>
      <w:r>
        <w:t>median</w:t>
      </w:r>
      <w:r>
        <w:rPr>
          <w:spacing w:val="-3"/>
        </w:rPr>
        <w:t xml:space="preserve"> </w:t>
      </w:r>
      <w:r>
        <w:t>follow</w:t>
      </w:r>
      <w:r>
        <w:rPr>
          <w:spacing w:val="-3"/>
        </w:rPr>
        <w:t xml:space="preserve"> </w:t>
      </w:r>
      <w:r>
        <w:t>up</w:t>
      </w:r>
      <w:r>
        <w:rPr>
          <w:spacing w:val="-2"/>
        </w:rPr>
        <w:t xml:space="preserve"> </w:t>
      </w:r>
      <w:r>
        <w:t>was</w:t>
      </w:r>
      <w:r>
        <w:rPr>
          <w:spacing w:val="-4"/>
        </w:rPr>
        <w:t xml:space="preserve"> </w:t>
      </w:r>
      <w:r>
        <w:t>much</w:t>
      </w:r>
      <w:r>
        <w:rPr>
          <w:spacing w:val="-5"/>
        </w:rPr>
        <w:t xml:space="preserve"> </w:t>
      </w:r>
      <w:r>
        <w:t>shorter</w:t>
      </w:r>
      <w:r>
        <w:rPr>
          <w:spacing w:val="-2"/>
        </w:rPr>
        <w:t xml:space="preserve"> </w:t>
      </w:r>
      <w:r>
        <w:t>than</w:t>
      </w:r>
      <w:r>
        <w:rPr>
          <w:spacing w:val="-3"/>
        </w:rPr>
        <w:t xml:space="preserve"> </w:t>
      </w:r>
      <w:r>
        <w:t>in</w:t>
      </w:r>
      <w:r>
        <w:rPr>
          <w:spacing w:val="-3"/>
        </w:rPr>
        <w:t xml:space="preserve"> </w:t>
      </w:r>
      <w:r>
        <w:t>ICP-CL-00102 (16.8 months compared to 47.1 months) confirming that the time-to-event data is immature.</w:t>
      </w:r>
      <w:r>
        <w:rPr>
          <w:spacing w:val="-3"/>
        </w:rPr>
        <w:t xml:space="preserve"> </w:t>
      </w:r>
      <w:r>
        <w:t>Approximately</w:t>
      </w:r>
      <w:r>
        <w:rPr>
          <w:spacing w:val="-6"/>
        </w:rPr>
        <w:t xml:space="preserve"> </w:t>
      </w:r>
      <w:r>
        <w:t>half</w:t>
      </w:r>
      <w:r>
        <w:rPr>
          <w:spacing w:val="-3"/>
        </w:rPr>
        <w:t xml:space="preserve"> </w:t>
      </w:r>
      <w:r w:rsidRPr="004D2F11">
        <w:t>(51.2%</w:t>
      </w:r>
      <w:r w:rsidR="00C94B06">
        <w:t xml:space="preserve">, </w:t>
      </w:r>
      <w:r w:rsidRPr="004D2F11">
        <w:t>22/43)</w:t>
      </w:r>
      <w:r w:rsidRPr="004D2F11">
        <w:rPr>
          <w:spacing w:val="-4"/>
        </w:rPr>
        <w:t xml:space="preserve"> </w:t>
      </w:r>
      <w:r w:rsidR="00C94B06">
        <w:rPr>
          <w:spacing w:val="-4"/>
        </w:rPr>
        <w:t xml:space="preserve">of </w:t>
      </w:r>
      <w:r w:rsidRPr="004D2F11">
        <w:t>the</w:t>
      </w:r>
      <w:r>
        <w:rPr>
          <w:spacing w:val="-3"/>
        </w:rPr>
        <w:t xml:space="preserve"> </w:t>
      </w:r>
      <w:r>
        <w:t>patients</w:t>
      </w:r>
      <w:r>
        <w:rPr>
          <w:spacing w:val="-2"/>
        </w:rPr>
        <w:t xml:space="preserve"> </w:t>
      </w:r>
      <w:r>
        <w:t>remain</w:t>
      </w:r>
      <w:r>
        <w:rPr>
          <w:spacing w:val="-4"/>
        </w:rPr>
        <w:t xml:space="preserve"> </w:t>
      </w:r>
      <w:r>
        <w:t>on</w:t>
      </w:r>
      <w:r>
        <w:rPr>
          <w:spacing w:val="-4"/>
        </w:rPr>
        <w:t xml:space="preserve"> </w:t>
      </w:r>
      <w:r>
        <w:t>ongoing</w:t>
      </w:r>
      <w:r>
        <w:rPr>
          <w:spacing w:val="-2"/>
        </w:rPr>
        <w:t xml:space="preserve"> </w:t>
      </w:r>
      <w:r>
        <w:t>study treatment</w:t>
      </w:r>
      <w:r w:rsidR="00E464DE">
        <w:t>,</w:t>
      </w:r>
      <w:r>
        <w:t xml:space="preserve"> which is promising in terms of efficacy.</w:t>
      </w:r>
    </w:p>
    <w:p w14:paraId="3513D5CF" w14:textId="6E0CA2CD" w:rsidR="0072689D" w:rsidRPr="000659C4" w:rsidRDefault="0072689D" w:rsidP="003C5DBD">
      <w:pPr>
        <w:pStyle w:val="ListBullet"/>
      </w:pPr>
      <w:r>
        <w:t>Overall,</w:t>
      </w:r>
      <w:r>
        <w:rPr>
          <w:spacing w:val="-3"/>
        </w:rPr>
        <w:t xml:space="preserve"> </w:t>
      </w:r>
      <w:r>
        <w:t>results</w:t>
      </w:r>
      <w:r>
        <w:rPr>
          <w:spacing w:val="-2"/>
        </w:rPr>
        <w:t xml:space="preserve"> </w:t>
      </w:r>
      <w:r>
        <w:t>observed</w:t>
      </w:r>
      <w:r>
        <w:rPr>
          <w:spacing w:val="-3"/>
        </w:rPr>
        <w:t xml:space="preserve"> </w:t>
      </w:r>
      <w:r>
        <w:t>in</w:t>
      </w:r>
      <w:r>
        <w:rPr>
          <w:spacing w:val="-4"/>
        </w:rPr>
        <w:t xml:space="preserve"> </w:t>
      </w:r>
      <w:r>
        <w:t>this</w:t>
      </w:r>
      <w:r>
        <w:rPr>
          <w:spacing w:val="-5"/>
        </w:rPr>
        <w:t xml:space="preserve"> </w:t>
      </w:r>
      <w:r>
        <w:t>study</w:t>
      </w:r>
      <w:r>
        <w:rPr>
          <w:spacing w:val="-4"/>
        </w:rPr>
        <w:t xml:space="preserve"> </w:t>
      </w:r>
      <w:r>
        <w:t>conducted</w:t>
      </w:r>
      <w:r>
        <w:rPr>
          <w:spacing w:val="-4"/>
        </w:rPr>
        <w:t xml:space="preserve"> </w:t>
      </w:r>
      <w:r>
        <w:t>in</w:t>
      </w:r>
      <w:r>
        <w:rPr>
          <w:spacing w:val="-7"/>
        </w:rPr>
        <w:t xml:space="preserve"> </w:t>
      </w:r>
      <w:r>
        <w:t>Caucasians</w:t>
      </w:r>
      <w:r>
        <w:rPr>
          <w:spacing w:val="-2"/>
        </w:rPr>
        <w:t xml:space="preserve"> </w:t>
      </w:r>
      <w:r>
        <w:t>were</w:t>
      </w:r>
      <w:r>
        <w:rPr>
          <w:spacing w:val="-6"/>
        </w:rPr>
        <w:t xml:space="preserve"> </w:t>
      </w:r>
      <w:r>
        <w:t>consistent</w:t>
      </w:r>
      <w:r>
        <w:rPr>
          <w:spacing w:val="-4"/>
        </w:rPr>
        <w:t xml:space="preserve"> </w:t>
      </w:r>
      <w:r>
        <w:t xml:space="preserve">with those observed in the Chinese </w:t>
      </w:r>
      <w:r w:rsidR="00386EA1">
        <w:t xml:space="preserve">Study </w:t>
      </w:r>
      <w:r w:rsidR="00386EA1" w:rsidRPr="000659C4">
        <w:t>ICP-CL-00102</w:t>
      </w:r>
      <w:r w:rsidRPr="000659C4">
        <w:t>.</w:t>
      </w:r>
    </w:p>
    <w:p w14:paraId="2E78A09E" w14:textId="77777777" w:rsidR="0072689D" w:rsidRPr="00B52037" w:rsidRDefault="0072689D" w:rsidP="00B52037">
      <w:pPr>
        <w:pStyle w:val="Heading5"/>
        <w:rPr>
          <w:i w:val="0"/>
          <w:iCs/>
        </w:rPr>
      </w:pPr>
      <w:r w:rsidRPr="00B52037">
        <w:rPr>
          <w:i w:val="0"/>
          <w:iCs/>
        </w:rPr>
        <w:t>Study ICP-CL-00127</w:t>
      </w:r>
    </w:p>
    <w:p w14:paraId="6A96E08B" w14:textId="75415736" w:rsidR="0072689D" w:rsidRDefault="00D903AC" w:rsidP="00137A26">
      <w:r>
        <w:t>Study ICP-CL-00127</w:t>
      </w:r>
      <w:r w:rsidR="00C36B8E">
        <w:t xml:space="preserve"> is </w:t>
      </w:r>
      <w:r w:rsidR="00112C41">
        <w:t>a</w:t>
      </w:r>
      <w:r w:rsidR="0072689D">
        <w:rPr>
          <w:spacing w:val="-4"/>
        </w:rPr>
        <w:t xml:space="preserve"> </w:t>
      </w:r>
      <w:r w:rsidR="0072689D">
        <w:t>randomized,</w:t>
      </w:r>
      <w:r w:rsidR="0072689D">
        <w:rPr>
          <w:spacing w:val="-3"/>
        </w:rPr>
        <w:t xml:space="preserve"> </w:t>
      </w:r>
      <w:r w:rsidR="0072689D">
        <w:t>open-label,</w:t>
      </w:r>
      <w:r w:rsidR="0072689D">
        <w:rPr>
          <w:spacing w:val="-3"/>
        </w:rPr>
        <w:t xml:space="preserve"> </w:t>
      </w:r>
      <w:r w:rsidR="0072689D">
        <w:t>multi-centre,</w:t>
      </w:r>
      <w:r w:rsidR="0072689D">
        <w:rPr>
          <w:spacing w:val="-3"/>
        </w:rPr>
        <w:t xml:space="preserve"> </w:t>
      </w:r>
      <w:r w:rsidR="007B04EF">
        <w:rPr>
          <w:spacing w:val="-3"/>
        </w:rPr>
        <w:t>P</w:t>
      </w:r>
      <w:r w:rsidR="0072689D">
        <w:t>hase</w:t>
      </w:r>
      <w:r w:rsidR="0072689D">
        <w:rPr>
          <w:spacing w:val="-3"/>
        </w:rPr>
        <w:t xml:space="preserve"> </w:t>
      </w:r>
      <w:r w:rsidR="007B04EF">
        <w:t>2</w:t>
      </w:r>
      <w:r w:rsidR="0072689D">
        <w:rPr>
          <w:spacing w:val="-3"/>
        </w:rPr>
        <w:t xml:space="preserve"> </w:t>
      </w:r>
      <w:r w:rsidR="0072689D">
        <w:t>trial</w:t>
      </w:r>
      <w:r w:rsidR="0072689D">
        <w:rPr>
          <w:spacing w:val="-3"/>
        </w:rPr>
        <w:t xml:space="preserve"> </w:t>
      </w:r>
      <w:r w:rsidR="0072689D">
        <w:t>evaluating</w:t>
      </w:r>
      <w:r w:rsidR="0072689D">
        <w:rPr>
          <w:spacing w:val="-2"/>
        </w:rPr>
        <w:t xml:space="preserve"> </w:t>
      </w:r>
      <w:r w:rsidR="0072689D">
        <w:t xml:space="preserve">two different doses of </w:t>
      </w:r>
      <w:r w:rsidR="00EB191A">
        <w:t>o</w:t>
      </w:r>
      <w:r w:rsidR="0072689D">
        <w:t xml:space="preserve">relabrutinib in </w:t>
      </w:r>
      <w:r w:rsidR="00D23C2D">
        <w:t>MCL</w:t>
      </w:r>
      <w:r w:rsidR="0072689D">
        <w:t>.</w:t>
      </w:r>
    </w:p>
    <w:p w14:paraId="51C581B1" w14:textId="7C7FCB24" w:rsidR="00C36B8E" w:rsidRDefault="00C36B8E" w:rsidP="00137A26">
      <w:pPr>
        <w:rPr>
          <w:lang w:val="en-GB"/>
        </w:rPr>
      </w:pPr>
      <w:r>
        <w:t>This is an ongoing study supporting</w:t>
      </w:r>
      <w:r>
        <w:rPr>
          <w:spacing w:val="-2"/>
        </w:rPr>
        <w:t xml:space="preserve"> </w:t>
      </w:r>
      <w:r>
        <w:t>dose</w:t>
      </w:r>
      <w:r>
        <w:rPr>
          <w:spacing w:val="-3"/>
        </w:rPr>
        <w:t xml:space="preserve"> </w:t>
      </w:r>
      <w:r>
        <w:t>schedule</w:t>
      </w:r>
      <w:r w:rsidR="00C9139F">
        <w:t xml:space="preserve">, with </w:t>
      </w:r>
      <w:r w:rsidR="00E341A0">
        <w:rPr>
          <w:lang w:val="en-GB"/>
        </w:rPr>
        <w:t xml:space="preserve">a start date of 18 August 2023 and a data cut-off date for this </w:t>
      </w:r>
      <w:r w:rsidR="00C9139F">
        <w:rPr>
          <w:lang w:val="en-GB"/>
        </w:rPr>
        <w:t>evaluation</w:t>
      </w:r>
      <w:r w:rsidR="00E341A0">
        <w:rPr>
          <w:lang w:val="en-GB"/>
        </w:rPr>
        <w:t xml:space="preserve"> of 24 April 2024. Enrolment has closed and occurred in</w:t>
      </w:r>
      <w:r w:rsidR="00C9139F">
        <w:rPr>
          <w:lang w:val="en-GB"/>
        </w:rPr>
        <w:t xml:space="preserve"> </w:t>
      </w:r>
      <w:r w:rsidR="00E341A0">
        <w:rPr>
          <w:lang w:val="en-GB"/>
        </w:rPr>
        <w:t>14 centres (19 sites were initiated) and all included patients were Asian.</w:t>
      </w:r>
    </w:p>
    <w:p w14:paraId="2DF49AE1" w14:textId="77777777" w:rsidR="00EB191A" w:rsidRDefault="0072689D" w:rsidP="00137A26">
      <w:r>
        <w:t>This study, as with ICP-CL-00102</w:t>
      </w:r>
      <w:r w:rsidR="0092765C">
        <w:t>,</w:t>
      </w:r>
      <w:r>
        <w:t xml:space="preserve"> was only performed in Asian patients with another main difference being the enrolling of 20% treatment naïve patients. </w:t>
      </w:r>
    </w:p>
    <w:p w14:paraId="1CF6D92C" w14:textId="371B50B9" w:rsidR="0072689D" w:rsidRDefault="0072689D" w:rsidP="00137A26">
      <w:r>
        <w:t>In total, 40 patients were enrolled (FAS) and the primary efficacy outcome, as with the other efficacy studies was ORR (but</w:t>
      </w:r>
      <w:r>
        <w:rPr>
          <w:spacing w:val="-2"/>
        </w:rPr>
        <w:t xml:space="preserve"> </w:t>
      </w:r>
      <w:r>
        <w:t>only</w:t>
      </w:r>
      <w:r>
        <w:rPr>
          <w:spacing w:val="-3"/>
        </w:rPr>
        <w:t xml:space="preserve"> </w:t>
      </w:r>
      <w:r>
        <w:t>by</w:t>
      </w:r>
      <w:r>
        <w:rPr>
          <w:spacing w:val="-3"/>
        </w:rPr>
        <w:t xml:space="preserve"> </w:t>
      </w:r>
      <w:r>
        <w:t>investigator</w:t>
      </w:r>
      <w:r>
        <w:rPr>
          <w:spacing w:val="-5"/>
        </w:rPr>
        <w:t xml:space="preserve"> </w:t>
      </w:r>
      <w:r>
        <w:t>assessment).</w:t>
      </w:r>
      <w:r>
        <w:rPr>
          <w:spacing w:val="-2"/>
        </w:rPr>
        <w:t xml:space="preserve"> </w:t>
      </w:r>
      <w:r>
        <w:t>Demographics</w:t>
      </w:r>
      <w:r>
        <w:rPr>
          <w:spacing w:val="-1"/>
        </w:rPr>
        <w:t xml:space="preserve"> </w:t>
      </w:r>
      <w:r>
        <w:t>were</w:t>
      </w:r>
      <w:r>
        <w:rPr>
          <w:spacing w:val="-2"/>
        </w:rPr>
        <w:t xml:space="preserve"> </w:t>
      </w:r>
      <w:r>
        <w:t>similar</w:t>
      </w:r>
      <w:r>
        <w:rPr>
          <w:spacing w:val="-2"/>
        </w:rPr>
        <w:t xml:space="preserve"> </w:t>
      </w:r>
      <w:r>
        <w:t>to</w:t>
      </w:r>
      <w:r>
        <w:rPr>
          <w:spacing w:val="-6"/>
        </w:rPr>
        <w:t xml:space="preserve"> </w:t>
      </w:r>
      <w:r>
        <w:t>ICP-CL-00102</w:t>
      </w:r>
      <w:r>
        <w:rPr>
          <w:spacing w:val="-2"/>
        </w:rPr>
        <w:t xml:space="preserve"> </w:t>
      </w:r>
      <w:r>
        <w:t>and</w:t>
      </w:r>
      <w:r>
        <w:rPr>
          <w:spacing w:val="-3"/>
        </w:rPr>
        <w:t xml:space="preserve"> </w:t>
      </w:r>
      <w:r>
        <w:t xml:space="preserve">ICP-CL-00107. Patients had slightly higher MIPI scores in this study with bone marrow involvement more similar to ICP-CL-00102. Previous anti-tumour therapies were </w:t>
      </w:r>
      <w:r>
        <w:lastRenderedPageBreak/>
        <w:t>more variable due to inclusion of treatment naïve patients. Less patients had received intensive chemotherapy regimens which may reflect a better prognostic disease state or less fit patients.</w:t>
      </w:r>
    </w:p>
    <w:p w14:paraId="329E3127" w14:textId="016A017A" w:rsidR="0072689D" w:rsidRDefault="0072689D" w:rsidP="00137A26">
      <w:r>
        <w:t>Overall, the results of ICP-CL-00127 support the efficacy of orelabrutinib in MCL and were consistent</w:t>
      </w:r>
      <w:r>
        <w:rPr>
          <w:spacing w:val="-4"/>
        </w:rPr>
        <w:t xml:space="preserve"> </w:t>
      </w:r>
      <w:r>
        <w:t>with</w:t>
      </w:r>
      <w:r>
        <w:rPr>
          <w:spacing w:val="-3"/>
        </w:rPr>
        <w:t xml:space="preserve"> </w:t>
      </w:r>
      <w:r>
        <w:t>results</w:t>
      </w:r>
      <w:r>
        <w:rPr>
          <w:spacing w:val="-3"/>
        </w:rPr>
        <w:t xml:space="preserve"> </w:t>
      </w:r>
      <w:r>
        <w:t>of</w:t>
      </w:r>
      <w:r>
        <w:rPr>
          <w:spacing w:val="-3"/>
        </w:rPr>
        <w:t xml:space="preserve"> </w:t>
      </w:r>
      <w:r>
        <w:t>ICP-CL-00102</w:t>
      </w:r>
      <w:r>
        <w:rPr>
          <w:spacing w:val="-3"/>
        </w:rPr>
        <w:t xml:space="preserve"> </w:t>
      </w:r>
      <w:r>
        <w:t>and</w:t>
      </w:r>
      <w:r>
        <w:rPr>
          <w:spacing w:val="-4"/>
        </w:rPr>
        <w:t xml:space="preserve"> </w:t>
      </w:r>
      <w:r>
        <w:t>ICP-CL-00107.</w:t>
      </w:r>
      <w:r>
        <w:rPr>
          <w:spacing w:val="-3"/>
        </w:rPr>
        <w:t xml:space="preserve"> </w:t>
      </w:r>
      <w:r>
        <w:t>The</w:t>
      </w:r>
      <w:r>
        <w:rPr>
          <w:spacing w:val="-3"/>
        </w:rPr>
        <w:t xml:space="preserve"> </w:t>
      </w:r>
      <w:r>
        <w:t>ORR</w:t>
      </w:r>
      <w:r>
        <w:rPr>
          <w:spacing w:val="-4"/>
        </w:rPr>
        <w:t xml:space="preserve"> </w:t>
      </w:r>
      <w:r>
        <w:t>by</w:t>
      </w:r>
      <w:r>
        <w:rPr>
          <w:spacing w:val="-4"/>
        </w:rPr>
        <w:t xml:space="preserve"> </w:t>
      </w:r>
      <w:r>
        <w:t>investigator</w:t>
      </w:r>
      <w:r>
        <w:rPr>
          <w:spacing w:val="-3"/>
        </w:rPr>
        <w:t xml:space="preserve"> </w:t>
      </w:r>
      <w:r>
        <w:t>assessment (FAS, total) was 65% (48.3, 79.4) with the subgroup analysis in treatment naïve vs R/R MCL allowing limited interpretation due to low numbers. The CRR was 32.5% (18.6, 49.1). The median DOR, PFS and OS (low number of event outcomes) was not reached with a 91.7% (70.6, 97.8) OS rate at 6 months. The median TTR (FAS, total) was 1.840 months (1.807, 1.873). Most patients received some degree of reduction in SPD with the majority in both groups achieving</w:t>
      </w:r>
      <w:r w:rsidR="009F5210">
        <w:t xml:space="preserve"> </w:t>
      </w:r>
      <w:r>
        <w:t>&gt;50%</w:t>
      </w:r>
      <w:r>
        <w:rPr>
          <w:spacing w:val="-5"/>
        </w:rPr>
        <w:t xml:space="preserve"> </w:t>
      </w:r>
      <w:r>
        <w:t>reduction,</w:t>
      </w:r>
      <w:r>
        <w:rPr>
          <w:spacing w:val="-5"/>
        </w:rPr>
        <w:t xml:space="preserve"> </w:t>
      </w:r>
      <w:r>
        <w:t>which</w:t>
      </w:r>
      <w:r>
        <w:rPr>
          <w:spacing w:val="-5"/>
        </w:rPr>
        <w:t xml:space="preserve"> </w:t>
      </w:r>
      <w:r>
        <w:t>is</w:t>
      </w:r>
      <w:r>
        <w:rPr>
          <w:spacing w:val="-6"/>
        </w:rPr>
        <w:t xml:space="preserve"> </w:t>
      </w:r>
      <w:r>
        <w:t>a</w:t>
      </w:r>
      <w:r>
        <w:rPr>
          <w:spacing w:val="-4"/>
        </w:rPr>
        <w:t xml:space="preserve"> </w:t>
      </w:r>
      <w:r>
        <w:t>similar</w:t>
      </w:r>
      <w:r>
        <w:rPr>
          <w:spacing w:val="-5"/>
        </w:rPr>
        <w:t xml:space="preserve"> </w:t>
      </w:r>
      <w:r>
        <w:t>pattern</w:t>
      </w:r>
      <w:r>
        <w:rPr>
          <w:spacing w:val="-5"/>
        </w:rPr>
        <w:t xml:space="preserve"> </w:t>
      </w:r>
      <w:r>
        <w:t>to</w:t>
      </w:r>
      <w:r>
        <w:rPr>
          <w:spacing w:val="-4"/>
        </w:rPr>
        <w:t xml:space="preserve"> </w:t>
      </w:r>
      <w:r>
        <w:t>both</w:t>
      </w:r>
      <w:r>
        <w:rPr>
          <w:spacing w:val="-5"/>
        </w:rPr>
        <w:t xml:space="preserve"> </w:t>
      </w:r>
      <w:r>
        <w:t>ICP-CL-00102</w:t>
      </w:r>
      <w:r>
        <w:rPr>
          <w:spacing w:val="-4"/>
        </w:rPr>
        <w:t xml:space="preserve"> </w:t>
      </w:r>
      <w:r>
        <w:t>and</w:t>
      </w:r>
      <w:r>
        <w:rPr>
          <w:spacing w:val="-5"/>
        </w:rPr>
        <w:t xml:space="preserve"> </w:t>
      </w:r>
      <w:r>
        <w:t>ICP-CL-</w:t>
      </w:r>
      <w:r>
        <w:rPr>
          <w:spacing w:val="-2"/>
        </w:rPr>
        <w:t>00107.</w:t>
      </w:r>
    </w:p>
    <w:p w14:paraId="4A135609" w14:textId="2693618A" w:rsidR="0072689D" w:rsidRPr="00B52037" w:rsidRDefault="007D721A" w:rsidP="007D721A">
      <w:pPr>
        <w:pStyle w:val="Heading5"/>
        <w:rPr>
          <w:i w:val="0"/>
          <w:iCs/>
        </w:rPr>
      </w:pPr>
      <w:r w:rsidRPr="00B52037">
        <w:rPr>
          <w:i w:val="0"/>
          <w:iCs/>
        </w:rPr>
        <w:t>C</w:t>
      </w:r>
      <w:r w:rsidR="0072689D" w:rsidRPr="00B52037">
        <w:rPr>
          <w:i w:val="0"/>
          <w:iCs/>
        </w:rPr>
        <w:t xml:space="preserve">onclusions </w:t>
      </w:r>
      <w:r w:rsidR="00E55E81">
        <w:rPr>
          <w:i w:val="0"/>
          <w:iCs/>
        </w:rPr>
        <w:t>from the</w:t>
      </w:r>
      <w:r w:rsidR="0072689D" w:rsidRPr="00B52037">
        <w:rPr>
          <w:i w:val="0"/>
          <w:iCs/>
        </w:rPr>
        <w:t xml:space="preserve"> clinical efficacy</w:t>
      </w:r>
      <w:r w:rsidR="00E71D81" w:rsidRPr="00B52037">
        <w:rPr>
          <w:i w:val="0"/>
          <w:iCs/>
        </w:rPr>
        <w:t xml:space="preserve"> </w:t>
      </w:r>
      <w:r w:rsidR="0050154A">
        <w:rPr>
          <w:i w:val="0"/>
          <w:iCs/>
        </w:rPr>
        <w:t>evaluation</w:t>
      </w:r>
    </w:p>
    <w:p w14:paraId="22CEA3FC" w14:textId="77777777" w:rsidR="0072689D" w:rsidRDefault="0072689D" w:rsidP="009F5210">
      <w:r>
        <w:t>Three</w:t>
      </w:r>
      <w:r>
        <w:rPr>
          <w:spacing w:val="-2"/>
        </w:rPr>
        <w:t xml:space="preserve"> </w:t>
      </w:r>
      <w:r>
        <w:t>studies</w:t>
      </w:r>
      <w:r>
        <w:rPr>
          <w:spacing w:val="-1"/>
        </w:rPr>
        <w:t xml:space="preserve"> </w:t>
      </w:r>
      <w:r>
        <w:t>were</w:t>
      </w:r>
      <w:r>
        <w:rPr>
          <w:spacing w:val="-2"/>
        </w:rPr>
        <w:t xml:space="preserve"> </w:t>
      </w:r>
      <w:r>
        <w:t>submitted</w:t>
      </w:r>
      <w:r>
        <w:rPr>
          <w:spacing w:val="-3"/>
        </w:rPr>
        <w:t xml:space="preserve"> </w:t>
      </w:r>
      <w:r>
        <w:t>to</w:t>
      </w:r>
      <w:r>
        <w:rPr>
          <w:spacing w:val="-2"/>
        </w:rPr>
        <w:t xml:space="preserve"> </w:t>
      </w:r>
      <w:r>
        <w:t>provide</w:t>
      </w:r>
      <w:r>
        <w:rPr>
          <w:spacing w:val="-2"/>
        </w:rPr>
        <w:t xml:space="preserve"> </w:t>
      </w:r>
      <w:r>
        <w:t>evidence</w:t>
      </w:r>
      <w:r>
        <w:rPr>
          <w:spacing w:val="-2"/>
        </w:rPr>
        <w:t xml:space="preserve"> </w:t>
      </w:r>
      <w:r>
        <w:t>of</w:t>
      </w:r>
      <w:r>
        <w:rPr>
          <w:spacing w:val="-2"/>
        </w:rPr>
        <w:t xml:space="preserve"> </w:t>
      </w:r>
      <w:r>
        <w:t>efficacy</w:t>
      </w:r>
      <w:r>
        <w:rPr>
          <w:spacing w:val="-3"/>
        </w:rPr>
        <w:t xml:space="preserve"> </w:t>
      </w:r>
      <w:r>
        <w:t>of</w:t>
      </w:r>
      <w:r>
        <w:rPr>
          <w:spacing w:val="-2"/>
        </w:rPr>
        <w:t xml:space="preserve"> </w:t>
      </w:r>
      <w:r>
        <w:t>orelabrutinib</w:t>
      </w:r>
      <w:r>
        <w:rPr>
          <w:spacing w:val="-6"/>
        </w:rPr>
        <w:t xml:space="preserve"> </w:t>
      </w:r>
      <w:r>
        <w:t>in</w:t>
      </w:r>
      <w:r>
        <w:rPr>
          <w:spacing w:val="-3"/>
        </w:rPr>
        <w:t xml:space="preserve"> </w:t>
      </w:r>
      <w:r>
        <w:t>R/R</w:t>
      </w:r>
      <w:r>
        <w:rPr>
          <w:spacing w:val="-3"/>
        </w:rPr>
        <w:t xml:space="preserve"> </w:t>
      </w:r>
      <w:r>
        <w:t>MCL.</w:t>
      </w:r>
      <w:r>
        <w:rPr>
          <w:spacing w:val="-3"/>
        </w:rPr>
        <w:t xml:space="preserve"> </w:t>
      </w:r>
      <w:r>
        <w:t>All</w:t>
      </w:r>
      <w:r>
        <w:rPr>
          <w:spacing w:val="-2"/>
        </w:rPr>
        <w:t xml:space="preserve"> </w:t>
      </w:r>
      <w:r>
        <w:t>of these were phase I/II studies. There was no phase III RCT within the dossier, which is acceptable according to EMA guidelines on the clinical evaluation of anticancer medicinal products, 2023 (given this is a rare cancer).</w:t>
      </w:r>
    </w:p>
    <w:p w14:paraId="6C75D00A" w14:textId="77777777" w:rsidR="0072689D" w:rsidRDefault="0072689D" w:rsidP="009F5210">
      <w:r>
        <w:t>The</w:t>
      </w:r>
      <w:r>
        <w:rPr>
          <w:spacing w:val="-2"/>
        </w:rPr>
        <w:t xml:space="preserve"> </w:t>
      </w:r>
      <w:r>
        <w:t>pivotal</w:t>
      </w:r>
      <w:r>
        <w:rPr>
          <w:spacing w:val="-5"/>
        </w:rPr>
        <w:t xml:space="preserve"> </w:t>
      </w:r>
      <w:r>
        <w:t>study</w:t>
      </w:r>
      <w:r>
        <w:rPr>
          <w:spacing w:val="-3"/>
        </w:rPr>
        <w:t xml:space="preserve"> </w:t>
      </w:r>
      <w:r>
        <w:t>was</w:t>
      </w:r>
      <w:r>
        <w:rPr>
          <w:spacing w:val="-1"/>
        </w:rPr>
        <w:t xml:space="preserve"> </w:t>
      </w:r>
      <w:r>
        <w:t>ICP-CL-00102</w:t>
      </w:r>
      <w:r>
        <w:rPr>
          <w:spacing w:val="-2"/>
        </w:rPr>
        <w:t xml:space="preserve"> </w:t>
      </w:r>
      <w:r>
        <w:t>(Asian</w:t>
      </w:r>
      <w:r>
        <w:rPr>
          <w:spacing w:val="-3"/>
        </w:rPr>
        <w:t xml:space="preserve"> </w:t>
      </w:r>
      <w:r>
        <w:t>population</w:t>
      </w:r>
      <w:r>
        <w:rPr>
          <w:spacing w:val="-3"/>
        </w:rPr>
        <w:t xml:space="preserve"> </w:t>
      </w:r>
      <w:r>
        <w:t>only)</w:t>
      </w:r>
      <w:r>
        <w:rPr>
          <w:spacing w:val="-3"/>
        </w:rPr>
        <w:t xml:space="preserve"> </w:t>
      </w:r>
      <w:r>
        <w:t>with</w:t>
      </w:r>
      <w:r>
        <w:rPr>
          <w:spacing w:val="-2"/>
        </w:rPr>
        <w:t xml:space="preserve"> </w:t>
      </w:r>
      <w:r>
        <w:t>the</w:t>
      </w:r>
      <w:r>
        <w:rPr>
          <w:spacing w:val="-2"/>
        </w:rPr>
        <w:t xml:space="preserve"> </w:t>
      </w:r>
      <w:r>
        <w:t>supporting</w:t>
      </w:r>
      <w:r>
        <w:rPr>
          <w:spacing w:val="-1"/>
        </w:rPr>
        <w:t xml:space="preserve"> </w:t>
      </w:r>
      <w:r>
        <w:t>studies</w:t>
      </w:r>
      <w:r>
        <w:rPr>
          <w:spacing w:val="-4"/>
        </w:rPr>
        <w:t xml:space="preserve"> </w:t>
      </w:r>
      <w:r>
        <w:t>of</w:t>
      </w:r>
      <w:r>
        <w:rPr>
          <w:spacing w:val="-2"/>
        </w:rPr>
        <w:t xml:space="preserve"> </w:t>
      </w:r>
      <w:r>
        <w:t>ICP-CL-00107 (main supporting, Caucasian, mainly USA) and ICP-CL-00127 (minor supporting, Asian population only) included. The overall study designs and implementation were similar across</w:t>
      </w:r>
      <w:r>
        <w:rPr>
          <w:spacing w:val="-1"/>
        </w:rPr>
        <w:t xml:space="preserve"> </w:t>
      </w:r>
      <w:r>
        <w:t>studies. Most patients received orelabrutinib</w:t>
      </w:r>
      <w:r>
        <w:rPr>
          <w:spacing w:val="-3"/>
        </w:rPr>
        <w:t xml:space="preserve"> </w:t>
      </w:r>
      <w:r>
        <w:t>at</w:t>
      </w:r>
      <w:r>
        <w:rPr>
          <w:spacing w:val="-1"/>
        </w:rPr>
        <w:t xml:space="preserve"> </w:t>
      </w:r>
      <w:r>
        <w:t>150mg OD (the R2PD</w:t>
      </w:r>
      <w:r>
        <w:rPr>
          <w:spacing w:val="-2"/>
        </w:rPr>
        <w:t xml:space="preserve"> </w:t>
      </w:r>
      <w:r>
        <w:t>defined</w:t>
      </w:r>
      <w:r>
        <w:rPr>
          <w:spacing w:val="-2"/>
        </w:rPr>
        <w:t xml:space="preserve"> </w:t>
      </w:r>
      <w:r>
        <w:t xml:space="preserve">in multiple studies). The main efficacy endpoint across all studies was ORR (either by IRC in ICP-CL-00102 and ICP-CL-00107 or by investigator assessment in ICP-CL-00127). Time-to-event endpoints were secondary. The inclusion/exclusion criteria were similar except for the exclusion of patients &gt;75 years old in ICP-CL-00102 and the enrolment of 20% treatment naïve patients in </w:t>
      </w:r>
      <w:r>
        <w:rPr>
          <w:spacing w:val="-2"/>
        </w:rPr>
        <w:t>ICP-CP-00127.</w:t>
      </w:r>
    </w:p>
    <w:p w14:paraId="650E67F2" w14:textId="29FFC086" w:rsidR="0072689D" w:rsidRDefault="0072689D" w:rsidP="009F5210">
      <w:r>
        <w:t>The</w:t>
      </w:r>
      <w:r>
        <w:rPr>
          <w:spacing w:val="-2"/>
        </w:rPr>
        <w:t xml:space="preserve"> </w:t>
      </w:r>
      <w:r>
        <w:t>patient</w:t>
      </w:r>
      <w:r>
        <w:rPr>
          <w:spacing w:val="-3"/>
        </w:rPr>
        <w:t xml:space="preserve"> </w:t>
      </w:r>
      <w:r>
        <w:t>populations</w:t>
      </w:r>
      <w:r>
        <w:rPr>
          <w:spacing w:val="-5"/>
        </w:rPr>
        <w:t xml:space="preserve"> </w:t>
      </w:r>
      <w:r>
        <w:t>were</w:t>
      </w:r>
      <w:r>
        <w:rPr>
          <w:spacing w:val="-3"/>
        </w:rPr>
        <w:t xml:space="preserve"> </w:t>
      </w:r>
      <w:r>
        <w:t>similar</w:t>
      </w:r>
      <w:r>
        <w:rPr>
          <w:spacing w:val="-2"/>
        </w:rPr>
        <w:t xml:space="preserve"> </w:t>
      </w:r>
      <w:r>
        <w:t>across</w:t>
      </w:r>
      <w:r>
        <w:rPr>
          <w:spacing w:val="-1"/>
        </w:rPr>
        <w:t xml:space="preserve"> </w:t>
      </w:r>
      <w:r>
        <w:t>studies</w:t>
      </w:r>
      <w:r>
        <w:rPr>
          <w:spacing w:val="-1"/>
        </w:rPr>
        <w:t xml:space="preserve"> </w:t>
      </w:r>
      <w:r>
        <w:t>including</w:t>
      </w:r>
      <w:r>
        <w:rPr>
          <w:spacing w:val="-4"/>
        </w:rPr>
        <w:t xml:space="preserve"> </w:t>
      </w:r>
      <w:r>
        <w:t>mostly</w:t>
      </w:r>
      <w:r>
        <w:rPr>
          <w:spacing w:val="-3"/>
        </w:rPr>
        <w:t xml:space="preserve"> </w:t>
      </w:r>
      <w:r>
        <w:t>patients</w:t>
      </w:r>
      <w:r>
        <w:rPr>
          <w:spacing w:val="-2"/>
        </w:rPr>
        <w:t xml:space="preserve"> </w:t>
      </w:r>
      <w:r>
        <w:t>of</w:t>
      </w:r>
      <w:r>
        <w:rPr>
          <w:spacing w:val="-2"/>
        </w:rPr>
        <w:t xml:space="preserve"> </w:t>
      </w:r>
      <w:r>
        <w:t>median</w:t>
      </w:r>
      <w:r>
        <w:rPr>
          <w:spacing w:val="-3"/>
        </w:rPr>
        <w:t xml:space="preserve"> </w:t>
      </w:r>
      <w:r>
        <w:t>age</w:t>
      </w:r>
      <w:r>
        <w:rPr>
          <w:spacing w:val="-2"/>
        </w:rPr>
        <w:t xml:space="preserve"> </w:t>
      </w:r>
      <w:r>
        <w:t>61-64 years, male, with relapsed disease, had</w:t>
      </w:r>
      <w:r>
        <w:rPr>
          <w:spacing w:val="-1"/>
        </w:rPr>
        <w:t xml:space="preserve"> </w:t>
      </w:r>
      <w:r>
        <w:t>received</w:t>
      </w:r>
      <w:r>
        <w:rPr>
          <w:spacing w:val="-3"/>
        </w:rPr>
        <w:t xml:space="preserve"> </w:t>
      </w:r>
      <w:r>
        <w:t>1-2 lines of previous treatment, had</w:t>
      </w:r>
      <w:r>
        <w:rPr>
          <w:spacing w:val="-1"/>
        </w:rPr>
        <w:t xml:space="preserve"> </w:t>
      </w:r>
      <w:r>
        <w:t>stage IV disease and were of good ECOG. Caucasian patients had higher median BMIs (overweight) compared to Asian populations. Most patients had not had previous HSCT but had received an</w:t>
      </w:r>
      <w:r w:rsidR="007C0236">
        <w:br/>
      </w:r>
      <w:r>
        <w:t>R-CHOP like regimen. In ICP-CL-00102 and ICP-CL-00107, patients also mostly had received intensive chemotherapy induction regimens. A higher proportion of patients in ICP-CL-00107 had bone marrow</w:t>
      </w:r>
      <w:r>
        <w:rPr>
          <w:spacing w:val="-3"/>
        </w:rPr>
        <w:t xml:space="preserve"> </w:t>
      </w:r>
      <w:r>
        <w:t>involvement. The previous treatment characteristics in ICP-CL-00107 display a</w:t>
      </w:r>
      <w:r>
        <w:rPr>
          <w:spacing w:val="-3"/>
        </w:rPr>
        <w:t xml:space="preserve"> </w:t>
      </w:r>
      <w:r>
        <w:t>higher</w:t>
      </w:r>
      <w:r>
        <w:rPr>
          <w:spacing w:val="-4"/>
        </w:rPr>
        <w:t xml:space="preserve"> </w:t>
      </w:r>
      <w:r>
        <w:t>variation,</w:t>
      </w:r>
      <w:r>
        <w:rPr>
          <w:spacing w:val="-4"/>
        </w:rPr>
        <w:t xml:space="preserve"> </w:t>
      </w:r>
      <w:r>
        <w:t>including</w:t>
      </w:r>
      <w:r>
        <w:rPr>
          <w:spacing w:val="-2"/>
        </w:rPr>
        <w:t xml:space="preserve"> </w:t>
      </w:r>
      <w:r>
        <w:t>a</w:t>
      </w:r>
      <w:r>
        <w:rPr>
          <w:spacing w:val="-4"/>
        </w:rPr>
        <w:t xml:space="preserve"> </w:t>
      </w:r>
      <w:r>
        <w:t>higher</w:t>
      </w:r>
      <w:r>
        <w:rPr>
          <w:spacing w:val="-3"/>
        </w:rPr>
        <w:t xml:space="preserve"> </w:t>
      </w:r>
      <w:r>
        <w:t>number</w:t>
      </w:r>
      <w:r>
        <w:rPr>
          <w:spacing w:val="-3"/>
        </w:rPr>
        <w:t xml:space="preserve"> </w:t>
      </w:r>
      <w:r>
        <w:t>of</w:t>
      </w:r>
      <w:r>
        <w:rPr>
          <w:spacing w:val="-3"/>
        </w:rPr>
        <w:t xml:space="preserve"> </w:t>
      </w:r>
      <w:r>
        <w:t>patients</w:t>
      </w:r>
      <w:r>
        <w:rPr>
          <w:spacing w:val="-2"/>
        </w:rPr>
        <w:t xml:space="preserve"> </w:t>
      </w:r>
      <w:r>
        <w:t>having</w:t>
      </w:r>
      <w:r>
        <w:rPr>
          <w:spacing w:val="-2"/>
        </w:rPr>
        <w:t xml:space="preserve"> </w:t>
      </w:r>
      <w:r>
        <w:t>previous</w:t>
      </w:r>
      <w:r>
        <w:rPr>
          <w:spacing w:val="-2"/>
        </w:rPr>
        <w:t xml:space="preserve"> </w:t>
      </w:r>
      <w:r>
        <w:t>HSCT</w:t>
      </w:r>
      <w:r>
        <w:rPr>
          <w:spacing w:val="-2"/>
        </w:rPr>
        <w:t xml:space="preserve"> </w:t>
      </w:r>
      <w:r>
        <w:t>either</w:t>
      </w:r>
      <w:r>
        <w:rPr>
          <w:spacing w:val="-4"/>
        </w:rPr>
        <w:t xml:space="preserve"> </w:t>
      </w:r>
      <w:r>
        <w:t>indicating higher risk disease (not reflected in the baseline disease characteristics), more heavily pretreated patients (not reflected in median lines of previous therapy) or more aggressive treatment practices/different treatment paradigm in the study locations. Overall numbers of included patients are small but are not unreasonable in this rare disease. Patient numbers within these studies are not dissimilar to studies provided to PBAC for acalabrutinib and zanubrutinib approval.</w:t>
      </w:r>
    </w:p>
    <w:p w14:paraId="4E61ECCA" w14:textId="574F4A81" w:rsidR="00F95B2B" w:rsidRDefault="0072689D" w:rsidP="009F5210">
      <w:pPr>
        <w:rPr>
          <w:spacing w:val="40"/>
        </w:rPr>
      </w:pPr>
      <w:r>
        <w:t>The main results of these 3 studies with comparison to ibrutinib, acalabrutinib and</w:t>
      </w:r>
      <w:r>
        <w:rPr>
          <w:spacing w:val="40"/>
        </w:rPr>
        <w:t xml:space="preserve"> </w:t>
      </w:r>
      <w:r>
        <w:t xml:space="preserve">zanubrutinib </w:t>
      </w:r>
      <w:r w:rsidR="00633C77">
        <w:t>are presented in table 1</w:t>
      </w:r>
      <w:r w:rsidR="00CF393A">
        <w:t>0</w:t>
      </w:r>
      <w:r w:rsidR="00633C77">
        <w:t>.</w:t>
      </w:r>
      <w:r>
        <w:rPr>
          <w:spacing w:val="40"/>
        </w:rPr>
        <w:t xml:space="preserve"> </w:t>
      </w:r>
    </w:p>
    <w:p w14:paraId="657FAB1A" w14:textId="77777777" w:rsidR="0076140A" w:rsidRDefault="0076140A" w:rsidP="009F5210">
      <w:pPr>
        <w:rPr>
          <w:spacing w:val="40"/>
        </w:rPr>
      </w:pPr>
    </w:p>
    <w:p w14:paraId="56109EC8" w14:textId="52E10ABD" w:rsidR="008927BF" w:rsidRDefault="008927BF" w:rsidP="0025417A">
      <w:pPr>
        <w:pStyle w:val="TableTitle"/>
        <w:rPr>
          <w:lang w:eastAsia="ja-JP"/>
        </w:rPr>
      </w:pPr>
      <w:r w:rsidRPr="009E5D9A">
        <w:rPr>
          <w:bCs/>
          <w:lang w:eastAsia="ja-JP"/>
        </w:rPr>
        <w:lastRenderedPageBreak/>
        <w:t xml:space="preserve">Table </w:t>
      </w:r>
      <w:r w:rsidR="00633C77">
        <w:rPr>
          <w:bCs/>
          <w:lang w:eastAsia="ja-JP"/>
        </w:rPr>
        <w:t>1</w:t>
      </w:r>
      <w:r w:rsidR="00264898">
        <w:rPr>
          <w:bCs/>
          <w:lang w:eastAsia="ja-JP"/>
        </w:rPr>
        <w:t>0</w:t>
      </w:r>
      <w:r w:rsidR="00633C77">
        <w:rPr>
          <w:bCs/>
          <w:lang w:eastAsia="ja-JP"/>
        </w:rPr>
        <w:t>:</w:t>
      </w:r>
      <w:r>
        <w:rPr>
          <w:lang w:eastAsia="ja-JP"/>
        </w:rPr>
        <w:t xml:space="preserve"> Cross trial comparison of main efficacy results in ICP-CL-00102, ICL-CL-00107, ICP-CL-00127 with market comparators</w:t>
      </w:r>
    </w:p>
    <w:tbl>
      <w:tblPr>
        <w:tblStyle w:val="GridTable41"/>
        <w:tblW w:w="9327" w:type="dxa"/>
        <w:tblLook w:val="04A0" w:firstRow="1" w:lastRow="0" w:firstColumn="1" w:lastColumn="0" w:noHBand="0" w:noVBand="1"/>
      </w:tblPr>
      <w:tblGrid>
        <w:gridCol w:w="1471"/>
        <w:gridCol w:w="1581"/>
        <w:gridCol w:w="1333"/>
        <w:gridCol w:w="1274"/>
        <w:gridCol w:w="991"/>
        <w:gridCol w:w="1419"/>
        <w:gridCol w:w="1258"/>
      </w:tblGrid>
      <w:tr w:rsidR="008927BF" w:rsidRPr="00E43D05" w14:paraId="51498307" w14:textId="77777777">
        <w:trPr>
          <w:cnfStyle w:val="100000000000" w:firstRow="1" w:lastRow="0" w:firstColumn="0" w:lastColumn="0" w:oddVBand="0" w:evenVBand="0" w:oddHBand="0" w:evenHBand="0" w:firstRowFirstColumn="0" w:firstRowLastColumn="0" w:lastRowFirstColumn="0" w:lastRowLastColumn="0"/>
          <w:trHeight w:val="1179"/>
        </w:trPr>
        <w:tc>
          <w:tcPr>
            <w:cnfStyle w:val="001000000000" w:firstRow="0" w:lastRow="0" w:firstColumn="1" w:lastColumn="0" w:oddVBand="0" w:evenVBand="0" w:oddHBand="0" w:evenHBand="0" w:firstRowFirstColumn="0" w:firstRowLastColumn="0" w:lastRowFirstColumn="0" w:lastRowLastColumn="0"/>
            <w:tcW w:w="1471" w:type="dxa"/>
          </w:tcPr>
          <w:p w14:paraId="56A841C9" w14:textId="77777777" w:rsidR="008927BF" w:rsidRPr="00E43D05" w:rsidRDefault="008927BF">
            <w:pPr>
              <w:rPr>
                <w:rFonts w:asciiTheme="minorHAnsi" w:hAnsiTheme="minorHAnsi"/>
                <w:b w:val="0"/>
                <w:bCs w:val="0"/>
                <w:i/>
                <w:iCs/>
                <w:sz w:val="16"/>
                <w:szCs w:val="16"/>
              </w:rPr>
            </w:pPr>
          </w:p>
        </w:tc>
        <w:tc>
          <w:tcPr>
            <w:tcW w:w="0" w:type="auto"/>
          </w:tcPr>
          <w:p w14:paraId="0FF0A1C7" w14:textId="77777777" w:rsidR="008927BF" w:rsidRPr="00E43D05" w:rsidRDefault="008927BF">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ICP-CL-00102 (FAS 150mg OD)</w:t>
            </w:r>
          </w:p>
        </w:tc>
        <w:tc>
          <w:tcPr>
            <w:tcW w:w="1333" w:type="dxa"/>
          </w:tcPr>
          <w:p w14:paraId="1D7AF609" w14:textId="77777777" w:rsidR="008927BF" w:rsidRPr="00E43D05" w:rsidRDefault="008927BF">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ICP-CL-00107 (R/R FAS 150mg OD)</w:t>
            </w:r>
          </w:p>
        </w:tc>
        <w:tc>
          <w:tcPr>
            <w:tcW w:w="1274" w:type="dxa"/>
          </w:tcPr>
          <w:p w14:paraId="113D673A" w14:textId="77777777" w:rsidR="008927BF" w:rsidRPr="00E43D05" w:rsidRDefault="008927BF">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ICP-CL-00127 (FAS, total)**</w:t>
            </w:r>
          </w:p>
        </w:tc>
        <w:tc>
          <w:tcPr>
            <w:tcW w:w="991" w:type="dxa"/>
          </w:tcPr>
          <w:p w14:paraId="7BADD922" w14:textId="77777777" w:rsidR="008927BF" w:rsidRPr="00E43D05" w:rsidRDefault="008927BF">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Ibrutinib (pooled studies)</w:t>
            </w:r>
            <w:r w:rsidRPr="00E43D05">
              <w:rPr>
                <w:rFonts w:asciiTheme="minorHAnsi" w:hAnsiTheme="minorHAnsi"/>
                <w:sz w:val="16"/>
                <w:szCs w:val="16"/>
                <w:vertAlign w:val="superscript"/>
              </w:rPr>
              <w:t>a</w:t>
            </w:r>
          </w:p>
        </w:tc>
        <w:tc>
          <w:tcPr>
            <w:tcW w:w="1419" w:type="dxa"/>
          </w:tcPr>
          <w:p w14:paraId="576FEEFA" w14:textId="77777777" w:rsidR="008927BF" w:rsidRPr="00E43D05" w:rsidRDefault="008927BF">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Acalabrutinib</w:t>
            </w:r>
            <w:r w:rsidRPr="00E43D05">
              <w:rPr>
                <w:rFonts w:asciiTheme="minorHAnsi" w:hAnsiTheme="minorHAnsi"/>
                <w:sz w:val="16"/>
                <w:szCs w:val="16"/>
                <w:vertAlign w:val="superscript"/>
              </w:rPr>
              <w:t>a</w:t>
            </w:r>
          </w:p>
        </w:tc>
        <w:tc>
          <w:tcPr>
            <w:tcW w:w="0" w:type="auto"/>
          </w:tcPr>
          <w:p w14:paraId="7C2FCFF2" w14:textId="77777777" w:rsidR="008927BF" w:rsidRPr="00E43D05" w:rsidRDefault="008927BF">
            <w:pPr>
              <w:cnfStyle w:val="100000000000" w:firstRow="1"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Zanubrutinib</w:t>
            </w:r>
            <w:r w:rsidRPr="00E43D05">
              <w:rPr>
                <w:rFonts w:asciiTheme="minorHAnsi" w:hAnsiTheme="minorHAnsi"/>
                <w:sz w:val="16"/>
                <w:szCs w:val="16"/>
                <w:vertAlign w:val="superscript"/>
              </w:rPr>
              <w:t>b</w:t>
            </w:r>
          </w:p>
        </w:tc>
      </w:tr>
      <w:tr w:rsidR="008927BF" w:rsidRPr="00E43D05" w14:paraId="3B467B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dxa"/>
          </w:tcPr>
          <w:p w14:paraId="0C349729" w14:textId="77777777" w:rsidR="008927BF" w:rsidRPr="00E43D05" w:rsidRDefault="008927BF">
            <w:pPr>
              <w:rPr>
                <w:rFonts w:asciiTheme="minorHAnsi" w:hAnsiTheme="minorHAnsi"/>
                <w:b w:val="0"/>
                <w:bCs w:val="0"/>
                <w:i/>
                <w:iCs/>
                <w:sz w:val="16"/>
                <w:szCs w:val="16"/>
              </w:rPr>
            </w:pPr>
            <w:r w:rsidRPr="00E43D05">
              <w:rPr>
                <w:rFonts w:asciiTheme="minorHAnsi" w:hAnsiTheme="minorHAnsi"/>
                <w:b w:val="0"/>
                <w:bCs w:val="0"/>
                <w:i/>
                <w:iCs/>
                <w:sz w:val="16"/>
                <w:szCs w:val="16"/>
              </w:rPr>
              <w:t>Population (n)</w:t>
            </w:r>
          </w:p>
        </w:tc>
        <w:tc>
          <w:tcPr>
            <w:tcW w:w="0" w:type="auto"/>
          </w:tcPr>
          <w:p w14:paraId="5897BDC9"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86</w:t>
            </w:r>
          </w:p>
        </w:tc>
        <w:tc>
          <w:tcPr>
            <w:tcW w:w="1333" w:type="dxa"/>
          </w:tcPr>
          <w:p w14:paraId="5058A335"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43</w:t>
            </w:r>
          </w:p>
        </w:tc>
        <w:tc>
          <w:tcPr>
            <w:tcW w:w="1274" w:type="dxa"/>
          </w:tcPr>
          <w:p w14:paraId="737A0443"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40</w:t>
            </w:r>
          </w:p>
        </w:tc>
        <w:tc>
          <w:tcPr>
            <w:tcW w:w="991" w:type="dxa"/>
          </w:tcPr>
          <w:p w14:paraId="2B0280A4"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370</w:t>
            </w:r>
          </w:p>
        </w:tc>
        <w:tc>
          <w:tcPr>
            <w:tcW w:w="1419" w:type="dxa"/>
          </w:tcPr>
          <w:p w14:paraId="1A0DE8A0"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124</w:t>
            </w:r>
          </w:p>
        </w:tc>
        <w:tc>
          <w:tcPr>
            <w:tcW w:w="0" w:type="auto"/>
          </w:tcPr>
          <w:p w14:paraId="22A1FBD2"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37</w:t>
            </w:r>
          </w:p>
        </w:tc>
      </w:tr>
      <w:tr w:rsidR="008927BF" w:rsidRPr="00E43D05" w14:paraId="6C67FC7A" w14:textId="77777777">
        <w:tc>
          <w:tcPr>
            <w:cnfStyle w:val="001000000000" w:firstRow="0" w:lastRow="0" w:firstColumn="1" w:lastColumn="0" w:oddVBand="0" w:evenVBand="0" w:oddHBand="0" w:evenHBand="0" w:firstRowFirstColumn="0" w:firstRowLastColumn="0" w:lastRowFirstColumn="0" w:lastRowLastColumn="0"/>
            <w:tcW w:w="1471" w:type="dxa"/>
          </w:tcPr>
          <w:p w14:paraId="1A0B69B7" w14:textId="77777777" w:rsidR="008927BF" w:rsidRPr="00E43D05" w:rsidRDefault="008927BF">
            <w:pPr>
              <w:rPr>
                <w:rFonts w:asciiTheme="minorHAnsi" w:hAnsiTheme="minorHAnsi"/>
                <w:b w:val="0"/>
                <w:bCs w:val="0"/>
                <w:i/>
                <w:iCs/>
                <w:sz w:val="16"/>
                <w:szCs w:val="16"/>
              </w:rPr>
            </w:pPr>
            <w:r w:rsidRPr="00E43D05">
              <w:rPr>
                <w:rFonts w:asciiTheme="minorHAnsi" w:hAnsiTheme="minorHAnsi"/>
                <w:b w:val="0"/>
                <w:bCs w:val="0"/>
                <w:i/>
                <w:iCs/>
                <w:sz w:val="16"/>
                <w:szCs w:val="16"/>
              </w:rPr>
              <w:t>Main ethnicity</w:t>
            </w:r>
          </w:p>
        </w:tc>
        <w:tc>
          <w:tcPr>
            <w:tcW w:w="0" w:type="auto"/>
          </w:tcPr>
          <w:p w14:paraId="42E35870"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Asian</w:t>
            </w:r>
          </w:p>
        </w:tc>
        <w:tc>
          <w:tcPr>
            <w:tcW w:w="1333" w:type="dxa"/>
          </w:tcPr>
          <w:p w14:paraId="26C49B0E"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Caucasian</w:t>
            </w:r>
          </w:p>
        </w:tc>
        <w:tc>
          <w:tcPr>
            <w:tcW w:w="1274" w:type="dxa"/>
          </w:tcPr>
          <w:p w14:paraId="5F7D1DCF"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Asian</w:t>
            </w:r>
          </w:p>
        </w:tc>
        <w:tc>
          <w:tcPr>
            <w:tcW w:w="991" w:type="dxa"/>
          </w:tcPr>
          <w:p w14:paraId="5DED711A"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c>
          <w:tcPr>
            <w:tcW w:w="1419" w:type="dxa"/>
          </w:tcPr>
          <w:p w14:paraId="7918E9A7"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c>
          <w:tcPr>
            <w:tcW w:w="0" w:type="auto"/>
          </w:tcPr>
          <w:p w14:paraId="4BC8AB7F"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r>
      <w:tr w:rsidR="008927BF" w:rsidRPr="00E43D05" w14:paraId="7B365FED" w14:textId="77777777">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471" w:type="dxa"/>
          </w:tcPr>
          <w:p w14:paraId="6C4DD040" w14:textId="77777777" w:rsidR="008927BF" w:rsidRPr="00E43D05" w:rsidRDefault="008927BF">
            <w:pPr>
              <w:rPr>
                <w:rFonts w:asciiTheme="minorHAnsi" w:hAnsiTheme="minorHAnsi"/>
                <w:b w:val="0"/>
                <w:bCs w:val="0"/>
                <w:i/>
                <w:iCs/>
                <w:sz w:val="16"/>
                <w:szCs w:val="16"/>
              </w:rPr>
            </w:pPr>
            <w:r w:rsidRPr="00E43D05">
              <w:rPr>
                <w:rFonts w:asciiTheme="minorHAnsi" w:hAnsiTheme="minorHAnsi"/>
                <w:b w:val="0"/>
                <w:bCs w:val="0"/>
                <w:i/>
                <w:iCs/>
                <w:sz w:val="16"/>
                <w:szCs w:val="16"/>
              </w:rPr>
              <w:t>Median follow-up (months)</w:t>
            </w:r>
          </w:p>
        </w:tc>
        <w:tc>
          <w:tcPr>
            <w:tcW w:w="0" w:type="auto"/>
          </w:tcPr>
          <w:p w14:paraId="003B11E1"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 xml:space="preserve">47.1 </w:t>
            </w:r>
          </w:p>
        </w:tc>
        <w:tc>
          <w:tcPr>
            <w:tcW w:w="1333" w:type="dxa"/>
          </w:tcPr>
          <w:p w14:paraId="75298421"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 xml:space="preserve">16.8 </w:t>
            </w:r>
          </w:p>
        </w:tc>
        <w:tc>
          <w:tcPr>
            <w:tcW w:w="1274" w:type="dxa"/>
          </w:tcPr>
          <w:p w14:paraId="54BEEA50"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 xml:space="preserve">4.5 </w:t>
            </w:r>
          </w:p>
        </w:tc>
        <w:tc>
          <w:tcPr>
            <w:tcW w:w="991" w:type="dxa"/>
          </w:tcPr>
          <w:p w14:paraId="3B2FDEBF"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41.4</w:t>
            </w:r>
          </w:p>
        </w:tc>
        <w:tc>
          <w:tcPr>
            <w:tcW w:w="1419" w:type="dxa"/>
          </w:tcPr>
          <w:p w14:paraId="36811D81"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38.1</w:t>
            </w:r>
          </w:p>
        </w:tc>
        <w:tc>
          <w:tcPr>
            <w:tcW w:w="0" w:type="auto"/>
          </w:tcPr>
          <w:p w14:paraId="1255A8B8"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19.42</w:t>
            </w:r>
          </w:p>
        </w:tc>
      </w:tr>
      <w:tr w:rsidR="008927BF" w:rsidRPr="00E43D05" w14:paraId="0D2C02EB" w14:textId="77777777">
        <w:tc>
          <w:tcPr>
            <w:cnfStyle w:val="001000000000" w:firstRow="0" w:lastRow="0" w:firstColumn="1" w:lastColumn="0" w:oddVBand="0" w:evenVBand="0" w:oddHBand="0" w:evenHBand="0" w:firstRowFirstColumn="0" w:firstRowLastColumn="0" w:lastRowFirstColumn="0" w:lastRowLastColumn="0"/>
            <w:tcW w:w="1471" w:type="dxa"/>
          </w:tcPr>
          <w:p w14:paraId="700AF311" w14:textId="77777777" w:rsidR="008927BF" w:rsidRPr="00E43D05" w:rsidRDefault="008927BF">
            <w:pPr>
              <w:rPr>
                <w:rFonts w:asciiTheme="minorHAnsi" w:hAnsiTheme="minorHAnsi"/>
                <w:i/>
                <w:iCs/>
                <w:sz w:val="16"/>
                <w:szCs w:val="16"/>
              </w:rPr>
            </w:pPr>
            <w:r w:rsidRPr="00E43D05">
              <w:rPr>
                <w:rFonts w:asciiTheme="minorHAnsi" w:hAnsiTheme="minorHAnsi"/>
                <w:i/>
                <w:iCs/>
                <w:sz w:val="16"/>
                <w:szCs w:val="16"/>
              </w:rPr>
              <w:t>ORR (IRC)*</w:t>
            </w:r>
          </w:p>
        </w:tc>
        <w:tc>
          <w:tcPr>
            <w:tcW w:w="0" w:type="auto"/>
          </w:tcPr>
          <w:p w14:paraId="6F1BC9A3"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72.1 % (61.4, 81.2)</w:t>
            </w:r>
          </w:p>
        </w:tc>
        <w:tc>
          <w:tcPr>
            <w:tcW w:w="1333" w:type="dxa"/>
          </w:tcPr>
          <w:p w14:paraId="181352CD"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83.7% (69.30, 93.19)</w:t>
            </w:r>
          </w:p>
        </w:tc>
        <w:tc>
          <w:tcPr>
            <w:tcW w:w="1274" w:type="dxa"/>
          </w:tcPr>
          <w:p w14:paraId="385C3B32"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65% (48.3, 79.4)***</w:t>
            </w:r>
          </w:p>
        </w:tc>
        <w:tc>
          <w:tcPr>
            <w:tcW w:w="991" w:type="dxa"/>
          </w:tcPr>
          <w:p w14:paraId="4557B3E5"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69.7% (64.1, 75.3)</w:t>
            </w:r>
          </w:p>
        </w:tc>
        <w:tc>
          <w:tcPr>
            <w:tcW w:w="1419" w:type="dxa"/>
          </w:tcPr>
          <w:p w14:paraId="509D4403"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81.5% (74.0, 88.0)</w:t>
            </w:r>
          </w:p>
        </w:tc>
        <w:tc>
          <w:tcPr>
            <w:tcW w:w="0" w:type="auto"/>
          </w:tcPr>
          <w:p w14:paraId="3C470F8A"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81.1% (64.8, 92.0)</w:t>
            </w:r>
          </w:p>
        </w:tc>
      </w:tr>
      <w:tr w:rsidR="008927BF" w:rsidRPr="00E43D05" w14:paraId="1F84F3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dxa"/>
          </w:tcPr>
          <w:p w14:paraId="6C78A66B" w14:textId="77777777" w:rsidR="008927BF" w:rsidRPr="00E43D05" w:rsidRDefault="008927BF">
            <w:pPr>
              <w:rPr>
                <w:rFonts w:asciiTheme="minorHAnsi" w:hAnsiTheme="minorHAnsi"/>
                <w:b w:val="0"/>
                <w:bCs w:val="0"/>
                <w:i/>
                <w:iCs/>
                <w:sz w:val="16"/>
                <w:szCs w:val="16"/>
              </w:rPr>
            </w:pPr>
            <w:r w:rsidRPr="00E43D05">
              <w:rPr>
                <w:rFonts w:asciiTheme="minorHAnsi" w:hAnsiTheme="minorHAnsi"/>
                <w:b w:val="0"/>
                <w:bCs w:val="0"/>
                <w:i/>
                <w:iCs/>
                <w:sz w:val="16"/>
                <w:szCs w:val="16"/>
              </w:rPr>
              <w:t>CRR (IRC)</w:t>
            </w:r>
          </w:p>
        </w:tc>
        <w:tc>
          <w:tcPr>
            <w:tcW w:w="0" w:type="auto"/>
          </w:tcPr>
          <w:p w14:paraId="6B9547C9"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lang w:eastAsia="ja-JP"/>
              </w:rPr>
            </w:pPr>
            <w:r w:rsidRPr="00E43D05">
              <w:rPr>
                <w:rFonts w:asciiTheme="minorHAnsi" w:hAnsiTheme="minorHAnsi"/>
                <w:sz w:val="16"/>
                <w:szCs w:val="16"/>
                <w:lang w:eastAsia="ja-JP"/>
              </w:rPr>
              <w:t>33.7%</w:t>
            </w:r>
          </w:p>
        </w:tc>
        <w:tc>
          <w:tcPr>
            <w:tcW w:w="1333" w:type="dxa"/>
          </w:tcPr>
          <w:p w14:paraId="58EFE008"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39.5%</w:t>
            </w:r>
          </w:p>
        </w:tc>
        <w:tc>
          <w:tcPr>
            <w:tcW w:w="1274" w:type="dxa"/>
          </w:tcPr>
          <w:p w14:paraId="0572700C"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32.5%</w:t>
            </w:r>
          </w:p>
        </w:tc>
        <w:tc>
          <w:tcPr>
            <w:tcW w:w="991" w:type="dxa"/>
          </w:tcPr>
          <w:p w14:paraId="1241275F"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27% (22.5, 31.5)</w:t>
            </w:r>
          </w:p>
        </w:tc>
        <w:tc>
          <w:tcPr>
            <w:tcW w:w="1419" w:type="dxa"/>
          </w:tcPr>
          <w:p w14:paraId="68902507"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47.6% (38.8, 56.4)</w:t>
            </w:r>
          </w:p>
        </w:tc>
        <w:tc>
          <w:tcPr>
            <w:tcW w:w="0" w:type="auto"/>
          </w:tcPr>
          <w:p w14:paraId="7CE95C40"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24.3% (11.8, 41.2)</w:t>
            </w:r>
          </w:p>
        </w:tc>
      </w:tr>
      <w:tr w:rsidR="008927BF" w:rsidRPr="00E43D05" w14:paraId="3A84C75A" w14:textId="77777777">
        <w:tc>
          <w:tcPr>
            <w:cnfStyle w:val="001000000000" w:firstRow="0" w:lastRow="0" w:firstColumn="1" w:lastColumn="0" w:oddVBand="0" w:evenVBand="0" w:oddHBand="0" w:evenHBand="0" w:firstRowFirstColumn="0" w:firstRowLastColumn="0" w:lastRowFirstColumn="0" w:lastRowLastColumn="0"/>
            <w:tcW w:w="1471" w:type="dxa"/>
          </w:tcPr>
          <w:p w14:paraId="4A8C65C9" w14:textId="77777777" w:rsidR="008927BF" w:rsidRPr="00E43D05" w:rsidRDefault="008927BF">
            <w:pPr>
              <w:rPr>
                <w:rFonts w:asciiTheme="minorHAnsi" w:hAnsiTheme="minorHAnsi"/>
                <w:b w:val="0"/>
                <w:bCs w:val="0"/>
                <w:i/>
                <w:iCs/>
                <w:sz w:val="16"/>
                <w:szCs w:val="16"/>
              </w:rPr>
            </w:pPr>
            <w:r w:rsidRPr="00E43D05">
              <w:rPr>
                <w:rFonts w:asciiTheme="minorHAnsi" w:hAnsiTheme="minorHAnsi"/>
                <w:b w:val="0"/>
                <w:bCs w:val="0"/>
                <w:i/>
                <w:iCs/>
                <w:sz w:val="16"/>
                <w:szCs w:val="16"/>
              </w:rPr>
              <w:t>DCR (IRC)</w:t>
            </w:r>
          </w:p>
        </w:tc>
        <w:tc>
          <w:tcPr>
            <w:tcW w:w="0" w:type="auto"/>
          </w:tcPr>
          <w:p w14:paraId="0729BD92"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lang w:eastAsia="ja-JP"/>
              </w:rPr>
            </w:pPr>
            <w:r w:rsidRPr="00E43D05">
              <w:rPr>
                <w:rFonts w:asciiTheme="minorHAnsi" w:hAnsiTheme="minorHAnsi"/>
                <w:sz w:val="16"/>
                <w:szCs w:val="16"/>
                <w:lang w:eastAsia="ja-JP"/>
              </w:rPr>
              <w:t>82.6% (72.9, 89.9)</w:t>
            </w:r>
          </w:p>
        </w:tc>
        <w:tc>
          <w:tcPr>
            <w:tcW w:w="1333" w:type="dxa"/>
          </w:tcPr>
          <w:p w14:paraId="675A2C94"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97.7% (87.71, 99.94)</w:t>
            </w:r>
          </w:p>
        </w:tc>
        <w:tc>
          <w:tcPr>
            <w:tcW w:w="1274" w:type="dxa"/>
          </w:tcPr>
          <w:p w14:paraId="096D1FDB"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80% (32/40)</w:t>
            </w:r>
          </w:p>
        </w:tc>
        <w:tc>
          <w:tcPr>
            <w:tcW w:w="991" w:type="dxa"/>
          </w:tcPr>
          <w:p w14:paraId="3A6BD23A"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81.4% (301/370)</w:t>
            </w:r>
          </w:p>
        </w:tc>
        <w:tc>
          <w:tcPr>
            <w:tcW w:w="1419" w:type="dxa"/>
          </w:tcPr>
          <w:p w14:paraId="556CC15A"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89.5% (111/124)</w:t>
            </w:r>
          </w:p>
        </w:tc>
        <w:tc>
          <w:tcPr>
            <w:tcW w:w="0" w:type="auto"/>
          </w:tcPr>
          <w:p w14:paraId="48428212"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r>
      <w:tr w:rsidR="008927BF" w:rsidRPr="00E43D05" w14:paraId="365E0A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dxa"/>
          </w:tcPr>
          <w:p w14:paraId="12E0A73B" w14:textId="77777777" w:rsidR="008927BF" w:rsidRPr="00E43D05" w:rsidRDefault="008927BF">
            <w:pPr>
              <w:rPr>
                <w:rFonts w:asciiTheme="minorHAnsi" w:hAnsiTheme="minorHAnsi"/>
                <w:b w:val="0"/>
                <w:bCs w:val="0"/>
                <w:i/>
                <w:iCs/>
                <w:sz w:val="16"/>
                <w:szCs w:val="16"/>
              </w:rPr>
            </w:pPr>
            <w:r w:rsidRPr="00E43D05">
              <w:rPr>
                <w:rFonts w:asciiTheme="minorHAnsi" w:hAnsiTheme="minorHAnsi"/>
                <w:b w:val="0"/>
                <w:bCs w:val="0"/>
                <w:i/>
                <w:iCs/>
                <w:sz w:val="16"/>
                <w:szCs w:val="16"/>
              </w:rPr>
              <w:t>Median DOR (IRC)</w:t>
            </w:r>
          </w:p>
        </w:tc>
        <w:tc>
          <w:tcPr>
            <w:tcW w:w="0" w:type="auto"/>
          </w:tcPr>
          <w:p w14:paraId="4F7C4C9D"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NA [20.27 NA]</w:t>
            </w:r>
          </w:p>
        </w:tc>
        <w:tc>
          <w:tcPr>
            <w:tcW w:w="1333" w:type="dxa"/>
          </w:tcPr>
          <w:p w14:paraId="6E93F621"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NR (13.83, NR)</w:t>
            </w:r>
          </w:p>
        </w:tc>
        <w:tc>
          <w:tcPr>
            <w:tcW w:w="1274" w:type="dxa"/>
          </w:tcPr>
          <w:p w14:paraId="3D563AB0"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NA (2.76, NA)</w:t>
            </w:r>
          </w:p>
        </w:tc>
        <w:tc>
          <w:tcPr>
            <w:tcW w:w="991" w:type="dxa"/>
          </w:tcPr>
          <w:p w14:paraId="30163E97"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c>
          <w:tcPr>
            <w:tcW w:w="1419" w:type="dxa"/>
          </w:tcPr>
          <w:p w14:paraId="606BF9B9"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c>
          <w:tcPr>
            <w:tcW w:w="0" w:type="auto"/>
          </w:tcPr>
          <w:p w14:paraId="29582A5D"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r>
      <w:tr w:rsidR="008927BF" w:rsidRPr="00E43D05" w14:paraId="57A13446" w14:textId="77777777">
        <w:tc>
          <w:tcPr>
            <w:cnfStyle w:val="001000000000" w:firstRow="0" w:lastRow="0" w:firstColumn="1" w:lastColumn="0" w:oddVBand="0" w:evenVBand="0" w:oddHBand="0" w:evenHBand="0" w:firstRowFirstColumn="0" w:firstRowLastColumn="0" w:lastRowFirstColumn="0" w:lastRowLastColumn="0"/>
            <w:tcW w:w="1471" w:type="dxa"/>
          </w:tcPr>
          <w:p w14:paraId="50D12C38" w14:textId="77777777" w:rsidR="008927BF" w:rsidRPr="00E43D05" w:rsidRDefault="008927BF">
            <w:pPr>
              <w:rPr>
                <w:rFonts w:asciiTheme="minorHAnsi" w:hAnsiTheme="minorHAnsi"/>
                <w:b w:val="0"/>
                <w:bCs w:val="0"/>
                <w:i/>
                <w:iCs/>
                <w:sz w:val="16"/>
                <w:szCs w:val="16"/>
              </w:rPr>
            </w:pPr>
            <w:r w:rsidRPr="00E43D05">
              <w:rPr>
                <w:rFonts w:asciiTheme="minorHAnsi" w:hAnsiTheme="minorHAnsi"/>
                <w:b w:val="0"/>
                <w:bCs w:val="0"/>
                <w:i/>
                <w:iCs/>
                <w:sz w:val="16"/>
                <w:szCs w:val="16"/>
              </w:rPr>
              <w:t>Median PFS (IRC)</w:t>
            </w:r>
          </w:p>
        </w:tc>
        <w:tc>
          <w:tcPr>
            <w:tcW w:w="0" w:type="auto"/>
          </w:tcPr>
          <w:p w14:paraId="039A40B5"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24.94 (19.15, NA)</w:t>
            </w:r>
          </w:p>
        </w:tc>
        <w:tc>
          <w:tcPr>
            <w:tcW w:w="1333" w:type="dxa"/>
          </w:tcPr>
          <w:p w14:paraId="4FB1037E"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NR (16.59, NR)</w:t>
            </w:r>
          </w:p>
        </w:tc>
        <w:tc>
          <w:tcPr>
            <w:tcW w:w="1274" w:type="dxa"/>
          </w:tcPr>
          <w:p w14:paraId="54DFEB43"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NA (3.88, NA)</w:t>
            </w:r>
          </w:p>
        </w:tc>
        <w:tc>
          <w:tcPr>
            <w:tcW w:w="991" w:type="dxa"/>
          </w:tcPr>
          <w:p w14:paraId="2D515829"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12.5 (9.8, 16.6)</w:t>
            </w:r>
          </w:p>
        </w:tc>
        <w:tc>
          <w:tcPr>
            <w:tcW w:w="1419" w:type="dxa"/>
          </w:tcPr>
          <w:p w14:paraId="24AFE92C"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22.0 (16.6, 33.3)</w:t>
            </w:r>
          </w:p>
        </w:tc>
        <w:tc>
          <w:tcPr>
            <w:tcW w:w="0" w:type="auto"/>
          </w:tcPr>
          <w:p w14:paraId="0B911361"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17.3 (13.2, 30.7)</w:t>
            </w:r>
          </w:p>
        </w:tc>
      </w:tr>
      <w:tr w:rsidR="008927BF" w:rsidRPr="00E43D05" w14:paraId="1C5603D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dxa"/>
          </w:tcPr>
          <w:p w14:paraId="5E5F3892" w14:textId="77777777" w:rsidR="008927BF" w:rsidRPr="00E43D05" w:rsidRDefault="008927BF">
            <w:pPr>
              <w:rPr>
                <w:rFonts w:asciiTheme="minorHAnsi" w:hAnsiTheme="minorHAnsi"/>
                <w:b w:val="0"/>
                <w:bCs w:val="0"/>
                <w:i/>
                <w:iCs/>
                <w:sz w:val="16"/>
                <w:szCs w:val="16"/>
              </w:rPr>
            </w:pPr>
            <w:r w:rsidRPr="00E43D05">
              <w:rPr>
                <w:rFonts w:asciiTheme="minorHAnsi" w:hAnsiTheme="minorHAnsi"/>
                <w:b w:val="0"/>
                <w:bCs w:val="0"/>
                <w:i/>
                <w:iCs/>
                <w:sz w:val="16"/>
                <w:szCs w:val="16"/>
              </w:rPr>
              <w:t>24 month PFS rate (IRC)</w:t>
            </w:r>
          </w:p>
        </w:tc>
        <w:tc>
          <w:tcPr>
            <w:tcW w:w="0" w:type="auto"/>
          </w:tcPr>
          <w:p w14:paraId="060A1C66"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lang w:eastAsia="ja-JP"/>
              </w:rPr>
            </w:pPr>
            <w:r w:rsidRPr="00E43D05">
              <w:rPr>
                <w:rFonts w:asciiTheme="minorHAnsi" w:hAnsiTheme="minorHAnsi"/>
                <w:sz w:val="16"/>
                <w:szCs w:val="16"/>
                <w:lang w:eastAsia="ja-JP"/>
              </w:rPr>
              <w:t>52% [40.0, 62.7]</w:t>
            </w:r>
          </w:p>
        </w:tc>
        <w:tc>
          <w:tcPr>
            <w:tcW w:w="1333" w:type="dxa"/>
          </w:tcPr>
          <w:p w14:paraId="4CF022FC"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65.1% (46.28, 78.79)</w:t>
            </w:r>
          </w:p>
        </w:tc>
        <w:tc>
          <w:tcPr>
            <w:tcW w:w="1274" w:type="dxa"/>
          </w:tcPr>
          <w:p w14:paraId="337B04A6"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c>
          <w:tcPr>
            <w:tcW w:w="991" w:type="dxa"/>
          </w:tcPr>
          <w:p w14:paraId="116E2BC0"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c>
          <w:tcPr>
            <w:tcW w:w="1419" w:type="dxa"/>
          </w:tcPr>
          <w:p w14:paraId="4A911740"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49.6% (40.1, 58.4)</w:t>
            </w:r>
          </w:p>
        </w:tc>
        <w:tc>
          <w:tcPr>
            <w:tcW w:w="0" w:type="auto"/>
          </w:tcPr>
          <w:p w14:paraId="3B35DC6D"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r>
      <w:tr w:rsidR="008927BF" w:rsidRPr="00E43D05" w14:paraId="06F9C3A0" w14:textId="77777777">
        <w:tc>
          <w:tcPr>
            <w:cnfStyle w:val="001000000000" w:firstRow="0" w:lastRow="0" w:firstColumn="1" w:lastColumn="0" w:oddVBand="0" w:evenVBand="0" w:oddHBand="0" w:evenHBand="0" w:firstRowFirstColumn="0" w:firstRowLastColumn="0" w:lastRowFirstColumn="0" w:lastRowLastColumn="0"/>
            <w:tcW w:w="1471" w:type="dxa"/>
          </w:tcPr>
          <w:p w14:paraId="2ADDF219" w14:textId="77777777" w:rsidR="008927BF" w:rsidRPr="00E43D05" w:rsidRDefault="008927BF">
            <w:pPr>
              <w:rPr>
                <w:rFonts w:asciiTheme="minorHAnsi" w:hAnsiTheme="minorHAnsi"/>
                <w:b w:val="0"/>
                <w:bCs w:val="0"/>
                <w:i/>
                <w:iCs/>
                <w:sz w:val="16"/>
                <w:szCs w:val="16"/>
              </w:rPr>
            </w:pPr>
            <w:r w:rsidRPr="00E43D05">
              <w:rPr>
                <w:rFonts w:asciiTheme="minorHAnsi" w:hAnsiTheme="minorHAnsi"/>
                <w:b w:val="0"/>
                <w:bCs w:val="0"/>
                <w:i/>
                <w:iCs/>
                <w:sz w:val="16"/>
                <w:szCs w:val="16"/>
              </w:rPr>
              <w:t xml:space="preserve">Median OS </w:t>
            </w:r>
          </w:p>
        </w:tc>
        <w:tc>
          <w:tcPr>
            <w:tcW w:w="0" w:type="auto"/>
          </w:tcPr>
          <w:p w14:paraId="1F9D7C41"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NA [44.912,NA]</w:t>
            </w:r>
          </w:p>
        </w:tc>
        <w:tc>
          <w:tcPr>
            <w:tcW w:w="1333" w:type="dxa"/>
          </w:tcPr>
          <w:p w14:paraId="77B494EA"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NR (42.251, NR)</w:t>
            </w:r>
          </w:p>
        </w:tc>
        <w:tc>
          <w:tcPr>
            <w:tcW w:w="1274" w:type="dxa"/>
          </w:tcPr>
          <w:p w14:paraId="65C1C3E6"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NA (NA, NA)</w:t>
            </w:r>
          </w:p>
        </w:tc>
        <w:tc>
          <w:tcPr>
            <w:tcW w:w="991" w:type="dxa"/>
          </w:tcPr>
          <w:p w14:paraId="5585482A"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26.7 (22.5, 38.4)</w:t>
            </w:r>
          </w:p>
        </w:tc>
        <w:tc>
          <w:tcPr>
            <w:tcW w:w="1419" w:type="dxa"/>
          </w:tcPr>
          <w:p w14:paraId="752E4587"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NA (36.5, NE)</w:t>
            </w:r>
          </w:p>
        </w:tc>
        <w:tc>
          <w:tcPr>
            <w:tcW w:w="0" w:type="auto"/>
          </w:tcPr>
          <w:p w14:paraId="0B2E36D2" w14:textId="77777777" w:rsidR="008927BF" w:rsidRPr="00E43D05" w:rsidRDefault="008927BF">
            <w:pPr>
              <w:cnfStyle w:val="000000000000" w:firstRow="0" w:lastRow="0" w:firstColumn="0" w:lastColumn="0" w:oddVBand="0" w:evenVBand="0" w:oddHBand="0"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27.20 (18.9, 38.2)</w:t>
            </w:r>
          </w:p>
        </w:tc>
      </w:tr>
      <w:tr w:rsidR="008927BF" w:rsidRPr="00E43D05" w14:paraId="26C54D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dxa"/>
          </w:tcPr>
          <w:p w14:paraId="36D2807B" w14:textId="77777777" w:rsidR="008927BF" w:rsidRPr="00E43D05" w:rsidRDefault="008927BF">
            <w:pPr>
              <w:rPr>
                <w:rFonts w:asciiTheme="minorHAnsi" w:hAnsiTheme="minorHAnsi"/>
                <w:b w:val="0"/>
                <w:bCs w:val="0"/>
                <w:i/>
                <w:iCs/>
                <w:sz w:val="16"/>
                <w:szCs w:val="16"/>
              </w:rPr>
            </w:pPr>
            <w:r w:rsidRPr="00E43D05">
              <w:rPr>
                <w:rFonts w:asciiTheme="minorHAnsi" w:hAnsiTheme="minorHAnsi"/>
                <w:b w:val="0"/>
                <w:bCs w:val="0"/>
                <w:i/>
                <w:iCs/>
                <w:sz w:val="16"/>
                <w:szCs w:val="16"/>
              </w:rPr>
              <w:t>24month OS rate</w:t>
            </w:r>
          </w:p>
        </w:tc>
        <w:tc>
          <w:tcPr>
            <w:tcW w:w="0" w:type="auto"/>
          </w:tcPr>
          <w:p w14:paraId="4497C0BB"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lang w:eastAsia="ja-JP"/>
              </w:rPr>
            </w:pPr>
            <w:r w:rsidRPr="00E43D05">
              <w:rPr>
                <w:rFonts w:asciiTheme="minorHAnsi" w:hAnsiTheme="minorHAnsi"/>
                <w:sz w:val="16"/>
                <w:szCs w:val="16"/>
                <w:lang w:eastAsia="ja-JP"/>
              </w:rPr>
              <w:t>72.9% [68.7, 86.2]</w:t>
            </w:r>
          </w:p>
        </w:tc>
        <w:tc>
          <w:tcPr>
            <w:tcW w:w="1333" w:type="dxa"/>
          </w:tcPr>
          <w:p w14:paraId="0CC99BCE"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lang w:eastAsia="ja-JP"/>
              </w:rPr>
              <w:t>73.8% (53.80, 86.15)</w:t>
            </w:r>
          </w:p>
        </w:tc>
        <w:tc>
          <w:tcPr>
            <w:tcW w:w="1274" w:type="dxa"/>
          </w:tcPr>
          <w:p w14:paraId="2D6AE775"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c>
          <w:tcPr>
            <w:tcW w:w="991" w:type="dxa"/>
          </w:tcPr>
          <w:p w14:paraId="793E4120"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c>
          <w:tcPr>
            <w:tcW w:w="1419" w:type="dxa"/>
          </w:tcPr>
          <w:p w14:paraId="64556FB8"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72.4% (63.5, 79.5)</w:t>
            </w:r>
          </w:p>
        </w:tc>
        <w:tc>
          <w:tcPr>
            <w:tcW w:w="0" w:type="auto"/>
          </w:tcPr>
          <w:p w14:paraId="3CABD2DD" w14:textId="77777777" w:rsidR="008927BF" w:rsidRPr="00E43D05" w:rsidRDefault="008927BF">
            <w:pPr>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E43D05">
              <w:rPr>
                <w:rFonts w:asciiTheme="minorHAnsi" w:hAnsiTheme="minorHAnsi"/>
                <w:sz w:val="16"/>
                <w:szCs w:val="16"/>
              </w:rPr>
              <w:t>-</w:t>
            </w:r>
          </w:p>
        </w:tc>
      </w:tr>
    </w:tbl>
    <w:p w14:paraId="0A421CD2" w14:textId="77777777" w:rsidR="00107645" w:rsidRPr="00822B15" w:rsidRDefault="00107645" w:rsidP="00041271">
      <w:pPr>
        <w:pStyle w:val="TableDescription"/>
        <w:spacing w:before="60" w:after="60"/>
      </w:pPr>
      <w:r w:rsidRPr="00822B15">
        <w:t>*Primary efficacy endpoint (predefined)</w:t>
      </w:r>
    </w:p>
    <w:p w14:paraId="25586674" w14:textId="77777777" w:rsidR="00107645" w:rsidRPr="00822B15" w:rsidRDefault="00107645" w:rsidP="00041271">
      <w:pPr>
        <w:pStyle w:val="TableDescription"/>
        <w:spacing w:before="60" w:after="60"/>
      </w:pPr>
      <w:r w:rsidRPr="00822B15">
        <w:t>**This study included 20% treatment naïve MCL patients. The FAS, total population includes patients treated at both 150mg OD and 50mg BD dosing schedules.</w:t>
      </w:r>
    </w:p>
    <w:p w14:paraId="4B5F3287" w14:textId="77777777" w:rsidR="00107645" w:rsidRPr="00822B15" w:rsidRDefault="00107645" w:rsidP="00041271">
      <w:pPr>
        <w:pStyle w:val="TableDescription"/>
        <w:spacing w:before="60" w:after="60"/>
      </w:pPr>
      <w:r w:rsidRPr="00822B15">
        <w:t>***response was only assessed by investigator in this study</w:t>
      </w:r>
    </w:p>
    <w:p w14:paraId="1E223C56" w14:textId="77777777" w:rsidR="00107645" w:rsidRPr="00822B15" w:rsidRDefault="00107645" w:rsidP="00041271">
      <w:pPr>
        <w:pStyle w:val="TableDescription"/>
        <w:spacing w:before="60" w:after="60"/>
      </w:pPr>
      <w:r w:rsidRPr="00822B15">
        <w:t>All time-to-event parameters are reported in months</w:t>
      </w:r>
    </w:p>
    <w:p w14:paraId="43831A18" w14:textId="77777777" w:rsidR="00372503" w:rsidRDefault="00107645" w:rsidP="00041271">
      <w:pPr>
        <w:pStyle w:val="TableDescription"/>
        <w:spacing w:before="60" w:after="60"/>
      </w:pPr>
      <w:r w:rsidRPr="00822B15">
        <w:rPr>
          <w:vertAlign w:val="superscript"/>
        </w:rPr>
        <w:t>a</w:t>
      </w:r>
      <w:r w:rsidRPr="00822B15">
        <w:t xml:space="preserve">From </w:t>
      </w:r>
      <w:r w:rsidRPr="00B63934">
        <w:rPr>
          <w:b/>
          <w:bCs/>
        </w:rPr>
        <w:t>Table</w:t>
      </w:r>
      <w:r>
        <w:rPr>
          <w:b/>
          <w:bCs/>
        </w:rPr>
        <w:t>s</w:t>
      </w:r>
      <w:r w:rsidRPr="00B63934">
        <w:rPr>
          <w:b/>
          <w:bCs/>
        </w:rPr>
        <w:t xml:space="preserve"> 1.11</w:t>
      </w:r>
      <w:r>
        <w:rPr>
          <w:b/>
          <w:bCs/>
        </w:rPr>
        <w:t>a-b</w:t>
      </w:r>
      <w:r w:rsidRPr="00B63934">
        <w:rPr>
          <w:b/>
          <w:bCs/>
        </w:rPr>
        <w:t xml:space="preserve"> (p</w:t>
      </w:r>
      <w:r w:rsidRPr="00B63934">
        <w:rPr>
          <w:b/>
          <w:bCs/>
        </w:rPr>
        <w:fldChar w:fldCharType="begin"/>
      </w:r>
      <w:r w:rsidRPr="00B63934">
        <w:rPr>
          <w:b/>
          <w:bCs/>
        </w:rPr>
        <w:instrText xml:space="preserve"> PAGEREF _Ref202534688 \h </w:instrText>
      </w:r>
      <w:r w:rsidRPr="00B63934">
        <w:rPr>
          <w:b/>
          <w:bCs/>
        </w:rPr>
      </w:r>
      <w:r w:rsidRPr="00B63934">
        <w:rPr>
          <w:b/>
          <w:bCs/>
        </w:rPr>
        <w:fldChar w:fldCharType="separate"/>
      </w:r>
      <w:r>
        <w:rPr>
          <w:b/>
          <w:bCs/>
          <w:noProof/>
        </w:rPr>
        <w:t>151</w:t>
      </w:r>
      <w:r w:rsidRPr="00B63934">
        <w:rPr>
          <w:b/>
          <w:bCs/>
        </w:rPr>
        <w:fldChar w:fldCharType="end"/>
      </w:r>
      <w:r w:rsidRPr="00B63934">
        <w:rPr>
          <w:b/>
          <w:bCs/>
        </w:rPr>
        <w:t>-</w:t>
      </w:r>
      <w:r w:rsidRPr="00B63934">
        <w:rPr>
          <w:b/>
          <w:bCs/>
        </w:rPr>
        <w:fldChar w:fldCharType="begin"/>
      </w:r>
      <w:r w:rsidRPr="00B63934">
        <w:rPr>
          <w:b/>
          <w:bCs/>
        </w:rPr>
        <w:instrText xml:space="preserve"> PAGEREF _Ref202534690 \h </w:instrText>
      </w:r>
      <w:r w:rsidRPr="00B63934">
        <w:rPr>
          <w:b/>
          <w:bCs/>
        </w:rPr>
      </w:r>
      <w:r w:rsidRPr="00B63934">
        <w:rPr>
          <w:b/>
          <w:bCs/>
        </w:rPr>
        <w:fldChar w:fldCharType="separate"/>
      </w:r>
      <w:r>
        <w:rPr>
          <w:b/>
          <w:bCs/>
          <w:noProof/>
        </w:rPr>
        <w:t>152</w:t>
      </w:r>
      <w:r w:rsidRPr="00B63934">
        <w:rPr>
          <w:b/>
          <w:bCs/>
        </w:rPr>
        <w:fldChar w:fldCharType="end"/>
      </w:r>
      <w:r w:rsidRPr="00B63934">
        <w:rPr>
          <w:b/>
          <w:bCs/>
        </w:rPr>
        <w:t>)</w:t>
      </w:r>
      <w:r>
        <w:t xml:space="preserve"> </w:t>
      </w:r>
      <w:r w:rsidRPr="00D22F75">
        <w:t>Acalabrutinib</w:t>
      </w:r>
      <w:r w:rsidRPr="00822B15">
        <w:t xml:space="preserve"> public summary document for R/R MCL indication- July 2021 (PBAC, 2021a)</w:t>
      </w:r>
    </w:p>
    <w:p w14:paraId="09232E98" w14:textId="69F3A80E" w:rsidR="00F95B2B" w:rsidRDefault="00CD1FF6" w:rsidP="00041271">
      <w:pPr>
        <w:pStyle w:val="TableDescription"/>
        <w:spacing w:before="60" w:after="240"/>
        <w:rPr>
          <w:spacing w:val="40"/>
        </w:rPr>
      </w:pPr>
      <w:r w:rsidRPr="00822B15">
        <w:rPr>
          <w:vertAlign w:val="superscript"/>
        </w:rPr>
        <w:t>b</w:t>
      </w:r>
      <w:r w:rsidRPr="00822B15">
        <w:t xml:space="preserve">From </w:t>
      </w:r>
      <w:r w:rsidRPr="00B63934">
        <w:rPr>
          <w:b/>
          <w:bCs/>
        </w:rPr>
        <w:t>Table</w:t>
      </w:r>
      <w:r>
        <w:rPr>
          <w:b/>
          <w:bCs/>
        </w:rPr>
        <w:t>s</w:t>
      </w:r>
      <w:r w:rsidRPr="00B63934">
        <w:rPr>
          <w:b/>
          <w:bCs/>
        </w:rPr>
        <w:t xml:space="preserve"> 1.12</w:t>
      </w:r>
      <w:r>
        <w:rPr>
          <w:b/>
          <w:bCs/>
        </w:rPr>
        <w:t>a-b</w:t>
      </w:r>
      <w:r w:rsidRPr="00B63934">
        <w:rPr>
          <w:b/>
          <w:bCs/>
        </w:rPr>
        <w:t xml:space="preserve"> (p</w:t>
      </w:r>
      <w:r w:rsidRPr="00B63934">
        <w:rPr>
          <w:b/>
          <w:bCs/>
        </w:rPr>
        <w:fldChar w:fldCharType="begin"/>
      </w:r>
      <w:r w:rsidRPr="00B63934">
        <w:rPr>
          <w:b/>
          <w:bCs/>
        </w:rPr>
        <w:instrText xml:space="preserve"> PAGEREF _Ref202534723 \h </w:instrText>
      </w:r>
      <w:r w:rsidRPr="00B63934">
        <w:rPr>
          <w:b/>
          <w:bCs/>
        </w:rPr>
      </w:r>
      <w:r w:rsidRPr="00B63934">
        <w:rPr>
          <w:b/>
          <w:bCs/>
        </w:rPr>
        <w:fldChar w:fldCharType="separate"/>
      </w:r>
      <w:r>
        <w:rPr>
          <w:b/>
          <w:bCs/>
          <w:noProof/>
        </w:rPr>
        <w:t>153</w:t>
      </w:r>
      <w:r w:rsidRPr="00B63934">
        <w:rPr>
          <w:b/>
          <w:bCs/>
        </w:rPr>
        <w:fldChar w:fldCharType="end"/>
      </w:r>
      <w:r w:rsidRPr="00B63934">
        <w:rPr>
          <w:b/>
          <w:bCs/>
        </w:rPr>
        <w:t>-</w:t>
      </w:r>
      <w:r w:rsidRPr="00B63934">
        <w:rPr>
          <w:b/>
          <w:bCs/>
        </w:rPr>
        <w:fldChar w:fldCharType="begin"/>
      </w:r>
      <w:r w:rsidRPr="00B63934">
        <w:rPr>
          <w:b/>
          <w:bCs/>
        </w:rPr>
        <w:instrText xml:space="preserve"> PAGEREF _Ref202534724 \h </w:instrText>
      </w:r>
      <w:r w:rsidRPr="00B63934">
        <w:rPr>
          <w:b/>
          <w:bCs/>
        </w:rPr>
      </w:r>
      <w:r w:rsidRPr="00B63934">
        <w:rPr>
          <w:b/>
          <w:bCs/>
        </w:rPr>
        <w:fldChar w:fldCharType="separate"/>
      </w:r>
      <w:r>
        <w:rPr>
          <w:b/>
          <w:bCs/>
          <w:noProof/>
        </w:rPr>
        <w:t>154</w:t>
      </w:r>
      <w:r w:rsidRPr="00B63934">
        <w:rPr>
          <w:b/>
          <w:bCs/>
        </w:rPr>
        <w:fldChar w:fldCharType="end"/>
      </w:r>
      <w:r w:rsidRPr="00B63934">
        <w:rPr>
          <w:b/>
          <w:bCs/>
        </w:rPr>
        <w:t>)</w:t>
      </w:r>
      <w:r>
        <w:t xml:space="preserve"> </w:t>
      </w:r>
      <w:r w:rsidRPr="00822B15">
        <w:t>Zanubrutinib public summary document for R/R MCL indication- July 2021 (PBAC, 2021b). Results from AU-003 were used as study 206 was Chinese patients only.</w:t>
      </w:r>
    </w:p>
    <w:p w14:paraId="53CF8A20" w14:textId="57F5BB66" w:rsidR="0072689D" w:rsidRDefault="0072689D" w:rsidP="009F5210">
      <w:r>
        <w:t>When comparing the results of orelabrutinib</w:t>
      </w:r>
      <w:r>
        <w:rPr>
          <w:spacing w:val="-4"/>
        </w:rPr>
        <w:t xml:space="preserve"> </w:t>
      </w:r>
      <w:r>
        <w:t>between</w:t>
      </w:r>
      <w:r>
        <w:rPr>
          <w:spacing w:val="-4"/>
        </w:rPr>
        <w:t xml:space="preserve"> </w:t>
      </w:r>
      <w:r>
        <w:t>trials</w:t>
      </w:r>
      <w:r>
        <w:rPr>
          <w:spacing w:val="-2"/>
        </w:rPr>
        <w:t xml:space="preserve"> </w:t>
      </w:r>
      <w:r>
        <w:t>(ICP-CL-00102,</w:t>
      </w:r>
      <w:r>
        <w:rPr>
          <w:spacing w:val="-3"/>
        </w:rPr>
        <w:t xml:space="preserve"> </w:t>
      </w:r>
      <w:r>
        <w:t>ICP-CL-00107</w:t>
      </w:r>
      <w:r>
        <w:rPr>
          <w:spacing w:val="-3"/>
        </w:rPr>
        <w:t xml:space="preserve"> </w:t>
      </w:r>
      <w:r>
        <w:t>and</w:t>
      </w:r>
      <w:r>
        <w:rPr>
          <w:spacing w:val="-4"/>
        </w:rPr>
        <w:t xml:space="preserve"> </w:t>
      </w:r>
      <w:r>
        <w:t>ICP-CL-00127)</w:t>
      </w:r>
      <w:r>
        <w:rPr>
          <w:spacing w:val="-4"/>
        </w:rPr>
        <w:t xml:space="preserve"> </w:t>
      </w:r>
      <w:r>
        <w:t>these</w:t>
      </w:r>
      <w:r>
        <w:rPr>
          <w:spacing w:val="-3"/>
        </w:rPr>
        <w:t xml:space="preserve"> </w:t>
      </w:r>
      <w:r>
        <w:t>are</w:t>
      </w:r>
      <w:r>
        <w:rPr>
          <w:spacing w:val="-3"/>
        </w:rPr>
        <w:t xml:space="preserve"> </w:t>
      </w:r>
      <w:r>
        <w:t>grossly comparable. The ORR, CRR and DCR in ICP-CL-00107 (Caucasian) are higher than in ICP-CL-00102 and ICP-CL-00127 (Asian), noting that ICP-CL-00107 is a smaller study than</w:t>
      </w:r>
      <w:r w:rsidR="004346B2">
        <w:t xml:space="preserve"> </w:t>
      </w:r>
      <w:r>
        <w:t>ICP-CL-00102. The longest median follow up was ICP-CL-00102 and thus the results of ICP-CL-00107 and</w:t>
      </w:r>
      <w:r>
        <w:rPr>
          <w:spacing w:val="-3"/>
        </w:rPr>
        <w:t xml:space="preserve"> </w:t>
      </w:r>
      <w:r>
        <w:t>ICP-CL-00127</w:t>
      </w:r>
      <w:r>
        <w:rPr>
          <w:spacing w:val="-4"/>
        </w:rPr>
        <w:t xml:space="preserve"> </w:t>
      </w:r>
      <w:r>
        <w:t>may</w:t>
      </w:r>
      <w:r>
        <w:rPr>
          <w:spacing w:val="-3"/>
        </w:rPr>
        <w:t xml:space="preserve"> </w:t>
      </w:r>
      <w:r>
        <w:t>be</w:t>
      </w:r>
      <w:r>
        <w:rPr>
          <w:spacing w:val="-4"/>
        </w:rPr>
        <w:t xml:space="preserve"> </w:t>
      </w:r>
      <w:r>
        <w:t>impacted</w:t>
      </w:r>
      <w:r>
        <w:rPr>
          <w:spacing w:val="-3"/>
        </w:rPr>
        <w:t xml:space="preserve"> </w:t>
      </w:r>
      <w:r>
        <w:t>by</w:t>
      </w:r>
      <w:r>
        <w:rPr>
          <w:spacing w:val="-3"/>
        </w:rPr>
        <w:t xml:space="preserve"> </w:t>
      </w:r>
      <w:r>
        <w:t>shorter</w:t>
      </w:r>
      <w:r>
        <w:rPr>
          <w:spacing w:val="-3"/>
        </w:rPr>
        <w:t xml:space="preserve"> </w:t>
      </w:r>
      <w:r>
        <w:t>follow-up</w:t>
      </w:r>
      <w:r>
        <w:rPr>
          <w:spacing w:val="-2"/>
        </w:rPr>
        <w:t xml:space="preserve"> </w:t>
      </w:r>
      <w:r>
        <w:t>time</w:t>
      </w:r>
      <w:r>
        <w:rPr>
          <w:spacing w:val="-2"/>
        </w:rPr>
        <w:t xml:space="preserve"> </w:t>
      </w:r>
      <w:r>
        <w:t>(particularly</w:t>
      </w:r>
      <w:r>
        <w:rPr>
          <w:spacing w:val="-3"/>
        </w:rPr>
        <w:t xml:space="preserve"> </w:t>
      </w:r>
      <w:r>
        <w:t>the</w:t>
      </w:r>
      <w:r>
        <w:rPr>
          <w:spacing w:val="-2"/>
        </w:rPr>
        <w:t xml:space="preserve"> </w:t>
      </w:r>
      <w:r>
        <w:t>better</w:t>
      </w:r>
      <w:r>
        <w:rPr>
          <w:spacing w:val="-3"/>
        </w:rPr>
        <w:t xml:space="preserve"> </w:t>
      </w:r>
      <w:r>
        <w:t>results</w:t>
      </w:r>
      <w:r>
        <w:rPr>
          <w:spacing w:val="-4"/>
        </w:rPr>
        <w:t xml:space="preserve"> </w:t>
      </w:r>
      <w:r>
        <w:t>in ICP-CL-00107). The time-to-event data is largely uninterpretable across all studies due to limited events and follow-up. ICP-CL-00102, the study with the longest follow up, did reach median PFS. Median PFS, OS and DOR in all studies besides median PFS in ICP-CL-00102 was not reached. The 24-month PFS rate in ICP-CL-00107 was higher than in ICP-CL-00102 which may have been affected by the shorter follow up time. The 24-month OS rate in both ICP-CL-00102 and ICP-CL-00107 was comparable. From the limited data, mainly response rates, this does suggest efficacy of orelabrutinib. Given the high number of patients remaining on treatment (approximately 25% in ICP-CL-00102 and 50% in ICP-CL-00107) it seems likely this will translate to time-to-event data, however, this needs to be confirmed.</w:t>
      </w:r>
    </w:p>
    <w:p w14:paraId="5BF2BCE6" w14:textId="6F9068DB" w:rsidR="0072689D" w:rsidRDefault="0072689D" w:rsidP="009F5210">
      <w:r>
        <w:t>When the orelabrutinib data is compared to ibrutinib, the results are mixed. Whilst ICP-CL-00107 has a higher ORR, CRR and DCR, the results from ICL-CL-00102 are similar to ibrutinib. The immature median PFS in ICP-CL-00102 is superior to ibrutinib, with the lower 95% CI of PFS in ICP-CL-00102 and ICP-CL-00127 being higher than the ibrutinib median PFS. Although median</w:t>
      </w:r>
      <w:r>
        <w:rPr>
          <w:spacing w:val="-2"/>
        </w:rPr>
        <w:t xml:space="preserve"> </w:t>
      </w:r>
      <w:r>
        <w:t>OS</w:t>
      </w:r>
      <w:r>
        <w:rPr>
          <w:spacing w:val="-4"/>
        </w:rPr>
        <w:t xml:space="preserve"> </w:t>
      </w:r>
      <w:r>
        <w:t>is not</w:t>
      </w:r>
      <w:r>
        <w:rPr>
          <w:spacing w:val="-1"/>
        </w:rPr>
        <w:t xml:space="preserve"> </w:t>
      </w:r>
      <w:r>
        <w:t>reached,</w:t>
      </w:r>
      <w:r>
        <w:rPr>
          <w:spacing w:val="-4"/>
        </w:rPr>
        <w:t xml:space="preserve"> </w:t>
      </w:r>
      <w:r>
        <w:t>the</w:t>
      </w:r>
      <w:r>
        <w:rPr>
          <w:spacing w:val="-1"/>
        </w:rPr>
        <w:t xml:space="preserve"> </w:t>
      </w:r>
      <w:r>
        <w:t>mature</w:t>
      </w:r>
      <w:r>
        <w:rPr>
          <w:spacing w:val="-1"/>
        </w:rPr>
        <w:t xml:space="preserve"> </w:t>
      </w:r>
      <w:r>
        <w:t>ibrutinib</w:t>
      </w:r>
      <w:r>
        <w:rPr>
          <w:spacing w:val="-2"/>
        </w:rPr>
        <w:t xml:space="preserve"> </w:t>
      </w:r>
      <w:r>
        <w:t>data</w:t>
      </w:r>
      <w:r>
        <w:rPr>
          <w:spacing w:val="-4"/>
        </w:rPr>
        <w:t xml:space="preserve"> </w:t>
      </w:r>
      <w:r>
        <w:t>has a</w:t>
      </w:r>
      <w:r>
        <w:rPr>
          <w:spacing w:val="-5"/>
        </w:rPr>
        <w:t xml:space="preserve"> </w:t>
      </w:r>
      <w:r>
        <w:t>median</w:t>
      </w:r>
      <w:r>
        <w:rPr>
          <w:spacing w:val="-2"/>
        </w:rPr>
        <w:t xml:space="preserve"> </w:t>
      </w:r>
      <w:r>
        <w:t>follow</w:t>
      </w:r>
      <w:r>
        <w:rPr>
          <w:spacing w:val="-2"/>
        </w:rPr>
        <w:t xml:space="preserve"> </w:t>
      </w:r>
      <w:r>
        <w:t>up</w:t>
      </w:r>
      <w:r>
        <w:rPr>
          <w:spacing w:val="-1"/>
        </w:rPr>
        <w:t xml:space="preserve"> </w:t>
      </w:r>
      <w:r>
        <w:t>of</w:t>
      </w:r>
      <w:r>
        <w:rPr>
          <w:spacing w:val="-4"/>
        </w:rPr>
        <w:t xml:space="preserve"> </w:t>
      </w:r>
      <w:r>
        <w:t>41.4</w:t>
      </w:r>
      <w:r>
        <w:rPr>
          <w:spacing w:val="-1"/>
        </w:rPr>
        <w:t xml:space="preserve"> </w:t>
      </w:r>
      <w:r>
        <w:t xml:space="preserve">months with median OS defined. This does </w:t>
      </w:r>
      <w:r w:rsidR="00827B37">
        <w:t>suggest</w:t>
      </w:r>
      <w:r>
        <w:t xml:space="preserve"> that perhaps the orelabrutinib data with more time, will </w:t>
      </w:r>
      <w:r>
        <w:lastRenderedPageBreak/>
        <w:t>show</w:t>
      </w:r>
      <w:r>
        <w:rPr>
          <w:spacing w:val="-3"/>
        </w:rPr>
        <w:t xml:space="preserve"> </w:t>
      </w:r>
      <w:r>
        <w:t>PFS/OS</w:t>
      </w:r>
      <w:r>
        <w:rPr>
          <w:spacing w:val="-1"/>
        </w:rPr>
        <w:t xml:space="preserve"> </w:t>
      </w:r>
      <w:r>
        <w:t>benefit.</w:t>
      </w:r>
      <w:r>
        <w:rPr>
          <w:spacing w:val="-4"/>
        </w:rPr>
        <w:t xml:space="preserve"> </w:t>
      </w:r>
      <w:r>
        <w:t>The</w:t>
      </w:r>
      <w:r>
        <w:rPr>
          <w:spacing w:val="-3"/>
        </w:rPr>
        <w:t xml:space="preserve"> </w:t>
      </w:r>
      <w:r>
        <w:t>lower</w:t>
      </w:r>
      <w:r>
        <w:rPr>
          <w:spacing w:val="-2"/>
        </w:rPr>
        <w:t xml:space="preserve"> </w:t>
      </w:r>
      <w:r>
        <w:t>95%</w:t>
      </w:r>
      <w:r>
        <w:rPr>
          <w:spacing w:val="-4"/>
        </w:rPr>
        <w:t xml:space="preserve"> </w:t>
      </w:r>
      <w:r>
        <w:t>CI</w:t>
      </w:r>
      <w:r>
        <w:rPr>
          <w:spacing w:val="-1"/>
        </w:rPr>
        <w:t xml:space="preserve"> </w:t>
      </w:r>
      <w:r>
        <w:t>of</w:t>
      </w:r>
      <w:r>
        <w:rPr>
          <w:spacing w:val="-1"/>
        </w:rPr>
        <w:t xml:space="preserve"> </w:t>
      </w:r>
      <w:r>
        <w:t>the</w:t>
      </w:r>
      <w:r>
        <w:rPr>
          <w:spacing w:val="-1"/>
        </w:rPr>
        <w:t xml:space="preserve"> </w:t>
      </w:r>
      <w:r>
        <w:t>median</w:t>
      </w:r>
      <w:r>
        <w:rPr>
          <w:spacing w:val="-2"/>
        </w:rPr>
        <w:t xml:space="preserve"> </w:t>
      </w:r>
      <w:r>
        <w:t>OS</w:t>
      </w:r>
      <w:r>
        <w:rPr>
          <w:spacing w:val="-1"/>
        </w:rPr>
        <w:t xml:space="preserve"> </w:t>
      </w:r>
      <w:r>
        <w:t>in</w:t>
      </w:r>
      <w:r>
        <w:rPr>
          <w:spacing w:val="-2"/>
        </w:rPr>
        <w:t xml:space="preserve"> </w:t>
      </w:r>
      <w:r>
        <w:t>in</w:t>
      </w:r>
      <w:r>
        <w:rPr>
          <w:spacing w:val="-2"/>
        </w:rPr>
        <w:t xml:space="preserve"> </w:t>
      </w:r>
      <w:r>
        <w:t>ICP-CL-00102</w:t>
      </w:r>
      <w:r>
        <w:rPr>
          <w:spacing w:val="-4"/>
        </w:rPr>
        <w:t xml:space="preserve"> </w:t>
      </w:r>
      <w:r>
        <w:t>and</w:t>
      </w:r>
      <w:r>
        <w:rPr>
          <w:spacing w:val="-2"/>
        </w:rPr>
        <w:t xml:space="preserve"> </w:t>
      </w:r>
      <w:r>
        <w:t>ICP-CL-00127 is higher than the</w:t>
      </w:r>
      <w:r>
        <w:rPr>
          <w:spacing w:val="-2"/>
        </w:rPr>
        <w:t xml:space="preserve"> </w:t>
      </w:r>
      <w:r>
        <w:t>median</w:t>
      </w:r>
      <w:r>
        <w:rPr>
          <w:spacing w:val="-3"/>
        </w:rPr>
        <w:t xml:space="preserve"> </w:t>
      </w:r>
      <w:r>
        <w:t>OS of ibrutinib. Currently,</w:t>
      </w:r>
      <w:r>
        <w:rPr>
          <w:spacing w:val="-1"/>
        </w:rPr>
        <w:t xml:space="preserve"> </w:t>
      </w:r>
      <w:r>
        <w:t>the efficacy data,</w:t>
      </w:r>
      <w:r>
        <w:rPr>
          <w:spacing w:val="-2"/>
        </w:rPr>
        <w:t xml:space="preserve"> </w:t>
      </w:r>
      <w:r>
        <w:t>mainly based on response rates suggest likely non-inferiority to ibrutinib in cross-trial comparison but are not strongly suggestive of superiority. This may change with more robust time-to-event data.</w:t>
      </w:r>
    </w:p>
    <w:p w14:paraId="2CB6B1BA" w14:textId="45679208" w:rsidR="0072689D" w:rsidRDefault="0072689D" w:rsidP="009F5210">
      <w:r>
        <w:t>A</w:t>
      </w:r>
      <w:r>
        <w:rPr>
          <w:spacing w:val="-3"/>
        </w:rPr>
        <w:t xml:space="preserve"> </w:t>
      </w:r>
      <w:r>
        <w:t>similar</w:t>
      </w:r>
      <w:r>
        <w:rPr>
          <w:spacing w:val="-3"/>
        </w:rPr>
        <w:t xml:space="preserve"> </w:t>
      </w:r>
      <w:r>
        <w:t>pattern</w:t>
      </w:r>
      <w:r>
        <w:rPr>
          <w:spacing w:val="-4"/>
        </w:rPr>
        <w:t xml:space="preserve"> </w:t>
      </w:r>
      <w:r>
        <w:t>is</w:t>
      </w:r>
      <w:r>
        <w:rPr>
          <w:spacing w:val="-1"/>
        </w:rPr>
        <w:t xml:space="preserve"> </w:t>
      </w:r>
      <w:r>
        <w:t>seen</w:t>
      </w:r>
      <w:r>
        <w:rPr>
          <w:spacing w:val="-3"/>
        </w:rPr>
        <w:t xml:space="preserve"> </w:t>
      </w:r>
      <w:r>
        <w:t>when</w:t>
      </w:r>
      <w:r>
        <w:rPr>
          <w:spacing w:val="-3"/>
        </w:rPr>
        <w:t xml:space="preserve"> </w:t>
      </w:r>
      <w:r>
        <w:t>compared</w:t>
      </w:r>
      <w:r>
        <w:rPr>
          <w:spacing w:val="-2"/>
        </w:rPr>
        <w:t xml:space="preserve"> </w:t>
      </w:r>
      <w:r>
        <w:t>to</w:t>
      </w:r>
      <w:r>
        <w:rPr>
          <w:spacing w:val="-2"/>
        </w:rPr>
        <w:t xml:space="preserve"> </w:t>
      </w:r>
      <w:r>
        <w:t>acalabrutinib,</w:t>
      </w:r>
      <w:r>
        <w:rPr>
          <w:spacing w:val="-2"/>
        </w:rPr>
        <w:t xml:space="preserve"> </w:t>
      </w:r>
      <w:r>
        <w:t>which</w:t>
      </w:r>
      <w:r>
        <w:rPr>
          <w:spacing w:val="-2"/>
        </w:rPr>
        <w:t xml:space="preserve"> </w:t>
      </w:r>
      <w:r>
        <w:t>has</w:t>
      </w:r>
      <w:r>
        <w:rPr>
          <w:spacing w:val="-1"/>
        </w:rPr>
        <w:t xml:space="preserve"> </w:t>
      </w:r>
      <w:r>
        <w:t>a</w:t>
      </w:r>
      <w:r>
        <w:rPr>
          <w:spacing w:val="-6"/>
        </w:rPr>
        <w:t xml:space="preserve"> </w:t>
      </w:r>
      <w:r>
        <w:t>shorter</w:t>
      </w:r>
      <w:r>
        <w:rPr>
          <w:spacing w:val="-3"/>
        </w:rPr>
        <w:t xml:space="preserve"> </w:t>
      </w:r>
      <w:r>
        <w:t>median</w:t>
      </w:r>
      <w:r>
        <w:rPr>
          <w:spacing w:val="-3"/>
        </w:rPr>
        <w:t xml:space="preserve"> </w:t>
      </w:r>
      <w:r>
        <w:t>follow</w:t>
      </w:r>
      <w:r>
        <w:rPr>
          <w:spacing w:val="-2"/>
        </w:rPr>
        <w:t xml:space="preserve"> </w:t>
      </w:r>
      <w:r>
        <w:t>up in this included data. The results of ORR in ICP-CL-00107 are comparable to acalabrutinib, although acalabrutinib has a higher CRR, whilst ICP-CL-00107 a higher DCR (likely more SD).</w:t>
      </w:r>
      <w:r w:rsidR="00B433C6">
        <w:t xml:space="preserve"> </w:t>
      </w:r>
      <w:r>
        <w:t>The ORR results from ICP-CL-00102 are lower. The median PFS in ICP-CL-00102 is similar to acalabrutinib along with the 24-month PFS rate (which is higher in ICP-CL-00107). The 24-month OS rate from ICP-CL-00102 and ICP-CL-00107 is</w:t>
      </w:r>
      <w:r>
        <w:rPr>
          <w:spacing w:val="-1"/>
        </w:rPr>
        <w:t xml:space="preserve"> </w:t>
      </w:r>
      <w:r>
        <w:t>comparable to acalabrutinib. Of note, at median</w:t>
      </w:r>
      <w:r>
        <w:rPr>
          <w:spacing w:val="-3"/>
        </w:rPr>
        <w:t xml:space="preserve"> </w:t>
      </w:r>
      <w:r>
        <w:t>follow</w:t>
      </w:r>
      <w:r>
        <w:rPr>
          <w:spacing w:val="-3"/>
        </w:rPr>
        <w:t xml:space="preserve"> </w:t>
      </w:r>
      <w:r>
        <w:t>up</w:t>
      </w:r>
      <w:r>
        <w:rPr>
          <w:spacing w:val="-2"/>
        </w:rPr>
        <w:t xml:space="preserve"> </w:t>
      </w:r>
      <w:r>
        <w:t>of</w:t>
      </w:r>
      <w:r>
        <w:rPr>
          <w:spacing w:val="-2"/>
        </w:rPr>
        <w:t xml:space="preserve"> </w:t>
      </w:r>
      <w:r>
        <w:t>38.1</w:t>
      </w:r>
      <w:r>
        <w:rPr>
          <w:spacing w:val="-5"/>
        </w:rPr>
        <w:t xml:space="preserve"> </w:t>
      </w:r>
      <w:r>
        <w:t>months,</w:t>
      </w:r>
      <w:r>
        <w:rPr>
          <w:spacing w:val="-2"/>
        </w:rPr>
        <w:t xml:space="preserve"> </w:t>
      </w:r>
      <w:r>
        <w:t>the</w:t>
      </w:r>
      <w:r>
        <w:rPr>
          <w:spacing w:val="-2"/>
        </w:rPr>
        <w:t xml:space="preserve"> </w:t>
      </w:r>
      <w:r>
        <w:t>acalabrutinib</w:t>
      </w:r>
      <w:r>
        <w:rPr>
          <w:spacing w:val="-6"/>
        </w:rPr>
        <w:t xml:space="preserve"> </w:t>
      </w:r>
      <w:r>
        <w:t>median</w:t>
      </w:r>
      <w:r>
        <w:rPr>
          <w:spacing w:val="-3"/>
        </w:rPr>
        <w:t xml:space="preserve"> </w:t>
      </w:r>
      <w:r>
        <w:t>OS</w:t>
      </w:r>
      <w:r>
        <w:rPr>
          <w:spacing w:val="-2"/>
        </w:rPr>
        <w:t xml:space="preserve"> </w:t>
      </w:r>
      <w:r>
        <w:t>was</w:t>
      </w:r>
      <w:r>
        <w:rPr>
          <w:spacing w:val="-1"/>
        </w:rPr>
        <w:t xml:space="preserve"> </w:t>
      </w:r>
      <w:r>
        <w:t>also</w:t>
      </w:r>
      <w:r>
        <w:rPr>
          <w:spacing w:val="-2"/>
        </w:rPr>
        <w:t xml:space="preserve"> </w:t>
      </w:r>
      <w:r>
        <w:t>not</w:t>
      </w:r>
      <w:r>
        <w:rPr>
          <w:spacing w:val="-2"/>
        </w:rPr>
        <w:t xml:space="preserve"> </w:t>
      </w:r>
      <w:r>
        <w:t>reached.</w:t>
      </w:r>
      <w:r>
        <w:rPr>
          <w:spacing w:val="-5"/>
        </w:rPr>
        <w:t xml:space="preserve"> </w:t>
      </w:r>
      <w:r>
        <w:t>There</w:t>
      </w:r>
      <w:r>
        <w:rPr>
          <w:spacing w:val="-2"/>
        </w:rPr>
        <w:t xml:space="preserve"> </w:t>
      </w:r>
      <w:r>
        <w:t>is</w:t>
      </w:r>
      <w:r>
        <w:rPr>
          <w:spacing w:val="-1"/>
        </w:rPr>
        <w:t xml:space="preserve"> </w:t>
      </w:r>
      <w:r>
        <w:t>no clear</w:t>
      </w:r>
      <w:r>
        <w:rPr>
          <w:spacing w:val="-3"/>
        </w:rPr>
        <w:t xml:space="preserve"> </w:t>
      </w:r>
      <w:r>
        <w:t>suggestion</w:t>
      </w:r>
      <w:r>
        <w:rPr>
          <w:spacing w:val="-1"/>
        </w:rPr>
        <w:t xml:space="preserve"> </w:t>
      </w:r>
      <w:r>
        <w:t>here that</w:t>
      </w:r>
      <w:r>
        <w:rPr>
          <w:spacing w:val="-3"/>
        </w:rPr>
        <w:t xml:space="preserve"> </w:t>
      </w:r>
      <w:r>
        <w:t>orelabrutinib</w:t>
      </w:r>
      <w:r>
        <w:rPr>
          <w:spacing w:val="-1"/>
        </w:rPr>
        <w:t xml:space="preserve"> </w:t>
      </w:r>
      <w:r>
        <w:t>will be</w:t>
      </w:r>
      <w:r>
        <w:rPr>
          <w:spacing w:val="-3"/>
        </w:rPr>
        <w:t xml:space="preserve"> </w:t>
      </w:r>
      <w:r>
        <w:t>superior to</w:t>
      </w:r>
      <w:r>
        <w:rPr>
          <w:spacing w:val="-3"/>
        </w:rPr>
        <w:t xml:space="preserve"> </w:t>
      </w:r>
      <w:r>
        <w:t>acalabrutinib, despite the preclinical assertions. Further time-to-event data may change</w:t>
      </w:r>
      <w:r>
        <w:rPr>
          <w:spacing w:val="-2"/>
        </w:rPr>
        <w:t xml:space="preserve"> </w:t>
      </w:r>
      <w:r>
        <w:t>this. In general, from this</w:t>
      </w:r>
      <w:r>
        <w:rPr>
          <w:spacing w:val="-1"/>
        </w:rPr>
        <w:t xml:space="preserve"> </w:t>
      </w:r>
      <w:r>
        <w:t>data, orelabrutinib does seem to be more comparable to acalabrutinib than Zanubrutinib in efficacy. Another difference being that acalabrutinib also now has data in the 1L setting in combination with BR (FDA approval based on PFS benefit- (FDA, 2025)</w:t>
      </w:r>
      <w:r w:rsidR="00293678">
        <w:t>.</w:t>
      </w:r>
      <w:r w:rsidR="00B16FB9">
        <w:rPr>
          <w:rStyle w:val="FootnoteReference"/>
        </w:rPr>
        <w:footnoteReference w:id="5"/>
      </w:r>
    </w:p>
    <w:p w14:paraId="77CCEC55" w14:textId="3F82191E" w:rsidR="0072689D" w:rsidRDefault="0072689D" w:rsidP="004C1A7F">
      <w:r>
        <w:t>Overall, there is evidence that orelabrutinib is efficacious in R/R MCL based on response rates, which, with time is likely to be confirmed in time-to-event data. When comparing across trials (within those limitations), the suggestion is that orelabrutinib is non-inferior to ibrutinib and acalabrutinib</w:t>
      </w:r>
      <w:r>
        <w:rPr>
          <w:spacing w:val="-3"/>
        </w:rPr>
        <w:t xml:space="preserve"> </w:t>
      </w:r>
      <w:r>
        <w:t>(and</w:t>
      </w:r>
      <w:r>
        <w:rPr>
          <w:spacing w:val="-3"/>
        </w:rPr>
        <w:t xml:space="preserve"> </w:t>
      </w:r>
      <w:r>
        <w:t>zanubrutinib)</w:t>
      </w:r>
      <w:r w:rsidR="00827B37">
        <w:t>. However</w:t>
      </w:r>
      <w:r>
        <w:t>,</w:t>
      </w:r>
      <w:r>
        <w:rPr>
          <w:spacing w:val="-2"/>
        </w:rPr>
        <w:t xml:space="preserve"> </w:t>
      </w:r>
      <w:r>
        <w:t>the</w:t>
      </w:r>
      <w:r>
        <w:rPr>
          <w:spacing w:val="-2"/>
        </w:rPr>
        <w:t xml:space="preserve"> </w:t>
      </w:r>
      <w:r>
        <w:t>assertion</w:t>
      </w:r>
      <w:r>
        <w:rPr>
          <w:spacing w:val="-3"/>
        </w:rPr>
        <w:t xml:space="preserve"> </w:t>
      </w:r>
      <w:r>
        <w:t>that</w:t>
      </w:r>
      <w:r>
        <w:rPr>
          <w:spacing w:val="-6"/>
        </w:rPr>
        <w:t xml:space="preserve"> </w:t>
      </w:r>
      <w:r>
        <w:t>it</w:t>
      </w:r>
      <w:r>
        <w:rPr>
          <w:spacing w:val="-3"/>
        </w:rPr>
        <w:t xml:space="preserve"> </w:t>
      </w:r>
      <w:r>
        <w:t>is</w:t>
      </w:r>
      <w:r>
        <w:rPr>
          <w:spacing w:val="-4"/>
        </w:rPr>
        <w:t xml:space="preserve"> </w:t>
      </w:r>
      <w:r>
        <w:t>superior</w:t>
      </w:r>
      <w:r>
        <w:rPr>
          <w:spacing w:val="-2"/>
        </w:rPr>
        <w:t xml:space="preserve"> </w:t>
      </w:r>
      <w:r>
        <w:t>is</w:t>
      </w:r>
      <w:r>
        <w:rPr>
          <w:spacing w:val="-1"/>
        </w:rPr>
        <w:t xml:space="preserve"> </w:t>
      </w:r>
      <w:r>
        <w:t>not</w:t>
      </w:r>
      <w:r>
        <w:rPr>
          <w:spacing w:val="-2"/>
        </w:rPr>
        <w:t xml:space="preserve"> </w:t>
      </w:r>
      <w:r>
        <w:t>clearly</w:t>
      </w:r>
      <w:r>
        <w:rPr>
          <w:spacing w:val="-3"/>
        </w:rPr>
        <w:t xml:space="preserve"> </w:t>
      </w:r>
      <w:r>
        <w:t xml:space="preserve">proven from this early data. The evaluator is comfortable with the efficacy of orelabrutinib being non-inferior to ibrutinib (with some suggestion that time-to-event data will end up with improvement). However, additional benefits in terms of safety when compared to ibrutinib would be required to firmly prove that orelabrutinib is of benefit to the Australian market (compared to ibrutinib) based on this early data. Non-inferiority of orelabrutinib to acalabrutinib cannot be confirmed based on this data. This is largely because results from the larger ICP-CL-00102, in terms of response rates are lower in orelabrutinib compared to acalabrutinib, with the smaller ICP-CL-00107 study showing more comparable results to acalabrutinib. The limited time-to-event data (of </w:t>
      </w:r>
      <w:r w:rsidR="00171138">
        <w:t>24-month</w:t>
      </w:r>
      <w:r>
        <w:t xml:space="preserve"> PFS and OS rate and median PFS from ICP-CL-00102) however is promising that orelabrutinib will ultimately be non-inferior to acalabrutinib when further data is provided.</w:t>
      </w:r>
    </w:p>
    <w:p w14:paraId="31292884" w14:textId="6EFC234D" w:rsidR="0072689D" w:rsidRPr="00E71D81" w:rsidRDefault="001D0F33" w:rsidP="004C1A7F">
      <w:r>
        <w:t>For</w:t>
      </w:r>
      <w:r w:rsidR="00B3261B" w:rsidRPr="00E71D81">
        <w:t xml:space="preserve"> the purposes of provisional registration in the context of this submission, satisfactory efficacy</w:t>
      </w:r>
      <w:r w:rsidR="00B3261B" w:rsidRPr="00E71D81">
        <w:rPr>
          <w:spacing w:val="-1"/>
        </w:rPr>
        <w:t xml:space="preserve"> </w:t>
      </w:r>
      <w:r w:rsidR="00B3261B" w:rsidRPr="00E71D81">
        <w:t>of</w:t>
      </w:r>
      <w:r w:rsidR="00B3261B" w:rsidRPr="00E71D81">
        <w:rPr>
          <w:spacing w:val="-1"/>
        </w:rPr>
        <w:t xml:space="preserve"> </w:t>
      </w:r>
      <w:r w:rsidR="00B3261B" w:rsidRPr="00E71D81">
        <w:t xml:space="preserve">orelabrutinib </w:t>
      </w:r>
      <w:r w:rsidR="00B3261B" w:rsidRPr="00171138">
        <w:rPr>
          <w:bCs/>
        </w:rPr>
        <w:t>does</w:t>
      </w:r>
      <w:r w:rsidR="00B3261B" w:rsidRPr="00171138">
        <w:rPr>
          <w:bCs/>
          <w:spacing w:val="-1"/>
        </w:rPr>
        <w:t xml:space="preserve"> </w:t>
      </w:r>
      <w:r w:rsidR="00B3261B" w:rsidRPr="00171138">
        <w:rPr>
          <w:bCs/>
        </w:rPr>
        <w:t>not</w:t>
      </w:r>
      <w:r w:rsidR="00B3261B" w:rsidRPr="00171138">
        <w:rPr>
          <w:bCs/>
          <w:spacing w:val="-1"/>
        </w:rPr>
        <w:t xml:space="preserve"> </w:t>
      </w:r>
      <w:r w:rsidR="00B3261B" w:rsidRPr="00171138">
        <w:rPr>
          <w:bCs/>
        </w:rPr>
        <w:t>require</w:t>
      </w:r>
      <w:r w:rsidR="00B3261B" w:rsidRPr="00E71D81">
        <w:rPr>
          <w:b/>
        </w:rPr>
        <w:t xml:space="preserve"> </w:t>
      </w:r>
      <w:r w:rsidR="00B3261B" w:rsidRPr="00E71D81">
        <w:t>demonstration of</w:t>
      </w:r>
      <w:r w:rsidR="00B3261B" w:rsidRPr="00E71D81">
        <w:rPr>
          <w:spacing w:val="-1"/>
        </w:rPr>
        <w:t xml:space="preserve"> </w:t>
      </w:r>
      <w:r w:rsidR="00B3261B" w:rsidRPr="00E71D81">
        <w:t>neither superiority,</w:t>
      </w:r>
      <w:r w:rsidR="00B3261B" w:rsidRPr="00E71D81">
        <w:rPr>
          <w:spacing w:val="-3"/>
        </w:rPr>
        <w:t xml:space="preserve"> </w:t>
      </w:r>
      <w:r w:rsidR="00B3261B" w:rsidRPr="00E71D81">
        <w:t>nor</w:t>
      </w:r>
      <w:r w:rsidR="00B3261B" w:rsidRPr="00E71D81">
        <w:rPr>
          <w:spacing w:val="-2"/>
        </w:rPr>
        <w:t xml:space="preserve"> </w:t>
      </w:r>
      <w:r w:rsidR="00B3261B" w:rsidRPr="00E71D81">
        <w:t>non-inferiority, of orelabrutinib with other agents including acalabrutinib or Zanubrutinib</w:t>
      </w:r>
      <w:r w:rsidR="00E71D81" w:rsidRPr="00E71D81">
        <w:t>.</w:t>
      </w:r>
    </w:p>
    <w:p w14:paraId="6A6D549D" w14:textId="61F758B0" w:rsidR="00E71D81" w:rsidRPr="00E71D81" w:rsidRDefault="00E71D81" w:rsidP="004C1A7F">
      <w:pPr>
        <w:rPr>
          <w:sz w:val="20"/>
        </w:rPr>
      </w:pPr>
      <w:r w:rsidRPr="00E71D81">
        <w:rPr>
          <w:color w:val="000000"/>
        </w:rPr>
        <w:t>The</w:t>
      </w:r>
      <w:r w:rsidRPr="00E71D81">
        <w:rPr>
          <w:color w:val="000000"/>
          <w:spacing w:val="-3"/>
        </w:rPr>
        <w:t xml:space="preserve"> </w:t>
      </w:r>
      <w:r w:rsidRPr="00E71D81">
        <w:rPr>
          <w:color w:val="000000"/>
        </w:rPr>
        <w:t>ORR</w:t>
      </w:r>
      <w:r w:rsidRPr="00E71D81">
        <w:rPr>
          <w:color w:val="000000"/>
          <w:spacing w:val="-4"/>
        </w:rPr>
        <w:t xml:space="preserve"> </w:t>
      </w:r>
      <w:r w:rsidRPr="00E71D81">
        <w:rPr>
          <w:color w:val="000000"/>
        </w:rPr>
        <w:t>demonstrated</w:t>
      </w:r>
      <w:r w:rsidRPr="00E71D81">
        <w:rPr>
          <w:color w:val="000000"/>
          <w:spacing w:val="-4"/>
        </w:rPr>
        <w:t xml:space="preserve"> </w:t>
      </w:r>
      <w:r w:rsidRPr="00E71D81">
        <w:rPr>
          <w:color w:val="000000"/>
        </w:rPr>
        <w:t>in</w:t>
      </w:r>
      <w:r w:rsidRPr="00E71D81">
        <w:rPr>
          <w:color w:val="000000"/>
          <w:spacing w:val="-3"/>
        </w:rPr>
        <w:t xml:space="preserve"> </w:t>
      </w:r>
      <w:r w:rsidRPr="00E71D81">
        <w:rPr>
          <w:color w:val="000000"/>
        </w:rPr>
        <w:t>the</w:t>
      </w:r>
      <w:r w:rsidRPr="00E71D81">
        <w:rPr>
          <w:color w:val="000000"/>
          <w:spacing w:val="-2"/>
        </w:rPr>
        <w:t xml:space="preserve"> </w:t>
      </w:r>
      <w:r w:rsidRPr="00E71D81">
        <w:rPr>
          <w:color w:val="000000"/>
        </w:rPr>
        <w:t>two</w:t>
      </w:r>
      <w:r w:rsidRPr="00E71D81">
        <w:rPr>
          <w:color w:val="000000"/>
          <w:spacing w:val="-3"/>
        </w:rPr>
        <w:t xml:space="preserve"> </w:t>
      </w:r>
      <w:r w:rsidRPr="00E71D81">
        <w:rPr>
          <w:color w:val="000000"/>
        </w:rPr>
        <w:t>pivotal</w:t>
      </w:r>
      <w:r w:rsidRPr="00E71D81">
        <w:rPr>
          <w:color w:val="000000"/>
          <w:spacing w:val="-2"/>
        </w:rPr>
        <w:t xml:space="preserve"> </w:t>
      </w:r>
      <w:r w:rsidRPr="00E71D81">
        <w:rPr>
          <w:color w:val="000000"/>
        </w:rPr>
        <w:t>single-arm</w:t>
      </w:r>
      <w:r w:rsidRPr="00E71D81">
        <w:rPr>
          <w:color w:val="000000"/>
          <w:spacing w:val="-3"/>
        </w:rPr>
        <w:t xml:space="preserve"> </w:t>
      </w:r>
      <w:r w:rsidRPr="00E71D81">
        <w:rPr>
          <w:color w:val="000000"/>
        </w:rPr>
        <w:t>phase</w:t>
      </w:r>
      <w:r w:rsidRPr="00E71D81">
        <w:rPr>
          <w:color w:val="000000"/>
          <w:spacing w:val="-3"/>
        </w:rPr>
        <w:t xml:space="preserve"> </w:t>
      </w:r>
      <w:r w:rsidRPr="00E71D81">
        <w:rPr>
          <w:color w:val="000000"/>
        </w:rPr>
        <w:t>1/2</w:t>
      </w:r>
      <w:r w:rsidRPr="00E71D81">
        <w:rPr>
          <w:color w:val="000000"/>
          <w:spacing w:val="-4"/>
        </w:rPr>
        <w:t xml:space="preserve"> </w:t>
      </w:r>
      <w:r w:rsidRPr="00E71D81">
        <w:rPr>
          <w:color w:val="000000"/>
        </w:rPr>
        <w:t>studies</w:t>
      </w:r>
      <w:r w:rsidRPr="00E71D81">
        <w:rPr>
          <w:color w:val="000000"/>
          <w:spacing w:val="-4"/>
        </w:rPr>
        <w:t xml:space="preserve"> </w:t>
      </w:r>
      <w:r w:rsidRPr="00E71D81">
        <w:rPr>
          <w:color w:val="000000"/>
        </w:rPr>
        <w:t>(ICP-CL-00102</w:t>
      </w:r>
      <w:r w:rsidRPr="00E71D81">
        <w:rPr>
          <w:color w:val="000000"/>
          <w:spacing w:val="-6"/>
        </w:rPr>
        <w:t xml:space="preserve"> </w:t>
      </w:r>
      <w:r w:rsidRPr="00E71D81">
        <w:rPr>
          <w:color w:val="000000"/>
        </w:rPr>
        <w:t>and ICP-CL-00107) strongly suggest that orelabrutinib is efficacious in the evaluated patient population, irrespective of the availability of any other registered (provisional or standard) BTKIs</w:t>
      </w:r>
      <w:r w:rsidR="008149B5">
        <w:rPr>
          <w:color w:val="000000"/>
        </w:rPr>
        <w:t>.</w:t>
      </w:r>
    </w:p>
    <w:p w14:paraId="057AD382" w14:textId="47254414" w:rsidR="00017C0A" w:rsidRDefault="00017C0A" w:rsidP="00017C0A">
      <w:pPr>
        <w:pStyle w:val="Heading4"/>
      </w:pPr>
      <w:bookmarkStart w:id="63" w:name="_Toc241844859"/>
      <w:r>
        <w:t>Safety</w:t>
      </w:r>
      <w:bookmarkEnd w:id="63"/>
    </w:p>
    <w:p w14:paraId="70DC552B" w14:textId="56D92E40" w:rsidR="00F04242" w:rsidRDefault="00F04242" w:rsidP="00F04242">
      <w:r>
        <w:t>The</w:t>
      </w:r>
      <w:r>
        <w:rPr>
          <w:spacing w:val="-5"/>
        </w:rPr>
        <w:t xml:space="preserve"> </w:t>
      </w:r>
      <w:r w:rsidR="00971397">
        <w:rPr>
          <w:spacing w:val="-5"/>
        </w:rPr>
        <w:t>s</w:t>
      </w:r>
      <w:r>
        <w:t>ponsor</w:t>
      </w:r>
      <w:r>
        <w:rPr>
          <w:spacing w:val="-2"/>
        </w:rPr>
        <w:t xml:space="preserve"> </w:t>
      </w:r>
      <w:r>
        <w:t>provided</w:t>
      </w:r>
      <w:r>
        <w:rPr>
          <w:spacing w:val="-5"/>
        </w:rPr>
        <w:t xml:space="preserve"> </w:t>
      </w:r>
      <w:r>
        <w:t>safety</w:t>
      </w:r>
      <w:r>
        <w:rPr>
          <w:spacing w:val="-3"/>
        </w:rPr>
        <w:t xml:space="preserve"> </w:t>
      </w:r>
      <w:r>
        <w:t>data</w:t>
      </w:r>
      <w:r>
        <w:rPr>
          <w:spacing w:val="-2"/>
        </w:rPr>
        <w:t xml:space="preserve"> </w:t>
      </w:r>
      <w:r>
        <w:t>from</w:t>
      </w:r>
      <w:r>
        <w:rPr>
          <w:spacing w:val="-1"/>
        </w:rPr>
        <w:t xml:space="preserve"> </w:t>
      </w:r>
      <w:r>
        <w:t>several</w:t>
      </w:r>
      <w:r>
        <w:rPr>
          <w:spacing w:val="-2"/>
        </w:rPr>
        <w:t xml:space="preserve"> </w:t>
      </w:r>
      <w:r>
        <w:t>studies,</w:t>
      </w:r>
      <w:r>
        <w:rPr>
          <w:spacing w:val="-2"/>
        </w:rPr>
        <w:t xml:space="preserve"> </w:t>
      </w:r>
      <w:r>
        <w:t>with</w:t>
      </w:r>
      <w:r>
        <w:rPr>
          <w:spacing w:val="-2"/>
        </w:rPr>
        <w:t xml:space="preserve"> </w:t>
      </w:r>
      <w:r>
        <w:t>3</w:t>
      </w:r>
      <w:r>
        <w:rPr>
          <w:spacing w:val="-6"/>
        </w:rPr>
        <w:t xml:space="preserve"> </w:t>
      </w:r>
      <w:r>
        <w:t>main</w:t>
      </w:r>
      <w:r>
        <w:rPr>
          <w:spacing w:val="-3"/>
        </w:rPr>
        <w:t xml:space="preserve"> </w:t>
      </w:r>
      <w:r>
        <w:t>studies</w:t>
      </w:r>
      <w:r>
        <w:rPr>
          <w:spacing w:val="-1"/>
        </w:rPr>
        <w:t xml:space="preserve"> </w:t>
      </w:r>
      <w:r>
        <w:t>contributing</w:t>
      </w:r>
      <w:r>
        <w:rPr>
          <w:spacing w:val="-1"/>
        </w:rPr>
        <w:t xml:space="preserve"> </w:t>
      </w:r>
      <w:r>
        <w:t>to</w:t>
      </w:r>
      <w:r>
        <w:rPr>
          <w:spacing w:val="-2"/>
        </w:rPr>
        <w:t xml:space="preserve"> </w:t>
      </w:r>
      <w:r>
        <w:t>the safety evaluation:</w:t>
      </w:r>
    </w:p>
    <w:p w14:paraId="2A8B35F0" w14:textId="77777777" w:rsidR="00043F3A" w:rsidRDefault="00363927">
      <w:pPr>
        <w:pStyle w:val="ListBullet"/>
      </w:pPr>
      <w:r>
        <w:t>S</w:t>
      </w:r>
      <w:r w:rsidR="00F04242">
        <w:t>tudy</w:t>
      </w:r>
      <w:r w:rsidR="00F04242" w:rsidRPr="00043F3A">
        <w:rPr>
          <w:spacing w:val="-6"/>
        </w:rPr>
        <w:t xml:space="preserve"> </w:t>
      </w:r>
      <w:r w:rsidR="00F04242">
        <w:t>ICP-CL-00102</w:t>
      </w:r>
      <w:r w:rsidR="00F04242" w:rsidRPr="00043F3A">
        <w:rPr>
          <w:spacing w:val="-5"/>
        </w:rPr>
        <w:t xml:space="preserve"> </w:t>
      </w:r>
      <w:r w:rsidR="00F04242">
        <w:t>(China;</w:t>
      </w:r>
      <w:r w:rsidR="00F04242" w:rsidRPr="00043F3A">
        <w:rPr>
          <w:spacing w:val="-5"/>
        </w:rPr>
        <w:t xml:space="preserve"> </w:t>
      </w:r>
      <w:r w:rsidR="00F04242" w:rsidRPr="00043F3A">
        <w:rPr>
          <w:spacing w:val="-2"/>
        </w:rPr>
        <w:t>n=106)</w:t>
      </w:r>
    </w:p>
    <w:p w14:paraId="04B9F1E3" w14:textId="0B61306B" w:rsidR="00F04242" w:rsidRDefault="000A143E">
      <w:pPr>
        <w:pStyle w:val="ListBullet"/>
      </w:pPr>
      <w:r>
        <w:t>S</w:t>
      </w:r>
      <w:r w:rsidR="00F04242">
        <w:t>tudy</w:t>
      </w:r>
      <w:r w:rsidR="00F04242" w:rsidRPr="00043F3A">
        <w:rPr>
          <w:spacing w:val="-7"/>
        </w:rPr>
        <w:t xml:space="preserve"> </w:t>
      </w:r>
      <w:r w:rsidR="00F04242">
        <w:t>ICP-CL-00107</w:t>
      </w:r>
      <w:r w:rsidR="00F04242" w:rsidRPr="00043F3A">
        <w:rPr>
          <w:spacing w:val="-4"/>
        </w:rPr>
        <w:t xml:space="preserve"> </w:t>
      </w:r>
      <w:r w:rsidR="00F04242">
        <w:t>(mainly</w:t>
      </w:r>
      <w:r w:rsidR="00F04242" w:rsidRPr="00043F3A">
        <w:rPr>
          <w:spacing w:val="-5"/>
        </w:rPr>
        <w:t xml:space="preserve"> </w:t>
      </w:r>
      <w:r w:rsidR="00F04242">
        <w:t>USA;</w:t>
      </w:r>
      <w:r w:rsidR="00F04242" w:rsidRPr="00043F3A">
        <w:rPr>
          <w:spacing w:val="-4"/>
        </w:rPr>
        <w:t xml:space="preserve"> </w:t>
      </w:r>
      <w:r w:rsidR="00F04242" w:rsidRPr="00043F3A">
        <w:rPr>
          <w:spacing w:val="-2"/>
        </w:rPr>
        <w:t>n=43)</w:t>
      </w:r>
    </w:p>
    <w:p w14:paraId="6C813D12" w14:textId="64D0219E" w:rsidR="00F04242" w:rsidRDefault="000A143E" w:rsidP="00F04242">
      <w:pPr>
        <w:pStyle w:val="ListBullet"/>
      </w:pPr>
      <w:r>
        <w:rPr>
          <w:rFonts w:ascii="Century Gothic"/>
          <w:spacing w:val="-10"/>
        </w:rPr>
        <w:t>S</w:t>
      </w:r>
      <w:r w:rsidR="00F04242">
        <w:t>tudy</w:t>
      </w:r>
      <w:r w:rsidR="00F04242">
        <w:rPr>
          <w:spacing w:val="-5"/>
        </w:rPr>
        <w:t xml:space="preserve"> </w:t>
      </w:r>
      <w:r w:rsidR="00F04242">
        <w:t>ICP-CL-00127</w:t>
      </w:r>
      <w:r w:rsidR="00F04242">
        <w:rPr>
          <w:spacing w:val="-4"/>
        </w:rPr>
        <w:t xml:space="preserve"> </w:t>
      </w:r>
      <w:r w:rsidR="00F04242">
        <w:rPr>
          <w:spacing w:val="-2"/>
        </w:rPr>
        <w:t>(n=40)</w:t>
      </w:r>
      <w:r w:rsidR="00971397">
        <w:rPr>
          <w:spacing w:val="-2"/>
        </w:rPr>
        <w:t>.</w:t>
      </w:r>
    </w:p>
    <w:p w14:paraId="3510D0CE" w14:textId="4FE2BF74" w:rsidR="00F04242" w:rsidRDefault="008C010E" w:rsidP="00F04242">
      <w:pPr>
        <w:pStyle w:val="BodyText"/>
        <w:spacing w:before="121"/>
        <w:ind w:left="23" w:right="94"/>
      </w:pPr>
      <w:r>
        <w:lastRenderedPageBreak/>
        <w:t>A p</w:t>
      </w:r>
      <w:r w:rsidR="00F04242">
        <w:t>ooled</w:t>
      </w:r>
      <w:r w:rsidR="00F04242">
        <w:rPr>
          <w:spacing w:val="-6"/>
        </w:rPr>
        <w:t xml:space="preserve"> </w:t>
      </w:r>
      <w:r w:rsidR="00F04242">
        <w:t>safety</w:t>
      </w:r>
      <w:r w:rsidR="00F04242">
        <w:rPr>
          <w:spacing w:val="-7"/>
        </w:rPr>
        <w:t xml:space="preserve"> </w:t>
      </w:r>
      <w:r w:rsidR="00F04242">
        <w:t>set</w:t>
      </w:r>
      <w:r w:rsidR="00F04242">
        <w:rPr>
          <w:spacing w:val="-3"/>
        </w:rPr>
        <w:t xml:space="preserve"> </w:t>
      </w:r>
      <w:r w:rsidR="00F04242">
        <w:t>of</w:t>
      </w:r>
      <w:r w:rsidR="00F04242">
        <w:rPr>
          <w:spacing w:val="-3"/>
        </w:rPr>
        <w:t xml:space="preserve"> </w:t>
      </w:r>
      <w:r w:rsidR="00F04242">
        <w:t>patients</w:t>
      </w:r>
      <w:r w:rsidR="00F04242">
        <w:rPr>
          <w:spacing w:val="-3"/>
        </w:rPr>
        <w:t xml:space="preserve"> </w:t>
      </w:r>
      <w:r w:rsidR="00F04242">
        <w:t>with</w:t>
      </w:r>
      <w:r w:rsidR="00F04242">
        <w:rPr>
          <w:spacing w:val="-3"/>
        </w:rPr>
        <w:t xml:space="preserve"> </w:t>
      </w:r>
      <w:r w:rsidR="00F04242">
        <w:t>B</w:t>
      </w:r>
      <w:r w:rsidR="00F04242">
        <w:rPr>
          <w:spacing w:val="-4"/>
        </w:rPr>
        <w:t xml:space="preserve"> </w:t>
      </w:r>
      <w:r w:rsidR="00F04242">
        <w:t>cell</w:t>
      </w:r>
      <w:r w:rsidR="00F04242">
        <w:rPr>
          <w:spacing w:val="-3"/>
        </w:rPr>
        <w:t xml:space="preserve"> </w:t>
      </w:r>
      <w:r w:rsidR="00F04242">
        <w:t>malignancies</w:t>
      </w:r>
      <w:r w:rsidR="00F04242">
        <w:rPr>
          <w:spacing w:val="-2"/>
        </w:rPr>
        <w:t xml:space="preserve"> </w:t>
      </w:r>
      <w:r w:rsidR="00F04242">
        <w:t>receiving</w:t>
      </w:r>
      <w:r w:rsidR="00F04242">
        <w:rPr>
          <w:spacing w:val="-2"/>
        </w:rPr>
        <w:t xml:space="preserve"> </w:t>
      </w:r>
      <w:r w:rsidR="00F04242">
        <w:t>orelabrutinib</w:t>
      </w:r>
      <w:r>
        <w:t xml:space="preserve"> </w:t>
      </w:r>
      <w:r w:rsidR="00F04242">
        <w:t>150</w:t>
      </w:r>
      <w:r>
        <w:t xml:space="preserve"> </w:t>
      </w:r>
      <w:r w:rsidR="00F04242">
        <w:t>mg</w:t>
      </w:r>
      <w:r w:rsidR="00F04242">
        <w:rPr>
          <w:spacing w:val="-2"/>
        </w:rPr>
        <w:t xml:space="preserve"> </w:t>
      </w:r>
      <w:r w:rsidR="00F04242">
        <w:t>daily (n=565) was also evaluated.</w:t>
      </w:r>
    </w:p>
    <w:p w14:paraId="61272CA6" w14:textId="59C7FF76" w:rsidR="00F04242" w:rsidRDefault="00F04242" w:rsidP="00F04242">
      <w:pPr>
        <w:pStyle w:val="BodyText"/>
        <w:spacing w:before="120" w:line="257" w:lineRule="exact"/>
        <w:ind w:left="23"/>
      </w:pPr>
      <w:r>
        <w:t>Exposure</w:t>
      </w:r>
      <w:r>
        <w:rPr>
          <w:spacing w:val="-5"/>
        </w:rPr>
        <w:t xml:space="preserve"> </w:t>
      </w:r>
      <w:r>
        <w:t>from</w:t>
      </w:r>
      <w:r>
        <w:rPr>
          <w:spacing w:val="-2"/>
        </w:rPr>
        <w:t xml:space="preserve"> </w:t>
      </w:r>
      <w:r>
        <w:t>the</w:t>
      </w:r>
      <w:r>
        <w:rPr>
          <w:spacing w:val="-6"/>
        </w:rPr>
        <w:t xml:space="preserve"> </w:t>
      </w:r>
      <w:r>
        <w:t>main</w:t>
      </w:r>
      <w:r>
        <w:rPr>
          <w:spacing w:val="-4"/>
        </w:rPr>
        <w:t xml:space="preserve"> </w:t>
      </w:r>
      <w:r>
        <w:t>safety</w:t>
      </w:r>
      <w:r>
        <w:rPr>
          <w:spacing w:val="-4"/>
        </w:rPr>
        <w:t xml:space="preserve"> </w:t>
      </w:r>
      <w:r>
        <w:t>population</w:t>
      </w:r>
      <w:r>
        <w:rPr>
          <w:spacing w:val="-3"/>
        </w:rPr>
        <w:t xml:space="preserve"> </w:t>
      </w:r>
      <w:r>
        <w:t>of</w:t>
      </w:r>
      <w:r>
        <w:rPr>
          <w:spacing w:val="-3"/>
        </w:rPr>
        <w:t xml:space="preserve"> </w:t>
      </w:r>
      <w:r>
        <w:t>R/R</w:t>
      </w:r>
      <w:r>
        <w:rPr>
          <w:spacing w:val="-4"/>
        </w:rPr>
        <w:t xml:space="preserve"> </w:t>
      </w:r>
      <w:r>
        <w:t>MCL</w:t>
      </w:r>
      <w:r>
        <w:rPr>
          <w:spacing w:val="-4"/>
        </w:rPr>
        <w:t xml:space="preserve"> </w:t>
      </w:r>
      <w:r>
        <w:t>and</w:t>
      </w:r>
      <w:r>
        <w:rPr>
          <w:spacing w:val="-4"/>
        </w:rPr>
        <w:t xml:space="preserve"> </w:t>
      </w:r>
      <w:r>
        <w:t>PK/PD</w:t>
      </w:r>
      <w:r>
        <w:rPr>
          <w:spacing w:val="-3"/>
        </w:rPr>
        <w:t xml:space="preserve"> </w:t>
      </w:r>
      <w:r>
        <w:t>studies</w:t>
      </w:r>
      <w:r>
        <w:rPr>
          <w:spacing w:val="-2"/>
        </w:rPr>
        <w:t xml:space="preserve"> </w:t>
      </w:r>
      <w:r w:rsidR="00C37634">
        <w:t>is presented</w:t>
      </w:r>
      <w:r>
        <w:rPr>
          <w:spacing w:val="-4"/>
        </w:rPr>
        <w:t xml:space="preserve"> </w:t>
      </w:r>
      <w:r>
        <w:t>in</w:t>
      </w:r>
      <w:r>
        <w:rPr>
          <w:spacing w:val="-3"/>
        </w:rPr>
        <w:t xml:space="preserve"> </w:t>
      </w:r>
      <w:r>
        <w:rPr>
          <w:spacing w:val="-2"/>
        </w:rPr>
        <w:t>table</w:t>
      </w:r>
    </w:p>
    <w:p w14:paraId="36E8D6E3" w14:textId="555DCC06" w:rsidR="00F04242" w:rsidRDefault="00700ED1" w:rsidP="00F04242">
      <w:pPr>
        <w:pStyle w:val="BodyText"/>
        <w:ind w:left="23"/>
      </w:pPr>
      <w:r>
        <w:t>1</w:t>
      </w:r>
      <w:r w:rsidR="00B7429B">
        <w:t>1</w:t>
      </w:r>
      <w:r w:rsidR="00F04242">
        <w:t>.</w:t>
      </w:r>
      <w:r w:rsidR="00F04242">
        <w:rPr>
          <w:spacing w:val="40"/>
        </w:rPr>
        <w:t xml:space="preserve"> </w:t>
      </w:r>
      <w:r w:rsidR="00F04242">
        <w:t>Exposure</w:t>
      </w:r>
      <w:r w:rsidR="00F04242">
        <w:rPr>
          <w:spacing w:val="-3"/>
        </w:rPr>
        <w:t xml:space="preserve"> </w:t>
      </w:r>
      <w:r w:rsidR="00F04242">
        <w:t>across</w:t>
      </w:r>
      <w:r w:rsidR="00F04242">
        <w:rPr>
          <w:spacing w:val="-2"/>
        </w:rPr>
        <w:t xml:space="preserve"> </w:t>
      </w:r>
      <w:r w:rsidR="00F04242">
        <w:t>ICP-CL-00102</w:t>
      </w:r>
      <w:r w:rsidR="00F04242">
        <w:rPr>
          <w:spacing w:val="-3"/>
        </w:rPr>
        <w:t xml:space="preserve"> </w:t>
      </w:r>
      <w:r w:rsidR="00F04242">
        <w:t>and</w:t>
      </w:r>
      <w:r w:rsidR="00F04242">
        <w:rPr>
          <w:spacing w:val="-3"/>
        </w:rPr>
        <w:t xml:space="preserve"> </w:t>
      </w:r>
      <w:r w:rsidR="00F04242">
        <w:t>ICP-CL-00107</w:t>
      </w:r>
      <w:r w:rsidR="00F04242">
        <w:rPr>
          <w:spacing w:val="-3"/>
        </w:rPr>
        <w:t xml:space="preserve"> </w:t>
      </w:r>
      <w:r w:rsidR="00F04242">
        <w:t>was</w:t>
      </w:r>
      <w:r w:rsidR="00F04242">
        <w:rPr>
          <w:spacing w:val="-3"/>
        </w:rPr>
        <w:t xml:space="preserve"> </w:t>
      </w:r>
      <w:r w:rsidR="00F04242">
        <w:t>similar</w:t>
      </w:r>
      <w:r w:rsidR="00F04242">
        <w:rPr>
          <w:spacing w:val="-3"/>
        </w:rPr>
        <w:t xml:space="preserve"> </w:t>
      </w:r>
      <w:r w:rsidR="00F04242" w:rsidRPr="00F04242">
        <w:t>(16.2-22.9 months) and mostly &gt;12 cycles (67.9-69.8%). ICP-CL-00127 had reduced exposure</w:t>
      </w:r>
      <w:r w:rsidR="00F04242">
        <w:t xml:space="preserve"> (approximately 100 days) due to the short median follow-up.</w:t>
      </w:r>
    </w:p>
    <w:p w14:paraId="2316F0A7" w14:textId="4602AFE4" w:rsidR="0006528E" w:rsidRDefault="0006528E" w:rsidP="0006528E">
      <w:pPr>
        <w:pStyle w:val="TableTitle"/>
        <w:rPr>
          <w:lang w:eastAsia="ja-JP"/>
        </w:rPr>
      </w:pPr>
      <w:bookmarkStart w:id="64" w:name="_Toc202463757"/>
      <w:bookmarkStart w:id="65" w:name="_Toc211510482"/>
      <w:r w:rsidRPr="005C020E">
        <w:rPr>
          <w:bCs/>
          <w:lang w:eastAsia="ja-JP"/>
        </w:rPr>
        <w:t xml:space="preserve">Table </w:t>
      </w:r>
      <w:r>
        <w:rPr>
          <w:bCs/>
          <w:lang w:eastAsia="ja-JP"/>
        </w:rPr>
        <w:t>1</w:t>
      </w:r>
      <w:r w:rsidR="00264898">
        <w:rPr>
          <w:bCs/>
          <w:lang w:eastAsia="ja-JP"/>
        </w:rPr>
        <w:t>1</w:t>
      </w:r>
      <w:r>
        <w:rPr>
          <w:bCs/>
          <w:lang w:eastAsia="ja-JP"/>
        </w:rPr>
        <w:t xml:space="preserve">: </w:t>
      </w:r>
      <w:r w:rsidRPr="005C020E">
        <w:rPr>
          <w:lang w:eastAsia="ja-JP"/>
        </w:rPr>
        <w:t>Summary of exposure of orelabrutinib</w:t>
      </w:r>
      <w:bookmarkEnd w:id="64"/>
      <w:bookmarkEnd w:id="65"/>
      <w:r w:rsidRPr="005C020E">
        <w:rPr>
          <w:lang w:eastAsia="ja-JP"/>
        </w:rPr>
        <w:t xml:space="preserve"> </w:t>
      </w:r>
    </w:p>
    <w:tbl>
      <w:tblPr>
        <w:tblStyle w:val="GridTable41"/>
        <w:tblW w:w="9764" w:type="dxa"/>
        <w:tblLook w:val="04A0" w:firstRow="1" w:lastRow="0" w:firstColumn="1" w:lastColumn="0" w:noHBand="0" w:noVBand="1"/>
      </w:tblPr>
      <w:tblGrid>
        <w:gridCol w:w="690"/>
        <w:gridCol w:w="1340"/>
        <w:gridCol w:w="1151"/>
        <w:gridCol w:w="794"/>
        <w:gridCol w:w="694"/>
        <w:gridCol w:w="874"/>
        <w:gridCol w:w="666"/>
        <w:gridCol w:w="905"/>
        <w:gridCol w:w="996"/>
        <w:gridCol w:w="786"/>
        <w:gridCol w:w="868"/>
      </w:tblGrid>
      <w:tr w:rsidR="0006528E" w:rsidRPr="00CE39A2" w14:paraId="51A8E553" w14:textId="77777777">
        <w:trPr>
          <w:cnfStyle w:val="100000000000" w:firstRow="1" w:lastRow="0" w:firstColumn="0" w:lastColumn="0" w:oddVBand="0" w:evenVBand="0" w:oddHBand="0"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0" w:type="auto"/>
          </w:tcPr>
          <w:p w14:paraId="421B075E" w14:textId="77777777" w:rsidR="0006528E" w:rsidRPr="00CE39A2" w:rsidRDefault="0006528E">
            <w:pPr>
              <w:rPr>
                <w:sz w:val="16"/>
                <w:szCs w:val="16"/>
                <w:lang w:eastAsia="ja-JP"/>
              </w:rPr>
            </w:pPr>
            <w:r w:rsidRPr="00CE39A2">
              <w:rPr>
                <w:sz w:val="16"/>
                <w:szCs w:val="16"/>
                <w:lang w:eastAsia="ja-JP"/>
              </w:rPr>
              <w:t>Study</w:t>
            </w:r>
          </w:p>
        </w:tc>
        <w:tc>
          <w:tcPr>
            <w:tcW w:w="865" w:type="dxa"/>
          </w:tcPr>
          <w:p w14:paraId="21F66CAE" w14:textId="77777777" w:rsidR="0006528E" w:rsidRPr="00CE39A2" w:rsidRDefault="0006528E">
            <w:pPr>
              <w:cnfStyle w:val="100000000000" w:firstRow="1"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Study location/status</w:t>
            </w:r>
          </w:p>
        </w:tc>
        <w:tc>
          <w:tcPr>
            <w:tcW w:w="1588" w:type="dxa"/>
          </w:tcPr>
          <w:p w14:paraId="05B4064A" w14:textId="77777777" w:rsidR="0006528E" w:rsidRPr="00CE39A2" w:rsidRDefault="0006528E">
            <w:pPr>
              <w:cnfStyle w:val="100000000000" w:firstRow="1"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Populatio</w:t>
            </w:r>
            <w:r>
              <w:rPr>
                <w:sz w:val="16"/>
                <w:szCs w:val="16"/>
                <w:lang w:eastAsia="ja-JP"/>
              </w:rPr>
              <w:t>n</w:t>
            </w:r>
          </w:p>
        </w:tc>
        <w:tc>
          <w:tcPr>
            <w:tcW w:w="794" w:type="dxa"/>
          </w:tcPr>
          <w:p w14:paraId="6661E566" w14:textId="77777777" w:rsidR="0006528E" w:rsidRPr="00CE39A2" w:rsidRDefault="0006528E">
            <w:pPr>
              <w:cnfStyle w:val="100000000000" w:firstRow="1"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Placebo</w:t>
            </w:r>
          </w:p>
        </w:tc>
        <w:tc>
          <w:tcPr>
            <w:tcW w:w="0" w:type="auto"/>
          </w:tcPr>
          <w:p w14:paraId="54AA73D0" w14:textId="77777777" w:rsidR="0006528E" w:rsidRPr="00CE39A2" w:rsidRDefault="0006528E">
            <w:pPr>
              <w:cnfStyle w:val="100000000000" w:firstRow="1"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Dose</w:t>
            </w:r>
          </w:p>
        </w:tc>
        <w:tc>
          <w:tcPr>
            <w:tcW w:w="0" w:type="auto"/>
          </w:tcPr>
          <w:p w14:paraId="2A29D2C6" w14:textId="77777777" w:rsidR="0006528E" w:rsidRPr="00CE39A2" w:rsidRDefault="0006528E">
            <w:pPr>
              <w:cnfStyle w:val="100000000000" w:firstRow="1"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Number exposed (n)</w:t>
            </w:r>
          </w:p>
        </w:tc>
        <w:tc>
          <w:tcPr>
            <w:tcW w:w="0" w:type="auto"/>
          </w:tcPr>
          <w:p w14:paraId="2187B219" w14:textId="77777777" w:rsidR="0006528E" w:rsidRPr="00CE39A2" w:rsidRDefault="0006528E">
            <w:pPr>
              <w:cnfStyle w:val="100000000000" w:firstRow="1"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Safety Set (n)</w:t>
            </w:r>
          </w:p>
        </w:tc>
        <w:tc>
          <w:tcPr>
            <w:tcW w:w="0" w:type="auto"/>
          </w:tcPr>
          <w:p w14:paraId="6DC83D73" w14:textId="77777777" w:rsidR="0006528E" w:rsidRPr="00CE39A2" w:rsidRDefault="0006528E">
            <w:pPr>
              <w:cnfStyle w:val="100000000000" w:firstRow="1"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Median duration of exposure (months)</w:t>
            </w:r>
          </w:p>
        </w:tc>
        <w:tc>
          <w:tcPr>
            <w:tcW w:w="0" w:type="auto"/>
          </w:tcPr>
          <w:p w14:paraId="35EA52D9" w14:textId="77777777" w:rsidR="0006528E" w:rsidRPr="00CE39A2" w:rsidRDefault="0006528E">
            <w:pPr>
              <w:cnfStyle w:val="100000000000" w:firstRow="1"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Treatment duration &gt;12 cycles %</w:t>
            </w:r>
          </w:p>
        </w:tc>
        <w:tc>
          <w:tcPr>
            <w:tcW w:w="0" w:type="auto"/>
          </w:tcPr>
          <w:p w14:paraId="79792239" w14:textId="77777777" w:rsidR="0006528E" w:rsidRPr="00CE39A2" w:rsidRDefault="0006528E">
            <w:pPr>
              <w:cnfStyle w:val="100000000000" w:firstRow="1"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Median</w:t>
            </w:r>
            <w:r w:rsidRPr="00CE39A2">
              <w:rPr>
                <w:sz w:val="16"/>
                <w:szCs w:val="16"/>
                <w:lang w:eastAsia="ja-JP"/>
              </w:rPr>
              <w:t xml:space="preserve"> Daily dose</w:t>
            </w:r>
          </w:p>
        </w:tc>
        <w:tc>
          <w:tcPr>
            <w:tcW w:w="868" w:type="dxa"/>
          </w:tcPr>
          <w:p w14:paraId="3722EB47" w14:textId="77777777" w:rsidR="0006528E" w:rsidRPr="00CE39A2" w:rsidRDefault="0006528E">
            <w:pPr>
              <w:cnfStyle w:val="100000000000" w:firstRow="1"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Median dose intensity</w:t>
            </w:r>
          </w:p>
        </w:tc>
      </w:tr>
      <w:tr w:rsidR="0006528E" w:rsidRPr="00CE39A2" w14:paraId="4692AE6A" w14:textId="77777777">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0" w:type="auto"/>
          </w:tcPr>
          <w:p w14:paraId="57727585" w14:textId="77777777" w:rsidR="0006528E" w:rsidRPr="00CE39A2" w:rsidRDefault="0006528E">
            <w:pPr>
              <w:rPr>
                <w:sz w:val="16"/>
                <w:szCs w:val="16"/>
                <w:lang w:eastAsia="ja-JP"/>
              </w:rPr>
            </w:pPr>
            <w:r w:rsidRPr="00CE39A2">
              <w:rPr>
                <w:sz w:val="16"/>
                <w:szCs w:val="16"/>
                <w:lang w:eastAsia="ja-JP"/>
              </w:rPr>
              <w:t>ICP-CL-00102</w:t>
            </w:r>
          </w:p>
        </w:tc>
        <w:tc>
          <w:tcPr>
            <w:tcW w:w="865" w:type="dxa"/>
          </w:tcPr>
          <w:p w14:paraId="5D135D62"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China, completed</w:t>
            </w:r>
          </w:p>
        </w:tc>
        <w:tc>
          <w:tcPr>
            <w:tcW w:w="1588" w:type="dxa"/>
          </w:tcPr>
          <w:p w14:paraId="4AF27249"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R/R MCL</w:t>
            </w:r>
          </w:p>
        </w:tc>
        <w:tc>
          <w:tcPr>
            <w:tcW w:w="794" w:type="dxa"/>
          </w:tcPr>
          <w:p w14:paraId="521733C2"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No</w:t>
            </w:r>
          </w:p>
        </w:tc>
        <w:tc>
          <w:tcPr>
            <w:tcW w:w="0" w:type="auto"/>
          </w:tcPr>
          <w:p w14:paraId="5F298020"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100mg BD</w:t>
            </w:r>
          </w:p>
          <w:p w14:paraId="562545FB"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150mg OD</w:t>
            </w:r>
          </w:p>
        </w:tc>
        <w:tc>
          <w:tcPr>
            <w:tcW w:w="0" w:type="auto"/>
          </w:tcPr>
          <w:p w14:paraId="6EFA9FC6"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20</w:t>
            </w:r>
          </w:p>
          <w:p w14:paraId="1FD056DC"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p>
          <w:p w14:paraId="16A0E701"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86</w:t>
            </w:r>
          </w:p>
        </w:tc>
        <w:tc>
          <w:tcPr>
            <w:tcW w:w="0" w:type="auto"/>
          </w:tcPr>
          <w:p w14:paraId="35CAC3DE"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106</w:t>
            </w:r>
          </w:p>
        </w:tc>
        <w:tc>
          <w:tcPr>
            <w:tcW w:w="0" w:type="auto"/>
          </w:tcPr>
          <w:p w14:paraId="3EC8DF75"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22.883 (</w:t>
            </w:r>
            <w:r>
              <w:rPr>
                <w:sz w:val="16"/>
                <w:szCs w:val="16"/>
                <w:lang w:eastAsia="ja-JP"/>
              </w:rPr>
              <w:t xml:space="preserve">Q1-Q3 </w:t>
            </w:r>
            <w:r w:rsidRPr="00CE39A2">
              <w:rPr>
                <w:sz w:val="16"/>
                <w:szCs w:val="16"/>
                <w:lang w:eastAsia="ja-JP"/>
              </w:rPr>
              <w:t>7.425, 51.943)</w:t>
            </w:r>
          </w:p>
        </w:tc>
        <w:tc>
          <w:tcPr>
            <w:tcW w:w="0" w:type="auto"/>
          </w:tcPr>
          <w:p w14:paraId="3B31741B"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67.9% (72/106)</w:t>
            </w:r>
          </w:p>
        </w:tc>
        <w:tc>
          <w:tcPr>
            <w:tcW w:w="0" w:type="auto"/>
          </w:tcPr>
          <w:p w14:paraId="733FF929"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149.84 (148.08, 150.00)</w:t>
            </w:r>
          </w:p>
        </w:tc>
        <w:tc>
          <w:tcPr>
            <w:tcW w:w="868" w:type="dxa"/>
          </w:tcPr>
          <w:p w14:paraId="7846936D"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99.64 (98.31, 100.00)</w:t>
            </w:r>
          </w:p>
        </w:tc>
      </w:tr>
      <w:tr w:rsidR="0006528E" w:rsidRPr="00CE39A2" w14:paraId="6E4048AA" w14:textId="77777777">
        <w:trPr>
          <w:trHeight w:val="1907"/>
        </w:trPr>
        <w:tc>
          <w:tcPr>
            <w:cnfStyle w:val="001000000000" w:firstRow="0" w:lastRow="0" w:firstColumn="1" w:lastColumn="0" w:oddVBand="0" w:evenVBand="0" w:oddHBand="0" w:evenHBand="0" w:firstRowFirstColumn="0" w:firstRowLastColumn="0" w:lastRowFirstColumn="0" w:lastRowLastColumn="0"/>
            <w:tcW w:w="0" w:type="auto"/>
          </w:tcPr>
          <w:p w14:paraId="0439EF0E" w14:textId="77777777" w:rsidR="0006528E" w:rsidRPr="00CE39A2" w:rsidRDefault="0006528E">
            <w:pPr>
              <w:rPr>
                <w:sz w:val="16"/>
                <w:szCs w:val="16"/>
                <w:lang w:eastAsia="ja-JP"/>
              </w:rPr>
            </w:pPr>
            <w:r w:rsidRPr="00CE39A2">
              <w:rPr>
                <w:sz w:val="16"/>
                <w:szCs w:val="16"/>
                <w:lang w:eastAsia="ja-JP"/>
              </w:rPr>
              <w:t>ICP-CL-00107</w:t>
            </w:r>
          </w:p>
        </w:tc>
        <w:tc>
          <w:tcPr>
            <w:tcW w:w="865" w:type="dxa"/>
          </w:tcPr>
          <w:p w14:paraId="3D9497B2"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Global, ongoing</w:t>
            </w:r>
          </w:p>
        </w:tc>
        <w:tc>
          <w:tcPr>
            <w:tcW w:w="1588" w:type="dxa"/>
          </w:tcPr>
          <w:p w14:paraId="088C5691"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B-cell malignancies</w:t>
            </w:r>
          </w:p>
        </w:tc>
        <w:tc>
          <w:tcPr>
            <w:tcW w:w="794" w:type="dxa"/>
          </w:tcPr>
          <w:p w14:paraId="0AE1B66C"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No</w:t>
            </w:r>
          </w:p>
        </w:tc>
        <w:tc>
          <w:tcPr>
            <w:tcW w:w="0" w:type="auto"/>
          </w:tcPr>
          <w:p w14:paraId="101FF420"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100mg OD</w:t>
            </w:r>
            <w:r>
              <w:rPr>
                <w:sz w:val="16"/>
                <w:szCs w:val="16"/>
                <w:lang w:eastAsia="ja-JP"/>
              </w:rPr>
              <w:t xml:space="preserve"> (phase I- n=3)</w:t>
            </w:r>
          </w:p>
          <w:p w14:paraId="34E52D84"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570FFC24"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sidRPr="00CE39A2">
              <w:rPr>
                <w:sz w:val="16"/>
                <w:szCs w:val="16"/>
                <w:lang w:eastAsia="ja-JP"/>
              </w:rPr>
              <w:t>150mg OD</w:t>
            </w:r>
            <w:r>
              <w:rPr>
                <w:sz w:val="16"/>
                <w:szCs w:val="16"/>
                <w:lang w:eastAsia="ja-JP"/>
              </w:rPr>
              <w:t xml:space="preserve"> (phase I and II)</w:t>
            </w:r>
          </w:p>
        </w:tc>
        <w:tc>
          <w:tcPr>
            <w:tcW w:w="0" w:type="auto"/>
          </w:tcPr>
          <w:p w14:paraId="1B48CD18"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All R/R MCL (phase I and II)</w:t>
            </w:r>
          </w:p>
          <w:p w14:paraId="52F0C74B"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7A1A5D36"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All phase II</w:t>
            </w:r>
          </w:p>
        </w:tc>
        <w:tc>
          <w:tcPr>
            <w:tcW w:w="0" w:type="auto"/>
          </w:tcPr>
          <w:p w14:paraId="6076E012"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43</w:t>
            </w:r>
          </w:p>
          <w:p w14:paraId="4B7EEB54"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5F16D8B8"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0A84F791"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2A1A3EA8"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82</w:t>
            </w:r>
          </w:p>
        </w:tc>
        <w:tc>
          <w:tcPr>
            <w:tcW w:w="0" w:type="auto"/>
          </w:tcPr>
          <w:p w14:paraId="4BE289B9"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16.2 (range 1.9, 46.5)</w:t>
            </w:r>
          </w:p>
          <w:p w14:paraId="4CCA5E1D"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0A896B8F"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54F00B70"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17.5 (range 0.4, 36.4)</w:t>
            </w:r>
          </w:p>
        </w:tc>
        <w:tc>
          <w:tcPr>
            <w:tcW w:w="0" w:type="auto"/>
          </w:tcPr>
          <w:p w14:paraId="17F3B443"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69.8% (30/43)</w:t>
            </w:r>
          </w:p>
          <w:p w14:paraId="7B572961"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59DB7389"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52EC2E01"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73.2% (60/82)</w:t>
            </w:r>
          </w:p>
        </w:tc>
        <w:tc>
          <w:tcPr>
            <w:tcW w:w="0" w:type="auto"/>
          </w:tcPr>
          <w:p w14:paraId="49ADB108"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149.71 (range 96.1, 155.1)</w:t>
            </w:r>
          </w:p>
          <w:p w14:paraId="276D637D"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2A8E753F"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149.43 (range 96.1, 150.2)</w:t>
            </w:r>
          </w:p>
        </w:tc>
        <w:tc>
          <w:tcPr>
            <w:tcW w:w="868" w:type="dxa"/>
          </w:tcPr>
          <w:p w14:paraId="3634CCA0"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99.81 (range 64.0, 103.4)</w:t>
            </w:r>
          </w:p>
          <w:p w14:paraId="229AEEB1" w14:textId="77777777" w:rsidR="0006528E" w:rsidRPr="00BD6394"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2CC3CA9A" w14:textId="77777777" w:rsidR="0006528E" w:rsidRPr="00BD6394"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99.62 (range 64.0, 100.1)</w:t>
            </w:r>
          </w:p>
        </w:tc>
      </w:tr>
      <w:tr w:rsidR="0006528E" w:rsidRPr="00CE39A2" w14:paraId="50A5D64C" w14:textId="77777777">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0" w:type="auto"/>
          </w:tcPr>
          <w:p w14:paraId="33308FFA" w14:textId="77777777" w:rsidR="0006528E" w:rsidRPr="00CE39A2" w:rsidRDefault="0006528E">
            <w:pPr>
              <w:rPr>
                <w:sz w:val="16"/>
                <w:szCs w:val="16"/>
                <w:lang w:eastAsia="ja-JP"/>
              </w:rPr>
            </w:pPr>
            <w:r w:rsidRPr="00CE39A2">
              <w:rPr>
                <w:sz w:val="16"/>
                <w:szCs w:val="16"/>
                <w:lang w:eastAsia="ja-JP"/>
              </w:rPr>
              <w:t>ICP-CL-00127</w:t>
            </w:r>
          </w:p>
        </w:tc>
        <w:tc>
          <w:tcPr>
            <w:tcW w:w="865" w:type="dxa"/>
          </w:tcPr>
          <w:p w14:paraId="69104B26"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China, ongoing</w:t>
            </w:r>
          </w:p>
        </w:tc>
        <w:tc>
          <w:tcPr>
            <w:tcW w:w="1588" w:type="dxa"/>
          </w:tcPr>
          <w:p w14:paraId="311FEF23"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Treatment naïve and R/R MCL</w:t>
            </w:r>
          </w:p>
        </w:tc>
        <w:tc>
          <w:tcPr>
            <w:tcW w:w="794" w:type="dxa"/>
          </w:tcPr>
          <w:p w14:paraId="3125CEA2"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No</w:t>
            </w:r>
          </w:p>
        </w:tc>
        <w:tc>
          <w:tcPr>
            <w:tcW w:w="0" w:type="auto"/>
          </w:tcPr>
          <w:p w14:paraId="1274EA2E"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150mg OD</w:t>
            </w:r>
          </w:p>
          <w:p w14:paraId="2A48AB92"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50mg BD</w:t>
            </w:r>
          </w:p>
        </w:tc>
        <w:tc>
          <w:tcPr>
            <w:tcW w:w="0" w:type="auto"/>
          </w:tcPr>
          <w:p w14:paraId="40EAD71B"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20</w:t>
            </w:r>
          </w:p>
          <w:p w14:paraId="0C4B0333"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p>
          <w:p w14:paraId="34C66D95"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sidRPr="00CE39A2">
              <w:rPr>
                <w:sz w:val="16"/>
                <w:szCs w:val="16"/>
                <w:lang w:eastAsia="ja-JP"/>
              </w:rPr>
              <w:t>20</w:t>
            </w:r>
          </w:p>
        </w:tc>
        <w:tc>
          <w:tcPr>
            <w:tcW w:w="0" w:type="auto"/>
          </w:tcPr>
          <w:p w14:paraId="3B66AD7E"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40</w:t>
            </w:r>
          </w:p>
        </w:tc>
        <w:tc>
          <w:tcPr>
            <w:tcW w:w="0" w:type="auto"/>
          </w:tcPr>
          <w:p w14:paraId="6D1A95BC"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100.0 days (Q1-Q3 67.5, 160.5)*</w:t>
            </w:r>
          </w:p>
        </w:tc>
        <w:tc>
          <w:tcPr>
            <w:tcW w:w="0" w:type="auto"/>
          </w:tcPr>
          <w:p w14:paraId="2FEF3AC5"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0% (&lt;6 cycles 72.5%)</w:t>
            </w:r>
          </w:p>
        </w:tc>
        <w:tc>
          <w:tcPr>
            <w:tcW w:w="0" w:type="auto"/>
          </w:tcPr>
          <w:p w14:paraId="07AE5995"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113.77 (99.66, 150.00)</w:t>
            </w:r>
          </w:p>
        </w:tc>
        <w:tc>
          <w:tcPr>
            <w:tcW w:w="868" w:type="dxa"/>
          </w:tcPr>
          <w:p w14:paraId="46AF5D94" w14:textId="77777777" w:rsidR="0006528E" w:rsidRPr="00CE39A2"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100.00 (Q1-3, 96.45, 100.00)</w:t>
            </w:r>
          </w:p>
        </w:tc>
      </w:tr>
      <w:tr w:rsidR="0006528E" w:rsidRPr="00CE39A2" w14:paraId="34819412" w14:textId="77777777">
        <w:trPr>
          <w:trHeight w:val="2766"/>
        </w:trPr>
        <w:tc>
          <w:tcPr>
            <w:cnfStyle w:val="001000000000" w:firstRow="0" w:lastRow="0" w:firstColumn="1" w:lastColumn="0" w:oddVBand="0" w:evenVBand="0" w:oddHBand="0" w:evenHBand="0" w:firstRowFirstColumn="0" w:firstRowLastColumn="0" w:lastRowFirstColumn="0" w:lastRowLastColumn="0"/>
            <w:tcW w:w="0" w:type="auto"/>
          </w:tcPr>
          <w:p w14:paraId="051B1228" w14:textId="77777777" w:rsidR="0006528E" w:rsidRPr="00CE39A2" w:rsidRDefault="0006528E">
            <w:pPr>
              <w:rPr>
                <w:sz w:val="16"/>
                <w:szCs w:val="16"/>
                <w:lang w:eastAsia="ja-JP"/>
              </w:rPr>
            </w:pPr>
            <w:r>
              <w:rPr>
                <w:sz w:val="16"/>
                <w:szCs w:val="16"/>
                <w:lang w:eastAsia="ja-JP"/>
              </w:rPr>
              <w:t>ICP-CL-001</w:t>
            </w:r>
          </w:p>
        </w:tc>
        <w:tc>
          <w:tcPr>
            <w:tcW w:w="865" w:type="dxa"/>
          </w:tcPr>
          <w:p w14:paraId="7A943543"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Australia, completed</w:t>
            </w:r>
          </w:p>
        </w:tc>
        <w:tc>
          <w:tcPr>
            <w:tcW w:w="1588" w:type="dxa"/>
          </w:tcPr>
          <w:p w14:paraId="22CC360A"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Healthy volunteers</w:t>
            </w:r>
          </w:p>
        </w:tc>
        <w:tc>
          <w:tcPr>
            <w:tcW w:w="794" w:type="dxa"/>
          </w:tcPr>
          <w:p w14:paraId="0F41EA4A"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Yes</w:t>
            </w:r>
          </w:p>
        </w:tc>
        <w:tc>
          <w:tcPr>
            <w:tcW w:w="0" w:type="auto"/>
          </w:tcPr>
          <w:p w14:paraId="6EC5C563"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20-400mg single dose</w:t>
            </w:r>
          </w:p>
          <w:p w14:paraId="3432631F"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100mg OD, 200mg OD, 100mg BD</w:t>
            </w:r>
          </w:p>
        </w:tc>
        <w:tc>
          <w:tcPr>
            <w:tcW w:w="0" w:type="auto"/>
          </w:tcPr>
          <w:p w14:paraId="0C11755B"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30 + 6(fed)</w:t>
            </w:r>
          </w:p>
          <w:p w14:paraId="14CFD66A"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Placebo-12</w:t>
            </w:r>
          </w:p>
          <w:p w14:paraId="04615663"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253BB815"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18</w:t>
            </w:r>
          </w:p>
          <w:p w14:paraId="7F11C63B" w14:textId="77777777" w:rsidR="0006528E" w:rsidRPr="00CE39A2"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Placebo-6</w:t>
            </w:r>
          </w:p>
        </w:tc>
        <w:tc>
          <w:tcPr>
            <w:tcW w:w="0" w:type="auto"/>
          </w:tcPr>
          <w:p w14:paraId="67EEC602"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40 +8 (fed)</w:t>
            </w:r>
          </w:p>
          <w:p w14:paraId="4E2F2F3D"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03342250"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021500CD"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24</w:t>
            </w:r>
          </w:p>
        </w:tc>
        <w:tc>
          <w:tcPr>
            <w:tcW w:w="0" w:type="auto"/>
          </w:tcPr>
          <w:p w14:paraId="7ACC729E"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Single dose</w:t>
            </w:r>
          </w:p>
          <w:p w14:paraId="10560671"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4F41D060"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p>
          <w:p w14:paraId="2AE3DCFA"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14 days (100% of subjects)</w:t>
            </w:r>
          </w:p>
        </w:tc>
        <w:tc>
          <w:tcPr>
            <w:tcW w:w="0" w:type="auto"/>
          </w:tcPr>
          <w:p w14:paraId="02A11E18"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NA</w:t>
            </w:r>
          </w:p>
        </w:tc>
        <w:tc>
          <w:tcPr>
            <w:tcW w:w="0" w:type="auto"/>
          </w:tcPr>
          <w:p w14:paraId="7A0C25D4"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100 (range 20, 400)</w:t>
            </w:r>
          </w:p>
          <w:p w14:paraId="3F142F2D"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Fed-200 (range, 200, 200)</w:t>
            </w:r>
          </w:p>
          <w:p w14:paraId="0462B72E"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Median total dose: 2266.7 (range 1200, 2800)</w:t>
            </w:r>
          </w:p>
        </w:tc>
        <w:tc>
          <w:tcPr>
            <w:tcW w:w="868" w:type="dxa"/>
          </w:tcPr>
          <w:p w14:paraId="5A1A0D6A"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NA</w:t>
            </w:r>
          </w:p>
        </w:tc>
      </w:tr>
      <w:tr w:rsidR="0006528E" w:rsidRPr="00CE39A2" w14:paraId="3EE9FFBC" w14:textId="77777777">
        <w:trPr>
          <w:cnfStyle w:val="000000100000" w:firstRow="0" w:lastRow="0" w:firstColumn="0" w:lastColumn="0" w:oddVBand="0" w:evenVBand="0" w:oddHBand="1" w:evenHBand="0" w:firstRowFirstColumn="0" w:firstRowLastColumn="0" w:lastRowFirstColumn="0" w:lastRowLastColumn="0"/>
          <w:trHeight w:val="1091"/>
        </w:trPr>
        <w:tc>
          <w:tcPr>
            <w:cnfStyle w:val="001000000000" w:firstRow="0" w:lastRow="0" w:firstColumn="1" w:lastColumn="0" w:oddVBand="0" w:evenVBand="0" w:oddHBand="0" w:evenHBand="0" w:firstRowFirstColumn="0" w:firstRowLastColumn="0" w:lastRowFirstColumn="0" w:lastRowLastColumn="0"/>
            <w:tcW w:w="0" w:type="auto"/>
          </w:tcPr>
          <w:p w14:paraId="6A1A33FA" w14:textId="77777777" w:rsidR="0006528E" w:rsidRDefault="0006528E">
            <w:pPr>
              <w:rPr>
                <w:sz w:val="16"/>
                <w:szCs w:val="16"/>
                <w:lang w:eastAsia="ja-JP"/>
              </w:rPr>
            </w:pPr>
            <w:r>
              <w:rPr>
                <w:sz w:val="16"/>
                <w:szCs w:val="16"/>
                <w:lang w:eastAsia="ja-JP"/>
              </w:rPr>
              <w:t>ICP-CL-00119</w:t>
            </w:r>
          </w:p>
        </w:tc>
        <w:tc>
          <w:tcPr>
            <w:tcW w:w="865" w:type="dxa"/>
          </w:tcPr>
          <w:p w14:paraId="0A48FBEE" w14:textId="77777777" w:rsidR="0006528E"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China, completed</w:t>
            </w:r>
          </w:p>
        </w:tc>
        <w:tc>
          <w:tcPr>
            <w:tcW w:w="1588" w:type="dxa"/>
          </w:tcPr>
          <w:p w14:paraId="2CF58179" w14:textId="77777777" w:rsidR="0006528E"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Subjects with varying degrees of hepatic dysfunction</w:t>
            </w:r>
          </w:p>
        </w:tc>
        <w:tc>
          <w:tcPr>
            <w:tcW w:w="794" w:type="dxa"/>
          </w:tcPr>
          <w:p w14:paraId="6174D8A5" w14:textId="77777777" w:rsidR="0006528E"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No</w:t>
            </w:r>
          </w:p>
        </w:tc>
        <w:tc>
          <w:tcPr>
            <w:tcW w:w="0" w:type="auto"/>
          </w:tcPr>
          <w:p w14:paraId="5AA81C0A" w14:textId="77777777" w:rsidR="0006528E"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50mg OD</w:t>
            </w:r>
          </w:p>
        </w:tc>
        <w:tc>
          <w:tcPr>
            <w:tcW w:w="0" w:type="auto"/>
          </w:tcPr>
          <w:p w14:paraId="7E488D43" w14:textId="77777777" w:rsidR="0006528E"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25 (normal 8, mild 8, moderate 8, severe 1)</w:t>
            </w:r>
          </w:p>
        </w:tc>
        <w:tc>
          <w:tcPr>
            <w:tcW w:w="0" w:type="auto"/>
          </w:tcPr>
          <w:p w14:paraId="4060372E" w14:textId="77777777" w:rsidR="0006528E"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25</w:t>
            </w:r>
          </w:p>
        </w:tc>
        <w:tc>
          <w:tcPr>
            <w:tcW w:w="0" w:type="auto"/>
          </w:tcPr>
          <w:p w14:paraId="4631B2A8" w14:textId="77777777" w:rsidR="0006528E"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Single dose (100% of subjects)</w:t>
            </w:r>
          </w:p>
        </w:tc>
        <w:tc>
          <w:tcPr>
            <w:tcW w:w="0" w:type="auto"/>
          </w:tcPr>
          <w:p w14:paraId="7B9FB3CA" w14:textId="77777777" w:rsidR="0006528E"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NA</w:t>
            </w:r>
          </w:p>
        </w:tc>
        <w:tc>
          <w:tcPr>
            <w:tcW w:w="0" w:type="auto"/>
          </w:tcPr>
          <w:p w14:paraId="38C147A4" w14:textId="77777777" w:rsidR="0006528E"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NA</w:t>
            </w:r>
          </w:p>
        </w:tc>
        <w:tc>
          <w:tcPr>
            <w:tcW w:w="868" w:type="dxa"/>
          </w:tcPr>
          <w:p w14:paraId="69E630C6" w14:textId="77777777" w:rsidR="0006528E" w:rsidRDefault="0006528E">
            <w:pPr>
              <w:cnfStyle w:val="000000100000" w:firstRow="0" w:lastRow="0" w:firstColumn="0" w:lastColumn="0" w:oddVBand="0" w:evenVBand="0" w:oddHBand="1" w:evenHBand="0" w:firstRowFirstColumn="0" w:firstRowLastColumn="0" w:lastRowFirstColumn="0" w:lastRowLastColumn="0"/>
              <w:rPr>
                <w:sz w:val="16"/>
                <w:szCs w:val="16"/>
                <w:lang w:eastAsia="ja-JP"/>
              </w:rPr>
            </w:pPr>
            <w:r>
              <w:rPr>
                <w:sz w:val="16"/>
                <w:szCs w:val="16"/>
                <w:lang w:eastAsia="ja-JP"/>
              </w:rPr>
              <w:t>NA</w:t>
            </w:r>
          </w:p>
        </w:tc>
      </w:tr>
      <w:tr w:rsidR="0006528E" w:rsidRPr="00CE39A2" w14:paraId="51DE3DEE" w14:textId="77777777">
        <w:trPr>
          <w:trHeight w:val="654"/>
        </w:trPr>
        <w:tc>
          <w:tcPr>
            <w:cnfStyle w:val="001000000000" w:firstRow="0" w:lastRow="0" w:firstColumn="1" w:lastColumn="0" w:oddVBand="0" w:evenVBand="0" w:oddHBand="0" w:evenHBand="0" w:firstRowFirstColumn="0" w:firstRowLastColumn="0" w:lastRowFirstColumn="0" w:lastRowLastColumn="0"/>
            <w:tcW w:w="0" w:type="auto"/>
          </w:tcPr>
          <w:p w14:paraId="3204A70A" w14:textId="77777777" w:rsidR="0006528E" w:rsidRDefault="0006528E">
            <w:pPr>
              <w:rPr>
                <w:sz w:val="16"/>
                <w:szCs w:val="16"/>
                <w:lang w:eastAsia="ja-JP"/>
              </w:rPr>
            </w:pPr>
            <w:r>
              <w:rPr>
                <w:sz w:val="16"/>
                <w:szCs w:val="16"/>
                <w:lang w:eastAsia="ja-JP"/>
              </w:rPr>
              <w:t>ICP-CL-00120</w:t>
            </w:r>
          </w:p>
        </w:tc>
        <w:tc>
          <w:tcPr>
            <w:tcW w:w="865" w:type="dxa"/>
          </w:tcPr>
          <w:p w14:paraId="7788F901"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China, completed</w:t>
            </w:r>
          </w:p>
        </w:tc>
        <w:tc>
          <w:tcPr>
            <w:tcW w:w="1588" w:type="dxa"/>
          </w:tcPr>
          <w:p w14:paraId="5CC59B6A"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Healthy volunteers</w:t>
            </w:r>
          </w:p>
        </w:tc>
        <w:tc>
          <w:tcPr>
            <w:tcW w:w="794" w:type="dxa"/>
          </w:tcPr>
          <w:p w14:paraId="23E81BAF"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Yes</w:t>
            </w:r>
          </w:p>
        </w:tc>
        <w:tc>
          <w:tcPr>
            <w:tcW w:w="0" w:type="auto"/>
          </w:tcPr>
          <w:p w14:paraId="1A7ACAD0"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150mg and 400mg OD</w:t>
            </w:r>
          </w:p>
        </w:tc>
        <w:tc>
          <w:tcPr>
            <w:tcW w:w="0" w:type="auto"/>
          </w:tcPr>
          <w:p w14:paraId="73C356EA"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48</w:t>
            </w:r>
          </w:p>
        </w:tc>
        <w:tc>
          <w:tcPr>
            <w:tcW w:w="0" w:type="auto"/>
          </w:tcPr>
          <w:p w14:paraId="27EA488B"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48</w:t>
            </w:r>
          </w:p>
        </w:tc>
        <w:tc>
          <w:tcPr>
            <w:tcW w:w="0" w:type="auto"/>
          </w:tcPr>
          <w:p w14:paraId="61EDC7F2"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Single dose (100% of subjects)</w:t>
            </w:r>
          </w:p>
        </w:tc>
        <w:tc>
          <w:tcPr>
            <w:tcW w:w="0" w:type="auto"/>
          </w:tcPr>
          <w:p w14:paraId="7A1C8BBE"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NA</w:t>
            </w:r>
          </w:p>
        </w:tc>
        <w:tc>
          <w:tcPr>
            <w:tcW w:w="0" w:type="auto"/>
          </w:tcPr>
          <w:p w14:paraId="3429E964"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NA</w:t>
            </w:r>
          </w:p>
        </w:tc>
        <w:tc>
          <w:tcPr>
            <w:tcW w:w="868" w:type="dxa"/>
          </w:tcPr>
          <w:p w14:paraId="46EB746C" w14:textId="77777777" w:rsidR="0006528E" w:rsidRDefault="0006528E">
            <w:pPr>
              <w:cnfStyle w:val="000000000000" w:firstRow="0" w:lastRow="0" w:firstColumn="0" w:lastColumn="0" w:oddVBand="0" w:evenVBand="0" w:oddHBand="0" w:evenHBand="0" w:firstRowFirstColumn="0" w:firstRowLastColumn="0" w:lastRowFirstColumn="0" w:lastRowLastColumn="0"/>
              <w:rPr>
                <w:sz w:val="16"/>
                <w:szCs w:val="16"/>
                <w:lang w:eastAsia="ja-JP"/>
              </w:rPr>
            </w:pPr>
            <w:r>
              <w:rPr>
                <w:sz w:val="16"/>
                <w:szCs w:val="16"/>
                <w:lang w:eastAsia="ja-JP"/>
              </w:rPr>
              <w:t>NA</w:t>
            </w:r>
          </w:p>
        </w:tc>
      </w:tr>
    </w:tbl>
    <w:p w14:paraId="55FAC67A" w14:textId="77777777" w:rsidR="0006528E" w:rsidRPr="00822B15" w:rsidRDefault="0006528E" w:rsidP="007400DC">
      <w:pPr>
        <w:pStyle w:val="TableDescription"/>
        <w:rPr>
          <w:lang w:eastAsia="ja-JP"/>
        </w:rPr>
      </w:pPr>
      <w:r w:rsidRPr="00822B15">
        <w:rPr>
          <w:lang w:eastAsia="ja-JP"/>
        </w:rPr>
        <w:t>*Note median follow-up in this study is only 4.5 months</w:t>
      </w:r>
      <w:r>
        <w:rPr>
          <w:lang w:eastAsia="ja-JP"/>
        </w:rPr>
        <w:t>.</w:t>
      </w:r>
    </w:p>
    <w:p w14:paraId="57E558A3" w14:textId="617E4A2E" w:rsidR="006B490B" w:rsidRDefault="006B490B" w:rsidP="00257016">
      <w:pPr>
        <w:pStyle w:val="Heading5"/>
        <w:rPr>
          <w:i w:val="0"/>
          <w:iCs/>
        </w:rPr>
      </w:pPr>
      <w:r w:rsidRPr="00257016">
        <w:rPr>
          <w:i w:val="0"/>
          <w:iCs/>
        </w:rPr>
        <w:t xml:space="preserve">Adverse events </w:t>
      </w:r>
    </w:p>
    <w:p w14:paraId="306BC425" w14:textId="78CFFD27" w:rsidR="002B0CF8" w:rsidRPr="002B0CF8" w:rsidRDefault="002B0CF8" w:rsidP="002B0CF8">
      <w:r>
        <w:rPr>
          <w:lang w:eastAsia="ja-JP"/>
        </w:rPr>
        <w:t>A broad overview of</w:t>
      </w:r>
      <w:r w:rsidR="005C4390">
        <w:rPr>
          <w:lang w:eastAsia="ja-JP"/>
        </w:rPr>
        <w:t xml:space="preserve"> adverse events (</w:t>
      </w:r>
      <w:r>
        <w:rPr>
          <w:lang w:eastAsia="ja-JP"/>
        </w:rPr>
        <w:t>AEs</w:t>
      </w:r>
      <w:r w:rsidR="005C4390">
        <w:rPr>
          <w:lang w:eastAsia="ja-JP"/>
        </w:rPr>
        <w:t>)</w:t>
      </w:r>
      <w:r>
        <w:rPr>
          <w:lang w:eastAsia="ja-JP"/>
        </w:rPr>
        <w:t xml:space="preserve"> across ICP-CL-00102, ICP-CL-00107, ICP-CL-00127 and the B cell malignancies safety </w:t>
      </w:r>
      <w:r w:rsidR="005C4390">
        <w:rPr>
          <w:lang w:eastAsia="ja-JP"/>
        </w:rPr>
        <w:t xml:space="preserve">is presented in </w:t>
      </w:r>
      <w:r w:rsidR="006E1962">
        <w:rPr>
          <w:lang w:eastAsia="ja-JP"/>
        </w:rPr>
        <w:t>table 1</w:t>
      </w:r>
      <w:r w:rsidR="00CF393A">
        <w:rPr>
          <w:lang w:eastAsia="ja-JP"/>
        </w:rPr>
        <w:t>2</w:t>
      </w:r>
      <w:r>
        <w:rPr>
          <w:lang w:eastAsia="ja-JP"/>
        </w:rPr>
        <w:t xml:space="preserve">. </w:t>
      </w:r>
    </w:p>
    <w:p w14:paraId="35A6E093" w14:textId="7B3B001E" w:rsidR="00B325A7" w:rsidRDefault="00B325A7" w:rsidP="00B325A7">
      <w:pPr>
        <w:pStyle w:val="TableTitle"/>
        <w:rPr>
          <w:lang w:eastAsia="ja-JP"/>
        </w:rPr>
      </w:pPr>
      <w:bookmarkStart w:id="66" w:name="_Toc202463758"/>
      <w:bookmarkStart w:id="67" w:name="_Ref202471460"/>
      <w:bookmarkStart w:id="68" w:name="_Ref202471521"/>
      <w:bookmarkStart w:id="69" w:name="_Toc211510483"/>
      <w:r w:rsidRPr="00F05225">
        <w:rPr>
          <w:bCs/>
          <w:lang w:eastAsia="ja-JP"/>
        </w:rPr>
        <w:lastRenderedPageBreak/>
        <w:t xml:space="preserve">Table </w:t>
      </w:r>
      <w:r w:rsidR="006E1962">
        <w:rPr>
          <w:bCs/>
          <w:lang w:eastAsia="ja-JP"/>
        </w:rPr>
        <w:t>1</w:t>
      </w:r>
      <w:r w:rsidR="00264898">
        <w:rPr>
          <w:bCs/>
          <w:lang w:eastAsia="ja-JP"/>
        </w:rPr>
        <w:t>2</w:t>
      </w:r>
      <w:r w:rsidR="006E1962">
        <w:rPr>
          <w:bCs/>
          <w:lang w:eastAsia="ja-JP"/>
        </w:rPr>
        <w:t>:</w:t>
      </w:r>
      <w:r>
        <w:rPr>
          <w:bCs/>
          <w:lang w:eastAsia="ja-JP"/>
        </w:rPr>
        <w:t xml:space="preserve"> </w:t>
      </w:r>
      <w:r>
        <w:rPr>
          <w:lang w:eastAsia="ja-JP"/>
        </w:rPr>
        <w:t>Overview of AEs in ICP-CL-00102, ICP-CL-00107, ICP-CL-00127 and B-cell malignancies safety set</w:t>
      </w:r>
      <w:bookmarkEnd w:id="66"/>
      <w:bookmarkEnd w:id="67"/>
      <w:bookmarkEnd w:id="68"/>
      <w:bookmarkEnd w:id="69"/>
      <w:r>
        <w:rPr>
          <w:lang w:eastAsia="ja-JP"/>
        </w:rPr>
        <w:t xml:space="preserve"> </w:t>
      </w:r>
    </w:p>
    <w:p w14:paraId="14BF0D95" w14:textId="6D7C9B90" w:rsidR="00B24BF3" w:rsidRPr="00F04242" w:rsidRDefault="00833582" w:rsidP="00B24BF3">
      <w:pPr>
        <w:rPr>
          <w:lang w:val="en-US"/>
        </w:rPr>
      </w:pPr>
      <w:r w:rsidRPr="00833582">
        <w:rPr>
          <w:noProof/>
          <w:lang w:val="en-US"/>
        </w:rPr>
        <w:drawing>
          <wp:inline distT="0" distB="0" distL="0" distR="0" wp14:anchorId="6068D3DA" wp14:editId="17905B81">
            <wp:extent cx="5763260" cy="3033395"/>
            <wp:effectExtent l="0" t="0" r="8890" b="0"/>
            <wp:docPr id="1568739322" name="Picture 1" descr="Table 12: Overview of AEs in ICP-CL-00102, ICP-CL-00107, ICP-CL-00127 and B-cell malignancies safety s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739322" name="Picture 1" descr="Table 12: Overview of AEs in ICP-CL-00102, ICP-CL-00107, ICP-CL-00127 and B-cell malignancies safety set. "/>
                    <pic:cNvPicPr/>
                  </pic:nvPicPr>
                  <pic:blipFill>
                    <a:blip r:embed="rId36"/>
                    <a:stretch>
                      <a:fillRect/>
                    </a:stretch>
                  </pic:blipFill>
                  <pic:spPr>
                    <a:xfrm>
                      <a:off x="0" y="0"/>
                      <a:ext cx="5763260" cy="3033395"/>
                    </a:xfrm>
                    <a:prstGeom prst="rect">
                      <a:avLst/>
                    </a:prstGeom>
                  </pic:spPr>
                </pic:pic>
              </a:graphicData>
            </a:graphic>
          </wp:inline>
        </w:drawing>
      </w:r>
    </w:p>
    <w:p w14:paraId="71DA9ABE" w14:textId="7C8998E2" w:rsidR="00E735C0" w:rsidRDefault="00E735C0" w:rsidP="00875AC7">
      <w:pPr>
        <w:spacing w:before="240"/>
      </w:pPr>
      <w:r>
        <w:t>Across all studies, any form of AE</w:t>
      </w:r>
      <w:r w:rsidR="00C80972">
        <w:t>s</w:t>
      </w:r>
      <w:r>
        <w:t xml:space="preserve"> and </w:t>
      </w:r>
      <w:r w:rsidR="00CF4600">
        <w:t>treatment emergent adverse event</w:t>
      </w:r>
      <w:r w:rsidR="00C80972">
        <w:t>s</w:t>
      </w:r>
      <w:r w:rsidR="00CF4600">
        <w:t xml:space="preserve"> (</w:t>
      </w:r>
      <w:r>
        <w:t>TEAE</w:t>
      </w:r>
      <w:r w:rsidR="00C80972">
        <w:t>s</w:t>
      </w:r>
      <w:r w:rsidR="00CF4600">
        <w:t>)</w:t>
      </w:r>
      <w:r>
        <w:t xml:space="preserve"> were common, with similar rates of &gt;/=grade 3 TEAEs across both main R/R MCL studies and the pooled B cell malignancy population. Most patients experienced TEAEs related to investigations, infections and infestations, gastrointestinal disorders, metabolism and nutrition disorders. Generally, there were lower rates</w:t>
      </w:r>
      <w:r>
        <w:rPr>
          <w:spacing w:val="-2"/>
        </w:rPr>
        <w:t xml:space="preserve"> </w:t>
      </w:r>
      <w:r>
        <w:t>of</w:t>
      </w:r>
      <w:r>
        <w:rPr>
          <w:spacing w:val="-3"/>
        </w:rPr>
        <w:t xml:space="preserve"> </w:t>
      </w:r>
      <w:r>
        <w:t>TEAEs</w:t>
      </w:r>
      <w:r>
        <w:rPr>
          <w:spacing w:val="-2"/>
        </w:rPr>
        <w:t xml:space="preserve"> </w:t>
      </w:r>
      <w:r>
        <w:t>in</w:t>
      </w:r>
      <w:r>
        <w:rPr>
          <w:spacing w:val="-4"/>
        </w:rPr>
        <w:t xml:space="preserve"> </w:t>
      </w:r>
      <w:r>
        <w:t>ICP-CL-00107</w:t>
      </w:r>
      <w:r>
        <w:rPr>
          <w:spacing w:val="-3"/>
        </w:rPr>
        <w:t xml:space="preserve"> </w:t>
      </w:r>
      <w:r>
        <w:t>(Caucasian)</w:t>
      </w:r>
      <w:r>
        <w:rPr>
          <w:spacing w:val="-4"/>
        </w:rPr>
        <w:t xml:space="preserve"> </w:t>
      </w:r>
      <w:r>
        <w:t>compared</w:t>
      </w:r>
      <w:r>
        <w:rPr>
          <w:spacing w:val="-4"/>
        </w:rPr>
        <w:t xml:space="preserve"> </w:t>
      </w:r>
      <w:r>
        <w:t>to</w:t>
      </w:r>
      <w:r w:rsidR="00C80972">
        <w:br/>
      </w:r>
      <w:r>
        <w:t>ICP-CL-00102</w:t>
      </w:r>
      <w:r>
        <w:rPr>
          <w:spacing w:val="-3"/>
        </w:rPr>
        <w:t xml:space="preserve"> </w:t>
      </w:r>
      <w:r>
        <w:t>(Chinese)</w:t>
      </w:r>
      <w:r>
        <w:rPr>
          <w:spacing w:val="-4"/>
        </w:rPr>
        <w:t xml:space="preserve"> </w:t>
      </w:r>
      <w:r>
        <w:t>and</w:t>
      </w:r>
      <w:r>
        <w:rPr>
          <w:spacing w:val="-4"/>
        </w:rPr>
        <w:t xml:space="preserve"> </w:t>
      </w:r>
      <w:r>
        <w:t>the</w:t>
      </w:r>
      <w:r>
        <w:rPr>
          <w:spacing w:val="-3"/>
        </w:rPr>
        <w:t xml:space="preserve"> </w:t>
      </w:r>
      <w:r>
        <w:t>B-cell malignancy pool.</w:t>
      </w:r>
    </w:p>
    <w:p w14:paraId="2D2D7F74" w14:textId="77777777" w:rsidR="00282DBD" w:rsidRDefault="001B0540" w:rsidP="00282DBD">
      <w:r>
        <w:t xml:space="preserve">In Study </w:t>
      </w:r>
      <w:r w:rsidR="00282DBD">
        <w:t>ICP-CL-</w:t>
      </w:r>
      <w:r w:rsidR="00282DBD">
        <w:rPr>
          <w:spacing w:val="-2"/>
        </w:rPr>
        <w:t>00102:</w:t>
      </w:r>
    </w:p>
    <w:p w14:paraId="03269084" w14:textId="77777777" w:rsidR="001B0540" w:rsidRDefault="001B0540" w:rsidP="001B0540">
      <w:pPr>
        <w:pStyle w:val="ListBullet"/>
      </w:pPr>
      <w:r>
        <w:t>All</w:t>
      </w:r>
      <w:r>
        <w:rPr>
          <w:spacing w:val="-2"/>
        </w:rPr>
        <w:t xml:space="preserve"> </w:t>
      </w:r>
      <w:r>
        <w:t>AEs =</w:t>
      </w:r>
      <w:r>
        <w:rPr>
          <w:spacing w:val="-2"/>
        </w:rPr>
        <w:t xml:space="preserve"> </w:t>
      </w:r>
      <w:r>
        <w:rPr>
          <w:spacing w:val="-5"/>
        </w:rPr>
        <w:t>97%</w:t>
      </w:r>
    </w:p>
    <w:p w14:paraId="7982BD7D" w14:textId="77777777" w:rsidR="001B0540" w:rsidRDefault="001B0540" w:rsidP="001B0540">
      <w:pPr>
        <w:pStyle w:val="ListBullet"/>
      </w:pPr>
      <w:r>
        <w:t>Grade</w:t>
      </w:r>
      <w:r>
        <w:rPr>
          <w:spacing w:val="-2"/>
        </w:rPr>
        <w:t xml:space="preserve"> </w:t>
      </w:r>
      <w:r>
        <w:t>≥3</w:t>
      </w:r>
      <w:r>
        <w:rPr>
          <w:spacing w:val="-1"/>
        </w:rPr>
        <w:t xml:space="preserve"> </w:t>
      </w:r>
      <w:r>
        <w:t>AEs</w:t>
      </w:r>
      <w:r>
        <w:rPr>
          <w:spacing w:val="-1"/>
        </w:rPr>
        <w:t xml:space="preserve"> </w:t>
      </w:r>
      <w:r>
        <w:t>=</w:t>
      </w:r>
      <w:r>
        <w:rPr>
          <w:spacing w:val="-2"/>
        </w:rPr>
        <w:t xml:space="preserve"> </w:t>
      </w:r>
      <w:r>
        <w:rPr>
          <w:spacing w:val="-5"/>
        </w:rPr>
        <w:t>58%</w:t>
      </w:r>
    </w:p>
    <w:p w14:paraId="27AC64B1" w14:textId="77777777" w:rsidR="001B0540" w:rsidRDefault="001B0540" w:rsidP="001B0540">
      <w:pPr>
        <w:pStyle w:val="ListBullet"/>
      </w:pPr>
      <w:r>
        <w:t>SAEs =</w:t>
      </w:r>
      <w:r>
        <w:rPr>
          <w:spacing w:val="-1"/>
        </w:rPr>
        <w:t xml:space="preserve"> </w:t>
      </w:r>
      <w:r>
        <w:rPr>
          <w:spacing w:val="-5"/>
        </w:rPr>
        <w:t>43%</w:t>
      </w:r>
    </w:p>
    <w:p w14:paraId="1B9FA3A8" w14:textId="77777777" w:rsidR="001B0540" w:rsidRDefault="001B0540" w:rsidP="001B0540">
      <w:pPr>
        <w:pStyle w:val="ListBullet"/>
      </w:pPr>
      <w:r>
        <w:t>AEs</w:t>
      </w:r>
      <w:r>
        <w:rPr>
          <w:spacing w:val="-6"/>
        </w:rPr>
        <w:t xml:space="preserve"> </w:t>
      </w:r>
      <w:r>
        <w:t>leading</w:t>
      </w:r>
      <w:r>
        <w:rPr>
          <w:spacing w:val="-4"/>
        </w:rPr>
        <w:t xml:space="preserve"> </w:t>
      </w:r>
      <w:r>
        <w:t>to</w:t>
      </w:r>
      <w:r>
        <w:rPr>
          <w:spacing w:val="-5"/>
        </w:rPr>
        <w:t xml:space="preserve"> </w:t>
      </w:r>
      <w:r>
        <w:t>dose</w:t>
      </w:r>
      <w:r>
        <w:rPr>
          <w:spacing w:val="-5"/>
        </w:rPr>
        <w:t xml:space="preserve"> </w:t>
      </w:r>
      <w:r>
        <w:t>interruption</w:t>
      </w:r>
      <w:r>
        <w:rPr>
          <w:spacing w:val="-6"/>
        </w:rPr>
        <w:t xml:space="preserve"> </w:t>
      </w:r>
      <w:r>
        <w:t>(39%),</w:t>
      </w:r>
      <w:r>
        <w:rPr>
          <w:spacing w:val="-4"/>
        </w:rPr>
        <w:t xml:space="preserve"> </w:t>
      </w:r>
      <w:r>
        <w:t>dose</w:t>
      </w:r>
      <w:r>
        <w:rPr>
          <w:spacing w:val="-5"/>
        </w:rPr>
        <w:t xml:space="preserve"> </w:t>
      </w:r>
      <w:r>
        <w:t>reduction</w:t>
      </w:r>
      <w:r>
        <w:rPr>
          <w:spacing w:val="-6"/>
        </w:rPr>
        <w:t xml:space="preserve"> </w:t>
      </w:r>
      <w:r>
        <w:t>(6.6%),</w:t>
      </w:r>
      <w:r>
        <w:rPr>
          <w:spacing w:val="-5"/>
        </w:rPr>
        <w:t xml:space="preserve"> </w:t>
      </w:r>
      <w:r>
        <w:t>drug</w:t>
      </w:r>
      <w:r>
        <w:rPr>
          <w:spacing w:val="-4"/>
        </w:rPr>
        <w:t xml:space="preserve"> </w:t>
      </w:r>
      <w:r>
        <w:t>withdrawal</w:t>
      </w:r>
      <w:r>
        <w:rPr>
          <w:spacing w:val="-5"/>
        </w:rPr>
        <w:t xml:space="preserve"> </w:t>
      </w:r>
      <w:r>
        <w:rPr>
          <w:spacing w:val="-2"/>
        </w:rPr>
        <w:t>(6.6%)</w:t>
      </w:r>
    </w:p>
    <w:p w14:paraId="56563733" w14:textId="77777777" w:rsidR="001B0540" w:rsidRDefault="001B0540" w:rsidP="001B0540">
      <w:pPr>
        <w:pStyle w:val="ListBullet"/>
      </w:pPr>
      <w:r>
        <w:t>TEAEs</w:t>
      </w:r>
      <w:r>
        <w:rPr>
          <w:spacing w:val="-4"/>
        </w:rPr>
        <w:t xml:space="preserve"> </w:t>
      </w:r>
      <w:r>
        <w:t>leading</w:t>
      </w:r>
      <w:r>
        <w:rPr>
          <w:spacing w:val="-2"/>
        </w:rPr>
        <w:t xml:space="preserve"> </w:t>
      </w:r>
      <w:r>
        <w:t>to</w:t>
      </w:r>
      <w:r>
        <w:rPr>
          <w:spacing w:val="-3"/>
        </w:rPr>
        <w:t xml:space="preserve"> </w:t>
      </w:r>
      <w:r>
        <w:t>death</w:t>
      </w:r>
      <w:r>
        <w:rPr>
          <w:spacing w:val="-3"/>
        </w:rPr>
        <w:t xml:space="preserve"> </w:t>
      </w:r>
      <w:r>
        <w:t>=</w:t>
      </w:r>
      <w:r>
        <w:rPr>
          <w:spacing w:val="-6"/>
        </w:rPr>
        <w:t xml:space="preserve"> </w:t>
      </w:r>
      <w:r>
        <w:t>3.8%</w:t>
      </w:r>
      <w:r>
        <w:rPr>
          <w:spacing w:val="-3"/>
        </w:rPr>
        <w:t xml:space="preserve"> </w:t>
      </w:r>
      <w:r>
        <w:t>(TRAEs</w:t>
      </w:r>
      <w:r>
        <w:rPr>
          <w:spacing w:val="-2"/>
        </w:rPr>
        <w:t xml:space="preserve"> </w:t>
      </w:r>
      <w:r>
        <w:t>leading</w:t>
      </w:r>
      <w:r>
        <w:rPr>
          <w:spacing w:val="-1"/>
        </w:rPr>
        <w:t xml:space="preserve"> </w:t>
      </w:r>
      <w:r>
        <w:t>to</w:t>
      </w:r>
      <w:r>
        <w:rPr>
          <w:spacing w:val="-3"/>
        </w:rPr>
        <w:t xml:space="preserve"> </w:t>
      </w:r>
      <w:r>
        <w:t>death</w:t>
      </w:r>
      <w:r>
        <w:rPr>
          <w:spacing w:val="-3"/>
        </w:rPr>
        <w:t xml:space="preserve"> </w:t>
      </w:r>
      <w:r>
        <w:t>=</w:t>
      </w:r>
      <w:r>
        <w:rPr>
          <w:spacing w:val="-3"/>
        </w:rPr>
        <w:t xml:space="preserve"> </w:t>
      </w:r>
      <w:r>
        <w:rPr>
          <w:spacing w:val="-5"/>
        </w:rPr>
        <w:t>0)</w:t>
      </w:r>
    </w:p>
    <w:p w14:paraId="44909132" w14:textId="77777777" w:rsidR="001B0540" w:rsidRPr="00182554" w:rsidRDefault="001B0540" w:rsidP="001B0540">
      <w:pPr>
        <w:pStyle w:val="ListBullet"/>
      </w:pPr>
      <w:r>
        <w:t>AESIs</w:t>
      </w:r>
      <w:r>
        <w:rPr>
          <w:spacing w:val="-2"/>
        </w:rPr>
        <w:t xml:space="preserve"> </w:t>
      </w:r>
      <w:r>
        <w:t>=</w:t>
      </w:r>
      <w:r>
        <w:rPr>
          <w:spacing w:val="-3"/>
        </w:rPr>
        <w:t xml:space="preserve"> </w:t>
      </w:r>
      <w:r>
        <w:rPr>
          <w:spacing w:val="-5"/>
        </w:rPr>
        <w:t>39%.</w:t>
      </w:r>
    </w:p>
    <w:p w14:paraId="2A1533DC" w14:textId="4D9031D5" w:rsidR="00D6581C" w:rsidRPr="00C61AEA" w:rsidRDefault="005C560E" w:rsidP="00D6581C">
      <w:r>
        <w:t xml:space="preserve">In </w:t>
      </w:r>
      <w:r w:rsidR="00D6581C">
        <w:t>Study ICP-CL-00107:</w:t>
      </w:r>
    </w:p>
    <w:p w14:paraId="0A7344D5" w14:textId="77777777" w:rsidR="00D6581C" w:rsidRDefault="00D6581C" w:rsidP="00D6581C">
      <w:pPr>
        <w:pStyle w:val="ListBullet"/>
      </w:pPr>
      <w:r>
        <w:t>All</w:t>
      </w:r>
      <w:r>
        <w:rPr>
          <w:spacing w:val="-2"/>
        </w:rPr>
        <w:t xml:space="preserve"> </w:t>
      </w:r>
      <w:r>
        <w:t>AEs =</w:t>
      </w:r>
      <w:r>
        <w:rPr>
          <w:spacing w:val="-2"/>
        </w:rPr>
        <w:t xml:space="preserve"> </w:t>
      </w:r>
      <w:r>
        <w:rPr>
          <w:spacing w:val="-5"/>
        </w:rPr>
        <w:t>84%</w:t>
      </w:r>
    </w:p>
    <w:p w14:paraId="032464EB" w14:textId="77777777" w:rsidR="00D6581C" w:rsidRDefault="00D6581C" w:rsidP="00D6581C">
      <w:pPr>
        <w:pStyle w:val="ListBullet"/>
      </w:pPr>
      <w:r>
        <w:t>Grade</w:t>
      </w:r>
      <w:r>
        <w:rPr>
          <w:spacing w:val="-2"/>
        </w:rPr>
        <w:t xml:space="preserve"> </w:t>
      </w:r>
      <w:r>
        <w:t>≥3</w:t>
      </w:r>
      <w:r>
        <w:rPr>
          <w:spacing w:val="-1"/>
        </w:rPr>
        <w:t xml:space="preserve"> </w:t>
      </w:r>
      <w:r>
        <w:t>AEs</w:t>
      </w:r>
      <w:r>
        <w:rPr>
          <w:spacing w:val="-1"/>
        </w:rPr>
        <w:t xml:space="preserve"> </w:t>
      </w:r>
      <w:r>
        <w:t>=</w:t>
      </w:r>
      <w:r>
        <w:rPr>
          <w:spacing w:val="-2"/>
        </w:rPr>
        <w:t xml:space="preserve"> </w:t>
      </w:r>
      <w:r>
        <w:rPr>
          <w:spacing w:val="-5"/>
        </w:rPr>
        <w:t>51%</w:t>
      </w:r>
    </w:p>
    <w:p w14:paraId="26402E11" w14:textId="77777777" w:rsidR="00D6581C" w:rsidRDefault="00D6581C" w:rsidP="00D6581C">
      <w:pPr>
        <w:pStyle w:val="ListBullet"/>
      </w:pPr>
      <w:r>
        <w:t>SAEs =</w:t>
      </w:r>
      <w:r>
        <w:rPr>
          <w:spacing w:val="-1"/>
        </w:rPr>
        <w:t xml:space="preserve"> </w:t>
      </w:r>
      <w:r>
        <w:rPr>
          <w:spacing w:val="-5"/>
        </w:rPr>
        <w:t>28%</w:t>
      </w:r>
    </w:p>
    <w:p w14:paraId="0733F97B" w14:textId="77777777" w:rsidR="00D6581C" w:rsidRDefault="00D6581C" w:rsidP="00D6581C">
      <w:pPr>
        <w:pStyle w:val="ListBullet"/>
      </w:pPr>
      <w:r>
        <w:t>AEs</w:t>
      </w:r>
      <w:r>
        <w:rPr>
          <w:spacing w:val="-4"/>
        </w:rPr>
        <w:t xml:space="preserve"> </w:t>
      </w:r>
      <w:r>
        <w:t>leading</w:t>
      </w:r>
      <w:r>
        <w:rPr>
          <w:spacing w:val="-4"/>
        </w:rPr>
        <w:t xml:space="preserve"> </w:t>
      </w:r>
      <w:r>
        <w:t>to</w:t>
      </w:r>
      <w:r>
        <w:rPr>
          <w:spacing w:val="-5"/>
        </w:rPr>
        <w:t xml:space="preserve"> </w:t>
      </w:r>
      <w:r>
        <w:t>dose</w:t>
      </w:r>
      <w:r>
        <w:rPr>
          <w:spacing w:val="-4"/>
        </w:rPr>
        <w:t xml:space="preserve"> </w:t>
      </w:r>
      <w:r>
        <w:t>interruption</w:t>
      </w:r>
      <w:r>
        <w:rPr>
          <w:spacing w:val="-6"/>
        </w:rPr>
        <w:t xml:space="preserve"> </w:t>
      </w:r>
      <w:r>
        <w:t>(33%),</w:t>
      </w:r>
      <w:r>
        <w:rPr>
          <w:spacing w:val="-4"/>
        </w:rPr>
        <w:t xml:space="preserve"> </w:t>
      </w:r>
      <w:r>
        <w:t>dose</w:t>
      </w:r>
      <w:r>
        <w:rPr>
          <w:spacing w:val="-5"/>
        </w:rPr>
        <w:t xml:space="preserve"> </w:t>
      </w:r>
      <w:r>
        <w:t>reduction</w:t>
      </w:r>
      <w:r>
        <w:rPr>
          <w:spacing w:val="-6"/>
        </w:rPr>
        <w:t xml:space="preserve"> </w:t>
      </w:r>
      <w:r>
        <w:t>(7%),</w:t>
      </w:r>
      <w:r>
        <w:rPr>
          <w:spacing w:val="-4"/>
        </w:rPr>
        <w:t xml:space="preserve"> </w:t>
      </w:r>
      <w:r>
        <w:t>drug</w:t>
      </w:r>
      <w:r>
        <w:rPr>
          <w:spacing w:val="-4"/>
        </w:rPr>
        <w:t xml:space="preserve"> </w:t>
      </w:r>
      <w:r>
        <w:t>withdrawal</w:t>
      </w:r>
      <w:r>
        <w:rPr>
          <w:spacing w:val="-4"/>
        </w:rPr>
        <w:t xml:space="preserve"> </w:t>
      </w:r>
      <w:r>
        <w:rPr>
          <w:spacing w:val="-2"/>
        </w:rPr>
        <w:t>(11.6%)</w:t>
      </w:r>
    </w:p>
    <w:p w14:paraId="6FF689BF" w14:textId="77777777" w:rsidR="00D6581C" w:rsidRDefault="00D6581C" w:rsidP="00D6581C">
      <w:pPr>
        <w:pStyle w:val="ListBullet"/>
      </w:pPr>
      <w:r>
        <w:t>TEAEs</w:t>
      </w:r>
      <w:r>
        <w:rPr>
          <w:spacing w:val="-4"/>
        </w:rPr>
        <w:t xml:space="preserve"> </w:t>
      </w:r>
      <w:r>
        <w:t>leading</w:t>
      </w:r>
      <w:r>
        <w:rPr>
          <w:spacing w:val="-2"/>
        </w:rPr>
        <w:t xml:space="preserve"> </w:t>
      </w:r>
      <w:r>
        <w:t>to</w:t>
      </w:r>
      <w:r>
        <w:rPr>
          <w:spacing w:val="-3"/>
        </w:rPr>
        <w:t xml:space="preserve"> </w:t>
      </w:r>
      <w:r>
        <w:t>death</w:t>
      </w:r>
      <w:r>
        <w:rPr>
          <w:spacing w:val="-3"/>
        </w:rPr>
        <w:t xml:space="preserve"> </w:t>
      </w:r>
      <w:r>
        <w:t>=</w:t>
      </w:r>
      <w:r>
        <w:rPr>
          <w:spacing w:val="-6"/>
        </w:rPr>
        <w:t xml:space="preserve"> </w:t>
      </w:r>
      <w:r>
        <w:t>4.7%</w:t>
      </w:r>
      <w:r>
        <w:rPr>
          <w:spacing w:val="-3"/>
        </w:rPr>
        <w:t xml:space="preserve"> </w:t>
      </w:r>
      <w:r>
        <w:t>(TRAEs</w:t>
      </w:r>
      <w:r>
        <w:rPr>
          <w:spacing w:val="-2"/>
        </w:rPr>
        <w:t xml:space="preserve"> </w:t>
      </w:r>
      <w:r>
        <w:t>leading</w:t>
      </w:r>
      <w:r>
        <w:rPr>
          <w:spacing w:val="-1"/>
        </w:rPr>
        <w:t xml:space="preserve"> </w:t>
      </w:r>
      <w:r>
        <w:t>to</w:t>
      </w:r>
      <w:r>
        <w:rPr>
          <w:spacing w:val="-3"/>
        </w:rPr>
        <w:t xml:space="preserve"> </w:t>
      </w:r>
      <w:r>
        <w:t>death</w:t>
      </w:r>
      <w:r>
        <w:rPr>
          <w:spacing w:val="-3"/>
        </w:rPr>
        <w:t xml:space="preserve"> </w:t>
      </w:r>
      <w:r>
        <w:t>=</w:t>
      </w:r>
      <w:r>
        <w:rPr>
          <w:spacing w:val="-3"/>
        </w:rPr>
        <w:t xml:space="preserve"> </w:t>
      </w:r>
      <w:r>
        <w:rPr>
          <w:spacing w:val="-5"/>
        </w:rPr>
        <w:t>0)</w:t>
      </w:r>
    </w:p>
    <w:p w14:paraId="600F48B7" w14:textId="77777777" w:rsidR="00D6581C" w:rsidRDefault="00D6581C" w:rsidP="00D6581C">
      <w:pPr>
        <w:pStyle w:val="ListBullet"/>
      </w:pPr>
      <w:r>
        <w:t>AESIs</w:t>
      </w:r>
      <w:r>
        <w:rPr>
          <w:spacing w:val="-2"/>
        </w:rPr>
        <w:t xml:space="preserve"> </w:t>
      </w:r>
      <w:r>
        <w:t>=</w:t>
      </w:r>
      <w:r>
        <w:rPr>
          <w:spacing w:val="-3"/>
        </w:rPr>
        <w:t xml:space="preserve"> </w:t>
      </w:r>
      <w:r>
        <w:rPr>
          <w:spacing w:val="-5"/>
        </w:rPr>
        <w:t>23%.</w:t>
      </w:r>
    </w:p>
    <w:p w14:paraId="6B105C54" w14:textId="77777777" w:rsidR="001B0540" w:rsidRDefault="001B0540" w:rsidP="00F65B7E"/>
    <w:p w14:paraId="4B105441" w14:textId="3855162E" w:rsidR="00E735C0" w:rsidRPr="00272664" w:rsidRDefault="00BB3558" w:rsidP="00AE0735">
      <w:pPr>
        <w:pStyle w:val="Heading5"/>
        <w:rPr>
          <w:i w:val="0"/>
          <w:iCs/>
          <w:spacing w:val="-2"/>
        </w:rPr>
      </w:pPr>
      <w:r w:rsidRPr="00272664">
        <w:rPr>
          <w:i w:val="0"/>
          <w:iCs/>
        </w:rPr>
        <w:lastRenderedPageBreak/>
        <w:t>A</w:t>
      </w:r>
      <w:r w:rsidR="00272664" w:rsidRPr="00272664">
        <w:rPr>
          <w:i w:val="0"/>
          <w:iCs/>
        </w:rPr>
        <w:t xml:space="preserve">dverse events </w:t>
      </w:r>
      <w:r w:rsidRPr="00272664">
        <w:rPr>
          <w:i w:val="0"/>
          <w:iCs/>
        </w:rPr>
        <w:t>i</w:t>
      </w:r>
      <w:r w:rsidR="00E735C0" w:rsidRPr="00272664">
        <w:rPr>
          <w:i w:val="0"/>
          <w:iCs/>
        </w:rPr>
        <w:t>n</w:t>
      </w:r>
      <w:r w:rsidR="00E735C0" w:rsidRPr="00272664">
        <w:rPr>
          <w:i w:val="0"/>
          <w:iCs/>
          <w:spacing w:val="-7"/>
        </w:rPr>
        <w:t xml:space="preserve"> </w:t>
      </w:r>
      <w:r w:rsidR="00E735C0" w:rsidRPr="00272664">
        <w:rPr>
          <w:i w:val="0"/>
          <w:iCs/>
        </w:rPr>
        <w:t>Study</w:t>
      </w:r>
      <w:r w:rsidR="00E735C0" w:rsidRPr="00272664">
        <w:rPr>
          <w:i w:val="0"/>
          <w:iCs/>
          <w:spacing w:val="-6"/>
        </w:rPr>
        <w:t xml:space="preserve"> </w:t>
      </w:r>
      <w:r w:rsidR="00E735C0" w:rsidRPr="00272664">
        <w:rPr>
          <w:i w:val="0"/>
          <w:iCs/>
        </w:rPr>
        <w:t>ICP-CL-</w:t>
      </w:r>
      <w:r w:rsidR="00E735C0" w:rsidRPr="00272664">
        <w:rPr>
          <w:i w:val="0"/>
          <w:iCs/>
          <w:spacing w:val="-2"/>
        </w:rPr>
        <w:t>00102</w:t>
      </w:r>
    </w:p>
    <w:p w14:paraId="188BB817" w14:textId="5F32F0B6" w:rsidR="00182554" w:rsidRDefault="00182554" w:rsidP="009B3FD1">
      <w:r w:rsidRPr="00182554">
        <w:t>The</w:t>
      </w:r>
      <w:r w:rsidRPr="00182554">
        <w:rPr>
          <w:spacing w:val="-2"/>
        </w:rPr>
        <w:t xml:space="preserve"> </w:t>
      </w:r>
      <w:r w:rsidRPr="00182554">
        <w:t>most commonly reported AEs were</w:t>
      </w:r>
      <w:r w:rsidR="00F17F6E">
        <w:t xml:space="preserve"> </w:t>
      </w:r>
      <w:r w:rsidRPr="00182554">
        <w:t>platelet</w:t>
      </w:r>
      <w:r w:rsidRPr="00182554">
        <w:rPr>
          <w:spacing w:val="-2"/>
        </w:rPr>
        <w:t xml:space="preserve"> </w:t>
      </w:r>
      <w:r w:rsidRPr="00182554">
        <w:t>count</w:t>
      </w:r>
      <w:r w:rsidRPr="00182554">
        <w:rPr>
          <w:spacing w:val="-1"/>
        </w:rPr>
        <w:t xml:space="preserve"> </w:t>
      </w:r>
      <w:r w:rsidRPr="00182554">
        <w:t>decreased (38.7%), upper respiratory</w:t>
      </w:r>
      <w:r w:rsidRPr="00182554">
        <w:rPr>
          <w:spacing w:val="-5"/>
        </w:rPr>
        <w:t xml:space="preserve"> </w:t>
      </w:r>
      <w:r w:rsidRPr="00182554">
        <w:t>tract</w:t>
      </w:r>
      <w:r w:rsidRPr="00182554">
        <w:rPr>
          <w:spacing w:val="-5"/>
        </w:rPr>
        <w:t xml:space="preserve"> </w:t>
      </w:r>
      <w:r w:rsidRPr="00182554">
        <w:t>infection</w:t>
      </w:r>
      <w:r w:rsidRPr="00182554">
        <w:rPr>
          <w:spacing w:val="-6"/>
        </w:rPr>
        <w:t xml:space="preserve"> </w:t>
      </w:r>
      <w:r w:rsidRPr="00182554">
        <w:t>(30.2%),</w:t>
      </w:r>
      <w:r w:rsidRPr="00182554">
        <w:rPr>
          <w:spacing w:val="-4"/>
        </w:rPr>
        <w:t xml:space="preserve"> </w:t>
      </w:r>
      <w:r w:rsidRPr="00182554">
        <w:t>neutrophil</w:t>
      </w:r>
      <w:r w:rsidRPr="00182554">
        <w:rPr>
          <w:spacing w:val="-6"/>
        </w:rPr>
        <w:t xml:space="preserve"> </w:t>
      </w:r>
      <w:r w:rsidRPr="00182554">
        <w:t>count</w:t>
      </w:r>
      <w:r w:rsidRPr="00182554">
        <w:rPr>
          <w:spacing w:val="-5"/>
        </w:rPr>
        <w:t xml:space="preserve"> </w:t>
      </w:r>
      <w:r w:rsidRPr="00182554">
        <w:t>decreased</w:t>
      </w:r>
      <w:r w:rsidRPr="00182554">
        <w:rPr>
          <w:spacing w:val="-4"/>
        </w:rPr>
        <w:t xml:space="preserve"> </w:t>
      </w:r>
      <w:r w:rsidRPr="00182554">
        <w:t>(27.4%),</w:t>
      </w:r>
      <w:r w:rsidRPr="00182554">
        <w:rPr>
          <w:spacing w:val="-4"/>
        </w:rPr>
        <w:t xml:space="preserve"> </w:t>
      </w:r>
      <w:r w:rsidRPr="00182554">
        <w:t>anaemia (23.6%), white blood cell count decreased (23.6%), hypokalaemia (20.8%), rash (19.8%), pneumonia (19.8%) and cough (18.9%).</w:t>
      </w:r>
    </w:p>
    <w:p w14:paraId="334B7812" w14:textId="0A7A07B2" w:rsidR="00BD20EF" w:rsidRDefault="00BD20EF" w:rsidP="009B3FD1">
      <w:r>
        <w:t xml:space="preserve">The most common </w:t>
      </w:r>
      <w:r w:rsidR="00103BBF">
        <w:t>treatment related adverse events (</w:t>
      </w:r>
      <w:r>
        <w:t>TRAEs</w:t>
      </w:r>
      <w:r w:rsidR="00103BBF">
        <w:t>)</w:t>
      </w:r>
      <w:r>
        <w:t xml:space="preserve"> were: investigations (81.1%), infections and infestations (38.7%), platelet</w:t>
      </w:r>
      <w:r w:rsidRPr="00BD20EF">
        <w:t xml:space="preserve"> </w:t>
      </w:r>
      <w:r>
        <w:t>count</w:t>
      </w:r>
      <w:r w:rsidRPr="00BD20EF">
        <w:t xml:space="preserve"> </w:t>
      </w:r>
      <w:r>
        <w:t>decreased (35.8%), cardiac</w:t>
      </w:r>
      <w:r w:rsidRPr="00BD20EF">
        <w:t xml:space="preserve"> </w:t>
      </w:r>
      <w:r>
        <w:t>disorders (26.4%), neutrophil count decreased (24.5%), metabolism and nutrition disorders (23.6%), respiratory/thoracic/mediastinal</w:t>
      </w:r>
      <w:r w:rsidRPr="00BD20EF">
        <w:t xml:space="preserve"> </w:t>
      </w:r>
      <w:r>
        <w:t>disorders</w:t>
      </w:r>
      <w:r w:rsidRPr="00BD20EF">
        <w:t xml:space="preserve"> </w:t>
      </w:r>
      <w:r>
        <w:t>(22.6%),</w:t>
      </w:r>
      <w:r w:rsidRPr="00BD20EF">
        <w:t xml:space="preserve"> </w:t>
      </w:r>
      <w:r>
        <w:t>other</w:t>
      </w:r>
      <w:r w:rsidRPr="00BD20EF">
        <w:t xml:space="preserve"> </w:t>
      </w:r>
      <w:r>
        <w:t>arrhythmias</w:t>
      </w:r>
      <w:r w:rsidRPr="00BD20EF">
        <w:t xml:space="preserve"> </w:t>
      </w:r>
      <w:r>
        <w:t>(22.6%),</w:t>
      </w:r>
      <w:r w:rsidRPr="00BD20EF">
        <w:t xml:space="preserve"> </w:t>
      </w:r>
      <w:r>
        <w:t>white blood cell count decreased (20.8%), blood and lymphatic system disorders (18.9%), gastrointestinal disorders (17.9%), vascular disorders (17.9%), hypertension (17%), anaemia (15.1%), rash (15.1%), upper respiratory tract infection (14.2%), and pneumonia (14.2%).</w:t>
      </w:r>
    </w:p>
    <w:p w14:paraId="714A1E02" w14:textId="7228B2E9" w:rsidR="00BD20EF" w:rsidRDefault="00BD20EF" w:rsidP="009B3FD1">
      <w:r>
        <w:t>The</w:t>
      </w:r>
      <w:r w:rsidRPr="00BD20EF">
        <w:t xml:space="preserve"> </w:t>
      </w:r>
      <w:r>
        <w:t>most</w:t>
      </w:r>
      <w:r w:rsidRPr="00BD20EF">
        <w:t xml:space="preserve"> </w:t>
      </w:r>
      <w:r>
        <w:t>commonly</w:t>
      </w:r>
      <w:r w:rsidRPr="00BD20EF">
        <w:t xml:space="preserve"> </w:t>
      </w:r>
      <w:r>
        <w:t>reported</w:t>
      </w:r>
      <w:r w:rsidRPr="00BD20EF">
        <w:t xml:space="preserve"> </w:t>
      </w:r>
      <w:r>
        <w:t>grade</w:t>
      </w:r>
      <w:r w:rsidRPr="00BD20EF">
        <w:t xml:space="preserve"> </w:t>
      </w:r>
      <w:r>
        <w:t>≥3</w:t>
      </w:r>
      <w:r w:rsidRPr="00BD20EF">
        <w:t xml:space="preserve"> </w:t>
      </w:r>
      <w:r>
        <w:t>AEs</w:t>
      </w:r>
      <w:r w:rsidRPr="00BD20EF">
        <w:t xml:space="preserve"> </w:t>
      </w:r>
      <w:r>
        <w:t>by</w:t>
      </w:r>
      <w:r w:rsidRPr="00BD20EF">
        <w:t xml:space="preserve"> </w:t>
      </w:r>
      <w:r>
        <w:t>SOC</w:t>
      </w:r>
      <w:r w:rsidRPr="00BD20EF">
        <w:t xml:space="preserve"> </w:t>
      </w:r>
      <w:r>
        <w:t>and</w:t>
      </w:r>
      <w:r w:rsidRPr="00BD20EF">
        <w:t xml:space="preserve"> </w:t>
      </w:r>
      <w:r>
        <w:t>PT</w:t>
      </w:r>
      <w:r w:rsidRPr="00BD20EF">
        <w:t xml:space="preserve"> </w:t>
      </w:r>
      <w:r>
        <w:t>were</w:t>
      </w:r>
      <w:r w:rsidRPr="00BD20EF">
        <w:t xml:space="preserve"> </w:t>
      </w:r>
      <w:r>
        <w:t>investigations</w:t>
      </w:r>
      <w:r w:rsidRPr="00BD20EF">
        <w:t xml:space="preserve"> </w:t>
      </w:r>
      <w:r>
        <w:t>(29.2%), infections and infestations (21.7%), platelet count decreased (15.1%), metabolism and nutrition disorders (11.3%), neutrophil count decreased (10.4%), pneumonia (9.4%), blood and lymphatic system disorders (9.4%), and anaemia (8.5%).</w:t>
      </w:r>
    </w:p>
    <w:p w14:paraId="436E19E7" w14:textId="6977CB10" w:rsidR="00BD20EF" w:rsidRDefault="00BD20EF" w:rsidP="009B3FD1">
      <w:r>
        <w:t>The</w:t>
      </w:r>
      <w:r w:rsidRPr="00BD20EF">
        <w:t xml:space="preserve"> </w:t>
      </w:r>
      <w:r>
        <w:t>most</w:t>
      </w:r>
      <w:r w:rsidRPr="00BD20EF">
        <w:t xml:space="preserve"> </w:t>
      </w:r>
      <w:r>
        <w:t>common</w:t>
      </w:r>
      <w:r w:rsidRPr="00BD20EF">
        <w:t xml:space="preserve"> </w:t>
      </w:r>
      <w:r w:rsidR="00A1416F">
        <w:t>serious adverse events (</w:t>
      </w:r>
      <w:r>
        <w:t>SAEs</w:t>
      </w:r>
      <w:r w:rsidR="00A1416F">
        <w:t>)</w:t>
      </w:r>
      <w:r w:rsidR="00BC26AE">
        <w:t xml:space="preserve"> </w:t>
      </w:r>
      <w:r>
        <w:t>occurring</w:t>
      </w:r>
      <w:r w:rsidRPr="00BD20EF">
        <w:t xml:space="preserve"> </w:t>
      </w:r>
      <w:r>
        <w:t>in</w:t>
      </w:r>
      <w:r w:rsidRPr="00BD20EF">
        <w:t xml:space="preserve"> </w:t>
      </w:r>
      <w:r>
        <w:t>more</w:t>
      </w:r>
      <w:r w:rsidRPr="00BD20EF">
        <w:t xml:space="preserve"> </w:t>
      </w:r>
      <w:r>
        <w:t>than</w:t>
      </w:r>
      <w:r w:rsidRPr="00BD20EF">
        <w:t xml:space="preserve"> </w:t>
      </w:r>
      <w:r>
        <w:t>one</w:t>
      </w:r>
      <w:r w:rsidRPr="00BD20EF">
        <w:t xml:space="preserve"> </w:t>
      </w:r>
      <w:r>
        <w:t>patient</w:t>
      </w:r>
      <w:r w:rsidRPr="00BD20EF">
        <w:t xml:space="preserve"> </w:t>
      </w:r>
      <w:r>
        <w:t>were</w:t>
      </w:r>
      <w:r w:rsidRPr="00BD20EF">
        <w:t xml:space="preserve"> </w:t>
      </w:r>
      <w:r>
        <w:t>pneumonia (19.8%), platelet count decreased (4.7%) and pneumonitis (3.8%).</w:t>
      </w:r>
    </w:p>
    <w:p w14:paraId="505F64AB" w14:textId="0BCC3EB4" w:rsidR="00FF0008" w:rsidRPr="00801CED" w:rsidRDefault="00994306" w:rsidP="00801CED">
      <w:pPr>
        <w:pStyle w:val="Heading5"/>
        <w:rPr>
          <w:i w:val="0"/>
          <w:iCs/>
        </w:rPr>
      </w:pPr>
      <w:r w:rsidRPr="00801CED">
        <w:rPr>
          <w:i w:val="0"/>
          <w:iCs/>
        </w:rPr>
        <w:t>A</w:t>
      </w:r>
      <w:r w:rsidR="004E6DEF">
        <w:rPr>
          <w:i w:val="0"/>
          <w:iCs/>
        </w:rPr>
        <w:t>dverse events</w:t>
      </w:r>
      <w:r w:rsidRPr="00801CED">
        <w:rPr>
          <w:i w:val="0"/>
          <w:iCs/>
        </w:rPr>
        <w:t xml:space="preserve"> i</w:t>
      </w:r>
      <w:r w:rsidR="00E735C0" w:rsidRPr="00801CED">
        <w:rPr>
          <w:i w:val="0"/>
          <w:iCs/>
        </w:rPr>
        <w:t>n</w:t>
      </w:r>
      <w:r w:rsidR="00E735C0" w:rsidRPr="00801CED">
        <w:rPr>
          <w:i w:val="0"/>
          <w:iCs/>
          <w:spacing w:val="-7"/>
        </w:rPr>
        <w:t xml:space="preserve"> </w:t>
      </w:r>
      <w:r w:rsidR="00E735C0" w:rsidRPr="00801CED">
        <w:rPr>
          <w:i w:val="0"/>
          <w:iCs/>
        </w:rPr>
        <w:t>Study</w:t>
      </w:r>
      <w:r w:rsidR="00E735C0" w:rsidRPr="00801CED">
        <w:rPr>
          <w:i w:val="0"/>
          <w:iCs/>
          <w:spacing w:val="-6"/>
        </w:rPr>
        <w:t xml:space="preserve"> </w:t>
      </w:r>
      <w:r w:rsidR="00E735C0" w:rsidRPr="00801CED">
        <w:rPr>
          <w:i w:val="0"/>
          <w:iCs/>
        </w:rPr>
        <w:t>ICP-CL-</w:t>
      </w:r>
      <w:r w:rsidR="00E735C0" w:rsidRPr="00801CED">
        <w:rPr>
          <w:i w:val="0"/>
          <w:iCs/>
          <w:spacing w:val="-2"/>
        </w:rPr>
        <w:t>00102</w:t>
      </w:r>
      <w:r w:rsidR="0062779F" w:rsidRPr="00801CED">
        <w:rPr>
          <w:i w:val="0"/>
          <w:iCs/>
          <w:spacing w:val="-2"/>
        </w:rPr>
        <w:t xml:space="preserve">, </w:t>
      </w:r>
      <w:r w:rsidR="0062779F" w:rsidRPr="00801CED">
        <w:rPr>
          <w:i w:val="0"/>
          <w:iCs/>
        </w:rPr>
        <w:t xml:space="preserve">Study ICP-CL-00107, and </w:t>
      </w:r>
      <w:r w:rsidR="00931F26" w:rsidRPr="00801CED">
        <w:rPr>
          <w:i w:val="0"/>
          <w:iCs/>
        </w:rPr>
        <w:t>B-cell</w:t>
      </w:r>
      <w:r w:rsidR="00931F26" w:rsidRPr="00801CED">
        <w:rPr>
          <w:i w:val="0"/>
          <w:iCs/>
          <w:spacing w:val="-6"/>
        </w:rPr>
        <w:t xml:space="preserve"> </w:t>
      </w:r>
      <w:r w:rsidR="00931F26" w:rsidRPr="00801CED">
        <w:rPr>
          <w:i w:val="0"/>
          <w:iCs/>
        </w:rPr>
        <w:t>malignancy</w:t>
      </w:r>
      <w:r w:rsidR="00931F26" w:rsidRPr="00801CED">
        <w:rPr>
          <w:i w:val="0"/>
          <w:iCs/>
          <w:spacing w:val="-5"/>
        </w:rPr>
        <w:t xml:space="preserve"> </w:t>
      </w:r>
      <w:r w:rsidR="00931F26" w:rsidRPr="00801CED">
        <w:rPr>
          <w:i w:val="0"/>
          <w:iCs/>
        </w:rPr>
        <w:t>pooled</w:t>
      </w:r>
      <w:r w:rsidR="00931F26" w:rsidRPr="00801CED">
        <w:rPr>
          <w:i w:val="0"/>
          <w:iCs/>
          <w:spacing w:val="-5"/>
        </w:rPr>
        <w:t xml:space="preserve"> </w:t>
      </w:r>
      <w:r w:rsidR="00931F26" w:rsidRPr="00801CED">
        <w:rPr>
          <w:i w:val="0"/>
          <w:iCs/>
        </w:rPr>
        <w:t>dataset</w:t>
      </w:r>
    </w:p>
    <w:p w14:paraId="2F6789BC" w14:textId="2BCC1C1E" w:rsidR="00460E04" w:rsidRPr="00322E52" w:rsidRDefault="00460E04" w:rsidP="00FF0008">
      <w:pPr>
        <w:pStyle w:val="Heading6"/>
        <w:rPr>
          <w:i w:val="0"/>
          <w:iCs/>
          <w:spacing w:val="-2"/>
        </w:rPr>
      </w:pPr>
      <w:r w:rsidRPr="00322E52">
        <w:rPr>
          <w:i w:val="0"/>
          <w:iCs/>
          <w:spacing w:val="-2"/>
        </w:rPr>
        <w:t>Deaths</w:t>
      </w:r>
    </w:p>
    <w:p w14:paraId="312F3C22" w14:textId="77777777" w:rsidR="00EE612F" w:rsidRDefault="00460E04" w:rsidP="008A19EE">
      <w:pPr>
        <w:rPr>
          <w:spacing w:val="40"/>
        </w:rPr>
      </w:pPr>
      <w:r w:rsidRPr="008A19EE">
        <w:t>In</w:t>
      </w:r>
      <w:r w:rsidRPr="008A19EE">
        <w:rPr>
          <w:spacing w:val="-3"/>
        </w:rPr>
        <w:t xml:space="preserve"> </w:t>
      </w:r>
      <w:r w:rsidRPr="008A19EE">
        <w:t>Study</w:t>
      </w:r>
      <w:r w:rsidRPr="008A19EE">
        <w:rPr>
          <w:spacing w:val="-3"/>
        </w:rPr>
        <w:t xml:space="preserve"> </w:t>
      </w:r>
      <w:r w:rsidRPr="008A19EE">
        <w:t>ICP-CL-00102,</w:t>
      </w:r>
      <w:r w:rsidRPr="008A19EE">
        <w:rPr>
          <w:spacing w:val="-2"/>
        </w:rPr>
        <w:t xml:space="preserve"> </w:t>
      </w:r>
      <w:r w:rsidRPr="008A19EE">
        <w:t>there</w:t>
      </w:r>
      <w:r w:rsidRPr="008A19EE">
        <w:rPr>
          <w:spacing w:val="-2"/>
        </w:rPr>
        <w:t xml:space="preserve"> </w:t>
      </w:r>
      <w:r w:rsidRPr="008A19EE">
        <w:t>were</w:t>
      </w:r>
      <w:r w:rsidRPr="008A19EE">
        <w:rPr>
          <w:spacing w:val="-2"/>
        </w:rPr>
        <w:t xml:space="preserve"> </w:t>
      </w:r>
      <w:r w:rsidRPr="008A19EE">
        <w:t>9</w:t>
      </w:r>
      <w:r w:rsidRPr="008A19EE">
        <w:rPr>
          <w:spacing w:val="-3"/>
        </w:rPr>
        <w:t xml:space="preserve"> </w:t>
      </w:r>
      <w:r w:rsidRPr="008A19EE">
        <w:t>deaths</w:t>
      </w:r>
      <w:r w:rsidRPr="008A19EE">
        <w:rPr>
          <w:spacing w:val="-1"/>
        </w:rPr>
        <w:t xml:space="preserve"> </w:t>
      </w:r>
      <w:r w:rsidRPr="008A19EE">
        <w:t>that</w:t>
      </w:r>
      <w:r w:rsidRPr="008A19EE">
        <w:rPr>
          <w:spacing w:val="-3"/>
        </w:rPr>
        <w:t xml:space="preserve"> </w:t>
      </w:r>
      <w:r w:rsidRPr="008A19EE">
        <w:t>occurred</w:t>
      </w:r>
      <w:r w:rsidRPr="008A19EE">
        <w:rPr>
          <w:spacing w:val="-3"/>
        </w:rPr>
        <w:t xml:space="preserve"> </w:t>
      </w:r>
      <w:r w:rsidRPr="008A19EE">
        <w:t>within</w:t>
      </w:r>
      <w:r w:rsidRPr="008A19EE">
        <w:rPr>
          <w:spacing w:val="-3"/>
        </w:rPr>
        <w:t xml:space="preserve"> </w:t>
      </w:r>
      <w:r w:rsidRPr="008A19EE">
        <w:t>28</w:t>
      </w:r>
      <w:r w:rsidRPr="008A19EE">
        <w:rPr>
          <w:spacing w:val="-3"/>
        </w:rPr>
        <w:t xml:space="preserve"> </w:t>
      </w:r>
      <w:r w:rsidRPr="008A19EE">
        <w:t>days</w:t>
      </w:r>
      <w:r w:rsidRPr="008A19EE">
        <w:rPr>
          <w:spacing w:val="-1"/>
        </w:rPr>
        <w:t xml:space="preserve"> </w:t>
      </w:r>
      <w:r w:rsidRPr="008A19EE">
        <w:t>after</w:t>
      </w:r>
      <w:r w:rsidRPr="008A19EE">
        <w:rPr>
          <w:spacing w:val="-2"/>
        </w:rPr>
        <w:t xml:space="preserve"> </w:t>
      </w:r>
      <w:r w:rsidRPr="008A19EE">
        <w:t>the</w:t>
      </w:r>
      <w:r w:rsidRPr="008A19EE">
        <w:rPr>
          <w:spacing w:val="-2"/>
        </w:rPr>
        <w:t xml:space="preserve"> </w:t>
      </w:r>
      <w:r w:rsidRPr="008A19EE">
        <w:t>last</w:t>
      </w:r>
      <w:r w:rsidRPr="008A19EE">
        <w:rPr>
          <w:spacing w:val="-3"/>
        </w:rPr>
        <w:t xml:space="preserve"> </w:t>
      </w:r>
      <w:r w:rsidRPr="008A19EE">
        <w:t>dose</w:t>
      </w:r>
      <w:r w:rsidRPr="008A19EE">
        <w:rPr>
          <w:spacing w:val="-2"/>
        </w:rPr>
        <w:t xml:space="preserve"> </w:t>
      </w:r>
      <w:r w:rsidRPr="008A19EE">
        <w:t>of the study drug, 5 due to disease progression.</w:t>
      </w:r>
      <w:r w:rsidRPr="008A19EE">
        <w:rPr>
          <w:spacing w:val="40"/>
        </w:rPr>
        <w:t xml:space="preserve"> </w:t>
      </w:r>
    </w:p>
    <w:p w14:paraId="3E576E29" w14:textId="08DAB21E" w:rsidR="00460E04" w:rsidRDefault="00460E04" w:rsidP="008A19EE">
      <w:r w:rsidRPr="008A19EE">
        <w:t>There were no TRAEs leading to death.</w:t>
      </w:r>
      <w:r w:rsidRPr="008A19EE">
        <w:rPr>
          <w:spacing w:val="40"/>
        </w:rPr>
        <w:t xml:space="preserve"> </w:t>
      </w:r>
      <w:r w:rsidRPr="008A19EE">
        <w:t>Deaths</w:t>
      </w:r>
      <w:r w:rsidR="008A19EE">
        <w:t xml:space="preserve"> </w:t>
      </w:r>
      <w:r w:rsidRPr="008A19EE">
        <w:t xml:space="preserve">related to TEAEs included disease progression, pneumonia, COPD and </w:t>
      </w:r>
      <w:r w:rsidR="00EE612F">
        <w:t>‘</w:t>
      </w:r>
      <w:r w:rsidRPr="008A19EE">
        <w:t>death</w:t>
      </w:r>
      <w:r w:rsidR="00EE612F">
        <w:t>’</w:t>
      </w:r>
      <w:r w:rsidRPr="008A19EE">
        <w:t>. The patient whose</w:t>
      </w:r>
      <w:r w:rsidRPr="008A19EE">
        <w:rPr>
          <w:spacing w:val="-2"/>
        </w:rPr>
        <w:t xml:space="preserve"> </w:t>
      </w:r>
      <w:r w:rsidRPr="008A19EE">
        <w:t>TEAE</w:t>
      </w:r>
      <w:r w:rsidRPr="008A19EE">
        <w:rPr>
          <w:spacing w:val="-2"/>
        </w:rPr>
        <w:t xml:space="preserve"> </w:t>
      </w:r>
      <w:r w:rsidRPr="008A19EE">
        <w:t>was</w:t>
      </w:r>
      <w:r w:rsidRPr="008A19EE">
        <w:rPr>
          <w:spacing w:val="-1"/>
        </w:rPr>
        <w:t xml:space="preserve"> </w:t>
      </w:r>
      <w:r w:rsidRPr="008A19EE">
        <w:t>listed</w:t>
      </w:r>
      <w:r w:rsidRPr="008A19EE">
        <w:rPr>
          <w:spacing w:val="-2"/>
        </w:rPr>
        <w:t xml:space="preserve"> </w:t>
      </w:r>
      <w:r w:rsidRPr="008A19EE">
        <w:t>as</w:t>
      </w:r>
      <w:r w:rsidRPr="008A19EE">
        <w:rPr>
          <w:spacing w:val="-4"/>
        </w:rPr>
        <w:t xml:space="preserve"> </w:t>
      </w:r>
      <w:r w:rsidR="00F374A6">
        <w:rPr>
          <w:spacing w:val="-4"/>
        </w:rPr>
        <w:t>‘</w:t>
      </w:r>
      <w:r w:rsidRPr="008A19EE">
        <w:t>death</w:t>
      </w:r>
      <w:r w:rsidR="00F374A6">
        <w:t>’</w:t>
      </w:r>
      <w:r w:rsidRPr="008A19EE">
        <w:rPr>
          <w:spacing w:val="-2"/>
        </w:rPr>
        <w:t xml:space="preserve"> </w:t>
      </w:r>
      <w:r w:rsidRPr="008A19EE">
        <w:t>died</w:t>
      </w:r>
      <w:r w:rsidRPr="008A19EE">
        <w:rPr>
          <w:spacing w:val="-2"/>
        </w:rPr>
        <w:t xml:space="preserve"> </w:t>
      </w:r>
      <w:r w:rsidRPr="008A19EE">
        <w:t>out</w:t>
      </w:r>
      <w:r w:rsidRPr="008A19EE">
        <w:rPr>
          <w:spacing w:val="-5"/>
        </w:rPr>
        <w:t xml:space="preserve"> </w:t>
      </w:r>
      <w:r w:rsidRPr="008A19EE">
        <w:t>of</w:t>
      </w:r>
      <w:r w:rsidRPr="008A19EE">
        <w:rPr>
          <w:spacing w:val="-2"/>
        </w:rPr>
        <w:t xml:space="preserve"> </w:t>
      </w:r>
      <w:r w:rsidRPr="008A19EE">
        <w:t>hospital</w:t>
      </w:r>
      <w:r w:rsidRPr="008A19EE">
        <w:rPr>
          <w:spacing w:val="-2"/>
        </w:rPr>
        <w:t xml:space="preserve"> </w:t>
      </w:r>
      <w:r w:rsidRPr="008A19EE">
        <w:t>without</w:t>
      </w:r>
      <w:r w:rsidRPr="008A19EE">
        <w:rPr>
          <w:spacing w:val="-2"/>
        </w:rPr>
        <w:t xml:space="preserve"> </w:t>
      </w:r>
      <w:r w:rsidRPr="008A19EE">
        <w:t>receiving</w:t>
      </w:r>
      <w:r w:rsidRPr="008A19EE">
        <w:rPr>
          <w:spacing w:val="-4"/>
        </w:rPr>
        <w:t xml:space="preserve"> </w:t>
      </w:r>
      <w:r w:rsidRPr="008A19EE">
        <w:t>medical</w:t>
      </w:r>
      <w:r w:rsidRPr="008A19EE">
        <w:rPr>
          <w:spacing w:val="-2"/>
        </w:rPr>
        <w:t xml:space="preserve"> </w:t>
      </w:r>
      <w:r w:rsidRPr="008A19EE">
        <w:t>care</w:t>
      </w:r>
      <w:r w:rsidR="00F374A6">
        <w:t xml:space="preserve">. It </w:t>
      </w:r>
      <w:r w:rsidRPr="008A19EE">
        <w:t>was deemed likely to as result of a cardiovascular or cerebrovascular event unlikely related to</w:t>
      </w:r>
      <w:r w:rsidR="00F374A6">
        <w:t xml:space="preserve"> </w:t>
      </w:r>
      <w:r w:rsidRPr="008A19EE">
        <w:t>orelabrutinib</w:t>
      </w:r>
      <w:r w:rsidRPr="008A19EE">
        <w:rPr>
          <w:spacing w:val="-3"/>
        </w:rPr>
        <w:t xml:space="preserve"> </w:t>
      </w:r>
      <w:r w:rsidRPr="008A19EE">
        <w:t>and</w:t>
      </w:r>
      <w:r w:rsidRPr="008A19EE">
        <w:rPr>
          <w:spacing w:val="-3"/>
        </w:rPr>
        <w:t xml:space="preserve"> </w:t>
      </w:r>
      <w:r w:rsidRPr="008A19EE">
        <w:t>occurred</w:t>
      </w:r>
      <w:r w:rsidRPr="008A19EE">
        <w:rPr>
          <w:spacing w:val="-3"/>
        </w:rPr>
        <w:t xml:space="preserve"> </w:t>
      </w:r>
      <w:r w:rsidRPr="008A19EE">
        <w:t>approximately</w:t>
      </w:r>
      <w:r w:rsidRPr="008A19EE">
        <w:rPr>
          <w:spacing w:val="-3"/>
        </w:rPr>
        <w:t xml:space="preserve"> </w:t>
      </w:r>
      <w:r w:rsidR="00F374A6">
        <w:rPr>
          <w:spacing w:val="-3"/>
        </w:rPr>
        <w:t>one</w:t>
      </w:r>
      <w:r w:rsidRPr="008A19EE">
        <w:rPr>
          <w:spacing w:val="-5"/>
        </w:rPr>
        <w:t xml:space="preserve"> </w:t>
      </w:r>
      <w:r w:rsidRPr="008A19EE">
        <w:t>month</w:t>
      </w:r>
      <w:r w:rsidRPr="008A19EE">
        <w:rPr>
          <w:spacing w:val="-5"/>
        </w:rPr>
        <w:t xml:space="preserve"> </w:t>
      </w:r>
      <w:r w:rsidRPr="008A19EE">
        <w:t>after</w:t>
      </w:r>
      <w:r w:rsidRPr="008A19EE">
        <w:rPr>
          <w:spacing w:val="-3"/>
        </w:rPr>
        <w:t xml:space="preserve"> </w:t>
      </w:r>
      <w:r w:rsidRPr="008A19EE">
        <w:t>receiving</w:t>
      </w:r>
      <w:r w:rsidRPr="008A19EE">
        <w:rPr>
          <w:spacing w:val="-4"/>
        </w:rPr>
        <w:t xml:space="preserve"> </w:t>
      </w:r>
      <w:r w:rsidRPr="008A19EE">
        <w:t>study</w:t>
      </w:r>
      <w:r w:rsidRPr="008A19EE">
        <w:rPr>
          <w:spacing w:val="-3"/>
        </w:rPr>
        <w:t xml:space="preserve"> </w:t>
      </w:r>
      <w:r w:rsidRPr="008A19EE">
        <w:t>drug.</w:t>
      </w:r>
      <w:r w:rsidRPr="008A19EE">
        <w:rPr>
          <w:spacing w:val="-2"/>
        </w:rPr>
        <w:t xml:space="preserve"> </w:t>
      </w:r>
      <w:r w:rsidRPr="008A19EE">
        <w:t>The</w:t>
      </w:r>
      <w:r w:rsidRPr="008A19EE">
        <w:rPr>
          <w:spacing w:val="-2"/>
        </w:rPr>
        <w:t xml:space="preserve"> </w:t>
      </w:r>
      <w:r w:rsidRPr="008A19EE">
        <w:t>patient</w:t>
      </w:r>
      <w:r w:rsidRPr="008A19EE">
        <w:rPr>
          <w:spacing w:val="-3"/>
        </w:rPr>
        <w:t xml:space="preserve"> </w:t>
      </w:r>
      <w:r w:rsidRPr="008A19EE">
        <w:t>was at the palliative stage of disease management and the evaluator agreed with this assessment based on information provided.</w:t>
      </w:r>
    </w:p>
    <w:p w14:paraId="06B13E02" w14:textId="77777777" w:rsidR="00986CBD" w:rsidRDefault="00460E04" w:rsidP="008A19EE">
      <w:pPr>
        <w:rPr>
          <w:spacing w:val="-1"/>
        </w:rPr>
      </w:pPr>
      <w:r w:rsidRPr="008A19EE">
        <w:t xml:space="preserve">In </w:t>
      </w:r>
      <w:r w:rsidR="00986CBD">
        <w:t xml:space="preserve">Study </w:t>
      </w:r>
      <w:r w:rsidRPr="008A19EE">
        <w:t>ICP-CL-00107, deaths related to TEAEs included cardiac arrest, myocardial infarction (both considered not related) and pneumonitis (possibly related). The pneumonitis occurred in context</w:t>
      </w:r>
      <w:r w:rsidRPr="008A19EE">
        <w:rPr>
          <w:spacing w:val="-3"/>
        </w:rPr>
        <w:t xml:space="preserve"> </w:t>
      </w:r>
      <w:r w:rsidRPr="008A19EE">
        <w:t>of</w:t>
      </w:r>
      <w:r w:rsidRPr="008A19EE">
        <w:rPr>
          <w:spacing w:val="-2"/>
        </w:rPr>
        <w:t xml:space="preserve"> </w:t>
      </w:r>
      <w:r w:rsidRPr="008A19EE">
        <w:t>COVID-19</w:t>
      </w:r>
      <w:r w:rsidRPr="008A19EE">
        <w:rPr>
          <w:spacing w:val="-2"/>
        </w:rPr>
        <w:t xml:space="preserve"> </w:t>
      </w:r>
      <w:r w:rsidRPr="008A19EE">
        <w:t>which</w:t>
      </w:r>
      <w:r w:rsidRPr="008A19EE">
        <w:rPr>
          <w:spacing w:val="-2"/>
        </w:rPr>
        <w:t xml:space="preserve"> </w:t>
      </w:r>
      <w:r w:rsidRPr="008A19EE">
        <w:t>is</w:t>
      </w:r>
      <w:r w:rsidRPr="008A19EE">
        <w:rPr>
          <w:spacing w:val="-1"/>
        </w:rPr>
        <w:t xml:space="preserve"> </w:t>
      </w:r>
      <w:r w:rsidRPr="008A19EE">
        <w:t>an</w:t>
      </w:r>
      <w:r w:rsidRPr="008A19EE">
        <w:rPr>
          <w:spacing w:val="-3"/>
        </w:rPr>
        <w:t xml:space="preserve"> </w:t>
      </w:r>
      <w:r w:rsidRPr="008A19EE">
        <w:t>alternate</w:t>
      </w:r>
      <w:r w:rsidRPr="008A19EE">
        <w:rPr>
          <w:spacing w:val="-2"/>
        </w:rPr>
        <w:t xml:space="preserve"> </w:t>
      </w:r>
      <w:r w:rsidRPr="008A19EE">
        <w:t>and</w:t>
      </w:r>
      <w:r w:rsidRPr="008A19EE">
        <w:rPr>
          <w:spacing w:val="-5"/>
        </w:rPr>
        <w:t xml:space="preserve"> </w:t>
      </w:r>
      <w:r w:rsidRPr="008A19EE">
        <w:t>common</w:t>
      </w:r>
      <w:r w:rsidRPr="008A19EE">
        <w:rPr>
          <w:spacing w:val="-3"/>
        </w:rPr>
        <w:t xml:space="preserve"> </w:t>
      </w:r>
      <w:r w:rsidRPr="008A19EE">
        <w:t>cause</w:t>
      </w:r>
      <w:r w:rsidRPr="008A19EE">
        <w:rPr>
          <w:spacing w:val="-2"/>
        </w:rPr>
        <w:t xml:space="preserve"> </w:t>
      </w:r>
      <w:r w:rsidRPr="008A19EE">
        <w:t>of</w:t>
      </w:r>
      <w:r w:rsidRPr="008A19EE">
        <w:rPr>
          <w:spacing w:val="-2"/>
        </w:rPr>
        <w:t xml:space="preserve"> </w:t>
      </w:r>
      <w:r w:rsidRPr="008A19EE">
        <w:t>pneumonitis.</w:t>
      </w:r>
      <w:r w:rsidRPr="008A19EE">
        <w:rPr>
          <w:spacing w:val="-1"/>
        </w:rPr>
        <w:t xml:space="preserve"> </w:t>
      </w:r>
    </w:p>
    <w:p w14:paraId="06DFA0D0" w14:textId="19CAFBFE" w:rsidR="00B7491C" w:rsidRDefault="00460E04">
      <w:r w:rsidRPr="008A19EE">
        <w:t>In</w:t>
      </w:r>
      <w:r w:rsidR="00E568B9">
        <w:t xml:space="preserve"> Study</w:t>
      </w:r>
      <w:r w:rsidRPr="008A19EE">
        <w:rPr>
          <w:spacing w:val="-3"/>
        </w:rPr>
        <w:t xml:space="preserve"> </w:t>
      </w:r>
      <w:r w:rsidRPr="008A19EE">
        <w:t>ICP-CL-00127, the single TEAE leading to death was due to pneumonia (related by investigator). The sponsor considers this not related and the evaluator agreed with this assessment.</w:t>
      </w:r>
    </w:p>
    <w:p w14:paraId="1B081C10" w14:textId="21294E5B" w:rsidR="00DF712B" w:rsidRDefault="00DF712B">
      <w:r>
        <w:br w:type="page"/>
      </w:r>
    </w:p>
    <w:p w14:paraId="48AFC9E8" w14:textId="77777777" w:rsidR="00DF712B" w:rsidRDefault="00DF712B"/>
    <w:p w14:paraId="1116ECA4" w14:textId="68393DB5" w:rsidR="005632BD" w:rsidRPr="00F77D19" w:rsidRDefault="005632BD" w:rsidP="00477A5D">
      <w:pPr>
        <w:pStyle w:val="TableTitle"/>
        <w:spacing w:before="240"/>
      </w:pPr>
      <w:bookmarkStart w:id="70" w:name="_Toc202463971"/>
      <w:bookmarkStart w:id="71" w:name="_Ref202471487"/>
      <w:bookmarkStart w:id="72" w:name="_Toc211510697"/>
      <w:bookmarkStart w:id="73" w:name="_Ref211512417"/>
      <w:r>
        <w:t xml:space="preserve">Table </w:t>
      </w:r>
      <w:r w:rsidR="00171559">
        <w:t>1</w:t>
      </w:r>
      <w:r w:rsidR="00915482">
        <w:t>3</w:t>
      </w:r>
      <w:r w:rsidR="00171559">
        <w:t>:</w:t>
      </w:r>
      <w:r>
        <w:t xml:space="preserve"> </w:t>
      </w:r>
      <w:r w:rsidRPr="00F77D19">
        <w:t>Overview of deaths in ICP-CL-00102, ICP-CL-00107, ICP-CL-00127</w:t>
      </w:r>
      <w:r>
        <w:t xml:space="preserve"> </w:t>
      </w:r>
      <w:r w:rsidRPr="00F77D19">
        <w:t>and B-cell malignancies safety set</w:t>
      </w:r>
      <w:bookmarkEnd w:id="70"/>
      <w:bookmarkEnd w:id="71"/>
      <w:bookmarkEnd w:id="72"/>
      <w:bookmarkEnd w:id="73"/>
    </w:p>
    <w:tbl>
      <w:tblPr>
        <w:tblStyle w:val="GridTable41"/>
        <w:tblW w:w="0" w:type="auto"/>
        <w:tblLook w:val="04A0" w:firstRow="1" w:lastRow="0" w:firstColumn="1" w:lastColumn="0" w:noHBand="0" w:noVBand="1"/>
      </w:tblPr>
      <w:tblGrid>
        <w:gridCol w:w="3008"/>
        <w:gridCol w:w="1526"/>
        <w:gridCol w:w="1392"/>
        <w:gridCol w:w="1389"/>
        <w:gridCol w:w="1745"/>
      </w:tblGrid>
      <w:tr w:rsidR="005632BD" w:rsidRPr="00FF72FD" w14:paraId="014F106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37810288" w14:textId="77777777" w:rsidR="005632BD" w:rsidRPr="00F77D19" w:rsidRDefault="005632BD">
            <w:pPr>
              <w:rPr>
                <w:rFonts w:cs="Calibri"/>
                <w:b w:val="0"/>
                <w:bCs w:val="0"/>
                <w:sz w:val="18"/>
                <w:szCs w:val="18"/>
              </w:rPr>
            </w:pPr>
          </w:p>
        </w:tc>
        <w:tc>
          <w:tcPr>
            <w:tcW w:w="1559" w:type="dxa"/>
          </w:tcPr>
          <w:p w14:paraId="6B4AE2A9" w14:textId="77777777" w:rsidR="005632BD" w:rsidRPr="00F77D19" w:rsidRDefault="005632BD">
            <w:pPr>
              <w:jc w:val="center"/>
              <w:cnfStyle w:val="100000000000" w:firstRow="1" w:lastRow="0" w:firstColumn="0" w:lastColumn="0" w:oddVBand="0" w:evenVBand="0" w:oddHBand="0" w:evenHBand="0" w:firstRowFirstColumn="0" w:firstRowLastColumn="0" w:lastRowFirstColumn="0" w:lastRowLastColumn="0"/>
              <w:rPr>
                <w:rFonts w:cs="Calibri"/>
                <w:b w:val="0"/>
                <w:bCs w:val="0"/>
                <w:sz w:val="18"/>
                <w:szCs w:val="18"/>
              </w:rPr>
            </w:pPr>
            <w:r w:rsidRPr="00F77D19">
              <w:rPr>
                <w:rFonts w:cs="Calibri"/>
                <w:b w:val="0"/>
                <w:bCs w:val="0"/>
                <w:sz w:val="18"/>
                <w:szCs w:val="18"/>
              </w:rPr>
              <w:t>ICP-CL-00102</w:t>
            </w:r>
          </w:p>
        </w:tc>
        <w:tc>
          <w:tcPr>
            <w:tcW w:w="1418" w:type="dxa"/>
          </w:tcPr>
          <w:p w14:paraId="32E663A2" w14:textId="77777777" w:rsidR="005632BD" w:rsidRPr="006041D1" w:rsidRDefault="005632BD">
            <w:pPr>
              <w:jc w:val="center"/>
              <w:cnfStyle w:val="100000000000" w:firstRow="1" w:lastRow="0" w:firstColumn="0" w:lastColumn="0" w:oddVBand="0" w:evenVBand="0" w:oddHBand="0" w:evenHBand="0" w:firstRowFirstColumn="0" w:firstRowLastColumn="0" w:lastRowFirstColumn="0" w:lastRowLastColumn="0"/>
              <w:rPr>
                <w:rFonts w:cs="Calibri"/>
                <w:b w:val="0"/>
                <w:bCs w:val="0"/>
                <w:sz w:val="18"/>
                <w:szCs w:val="18"/>
              </w:rPr>
            </w:pPr>
            <w:r w:rsidRPr="006041D1">
              <w:rPr>
                <w:rFonts w:cs="Calibri"/>
                <w:sz w:val="18"/>
                <w:szCs w:val="18"/>
              </w:rPr>
              <w:t>ICP-CL-00107 (R/R MCL)</w:t>
            </w:r>
          </w:p>
        </w:tc>
        <w:tc>
          <w:tcPr>
            <w:tcW w:w="1417" w:type="dxa"/>
          </w:tcPr>
          <w:p w14:paraId="4B89099B" w14:textId="77777777" w:rsidR="005632BD" w:rsidRPr="00F77D19" w:rsidRDefault="005632BD">
            <w:pPr>
              <w:jc w:val="center"/>
              <w:cnfStyle w:val="100000000000" w:firstRow="1" w:lastRow="0" w:firstColumn="0" w:lastColumn="0" w:oddVBand="0" w:evenVBand="0" w:oddHBand="0" w:evenHBand="0" w:firstRowFirstColumn="0" w:firstRowLastColumn="0" w:lastRowFirstColumn="0" w:lastRowLastColumn="0"/>
              <w:rPr>
                <w:rFonts w:cs="Calibri"/>
                <w:b w:val="0"/>
                <w:bCs w:val="0"/>
                <w:sz w:val="18"/>
                <w:szCs w:val="18"/>
              </w:rPr>
            </w:pPr>
            <w:r w:rsidRPr="00F77D19">
              <w:rPr>
                <w:rFonts w:cs="Calibri"/>
                <w:b w:val="0"/>
                <w:bCs w:val="0"/>
                <w:sz w:val="18"/>
                <w:szCs w:val="18"/>
              </w:rPr>
              <w:t>ICP-CL-00127</w:t>
            </w:r>
          </w:p>
        </w:tc>
        <w:tc>
          <w:tcPr>
            <w:tcW w:w="1763" w:type="dxa"/>
          </w:tcPr>
          <w:p w14:paraId="63424B49" w14:textId="77777777" w:rsidR="005632BD" w:rsidRPr="006041D1" w:rsidRDefault="005632BD">
            <w:pPr>
              <w:jc w:val="center"/>
              <w:cnfStyle w:val="100000000000" w:firstRow="1" w:lastRow="0" w:firstColumn="0" w:lastColumn="0" w:oddVBand="0" w:evenVBand="0" w:oddHBand="0" w:evenHBand="0" w:firstRowFirstColumn="0" w:firstRowLastColumn="0" w:lastRowFirstColumn="0" w:lastRowLastColumn="0"/>
              <w:rPr>
                <w:rFonts w:cs="Calibri"/>
                <w:b w:val="0"/>
                <w:bCs w:val="0"/>
                <w:sz w:val="18"/>
                <w:szCs w:val="18"/>
              </w:rPr>
            </w:pPr>
            <w:r w:rsidRPr="006041D1">
              <w:rPr>
                <w:rFonts w:cs="Calibri"/>
                <w:sz w:val="18"/>
                <w:szCs w:val="18"/>
              </w:rPr>
              <w:t>B-cell malignancies patients 150mg OD</w:t>
            </w:r>
          </w:p>
        </w:tc>
      </w:tr>
      <w:tr w:rsidR="005632BD" w:rsidRPr="00F77D19" w14:paraId="497299A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513513F0" w14:textId="77777777" w:rsidR="005632BD" w:rsidRPr="00F77D19" w:rsidRDefault="005632BD">
            <w:pPr>
              <w:rPr>
                <w:rFonts w:cs="Calibri"/>
                <w:b w:val="0"/>
                <w:bCs w:val="0"/>
                <w:sz w:val="18"/>
                <w:szCs w:val="18"/>
              </w:rPr>
            </w:pPr>
            <w:r w:rsidRPr="00F77D19">
              <w:rPr>
                <w:rFonts w:cs="Calibri"/>
                <w:b w:val="0"/>
                <w:bCs w:val="0"/>
                <w:sz w:val="18"/>
                <w:szCs w:val="18"/>
              </w:rPr>
              <w:t>N (%)</w:t>
            </w:r>
          </w:p>
        </w:tc>
        <w:tc>
          <w:tcPr>
            <w:tcW w:w="1559" w:type="dxa"/>
          </w:tcPr>
          <w:p w14:paraId="7C4AB3D4"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106</w:t>
            </w:r>
          </w:p>
        </w:tc>
        <w:tc>
          <w:tcPr>
            <w:tcW w:w="1418" w:type="dxa"/>
          </w:tcPr>
          <w:p w14:paraId="58E1C8EB"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43</w:t>
            </w:r>
          </w:p>
        </w:tc>
        <w:tc>
          <w:tcPr>
            <w:tcW w:w="1417" w:type="dxa"/>
          </w:tcPr>
          <w:p w14:paraId="68E5D7C7"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40</w:t>
            </w:r>
          </w:p>
        </w:tc>
        <w:tc>
          <w:tcPr>
            <w:tcW w:w="1763" w:type="dxa"/>
          </w:tcPr>
          <w:p w14:paraId="5493E986"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565</w:t>
            </w:r>
          </w:p>
        </w:tc>
      </w:tr>
      <w:tr w:rsidR="005632BD" w:rsidRPr="00F77D19" w14:paraId="7C9E0CE5" w14:textId="77777777">
        <w:tc>
          <w:tcPr>
            <w:cnfStyle w:val="001000000000" w:firstRow="0" w:lastRow="0" w:firstColumn="1" w:lastColumn="0" w:oddVBand="0" w:evenVBand="0" w:oddHBand="0" w:evenHBand="0" w:firstRowFirstColumn="0" w:firstRowLastColumn="0" w:lastRowFirstColumn="0" w:lastRowLastColumn="0"/>
            <w:tcW w:w="3085" w:type="dxa"/>
          </w:tcPr>
          <w:p w14:paraId="4C7DDC62" w14:textId="77777777" w:rsidR="005632BD" w:rsidRPr="00F77D19" w:rsidRDefault="005632BD">
            <w:pPr>
              <w:rPr>
                <w:rFonts w:cs="Calibri"/>
                <w:b w:val="0"/>
                <w:bCs w:val="0"/>
                <w:sz w:val="18"/>
                <w:szCs w:val="18"/>
              </w:rPr>
            </w:pPr>
            <w:r w:rsidRPr="00F77D19">
              <w:rPr>
                <w:rFonts w:cs="Calibri"/>
                <w:b w:val="0"/>
                <w:bCs w:val="0"/>
                <w:sz w:val="18"/>
                <w:szCs w:val="18"/>
              </w:rPr>
              <w:t>All deaths</w:t>
            </w:r>
          </w:p>
        </w:tc>
        <w:tc>
          <w:tcPr>
            <w:tcW w:w="1559" w:type="dxa"/>
          </w:tcPr>
          <w:p w14:paraId="137C7C56"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47 (44.3)</w:t>
            </w:r>
          </w:p>
        </w:tc>
        <w:tc>
          <w:tcPr>
            <w:tcW w:w="1418" w:type="dxa"/>
          </w:tcPr>
          <w:p w14:paraId="29BAB5D4"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10 (23.3)</w:t>
            </w:r>
          </w:p>
        </w:tc>
        <w:tc>
          <w:tcPr>
            <w:tcW w:w="1417" w:type="dxa"/>
          </w:tcPr>
          <w:p w14:paraId="7ADE3D89"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2 (5)</w:t>
            </w:r>
          </w:p>
        </w:tc>
        <w:tc>
          <w:tcPr>
            <w:tcW w:w="1763" w:type="dxa"/>
          </w:tcPr>
          <w:p w14:paraId="3AEBA176"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124 (21.9)</w:t>
            </w:r>
          </w:p>
        </w:tc>
      </w:tr>
      <w:tr w:rsidR="005632BD" w:rsidRPr="00F77D19" w14:paraId="0084384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5661B602" w14:textId="77777777" w:rsidR="005632BD" w:rsidRPr="00F77D19" w:rsidRDefault="005632BD">
            <w:pPr>
              <w:rPr>
                <w:rFonts w:cs="Calibri"/>
                <w:b w:val="0"/>
                <w:bCs w:val="0"/>
                <w:sz w:val="18"/>
                <w:szCs w:val="18"/>
              </w:rPr>
            </w:pPr>
            <w:r w:rsidRPr="00F77D19">
              <w:rPr>
                <w:rFonts w:cs="Calibri"/>
                <w:b w:val="0"/>
                <w:bCs w:val="0"/>
                <w:sz w:val="18"/>
                <w:szCs w:val="18"/>
              </w:rPr>
              <w:t>Disease Progression</w:t>
            </w:r>
          </w:p>
        </w:tc>
        <w:tc>
          <w:tcPr>
            <w:tcW w:w="1559" w:type="dxa"/>
          </w:tcPr>
          <w:p w14:paraId="7D905EA3"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27 (25.5)</w:t>
            </w:r>
          </w:p>
        </w:tc>
        <w:tc>
          <w:tcPr>
            <w:tcW w:w="1418" w:type="dxa"/>
          </w:tcPr>
          <w:p w14:paraId="268B9358"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6 (14)</w:t>
            </w:r>
          </w:p>
        </w:tc>
        <w:tc>
          <w:tcPr>
            <w:tcW w:w="1417" w:type="dxa"/>
          </w:tcPr>
          <w:p w14:paraId="53A061D2"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 (2.5)</w:t>
            </w:r>
          </w:p>
        </w:tc>
        <w:tc>
          <w:tcPr>
            <w:tcW w:w="1763" w:type="dxa"/>
          </w:tcPr>
          <w:p w14:paraId="4AD5A0BC"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60 (10.6)</w:t>
            </w:r>
          </w:p>
        </w:tc>
      </w:tr>
      <w:tr w:rsidR="005632BD" w:rsidRPr="00F77D19" w14:paraId="24B86679" w14:textId="77777777">
        <w:tc>
          <w:tcPr>
            <w:cnfStyle w:val="001000000000" w:firstRow="0" w:lastRow="0" w:firstColumn="1" w:lastColumn="0" w:oddVBand="0" w:evenVBand="0" w:oddHBand="0" w:evenHBand="0" w:firstRowFirstColumn="0" w:firstRowLastColumn="0" w:lastRowFirstColumn="0" w:lastRowLastColumn="0"/>
            <w:tcW w:w="3085" w:type="dxa"/>
          </w:tcPr>
          <w:p w14:paraId="6B6F7F16" w14:textId="77777777" w:rsidR="005632BD" w:rsidRPr="00F77D19" w:rsidRDefault="005632BD">
            <w:pPr>
              <w:rPr>
                <w:rFonts w:cs="Calibri"/>
                <w:b w:val="0"/>
                <w:bCs w:val="0"/>
                <w:sz w:val="18"/>
                <w:szCs w:val="18"/>
              </w:rPr>
            </w:pPr>
            <w:r w:rsidRPr="00F77D19">
              <w:rPr>
                <w:rFonts w:cs="Calibri"/>
                <w:b w:val="0"/>
                <w:bCs w:val="0"/>
                <w:sz w:val="18"/>
                <w:szCs w:val="18"/>
              </w:rPr>
              <w:t>TEAEs leading to death</w:t>
            </w:r>
          </w:p>
        </w:tc>
        <w:tc>
          <w:tcPr>
            <w:tcW w:w="1559" w:type="dxa"/>
          </w:tcPr>
          <w:p w14:paraId="2F6B6EE6"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4 (3.8)</w:t>
            </w:r>
          </w:p>
        </w:tc>
        <w:tc>
          <w:tcPr>
            <w:tcW w:w="1418" w:type="dxa"/>
          </w:tcPr>
          <w:p w14:paraId="478A2EF8"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2 (4.7)</w:t>
            </w:r>
          </w:p>
        </w:tc>
        <w:tc>
          <w:tcPr>
            <w:tcW w:w="1417" w:type="dxa"/>
          </w:tcPr>
          <w:p w14:paraId="1B38A987"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1 (2.5)</w:t>
            </w:r>
          </w:p>
        </w:tc>
        <w:tc>
          <w:tcPr>
            <w:tcW w:w="1763" w:type="dxa"/>
          </w:tcPr>
          <w:p w14:paraId="67CC53D1"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34 (6)</w:t>
            </w:r>
          </w:p>
        </w:tc>
      </w:tr>
      <w:tr w:rsidR="005632BD" w:rsidRPr="00F77D19" w14:paraId="2737C6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513FF8DD" w14:textId="77777777" w:rsidR="005632BD" w:rsidRPr="00F77D19" w:rsidRDefault="005632BD">
            <w:pPr>
              <w:rPr>
                <w:rFonts w:cs="Calibri"/>
                <w:b w:val="0"/>
                <w:bCs w:val="0"/>
                <w:sz w:val="18"/>
                <w:szCs w:val="18"/>
              </w:rPr>
            </w:pPr>
            <w:r w:rsidRPr="00F77D19">
              <w:rPr>
                <w:rFonts w:cs="Calibri"/>
                <w:b w:val="0"/>
                <w:bCs w:val="0"/>
                <w:sz w:val="18"/>
                <w:szCs w:val="18"/>
              </w:rPr>
              <w:t>TRAEs leading to death</w:t>
            </w:r>
          </w:p>
        </w:tc>
        <w:tc>
          <w:tcPr>
            <w:tcW w:w="1559" w:type="dxa"/>
          </w:tcPr>
          <w:p w14:paraId="1E3B0603"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0</w:t>
            </w:r>
          </w:p>
        </w:tc>
        <w:tc>
          <w:tcPr>
            <w:tcW w:w="1418" w:type="dxa"/>
          </w:tcPr>
          <w:p w14:paraId="59625EC1"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0</w:t>
            </w:r>
          </w:p>
        </w:tc>
        <w:tc>
          <w:tcPr>
            <w:tcW w:w="1417" w:type="dxa"/>
          </w:tcPr>
          <w:p w14:paraId="2DD9FEC3"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 (2.5)</w:t>
            </w:r>
          </w:p>
        </w:tc>
        <w:tc>
          <w:tcPr>
            <w:tcW w:w="1763" w:type="dxa"/>
          </w:tcPr>
          <w:p w14:paraId="1F0F40DB"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10 (1.8)</w:t>
            </w:r>
          </w:p>
        </w:tc>
      </w:tr>
      <w:tr w:rsidR="005632BD" w:rsidRPr="00F77D19" w14:paraId="1A175823" w14:textId="77777777">
        <w:tc>
          <w:tcPr>
            <w:cnfStyle w:val="001000000000" w:firstRow="0" w:lastRow="0" w:firstColumn="1" w:lastColumn="0" w:oddVBand="0" w:evenVBand="0" w:oddHBand="0" w:evenHBand="0" w:firstRowFirstColumn="0" w:firstRowLastColumn="0" w:lastRowFirstColumn="0" w:lastRowLastColumn="0"/>
            <w:tcW w:w="3085" w:type="dxa"/>
          </w:tcPr>
          <w:p w14:paraId="21B41A43" w14:textId="77777777" w:rsidR="005632BD" w:rsidRPr="00F77D19" w:rsidRDefault="005632BD">
            <w:pPr>
              <w:rPr>
                <w:rFonts w:cs="Calibri"/>
                <w:b w:val="0"/>
                <w:bCs w:val="0"/>
                <w:sz w:val="18"/>
                <w:szCs w:val="18"/>
              </w:rPr>
            </w:pPr>
            <w:r w:rsidRPr="00F77D19">
              <w:rPr>
                <w:rFonts w:cs="Calibri"/>
                <w:b w:val="0"/>
                <w:bCs w:val="0"/>
                <w:sz w:val="18"/>
                <w:szCs w:val="18"/>
              </w:rPr>
              <w:t>Deaths within 28 days of last dose</w:t>
            </w:r>
          </w:p>
        </w:tc>
        <w:tc>
          <w:tcPr>
            <w:tcW w:w="1559" w:type="dxa"/>
          </w:tcPr>
          <w:p w14:paraId="15604686"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9 (8.5)</w:t>
            </w:r>
          </w:p>
        </w:tc>
        <w:tc>
          <w:tcPr>
            <w:tcW w:w="1418" w:type="dxa"/>
          </w:tcPr>
          <w:p w14:paraId="297E2F6A"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2 (4.7)</w:t>
            </w:r>
          </w:p>
        </w:tc>
        <w:tc>
          <w:tcPr>
            <w:tcW w:w="1417" w:type="dxa"/>
          </w:tcPr>
          <w:p w14:paraId="68EDB9D7"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02FF6020"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38 (6.7)</w:t>
            </w:r>
          </w:p>
        </w:tc>
      </w:tr>
      <w:tr w:rsidR="005632BD" w:rsidRPr="00F77D19" w14:paraId="6EC7BD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0C9CE626" w14:textId="77777777" w:rsidR="005632BD" w:rsidRPr="00F77D19" w:rsidRDefault="005632BD">
            <w:pPr>
              <w:rPr>
                <w:rFonts w:cs="Calibri"/>
                <w:b w:val="0"/>
                <w:bCs w:val="0"/>
                <w:sz w:val="18"/>
                <w:szCs w:val="18"/>
              </w:rPr>
            </w:pPr>
            <w:r w:rsidRPr="00F77D19">
              <w:rPr>
                <w:rFonts w:cs="Calibri"/>
                <w:b w:val="0"/>
                <w:bCs w:val="0"/>
                <w:sz w:val="18"/>
                <w:szCs w:val="18"/>
              </w:rPr>
              <w:t>Related to TRAEs</w:t>
            </w:r>
          </w:p>
        </w:tc>
        <w:tc>
          <w:tcPr>
            <w:tcW w:w="1559" w:type="dxa"/>
          </w:tcPr>
          <w:p w14:paraId="7A360975"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0</w:t>
            </w:r>
          </w:p>
        </w:tc>
        <w:tc>
          <w:tcPr>
            <w:tcW w:w="1418" w:type="dxa"/>
          </w:tcPr>
          <w:p w14:paraId="0615BC8D"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0</w:t>
            </w:r>
          </w:p>
        </w:tc>
        <w:tc>
          <w:tcPr>
            <w:tcW w:w="1417" w:type="dxa"/>
          </w:tcPr>
          <w:p w14:paraId="0AEF2832"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13E5B7C5" w14:textId="77777777" w:rsidR="005632BD" w:rsidRPr="00F77D19" w:rsidRDefault="005632BD">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6 (1.1)</w:t>
            </w:r>
          </w:p>
        </w:tc>
      </w:tr>
      <w:tr w:rsidR="005632BD" w:rsidRPr="00F77D19" w14:paraId="24D670FC" w14:textId="77777777">
        <w:tc>
          <w:tcPr>
            <w:cnfStyle w:val="001000000000" w:firstRow="0" w:lastRow="0" w:firstColumn="1" w:lastColumn="0" w:oddVBand="0" w:evenVBand="0" w:oddHBand="0" w:evenHBand="0" w:firstRowFirstColumn="0" w:firstRowLastColumn="0" w:lastRowFirstColumn="0" w:lastRowLastColumn="0"/>
            <w:tcW w:w="3085" w:type="dxa"/>
          </w:tcPr>
          <w:p w14:paraId="7FBD0B5F" w14:textId="77777777" w:rsidR="005632BD" w:rsidRPr="00F77D19" w:rsidRDefault="005632BD">
            <w:pPr>
              <w:rPr>
                <w:rFonts w:cs="Calibri"/>
                <w:b w:val="0"/>
                <w:bCs w:val="0"/>
                <w:sz w:val="18"/>
                <w:szCs w:val="18"/>
              </w:rPr>
            </w:pPr>
            <w:r w:rsidRPr="00F77D19">
              <w:rPr>
                <w:rFonts w:cs="Calibri"/>
                <w:b w:val="0"/>
                <w:bCs w:val="0"/>
                <w:sz w:val="18"/>
                <w:szCs w:val="18"/>
              </w:rPr>
              <w:t>Disease progression</w:t>
            </w:r>
          </w:p>
        </w:tc>
        <w:tc>
          <w:tcPr>
            <w:tcW w:w="1559" w:type="dxa"/>
          </w:tcPr>
          <w:p w14:paraId="126A26BD"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Pr>
                <w:rFonts w:cs="Calibri"/>
                <w:sz w:val="18"/>
                <w:szCs w:val="18"/>
              </w:rPr>
              <w:t>5 (4.7)</w:t>
            </w:r>
          </w:p>
        </w:tc>
        <w:tc>
          <w:tcPr>
            <w:tcW w:w="1418" w:type="dxa"/>
          </w:tcPr>
          <w:p w14:paraId="0D5CD171"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0</w:t>
            </w:r>
          </w:p>
        </w:tc>
        <w:tc>
          <w:tcPr>
            <w:tcW w:w="1417" w:type="dxa"/>
          </w:tcPr>
          <w:p w14:paraId="3CDB990B"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4F8B0F4A" w14:textId="77777777" w:rsidR="005632BD" w:rsidRPr="00F77D19" w:rsidRDefault="005632BD">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12 (2.1)</w:t>
            </w:r>
          </w:p>
        </w:tc>
      </w:tr>
    </w:tbl>
    <w:p w14:paraId="41415186" w14:textId="769CBADF" w:rsidR="00E735C0" w:rsidRPr="008E2D97" w:rsidRDefault="008E2D97" w:rsidP="008E2D97">
      <w:pPr>
        <w:pStyle w:val="Heading5"/>
        <w:rPr>
          <w:i w:val="0"/>
          <w:iCs/>
        </w:rPr>
      </w:pPr>
      <w:r w:rsidRPr="008E2D97">
        <w:rPr>
          <w:i w:val="0"/>
          <w:iCs/>
        </w:rPr>
        <w:t xml:space="preserve">Serious adverse events </w:t>
      </w:r>
    </w:p>
    <w:p w14:paraId="646FE4ED" w14:textId="2A692089" w:rsidR="00337F60" w:rsidRDefault="00337F60" w:rsidP="00B7491C">
      <w:r>
        <w:t xml:space="preserve">Rates of </w:t>
      </w:r>
      <w:r w:rsidR="0015188B">
        <w:t>serious adverse events (</w:t>
      </w:r>
      <w:r>
        <w:t>SAEs</w:t>
      </w:r>
      <w:r w:rsidR="0015188B">
        <w:t>)</w:t>
      </w:r>
      <w:r>
        <w:t xml:space="preserve"> due to TEAEs were higher in ICP-CL-00102 and the B-cell malignancy pool compared</w:t>
      </w:r>
      <w:r>
        <w:rPr>
          <w:spacing w:val="-3"/>
        </w:rPr>
        <w:t xml:space="preserve"> </w:t>
      </w:r>
      <w:r>
        <w:t>to</w:t>
      </w:r>
      <w:r>
        <w:rPr>
          <w:spacing w:val="-2"/>
        </w:rPr>
        <w:t xml:space="preserve"> </w:t>
      </w:r>
      <w:r>
        <w:t>ICP-CL-00107.</w:t>
      </w:r>
      <w:r>
        <w:rPr>
          <w:spacing w:val="-2"/>
        </w:rPr>
        <w:t xml:space="preserve"> </w:t>
      </w:r>
      <w:r>
        <w:t>A</w:t>
      </w:r>
      <w:r>
        <w:rPr>
          <w:spacing w:val="-3"/>
        </w:rPr>
        <w:t xml:space="preserve"> </w:t>
      </w:r>
      <w:r>
        <w:t>similar</w:t>
      </w:r>
      <w:r>
        <w:rPr>
          <w:spacing w:val="-2"/>
        </w:rPr>
        <w:t xml:space="preserve"> </w:t>
      </w:r>
      <w:r>
        <w:t>pattern</w:t>
      </w:r>
      <w:r>
        <w:rPr>
          <w:spacing w:val="-3"/>
        </w:rPr>
        <w:t xml:space="preserve"> </w:t>
      </w:r>
      <w:r>
        <w:t>of</w:t>
      </w:r>
      <w:r>
        <w:rPr>
          <w:spacing w:val="-5"/>
        </w:rPr>
        <w:t xml:space="preserve"> </w:t>
      </w:r>
      <w:r>
        <w:t>SAEs,</w:t>
      </w:r>
      <w:r>
        <w:rPr>
          <w:spacing w:val="-2"/>
        </w:rPr>
        <w:t xml:space="preserve"> </w:t>
      </w:r>
      <w:r>
        <w:t>with</w:t>
      </w:r>
      <w:r>
        <w:rPr>
          <w:spacing w:val="-2"/>
        </w:rPr>
        <w:t xml:space="preserve"> </w:t>
      </w:r>
      <w:r>
        <w:t>lower</w:t>
      </w:r>
      <w:r>
        <w:rPr>
          <w:spacing w:val="-2"/>
        </w:rPr>
        <w:t xml:space="preserve"> </w:t>
      </w:r>
      <w:r>
        <w:t>rates</w:t>
      </w:r>
      <w:r>
        <w:rPr>
          <w:spacing w:val="-4"/>
        </w:rPr>
        <w:t xml:space="preserve"> </w:t>
      </w:r>
      <w:r>
        <w:t>overall,</w:t>
      </w:r>
      <w:r>
        <w:rPr>
          <w:spacing w:val="-2"/>
        </w:rPr>
        <w:t xml:space="preserve"> </w:t>
      </w:r>
      <w:r>
        <w:t>is</w:t>
      </w:r>
      <w:r>
        <w:rPr>
          <w:spacing w:val="-4"/>
        </w:rPr>
        <w:t xml:space="preserve"> </w:t>
      </w:r>
      <w:r>
        <w:t>seen</w:t>
      </w:r>
      <w:r>
        <w:rPr>
          <w:spacing w:val="-3"/>
        </w:rPr>
        <w:t xml:space="preserve"> </w:t>
      </w:r>
      <w:r>
        <w:t>for</w:t>
      </w:r>
      <w:r>
        <w:rPr>
          <w:spacing w:val="-2"/>
        </w:rPr>
        <w:t xml:space="preserve"> </w:t>
      </w:r>
      <w:r>
        <w:t>SAEs</w:t>
      </w:r>
      <w:r w:rsidR="0015188B">
        <w:t xml:space="preserve"> </w:t>
      </w:r>
      <w:r>
        <w:t>due</w:t>
      </w:r>
      <w:r>
        <w:rPr>
          <w:spacing w:val="-2"/>
        </w:rPr>
        <w:t xml:space="preserve"> </w:t>
      </w:r>
      <w:r>
        <w:t>to</w:t>
      </w:r>
      <w:r>
        <w:rPr>
          <w:spacing w:val="-2"/>
        </w:rPr>
        <w:t xml:space="preserve"> </w:t>
      </w:r>
      <w:r>
        <w:t>TRAEs.</w:t>
      </w:r>
      <w:r>
        <w:rPr>
          <w:spacing w:val="-5"/>
        </w:rPr>
        <w:t xml:space="preserve"> </w:t>
      </w:r>
      <w:r>
        <w:t>There</w:t>
      </w:r>
      <w:r>
        <w:rPr>
          <w:spacing w:val="-2"/>
        </w:rPr>
        <w:t xml:space="preserve"> </w:t>
      </w:r>
      <w:r>
        <w:t>were</w:t>
      </w:r>
      <w:r>
        <w:rPr>
          <w:spacing w:val="-5"/>
        </w:rPr>
        <w:t xml:space="preserve"> </w:t>
      </w:r>
      <w:r>
        <w:t>no</w:t>
      </w:r>
      <w:r>
        <w:rPr>
          <w:spacing w:val="-2"/>
        </w:rPr>
        <w:t xml:space="preserve"> </w:t>
      </w:r>
      <w:r>
        <w:t>concerning</w:t>
      </w:r>
      <w:r>
        <w:rPr>
          <w:spacing w:val="-1"/>
        </w:rPr>
        <w:t xml:space="preserve"> </w:t>
      </w:r>
      <w:r>
        <w:t>patterns</w:t>
      </w:r>
      <w:r>
        <w:rPr>
          <w:spacing w:val="-1"/>
        </w:rPr>
        <w:t xml:space="preserve"> </w:t>
      </w:r>
      <w:r>
        <w:t>or</w:t>
      </w:r>
      <w:r>
        <w:rPr>
          <w:spacing w:val="-3"/>
        </w:rPr>
        <w:t xml:space="preserve"> </w:t>
      </w:r>
      <w:r>
        <w:t>flags</w:t>
      </w:r>
      <w:r>
        <w:rPr>
          <w:spacing w:val="-1"/>
        </w:rPr>
        <w:t xml:space="preserve"> </w:t>
      </w:r>
      <w:r>
        <w:t>in</w:t>
      </w:r>
      <w:r>
        <w:rPr>
          <w:spacing w:val="-3"/>
        </w:rPr>
        <w:t xml:space="preserve"> </w:t>
      </w:r>
      <w:r>
        <w:t>SAEs</w:t>
      </w:r>
      <w:r>
        <w:rPr>
          <w:spacing w:val="-1"/>
        </w:rPr>
        <w:t xml:space="preserve"> </w:t>
      </w:r>
      <w:r>
        <w:t>due</w:t>
      </w:r>
      <w:r>
        <w:rPr>
          <w:spacing w:val="-2"/>
        </w:rPr>
        <w:t xml:space="preserve"> </w:t>
      </w:r>
      <w:r>
        <w:t>to</w:t>
      </w:r>
      <w:r>
        <w:rPr>
          <w:spacing w:val="-3"/>
        </w:rPr>
        <w:t xml:space="preserve"> </w:t>
      </w:r>
      <w:r>
        <w:t>TEAEs</w:t>
      </w:r>
      <w:r>
        <w:rPr>
          <w:spacing w:val="-2"/>
        </w:rPr>
        <w:t xml:space="preserve"> </w:t>
      </w:r>
      <w:r>
        <w:t>in</w:t>
      </w:r>
      <w:r>
        <w:rPr>
          <w:spacing w:val="-3"/>
        </w:rPr>
        <w:t xml:space="preserve"> </w:t>
      </w:r>
      <w:r>
        <w:t>ICP-CL-00102, ICP-CL-00107 or ICP-CL-00127.</w:t>
      </w:r>
    </w:p>
    <w:p w14:paraId="78CCBFC9" w14:textId="05D78202" w:rsidR="0038675C" w:rsidRPr="00F77D19" w:rsidRDefault="0038675C" w:rsidP="00477A5D">
      <w:pPr>
        <w:pStyle w:val="TableTitle"/>
        <w:spacing w:before="240"/>
      </w:pPr>
      <w:bookmarkStart w:id="74" w:name="_Toc202463972"/>
      <w:bookmarkStart w:id="75" w:name="_Ref202471493"/>
      <w:bookmarkStart w:id="76" w:name="_Ref202471612"/>
      <w:bookmarkStart w:id="77" w:name="_Ref202471765"/>
      <w:bookmarkStart w:id="78" w:name="_Ref202471918"/>
      <w:bookmarkStart w:id="79" w:name="_Toc211510698"/>
      <w:r>
        <w:t xml:space="preserve">Table </w:t>
      </w:r>
      <w:r w:rsidR="00171559">
        <w:t>1</w:t>
      </w:r>
      <w:r w:rsidR="00915482">
        <w:t>4</w:t>
      </w:r>
      <w:r w:rsidR="002D1054">
        <w:t xml:space="preserve">: </w:t>
      </w:r>
      <w:r w:rsidRPr="00F77D19">
        <w:t>Overview of SAEs in ICP-CL-00102, ICP-CL-00107</w:t>
      </w:r>
      <w:r>
        <w:t>,</w:t>
      </w:r>
      <w:r w:rsidRPr="00F77D19">
        <w:t xml:space="preserve"> ICP-CL-00127 and B-cell malignancies safety set</w:t>
      </w:r>
      <w:bookmarkEnd w:id="74"/>
      <w:bookmarkEnd w:id="75"/>
      <w:bookmarkEnd w:id="76"/>
      <w:bookmarkEnd w:id="77"/>
      <w:bookmarkEnd w:id="78"/>
      <w:bookmarkEnd w:id="79"/>
    </w:p>
    <w:tbl>
      <w:tblPr>
        <w:tblStyle w:val="GridTable41"/>
        <w:tblW w:w="0" w:type="auto"/>
        <w:tblLook w:val="04A0" w:firstRow="1" w:lastRow="0" w:firstColumn="1" w:lastColumn="0" w:noHBand="0" w:noVBand="1"/>
      </w:tblPr>
      <w:tblGrid>
        <w:gridCol w:w="3016"/>
        <w:gridCol w:w="1523"/>
        <w:gridCol w:w="1390"/>
        <w:gridCol w:w="1387"/>
        <w:gridCol w:w="1744"/>
      </w:tblGrid>
      <w:tr w:rsidR="0038675C" w:rsidRPr="00FF72FD" w14:paraId="54DC579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61E6788E" w14:textId="77777777" w:rsidR="0038675C" w:rsidRPr="00F77D19" w:rsidRDefault="0038675C">
            <w:pPr>
              <w:rPr>
                <w:rFonts w:cs="Calibri"/>
                <w:b w:val="0"/>
                <w:bCs w:val="0"/>
                <w:sz w:val="18"/>
                <w:szCs w:val="18"/>
              </w:rPr>
            </w:pPr>
          </w:p>
        </w:tc>
        <w:tc>
          <w:tcPr>
            <w:tcW w:w="1559" w:type="dxa"/>
          </w:tcPr>
          <w:p w14:paraId="61ABC736" w14:textId="77777777" w:rsidR="0038675C" w:rsidRPr="00F77D19" w:rsidRDefault="0038675C">
            <w:pPr>
              <w:jc w:val="center"/>
              <w:cnfStyle w:val="100000000000" w:firstRow="1" w:lastRow="0" w:firstColumn="0" w:lastColumn="0" w:oddVBand="0" w:evenVBand="0" w:oddHBand="0" w:evenHBand="0" w:firstRowFirstColumn="0" w:firstRowLastColumn="0" w:lastRowFirstColumn="0" w:lastRowLastColumn="0"/>
              <w:rPr>
                <w:rFonts w:cs="Calibri"/>
                <w:b w:val="0"/>
                <w:bCs w:val="0"/>
                <w:sz w:val="18"/>
                <w:szCs w:val="18"/>
              </w:rPr>
            </w:pPr>
            <w:r w:rsidRPr="00F77D19">
              <w:rPr>
                <w:rFonts w:cs="Calibri"/>
                <w:b w:val="0"/>
                <w:bCs w:val="0"/>
                <w:sz w:val="18"/>
                <w:szCs w:val="18"/>
              </w:rPr>
              <w:t>ICP-CL-00102</w:t>
            </w:r>
          </w:p>
        </w:tc>
        <w:tc>
          <w:tcPr>
            <w:tcW w:w="1418" w:type="dxa"/>
          </w:tcPr>
          <w:p w14:paraId="1606447A" w14:textId="77777777" w:rsidR="0038675C" w:rsidRPr="006041D1" w:rsidRDefault="0038675C">
            <w:pPr>
              <w:jc w:val="center"/>
              <w:cnfStyle w:val="100000000000" w:firstRow="1" w:lastRow="0" w:firstColumn="0" w:lastColumn="0" w:oddVBand="0" w:evenVBand="0" w:oddHBand="0" w:evenHBand="0" w:firstRowFirstColumn="0" w:firstRowLastColumn="0" w:lastRowFirstColumn="0" w:lastRowLastColumn="0"/>
              <w:rPr>
                <w:rFonts w:cs="Calibri"/>
                <w:b w:val="0"/>
                <w:bCs w:val="0"/>
                <w:sz w:val="18"/>
                <w:szCs w:val="18"/>
              </w:rPr>
            </w:pPr>
            <w:r w:rsidRPr="006041D1">
              <w:rPr>
                <w:rFonts w:cs="Calibri"/>
                <w:sz w:val="18"/>
                <w:szCs w:val="18"/>
              </w:rPr>
              <w:t>ICP-CL-00107 (R/R MCL)</w:t>
            </w:r>
          </w:p>
        </w:tc>
        <w:tc>
          <w:tcPr>
            <w:tcW w:w="1417" w:type="dxa"/>
          </w:tcPr>
          <w:p w14:paraId="097DB857" w14:textId="77777777" w:rsidR="0038675C" w:rsidRPr="00F77D19" w:rsidRDefault="0038675C">
            <w:pPr>
              <w:jc w:val="center"/>
              <w:cnfStyle w:val="100000000000" w:firstRow="1" w:lastRow="0" w:firstColumn="0" w:lastColumn="0" w:oddVBand="0" w:evenVBand="0" w:oddHBand="0" w:evenHBand="0" w:firstRowFirstColumn="0" w:firstRowLastColumn="0" w:lastRowFirstColumn="0" w:lastRowLastColumn="0"/>
              <w:rPr>
                <w:rFonts w:cs="Calibri"/>
                <w:b w:val="0"/>
                <w:bCs w:val="0"/>
                <w:sz w:val="18"/>
                <w:szCs w:val="18"/>
              </w:rPr>
            </w:pPr>
            <w:r w:rsidRPr="00F77D19">
              <w:rPr>
                <w:rFonts w:cs="Calibri"/>
                <w:b w:val="0"/>
                <w:bCs w:val="0"/>
                <w:sz w:val="18"/>
                <w:szCs w:val="18"/>
              </w:rPr>
              <w:t>ICP-CL-00127</w:t>
            </w:r>
          </w:p>
        </w:tc>
        <w:tc>
          <w:tcPr>
            <w:tcW w:w="1763" w:type="dxa"/>
          </w:tcPr>
          <w:p w14:paraId="3715A80A" w14:textId="77777777" w:rsidR="0038675C" w:rsidRPr="006041D1" w:rsidRDefault="0038675C">
            <w:pPr>
              <w:jc w:val="center"/>
              <w:cnfStyle w:val="100000000000" w:firstRow="1" w:lastRow="0" w:firstColumn="0" w:lastColumn="0" w:oddVBand="0" w:evenVBand="0" w:oddHBand="0" w:evenHBand="0" w:firstRowFirstColumn="0" w:firstRowLastColumn="0" w:lastRowFirstColumn="0" w:lastRowLastColumn="0"/>
              <w:rPr>
                <w:rFonts w:cs="Calibri"/>
                <w:b w:val="0"/>
                <w:bCs w:val="0"/>
                <w:sz w:val="18"/>
                <w:szCs w:val="18"/>
              </w:rPr>
            </w:pPr>
            <w:r w:rsidRPr="006041D1">
              <w:rPr>
                <w:rFonts w:cs="Calibri"/>
                <w:sz w:val="18"/>
                <w:szCs w:val="18"/>
              </w:rPr>
              <w:t>B-cell malignancies patients 150mg OD</w:t>
            </w:r>
          </w:p>
        </w:tc>
      </w:tr>
      <w:tr w:rsidR="0038675C" w:rsidRPr="00F77D19" w14:paraId="1DB7A8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2418C1B4" w14:textId="77777777" w:rsidR="0038675C" w:rsidRPr="00F77D19" w:rsidRDefault="0038675C">
            <w:pPr>
              <w:rPr>
                <w:rFonts w:cs="Calibri"/>
                <w:b w:val="0"/>
                <w:bCs w:val="0"/>
                <w:sz w:val="18"/>
                <w:szCs w:val="18"/>
              </w:rPr>
            </w:pPr>
            <w:r w:rsidRPr="00F77D19">
              <w:rPr>
                <w:rFonts w:cs="Calibri"/>
                <w:b w:val="0"/>
                <w:bCs w:val="0"/>
                <w:sz w:val="18"/>
                <w:szCs w:val="18"/>
              </w:rPr>
              <w:t>N (%)</w:t>
            </w:r>
          </w:p>
        </w:tc>
        <w:tc>
          <w:tcPr>
            <w:tcW w:w="1559" w:type="dxa"/>
          </w:tcPr>
          <w:p w14:paraId="64CBD04F"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106</w:t>
            </w:r>
          </w:p>
        </w:tc>
        <w:tc>
          <w:tcPr>
            <w:tcW w:w="1418" w:type="dxa"/>
          </w:tcPr>
          <w:p w14:paraId="7A035032"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43</w:t>
            </w:r>
          </w:p>
        </w:tc>
        <w:tc>
          <w:tcPr>
            <w:tcW w:w="1417" w:type="dxa"/>
          </w:tcPr>
          <w:p w14:paraId="6C2884C6"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40</w:t>
            </w:r>
          </w:p>
        </w:tc>
        <w:tc>
          <w:tcPr>
            <w:tcW w:w="1763" w:type="dxa"/>
          </w:tcPr>
          <w:p w14:paraId="697A8E72"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565</w:t>
            </w:r>
          </w:p>
        </w:tc>
      </w:tr>
      <w:tr w:rsidR="0038675C" w:rsidRPr="00F77D19" w14:paraId="240B2480" w14:textId="77777777">
        <w:tc>
          <w:tcPr>
            <w:cnfStyle w:val="001000000000" w:firstRow="0" w:lastRow="0" w:firstColumn="1" w:lastColumn="0" w:oddVBand="0" w:evenVBand="0" w:oddHBand="0" w:evenHBand="0" w:firstRowFirstColumn="0" w:firstRowLastColumn="0" w:lastRowFirstColumn="0" w:lastRowLastColumn="0"/>
            <w:tcW w:w="3085" w:type="dxa"/>
          </w:tcPr>
          <w:p w14:paraId="29CCA33F" w14:textId="77777777" w:rsidR="0038675C" w:rsidRPr="00F77D19" w:rsidRDefault="0038675C">
            <w:pPr>
              <w:rPr>
                <w:rFonts w:cs="Calibri"/>
                <w:b w:val="0"/>
                <w:bCs w:val="0"/>
                <w:sz w:val="18"/>
                <w:szCs w:val="18"/>
              </w:rPr>
            </w:pPr>
            <w:r w:rsidRPr="00F77D19">
              <w:rPr>
                <w:rFonts w:cs="Calibri"/>
                <w:b w:val="0"/>
                <w:bCs w:val="0"/>
                <w:sz w:val="18"/>
                <w:szCs w:val="18"/>
              </w:rPr>
              <w:t>SAE (TEAE)</w:t>
            </w:r>
          </w:p>
        </w:tc>
        <w:tc>
          <w:tcPr>
            <w:tcW w:w="1559" w:type="dxa"/>
          </w:tcPr>
          <w:p w14:paraId="2A9F664E"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45 (42.5)</w:t>
            </w:r>
          </w:p>
        </w:tc>
        <w:tc>
          <w:tcPr>
            <w:tcW w:w="1418" w:type="dxa"/>
          </w:tcPr>
          <w:p w14:paraId="40247D93"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12 (27.9)</w:t>
            </w:r>
          </w:p>
        </w:tc>
        <w:tc>
          <w:tcPr>
            <w:tcW w:w="1417" w:type="dxa"/>
          </w:tcPr>
          <w:p w14:paraId="52F255EE"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6 (15)</w:t>
            </w:r>
          </w:p>
        </w:tc>
        <w:tc>
          <w:tcPr>
            <w:tcW w:w="1763" w:type="dxa"/>
          </w:tcPr>
          <w:p w14:paraId="35D76A05"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230 (40.7)</w:t>
            </w:r>
          </w:p>
        </w:tc>
      </w:tr>
      <w:tr w:rsidR="0038675C" w:rsidRPr="00F77D19" w14:paraId="3139CDE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5A83FE71" w14:textId="77777777" w:rsidR="0038675C" w:rsidRPr="00F77D19" w:rsidRDefault="0038675C">
            <w:pPr>
              <w:rPr>
                <w:rFonts w:cs="Calibri"/>
                <w:b w:val="0"/>
                <w:bCs w:val="0"/>
                <w:sz w:val="18"/>
                <w:szCs w:val="18"/>
              </w:rPr>
            </w:pPr>
            <w:r w:rsidRPr="00F77D19">
              <w:rPr>
                <w:rFonts w:cs="Calibri"/>
                <w:b w:val="0"/>
                <w:bCs w:val="0"/>
                <w:sz w:val="18"/>
                <w:szCs w:val="18"/>
              </w:rPr>
              <w:t>SAEs (TRAEs)</w:t>
            </w:r>
          </w:p>
        </w:tc>
        <w:tc>
          <w:tcPr>
            <w:tcW w:w="1559" w:type="dxa"/>
          </w:tcPr>
          <w:p w14:paraId="14C51AE2"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21 (19.8)</w:t>
            </w:r>
          </w:p>
        </w:tc>
        <w:tc>
          <w:tcPr>
            <w:tcW w:w="1418" w:type="dxa"/>
          </w:tcPr>
          <w:p w14:paraId="68A4FDCE"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4 (9.3)</w:t>
            </w:r>
          </w:p>
        </w:tc>
        <w:tc>
          <w:tcPr>
            <w:tcW w:w="1417" w:type="dxa"/>
          </w:tcPr>
          <w:p w14:paraId="1CA9C066"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3 (7.5)</w:t>
            </w:r>
          </w:p>
        </w:tc>
        <w:tc>
          <w:tcPr>
            <w:tcW w:w="1763" w:type="dxa"/>
          </w:tcPr>
          <w:p w14:paraId="3746C67F"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99 (17.5)</w:t>
            </w:r>
          </w:p>
        </w:tc>
      </w:tr>
      <w:tr w:rsidR="0038675C" w:rsidRPr="00F77D19" w14:paraId="42107356" w14:textId="77777777">
        <w:tc>
          <w:tcPr>
            <w:cnfStyle w:val="001000000000" w:firstRow="0" w:lastRow="0" w:firstColumn="1" w:lastColumn="0" w:oddVBand="0" w:evenVBand="0" w:oddHBand="0" w:evenHBand="0" w:firstRowFirstColumn="0" w:firstRowLastColumn="0" w:lastRowFirstColumn="0" w:lastRowLastColumn="0"/>
            <w:tcW w:w="3085" w:type="dxa"/>
          </w:tcPr>
          <w:p w14:paraId="119BFF1E" w14:textId="77777777" w:rsidR="0038675C" w:rsidRPr="00F77D19" w:rsidRDefault="0038675C">
            <w:pPr>
              <w:rPr>
                <w:rFonts w:cs="Calibri"/>
                <w:b w:val="0"/>
                <w:bCs w:val="0"/>
                <w:sz w:val="18"/>
                <w:szCs w:val="18"/>
              </w:rPr>
            </w:pPr>
            <w:r w:rsidRPr="00F77D19">
              <w:rPr>
                <w:rFonts w:cs="Calibri"/>
                <w:b w:val="0"/>
                <w:bCs w:val="0"/>
                <w:sz w:val="18"/>
                <w:szCs w:val="18"/>
              </w:rPr>
              <w:t>Pneumonia</w:t>
            </w:r>
          </w:p>
        </w:tc>
        <w:tc>
          <w:tcPr>
            <w:tcW w:w="1559" w:type="dxa"/>
          </w:tcPr>
          <w:p w14:paraId="2896D53A"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4 (3.8)</w:t>
            </w:r>
          </w:p>
        </w:tc>
        <w:tc>
          <w:tcPr>
            <w:tcW w:w="1418" w:type="dxa"/>
          </w:tcPr>
          <w:p w14:paraId="3D7ED5CE"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0</w:t>
            </w:r>
          </w:p>
        </w:tc>
        <w:tc>
          <w:tcPr>
            <w:tcW w:w="1417" w:type="dxa"/>
          </w:tcPr>
          <w:p w14:paraId="45DD2178"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3 (7.5)</w:t>
            </w:r>
          </w:p>
        </w:tc>
        <w:tc>
          <w:tcPr>
            <w:tcW w:w="1763" w:type="dxa"/>
          </w:tcPr>
          <w:p w14:paraId="4F59C612"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32 (5.7)</w:t>
            </w:r>
          </w:p>
        </w:tc>
      </w:tr>
      <w:tr w:rsidR="0038675C" w:rsidRPr="00F77D19" w14:paraId="31A43D3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0C257912" w14:textId="77777777" w:rsidR="0038675C" w:rsidRPr="00F77D19" w:rsidRDefault="0038675C">
            <w:pPr>
              <w:rPr>
                <w:rFonts w:cs="Calibri"/>
                <w:b w:val="0"/>
                <w:bCs w:val="0"/>
                <w:sz w:val="18"/>
                <w:szCs w:val="18"/>
              </w:rPr>
            </w:pPr>
            <w:r w:rsidRPr="00F77D19">
              <w:rPr>
                <w:rFonts w:cs="Calibri"/>
                <w:b w:val="0"/>
                <w:bCs w:val="0"/>
                <w:sz w:val="18"/>
                <w:szCs w:val="18"/>
              </w:rPr>
              <w:t>Gastrointestinal infection</w:t>
            </w:r>
          </w:p>
        </w:tc>
        <w:tc>
          <w:tcPr>
            <w:tcW w:w="1559" w:type="dxa"/>
          </w:tcPr>
          <w:p w14:paraId="14A25E51"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 (0.9)</w:t>
            </w:r>
          </w:p>
        </w:tc>
        <w:tc>
          <w:tcPr>
            <w:tcW w:w="1418" w:type="dxa"/>
          </w:tcPr>
          <w:p w14:paraId="3408F470"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7" w:type="dxa"/>
          </w:tcPr>
          <w:p w14:paraId="56962A34"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59DDEB99"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r>
      <w:tr w:rsidR="0038675C" w:rsidRPr="00F77D19" w14:paraId="12D2B7C0" w14:textId="77777777">
        <w:tc>
          <w:tcPr>
            <w:cnfStyle w:val="001000000000" w:firstRow="0" w:lastRow="0" w:firstColumn="1" w:lastColumn="0" w:oddVBand="0" w:evenVBand="0" w:oddHBand="0" w:evenHBand="0" w:firstRowFirstColumn="0" w:firstRowLastColumn="0" w:lastRowFirstColumn="0" w:lastRowLastColumn="0"/>
            <w:tcW w:w="3085" w:type="dxa"/>
          </w:tcPr>
          <w:p w14:paraId="04CCA798" w14:textId="77777777" w:rsidR="0038675C" w:rsidRPr="00F77D19" w:rsidRDefault="0038675C">
            <w:pPr>
              <w:rPr>
                <w:rFonts w:cs="Calibri"/>
                <w:b w:val="0"/>
                <w:bCs w:val="0"/>
                <w:sz w:val="18"/>
                <w:szCs w:val="18"/>
              </w:rPr>
            </w:pPr>
            <w:r w:rsidRPr="00F77D19">
              <w:rPr>
                <w:rFonts w:cs="Calibri"/>
                <w:b w:val="0"/>
                <w:bCs w:val="0"/>
                <w:sz w:val="18"/>
                <w:szCs w:val="18"/>
              </w:rPr>
              <w:t>Meningitis cryptococcal</w:t>
            </w:r>
          </w:p>
        </w:tc>
        <w:tc>
          <w:tcPr>
            <w:tcW w:w="1559" w:type="dxa"/>
          </w:tcPr>
          <w:p w14:paraId="3A46326F"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1 (0.9)</w:t>
            </w:r>
          </w:p>
        </w:tc>
        <w:tc>
          <w:tcPr>
            <w:tcW w:w="1418" w:type="dxa"/>
          </w:tcPr>
          <w:p w14:paraId="3209995A"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7" w:type="dxa"/>
          </w:tcPr>
          <w:p w14:paraId="354CE10C"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61624A8C"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r>
      <w:tr w:rsidR="0038675C" w:rsidRPr="00F77D19" w14:paraId="00FCB1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38E000E4" w14:textId="77777777" w:rsidR="0038675C" w:rsidRPr="00F77D19" w:rsidRDefault="0038675C">
            <w:pPr>
              <w:rPr>
                <w:rFonts w:cs="Calibri"/>
                <w:b w:val="0"/>
                <w:bCs w:val="0"/>
                <w:sz w:val="18"/>
                <w:szCs w:val="18"/>
              </w:rPr>
            </w:pPr>
            <w:r w:rsidRPr="00F77D19">
              <w:rPr>
                <w:rFonts w:cs="Calibri"/>
                <w:b w:val="0"/>
                <w:bCs w:val="0"/>
                <w:sz w:val="18"/>
                <w:szCs w:val="18"/>
              </w:rPr>
              <w:t>Pneumocystis jirovecii pneumonia</w:t>
            </w:r>
          </w:p>
        </w:tc>
        <w:tc>
          <w:tcPr>
            <w:tcW w:w="1559" w:type="dxa"/>
          </w:tcPr>
          <w:p w14:paraId="048EF0E4"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 (0.9)</w:t>
            </w:r>
          </w:p>
        </w:tc>
        <w:tc>
          <w:tcPr>
            <w:tcW w:w="1418" w:type="dxa"/>
          </w:tcPr>
          <w:p w14:paraId="7ABC07EF"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7" w:type="dxa"/>
          </w:tcPr>
          <w:p w14:paraId="1A894301"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1EDC357D"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r>
      <w:tr w:rsidR="0038675C" w:rsidRPr="00F77D19" w14:paraId="5946A893" w14:textId="77777777">
        <w:tc>
          <w:tcPr>
            <w:cnfStyle w:val="001000000000" w:firstRow="0" w:lastRow="0" w:firstColumn="1" w:lastColumn="0" w:oddVBand="0" w:evenVBand="0" w:oddHBand="0" w:evenHBand="0" w:firstRowFirstColumn="0" w:firstRowLastColumn="0" w:lastRowFirstColumn="0" w:lastRowLastColumn="0"/>
            <w:tcW w:w="3085" w:type="dxa"/>
          </w:tcPr>
          <w:p w14:paraId="793C45E6" w14:textId="77777777" w:rsidR="0038675C" w:rsidRPr="00F77D19" w:rsidRDefault="0038675C">
            <w:pPr>
              <w:rPr>
                <w:rFonts w:cs="Calibri"/>
                <w:b w:val="0"/>
                <w:bCs w:val="0"/>
                <w:sz w:val="18"/>
                <w:szCs w:val="18"/>
              </w:rPr>
            </w:pPr>
            <w:r w:rsidRPr="00F77D19">
              <w:rPr>
                <w:rFonts w:cs="Calibri"/>
                <w:b w:val="0"/>
                <w:bCs w:val="0"/>
                <w:sz w:val="18"/>
                <w:szCs w:val="18"/>
              </w:rPr>
              <w:t xml:space="preserve">Pneumonia bacterial </w:t>
            </w:r>
          </w:p>
        </w:tc>
        <w:tc>
          <w:tcPr>
            <w:tcW w:w="1559" w:type="dxa"/>
          </w:tcPr>
          <w:p w14:paraId="18529460"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1 (0.9)</w:t>
            </w:r>
          </w:p>
        </w:tc>
        <w:tc>
          <w:tcPr>
            <w:tcW w:w="1418" w:type="dxa"/>
          </w:tcPr>
          <w:p w14:paraId="3312E3A5"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7" w:type="dxa"/>
          </w:tcPr>
          <w:p w14:paraId="76B3F054"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7017B9FA"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4 (0.7)</w:t>
            </w:r>
          </w:p>
        </w:tc>
      </w:tr>
      <w:tr w:rsidR="0038675C" w:rsidRPr="00F77D19" w14:paraId="214870A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06BDF9E1" w14:textId="77777777" w:rsidR="0038675C" w:rsidRPr="00F77D19" w:rsidRDefault="0038675C">
            <w:pPr>
              <w:rPr>
                <w:rFonts w:cs="Calibri"/>
                <w:b w:val="0"/>
                <w:bCs w:val="0"/>
                <w:sz w:val="18"/>
                <w:szCs w:val="18"/>
              </w:rPr>
            </w:pPr>
            <w:r w:rsidRPr="00F77D19">
              <w:rPr>
                <w:rFonts w:cs="Calibri"/>
                <w:b w:val="0"/>
                <w:bCs w:val="0"/>
                <w:sz w:val="18"/>
                <w:szCs w:val="18"/>
              </w:rPr>
              <w:t>Encephalitis herpes</w:t>
            </w:r>
          </w:p>
        </w:tc>
        <w:tc>
          <w:tcPr>
            <w:tcW w:w="1559" w:type="dxa"/>
          </w:tcPr>
          <w:p w14:paraId="4127E47C"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8" w:type="dxa"/>
          </w:tcPr>
          <w:p w14:paraId="32754848"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 (2.3)</w:t>
            </w:r>
          </w:p>
        </w:tc>
        <w:tc>
          <w:tcPr>
            <w:tcW w:w="1417" w:type="dxa"/>
          </w:tcPr>
          <w:p w14:paraId="5862C6D3"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6072703B"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r>
      <w:tr w:rsidR="0038675C" w:rsidRPr="00F77D19" w14:paraId="2281E827" w14:textId="77777777">
        <w:tc>
          <w:tcPr>
            <w:cnfStyle w:val="001000000000" w:firstRow="0" w:lastRow="0" w:firstColumn="1" w:lastColumn="0" w:oddVBand="0" w:evenVBand="0" w:oddHBand="0" w:evenHBand="0" w:firstRowFirstColumn="0" w:firstRowLastColumn="0" w:lastRowFirstColumn="0" w:lastRowLastColumn="0"/>
            <w:tcW w:w="3085" w:type="dxa"/>
          </w:tcPr>
          <w:p w14:paraId="7315D196" w14:textId="77777777" w:rsidR="0038675C" w:rsidRPr="00F77D19" w:rsidRDefault="0038675C">
            <w:pPr>
              <w:rPr>
                <w:rFonts w:cs="Calibri"/>
                <w:b w:val="0"/>
                <w:bCs w:val="0"/>
                <w:sz w:val="18"/>
                <w:szCs w:val="18"/>
              </w:rPr>
            </w:pPr>
            <w:r w:rsidRPr="00F77D19">
              <w:rPr>
                <w:rFonts w:cs="Calibri"/>
                <w:b w:val="0"/>
                <w:bCs w:val="0"/>
                <w:sz w:val="18"/>
                <w:szCs w:val="18"/>
              </w:rPr>
              <w:t>Oral candiasis</w:t>
            </w:r>
          </w:p>
        </w:tc>
        <w:tc>
          <w:tcPr>
            <w:tcW w:w="1559" w:type="dxa"/>
          </w:tcPr>
          <w:p w14:paraId="2716666C"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8" w:type="dxa"/>
          </w:tcPr>
          <w:p w14:paraId="21640BB0"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1 (2.3)</w:t>
            </w:r>
          </w:p>
        </w:tc>
        <w:tc>
          <w:tcPr>
            <w:tcW w:w="1417" w:type="dxa"/>
          </w:tcPr>
          <w:p w14:paraId="1621193C"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0ED1D26A"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r>
      <w:tr w:rsidR="0038675C" w:rsidRPr="00F77D19" w14:paraId="2CD9192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6CB3EA1F" w14:textId="77777777" w:rsidR="0038675C" w:rsidRPr="00F77D19" w:rsidRDefault="0038675C">
            <w:pPr>
              <w:rPr>
                <w:rFonts w:cs="Calibri"/>
                <w:b w:val="0"/>
                <w:bCs w:val="0"/>
                <w:sz w:val="18"/>
                <w:szCs w:val="18"/>
              </w:rPr>
            </w:pPr>
            <w:r w:rsidRPr="00F77D19">
              <w:rPr>
                <w:rFonts w:cs="Calibri"/>
                <w:b w:val="0"/>
                <w:bCs w:val="0"/>
                <w:sz w:val="18"/>
                <w:szCs w:val="18"/>
              </w:rPr>
              <w:t>Otitis media</w:t>
            </w:r>
          </w:p>
        </w:tc>
        <w:tc>
          <w:tcPr>
            <w:tcW w:w="1559" w:type="dxa"/>
          </w:tcPr>
          <w:p w14:paraId="4D298BD1"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8" w:type="dxa"/>
          </w:tcPr>
          <w:p w14:paraId="4DE5A1C6"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7" w:type="dxa"/>
          </w:tcPr>
          <w:p w14:paraId="7D7C0264"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1974B1E3"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2 (0.4)</w:t>
            </w:r>
          </w:p>
        </w:tc>
      </w:tr>
      <w:tr w:rsidR="0038675C" w:rsidRPr="00F77D19" w14:paraId="2AACD144" w14:textId="77777777">
        <w:tc>
          <w:tcPr>
            <w:cnfStyle w:val="001000000000" w:firstRow="0" w:lastRow="0" w:firstColumn="1" w:lastColumn="0" w:oddVBand="0" w:evenVBand="0" w:oddHBand="0" w:evenHBand="0" w:firstRowFirstColumn="0" w:firstRowLastColumn="0" w:lastRowFirstColumn="0" w:lastRowLastColumn="0"/>
            <w:tcW w:w="3085" w:type="dxa"/>
          </w:tcPr>
          <w:p w14:paraId="1FA7804F" w14:textId="77777777" w:rsidR="0038675C" w:rsidRPr="00F77D19" w:rsidRDefault="0038675C">
            <w:pPr>
              <w:rPr>
                <w:rFonts w:cs="Calibri"/>
                <w:b w:val="0"/>
                <w:bCs w:val="0"/>
                <w:sz w:val="18"/>
                <w:szCs w:val="18"/>
              </w:rPr>
            </w:pPr>
            <w:r w:rsidRPr="00F77D19">
              <w:rPr>
                <w:rFonts w:cs="Calibri"/>
                <w:b w:val="0"/>
                <w:bCs w:val="0"/>
                <w:sz w:val="18"/>
                <w:szCs w:val="18"/>
              </w:rPr>
              <w:t>Urinary tract infection</w:t>
            </w:r>
          </w:p>
        </w:tc>
        <w:tc>
          <w:tcPr>
            <w:tcW w:w="1559" w:type="dxa"/>
          </w:tcPr>
          <w:p w14:paraId="77F20993"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8" w:type="dxa"/>
          </w:tcPr>
          <w:p w14:paraId="1B66330F"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7" w:type="dxa"/>
          </w:tcPr>
          <w:p w14:paraId="3AC1743B"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2A94D49A"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2 (0.4)</w:t>
            </w:r>
          </w:p>
        </w:tc>
      </w:tr>
      <w:tr w:rsidR="0038675C" w:rsidRPr="00F77D19" w14:paraId="7B6931D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42E4F5D2" w14:textId="77777777" w:rsidR="0038675C" w:rsidRPr="00F77D19" w:rsidRDefault="0038675C">
            <w:pPr>
              <w:rPr>
                <w:rFonts w:cs="Calibri"/>
                <w:b w:val="0"/>
                <w:bCs w:val="0"/>
                <w:sz w:val="18"/>
                <w:szCs w:val="18"/>
              </w:rPr>
            </w:pPr>
            <w:r w:rsidRPr="00F77D19">
              <w:rPr>
                <w:rFonts w:cs="Calibri"/>
                <w:b w:val="0"/>
                <w:bCs w:val="0"/>
                <w:sz w:val="18"/>
                <w:szCs w:val="18"/>
              </w:rPr>
              <w:t>Platelet count decreased</w:t>
            </w:r>
          </w:p>
        </w:tc>
        <w:tc>
          <w:tcPr>
            <w:tcW w:w="1559" w:type="dxa"/>
          </w:tcPr>
          <w:p w14:paraId="64B74424"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5 (4.7)</w:t>
            </w:r>
          </w:p>
        </w:tc>
        <w:tc>
          <w:tcPr>
            <w:tcW w:w="1418" w:type="dxa"/>
          </w:tcPr>
          <w:p w14:paraId="65BE0486"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7" w:type="dxa"/>
          </w:tcPr>
          <w:p w14:paraId="45C074A7"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0347FAB2"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8 (1.4)</w:t>
            </w:r>
          </w:p>
        </w:tc>
      </w:tr>
      <w:tr w:rsidR="0038675C" w:rsidRPr="00F77D19" w14:paraId="7BBA4AF1" w14:textId="77777777">
        <w:tc>
          <w:tcPr>
            <w:cnfStyle w:val="001000000000" w:firstRow="0" w:lastRow="0" w:firstColumn="1" w:lastColumn="0" w:oddVBand="0" w:evenVBand="0" w:oddHBand="0" w:evenHBand="0" w:firstRowFirstColumn="0" w:firstRowLastColumn="0" w:lastRowFirstColumn="0" w:lastRowLastColumn="0"/>
            <w:tcW w:w="3085" w:type="dxa"/>
          </w:tcPr>
          <w:p w14:paraId="0DA9E146" w14:textId="77777777" w:rsidR="0038675C" w:rsidRPr="00F77D19" w:rsidRDefault="0038675C">
            <w:pPr>
              <w:rPr>
                <w:rFonts w:cs="Calibri"/>
                <w:b w:val="0"/>
                <w:bCs w:val="0"/>
                <w:sz w:val="18"/>
                <w:szCs w:val="18"/>
              </w:rPr>
            </w:pPr>
            <w:r w:rsidRPr="00F77D19">
              <w:rPr>
                <w:rFonts w:cs="Calibri"/>
                <w:b w:val="0"/>
                <w:bCs w:val="0"/>
                <w:sz w:val="18"/>
                <w:szCs w:val="18"/>
              </w:rPr>
              <w:t>Full blood count decreased</w:t>
            </w:r>
          </w:p>
        </w:tc>
        <w:tc>
          <w:tcPr>
            <w:tcW w:w="1559" w:type="dxa"/>
          </w:tcPr>
          <w:p w14:paraId="4933EEA8"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1 (0.9)</w:t>
            </w:r>
          </w:p>
        </w:tc>
        <w:tc>
          <w:tcPr>
            <w:tcW w:w="1418" w:type="dxa"/>
          </w:tcPr>
          <w:p w14:paraId="68576DA8"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7" w:type="dxa"/>
          </w:tcPr>
          <w:p w14:paraId="7D16C2EF"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6D414328"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r>
      <w:tr w:rsidR="0038675C" w:rsidRPr="00F77D19" w14:paraId="14B52BA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34D9F1AB" w14:textId="77777777" w:rsidR="0038675C" w:rsidRPr="00F77D19" w:rsidRDefault="0038675C">
            <w:pPr>
              <w:rPr>
                <w:rFonts w:cs="Calibri"/>
                <w:b w:val="0"/>
                <w:bCs w:val="0"/>
                <w:sz w:val="18"/>
                <w:szCs w:val="18"/>
              </w:rPr>
            </w:pPr>
            <w:r w:rsidRPr="00F77D19">
              <w:rPr>
                <w:rFonts w:cs="Calibri"/>
                <w:b w:val="0"/>
                <w:bCs w:val="0"/>
                <w:sz w:val="18"/>
                <w:szCs w:val="18"/>
              </w:rPr>
              <w:t>White blood cell count increased</w:t>
            </w:r>
          </w:p>
        </w:tc>
        <w:tc>
          <w:tcPr>
            <w:tcW w:w="1559" w:type="dxa"/>
          </w:tcPr>
          <w:p w14:paraId="2818F92D"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 (0.9)</w:t>
            </w:r>
          </w:p>
        </w:tc>
        <w:tc>
          <w:tcPr>
            <w:tcW w:w="1418" w:type="dxa"/>
          </w:tcPr>
          <w:p w14:paraId="611BF4D5"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7" w:type="dxa"/>
          </w:tcPr>
          <w:p w14:paraId="088C8625"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1202E919"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r>
      <w:tr w:rsidR="0038675C" w:rsidRPr="00F77D19" w14:paraId="5FAAAEC1" w14:textId="77777777">
        <w:tc>
          <w:tcPr>
            <w:cnfStyle w:val="001000000000" w:firstRow="0" w:lastRow="0" w:firstColumn="1" w:lastColumn="0" w:oddVBand="0" w:evenVBand="0" w:oddHBand="0" w:evenHBand="0" w:firstRowFirstColumn="0" w:firstRowLastColumn="0" w:lastRowFirstColumn="0" w:lastRowLastColumn="0"/>
            <w:tcW w:w="3085" w:type="dxa"/>
          </w:tcPr>
          <w:p w14:paraId="0557F7F7" w14:textId="77777777" w:rsidR="0038675C" w:rsidRPr="00F77D19" w:rsidRDefault="0038675C">
            <w:pPr>
              <w:rPr>
                <w:rFonts w:cs="Calibri"/>
                <w:b w:val="0"/>
                <w:bCs w:val="0"/>
                <w:sz w:val="18"/>
                <w:szCs w:val="18"/>
              </w:rPr>
            </w:pPr>
            <w:r w:rsidRPr="00F77D19">
              <w:rPr>
                <w:rFonts w:cs="Calibri"/>
                <w:b w:val="0"/>
                <w:bCs w:val="0"/>
                <w:sz w:val="18"/>
                <w:szCs w:val="18"/>
              </w:rPr>
              <w:t>Pneumonitis</w:t>
            </w:r>
          </w:p>
        </w:tc>
        <w:tc>
          <w:tcPr>
            <w:tcW w:w="1559" w:type="dxa"/>
          </w:tcPr>
          <w:p w14:paraId="1AD079DA"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4 (3.8)</w:t>
            </w:r>
          </w:p>
        </w:tc>
        <w:tc>
          <w:tcPr>
            <w:tcW w:w="1418" w:type="dxa"/>
          </w:tcPr>
          <w:p w14:paraId="4ADF5FBC"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0</w:t>
            </w:r>
          </w:p>
        </w:tc>
        <w:tc>
          <w:tcPr>
            <w:tcW w:w="1417" w:type="dxa"/>
          </w:tcPr>
          <w:p w14:paraId="76688A55"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238FD352"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7 (1.2)</w:t>
            </w:r>
          </w:p>
        </w:tc>
      </w:tr>
      <w:tr w:rsidR="0038675C" w:rsidRPr="00F77D19" w14:paraId="7FA1688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31FF0445" w14:textId="77777777" w:rsidR="0038675C" w:rsidRPr="00F77D19" w:rsidRDefault="0038675C">
            <w:pPr>
              <w:rPr>
                <w:rFonts w:cs="Calibri"/>
                <w:b w:val="0"/>
                <w:bCs w:val="0"/>
                <w:sz w:val="18"/>
                <w:szCs w:val="18"/>
              </w:rPr>
            </w:pPr>
            <w:r w:rsidRPr="00F77D19">
              <w:rPr>
                <w:rFonts w:cs="Calibri"/>
                <w:b w:val="0"/>
                <w:bCs w:val="0"/>
                <w:sz w:val="18"/>
                <w:szCs w:val="18"/>
              </w:rPr>
              <w:t>Interstitial lung disease</w:t>
            </w:r>
          </w:p>
        </w:tc>
        <w:tc>
          <w:tcPr>
            <w:tcW w:w="1559" w:type="dxa"/>
          </w:tcPr>
          <w:p w14:paraId="1F53A2F6"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8" w:type="dxa"/>
          </w:tcPr>
          <w:p w14:paraId="669F6D50"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7" w:type="dxa"/>
          </w:tcPr>
          <w:p w14:paraId="0D318DE0"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411C8EDC"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 (0.2)</w:t>
            </w:r>
          </w:p>
        </w:tc>
      </w:tr>
      <w:tr w:rsidR="0038675C" w:rsidRPr="00F77D19" w14:paraId="654F6C09" w14:textId="77777777">
        <w:tc>
          <w:tcPr>
            <w:cnfStyle w:val="001000000000" w:firstRow="0" w:lastRow="0" w:firstColumn="1" w:lastColumn="0" w:oddVBand="0" w:evenVBand="0" w:oddHBand="0" w:evenHBand="0" w:firstRowFirstColumn="0" w:firstRowLastColumn="0" w:lastRowFirstColumn="0" w:lastRowLastColumn="0"/>
            <w:tcW w:w="3085" w:type="dxa"/>
          </w:tcPr>
          <w:p w14:paraId="6E333437" w14:textId="77777777" w:rsidR="0038675C" w:rsidRPr="00F77D19" w:rsidRDefault="0038675C">
            <w:pPr>
              <w:rPr>
                <w:rFonts w:cs="Calibri"/>
                <w:b w:val="0"/>
                <w:bCs w:val="0"/>
                <w:sz w:val="18"/>
                <w:szCs w:val="18"/>
              </w:rPr>
            </w:pPr>
            <w:r w:rsidRPr="00F77D19">
              <w:rPr>
                <w:rFonts w:cs="Calibri"/>
                <w:b w:val="0"/>
                <w:bCs w:val="0"/>
                <w:sz w:val="18"/>
                <w:szCs w:val="18"/>
              </w:rPr>
              <w:t>Pleural effusion</w:t>
            </w:r>
          </w:p>
        </w:tc>
        <w:tc>
          <w:tcPr>
            <w:tcW w:w="1559" w:type="dxa"/>
          </w:tcPr>
          <w:p w14:paraId="3D671EE3"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8" w:type="dxa"/>
          </w:tcPr>
          <w:p w14:paraId="3818BC83"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7" w:type="dxa"/>
          </w:tcPr>
          <w:p w14:paraId="2804C376"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59CB3F7C"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2 (0.4)</w:t>
            </w:r>
          </w:p>
        </w:tc>
      </w:tr>
      <w:tr w:rsidR="0038675C" w:rsidRPr="00F77D19" w14:paraId="3D536D5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32F07601" w14:textId="77777777" w:rsidR="0038675C" w:rsidRPr="00F77D19" w:rsidRDefault="0038675C">
            <w:pPr>
              <w:rPr>
                <w:rFonts w:cs="Calibri"/>
                <w:b w:val="0"/>
                <w:bCs w:val="0"/>
                <w:sz w:val="18"/>
                <w:szCs w:val="18"/>
              </w:rPr>
            </w:pPr>
            <w:r w:rsidRPr="00F77D19">
              <w:rPr>
                <w:rFonts w:cs="Calibri"/>
                <w:b w:val="0"/>
                <w:bCs w:val="0"/>
                <w:sz w:val="18"/>
                <w:szCs w:val="18"/>
              </w:rPr>
              <w:t>Anaemia</w:t>
            </w:r>
          </w:p>
        </w:tc>
        <w:tc>
          <w:tcPr>
            <w:tcW w:w="1559" w:type="dxa"/>
          </w:tcPr>
          <w:p w14:paraId="4DEBCAF2"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 (0.9)</w:t>
            </w:r>
          </w:p>
        </w:tc>
        <w:tc>
          <w:tcPr>
            <w:tcW w:w="1418" w:type="dxa"/>
          </w:tcPr>
          <w:p w14:paraId="69D583CC"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7" w:type="dxa"/>
          </w:tcPr>
          <w:p w14:paraId="3F2E19CD"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66A0AE81"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4 (0.7)</w:t>
            </w:r>
          </w:p>
        </w:tc>
      </w:tr>
      <w:tr w:rsidR="0038675C" w:rsidRPr="00F77D19" w14:paraId="76A06F95" w14:textId="77777777">
        <w:tc>
          <w:tcPr>
            <w:cnfStyle w:val="001000000000" w:firstRow="0" w:lastRow="0" w:firstColumn="1" w:lastColumn="0" w:oddVBand="0" w:evenVBand="0" w:oddHBand="0" w:evenHBand="0" w:firstRowFirstColumn="0" w:firstRowLastColumn="0" w:lastRowFirstColumn="0" w:lastRowLastColumn="0"/>
            <w:tcW w:w="3085" w:type="dxa"/>
          </w:tcPr>
          <w:p w14:paraId="4495B031" w14:textId="77777777" w:rsidR="0038675C" w:rsidRPr="00F77D19" w:rsidRDefault="0038675C">
            <w:pPr>
              <w:rPr>
                <w:rFonts w:cs="Calibri"/>
                <w:b w:val="0"/>
                <w:bCs w:val="0"/>
                <w:sz w:val="18"/>
                <w:szCs w:val="18"/>
              </w:rPr>
            </w:pPr>
            <w:r w:rsidRPr="00F77D19">
              <w:rPr>
                <w:rFonts w:cs="Calibri"/>
                <w:b w:val="0"/>
                <w:bCs w:val="0"/>
                <w:sz w:val="18"/>
                <w:szCs w:val="18"/>
              </w:rPr>
              <w:t>Pancytopenia</w:t>
            </w:r>
          </w:p>
        </w:tc>
        <w:tc>
          <w:tcPr>
            <w:tcW w:w="1559" w:type="dxa"/>
          </w:tcPr>
          <w:p w14:paraId="3D9513A1"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8" w:type="dxa"/>
          </w:tcPr>
          <w:p w14:paraId="1B1EDA70"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1 (2.3)</w:t>
            </w:r>
          </w:p>
        </w:tc>
        <w:tc>
          <w:tcPr>
            <w:tcW w:w="1417" w:type="dxa"/>
          </w:tcPr>
          <w:p w14:paraId="09AEB117"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0DCC6DE4"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2 (0.4)</w:t>
            </w:r>
          </w:p>
        </w:tc>
      </w:tr>
      <w:tr w:rsidR="0038675C" w:rsidRPr="00F77D19" w14:paraId="473B96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03E5AA55" w14:textId="77777777" w:rsidR="0038675C" w:rsidRPr="00F77D19" w:rsidRDefault="0038675C">
            <w:pPr>
              <w:rPr>
                <w:rFonts w:cs="Calibri"/>
                <w:b w:val="0"/>
                <w:bCs w:val="0"/>
                <w:sz w:val="18"/>
                <w:szCs w:val="18"/>
              </w:rPr>
            </w:pPr>
            <w:r w:rsidRPr="00F77D19">
              <w:rPr>
                <w:rFonts w:cs="Calibri"/>
                <w:b w:val="0"/>
                <w:bCs w:val="0"/>
                <w:sz w:val="18"/>
                <w:szCs w:val="18"/>
              </w:rPr>
              <w:t>Febrile neutropenia</w:t>
            </w:r>
          </w:p>
        </w:tc>
        <w:tc>
          <w:tcPr>
            <w:tcW w:w="1559" w:type="dxa"/>
          </w:tcPr>
          <w:p w14:paraId="1CC43475"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8" w:type="dxa"/>
          </w:tcPr>
          <w:p w14:paraId="2E1D1B1C"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7" w:type="dxa"/>
          </w:tcPr>
          <w:p w14:paraId="2DA5DA43"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4EB3150E"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3 (0.5)</w:t>
            </w:r>
          </w:p>
        </w:tc>
      </w:tr>
      <w:tr w:rsidR="0038675C" w:rsidRPr="00F77D19" w14:paraId="218E0F56" w14:textId="77777777">
        <w:tc>
          <w:tcPr>
            <w:cnfStyle w:val="001000000000" w:firstRow="0" w:lastRow="0" w:firstColumn="1" w:lastColumn="0" w:oddVBand="0" w:evenVBand="0" w:oddHBand="0" w:evenHBand="0" w:firstRowFirstColumn="0" w:firstRowLastColumn="0" w:lastRowFirstColumn="0" w:lastRowLastColumn="0"/>
            <w:tcW w:w="3085" w:type="dxa"/>
          </w:tcPr>
          <w:p w14:paraId="5402B8A1" w14:textId="77777777" w:rsidR="0038675C" w:rsidRPr="00F77D19" w:rsidRDefault="0038675C">
            <w:pPr>
              <w:rPr>
                <w:rFonts w:cs="Calibri"/>
                <w:b w:val="0"/>
                <w:bCs w:val="0"/>
                <w:sz w:val="18"/>
                <w:szCs w:val="18"/>
              </w:rPr>
            </w:pPr>
            <w:r w:rsidRPr="00F77D19">
              <w:rPr>
                <w:rFonts w:cs="Calibri"/>
                <w:b w:val="0"/>
                <w:bCs w:val="0"/>
                <w:sz w:val="18"/>
                <w:szCs w:val="18"/>
              </w:rPr>
              <w:t>Lymphadenitis</w:t>
            </w:r>
          </w:p>
        </w:tc>
        <w:tc>
          <w:tcPr>
            <w:tcW w:w="1559" w:type="dxa"/>
          </w:tcPr>
          <w:p w14:paraId="0771E776"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8" w:type="dxa"/>
          </w:tcPr>
          <w:p w14:paraId="37C94DB8"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7" w:type="dxa"/>
          </w:tcPr>
          <w:p w14:paraId="40B759FF"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5504506C"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2 (0.4)</w:t>
            </w:r>
          </w:p>
        </w:tc>
      </w:tr>
      <w:tr w:rsidR="0038675C" w:rsidRPr="00F77D19" w14:paraId="1168570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61EF1063" w14:textId="77777777" w:rsidR="0038675C" w:rsidRPr="00F77D19" w:rsidRDefault="0038675C">
            <w:pPr>
              <w:rPr>
                <w:rFonts w:cs="Calibri"/>
                <w:b w:val="0"/>
                <w:bCs w:val="0"/>
                <w:sz w:val="18"/>
                <w:szCs w:val="18"/>
              </w:rPr>
            </w:pPr>
            <w:r w:rsidRPr="00F77D19">
              <w:rPr>
                <w:rFonts w:cs="Calibri"/>
                <w:b w:val="0"/>
                <w:bCs w:val="0"/>
                <w:sz w:val="18"/>
                <w:szCs w:val="18"/>
              </w:rPr>
              <w:t>Middle ear inflammation</w:t>
            </w:r>
          </w:p>
        </w:tc>
        <w:tc>
          <w:tcPr>
            <w:tcW w:w="1559" w:type="dxa"/>
          </w:tcPr>
          <w:p w14:paraId="2B547E02"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 (0.9)</w:t>
            </w:r>
          </w:p>
        </w:tc>
        <w:tc>
          <w:tcPr>
            <w:tcW w:w="1418" w:type="dxa"/>
          </w:tcPr>
          <w:p w14:paraId="6372D69C"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7" w:type="dxa"/>
          </w:tcPr>
          <w:p w14:paraId="47A00E3D"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624F25C1"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r>
      <w:tr w:rsidR="0038675C" w:rsidRPr="00F77D19" w14:paraId="52683862" w14:textId="77777777">
        <w:tc>
          <w:tcPr>
            <w:cnfStyle w:val="001000000000" w:firstRow="0" w:lastRow="0" w:firstColumn="1" w:lastColumn="0" w:oddVBand="0" w:evenVBand="0" w:oddHBand="0" w:evenHBand="0" w:firstRowFirstColumn="0" w:firstRowLastColumn="0" w:lastRowFirstColumn="0" w:lastRowLastColumn="0"/>
            <w:tcW w:w="3085" w:type="dxa"/>
          </w:tcPr>
          <w:p w14:paraId="6ADF48F5" w14:textId="77777777" w:rsidR="0038675C" w:rsidRPr="00F77D19" w:rsidRDefault="0038675C">
            <w:pPr>
              <w:rPr>
                <w:rFonts w:cs="Calibri"/>
                <w:b w:val="0"/>
                <w:bCs w:val="0"/>
                <w:sz w:val="18"/>
                <w:szCs w:val="18"/>
              </w:rPr>
            </w:pPr>
            <w:r w:rsidRPr="00F77D19">
              <w:rPr>
                <w:rFonts w:cs="Calibri"/>
                <w:b w:val="0"/>
                <w:bCs w:val="0"/>
                <w:sz w:val="18"/>
                <w:szCs w:val="18"/>
              </w:rPr>
              <w:t>Asthenia</w:t>
            </w:r>
          </w:p>
        </w:tc>
        <w:tc>
          <w:tcPr>
            <w:tcW w:w="1559" w:type="dxa"/>
          </w:tcPr>
          <w:p w14:paraId="12FEDFA9"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1 (0.9)</w:t>
            </w:r>
          </w:p>
        </w:tc>
        <w:tc>
          <w:tcPr>
            <w:tcW w:w="1418" w:type="dxa"/>
          </w:tcPr>
          <w:p w14:paraId="56D70539"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7" w:type="dxa"/>
          </w:tcPr>
          <w:p w14:paraId="11F049B4"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4A484ABE"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r>
      <w:tr w:rsidR="0038675C" w:rsidRPr="00F77D19" w14:paraId="4D05058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0347EDE2" w14:textId="77777777" w:rsidR="0038675C" w:rsidRPr="00F77D19" w:rsidRDefault="0038675C">
            <w:pPr>
              <w:rPr>
                <w:rFonts w:cs="Calibri"/>
                <w:b w:val="0"/>
                <w:bCs w:val="0"/>
                <w:sz w:val="18"/>
                <w:szCs w:val="18"/>
              </w:rPr>
            </w:pPr>
            <w:r w:rsidRPr="00F77D19">
              <w:rPr>
                <w:rFonts w:cs="Calibri"/>
                <w:b w:val="0"/>
                <w:bCs w:val="0"/>
                <w:sz w:val="18"/>
                <w:szCs w:val="18"/>
              </w:rPr>
              <w:t>Bladder cancer</w:t>
            </w:r>
          </w:p>
        </w:tc>
        <w:tc>
          <w:tcPr>
            <w:tcW w:w="1559" w:type="dxa"/>
          </w:tcPr>
          <w:p w14:paraId="797DA840"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 (0.9)</w:t>
            </w:r>
          </w:p>
        </w:tc>
        <w:tc>
          <w:tcPr>
            <w:tcW w:w="1418" w:type="dxa"/>
          </w:tcPr>
          <w:p w14:paraId="64ACA572"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7" w:type="dxa"/>
          </w:tcPr>
          <w:p w14:paraId="4E540378"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0815F281"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r>
      <w:tr w:rsidR="0038675C" w:rsidRPr="00F77D19" w14:paraId="06288A49" w14:textId="77777777">
        <w:tc>
          <w:tcPr>
            <w:cnfStyle w:val="001000000000" w:firstRow="0" w:lastRow="0" w:firstColumn="1" w:lastColumn="0" w:oddVBand="0" w:evenVBand="0" w:oddHBand="0" w:evenHBand="0" w:firstRowFirstColumn="0" w:firstRowLastColumn="0" w:lastRowFirstColumn="0" w:lastRowLastColumn="0"/>
            <w:tcW w:w="3085" w:type="dxa"/>
          </w:tcPr>
          <w:p w14:paraId="54B1A42B" w14:textId="77777777" w:rsidR="0038675C" w:rsidRPr="00F77D19" w:rsidRDefault="0038675C">
            <w:pPr>
              <w:rPr>
                <w:rFonts w:cs="Calibri"/>
                <w:b w:val="0"/>
                <w:bCs w:val="0"/>
                <w:sz w:val="18"/>
                <w:szCs w:val="18"/>
              </w:rPr>
            </w:pPr>
            <w:r w:rsidRPr="00F77D19">
              <w:rPr>
                <w:rFonts w:cs="Calibri"/>
                <w:b w:val="0"/>
                <w:bCs w:val="0"/>
                <w:sz w:val="18"/>
                <w:szCs w:val="18"/>
              </w:rPr>
              <w:t xml:space="preserve">Headache </w:t>
            </w:r>
          </w:p>
        </w:tc>
        <w:tc>
          <w:tcPr>
            <w:tcW w:w="1559" w:type="dxa"/>
          </w:tcPr>
          <w:p w14:paraId="3DF3F231"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1 (0.9)</w:t>
            </w:r>
          </w:p>
        </w:tc>
        <w:tc>
          <w:tcPr>
            <w:tcW w:w="1418" w:type="dxa"/>
          </w:tcPr>
          <w:p w14:paraId="529F2335"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7" w:type="dxa"/>
          </w:tcPr>
          <w:p w14:paraId="3E168730"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014D1B9A"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r>
      <w:tr w:rsidR="0038675C" w:rsidRPr="00F77D19" w14:paraId="650ACE8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5C4DD3DB" w14:textId="77777777" w:rsidR="0038675C" w:rsidRPr="00F77D19" w:rsidRDefault="0038675C">
            <w:pPr>
              <w:rPr>
                <w:rFonts w:cs="Calibri"/>
                <w:b w:val="0"/>
                <w:bCs w:val="0"/>
                <w:sz w:val="18"/>
                <w:szCs w:val="18"/>
              </w:rPr>
            </w:pPr>
            <w:r w:rsidRPr="00F77D19">
              <w:rPr>
                <w:rFonts w:cs="Calibri"/>
                <w:b w:val="0"/>
                <w:bCs w:val="0"/>
                <w:sz w:val="18"/>
                <w:szCs w:val="18"/>
              </w:rPr>
              <w:t>Diarrhoea</w:t>
            </w:r>
          </w:p>
        </w:tc>
        <w:tc>
          <w:tcPr>
            <w:tcW w:w="1559" w:type="dxa"/>
          </w:tcPr>
          <w:p w14:paraId="30C56CE2"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418" w:type="dxa"/>
          </w:tcPr>
          <w:p w14:paraId="20EED90B"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r w:rsidRPr="00F77D19">
              <w:rPr>
                <w:rFonts w:cs="Calibri"/>
                <w:sz w:val="18"/>
                <w:szCs w:val="18"/>
              </w:rPr>
              <w:t>1 (2.3)</w:t>
            </w:r>
          </w:p>
        </w:tc>
        <w:tc>
          <w:tcPr>
            <w:tcW w:w="1417" w:type="dxa"/>
          </w:tcPr>
          <w:p w14:paraId="060944A8"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c>
          <w:tcPr>
            <w:tcW w:w="1763" w:type="dxa"/>
          </w:tcPr>
          <w:p w14:paraId="2C9B835A" w14:textId="77777777" w:rsidR="0038675C" w:rsidRPr="00F77D19" w:rsidRDefault="0038675C">
            <w:pPr>
              <w:jc w:val="center"/>
              <w:cnfStyle w:val="000000100000" w:firstRow="0" w:lastRow="0" w:firstColumn="0" w:lastColumn="0" w:oddVBand="0" w:evenVBand="0" w:oddHBand="1" w:evenHBand="0" w:firstRowFirstColumn="0" w:firstRowLastColumn="0" w:lastRowFirstColumn="0" w:lastRowLastColumn="0"/>
              <w:rPr>
                <w:rFonts w:cs="Calibri"/>
                <w:sz w:val="18"/>
                <w:szCs w:val="18"/>
              </w:rPr>
            </w:pPr>
          </w:p>
        </w:tc>
      </w:tr>
      <w:tr w:rsidR="0038675C" w:rsidRPr="00F77D19" w14:paraId="7381CAAD" w14:textId="77777777">
        <w:tc>
          <w:tcPr>
            <w:cnfStyle w:val="001000000000" w:firstRow="0" w:lastRow="0" w:firstColumn="1" w:lastColumn="0" w:oddVBand="0" w:evenVBand="0" w:oddHBand="0" w:evenHBand="0" w:firstRowFirstColumn="0" w:firstRowLastColumn="0" w:lastRowFirstColumn="0" w:lastRowLastColumn="0"/>
            <w:tcW w:w="3085" w:type="dxa"/>
          </w:tcPr>
          <w:p w14:paraId="6AA167FB" w14:textId="77777777" w:rsidR="0038675C" w:rsidRPr="00F77D19" w:rsidRDefault="0038675C">
            <w:pPr>
              <w:rPr>
                <w:rFonts w:cs="Calibri"/>
                <w:b w:val="0"/>
                <w:bCs w:val="0"/>
                <w:sz w:val="18"/>
                <w:szCs w:val="18"/>
              </w:rPr>
            </w:pPr>
            <w:r w:rsidRPr="00F77D19">
              <w:rPr>
                <w:rFonts w:cs="Calibri"/>
                <w:b w:val="0"/>
                <w:bCs w:val="0"/>
                <w:sz w:val="18"/>
                <w:szCs w:val="18"/>
              </w:rPr>
              <w:t>Atherosclerosis coronary artery</w:t>
            </w:r>
          </w:p>
        </w:tc>
        <w:tc>
          <w:tcPr>
            <w:tcW w:w="1559" w:type="dxa"/>
          </w:tcPr>
          <w:p w14:paraId="4D1EF3B5"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8" w:type="dxa"/>
          </w:tcPr>
          <w:p w14:paraId="37783355"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417" w:type="dxa"/>
          </w:tcPr>
          <w:p w14:paraId="19560FC9"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p>
        </w:tc>
        <w:tc>
          <w:tcPr>
            <w:tcW w:w="1763" w:type="dxa"/>
          </w:tcPr>
          <w:p w14:paraId="15A84593" w14:textId="77777777" w:rsidR="0038675C" w:rsidRPr="00F77D19" w:rsidRDefault="0038675C">
            <w:pPr>
              <w:jc w:val="center"/>
              <w:cnfStyle w:val="000000000000" w:firstRow="0" w:lastRow="0" w:firstColumn="0" w:lastColumn="0" w:oddVBand="0" w:evenVBand="0" w:oddHBand="0" w:evenHBand="0" w:firstRowFirstColumn="0" w:firstRowLastColumn="0" w:lastRowFirstColumn="0" w:lastRowLastColumn="0"/>
              <w:rPr>
                <w:rFonts w:cs="Calibri"/>
                <w:sz w:val="18"/>
                <w:szCs w:val="18"/>
              </w:rPr>
            </w:pPr>
            <w:r w:rsidRPr="00F77D19">
              <w:rPr>
                <w:rFonts w:cs="Calibri"/>
                <w:sz w:val="18"/>
                <w:szCs w:val="18"/>
              </w:rPr>
              <w:t>2 (0.4)</w:t>
            </w:r>
          </w:p>
        </w:tc>
      </w:tr>
    </w:tbl>
    <w:p w14:paraId="7FB98FAA" w14:textId="0D2B1CB9" w:rsidR="0072689D" w:rsidRDefault="0072689D" w:rsidP="0072689D">
      <w:pPr>
        <w:ind w:left="23"/>
        <w:rPr>
          <w:sz w:val="20"/>
        </w:rPr>
      </w:pPr>
    </w:p>
    <w:p w14:paraId="027DBC29" w14:textId="17FDAF14" w:rsidR="0014340E" w:rsidRPr="0014340E" w:rsidRDefault="0014340E" w:rsidP="0014340E">
      <w:pPr>
        <w:pStyle w:val="Heading5"/>
        <w:spacing w:before="1"/>
        <w:rPr>
          <w:i w:val="0"/>
          <w:iCs/>
        </w:rPr>
      </w:pPr>
      <w:r w:rsidRPr="0014340E">
        <w:rPr>
          <w:i w:val="0"/>
          <w:iCs/>
        </w:rPr>
        <w:lastRenderedPageBreak/>
        <w:t>Discontinuation/dose</w:t>
      </w:r>
      <w:r w:rsidRPr="0014340E">
        <w:rPr>
          <w:i w:val="0"/>
          <w:iCs/>
          <w:spacing w:val="-8"/>
        </w:rPr>
        <w:t xml:space="preserve"> </w:t>
      </w:r>
      <w:r w:rsidRPr="0014340E">
        <w:rPr>
          <w:i w:val="0"/>
          <w:iCs/>
        </w:rPr>
        <w:t>interruption</w:t>
      </w:r>
      <w:r w:rsidRPr="0014340E">
        <w:rPr>
          <w:i w:val="0"/>
          <w:iCs/>
          <w:spacing w:val="-6"/>
        </w:rPr>
        <w:t xml:space="preserve"> </w:t>
      </w:r>
      <w:r w:rsidRPr="0014340E">
        <w:rPr>
          <w:i w:val="0"/>
          <w:iCs/>
        </w:rPr>
        <w:t>or</w:t>
      </w:r>
      <w:r w:rsidRPr="0014340E">
        <w:rPr>
          <w:i w:val="0"/>
          <w:iCs/>
          <w:spacing w:val="-8"/>
        </w:rPr>
        <w:t xml:space="preserve"> </w:t>
      </w:r>
      <w:r w:rsidRPr="0014340E">
        <w:rPr>
          <w:i w:val="0"/>
          <w:iCs/>
        </w:rPr>
        <w:t>reduction</w:t>
      </w:r>
      <w:r w:rsidRPr="0014340E">
        <w:rPr>
          <w:i w:val="0"/>
          <w:iCs/>
          <w:spacing w:val="-6"/>
        </w:rPr>
        <w:t xml:space="preserve"> </w:t>
      </w:r>
      <w:r w:rsidRPr="0014340E">
        <w:rPr>
          <w:i w:val="0"/>
          <w:iCs/>
        </w:rPr>
        <w:t>due</w:t>
      </w:r>
      <w:r w:rsidRPr="0014340E">
        <w:rPr>
          <w:i w:val="0"/>
          <w:iCs/>
          <w:spacing w:val="-9"/>
        </w:rPr>
        <w:t xml:space="preserve"> </w:t>
      </w:r>
      <w:r w:rsidRPr="0014340E">
        <w:rPr>
          <w:i w:val="0"/>
          <w:iCs/>
        </w:rPr>
        <w:t>to</w:t>
      </w:r>
      <w:r w:rsidRPr="0014340E">
        <w:rPr>
          <w:i w:val="0"/>
          <w:iCs/>
          <w:spacing w:val="-8"/>
        </w:rPr>
        <w:t xml:space="preserve"> </w:t>
      </w:r>
      <w:r w:rsidR="00801CED">
        <w:rPr>
          <w:i w:val="0"/>
          <w:iCs/>
          <w:spacing w:val="-5"/>
        </w:rPr>
        <w:t>adverse events</w:t>
      </w:r>
    </w:p>
    <w:p w14:paraId="2CA825CC" w14:textId="77777777" w:rsidR="0014340E" w:rsidRDefault="0014340E" w:rsidP="0014340E">
      <w:pPr>
        <w:pStyle w:val="BodyText"/>
        <w:spacing w:before="118"/>
        <w:ind w:left="23"/>
      </w:pPr>
      <w:r>
        <w:t>Rates</w:t>
      </w:r>
      <w:r>
        <w:rPr>
          <w:spacing w:val="-2"/>
        </w:rPr>
        <w:t xml:space="preserve"> </w:t>
      </w:r>
      <w:r>
        <w:t>were</w:t>
      </w:r>
      <w:r>
        <w:rPr>
          <w:spacing w:val="-3"/>
        </w:rPr>
        <w:t xml:space="preserve"> </w:t>
      </w:r>
      <w:r>
        <w:t>grossly</w:t>
      </w:r>
      <w:r>
        <w:rPr>
          <w:spacing w:val="-4"/>
        </w:rPr>
        <w:t xml:space="preserve"> </w:t>
      </w:r>
      <w:r>
        <w:t>similar</w:t>
      </w:r>
      <w:r>
        <w:rPr>
          <w:spacing w:val="-4"/>
        </w:rPr>
        <w:t xml:space="preserve"> </w:t>
      </w:r>
      <w:r>
        <w:t>across</w:t>
      </w:r>
      <w:r>
        <w:rPr>
          <w:spacing w:val="-5"/>
        </w:rPr>
        <w:t xml:space="preserve"> </w:t>
      </w:r>
      <w:r>
        <w:t>studies</w:t>
      </w:r>
      <w:r>
        <w:rPr>
          <w:spacing w:val="-2"/>
        </w:rPr>
        <w:t xml:space="preserve"> </w:t>
      </w:r>
      <w:r>
        <w:t>and</w:t>
      </w:r>
      <w:r>
        <w:rPr>
          <w:spacing w:val="-4"/>
        </w:rPr>
        <w:t xml:space="preserve"> </w:t>
      </w:r>
      <w:r>
        <w:t>lower</w:t>
      </w:r>
      <w:r>
        <w:rPr>
          <w:spacing w:val="-4"/>
        </w:rPr>
        <w:t xml:space="preserve"> </w:t>
      </w:r>
      <w:r>
        <w:t>overall</w:t>
      </w:r>
      <w:r>
        <w:rPr>
          <w:spacing w:val="-3"/>
        </w:rPr>
        <w:t xml:space="preserve"> </w:t>
      </w:r>
      <w:r>
        <w:t>for</w:t>
      </w:r>
      <w:r>
        <w:rPr>
          <w:spacing w:val="-6"/>
        </w:rPr>
        <w:t xml:space="preserve"> </w:t>
      </w:r>
      <w:r>
        <w:t>TRAEs</w:t>
      </w:r>
      <w:r>
        <w:rPr>
          <w:spacing w:val="-2"/>
        </w:rPr>
        <w:t xml:space="preserve"> </w:t>
      </w:r>
      <w:r>
        <w:t>leading</w:t>
      </w:r>
      <w:r>
        <w:rPr>
          <w:spacing w:val="-2"/>
        </w:rPr>
        <w:t xml:space="preserve"> </w:t>
      </w:r>
      <w:r>
        <w:t>to</w:t>
      </w:r>
      <w:r>
        <w:rPr>
          <w:spacing w:val="-3"/>
        </w:rPr>
        <w:t xml:space="preserve"> </w:t>
      </w:r>
      <w:r>
        <w:t>drug withdrawal, dose reduction or interruption.</w:t>
      </w:r>
    </w:p>
    <w:p w14:paraId="7B24E1DF" w14:textId="0E301538" w:rsidR="00954707" w:rsidRDefault="00954707" w:rsidP="00955037">
      <w:pPr>
        <w:pStyle w:val="TableTitle"/>
        <w:spacing w:before="240"/>
        <w:rPr>
          <w:lang w:eastAsia="ja-JP"/>
        </w:rPr>
      </w:pPr>
      <w:r w:rsidRPr="00F05225">
        <w:rPr>
          <w:bCs/>
          <w:lang w:eastAsia="ja-JP"/>
        </w:rPr>
        <w:t xml:space="preserve">Table </w:t>
      </w:r>
      <w:r w:rsidR="00171559">
        <w:rPr>
          <w:bCs/>
          <w:lang w:eastAsia="ja-JP"/>
        </w:rPr>
        <w:t>1</w:t>
      </w:r>
      <w:r w:rsidR="00915482">
        <w:rPr>
          <w:bCs/>
          <w:lang w:eastAsia="ja-JP"/>
        </w:rPr>
        <w:t>5</w:t>
      </w:r>
      <w:r w:rsidR="003F1CE0">
        <w:rPr>
          <w:bCs/>
          <w:lang w:eastAsia="ja-JP"/>
        </w:rPr>
        <w:t xml:space="preserve">: </w:t>
      </w:r>
      <w:r>
        <w:rPr>
          <w:lang w:eastAsia="ja-JP"/>
        </w:rPr>
        <w:t xml:space="preserve">Overview of </w:t>
      </w:r>
      <w:r w:rsidR="00C80A70">
        <w:rPr>
          <w:lang w:eastAsia="ja-JP"/>
        </w:rPr>
        <w:t>adverse events</w:t>
      </w:r>
      <w:r>
        <w:rPr>
          <w:lang w:eastAsia="ja-JP"/>
        </w:rPr>
        <w:t xml:space="preserve"> in ICP-CL-00102, ICP-CL-00107, ICP-CL-00127 and B-cell malignancies safety set </w:t>
      </w:r>
      <w:r w:rsidR="00333510">
        <w:rPr>
          <w:lang w:eastAsia="ja-JP"/>
        </w:rPr>
        <w:t>-</w:t>
      </w:r>
      <w:r w:rsidR="00E76E5C">
        <w:rPr>
          <w:lang w:eastAsia="ja-JP"/>
        </w:rPr>
        <w:t xml:space="preserve"> </w:t>
      </w:r>
      <w:r w:rsidR="00AD5524">
        <w:rPr>
          <w:lang w:eastAsia="ja-JP"/>
        </w:rPr>
        <w:t>discontinuations, dose interruptions</w:t>
      </w:r>
      <w:r w:rsidR="00384259">
        <w:rPr>
          <w:lang w:eastAsia="ja-JP"/>
        </w:rPr>
        <w:t xml:space="preserve">, and dose </w:t>
      </w:r>
      <w:r w:rsidR="00AD5524">
        <w:rPr>
          <w:lang w:eastAsia="ja-JP"/>
        </w:rPr>
        <w:t>reduction</w:t>
      </w:r>
      <w:r w:rsidR="00384259">
        <w:rPr>
          <w:lang w:eastAsia="ja-JP"/>
        </w:rPr>
        <w:t>s</w:t>
      </w:r>
      <w:r w:rsidR="00AD5524">
        <w:rPr>
          <w:lang w:eastAsia="ja-JP"/>
        </w:rPr>
        <w:t xml:space="preserve"> </w:t>
      </w:r>
    </w:p>
    <w:tbl>
      <w:tblPr>
        <w:tblStyle w:val="GridTable41"/>
        <w:tblW w:w="0" w:type="auto"/>
        <w:tblLook w:val="04A0" w:firstRow="1" w:lastRow="0" w:firstColumn="1" w:lastColumn="0" w:noHBand="0" w:noVBand="1"/>
      </w:tblPr>
      <w:tblGrid>
        <w:gridCol w:w="2876"/>
        <w:gridCol w:w="1527"/>
        <w:gridCol w:w="1526"/>
        <w:gridCol w:w="1526"/>
        <w:gridCol w:w="1605"/>
      </w:tblGrid>
      <w:tr w:rsidR="00954707" w:rsidRPr="00FF72FD" w14:paraId="556DE017" w14:textId="77777777" w:rsidTr="00AC2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50FA1AF3" w14:textId="77777777" w:rsidR="00954707" w:rsidRPr="00E96FF0" w:rsidRDefault="00954707">
            <w:pPr>
              <w:rPr>
                <w:rFonts w:asciiTheme="minorHAnsi" w:hAnsiTheme="minorHAnsi"/>
                <w:sz w:val="18"/>
                <w:szCs w:val="18"/>
                <w:lang w:eastAsia="ja-JP"/>
              </w:rPr>
            </w:pPr>
          </w:p>
        </w:tc>
        <w:tc>
          <w:tcPr>
            <w:tcW w:w="1527" w:type="dxa"/>
          </w:tcPr>
          <w:p w14:paraId="25E8CEB2" w14:textId="77777777" w:rsidR="00954707" w:rsidRPr="00E96FF0" w:rsidRDefault="0095470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ICP-CL-00102</w:t>
            </w:r>
          </w:p>
        </w:tc>
        <w:tc>
          <w:tcPr>
            <w:tcW w:w="1526" w:type="dxa"/>
          </w:tcPr>
          <w:p w14:paraId="6F4E4426" w14:textId="77777777" w:rsidR="00954707" w:rsidRPr="006041D1" w:rsidRDefault="0095470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6041D1">
              <w:rPr>
                <w:rFonts w:asciiTheme="minorHAnsi" w:hAnsiTheme="minorHAnsi"/>
                <w:sz w:val="18"/>
                <w:szCs w:val="18"/>
                <w:lang w:eastAsia="ja-JP"/>
              </w:rPr>
              <w:t>ICP-CL-00107 (R/R MCL)</w:t>
            </w:r>
          </w:p>
        </w:tc>
        <w:tc>
          <w:tcPr>
            <w:tcW w:w="1526" w:type="dxa"/>
          </w:tcPr>
          <w:p w14:paraId="28995C91" w14:textId="77777777" w:rsidR="00954707" w:rsidRPr="00E96FF0" w:rsidRDefault="0095470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ICP-CL-00127</w:t>
            </w:r>
          </w:p>
        </w:tc>
        <w:tc>
          <w:tcPr>
            <w:tcW w:w="1605" w:type="dxa"/>
          </w:tcPr>
          <w:p w14:paraId="1E80FCC5" w14:textId="77777777" w:rsidR="00954707" w:rsidRPr="006041D1" w:rsidRDefault="0095470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6041D1">
              <w:rPr>
                <w:rFonts w:asciiTheme="minorHAnsi" w:hAnsiTheme="minorHAnsi"/>
                <w:sz w:val="18"/>
                <w:szCs w:val="18"/>
                <w:lang w:eastAsia="ja-JP"/>
              </w:rPr>
              <w:t>B-cell malignancies patients 150mg OD</w:t>
            </w:r>
          </w:p>
        </w:tc>
      </w:tr>
      <w:tr w:rsidR="00954707" w:rsidRPr="00E96FF0" w14:paraId="6D36CE7B" w14:textId="77777777" w:rsidTr="00AC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733AB9FA" w14:textId="77777777" w:rsidR="00954707" w:rsidRPr="00E96FF0" w:rsidRDefault="00954707">
            <w:pPr>
              <w:rPr>
                <w:rFonts w:asciiTheme="minorHAnsi" w:hAnsiTheme="minorHAnsi"/>
                <w:sz w:val="18"/>
                <w:szCs w:val="18"/>
                <w:lang w:eastAsia="ja-JP"/>
              </w:rPr>
            </w:pPr>
            <w:r w:rsidRPr="00E96FF0">
              <w:rPr>
                <w:rFonts w:asciiTheme="minorHAnsi" w:hAnsiTheme="minorHAnsi"/>
                <w:sz w:val="18"/>
                <w:szCs w:val="18"/>
                <w:lang w:eastAsia="ja-JP"/>
              </w:rPr>
              <w:t>N (%)</w:t>
            </w:r>
          </w:p>
        </w:tc>
        <w:tc>
          <w:tcPr>
            <w:tcW w:w="1527" w:type="dxa"/>
          </w:tcPr>
          <w:p w14:paraId="2EFDB40B"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106</w:t>
            </w:r>
          </w:p>
        </w:tc>
        <w:tc>
          <w:tcPr>
            <w:tcW w:w="1526" w:type="dxa"/>
          </w:tcPr>
          <w:p w14:paraId="55F0C62A"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43</w:t>
            </w:r>
          </w:p>
        </w:tc>
        <w:tc>
          <w:tcPr>
            <w:tcW w:w="1526" w:type="dxa"/>
          </w:tcPr>
          <w:p w14:paraId="10EF0DA1"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40</w:t>
            </w:r>
          </w:p>
        </w:tc>
        <w:tc>
          <w:tcPr>
            <w:tcW w:w="1605" w:type="dxa"/>
          </w:tcPr>
          <w:p w14:paraId="3DEAA132"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565</w:t>
            </w:r>
          </w:p>
        </w:tc>
      </w:tr>
      <w:tr w:rsidR="00954707" w:rsidRPr="00E96FF0" w14:paraId="0B572F47" w14:textId="77777777" w:rsidTr="00AC2E23">
        <w:tc>
          <w:tcPr>
            <w:cnfStyle w:val="001000000000" w:firstRow="0" w:lastRow="0" w:firstColumn="1" w:lastColumn="0" w:oddVBand="0" w:evenVBand="0" w:oddHBand="0" w:evenHBand="0" w:firstRowFirstColumn="0" w:firstRowLastColumn="0" w:lastRowFirstColumn="0" w:lastRowLastColumn="0"/>
            <w:tcW w:w="2876" w:type="dxa"/>
          </w:tcPr>
          <w:p w14:paraId="6A9C4449" w14:textId="77777777" w:rsidR="00954707" w:rsidRPr="00E96FF0" w:rsidRDefault="00954707">
            <w:pPr>
              <w:rPr>
                <w:rFonts w:asciiTheme="minorHAnsi" w:hAnsiTheme="minorHAnsi"/>
                <w:sz w:val="18"/>
                <w:szCs w:val="18"/>
                <w:lang w:eastAsia="ja-JP"/>
              </w:rPr>
            </w:pPr>
            <w:r w:rsidRPr="00E96FF0">
              <w:rPr>
                <w:rFonts w:asciiTheme="minorHAnsi" w:hAnsiTheme="minorHAnsi"/>
                <w:sz w:val="18"/>
                <w:szCs w:val="18"/>
                <w:lang w:eastAsia="ja-JP"/>
              </w:rPr>
              <w:t>All Adverse events</w:t>
            </w:r>
          </w:p>
        </w:tc>
        <w:tc>
          <w:tcPr>
            <w:tcW w:w="1527" w:type="dxa"/>
          </w:tcPr>
          <w:p w14:paraId="07F48B40"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103 (97.2)</w:t>
            </w:r>
          </w:p>
        </w:tc>
        <w:tc>
          <w:tcPr>
            <w:tcW w:w="1526" w:type="dxa"/>
          </w:tcPr>
          <w:p w14:paraId="4B8ECAD9"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36 (83.7)</w:t>
            </w:r>
          </w:p>
        </w:tc>
        <w:tc>
          <w:tcPr>
            <w:tcW w:w="1526" w:type="dxa"/>
          </w:tcPr>
          <w:p w14:paraId="4008D44D"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w:t>
            </w:r>
          </w:p>
        </w:tc>
        <w:tc>
          <w:tcPr>
            <w:tcW w:w="1605" w:type="dxa"/>
          </w:tcPr>
          <w:p w14:paraId="2DC57646"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544 (96.3)</w:t>
            </w:r>
          </w:p>
        </w:tc>
      </w:tr>
      <w:tr w:rsidR="00954707" w:rsidRPr="00E96FF0" w14:paraId="54FC3FA0" w14:textId="77777777" w:rsidTr="00AC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2ABD7416" w14:textId="77777777" w:rsidR="00954707" w:rsidRPr="00E96FF0" w:rsidRDefault="00954707">
            <w:pPr>
              <w:rPr>
                <w:rFonts w:asciiTheme="minorHAnsi" w:hAnsiTheme="minorHAnsi"/>
                <w:sz w:val="18"/>
                <w:szCs w:val="18"/>
                <w:lang w:eastAsia="ja-JP"/>
              </w:rPr>
            </w:pPr>
            <w:r w:rsidRPr="00E96FF0">
              <w:rPr>
                <w:rFonts w:asciiTheme="minorHAnsi" w:hAnsiTheme="minorHAnsi"/>
                <w:sz w:val="18"/>
                <w:szCs w:val="18"/>
                <w:lang w:eastAsia="ja-JP"/>
              </w:rPr>
              <w:t>All TEAEs</w:t>
            </w:r>
          </w:p>
        </w:tc>
        <w:tc>
          <w:tcPr>
            <w:tcW w:w="1527" w:type="dxa"/>
          </w:tcPr>
          <w:p w14:paraId="411B39CC"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101 (95.3)</w:t>
            </w:r>
          </w:p>
        </w:tc>
        <w:tc>
          <w:tcPr>
            <w:tcW w:w="1526" w:type="dxa"/>
          </w:tcPr>
          <w:p w14:paraId="4C851DBA"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36 (83.7)</w:t>
            </w:r>
          </w:p>
        </w:tc>
        <w:tc>
          <w:tcPr>
            <w:tcW w:w="1526" w:type="dxa"/>
          </w:tcPr>
          <w:p w14:paraId="29D24183"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37 (92.5)</w:t>
            </w:r>
          </w:p>
        </w:tc>
        <w:tc>
          <w:tcPr>
            <w:tcW w:w="1605" w:type="dxa"/>
          </w:tcPr>
          <w:p w14:paraId="0228095F"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542 (95.9)</w:t>
            </w:r>
          </w:p>
        </w:tc>
      </w:tr>
      <w:tr w:rsidR="00954707" w:rsidRPr="00E96FF0" w14:paraId="45F04193" w14:textId="77777777" w:rsidTr="00AC2E23">
        <w:tc>
          <w:tcPr>
            <w:cnfStyle w:val="001000000000" w:firstRow="0" w:lastRow="0" w:firstColumn="1" w:lastColumn="0" w:oddVBand="0" w:evenVBand="0" w:oddHBand="0" w:evenHBand="0" w:firstRowFirstColumn="0" w:firstRowLastColumn="0" w:lastRowFirstColumn="0" w:lastRowLastColumn="0"/>
            <w:tcW w:w="2876" w:type="dxa"/>
          </w:tcPr>
          <w:p w14:paraId="6C21CD38"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&gt;/=G3 TEAEs</w:t>
            </w:r>
          </w:p>
        </w:tc>
        <w:tc>
          <w:tcPr>
            <w:tcW w:w="1527" w:type="dxa"/>
          </w:tcPr>
          <w:p w14:paraId="67CAC3FE"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61 (57.5)</w:t>
            </w:r>
          </w:p>
        </w:tc>
        <w:tc>
          <w:tcPr>
            <w:tcW w:w="1526" w:type="dxa"/>
          </w:tcPr>
          <w:p w14:paraId="68CDE1C7"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22 (51.2)</w:t>
            </w:r>
          </w:p>
        </w:tc>
        <w:tc>
          <w:tcPr>
            <w:tcW w:w="1526" w:type="dxa"/>
          </w:tcPr>
          <w:p w14:paraId="3D5B8ED2"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13 (32.5)</w:t>
            </w:r>
          </w:p>
        </w:tc>
        <w:tc>
          <w:tcPr>
            <w:tcW w:w="1605" w:type="dxa"/>
          </w:tcPr>
          <w:p w14:paraId="7C82EDF8"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316 (55.9)</w:t>
            </w:r>
          </w:p>
        </w:tc>
      </w:tr>
      <w:tr w:rsidR="00954707" w:rsidRPr="00E96FF0" w14:paraId="2E961731" w14:textId="77777777" w:rsidTr="00AC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2D106F42"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AESIs (TEAE)</w:t>
            </w:r>
          </w:p>
        </w:tc>
        <w:tc>
          <w:tcPr>
            <w:tcW w:w="1527" w:type="dxa"/>
          </w:tcPr>
          <w:p w14:paraId="6A88FC0F"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41 (38.7)</w:t>
            </w:r>
          </w:p>
        </w:tc>
        <w:tc>
          <w:tcPr>
            <w:tcW w:w="1526" w:type="dxa"/>
          </w:tcPr>
          <w:p w14:paraId="243AB76C"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10 (23.3)</w:t>
            </w:r>
          </w:p>
        </w:tc>
        <w:tc>
          <w:tcPr>
            <w:tcW w:w="1526" w:type="dxa"/>
          </w:tcPr>
          <w:p w14:paraId="7B9B7A41"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8 (20)</w:t>
            </w:r>
          </w:p>
        </w:tc>
        <w:tc>
          <w:tcPr>
            <w:tcW w:w="1605" w:type="dxa"/>
          </w:tcPr>
          <w:p w14:paraId="16AE0F85"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w:t>
            </w:r>
          </w:p>
        </w:tc>
      </w:tr>
      <w:tr w:rsidR="00954707" w:rsidRPr="00E96FF0" w14:paraId="1D6F0504" w14:textId="77777777" w:rsidTr="00AC2E23">
        <w:tc>
          <w:tcPr>
            <w:cnfStyle w:val="001000000000" w:firstRow="0" w:lastRow="0" w:firstColumn="1" w:lastColumn="0" w:oddVBand="0" w:evenVBand="0" w:oddHBand="0" w:evenHBand="0" w:firstRowFirstColumn="0" w:firstRowLastColumn="0" w:lastRowFirstColumn="0" w:lastRowLastColumn="0"/>
            <w:tcW w:w="2876" w:type="dxa"/>
          </w:tcPr>
          <w:p w14:paraId="4F047D47"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TEAEs leadings to dose reduction</w:t>
            </w:r>
          </w:p>
        </w:tc>
        <w:tc>
          <w:tcPr>
            <w:tcW w:w="1527" w:type="dxa"/>
          </w:tcPr>
          <w:p w14:paraId="7A46FBC2"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7 (6.6)</w:t>
            </w:r>
          </w:p>
        </w:tc>
        <w:tc>
          <w:tcPr>
            <w:tcW w:w="1526" w:type="dxa"/>
          </w:tcPr>
          <w:p w14:paraId="1035420F"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3 (7)</w:t>
            </w:r>
          </w:p>
        </w:tc>
        <w:tc>
          <w:tcPr>
            <w:tcW w:w="1526" w:type="dxa"/>
          </w:tcPr>
          <w:p w14:paraId="6633E13C"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 (2.5)</w:t>
            </w:r>
          </w:p>
        </w:tc>
        <w:tc>
          <w:tcPr>
            <w:tcW w:w="1605" w:type="dxa"/>
          </w:tcPr>
          <w:p w14:paraId="6F54A5F1"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42 (7.4)</w:t>
            </w:r>
          </w:p>
        </w:tc>
      </w:tr>
      <w:tr w:rsidR="00954707" w:rsidRPr="00E96FF0" w14:paraId="05C9F7ED" w14:textId="77777777" w:rsidTr="00AC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472024AC"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TEAEs leading to dose interruption</w:t>
            </w:r>
          </w:p>
        </w:tc>
        <w:tc>
          <w:tcPr>
            <w:tcW w:w="1527" w:type="dxa"/>
          </w:tcPr>
          <w:p w14:paraId="372BB97F"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41 (38.7)</w:t>
            </w:r>
          </w:p>
        </w:tc>
        <w:tc>
          <w:tcPr>
            <w:tcW w:w="1526" w:type="dxa"/>
          </w:tcPr>
          <w:p w14:paraId="2377FCE7"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14 (32.6)</w:t>
            </w:r>
          </w:p>
        </w:tc>
        <w:tc>
          <w:tcPr>
            <w:tcW w:w="1526" w:type="dxa"/>
          </w:tcPr>
          <w:p w14:paraId="4D2DF37F"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7 (17.5)</w:t>
            </w:r>
          </w:p>
        </w:tc>
        <w:tc>
          <w:tcPr>
            <w:tcW w:w="1605" w:type="dxa"/>
          </w:tcPr>
          <w:p w14:paraId="76E33736"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226 (40)</w:t>
            </w:r>
          </w:p>
        </w:tc>
      </w:tr>
      <w:tr w:rsidR="00954707" w:rsidRPr="00E96FF0" w14:paraId="70DA074D" w14:textId="77777777" w:rsidTr="00AC2E23">
        <w:tc>
          <w:tcPr>
            <w:cnfStyle w:val="001000000000" w:firstRow="0" w:lastRow="0" w:firstColumn="1" w:lastColumn="0" w:oddVBand="0" w:evenVBand="0" w:oddHBand="0" w:evenHBand="0" w:firstRowFirstColumn="0" w:firstRowLastColumn="0" w:lastRowFirstColumn="0" w:lastRowLastColumn="0"/>
            <w:tcW w:w="2876" w:type="dxa"/>
          </w:tcPr>
          <w:p w14:paraId="3038E264"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TEAEs leading to drug withdrawal</w:t>
            </w:r>
          </w:p>
        </w:tc>
        <w:tc>
          <w:tcPr>
            <w:tcW w:w="1527" w:type="dxa"/>
          </w:tcPr>
          <w:p w14:paraId="1151DF03"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7 (6.6)</w:t>
            </w:r>
          </w:p>
        </w:tc>
        <w:tc>
          <w:tcPr>
            <w:tcW w:w="1526" w:type="dxa"/>
          </w:tcPr>
          <w:p w14:paraId="0CE530E9"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5 (11.6)</w:t>
            </w:r>
          </w:p>
        </w:tc>
        <w:tc>
          <w:tcPr>
            <w:tcW w:w="1526" w:type="dxa"/>
          </w:tcPr>
          <w:p w14:paraId="4F9224AC"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 (5)</w:t>
            </w:r>
          </w:p>
        </w:tc>
        <w:tc>
          <w:tcPr>
            <w:tcW w:w="1605" w:type="dxa"/>
          </w:tcPr>
          <w:p w14:paraId="3495C602"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56 (9.9)</w:t>
            </w:r>
          </w:p>
        </w:tc>
      </w:tr>
      <w:tr w:rsidR="00954707" w:rsidRPr="00E96FF0" w14:paraId="0DBE26A4" w14:textId="77777777" w:rsidTr="00AC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7757073C"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SAE (TEAE)</w:t>
            </w:r>
          </w:p>
        </w:tc>
        <w:tc>
          <w:tcPr>
            <w:tcW w:w="1527" w:type="dxa"/>
          </w:tcPr>
          <w:p w14:paraId="60BD8926"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45 (42.5)</w:t>
            </w:r>
          </w:p>
        </w:tc>
        <w:tc>
          <w:tcPr>
            <w:tcW w:w="1526" w:type="dxa"/>
          </w:tcPr>
          <w:p w14:paraId="6243567D"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12 (27.9)</w:t>
            </w:r>
          </w:p>
        </w:tc>
        <w:tc>
          <w:tcPr>
            <w:tcW w:w="1526" w:type="dxa"/>
          </w:tcPr>
          <w:p w14:paraId="4C59D187"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6 (15)</w:t>
            </w:r>
          </w:p>
        </w:tc>
        <w:tc>
          <w:tcPr>
            <w:tcW w:w="1605" w:type="dxa"/>
          </w:tcPr>
          <w:p w14:paraId="2CC7F2E6"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230 (40.7)</w:t>
            </w:r>
          </w:p>
        </w:tc>
      </w:tr>
      <w:tr w:rsidR="00954707" w:rsidRPr="00E96FF0" w14:paraId="3DADFA53" w14:textId="77777777" w:rsidTr="00AC2E23">
        <w:tc>
          <w:tcPr>
            <w:cnfStyle w:val="001000000000" w:firstRow="0" w:lastRow="0" w:firstColumn="1" w:lastColumn="0" w:oddVBand="0" w:evenVBand="0" w:oddHBand="0" w:evenHBand="0" w:firstRowFirstColumn="0" w:firstRowLastColumn="0" w:lastRowFirstColumn="0" w:lastRowLastColumn="0"/>
            <w:tcW w:w="2876" w:type="dxa"/>
          </w:tcPr>
          <w:p w14:paraId="52DD2730"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TEAEs leading to death</w:t>
            </w:r>
          </w:p>
        </w:tc>
        <w:tc>
          <w:tcPr>
            <w:tcW w:w="1527" w:type="dxa"/>
          </w:tcPr>
          <w:p w14:paraId="09352C77"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4 (3.8)</w:t>
            </w:r>
          </w:p>
        </w:tc>
        <w:tc>
          <w:tcPr>
            <w:tcW w:w="1526" w:type="dxa"/>
          </w:tcPr>
          <w:p w14:paraId="57F78468"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 (4.7)</w:t>
            </w:r>
          </w:p>
        </w:tc>
        <w:tc>
          <w:tcPr>
            <w:tcW w:w="1526" w:type="dxa"/>
          </w:tcPr>
          <w:p w14:paraId="4D9F65F1"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 (2.5)</w:t>
            </w:r>
          </w:p>
        </w:tc>
        <w:tc>
          <w:tcPr>
            <w:tcW w:w="1605" w:type="dxa"/>
          </w:tcPr>
          <w:p w14:paraId="7716B86C"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34 (6)</w:t>
            </w:r>
          </w:p>
        </w:tc>
      </w:tr>
      <w:tr w:rsidR="00954707" w:rsidRPr="00E96FF0" w14:paraId="11DD6728" w14:textId="77777777" w:rsidTr="00AC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56691BFE" w14:textId="77777777" w:rsidR="00954707" w:rsidRPr="00E96FF0" w:rsidRDefault="00954707">
            <w:pPr>
              <w:rPr>
                <w:rFonts w:asciiTheme="minorHAnsi" w:hAnsiTheme="minorHAnsi"/>
                <w:sz w:val="18"/>
                <w:szCs w:val="18"/>
                <w:lang w:eastAsia="ja-JP"/>
              </w:rPr>
            </w:pPr>
            <w:r w:rsidRPr="00E96FF0">
              <w:rPr>
                <w:rFonts w:asciiTheme="minorHAnsi" w:hAnsiTheme="minorHAnsi"/>
                <w:sz w:val="18"/>
                <w:szCs w:val="18"/>
                <w:lang w:eastAsia="ja-JP"/>
              </w:rPr>
              <w:t>All TRAEs</w:t>
            </w:r>
          </w:p>
        </w:tc>
        <w:tc>
          <w:tcPr>
            <w:tcW w:w="1527" w:type="dxa"/>
          </w:tcPr>
          <w:p w14:paraId="1963B0F3"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99 (93.4)</w:t>
            </w:r>
          </w:p>
        </w:tc>
        <w:tc>
          <w:tcPr>
            <w:tcW w:w="1526" w:type="dxa"/>
          </w:tcPr>
          <w:p w14:paraId="20880D4E"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25 (58.1)</w:t>
            </w:r>
          </w:p>
        </w:tc>
        <w:tc>
          <w:tcPr>
            <w:tcW w:w="1526" w:type="dxa"/>
          </w:tcPr>
          <w:p w14:paraId="1E733790"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28 (70)</w:t>
            </w:r>
          </w:p>
        </w:tc>
        <w:tc>
          <w:tcPr>
            <w:tcW w:w="1605" w:type="dxa"/>
          </w:tcPr>
          <w:p w14:paraId="45275B11"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488 (86.4)</w:t>
            </w:r>
          </w:p>
        </w:tc>
      </w:tr>
      <w:tr w:rsidR="00954707" w:rsidRPr="00E96FF0" w14:paraId="62A198CD" w14:textId="77777777" w:rsidTr="00AC2E23">
        <w:tc>
          <w:tcPr>
            <w:cnfStyle w:val="001000000000" w:firstRow="0" w:lastRow="0" w:firstColumn="1" w:lastColumn="0" w:oddVBand="0" w:evenVBand="0" w:oddHBand="0" w:evenHBand="0" w:firstRowFirstColumn="0" w:firstRowLastColumn="0" w:lastRowFirstColumn="0" w:lastRowLastColumn="0"/>
            <w:tcW w:w="2876" w:type="dxa"/>
          </w:tcPr>
          <w:p w14:paraId="75CB240C"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&gt;/=G3 TRAEs</w:t>
            </w:r>
          </w:p>
        </w:tc>
        <w:tc>
          <w:tcPr>
            <w:tcW w:w="1527" w:type="dxa"/>
          </w:tcPr>
          <w:p w14:paraId="0D32DB3F"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41 (38.7)</w:t>
            </w:r>
          </w:p>
        </w:tc>
        <w:tc>
          <w:tcPr>
            <w:tcW w:w="1526" w:type="dxa"/>
          </w:tcPr>
          <w:p w14:paraId="7311AF2A"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11 (25.6)</w:t>
            </w:r>
          </w:p>
        </w:tc>
        <w:tc>
          <w:tcPr>
            <w:tcW w:w="1526" w:type="dxa"/>
          </w:tcPr>
          <w:p w14:paraId="0879CFB4"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11 (27.5)</w:t>
            </w:r>
          </w:p>
        </w:tc>
        <w:tc>
          <w:tcPr>
            <w:tcW w:w="1605" w:type="dxa"/>
          </w:tcPr>
          <w:p w14:paraId="4421E02B"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192 (34)</w:t>
            </w:r>
          </w:p>
        </w:tc>
      </w:tr>
      <w:tr w:rsidR="00954707" w:rsidRPr="00E96FF0" w14:paraId="0E0BC063" w14:textId="77777777" w:rsidTr="00AC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6C6FDFBD"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AESIs (TRAEs)</w:t>
            </w:r>
          </w:p>
        </w:tc>
        <w:tc>
          <w:tcPr>
            <w:tcW w:w="1527" w:type="dxa"/>
          </w:tcPr>
          <w:p w14:paraId="1AE74BC0"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26 (24.5)</w:t>
            </w:r>
          </w:p>
        </w:tc>
        <w:tc>
          <w:tcPr>
            <w:tcW w:w="1526" w:type="dxa"/>
          </w:tcPr>
          <w:p w14:paraId="3651C26B"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w:t>
            </w:r>
          </w:p>
        </w:tc>
        <w:tc>
          <w:tcPr>
            <w:tcW w:w="1526" w:type="dxa"/>
          </w:tcPr>
          <w:p w14:paraId="799C4927"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6 (15)</w:t>
            </w:r>
          </w:p>
        </w:tc>
        <w:tc>
          <w:tcPr>
            <w:tcW w:w="1605" w:type="dxa"/>
          </w:tcPr>
          <w:p w14:paraId="7BAF458A"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w:t>
            </w:r>
          </w:p>
        </w:tc>
      </w:tr>
      <w:tr w:rsidR="00954707" w:rsidRPr="00E96FF0" w14:paraId="0BCD43E3" w14:textId="77777777" w:rsidTr="00AC2E23">
        <w:tc>
          <w:tcPr>
            <w:cnfStyle w:val="001000000000" w:firstRow="0" w:lastRow="0" w:firstColumn="1" w:lastColumn="0" w:oddVBand="0" w:evenVBand="0" w:oddHBand="0" w:evenHBand="0" w:firstRowFirstColumn="0" w:firstRowLastColumn="0" w:lastRowFirstColumn="0" w:lastRowLastColumn="0"/>
            <w:tcW w:w="2876" w:type="dxa"/>
          </w:tcPr>
          <w:p w14:paraId="73E0562D"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TRAEs leading to dose reduction</w:t>
            </w:r>
          </w:p>
        </w:tc>
        <w:tc>
          <w:tcPr>
            <w:tcW w:w="1527" w:type="dxa"/>
          </w:tcPr>
          <w:p w14:paraId="0056EFBE"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7 (6.6)</w:t>
            </w:r>
          </w:p>
        </w:tc>
        <w:tc>
          <w:tcPr>
            <w:tcW w:w="1526" w:type="dxa"/>
          </w:tcPr>
          <w:p w14:paraId="2237F503"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3 (7)</w:t>
            </w:r>
          </w:p>
        </w:tc>
        <w:tc>
          <w:tcPr>
            <w:tcW w:w="1526" w:type="dxa"/>
          </w:tcPr>
          <w:p w14:paraId="57BF3547"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 (2.5)</w:t>
            </w:r>
          </w:p>
        </w:tc>
        <w:tc>
          <w:tcPr>
            <w:tcW w:w="1605" w:type="dxa"/>
          </w:tcPr>
          <w:p w14:paraId="5D6BCE11"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37 (6.5)</w:t>
            </w:r>
          </w:p>
        </w:tc>
      </w:tr>
      <w:tr w:rsidR="00954707" w:rsidRPr="00E96FF0" w14:paraId="6D37F4ED" w14:textId="77777777" w:rsidTr="00AC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5CB2098B"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TRAEs leading to dose interruption</w:t>
            </w:r>
          </w:p>
        </w:tc>
        <w:tc>
          <w:tcPr>
            <w:tcW w:w="1527" w:type="dxa"/>
          </w:tcPr>
          <w:p w14:paraId="35250E89"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21 (19.8)</w:t>
            </w:r>
          </w:p>
        </w:tc>
        <w:tc>
          <w:tcPr>
            <w:tcW w:w="1526" w:type="dxa"/>
          </w:tcPr>
          <w:p w14:paraId="69AB6CF7"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6 (14)</w:t>
            </w:r>
          </w:p>
        </w:tc>
        <w:tc>
          <w:tcPr>
            <w:tcW w:w="1526" w:type="dxa"/>
          </w:tcPr>
          <w:p w14:paraId="70803FB5"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6 (15)</w:t>
            </w:r>
          </w:p>
        </w:tc>
        <w:tc>
          <w:tcPr>
            <w:tcW w:w="1605" w:type="dxa"/>
          </w:tcPr>
          <w:p w14:paraId="0318E5E3"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119 (21.1)</w:t>
            </w:r>
          </w:p>
        </w:tc>
      </w:tr>
      <w:tr w:rsidR="00954707" w:rsidRPr="00E96FF0" w14:paraId="3B3CCE25" w14:textId="77777777" w:rsidTr="00AC2E23">
        <w:tc>
          <w:tcPr>
            <w:cnfStyle w:val="001000000000" w:firstRow="0" w:lastRow="0" w:firstColumn="1" w:lastColumn="0" w:oddVBand="0" w:evenVBand="0" w:oddHBand="0" w:evenHBand="0" w:firstRowFirstColumn="0" w:firstRowLastColumn="0" w:lastRowFirstColumn="0" w:lastRowLastColumn="0"/>
            <w:tcW w:w="2876" w:type="dxa"/>
          </w:tcPr>
          <w:p w14:paraId="16BC2289"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TRAEs leading to drug withdrawn</w:t>
            </w:r>
          </w:p>
        </w:tc>
        <w:tc>
          <w:tcPr>
            <w:tcW w:w="1527" w:type="dxa"/>
          </w:tcPr>
          <w:p w14:paraId="4A85A4AE"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 (1.9)</w:t>
            </w:r>
          </w:p>
        </w:tc>
        <w:tc>
          <w:tcPr>
            <w:tcW w:w="1526" w:type="dxa"/>
          </w:tcPr>
          <w:p w14:paraId="040B88EC"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 (4.7)</w:t>
            </w:r>
          </w:p>
        </w:tc>
        <w:tc>
          <w:tcPr>
            <w:tcW w:w="1526" w:type="dxa"/>
          </w:tcPr>
          <w:p w14:paraId="499073D1"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 (5)</w:t>
            </w:r>
          </w:p>
        </w:tc>
        <w:tc>
          <w:tcPr>
            <w:tcW w:w="1605" w:type="dxa"/>
          </w:tcPr>
          <w:p w14:paraId="45B7E79A"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20 (3.5)</w:t>
            </w:r>
          </w:p>
        </w:tc>
      </w:tr>
      <w:tr w:rsidR="00954707" w:rsidRPr="00E96FF0" w14:paraId="6BD1EDF0" w14:textId="77777777" w:rsidTr="00AC2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26BD3B0F"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SAEs (TRAEs)</w:t>
            </w:r>
          </w:p>
        </w:tc>
        <w:tc>
          <w:tcPr>
            <w:tcW w:w="1527" w:type="dxa"/>
          </w:tcPr>
          <w:p w14:paraId="448F6B37"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21 (19.8)</w:t>
            </w:r>
          </w:p>
        </w:tc>
        <w:tc>
          <w:tcPr>
            <w:tcW w:w="1526" w:type="dxa"/>
          </w:tcPr>
          <w:p w14:paraId="4D1102BC"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4 (9.3)</w:t>
            </w:r>
          </w:p>
        </w:tc>
        <w:tc>
          <w:tcPr>
            <w:tcW w:w="1526" w:type="dxa"/>
          </w:tcPr>
          <w:p w14:paraId="20A2B366"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3 (7.5)</w:t>
            </w:r>
          </w:p>
        </w:tc>
        <w:tc>
          <w:tcPr>
            <w:tcW w:w="1605" w:type="dxa"/>
          </w:tcPr>
          <w:p w14:paraId="1CC92660" w14:textId="77777777" w:rsidR="00954707" w:rsidRPr="00E96FF0" w:rsidRDefault="00954707">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99 (17.5)</w:t>
            </w:r>
          </w:p>
        </w:tc>
      </w:tr>
      <w:tr w:rsidR="00954707" w:rsidRPr="00E96FF0" w14:paraId="328B9575" w14:textId="77777777" w:rsidTr="00AC2E23">
        <w:tc>
          <w:tcPr>
            <w:cnfStyle w:val="001000000000" w:firstRow="0" w:lastRow="0" w:firstColumn="1" w:lastColumn="0" w:oddVBand="0" w:evenVBand="0" w:oddHBand="0" w:evenHBand="0" w:firstRowFirstColumn="0" w:firstRowLastColumn="0" w:lastRowFirstColumn="0" w:lastRowLastColumn="0"/>
            <w:tcW w:w="2876" w:type="dxa"/>
          </w:tcPr>
          <w:p w14:paraId="6FA211D0" w14:textId="77777777" w:rsidR="00954707" w:rsidRPr="00E96FF0" w:rsidRDefault="00954707">
            <w:pPr>
              <w:rPr>
                <w:rFonts w:asciiTheme="minorHAnsi" w:hAnsiTheme="minorHAnsi"/>
                <w:b w:val="0"/>
                <w:bCs w:val="0"/>
                <w:i/>
                <w:iCs/>
                <w:sz w:val="18"/>
                <w:szCs w:val="18"/>
                <w:lang w:eastAsia="ja-JP"/>
              </w:rPr>
            </w:pPr>
            <w:r w:rsidRPr="00E96FF0">
              <w:rPr>
                <w:rFonts w:asciiTheme="minorHAnsi" w:hAnsiTheme="minorHAnsi"/>
                <w:b w:val="0"/>
                <w:bCs w:val="0"/>
                <w:i/>
                <w:iCs/>
                <w:sz w:val="18"/>
                <w:szCs w:val="18"/>
                <w:lang w:eastAsia="ja-JP"/>
              </w:rPr>
              <w:t>TRAEs leading to death</w:t>
            </w:r>
          </w:p>
        </w:tc>
        <w:tc>
          <w:tcPr>
            <w:tcW w:w="1527" w:type="dxa"/>
          </w:tcPr>
          <w:p w14:paraId="37923BB2"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0 (0)</w:t>
            </w:r>
          </w:p>
        </w:tc>
        <w:tc>
          <w:tcPr>
            <w:tcW w:w="1526" w:type="dxa"/>
          </w:tcPr>
          <w:p w14:paraId="0008DB22"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0</w:t>
            </w:r>
          </w:p>
        </w:tc>
        <w:tc>
          <w:tcPr>
            <w:tcW w:w="1526" w:type="dxa"/>
          </w:tcPr>
          <w:p w14:paraId="6ECB550E"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 (2.5)</w:t>
            </w:r>
          </w:p>
        </w:tc>
        <w:tc>
          <w:tcPr>
            <w:tcW w:w="1605" w:type="dxa"/>
          </w:tcPr>
          <w:p w14:paraId="098AF2A7" w14:textId="77777777" w:rsidR="00954707" w:rsidRPr="00E96FF0" w:rsidRDefault="00954707">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lang w:eastAsia="ja-JP"/>
              </w:rPr>
            </w:pPr>
            <w:r w:rsidRPr="00E96FF0">
              <w:rPr>
                <w:rFonts w:asciiTheme="minorHAnsi" w:hAnsiTheme="minorHAnsi"/>
                <w:sz w:val="18"/>
                <w:szCs w:val="18"/>
                <w:lang w:eastAsia="ja-JP"/>
              </w:rPr>
              <w:t>10 (1.8)</w:t>
            </w:r>
          </w:p>
        </w:tc>
      </w:tr>
    </w:tbl>
    <w:p w14:paraId="3F99DB27" w14:textId="77777777" w:rsidR="00AC2E23" w:rsidRPr="00AC2E23" w:rsidRDefault="00AC2E23" w:rsidP="00AC2E23">
      <w:pPr>
        <w:pStyle w:val="ListParagraph"/>
        <w:widowControl w:val="0"/>
        <w:tabs>
          <w:tab w:val="left" w:pos="743"/>
        </w:tabs>
        <w:autoSpaceDE w:val="0"/>
        <w:autoSpaceDN w:val="0"/>
        <w:spacing w:after="0" w:line="240" w:lineRule="auto"/>
        <w:ind w:left="743" w:right="247"/>
        <w:contextualSpacing w:val="0"/>
      </w:pPr>
    </w:p>
    <w:p w14:paraId="740FE7C6" w14:textId="670FE125" w:rsidR="00AC2E23" w:rsidRDefault="00AC2E23" w:rsidP="00AC2E23">
      <w:r>
        <w:t>In</w:t>
      </w:r>
      <w:r w:rsidR="00F27F35">
        <w:t xml:space="preserve"> Study</w:t>
      </w:r>
      <w:r>
        <w:rPr>
          <w:spacing w:val="-4"/>
        </w:rPr>
        <w:t xml:space="preserve"> </w:t>
      </w:r>
      <w:r>
        <w:t>ICP-CL-00102,</w:t>
      </w:r>
      <w:r>
        <w:rPr>
          <w:spacing w:val="-3"/>
        </w:rPr>
        <w:t xml:space="preserve"> </w:t>
      </w:r>
      <w:r>
        <w:t>AEs</w:t>
      </w:r>
      <w:r>
        <w:rPr>
          <w:spacing w:val="-2"/>
        </w:rPr>
        <w:t xml:space="preserve"> </w:t>
      </w:r>
      <w:r>
        <w:t>leading</w:t>
      </w:r>
      <w:r>
        <w:rPr>
          <w:spacing w:val="-2"/>
        </w:rPr>
        <w:t xml:space="preserve"> </w:t>
      </w:r>
      <w:r>
        <w:t>to</w:t>
      </w:r>
      <w:r>
        <w:rPr>
          <w:spacing w:val="-3"/>
        </w:rPr>
        <w:t xml:space="preserve"> </w:t>
      </w:r>
      <w:r>
        <w:t>drug</w:t>
      </w:r>
      <w:r>
        <w:rPr>
          <w:spacing w:val="-2"/>
        </w:rPr>
        <w:t xml:space="preserve"> </w:t>
      </w:r>
      <w:r>
        <w:t>withdrawal</w:t>
      </w:r>
      <w:r>
        <w:rPr>
          <w:spacing w:val="-3"/>
        </w:rPr>
        <w:t xml:space="preserve"> </w:t>
      </w:r>
      <w:r>
        <w:t>included</w:t>
      </w:r>
      <w:r>
        <w:rPr>
          <w:spacing w:val="-4"/>
        </w:rPr>
        <w:t xml:space="preserve"> </w:t>
      </w:r>
      <w:r>
        <w:t>new</w:t>
      </w:r>
      <w:r>
        <w:rPr>
          <w:spacing w:val="-4"/>
        </w:rPr>
        <w:t xml:space="preserve"> </w:t>
      </w:r>
      <w:r>
        <w:t>cancers,</w:t>
      </w:r>
      <w:r>
        <w:rPr>
          <w:spacing w:val="-3"/>
        </w:rPr>
        <w:t xml:space="preserve"> </w:t>
      </w:r>
      <w:r>
        <w:t>platelet</w:t>
      </w:r>
      <w:r>
        <w:rPr>
          <w:spacing w:val="-3"/>
        </w:rPr>
        <w:t xml:space="preserve"> </w:t>
      </w:r>
      <w:r>
        <w:t>count decreased, disease progression and COPD. AEs leading to dose reduction included platelet count decreased, neutrophil count decreased, skin infection, pneumonitis and palmar-plantar erythrodysaesthesia syndrome.</w:t>
      </w:r>
    </w:p>
    <w:p w14:paraId="04477A84" w14:textId="7D599D64" w:rsidR="00AC2E23" w:rsidRDefault="00AC2E23" w:rsidP="00AC2E23">
      <w:r>
        <w:t xml:space="preserve">In </w:t>
      </w:r>
      <w:r w:rsidR="00F27F35">
        <w:t xml:space="preserve">Study </w:t>
      </w:r>
      <w:r>
        <w:t>ICP-CL-00107, TEAEs leading to treatment withdrawal included leukocytosis, pancytopenia,</w:t>
      </w:r>
      <w:r>
        <w:rPr>
          <w:spacing w:val="-4"/>
        </w:rPr>
        <w:t xml:space="preserve"> </w:t>
      </w:r>
      <w:r>
        <w:t>cardiac</w:t>
      </w:r>
      <w:r>
        <w:rPr>
          <w:spacing w:val="-3"/>
        </w:rPr>
        <w:t xml:space="preserve"> </w:t>
      </w:r>
      <w:r>
        <w:t>arrest,</w:t>
      </w:r>
      <w:r>
        <w:rPr>
          <w:spacing w:val="-4"/>
        </w:rPr>
        <w:t xml:space="preserve"> </w:t>
      </w:r>
      <w:r>
        <w:t>diarrhoea</w:t>
      </w:r>
      <w:r>
        <w:rPr>
          <w:spacing w:val="-4"/>
        </w:rPr>
        <w:t xml:space="preserve"> </w:t>
      </w:r>
      <w:r>
        <w:t>and</w:t>
      </w:r>
      <w:r>
        <w:rPr>
          <w:spacing w:val="-7"/>
        </w:rPr>
        <w:t xml:space="preserve"> </w:t>
      </w:r>
      <w:r>
        <w:t>hepatitis</w:t>
      </w:r>
      <w:r>
        <w:rPr>
          <w:spacing w:val="-3"/>
        </w:rPr>
        <w:t xml:space="preserve"> </w:t>
      </w:r>
      <w:r>
        <w:t>C.</w:t>
      </w:r>
      <w:r>
        <w:rPr>
          <w:spacing w:val="-4"/>
        </w:rPr>
        <w:t xml:space="preserve"> </w:t>
      </w:r>
      <w:r>
        <w:t>Events</w:t>
      </w:r>
      <w:r>
        <w:rPr>
          <w:spacing w:val="-3"/>
        </w:rPr>
        <w:t xml:space="preserve"> </w:t>
      </w:r>
      <w:r>
        <w:t>leading</w:t>
      </w:r>
      <w:r>
        <w:rPr>
          <w:spacing w:val="-3"/>
        </w:rPr>
        <w:t xml:space="preserve"> </w:t>
      </w:r>
      <w:r>
        <w:t>to</w:t>
      </w:r>
      <w:r>
        <w:rPr>
          <w:spacing w:val="-4"/>
        </w:rPr>
        <w:t xml:space="preserve"> </w:t>
      </w:r>
      <w:r>
        <w:t>treatment interruption were largely related to infections. Events leading to dose reduction included muscle spasms, myalgia, haematuria and hypertension.</w:t>
      </w:r>
    </w:p>
    <w:p w14:paraId="4533D05A" w14:textId="2CB9E6EF" w:rsidR="00AC2E23" w:rsidRDefault="00AC2E23" w:rsidP="00AC2E23">
      <w:r>
        <w:t>In</w:t>
      </w:r>
      <w:r>
        <w:rPr>
          <w:spacing w:val="-4"/>
        </w:rPr>
        <w:t xml:space="preserve"> </w:t>
      </w:r>
      <w:r w:rsidR="009A361A">
        <w:rPr>
          <w:spacing w:val="-4"/>
        </w:rPr>
        <w:t xml:space="preserve">Study </w:t>
      </w:r>
      <w:r>
        <w:t>ICP-CL-00127,</w:t>
      </w:r>
      <w:r>
        <w:rPr>
          <w:spacing w:val="-6"/>
        </w:rPr>
        <w:t xml:space="preserve"> </w:t>
      </w:r>
      <w:r>
        <w:t>TRAEs</w:t>
      </w:r>
      <w:r>
        <w:rPr>
          <w:spacing w:val="-2"/>
        </w:rPr>
        <w:t xml:space="preserve"> </w:t>
      </w:r>
      <w:r>
        <w:t>leading</w:t>
      </w:r>
      <w:r>
        <w:rPr>
          <w:spacing w:val="-2"/>
        </w:rPr>
        <w:t xml:space="preserve"> </w:t>
      </w:r>
      <w:r>
        <w:t>to</w:t>
      </w:r>
      <w:r>
        <w:rPr>
          <w:spacing w:val="-3"/>
        </w:rPr>
        <w:t xml:space="preserve"> </w:t>
      </w:r>
      <w:r>
        <w:t>withdrawal</w:t>
      </w:r>
      <w:r>
        <w:rPr>
          <w:spacing w:val="-6"/>
        </w:rPr>
        <w:t xml:space="preserve"> </w:t>
      </w:r>
      <w:r>
        <w:t>included</w:t>
      </w:r>
      <w:r>
        <w:rPr>
          <w:spacing w:val="-3"/>
        </w:rPr>
        <w:t xml:space="preserve"> </w:t>
      </w:r>
      <w:r>
        <w:t>pneumonia,</w:t>
      </w:r>
      <w:r>
        <w:rPr>
          <w:spacing w:val="-3"/>
        </w:rPr>
        <w:t xml:space="preserve"> </w:t>
      </w:r>
      <w:r>
        <w:t>ALT</w:t>
      </w:r>
      <w:r>
        <w:rPr>
          <w:spacing w:val="-5"/>
        </w:rPr>
        <w:t xml:space="preserve"> </w:t>
      </w:r>
      <w:r>
        <w:t>increased,</w:t>
      </w:r>
      <w:r>
        <w:rPr>
          <w:spacing w:val="-3"/>
        </w:rPr>
        <w:t xml:space="preserve"> </w:t>
      </w:r>
      <w:r>
        <w:t>and AST increased. Events leading to interruption were generally related to infections, pyrexia, platelet count decreased, and AST and ALT increased. Events leading to dose reduction included platelet count decreased.</w:t>
      </w:r>
    </w:p>
    <w:p w14:paraId="42DC4374" w14:textId="647CAF8E" w:rsidR="00A1226F" w:rsidRPr="006D2F05" w:rsidRDefault="00C02BD8" w:rsidP="006D2F05">
      <w:pPr>
        <w:pStyle w:val="Heading5"/>
        <w:rPr>
          <w:i w:val="0"/>
          <w:iCs/>
          <w:lang w:val="en-US"/>
        </w:rPr>
      </w:pPr>
      <w:r w:rsidRPr="006D2F05">
        <w:rPr>
          <w:i w:val="0"/>
          <w:iCs/>
          <w:lang w:val="en-US"/>
        </w:rPr>
        <w:t>Adverse events of special interest</w:t>
      </w:r>
    </w:p>
    <w:p w14:paraId="5AF4E907" w14:textId="01C3AB5F" w:rsidR="006D2F05" w:rsidRDefault="000E3621" w:rsidP="006D2F05">
      <w:pPr>
        <w:pStyle w:val="BodyText"/>
        <w:spacing w:before="122"/>
        <w:ind w:left="23"/>
      </w:pPr>
      <w:r>
        <w:t>Adverse events of special interest (</w:t>
      </w:r>
      <w:r w:rsidR="006D2F05">
        <w:t>AESIs</w:t>
      </w:r>
      <w:r>
        <w:t>)</w:t>
      </w:r>
      <w:r w:rsidR="006D2F05">
        <w:rPr>
          <w:spacing w:val="-3"/>
        </w:rPr>
        <w:t xml:space="preserve"> </w:t>
      </w:r>
      <w:r w:rsidR="006D2F05">
        <w:t>for</w:t>
      </w:r>
      <w:r w:rsidR="006D2F05">
        <w:rPr>
          <w:spacing w:val="-5"/>
        </w:rPr>
        <w:t xml:space="preserve"> </w:t>
      </w:r>
      <w:r w:rsidR="006D2F05">
        <w:t>orelabrutinib</w:t>
      </w:r>
      <w:r w:rsidR="006D2F05">
        <w:rPr>
          <w:spacing w:val="-5"/>
        </w:rPr>
        <w:t xml:space="preserve"> </w:t>
      </w:r>
      <w:r w:rsidR="006D2F05">
        <w:t>included</w:t>
      </w:r>
      <w:r w:rsidR="006D2F05">
        <w:rPr>
          <w:spacing w:val="-5"/>
        </w:rPr>
        <w:t xml:space="preserve"> </w:t>
      </w:r>
      <w:r w:rsidR="006D2F05">
        <w:t>cytopenias,</w:t>
      </w:r>
      <w:r w:rsidR="006D2F05">
        <w:rPr>
          <w:spacing w:val="-4"/>
        </w:rPr>
        <w:t xml:space="preserve"> </w:t>
      </w:r>
      <w:r w:rsidR="006D2F05">
        <w:t>infection</w:t>
      </w:r>
      <w:r w:rsidR="006D2F05">
        <w:rPr>
          <w:spacing w:val="-5"/>
        </w:rPr>
        <w:t xml:space="preserve"> </w:t>
      </w:r>
      <w:r w:rsidR="006D2F05">
        <w:t>(including</w:t>
      </w:r>
      <w:r w:rsidR="006D2F05">
        <w:rPr>
          <w:spacing w:val="-3"/>
        </w:rPr>
        <w:t xml:space="preserve"> </w:t>
      </w:r>
      <w:r w:rsidR="006D2F05">
        <w:t>hepatitis</w:t>
      </w:r>
      <w:r w:rsidR="006D2F05">
        <w:rPr>
          <w:spacing w:val="-3"/>
        </w:rPr>
        <w:t xml:space="preserve"> </w:t>
      </w:r>
      <w:r w:rsidR="006D2F05">
        <w:t>B</w:t>
      </w:r>
      <w:r w:rsidR="006D2F05">
        <w:rPr>
          <w:spacing w:val="-6"/>
        </w:rPr>
        <w:t xml:space="preserve"> </w:t>
      </w:r>
      <w:r w:rsidR="006D2F05">
        <w:t>reactivation), haemorrhage, arrhythmia, second primary malignancy, and tumour lysis syndrome.</w:t>
      </w:r>
    </w:p>
    <w:p w14:paraId="574BCC4F" w14:textId="611F665B" w:rsidR="006D2F05" w:rsidRDefault="001D1988" w:rsidP="00155CED">
      <w:pPr>
        <w:pStyle w:val="TableTitle"/>
        <w:spacing w:before="240"/>
        <w:rPr>
          <w:sz w:val="10"/>
        </w:rPr>
      </w:pPr>
      <w:r>
        <w:lastRenderedPageBreak/>
        <w:t xml:space="preserve">Table </w:t>
      </w:r>
      <w:r w:rsidR="007C46E1">
        <w:t>1</w:t>
      </w:r>
      <w:r w:rsidR="00915482">
        <w:t>6</w:t>
      </w:r>
      <w:r>
        <w:t xml:space="preserve">: </w:t>
      </w:r>
      <w:r w:rsidR="004B3BD1">
        <w:t xml:space="preserve">Adverse events of special interest in </w:t>
      </w:r>
      <w:r w:rsidR="00142857" w:rsidRPr="00F77D19">
        <w:t>ICP-CL-00102, ICP-CL-00107</w:t>
      </w:r>
      <w:r w:rsidR="00142857">
        <w:t xml:space="preserve"> </w:t>
      </w:r>
      <w:r w:rsidR="00142857" w:rsidRPr="00F77D19">
        <w:t>and B-cell malignancies safety set</w:t>
      </w:r>
    </w:p>
    <w:tbl>
      <w:tblPr>
        <w:tblStyle w:val="TableTGAblue2023"/>
        <w:tblW w:w="0" w:type="auto"/>
        <w:tblLayout w:type="fixed"/>
        <w:tblLook w:val="01E0" w:firstRow="1" w:lastRow="1" w:firstColumn="1" w:lastColumn="1" w:noHBand="0" w:noVBand="0"/>
      </w:tblPr>
      <w:tblGrid>
        <w:gridCol w:w="3114"/>
        <w:gridCol w:w="2126"/>
        <w:gridCol w:w="1701"/>
        <w:gridCol w:w="2069"/>
      </w:tblGrid>
      <w:tr w:rsidR="001F68A3" w14:paraId="1A212514" w14:textId="77777777" w:rsidTr="00797DFA">
        <w:trPr>
          <w:cnfStyle w:val="100000000000" w:firstRow="1" w:lastRow="0" w:firstColumn="0" w:lastColumn="0" w:oddVBand="0" w:evenVBand="0" w:oddHBand="0" w:evenHBand="0" w:firstRowFirstColumn="0" w:firstRowLastColumn="0" w:lastRowFirstColumn="0" w:lastRowLastColumn="0"/>
          <w:trHeight w:val="921"/>
        </w:trPr>
        <w:tc>
          <w:tcPr>
            <w:cnfStyle w:val="001000000000" w:firstRow="0" w:lastRow="0" w:firstColumn="1" w:lastColumn="0" w:oddVBand="0" w:evenVBand="0" w:oddHBand="0" w:evenHBand="0" w:firstRowFirstColumn="0" w:firstRowLastColumn="0" w:lastRowFirstColumn="0" w:lastRowLastColumn="0"/>
            <w:tcW w:w="3114" w:type="dxa"/>
          </w:tcPr>
          <w:p w14:paraId="11E9DEA3" w14:textId="1F477EA9" w:rsidR="001F68A3" w:rsidRPr="00171559" w:rsidRDefault="001F68A3">
            <w:pPr>
              <w:pStyle w:val="TableParagraph"/>
              <w:spacing w:before="121"/>
              <w:rPr>
                <w:b w:val="0"/>
              </w:rPr>
            </w:pPr>
            <w:r w:rsidRPr="00171559">
              <w:rPr>
                <w:spacing w:val="-4"/>
              </w:rPr>
              <w:t>AESI</w:t>
            </w:r>
          </w:p>
        </w:tc>
        <w:tc>
          <w:tcPr>
            <w:tcW w:w="2126" w:type="dxa"/>
          </w:tcPr>
          <w:p w14:paraId="540ECC9C" w14:textId="77777777" w:rsidR="001F68A3" w:rsidRPr="00171559" w:rsidRDefault="001F68A3">
            <w:pPr>
              <w:pStyle w:val="TableParagraph"/>
              <w:spacing w:before="121" w:line="350" w:lineRule="auto"/>
              <w:cnfStyle w:val="100000000000" w:firstRow="1" w:lastRow="0" w:firstColumn="0" w:lastColumn="0" w:oddVBand="0" w:evenVBand="0" w:oddHBand="0" w:evenHBand="0" w:firstRowFirstColumn="0" w:firstRowLastColumn="0" w:lastRowFirstColumn="0" w:lastRowLastColumn="0"/>
              <w:rPr>
                <w:b w:val="0"/>
              </w:rPr>
            </w:pPr>
            <w:r w:rsidRPr="00171559">
              <w:rPr>
                <w:spacing w:val="-2"/>
              </w:rPr>
              <w:t>ICP-CL-00102 (n=86)</w:t>
            </w:r>
          </w:p>
        </w:tc>
        <w:tc>
          <w:tcPr>
            <w:tcW w:w="1701" w:type="dxa"/>
          </w:tcPr>
          <w:p w14:paraId="56CC5BC1" w14:textId="12CDB5DC" w:rsidR="001F68A3" w:rsidRPr="00171559" w:rsidRDefault="001F68A3">
            <w:pPr>
              <w:pStyle w:val="TableParagraph"/>
              <w:spacing w:before="121" w:line="350" w:lineRule="auto"/>
              <w:cnfStyle w:val="100000000000" w:firstRow="1" w:lastRow="0" w:firstColumn="0" w:lastColumn="0" w:oddVBand="0" w:evenVBand="0" w:oddHBand="0" w:evenHBand="0" w:firstRowFirstColumn="0" w:firstRowLastColumn="0" w:lastRowFirstColumn="0" w:lastRowLastColumn="0"/>
              <w:rPr>
                <w:b w:val="0"/>
              </w:rPr>
            </w:pPr>
            <w:r w:rsidRPr="00171559">
              <w:rPr>
                <w:spacing w:val="-2"/>
              </w:rPr>
              <w:t>ICP-CL-00107 (n=43)</w:t>
            </w:r>
          </w:p>
        </w:tc>
        <w:tc>
          <w:tcPr>
            <w:tcW w:w="2069" w:type="dxa"/>
          </w:tcPr>
          <w:p w14:paraId="78E8E835" w14:textId="07FF2F94" w:rsidR="001F68A3" w:rsidRPr="00171559" w:rsidRDefault="001F68A3">
            <w:pPr>
              <w:pStyle w:val="TableParagraph"/>
              <w:spacing w:before="121"/>
              <w:ind w:left="106"/>
              <w:cnfStyle w:val="100000000000" w:firstRow="1" w:lastRow="0" w:firstColumn="0" w:lastColumn="0" w:oddVBand="0" w:evenVBand="0" w:oddHBand="0" w:evenHBand="0" w:firstRowFirstColumn="0" w:firstRowLastColumn="0" w:lastRowFirstColumn="0" w:lastRowLastColumn="0"/>
              <w:rPr>
                <w:b w:val="0"/>
              </w:rPr>
            </w:pPr>
            <w:r w:rsidRPr="00171559">
              <w:t>Pooled B-cell malignancy</w:t>
            </w:r>
            <w:r w:rsidRPr="00171559">
              <w:rPr>
                <w:spacing w:val="-13"/>
              </w:rPr>
              <w:t xml:space="preserve"> </w:t>
            </w:r>
            <w:r w:rsidRPr="00171559">
              <w:t>data</w:t>
            </w:r>
            <w:r w:rsidRPr="00171559">
              <w:rPr>
                <w:spacing w:val="-12"/>
              </w:rPr>
              <w:t xml:space="preserve"> </w:t>
            </w:r>
            <w:r w:rsidRPr="00171559">
              <w:t xml:space="preserve">set </w:t>
            </w:r>
            <w:r w:rsidRPr="00171559">
              <w:rPr>
                <w:spacing w:val="-2"/>
              </w:rPr>
              <w:t>(n=565)</w:t>
            </w:r>
          </w:p>
        </w:tc>
      </w:tr>
      <w:tr w:rsidR="001F68A3" w14:paraId="50CFD323" w14:textId="77777777" w:rsidTr="00797DFA">
        <w:trPr>
          <w:trHeight w:val="400"/>
        </w:trPr>
        <w:tc>
          <w:tcPr>
            <w:cnfStyle w:val="001000000000" w:firstRow="0" w:lastRow="0" w:firstColumn="1" w:lastColumn="0" w:oddVBand="0" w:evenVBand="0" w:oddHBand="0" w:evenHBand="0" w:firstRowFirstColumn="0" w:firstRowLastColumn="0" w:lastRowFirstColumn="0" w:lastRowLastColumn="0"/>
            <w:tcW w:w="3114" w:type="dxa"/>
          </w:tcPr>
          <w:p w14:paraId="0498326E" w14:textId="77777777" w:rsidR="001F68A3" w:rsidRPr="00171559" w:rsidRDefault="001F68A3">
            <w:pPr>
              <w:pStyle w:val="TableParagraph"/>
              <w:spacing w:before="121"/>
              <w:rPr>
                <w:b/>
              </w:rPr>
            </w:pPr>
            <w:r w:rsidRPr="00171559">
              <w:rPr>
                <w:b/>
              </w:rPr>
              <w:t>Any</w:t>
            </w:r>
            <w:r w:rsidRPr="00171559">
              <w:rPr>
                <w:b/>
                <w:spacing w:val="1"/>
              </w:rPr>
              <w:t xml:space="preserve"> </w:t>
            </w:r>
            <w:r w:rsidRPr="00171559">
              <w:rPr>
                <w:b/>
                <w:spacing w:val="-4"/>
              </w:rPr>
              <w:t>AESI</w:t>
            </w:r>
          </w:p>
        </w:tc>
        <w:tc>
          <w:tcPr>
            <w:tcW w:w="2126" w:type="dxa"/>
          </w:tcPr>
          <w:p w14:paraId="5DD36859" w14:textId="77777777" w:rsidR="001F68A3" w:rsidRPr="00171559"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pPr>
            <w:r w:rsidRPr="00171559">
              <w:rPr>
                <w:spacing w:val="-2"/>
              </w:rPr>
              <w:t>88.4%</w:t>
            </w:r>
          </w:p>
        </w:tc>
        <w:tc>
          <w:tcPr>
            <w:tcW w:w="1701" w:type="dxa"/>
          </w:tcPr>
          <w:p w14:paraId="1256F5A0" w14:textId="4ECAC0C8" w:rsidR="001F68A3" w:rsidRPr="00171559"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pPr>
            <w:r w:rsidRPr="00171559">
              <w:rPr>
                <w:spacing w:val="-2"/>
              </w:rPr>
              <w:t>65.1%</w:t>
            </w:r>
          </w:p>
        </w:tc>
        <w:tc>
          <w:tcPr>
            <w:tcW w:w="2069" w:type="dxa"/>
          </w:tcPr>
          <w:p w14:paraId="2D19C60E" w14:textId="77777777" w:rsidR="001F68A3" w:rsidRPr="00171559" w:rsidRDefault="001F68A3">
            <w:pPr>
              <w:pStyle w:val="TableParagraph"/>
              <w:spacing w:before="121"/>
              <w:ind w:left="106"/>
              <w:cnfStyle w:val="000000000000" w:firstRow="0" w:lastRow="0" w:firstColumn="0" w:lastColumn="0" w:oddVBand="0" w:evenVBand="0" w:oddHBand="0" w:evenHBand="0" w:firstRowFirstColumn="0" w:firstRowLastColumn="0" w:lastRowFirstColumn="0" w:lastRowLastColumn="0"/>
            </w:pPr>
            <w:r w:rsidRPr="00171559">
              <w:rPr>
                <w:spacing w:val="-2"/>
              </w:rPr>
              <w:t>84.2%</w:t>
            </w:r>
          </w:p>
        </w:tc>
      </w:tr>
      <w:tr w:rsidR="001F68A3" w14:paraId="5B9325B4" w14:textId="77777777" w:rsidTr="00797DFA">
        <w:trPr>
          <w:trHeight w:val="416"/>
        </w:trPr>
        <w:tc>
          <w:tcPr>
            <w:cnfStyle w:val="001000000000" w:firstRow="0" w:lastRow="0" w:firstColumn="1" w:lastColumn="0" w:oddVBand="0" w:evenVBand="0" w:oddHBand="0" w:evenHBand="0" w:firstRowFirstColumn="0" w:firstRowLastColumn="0" w:lastRowFirstColumn="0" w:lastRowLastColumn="0"/>
            <w:tcW w:w="3114" w:type="dxa"/>
          </w:tcPr>
          <w:p w14:paraId="4FE3CD91" w14:textId="77777777" w:rsidR="001F68A3" w:rsidRPr="00171559" w:rsidRDefault="001F68A3">
            <w:pPr>
              <w:pStyle w:val="TableParagraph"/>
              <w:spacing w:before="119"/>
              <w:rPr>
                <w:b/>
              </w:rPr>
            </w:pPr>
            <w:r w:rsidRPr="00171559">
              <w:rPr>
                <w:b/>
              </w:rPr>
              <w:t>Grade</w:t>
            </w:r>
            <w:r w:rsidRPr="00171559">
              <w:rPr>
                <w:b/>
                <w:spacing w:val="-3"/>
              </w:rPr>
              <w:t xml:space="preserve"> </w:t>
            </w:r>
            <w:r w:rsidRPr="00171559">
              <w:rPr>
                <w:b/>
              </w:rPr>
              <w:t xml:space="preserve">≥3 </w:t>
            </w:r>
            <w:r w:rsidRPr="00171559">
              <w:rPr>
                <w:b/>
                <w:spacing w:val="-4"/>
              </w:rPr>
              <w:t>AESI</w:t>
            </w:r>
          </w:p>
        </w:tc>
        <w:tc>
          <w:tcPr>
            <w:tcW w:w="2126" w:type="dxa"/>
          </w:tcPr>
          <w:p w14:paraId="71520412" w14:textId="2642B0AD" w:rsidR="001F68A3" w:rsidRPr="00171559" w:rsidRDefault="00AA6BDB">
            <w:pPr>
              <w:pStyle w:val="TableParagraph"/>
              <w:spacing w:before="119"/>
              <w:cnfStyle w:val="000000000000" w:firstRow="0" w:lastRow="0" w:firstColumn="0" w:lastColumn="0" w:oddVBand="0" w:evenVBand="0" w:oddHBand="0" w:evenHBand="0" w:firstRowFirstColumn="0" w:firstRowLastColumn="0" w:lastRowFirstColumn="0" w:lastRowLastColumn="0"/>
            </w:pPr>
            <w:r w:rsidRPr="00AA6BDB">
              <w:rPr>
                <w:spacing w:val="-2"/>
                <w:lang w:val="en-AU"/>
              </w:rPr>
              <w:t>40.7</w:t>
            </w:r>
            <w:r w:rsidR="001F68A3" w:rsidRPr="00171559">
              <w:rPr>
                <w:spacing w:val="-2"/>
              </w:rPr>
              <w:t>%</w:t>
            </w:r>
          </w:p>
        </w:tc>
        <w:tc>
          <w:tcPr>
            <w:tcW w:w="1701" w:type="dxa"/>
          </w:tcPr>
          <w:p w14:paraId="727322EB" w14:textId="6780AD3E" w:rsidR="001F68A3" w:rsidRPr="00171559" w:rsidRDefault="00BF6790">
            <w:pPr>
              <w:pStyle w:val="TableParagraph"/>
              <w:spacing w:before="119"/>
              <w:cnfStyle w:val="000000000000" w:firstRow="0" w:lastRow="0" w:firstColumn="0" w:lastColumn="0" w:oddVBand="0" w:evenVBand="0" w:oddHBand="0" w:evenHBand="0" w:firstRowFirstColumn="0" w:firstRowLastColumn="0" w:lastRowFirstColumn="0" w:lastRowLastColumn="0"/>
            </w:pPr>
            <w:r w:rsidRPr="00BF6790">
              <w:rPr>
                <w:spacing w:val="-2"/>
                <w:lang w:val="en-AU"/>
              </w:rPr>
              <w:t>25.6</w:t>
            </w:r>
            <w:r w:rsidR="001F68A3" w:rsidRPr="00171559">
              <w:rPr>
                <w:spacing w:val="-2"/>
              </w:rPr>
              <w:t>%</w:t>
            </w:r>
          </w:p>
        </w:tc>
        <w:tc>
          <w:tcPr>
            <w:tcW w:w="2069" w:type="dxa"/>
          </w:tcPr>
          <w:p w14:paraId="460F7F4A" w14:textId="4E831FE7" w:rsidR="001F68A3" w:rsidRPr="00171559" w:rsidRDefault="00BF6790">
            <w:pPr>
              <w:pStyle w:val="TableParagraph"/>
              <w:spacing w:before="119"/>
              <w:ind w:left="106"/>
              <w:cnfStyle w:val="000000000000" w:firstRow="0" w:lastRow="0" w:firstColumn="0" w:lastColumn="0" w:oddVBand="0" w:evenVBand="0" w:oddHBand="0" w:evenHBand="0" w:firstRowFirstColumn="0" w:firstRowLastColumn="0" w:lastRowFirstColumn="0" w:lastRowLastColumn="0"/>
            </w:pPr>
            <w:r>
              <w:rPr>
                <w:rFonts w:eastAsiaTheme="minorEastAsia" w:hint="eastAsia"/>
                <w:spacing w:val="-2"/>
                <w:lang w:eastAsia="zh-CN"/>
              </w:rPr>
              <w:t>40.2</w:t>
            </w:r>
            <w:r w:rsidR="001F68A3" w:rsidRPr="00171559">
              <w:rPr>
                <w:spacing w:val="-2"/>
              </w:rPr>
              <w:t>%</w:t>
            </w:r>
          </w:p>
        </w:tc>
      </w:tr>
      <w:tr w:rsidR="001F68A3" w14:paraId="32002083" w14:textId="77777777" w:rsidTr="00797DFA">
        <w:trPr>
          <w:trHeight w:val="691"/>
        </w:trPr>
        <w:tc>
          <w:tcPr>
            <w:cnfStyle w:val="001000000000" w:firstRow="0" w:lastRow="0" w:firstColumn="1" w:lastColumn="0" w:oddVBand="0" w:evenVBand="0" w:oddHBand="0" w:evenHBand="0" w:firstRowFirstColumn="0" w:firstRowLastColumn="0" w:lastRowFirstColumn="0" w:lastRowLastColumn="0"/>
            <w:tcW w:w="3114" w:type="dxa"/>
          </w:tcPr>
          <w:p w14:paraId="371A52D7" w14:textId="77777777" w:rsidR="001F68A3" w:rsidRPr="00171559" w:rsidRDefault="001F68A3">
            <w:pPr>
              <w:pStyle w:val="TableParagraph"/>
              <w:spacing w:before="119"/>
              <w:rPr>
                <w:b/>
              </w:rPr>
            </w:pPr>
            <w:r w:rsidRPr="00171559">
              <w:rPr>
                <w:b/>
                <w:spacing w:val="-2"/>
              </w:rPr>
              <w:t>Infections/infestations</w:t>
            </w:r>
          </w:p>
          <w:p w14:paraId="07E8E3E4" w14:textId="16C1BEFB" w:rsidR="001F68A3" w:rsidRPr="00171559" w:rsidRDefault="001F68A3">
            <w:pPr>
              <w:pStyle w:val="TableParagraph"/>
              <w:spacing w:before="121"/>
              <w:rPr>
                <w:b/>
              </w:rPr>
            </w:pPr>
            <w:r w:rsidRPr="00171559">
              <w:rPr>
                <w:b/>
              </w:rPr>
              <w:t>- grade</w:t>
            </w:r>
            <w:r w:rsidRPr="00171559">
              <w:rPr>
                <w:b/>
                <w:spacing w:val="-4"/>
              </w:rPr>
              <w:t xml:space="preserve"> </w:t>
            </w:r>
            <w:r w:rsidRPr="00171559">
              <w:rPr>
                <w:b/>
                <w:spacing w:val="-5"/>
              </w:rPr>
              <w:t>≥3</w:t>
            </w:r>
          </w:p>
        </w:tc>
        <w:tc>
          <w:tcPr>
            <w:tcW w:w="2126" w:type="dxa"/>
          </w:tcPr>
          <w:p w14:paraId="0C7B56E1" w14:textId="77777777" w:rsidR="001F68A3" w:rsidRPr="00171559" w:rsidRDefault="001F68A3">
            <w:pPr>
              <w:pStyle w:val="TableParagraph"/>
              <w:spacing w:before="119"/>
              <w:cnfStyle w:val="000000000000" w:firstRow="0" w:lastRow="0" w:firstColumn="0" w:lastColumn="0" w:oddVBand="0" w:evenVBand="0" w:oddHBand="0" w:evenHBand="0" w:firstRowFirstColumn="0" w:firstRowLastColumn="0" w:lastRowFirstColumn="0" w:lastRowLastColumn="0"/>
            </w:pPr>
            <w:r w:rsidRPr="00171559">
              <w:rPr>
                <w:spacing w:val="-2"/>
              </w:rPr>
              <w:t>62.8%</w:t>
            </w:r>
          </w:p>
          <w:p w14:paraId="72C0C04A" w14:textId="77777777" w:rsidR="001F68A3" w:rsidRPr="00171559"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pPr>
            <w:r w:rsidRPr="00171559">
              <w:rPr>
                <w:spacing w:val="-2"/>
              </w:rPr>
              <w:t>18.6%</w:t>
            </w:r>
          </w:p>
        </w:tc>
        <w:tc>
          <w:tcPr>
            <w:tcW w:w="1701" w:type="dxa"/>
          </w:tcPr>
          <w:p w14:paraId="679DCCD1" w14:textId="19F0FFB7" w:rsidR="001F68A3" w:rsidRPr="00171559" w:rsidRDefault="001F68A3">
            <w:pPr>
              <w:pStyle w:val="TableParagraph"/>
              <w:spacing w:before="119"/>
              <w:cnfStyle w:val="000000000000" w:firstRow="0" w:lastRow="0" w:firstColumn="0" w:lastColumn="0" w:oddVBand="0" w:evenVBand="0" w:oddHBand="0" w:evenHBand="0" w:firstRowFirstColumn="0" w:firstRowLastColumn="0" w:lastRowFirstColumn="0" w:lastRowLastColumn="0"/>
            </w:pPr>
            <w:r w:rsidRPr="00171559">
              <w:rPr>
                <w:spacing w:val="-2"/>
              </w:rPr>
              <w:t>46.5%</w:t>
            </w:r>
          </w:p>
          <w:p w14:paraId="2BC76A88" w14:textId="77777777" w:rsidR="001F68A3" w:rsidRPr="00171559"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pPr>
            <w:r w:rsidRPr="00171559">
              <w:rPr>
                <w:spacing w:val="-2"/>
              </w:rPr>
              <w:t>14.0%</w:t>
            </w:r>
          </w:p>
        </w:tc>
        <w:tc>
          <w:tcPr>
            <w:tcW w:w="2069" w:type="dxa"/>
          </w:tcPr>
          <w:p w14:paraId="1C4EBFDF" w14:textId="77777777" w:rsidR="001F68A3" w:rsidRPr="00171559" w:rsidRDefault="001F68A3">
            <w:pPr>
              <w:pStyle w:val="TableParagraph"/>
              <w:spacing w:before="119"/>
              <w:ind w:left="106"/>
              <w:cnfStyle w:val="000000000000" w:firstRow="0" w:lastRow="0" w:firstColumn="0" w:lastColumn="0" w:oddVBand="0" w:evenVBand="0" w:oddHBand="0" w:evenHBand="0" w:firstRowFirstColumn="0" w:firstRowLastColumn="0" w:lastRowFirstColumn="0" w:lastRowLastColumn="0"/>
            </w:pPr>
            <w:r w:rsidRPr="00171559">
              <w:rPr>
                <w:spacing w:val="-2"/>
              </w:rPr>
              <w:t>64.1%</w:t>
            </w:r>
          </w:p>
          <w:p w14:paraId="14238709" w14:textId="77777777" w:rsidR="001F68A3" w:rsidRPr="00171559" w:rsidRDefault="001F68A3">
            <w:pPr>
              <w:pStyle w:val="TableParagraph"/>
              <w:spacing w:before="121"/>
              <w:ind w:left="106"/>
              <w:cnfStyle w:val="000000000000" w:firstRow="0" w:lastRow="0" w:firstColumn="0" w:lastColumn="0" w:oddVBand="0" w:evenVBand="0" w:oddHBand="0" w:evenHBand="0" w:firstRowFirstColumn="0" w:firstRowLastColumn="0" w:lastRowFirstColumn="0" w:lastRowLastColumn="0"/>
            </w:pPr>
            <w:r w:rsidRPr="00171559">
              <w:rPr>
                <w:spacing w:val="-2"/>
              </w:rPr>
              <w:t>24.6%</w:t>
            </w:r>
          </w:p>
        </w:tc>
      </w:tr>
      <w:tr w:rsidR="001F68A3" w14:paraId="6F4CB422" w14:textId="77777777" w:rsidTr="00797DFA">
        <w:trPr>
          <w:trHeight w:val="676"/>
        </w:trPr>
        <w:tc>
          <w:tcPr>
            <w:cnfStyle w:val="001000000000" w:firstRow="0" w:lastRow="0" w:firstColumn="1" w:lastColumn="0" w:oddVBand="0" w:evenVBand="0" w:oddHBand="0" w:evenHBand="0" w:firstRowFirstColumn="0" w:firstRowLastColumn="0" w:lastRowFirstColumn="0" w:lastRowLastColumn="0"/>
            <w:tcW w:w="3114" w:type="dxa"/>
          </w:tcPr>
          <w:p w14:paraId="49EC1CED" w14:textId="77777777" w:rsidR="001F68A3" w:rsidRPr="00171559" w:rsidRDefault="001F68A3">
            <w:pPr>
              <w:pStyle w:val="TableParagraph"/>
              <w:spacing w:before="121"/>
              <w:rPr>
                <w:b/>
              </w:rPr>
            </w:pPr>
            <w:r w:rsidRPr="00171559">
              <w:rPr>
                <w:b/>
                <w:spacing w:val="-2"/>
              </w:rPr>
              <w:t>Haemorrhage</w:t>
            </w:r>
          </w:p>
          <w:p w14:paraId="021E9A0D" w14:textId="21C85D1B" w:rsidR="001F68A3" w:rsidRPr="00171559" w:rsidRDefault="001F68A3">
            <w:pPr>
              <w:pStyle w:val="TableParagraph"/>
              <w:spacing w:before="120"/>
              <w:rPr>
                <w:b/>
              </w:rPr>
            </w:pPr>
            <w:r w:rsidRPr="00171559">
              <w:rPr>
                <w:b/>
              </w:rPr>
              <w:t>- grade</w:t>
            </w:r>
            <w:r w:rsidRPr="00171559">
              <w:rPr>
                <w:b/>
                <w:spacing w:val="-4"/>
              </w:rPr>
              <w:t xml:space="preserve"> </w:t>
            </w:r>
            <w:r w:rsidRPr="00171559">
              <w:rPr>
                <w:b/>
                <w:spacing w:val="-5"/>
              </w:rPr>
              <w:t>≥3</w:t>
            </w:r>
          </w:p>
        </w:tc>
        <w:tc>
          <w:tcPr>
            <w:tcW w:w="2126" w:type="dxa"/>
          </w:tcPr>
          <w:p w14:paraId="48BA9348" w14:textId="77777777" w:rsidR="001F68A3"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rPr>
                <w:rFonts w:eastAsiaTheme="minorEastAsia"/>
                <w:spacing w:val="-2"/>
                <w:lang w:eastAsia="zh-CN"/>
              </w:rPr>
            </w:pPr>
            <w:r w:rsidRPr="00171559">
              <w:rPr>
                <w:spacing w:val="-2"/>
              </w:rPr>
              <w:t>24.4%</w:t>
            </w:r>
          </w:p>
          <w:p w14:paraId="6B08920D" w14:textId="3B6BC5EC" w:rsidR="007A2822" w:rsidRPr="007A2822" w:rsidRDefault="007A2822">
            <w:pPr>
              <w:pStyle w:val="TableParagraph"/>
              <w:spacing w:before="121"/>
              <w:cnfStyle w:val="000000000000" w:firstRow="0" w:lastRow="0" w:firstColumn="0" w:lastColumn="0" w:oddVBand="0" w:evenVBand="0" w:oddHBand="0" w:evenHBand="0" w:firstRowFirstColumn="0" w:firstRowLastColumn="0" w:lastRowFirstColumn="0" w:lastRowLastColumn="0"/>
            </w:pPr>
            <w:r>
              <w:rPr>
                <w:rFonts w:eastAsiaTheme="minorEastAsia" w:hint="eastAsia"/>
                <w:lang w:eastAsia="zh-CN"/>
              </w:rPr>
              <w:t>0</w:t>
            </w:r>
          </w:p>
        </w:tc>
        <w:tc>
          <w:tcPr>
            <w:tcW w:w="1701" w:type="dxa"/>
          </w:tcPr>
          <w:p w14:paraId="03166508" w14:textId="77777777" w:rsidR="001F68A3"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rPr>
                <w:rFonts w:eastAsiaTheme="minorEastAsia"/>
                <w:spacing w:val="-2"/>
                <w:lang w:eastAsia="zh-CN"/>
              </w:rPr>
            </w:pPr>
            <w:r w:rsidRPr="00171559">
              <w:rPr>
                <w:spacing w:val="-2"/>
              </w:rPr>
              <w:t>34.9%</w:t>
            </w:r>
          </w:p>
          <w:p w14:paraId="42D7F8CE" w14:textId="60023D1E" w:rsidR="007A2822" w:rsidRPr="007A2822" w:rsidRDefault="007A2822">
            <w:pPr>
              <w:pStyle w:val="TableParagraph"/>
              <w:spacing w:before="121"/>
              <w:cnfStyle w:val="000000000000" w:firstRow="0" w:lastRow="0" w:firstColumn="0" w:lastColumn="0" w:oddVBand="0" w:evenVBand="0" w:oddHBand="0" w:evenHBand="0" w:firstRowFirstColumn="0" w:firstRowLastColumn="0" w:lastRowFirstColumn="0" w:lastRowLastColumn="0"/>
            </w:pPr>
            <w:r>
              <w:rPr>
                <w:rFonts w:eastAsiaTheme="minorEastAsia" w:hint="eastAsia"/>
                <w:spacing w:val="-2"/>
                <w:lang w:eastAsia="zh-CN"/>
              </w:rPr>
              <w:t>2.3%</w:t>
            </w:r>
          </w:p>
        </w:tc>
        <w:tc>
          <w:tcPr>
            <w:tcW w:w="2069" w:type="dxa"/>
          </w:tcPr>
          <w:p w14:paraId="6BA4B154" w14:textId="77777777" w:rsidR="001F68A3" w:rsidRDefault="001F68A3">
            <w:pPr>
              <w:pStyle w:val="TableParagraph"/>
              <w:spacing w:before="121"/>
              <w:ind w:left="106"/>
              <w:cnfStyle w:val="000000000000" w:firstRow="0" w:lastRow="0" w:firstColumn="0" w:lastColumn="0" w:oddVBand="0" w:evenVBand="0" w:oddHBand="0" w:evenHBand="0" w:firstRowFirstColumn="0" w:firstRowLastColumn="0" w:lastRowFirstColumn="0" w:lastRowLastColumn="0"/>
              <w:rPr>
                <w:rFonts w:eastAsiaTheme="minorEastAsia"/>
                <w:spacing w:val="-2"/>
                <w:lang w:eastAsia="zh-CN"/>
              </w:rPr>
            </w:pPr>
            <w:r w:rsidRPr="00171559">
              <w:rPr>
                <w:spacing w:val="-2"/>
              </w:rPr>
              <w:t>33.5%</w:t>
            </w:r>
          </w:p>
          <w:p w14:paraId="7270DFF5" w14:textId="5AA874D0" w:rsidR="007A2822" w:rsidRPr="007A2822" w:rsidRDefault="007A2822">
            <w:pPr>
              <w:pStyle w:val="TableParagraph"/>
              <w:spacing w:before="121"/>
              <w:ind w:left="106"/>
              <w:cnfStyle w:val="000000000000" w:firstRow="0" w:lastRow="0" w:firstColumn="0" w:lastColumn="0" w:oddVBand="0" w:evenVBand="0" w:oddHBand="0" w:evenHBand="0" w:firstRowFirstColumn="0" w:firstRowLastColumn="0" w:lastRowFirstColumn="0" w:lastRowLastColumn="0"/>
            </w:pPr>
            <w:r>
              <w:rPr>
                <w:rFonts w:eastAsiaTheme="minorEastAsia" w:hint="eastAsia"/>
                <w:spacing w:val="-2"/>
                <w:lang w:eastAsia="zh-CN"/>
              </w:rPr>
              <w:t>2.3%</w:t>
            </w:r>
          </w:p>
        </w:tc>
      </w:tr>
      <w:tr w:rsidR="001F68A3" w14:paraId="70E481A0" w14:textId="77777777" w:rsidTr="00797DFA">
        <w:trPr>
          <w:trHeight w:val="1112"/>
        </w:trPr>
        <w:tc>
          <w:tcPr>
            <w:cnfStyle w:val="001000000000" w:firstRow="0" w:lastRow="0" w:firstColumn="1" w:lastColumn="0" w:oddVBand="0" w:evenVBand="0" w:oddHBand="0" w:evenHBand="0" w:firstRowFirstColumn="0" w:firstRowLastColumn="0" w:lastRowFirstColumn="0" w:lastRowLastColumn="0"/>
            <w:tcW w:w="3114" w:type="dxa"/>
          </w:tcPr>
          <w:p w14:paraId="6CA77F8C" w14:textId="77046D6E" w:rsidR="001F68A3" w:rsidRPr="00171559" w:rsidRDefault="001F68A3">
            <w:pPr>
              <w:pStyle w:val="TableParagraph"/>
              <w:spacing w:before="121"/>
              <w:ind w:right="692"/>
              <w:rPr>
                <w:b/>
              </w:rPr>
            </w:pPr>
            <w:r w:rsidRPr="00171559">
              <w:rPr>
                <w:b/>
              </w:rPr>
              <w:t>Neutrophil</w:t>
            </w:r>
            <w:r w:rsidRPr="00171559">
              <w:rPr>
                <w:b/>
                <w:spacing w:val="-13"/>
              </w:rPr>
              <w:t xml:space="preserve"> </w:t>
            </w:r>
            <w:r w:rsidRPr="00171559">
              <w:rPr>
                <w:b/>
              </w:rPr>
              <w:t xml:space="preserve">count </w:t>
            </w:r>
            <w:r w:rsidRPr="00171559">
              <w:rPr>
                <w:b/>
                <w:spacing w:val="-2"/>
              </w:rPr>
              <w:t>decreased</w:t>
            </w:r>
          </w:p>
          <w:p w14:paraId="70D52028" w14:textId="1EA897F2" w:rsidR="001F68A3" w:rsidRPr="00171559" w:rsidRDefault="001F68A3">
            <w:pPr>
              <w:pStyle w:val="TableParagraph"/>
              <w:spacing w:before="121"/>
              <w:rPr>
                <w:b/>
              </w:rPr>
            </w:pPr>
            <w:r w:rsidRPr="00171559">
              <w:rPr>
                <w:b/>
              </w:rPr>
              <w:t>- grade</w:t>
            </w:r>
            <w:r w:rsidRPr="00171559">
              <w:rPr>
                <w:b/>
                <w:spacing w:val="-4"/>
              </w:rPr>
              <w:t xml:space="preserve"> </w:t>
            </w:r>
            <w:r w:rsidRPr="00171559">
              <w:rPr>
                <w:b/>
                <w:spacing w:val="-5"/>
              </w:rPr>
              <w:t>≥3</w:t>
            </w:r>
          </w:p>
        </w:tc>
        <w:tc>
          <w:tcPr>
            <w:tcW w:w="2126" w:type="dxa"/>
          </w:tcPr>
          <w:p w14:paraId="3B3F99F0" w14:textId="77777777" w:rsidR="001F68A3" w:rsidRPr="00171559"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pPr>
            <w:r w:rsidRPr="00171559">
              <w:rPr>
                <w:spacing w:val="-2"/>
              </w:rPr>
              <w:t>36.5%</w:t>
            </w:r>
          </w:p>
          <w:p w14:paraId="12016C53" w14:textId="77777777" w:rsidR="001F68A3" w:rsidRPr="00171559" w:rsidRDefault="001F68A3">
            <w:pPr>
              <w:pStyle w:val="TableParagraph"/>
              <w:spacing w:before="119"/>
              <w:cnfStyle w:val="000000000000" w:firstRow="0" w:lastRow="0" w:firstColumn="0" w:lastColumn="0" w:oddVBand="0" w:evenVBand="0" w:oddHBand="0" w:evenHBand="0" w:firstRowFirstColumn="0" w:firstRowLastColumn="0" w:lastRowFirstColumn="0" w:lastRowLastColumn="0"/>
            </w:pPr>
            <w:r w:rsidRPr="00171559">
              <w:rPr>
                <w:spacing w:val="-2"/>
              </w:rPr>
              <w:t>16.5%</w:t>
            </w:r>
          </w:p>
        </w:tc>
        <w:tc>
          <w:tcPr>
            <w:tcW w:w="1701" w:type="dxa"/>
          </w:tcPr>
          <w:p w14:paraId="5BA5615A" w14:textId="7FC1B055" w:rsidR="001F68A3" w:rsidRPr="00171559"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pPr>
            <w:r w:rsidRPr="00171559">
              <w:rPr>
                <w:spacing w:val="-2"/>
              </w:rPr>
              <w:t>25.6%</w:t>
            </w:r>
          </w:p>
          <w:p w14:paraId="7294922F" w14:textId="77777777" w:rsidR="001F68A3" w:rsidRPr="00171559" w:rsidRDefault="001F68A3">
            <w:pPr>
              <w:pStyle w:val="TableParagraph"/>
              <w:spacing w:before="119"/>
              <w:cnfStyle w:val="000000000000" w:firstRow="0" w:lastRow="0" w:firstColumn="0" w:lastColumn="0" w:oddVBand="0" w:evenVBand="0" w:oddHBand="0" w:evenHBand="0" w:firstRowFirstColumn="0" w:firstRowLastColumn="0" w:lastRowFirstColumn="0" w:lastRowLastColumn="0"/>
            </w:pPr>
            <w:r w:rsidRPr="00171559">
              <w:rPr>
                <w:spacing w:val="-2"/>
              </w:rPr>
              <w:t>16.3%</w:t>
            </w:r>
          </w:p>
        </w:tc>
        <w:tc>
          <w:tcPr>
            <w:tcW w:w="2069" w:type="dxa"/>
          </w:tcPr>
          <w:p w14:paraId="48B902C5" w14:textId="77777777" w:rsidR="001F68A3" w:rsidRPr="00171559" w:rsidRDefault="001F68A3">
            <w:pPr>
              <w:pStyle w:val="TableParagraph"/>
              <w:spacing w:before="121"/>
              <w:ind w:left="106"/>
              <w:cnfStyle w:val="000000000000" w:firstRow="0" w:lastRow="0" w:firstColumn="0" w:lastColumn="0" w:oddVBand="0" w:evenVBand="0" w:oddHBand="0" w:evenHBand="0" w:firstRowFirstColumn="0" w:firstRowLastColumn="0" w:lastRowFirstColumn="0" w:lastRowLastColumn="0"/>
            </w:pPr>
            <w:r w:rsidRPr="00171559">
              <w:rPr>
                <w:spacing w:val="-2"/>
              </w:rPr>
              <w:t>38.7%</w:t>
            </w:r>
          </w:p>
          <w:p w14:paraId="7CAC1668" w14:textId="77777777" w:rsidR="001F68A3" w:rsidRPr="00171559" w:rsidRDefault="001F68A3">
            <w:pPr>
              <w:pStyle w:val="TableParagraph"/>
              <w:spacing w:before="119"/>
              <w:ind w:left="106"/>
              <w:cnfStyle w:val="000000000000" w:firstRow="0" w:lastRow="0" w:firstColumn="0" w:lastColumn="0" w:oddVBand="0" w:evenVBand="0" w:oddHBand="0" w:evenHBand="0" w:firstRowFirstColumn="0" w:firstRowLastColumn="0" w:lastRowFirstColumn="0" w:lastRowLastColumn="0"/>
            </w:pPr>
            <w:r w:rsidRPr="00171559">
              <w:rPr>
                <w:spacing w:val="-2"/>
              </w:rPr>
              <w:t>17.0%</w:t>
            </w:r>
          </w:p>
        </w:tc>
      </w:tr>
      <w:tr w:rsidR="001F68A3" w14:paraId="24DAFEC5" w14:textId="77777777" w:rsidTr="00797DFA">
        <w:trPr>
          <w:trHeight w:val="1113"/>
        </w:trPr>
        <w:tc>
          <w:tcPr>
            <w:cnfStyle w:val="001000000000" w:firstRow="0" w:lastRow="0" w:firstColumn="1" w:lastColumn="0" w:oddVBand="0" w:evenVBand="0" w:oddHBand="0" w:evenHBand="0" w:firstRowFirstColumn="0" w:firstRowLastColumn="0" w:lastRowFirstColumn="0" w:lastRowLastColumn="0"/>
            <w:tcW w:w="3114" w:type="dxa"/>
          </w:tcPr>
          <w:p w14:paraId="094DBC0F" w14:textId="5D15B598" w:rsidR="001F68A3" w:rsidRPr="00171559" w:rsidRDefault="001F68A3">
            <w:pPr>
              <w:pStyle w:val="TableParagraph"/>
              <w:spacing w:before="121"/>
              <w:ind w:right="1014"/>
              <w:rPr>
                <w:b/>
              </w:rPr>
            </w:pPr>
            <w:r w:rsidRPr="00171559">
              <w:rPr>
                <w:b/>
              </w:rPr>
              <w:t>Platelet</w:t>
            </w:r>
            <w:r w:rsidRPr="00171559">
              <w:rPr>
                <w:b/>
                <w:spacing w:val="-13"/>
              </w:rPr>
              <w:t xml:space="preserve"> </w:t>
            </w:r>
            <w:r w:rsidRPr="00171559">
              <w:rPr>
                <w:b/>
              </w:rPr>
              <w:t xml:space="preserve">count </w:t>
            </w:r>
            <w:r w:rsidRPr="00171559">
              <w:rPr>
                <w:b/>
                <w:spacing w:val="-2"/>
              </w:rPr>
              <w:t>decreased</w:t>
            </w:r>
          </w:p>
          <w:p w14:paraId="06343257" w14:textId="44D9EF2A" w:rsidR="001F68A3" w:rsidRPr="00171559" w:rsidRDefault="001F68A3">
            <w:pPr>
              <w:pStyle w:val="TableParagraph"/>
              <w:spacing w:before="118"/>
              <w:rPr>
                <w:b/>
              </w:rPr>
            </w:pPr>
            <w:r w:rsidRPr="00171559">
              <w:rPr>
                <w:b/>
              </w:rPr>
              <w:t>- grade</w:t>
            </w:r>
            <w:r w:rsidRPr="00171559">
              <w:rPr>
                <w:b/>
                <w:spacing w:val="-4"/>
              </w:rPr>
              <w:t xml:space="preserve"> </w:t>
            </w:r>
            <w:r w:rsidRPr="00171559">
              <w:rPr>
                <w:b/>
                <w:spacing w:val="-5"/>
              </w:rPr>
              <w:t>≥3</w:t>
            </w:r>
          </w:p>
        </w:tc>
        <w:tc>
          <w:tcPr>
            <w:tcW w:w="2126" w:type="dxa"/>
          </w:tcPr>
          <w:p w14:paraId="1B7BF180" w14:textId="176BCED7" w:rsidR="001F68A3" w:rsidRPr="00171559" w:rsidRDefault="007A2822">
            <w:pPr>
              <w:pStyle w:val="TableParagraph"/>
              <w:spacing w:before="121"/>
              <w:cnfStyle w:val="000000000000" w:firstRow="0" w:lastRow="0" w:firstColumn="0" w:lastColumn="0" w:oddVBand="0" w:evenVBand="0" w:oddHBand="0" w:evenHBand="0" w:firstRowFirstColumn="0" w:firstRowLastColumn="0" w:lastRowFirstColumn="0" w:lastRowLastColumn="0"/>
            </w:pPr>
            <w:r>
              <w:rPr>
                <w:rFonts w:eastAsiaTheme="minorEastAsia" w:hint="eastAsia"/>
                <w:spacing w:val="-2"/>
                <w:lang w:eastAsia="zh-CN"/>
              </w:rPr>
              <w:t>51.8</w:t>
            </w:r>
            <w:r w:rsidR="001F68A3" w:rsidRPr="00171559">
              <w:rPr>
                <w:spacing w:val="-2"/>
              </w:rPr>
              <w:t>%</w:t>
            </w:r>
          </w:p>
          <w:p w14:paraId="7CEC7052" w14:textId="1DEAD37E" w:rsidR="001F68A3" w:rsidRPr="00171559" w:rsidRDefault="001F68A3">
            <w:pPr>
              <w:pStyle w:val="TableParagraph"/>
              <w:spacing w:before="119"/>
              <w:cnfStyle w:val="000000000000" w:firstRow="0" w:lastRow="0" w:firstColumn="0" w:lastColumn="0" w:oddVBand="0" w:evenVBand="0" w:oddHBand="0" w:evenHBand="0" w:firstRowFirstColumn="0" w:firstRowLastColumn="0" w:lastRowFirstColumn="0" w:lastRowLastColumn="0"/>
            </w:pPr>
            <w:r w:rsidRPr="00171559">
              <w:rPr>
                <w:spacing w:val="-2"/>
              </w:rPr>
              <w:t>21.</w:t>
            </w:r>
            <w:r w:rsidR="007E38DF">
              <w:rPr>
                <w:rFonts w:eastAsiaTheme="minorEastAsia" w:hint="eastAsia"/>
                <w:spacing w:val="-2"/>
                <w:lang w:eastAsia="zh-CN"/>
              </w:rPr>
              <w:t>2</w:t>
            </w:r>
            <w:r w:rsidRPr="00171559">
              <w:rPr>
                <w:spacing w:val="-2"/>
              </w:rPr>
              <w:t>%</w:t>
            </w:r>
          </w:p>
        </w:tc>
        <w:tc>
          <w:tcPr>
            <w:tcW w:w="1701" w:type="dxa"/>
          </w:tcPr>
          <w:p w14:paraId="159DFC2B" w14:textId="54C043E4" w:rsidR="001F68A3" w:rsidRPr="00171559" w:rsidRDefault="007A2822">
            <w:pPr>
              <w:pStyle w:val="TableParagraph"/>
              <w:spacing w:before="121"/>
              <w:cnfStyle w:val="000000000000" w:firstRow="0" w:lastRow="0" w:firstColumn="0" w:lastColumn="0" w:oddVBand="0" w:evenVBand="0" w:oddHBand="0" w:evenHBand="0" w:firstRowFirstColumn="0" w:firstRowLastColumn="0" w:lastRowFirstColumn="0" w:lastRowLastColumn="0"/>
            </w:pPr>
            <w:r>
              <w:rPr>
                <w:rFonts w:eastAsiaTheme="minorEastAsia" w:hint="eastAsia"/>
                <w:spacing w:val="-2"/>
                <w:lang w:eastAsia="zh-CN"/>
              </w:rPr>
              <w:t>39.5</w:t>
            </w:r>
            <w:r w:rsidR="001F68A3" w:rsidRPr="00171559">
              <w:rPr>
                <w:spacing w:val="-2"/>
              </w:rPr>
              <w:t>%</w:t>
            </w:r>
          </w:p>
          <w:p w14:paraId="68DFB331" w14:textId="77777777" w:rsidR="001F68A3" w:rsidRPr="00171559" w:rsidRDefault="001F68A3">
            <w:pPr>
              <w:pStyle w:val="TableParagraph"/>
              <w:spacing w:before="119"/>
              <w:cnfStyle w:val="000000000000" w:firstRow="0" w:lastRow="0" w:firstColumn="0" w:lastColumn="0" w:oddVBand="0" w:evenVBand="0" w:oddHBand="0" w:evenHBand="0" w:firstRowFirstColumn="0" w:firstRowLastColumn="0" w:lastRowFirstColumn="0" w:lastRowLastColumn="0"/>
            </w:pPr>
            <w:r w:rsidRPr="00171559">
              <w:rPr>
                <w:spacing w:val="-4"/>
              </w:rPr>
              <w:t>4.7%</w:t>
            </w:r>
          </w:p>
        </w:tc>
        <w:tc>
          <w:tcPr>
            <w:tcW w:w="2069" w:type="dxa"/>
          </w:tcPr>
          <w:p w14:paraId="68EA5A21" w14:textId="6EF967BA" w:rsidR="001F68A3" w:rsidRPr="00171559" w:rsidRDefault="007A2822">
            <w:pPr>
              <w:pStyle w:val="TableParagraph"/>
              <w:spacing w:before="121"/>
              <w:ind w:left="106"/>
              <w:cnfStyle w:val="000000000000" w:firstRow="0" w:lastRow="0" w:firstColumn="0" w:lastColumn="0" w:oddVBand="0" w:evenVBand="0" w:oddHBand="0" w:evenHBand="0" w:firstRowFirstColumn="0" w:firstRowLastColumn="0" w:lastRowFirstColumn="0" w:lastRowLastColumn="0"/>
            </w:pPr>
            <w:r>
              <w:rPr>
                <w:rFonts w:eastAsiaTheme="minorEastAsia" w:hint="eastAsia"/>
                <w:spacing w:val="-2"/>
                <w:lang w:eastAsia="zh-CN"/>
              </w:rPr>
              <w:t>36.1</w:t>
            </w:r>
            <w:r w:rsidR="001F68A3" w:rsidRPr="00171559">
              <w:rPr>
                <w:spacing w:val="-2"/>
              </w:rPr>
              <w:t>%</w:t>
            </w:r>
          </w:p>
          <w:p w14:paraId="0190A372" w14:textId="710D4BF8" w:rsidR="001F68A3" w:rsidRPr="00171559" w:rsidRDefault="001F68A3">
            <w:pPr>
              <w:pStyle w:val="TableParagraph"/>
              <w:spacing w:before="119"/>
              <w:ind w:left="106"/>
              <w:cnfStyle w:val="000000000000" w:firstRow="0" w:lastRow="0" w:firstColumn="0" w:lastColumn="0" w:oddVBand="0" w:evenVBand="0" w:oddHBand="0" w:evenHBand="0" w:firstRowFirstColumn="0" w:firstRowLastColumn="0" w:lastRowFirstColumn="0" w:lastRowLastColumn="0"/>
            </w:pPr>
            <w:r w:rsidRPr="00171559">
              <w:rPr>
                <w:spacing w:val="-4"/>
              </w:rPr>
              <w:t>9.</w:t>
            </w:r>
            <w:r w:rsidR="007A2822">
              <w:rPr>
                <w:rFonts w:eastAsiaTheme="minorEastAsia" w:hint="eastAsia"/>
                <w:spacing w:val="-4"/>
                <w:lang w:eastAsia="zh-CN"/>
              </w:rPr>
              <w:t>4</w:t>
            </w:r>
            <w:r w:rsidRPr="00171559">
              <w:rPr>
                <w:spacing w:val="-4"/>
              </w:rPr>
              <w:t>%</w:t>
            </w:r>
          </w:p>
        </w:tc>
      </w:tr>
      <w:tr w:rsidR="001F68A3" w14:paraId="741EF9B4" w14:textId="77777777" w:rsidTr="00797DFA">
        <w:trPr>
          <w:trHeight w:val="677"/>
        </w:trPr>
        <w:tc>
          <w:tcPr>
            <w:cnfStyle w:val="001000000000" w:firstRow="0" w:lastRow="0" w:firstColumn="1" w:lastColumn="0" w:oddVBand="0" w:evenVBand="0" w:oddHBand="0" w:evenHBand="0" w:firstRowFirstColumn="0" w:firstRowLastColumn="0" w:lastRowFirstColumn="0" w:lastRowLastColumn="0"/>
            <w:tcW w:w="3114" w:type="dxa"/>
          </w:tcPr>
          <w:p w14:paraId="006C8172" w14:textId="6C4D002F" w:rsidR="001F68A3" w:rsidRPr="00171559" w:rsidRDefault="001F68A3">
            <w:pPr>
              <w:pStyle w:val="TableParagraph"/>
              <w:spacing w:before="119"/>
              <w:rPr>
                <w:b/>
              </w:rPr>
            </w:pPr>
            <w:r w:rsidRPr="00171559">
              <w:rPr>
                <w:b/>
                <w:spacing w:val="-2"/>
              </w:rPr>
              <w:t>Anaemia</w:t>
            </w:r>
          </w:p>
          <w:p w14:paraId="5DAEA208" w14:textId="77B8E656" w:rsidR="001F68A3" w:rsidRPr="00171559" w:rsidRDefault="001F68A3">
            <w:pPr>
              <w:pStyle w:val="TableParagraph"/>
              <w:spacing w:before="121"/>
              <w:rPr>
                <w:b/>
              </w:rPr>
            </w:pPr>
            <w:r w:rsidRPr="00171559">
              <w:rPr>
                <w:b/>
              </w:rPr>
              <w:t>- grade</w:t>
            </w:r>
            <w:r w:rsidRPr="00171559">
              <w:rPr>
                <w:b/>
                <w:spacing w:val="-4"/>
              </w:rPr>
              <w:t xml:space="preserve"> </w:t>
            </w:r>
            <w:r w:rsidRPr="00171559">
              <w:rPr>
                <w:b/>
                <w:spacing w:val="-5"/>
              </w:rPr>
              <w:t>≥3</w:t>
            </w:r>
          </w:p>
        </w:tc>
        <w:tc>
          <w:tcPr>
            <w:tcW w:w="2126" w:type="dxa"/>
          </w:tcPr>
          <w:p w14:paraId="0F8AE42A" w14:textId="77777777" w:rsidR="001F68A3" w:rsidRPr="00171559" w:rsidRDefault="001F68A3">
            <w:pPr>
              <w:pStyle w:val="TableParagraph"/>
              <w:spacing w:before="119"/>
              <w:cnfStyle w:val="000000000000" w:firstRow="0" w:lastRow="0" w:firstColumn="0" w:lastColumn="0" w:oddVBand="0" w:evenVBand="0" w:oddHBand="0" w:evenHBand="0" w:firstRowFirstColumn="0" w:firstRowLastColumn="0" w:lastRowFirstColumn="0" w:lastRowLastColumn="0"/>
            </w:pPr>
            <w:r w:rsidRPr="00171559">
              <w:rPr>
                <w:spacing w:val="-2"/>
              </w:rPr>
              <w:t>35.3%</w:t>
            </w:r>
          </w:p>
          <w:p w14:paraId="5E5FDF05" w14:textId="77777777" w:rsidR="001F68A3" w:rsidRPr="00171559"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pPr>
            <w:r w:rsidRPr="00171559">
              <w:rPr>
                <w:spacing w:val="-2"/>
              </w:rPr>
              <w:t>16.5%</w:t>
            </w:r>
          </w:p>
        </w:tc>
        <w:tc>
          <w:tcPr>
            <w:tcW w:w="1701" w:type="dxa"/>
          </w:tcPr>
          <w:p w14:paraId="1EFBB2C3" w14:textId="12ADA098" w:rsidR="001F68A3" w:rsidRPr="00171559" w:rsidRDefault="001F68A3">
            <w:pPr>
              <w:pStyle w:val="TableParagraph"/>
              <w:spacing w:before="119"/>
              <w:cnfStyle w:val="000000000000" w:firstRow="0" w:lastRow="0" w:firstColumn="0" w:lastColumn="0" w:oddVBand="0" w:evenVBand="0" w:oddHBand="0" w:evenHBand="0" w:firstRowFirstColumn="0" w:firstRowLastColumn="0" w:lastRowFirstColumn="0" w:lastRowLastColumn="0"/>
            </w:pPr>
            <w:r w:rsidRPr="00171559">
              <w:rPr>
                <w:spacing w:val="-2"/>
              </w:rPr>
              <w:t>30.2%</w:t>
            </w:r>
          </w:p>
          <w:p w14:paraId="3905A48D" w14:textId="77777777" w:rsidR="001F68A3" w:rsidRPr="00171559"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pPr>
            <w:r w:rsidRPr="00171559">
              <w:rPr>
                <w:spacing w:val="-4"/>
              </w:rPr>
              <w:t>7.0%</w:t>
            </w:r>
          </w:p>
        </w:tc>
        <w:tc>
          <w:tcPr>
            <w:tcW w:w="2069" w:type="dxa"/>
          </w:tcPr>
          <w:p w14:paraId="28869A87" w14:textId="77777777" w:rsidR="001F68A3" w:rsidRPr="00171559" w:rsidRDefault="001F68A3">
            <w:pPr>
              <w:pStyle w:val="TableParagraph"/>
              <w:spacing w:before="119"/>
              <w:ind w:left="106"/>
              <w:cnfStyle w:val="000000000000" w:firstRow="0" w:lastRow="0" w:firstColumn="0" w:lastColumn="0" w:oddVBand="0" w:evenVBand="0" w:oddHBand="0" w:evenHBand="0" w:firstRowFirstColumn="0" w:firstRowLastColumn="0" w:lastRowFirstColumn="0" w:lastRowLastColumn="0"/>
            </w:pPr>
            <w:r w:rsidRPr="00171559">
              <w:rPr>
                <w:spacing w:val="-2"/>
              </w:rPr>
              <w:t>35.3%</w:t>
            </w:r>
          </w:p>
          <w:p w14:paraId="4EE2F6B2" w14:textId="77777777" w:rsidR="001F68A3" w:rsidRPr="00171559" w:rsidRDefault="001F68A3">
            <w:pPr>
              <w:pStyle w:val="TableParagraph"/>
              <w:spacing w:before="121"/>
              <w:ind w:left="106"/>
              <w:cnfStyle w:val="000000000000" w:firstRow="0" w:lastRow="0" w:firstColumn="0" w:lastColumn="0" w:oddVBand="0" w:evenVBand="0" w:oddHBand="0" w:evenHBand="0" w:firstRowFirstColumn="0" w:firstRowLastColumn="0" w:lastRowFirstColumn="0" w:lastRowLastColumn="0"/>
            </w:pPr>
            <w:r w:rsidRPr="00171559">
              <w:rPr>
                <w:spacing w:val="-4"/>
              </w:rPr>
              <w:t>9.8%</w:t>
            </w:r>
          </w:p>
        </w:tc>
      </w:tr>
      <w:tr w:rsidR="001F68A3" w14:paraId="13363722" w14:textId="77777777" w:rsidTr="00797DFA">
        <w:trPr>
          <w:trHeight w:val="757"/>
        </w:trPr>
        <w:tc>
          <w:tcPr>
            <w:cnfStyle w:val="001000000000" w:firstRow="0" w:lastRow="0" w:firstColumn="1" w:lastColumn="0" w:oddVBand="0" w:evenVBand="0" w:oddHBand="0" w:evenHBand="0" w:firstRowFirstColumn="0" w:firstRowLastColumn="0" w:lastRowFirstColumn="0" w:lastRowLastColumn="0"/>
            <w:tcW w:w="3114" w:type="dxa"/>
          </w:tcPr>
          <w:p w14:paraId="635E75EF" w14:textId="77777777" w:rsidR="001F68A3" w:rsidRPr="00171559" w:rsidRDefault="001F68A3">
            <w:pPr>
              <w:pStyle w:val="TableParagraph"/>
              <w:spacing w:before="122"/>
              <w:rPr>
                <w:b/>
              </w:rPr>
            </w:pPr>
            <w:r w:rsidRPr="00171559">
              <w:rPr>
                <w:b/>
                <w:spacing w:val="-2"/>
              </w:rPr>
              <w:t>Hypertension</w:t>
            </w:r>
          </w:p>
          <w:p w14:paraId="39DF424B" w14:textId="6C369452" w:rsidR="001F68A3" w:rsidRPr="00171559" w:rsidRDefault="001F68A3">
            <w:pPr>
              <w:pStyle w:val="TableParagraph"/>
              <w:spacing w:before="119"/>
              <w:rPr>
                <w:b/>
              </w:rPr>
            </w:pPr>
            <w:r w:rsidRPr="00171559">
              <w:rPr>
                <w:b/>
              </w:rPr>
              <w:t>- grade</w:t>
            </w:r>
            <w:r w:rsidRPr="00171559">
              <w:rPr>
                <w:b/>
                <w:spacing w:val="-4"/>
              </w:rPr>
              <w:t xml:space="preserve"> </w:t>
            </w:r>
            <w:r w:rsidRPr="00171559">
              <w:rPr>
                <w:b/>
                <w:spacing w:val="-2"/>
              </w:rPr>
              <w:t>≥3</w:t>
            </w:r>
          </w:p>
        </w:tc>
        <w:tc>
          <w:tcPr>
            <w:tcW w:w="2126" w:type="dxa"/>
          </w:tcPr>
          <w:p w14:paraId="44FF0360" w14:textId="77777777" w:rsidR="001F68A3" w:rsidRPr="00171559" w:rsidRDefault="001F68A3">
            <w:pPr>
              <w:pStyle w:val="TableParagraph"/>
              <w:spacing w:before="122"/>
              <w:cnfStyle w:val="000000000000" w:firstRow="0" w:lastRow="0" w:firstColumn="0" w:lastColumn="0" w:oddVBand="0" w:evenVBand="0" w:oddHBand="0" w:evenHBand="0" w:firstRowFirstColumn="0" w:firstRowLastColumn="0" w:lastRowFirstColumn="0" w:lastRowLastColumn="0"/>
            </w:pPr>
            <w:r w:rsidRPr="00171559">
              <w:rPr>
                <w:spacing w:val="-2"/>
              </w:rPr>
              <w:t>19.8%</w:t>
            </w:r>
          </w:p>
          <w:p w14:paraId="06314256" w14:textId="77777777" w:rsidR="001F68A3" w:rsidRPr="00171559" w:rsidRDefault="001F68A3">
            <w:pPr>
              <w:pStyle w:val="TableParagraph"/>
              <w:spacing w:before="119"/>
              <w:cnfStyle w:val="000000000000" w:firstRow="0" w:lastRow="0" w:firstColumn="0" w:lastColumn="0" w:oddVBand="0" w:evenVBand="0" w:oddHBand="0" w:evenHBand="0" w:firstRowFirstColumn="0" w:firstRowLastColumn="0" w:lastRowFirstColumn="0" w:lastRowLastColumn="0"/>
            </w:pPr>
            <w:r w:rsidRPr="00171559">
              <w:rPr>
                <w:spacing w:val="-4"/>
              </w:rPr>
              <w:t>5.8%</w:t>
            </w:r>
          </w:p>
        </w:tc>
        <w:tc>
          <w:tcPr>
            <w:tcW w:w="1701" w:type="dxa"/>
          </w:tcPr>
          <w:p w14:paraId="2ACA8328" w14:textId="68AE443F" w:rsidR="001F68A3" w:rsidRPr="00171559" w:rsidRDefault="001F68A3">
            <w:pPr>
              <w:pStyle w:val="TableParagraph"/>
              <w:spacing w:before="122"/>
              <w:cnfStyle w:val="000000000000" w:firstRow="0" w:lastRow="0" w:firstColumn="0" w:lastColumn="0" w:oddVBand="0" w:evenVBand="0" w:oddHBand="0" w:evenHBand="0" w:firstRowFirstColumn="0" w:firstRowLastColumn="0" w:lastRowFirstColumn="0" w:lastRowLastColumn="0"/>
            </w:pPr>
            <w:r w:rsidRPr="00171559">
              <w:rPr>
                <w:spacing w:val="-2"/>
              </w:rPr>
              <w:t>14.0%</w:t>
            </w:r>
          </w:p>
          <w:p w14:paraId="36166BED" w14:textId="77777777" w:rsidR="001F68A3" w:rsidRPr="00171559" w:rsidRDefault="001F68A3">
            <w:pPr>
              <w:pStyle w:val="TableParagraph"/>
              <w:spacing w:before="119"/>
              <w:cnfStyle w:val="000000000000" w:firstRow="0" w:lastRow="0" w:firstColumn="0" w:lastColumn="0" w:oddVBand="0" w:evenVBand="0" w:oddHBand="0" w:evenHBand="0" w:firstRowFirstColumn="0" w:firstRowLastColumn="0" w:lastRowFirstColumn="0" w:lastRowLastColumn="0"/>
            </w:pPr>
            <w:r w:rsidRPr="00171559">
              <w:rPr>
                <w:spacing w:val="-4"/>
              </w:rPr>
              <w:t>9.3%</w:t>
            </w:r>
          </w:p>
        </w:tc>
        <w:tc>
          <w:tcPr>
            <w:tcW w:w="2069" w:type="dxa"/>
          </w:tcPr>
          <w:p w14:paraId="15372723" w14:textId="77777777" w:rsidR="001F68A3" w:rsidRPr="00171559" w:rsidRDefault="001F68A3">
            <w:pPr>
              <w:pStyle w:val="TableParagraph"/>
              <w:spacing w:before="122"/>
              <w:ind w:left="106"/>
              <w:cnfStyle w:val="000000000000" w:firstRow="0" w:lastRow="0" w:firstColumn="0" w:lastColumn="0" w:oddVBand="0" w:evenVBand="0" w:oddHBand="0" w:evenHBand="0" w:firstRowFirstColumn="0" w:firstRowLastColumn="0" w:lastRowFirstColumn="0" w:lastRowLastColumn="0"/>
            </w:pPr>
            <w:r w:rsidRPr="00171559">
              <w:rPr>
                <w:spacing w:val="-2"/>
              </w:rPr>
              <w:t>10.8%</w:t>
            </w:r>
          </w:p>
          <w:p w14:paraId="7FE51A7D" w14:textId="77777777" w:rsidR="001F68A3" w:rsidRPr="00171559" w:rsidRDefault="001F68A3">
            <w:pPr>
              <w:pStyle w:val="TableParagraph"/>
              <w:spacing w:before="119"/>
              <w:ind w:left="106"/>
              <w:cnfStyle w:val="000000000000" w:firstRow="0" w:lastRow="0" w:firstColumn="0" w:lastColumn="0" w:oddVBand="0" w:evenVBand="0" w:oddHBand="0" w:evenHBand="0" w:firstRowFirstColumn="0" w:firstRowLastColumn="0" w:lastRowFirstColumn="0" w:lastRowLastColumn="0"/>
            </w:pPr>
            <w:r w:rsidRPr="00171559">
              <w:rPr>
                <w:spacing w:val="-4"/>
              </w:rPr>
              <w:t>4.1%</w:t>
            </w:r>
          </w:p>
        </w:tc>
      </w:tr>
      <w:tr w:rsidR="001F68A3" w14:paraId="45B65B35" w14:textId="77777777" w:rsidTr="00797DFA">
        <w:trPr>
          <w:trHeight w:val="400"/>
        </w:trPr>
        <w:tc>
          <w:tcPr>
            <w:cnfStyle w:val="001000000000" w:firstRow="0" w:lastRow="0" w:firstColumn="1" w:lastColumn="0" w:oddVBand="0" w:evenVBand="0" w:oddHBand="0" w:evenHBand="0" w:firstRowFirstColumn="0" w:firstRowLastColumn="0" w:lastRowFirstColumn="0" w:lastRowLastColumn="0"/>
            <w:tcW w:w="3114" w:type="dxa"/>
          </w:tcPr>
          <w:p w14:paraId="21EDC16F" w14:textId="77777777" w:rsidR="001F68A3" w:rsidRPr="00171559" w:rsidRDefault="001F68A3">
            <w:pPr>
              <w:pStyle w:val="TableParagraph"/>
              <w:spacing w:before="121"/>
              <w:rPr>
                <w:b/>
              </w:rPr>
            </w:pPr>
            <w:r w:rsidRPr="00171559">
              <w:rPr>
                <w:b/>
                <w:spacing w:val="-2"/>
              </w:rPr>
              <w:t>Diarrhoea</w:t>
            </w:r>
          </w:p>
        </w:tc>
        <w:tc>
          <w:tcPr>
            <w:tcW w:w="2126" w:type="dxa"/>
          </w:tcPr>
          <w:p w14:paraId="39228E00" w14:textId="77777777" w:rsidR="001F68A3" w:rsidRPr="00171559"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pPr>
            <w:r w:rsidRPr="00171559">
              <w:rPr>
                <w:spacing w:val="-2"/>
              </w:rPr>
              <w:t>14.0%</w:t>
            </w:r>
          </w:p>
        </w:tc>
        <w:tc>
          <w:tcPr>
            <w:tcW w:w="1701" w:type="dxa"/>
          </w:tcPr>
          <w:p w14:paraId="7DAE6532" w14:textId="29F6E777" w:rsidR="001F68A3" w:rsidRPr="00171559"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pPr>
            <w:r w:rsidRPr="00171559">
              <w:rPr>
                <w:spacing w:val="-2"/>
              </w:rPr>
              <w:t>32.6%</w:t>
            </w:r>
          </w:p>
        </w:tc>
        <w:tc>
          <w:tcPr>
            <w:tcW w:w="2069" w:type="dxa"/>
          </w:tcPr>
          <w:p w14:paraId="266D2F25" w14:textId="77777777" w:rsidR="001F68A3" w:rsidRPr="00171559" w:rsidRDefault="001F68A3">
            <w:pPr>
              <w:pStyle w:val="TableParagraph"/>
              <w:spacing w:before="121"/>
              <w:ind w:left="106"/>
              <w:cnfStyle w:val="000000000000" w:firstRow="0" w:lastRow="0" w:firstColumn="0" w:lastColumn="0" w:oddVBand="0" w:evenVBand="0" w:oddHBand="0" w:evenHBand="0" w:firstRowFirstColumn="0" w:firstRowLastColumn="0" w:lastRowFirstColumn="0" w:lastRowLastColumn="0"/>
            </w:pPr>
            <w:r w:rsidRPr="00171559">
              <w:rPr>
                <w:spacing w:val="-2"/>
              </w:rPr>
              <w:t>13.3%</w:t>
            </w:r>
          </w:p>
        </w:tc>
      </w:tr>
      <w:tr w:rsidR="001F68A3" w14:paraId="23D731DB" w14:textId="77777777" w:rsidTr="00797DFA">
        <w:trPr>
          <w:trHeight w:val="406"/>
        </w:trPr>
        <w:tc>
          <w:tcPr>
            <w:cnfStyle w:val="001000000000" w:firstRow="0" w:lastRow="0" w:firstColumn="1" w:lastColumn="0" w:oddVBand="0" w:evenVBand="0" w:oddHBand="0" w:evenHBand="0" w:firstRowFirstColumn="0" w:firstRowLastColumn="0" w:lastRowFirstColumn="0" w:lastRowLastColumn="0"/>
            <w:tcW w:w="3114" w:type="dxa"/>
          </w:tcPr>
          <w:p w14:paraId="7FD5E601" w14:textId="77777777" w:rsidR="001F68A3" w:rsidRPr="00171559" w:rsidRDefault="001F68A3">
            <w:pPr>
              <w:pStyle w:val="TableParagraph"/>
              <w:spacing w:before="121"/>
              <w:rPr>
                <w:b/>
              </w:rPr>
            </w:pPr>
            <w:r w:rsidRPr="00171559">
              <w:rPr>
                <w:b/>
              </w:rPr>
              <w:t>Malignant</w:t>
            </w:r>
            <w:r w:rsidRPr="00171559">
              <w:rPr>
                <w:b/>
                <w:spacing w:val="-6"/>
              </w:rPr>
              <w:t xml:space="preserve"> </w:t>
            </w:r>
            <w:r w:rsidRPr="00171559">
              <w:rPr>
                <w:b/>
                <w:spacing w:val="-2"/>
              </w:rPr>
              <w:t>neoplasms</w:t>
            </w:r>
          </w:p>
        </w:tc>
        <w:tc>
          <w:tcPr>
            <w:tcW w:w="2126" w:type="dxa"/>
          </w:tcPr>
          <w:p w14:paraId="4BE5A7D4" w14:textId="77777777" w:rsidR="001F68A3" w:rsidRPr="00171559"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pPr>
            <w:r w:rsidRPr="00171559">
              <w:rPr>
                <w:spacing w:val="-4"/>
              </w:rPr>
              <w:t>5.8%</w:t>
            </w:r>
          </w:p>
        </w:tc>
        <w:tc>
          <w:tcPr>
            <w:tcW w:w="1701" w:type="dxa"/>
          </w:tcPr>
          <w:p w14:paraId="44644668" w14:textId="684BFCA6" w:rsidR="001F68A3" w:rsidRPr="00171559" w:rsidRDefault="001F68A3">
            <w:pPr>
              <w:pStyle w:val="TableParagraph"/>
              <w:spacing w:before="121"/>
              <w:cnfStyle w:val="000000000000" w:firstRow="0" w:lastRow="0" w:firstColumn="0" w:lastColumn="0" w:oddVBand="0" w:evenVBand="0" w:oddHBand="0" w:evenHBand="0" w:firstRowFirstColumn="0" w:firstRowLastColumn="0" w:lastRowFirstColumn="0" w:lastRowLastColumn="0"/>
            </w:pPr>
            <w:r w:rsidRPr="00171559">
              <w:rPr>
                <w:spacing w:val="-4"/>
              </w:rPr>
              <w:t>7.0%</w:t>
            </w:r>
          </w:p>
        </w:tc>
        <w:tc>
          <w:tcPr>
            <w:tcW w:w="2069" w:type="dxa"/>
          </w:tcPr>
          <w:p w14:paraId="55EDEE2E" w14:textId="77777777" w:rsidR="001F68A3" w:rsidRPr="00171559" w:rsidRDefault="001F68A3">
            <w:pPr>
              <w:pStyle w:val="TableParagraph"/>
              <w:spacing w:before="121"/>
              <w:ind w:left="106"/>
              <w:cnfStyle w:val="000000000000" w:firstRow="0" w:lastRow="0" w:firstColumn="0" w:lastColumn="0" w:oddVBand="0" w:evenVBand="0" w:oddHBand="0" w:evenHBand="0" w:firstRowFirstColumn="0" w:firstRowLastColumn="0" w:lastRowFirstColumn="0" w:lastRowLastColumn="0"/>
            </w:pPr>
            <w:r w:rsidRPr="00171559">
              <w:rPr>
                <w:spacing w:val="-4"/>
              </w:rPr>
              <w:t>4.8%</w:t>
            </w:r>
          </w:p>
        </w:tc>
      </w:tr>
      <w:tr w:rsidR="001F68A3" w14:paraId="6CA3BEE8" w14:textId="77777777" w:rsidTr="00797DFA">
        <w:trPr>
          <w:trHeight w:val="412"/>
        </w:trPr>
        <w:tc>
          <w:tcPr>
            <w:cnfStyle w:val="001000000000" w:firstRow="0" w:lastRow="0" w:firstColumn="1" w:lastColumn="0" w:oddVBand="0" w:evenVBand="0" w:oddHBand="0" w:evenHBand="0" w:firstRowFirstColumn="0" w:firstRowLastColumn="0" w:lastRowFirstColumn="0" w:lastRowLastColumn="0"/>
            <w:tcW w:w="3114" w:type="dxa"/>
          </w:tcPr>
          <w:p w14:paraId="11A05B8E" w14:textId="77777777" w:rsidR="001F68A3" w:rsidRPr="00171559" w:rsidRDefault="001F68A3">
            <w:pPr>
              <w:pStyle w:val="TableParagraph"/>
              <w:spacing w:before="119"/>
              <w:rPr>
                <w:b/>
              </w:rPr>
            </w:pPr>
            <w:r w:rsidRPr="00171559">
              <w:rPr>
                <w:b/>
              </w:rPr>
              <w:t>AF</w:t>
            </w:r>
            <w:r w:rsidRPr="00171559">
              <w:rPr>
                <w:b/>
                <w:spacing w:val="-3"/>
              </w:rPr>
              <w:t xml:space="preserve"> </w:t>
            </w:r>
            <w:r w:rsidRPr="00171559">
              <w:rPr>
                <w:b/>
              </w:rPr>
              <w:t>or</w:t>
            </w:r>
            <w:r w:rsidRPr="00171559">
              <w:rPr>
                <w:b/>
                <w:spacing w:val="-4"/>
              </w:rPr>
              <w:t xml:space="preserve"> </w:t>
            </w:r>
            <w:r w:rsidRPr="00171559">
              <w:rPr>
                <w:b/>
              </w:rPr>
              <w:t>atrial</w:t>
            </w:r>
            <w:r w:rsidRPr="00171559">
              <w:rPr>
                <w:b/>
                <w:spacing w:val="-3"/>
              </w:rPr>
              <w:t xml:space="preserve"> </w:t>
            </w:r>
            <w:r w:rsidRPr="00171559">
              <w:rPr>
                <w:b/>
                <w:spacing w:val="-2"/>
              </w:rPr>
              <w:t>flutter</w:t>
            </w:r>
          </w:p>
        </w:tc>
        <w:tc>
          <w:tcPr>
            <w:tcW w:w="2126" w:type="dxa"/>
          </w:tcPr>
          <w:p w14:paraId="4FE50484" w14:textId="77777777" w:rsidR="001F68A3" w:rsidRPr="00171559" w:rsidRDefault="001F68A3">
            <w:pPr>
              <w:pStyle w:val="TableParagraph"/>
              <w:spacing w:before="119"/>
              <w:cnfStyle w:val="000000000000" w:firstRow="0" w:lastRow="0" w:firstColumn="0" w:lastColumn="0" w:oddVBand="0" w:evenVBand="0" w:oddHBand="0" w:evenHBand="0" w:firstRowFirstColumn="0" w:firstRowLastColumn="0" w:lastRowFirstColumn="0" w:lastRowLastColumn="0"/>
            </w:pPr>
            <w:r w:rsidRPr="00171559">
              <w:rPr>
                <w:spacing w:val="-4"/>
              </w:rPr>
              <w:t>2.3%</w:t>
            </w:r>
          </w:p>
        </w:tc>
        <w:tc>
          <w:tcPr>
            <w:tcW w:w="1701" w:type="dxa"/>
          </w:tcPr>
          <w:p w14:paraId="1FEB230F" w14:textId="3DFB3082" w:rsidR="001F68A3" w:rsidRPr="00171559" w:rsidRDefault="001F68A3">
            <w:pPr>
              <w:pStyle w:val="TableParagraph"/>
              <w:spacing w:before="119"/>
              <w:cnfStyle w:val="000000000000" w:firstRow="0" w:lastRow="0" w:firstColumn="0" w:lastColumn="0" w:oddVBand="0" w:evenVBand="0" w:oddHBand="0" w:evenHBand="0" w:firstRowFirstColumn="0" w:firstRowLastColumn="0" w:lastRowFirstColumn="0" w:lastRowLastColumn="0"/>
            </w:pPr>
            <w:r w:rsidRPr="00171559">
              <w:rPr>
                <w:spacing w:val="-10"/>
              </w:rPr>
              <w:t>0</w:t>
            </w:r>
          </w:p>
        </w:tc>
        <w:tc>
          <w:tcPr>
            <w:tcW w:w="2069" w:type="dxa"/>
          </w:tcPr>
          <w:p w14:paraId="1AACA788" w14:textId="77777777" w:rsidR="001F68A3" w:rsidRPr="00171559" w:rsidRDefault="001F68A3">
            <w:pPr>
              <w:pStyle w:val="TableParagraph"/>
              <w:spacing w:before="119"/>
              <w:ind w:left="106"/>
              <w:cnfStyle w:val="000000000000" w:firstRow="0" w:lastRow="0" w:firstColumn="0" w:lastColumn="0" w:oddVBand="0" w:evenVBand="0" w:oddHBand="0" w:evenHBand="0" w:firstRowFirstColumn="0" w:firstRowLastColumn="0" w:lastRowFirstColumn="0" w:lastRowLastColumn="0"/>
            </w:pPr>
            <w:r w:rsidRPr="00171559">
              <w:rPr>
                <w:spacing w:val="-4"/>
              </w:rPr>
              <w:t>1.2%</w:t>
            </w:r>
          </w:p>
        </w:tc>
      </w:tr>
    </w:tbl>
    <w:p w14:paraId="0E8108BE" w14:textId="77777777" w:rsidR="00C02BD8" w:rsidRDefault="00C02BD8" w:rsidP="00A1226F">
      <w:pPr>
        <w:rPr>
          <w:lang w:val="en-US"/>
        </w:rPr>
      </w:pPr>
    </w:p>
    <w:p w14:paraId="7F4526F4" w14:textId="77777777" w:rsidR="003D7B22" w:rsidRDefault="003D7B22" w:rsidP="00C54946">
      <w:r>
        <w:t>Rates</w:t>
      </w:r>
      <w:r>
        <w:rPr>
          <w:spacing w:val="-5"/>
        </w:rPr>
        <w:t xml:space="preserve"> </w:t>
      </w:r>
      <w:r>
        <w:t>of</w:t>
      </w:r>
      <w:r>
        <w:rPr>
          <w:spacing w:val="-3"/>
        </w:rPr>
        <w:t xml:space="preserve"> </w:t>
      </w:r>
      <w:r>
        <w:t>AESIs</w:t>
      </w:r>
      <w:r>
        <w:rPr>
          <w:spacing w:val="-2"/>
        </w:rPr>
        <w:t xml:space="preserve"> </w:t>
      </w:r>
      <w:r>
        <w:t>(TRAEs)</w:t>
      </w:r>
      <w:r>
        <w:rPr>
          <w:spacing w:val="-4"/>
        </w:rPr>
        <w:t xml:space="preserve"> </w:t>
      </w:r>
      <w:r>
        <w:t>were</w:t>
      </w:r>
      <w:r>
        <w:rPr>
          <w:spacing w:val="-3"/>
        </w:rPr>
        <w:t xml:space="preserve"> </w:t>
      </w:r>
      <w:r>
        <w:t>higher</w:t>
      </w:r>
      <w:r>
        <w:rPr>
          <w:spacing w:val="-4"/>
        </w:rPr>
        <w:t xml:space="preserve"> </w:t>
      </w:r>
      <w:r>
        <w:t>in</w:t>
      </w:r>
      <w:r>
        <w:rPr>
          <w:spacing w:val="-4"/>
        </w:rPr>
        <w:t xml:space="preserve"> </w:t>
      </w:r>
      <w:r>
        <w:t>ICP-CL-00102</w:t>
      </w:r>
      <w:r>
        <w:rPr>
          <w:spacing w:val="-3"/>
        </w:rPr>
        <w:t xml:space="preserve"> </w:t>
      </w:r>
      <w:r>
        <w:t>compared</w:t>
      </w:r>
      <w:r>
        <w:rPr>
          <w:spacing w:val="-4"/>
        </w:rPr>
        <w:t xml:space="preserve"> </w:t>
      </w:r>
      <w:r>
        <w:t>to</w:t>
      </w:r>
      <w:r>
        <w:rPr>
          <w:spacing w:val="-3"/>
        </w:rPr>
        <w:t xml:space="preserve"> </w:t>
      </w:r>
      <w:r>
        <w:t>the</w:t>
      </w:r>
      <w:r>
        <w:rPr>
          <w:spacing w:val="-4"/>
        </w:rPr>
        <w:t xml:space="preserve"> </w:t>
      </w:r>
      <w:r>
        <w:t>other</w:t>
      </w:r>
      <w:r>
        <w:rPr>
          <w:spacing w:val="-4"/>
        </w:rPr>
        <w:t xml:space="preserve"> </w:t>
      </w:r>
      <w:r>
        <w:t>2</w:t>
      </w:r>
      <w:r>
        <w:rPr>
          <w:spacing w:val="-5"/>
        </w:rPr>
        <w:t xml:space="preserve"> </w:t>
      </w:r>
      <w:r>
        <w:rPr>
          <w:spacing w:val="-2"/>
        </w:rPr>
        <w:t>studies.</w:t>
      </w:r>
    </w:p>
    <w:p w14:paraId="1AF4648A" w14:textId="77777777" w:rsidR="003D7B22" w:rsidRDefault="003D7B22" w:rsidP="00C54946">
      <w:r>
        <w:t>Most AESIs were related to infection (particularly pneumonia) and investigation abnormalities (platelet</w:t>
      </w:r>
      <w:r>
        <w:rPr>
          <w:spacing w:val="-4"/>
        </w:rPr>
        <w:t xml:space="preserve"> </w:t>
      </w:r>
      <w:r>
        <w:t>count</w:t>
      </w:r>
      <w:r>
        <w:rPr>
          <w:spacing w:val="-4"/>
        </w:rPr>
        <w:t xml:space="preserve"> </w:t>
      </w:r>
      <w:r>
        <w:t>decreased).</w:t>
      </w:r>
      <w:r>
        <w:rPr>
          <w:spacing w:val="-3"/>
        </w:rPr>
        <w:t xml:space="preserve"> </w:t>
      </w:r>
      <w:r>
        <w:t>Neoplasms</w:t>
      </w:r>
      <w:r>
        <w:rPr>
          <w:spacing w:val="-2"/>
        </w:rPr>
        <w:t xml:space="preserve"> </w:t>
      </w:r>
      <w:r>
        <w:t>(benign,</w:t>
      </w:r>
      <w:r>
        <w:rPr>
          <w:spacing w:val="-3"/>
        </w:rPr>
        <w:t xml:space="preserve"> </w:t>
      </w:r>
      <w:r>
        <w:t>malignant</w:t>
      </w:r>
      <w:r>
        <w:rPr>
          <w:spacing w:val="-4"/>
        </w:rPr>
        <w:t xml:space="preserve"> </w:t>
      </w:r>
      <w:r>
        <w:t>and</w:t>
      </w:r>
      <w:r>
        <w:rPr>
          <w:spacing w:val="-4"/>
        </w:rPr>
        <w:t xml:space="preserve"> </w:t>
      </w:r>
      <w:r>
        <w:t>unspecified)</w:t>
      </w:r>
      <w:r>
        <w:rPr>
          <w:spacing w:val="-4"/>
        </w:rPr>
        <w:t xml:space="preserve"> </w:t>
      </w:r>
      <w:r>
        <w:t>were</w:t>
      </w:r>
      <w:r>
        <w:rPr>
          <w:spacing w:val="-3"/>
        </w:rPr>
        <w:t xml:space="preserve"> </w:t>
      </w:r>
      <w:r>
        <w:t>varied</w:t>
      </w:r>
      <w:r>
        <w:rPr>
          <w:spacing w:val="-4"/>
        </w:rPr>
        <w:t xml:space="preserve"> </w:t>
      </w:r>
      <w:r>
        <w:t>and</w:t>
      </w:r>
      <w:r>
        <w:rPr>
          <w:spacing w:val="-4"/>
        </w:rPr>
        <w:t xml:space="preserve"> </w:t>
      </w:r>
      <w:r>
        <w:t xml:space="preserve">not </w:t>
      </w:r>
      <w:r>
        <w:rPr>
          <w:spacing w:val="-2"/>
        </w:rPr>
        <w:t>uncommon.</w:t>
      </w:r>
    </w:p>
    <w:p w14:paraId="2CC1CC63" w14:textId="77777777" w:rsidR="003D7B22" w:rsidRDefault="003D7B22" w:rsidP="00C54946">
      <w:r>
        <w:t>Rates</w:t>
      </w:r>
      <w:r>
        <w:rPr>
          <w:spacing w:val="-4"/>
        </w:rPr>
        <w:t xml:space="preserve"> </w:t>
      </w:r>
      <w:r>
        <w:t>in</w:t>
      </w:r>
      <w:r>
        <w:rPr>
          <w:spacing w:val="-3"/>
        </w:rPr>
        <w:t xml:space="preserve"> </w:t>
      </w:r>
      <w:r>
        <w:t>ICP-CL-00107</w:t>
      </w:r>
      <w:r>
        <w:rPr>
          <w:spacing w:val="-2"/>
        </w:rPr>
        <w:t xml:space="preserve"> </w:t>
      </w:r>
      <w:r>
        <w:t>are</w:t>
      </w:r>
      <w:r>
        <w:rPr>
          <w:spacing w:val="-2"/>
        </w:rPr>
        <w:t xml:space="preserve"> </w:t>
      </w:r>
      <w:r>
        <w:t>generally</w:t>
      </w:r>
      <w:r>
        <w:rPr>
          <w:spacing w:val="-3"/>
        </w:rPr>
        <w:t xml:space="preserve"> </w:t>
      </w:r>
      <w:r>
        <w:t>lower</w:t>
      </w:r>
      <w:r>
        <w:rPr>
          <w:spacing w:val="-2"/>
        </w:rPr>
        <w:t xml:space="preserve"> </w:t>
      </w:r>
      <w:r>
        <w:t>than</w:t>
      </w:r>
      <w:r>
        <w:rPr>
          <w:spacing w:val="-3"/>
        </w:rPr>
        <w:t xml:space="preserve"> </w:t>
      </w:r>
      <w:r>
        <w:t>that</w:t>
      </w:r>
      <w:r>
        <w:rPr>
          <w:spacing w:val="-3"/>
        </w:rPr>
        <w:t xml:space="preserve"> </w:t>
      </w:r>
      <w:r>
        <w:t>in</w:t>
      </w:r>
      <w:r>
        <w:rPr>
          <w:spacing w:val="-3"/>
        </w:rPr>
        <w:t xml:space="preserve"> </w:t>
      </w:r>
      <w:r>
        <w:t>ICP-CL-00102</w:t>
      </w:r>
      <w:r>
        <w:rPr>
          <w:spacing w:val="-2"/>
        </w:rPr>
        <w:t xml:space="preserve"> </w:t>
      </w:r>
      <w:r>
        <w:t>and</w:t>
      </w:r>
      <w:r>
        <w:rPr>
          <w:spacing w:val="-3"/>
        </w:rPr>
        <w:t xml:space="preserve"> </w:t>
      </w:r>
      <w:r>
        <w:t>the</w:t>
      </w:r>
      <w:r>
        <w:rPr>
          <w:spacing w:val="-5"/>
        </w:rPr>
        <w:t xml:space="preserve"> </w:t>
      </w:r>
      <w:r>
        <w:t>B-cell</w:t>
      </w:r>
      <w:r>
        <w:rPr>
          <w:spacing w:val="-5"/>
        </w:rPr>
        <w:t xml:space="preserve"> </w:t>
      </w:r>
      <w:r>
        <w:t xml:space="preserve">malignancy </w:t>
      </w:r>
      <w:r>
        <w:rPr>
          <w:spacing w:val="-2"/>
        </w:rPr>
        <w:t>pool.</w:t>
      </w:r>
    </w:p>
    <w:p w14:paraId="21CACC08" w14:textId="08515D4D" w:rsidR="003D7B22" w:rsidRDefault="003D7B22" w:rsidP="00C54946">
      <w:r>
        <w:t>There were overall high rates of infection,</w:t>
      </w:r>
      <w:r>
        <w:rPr>
          <w:spacing w:val="-1"/>
        </w:rPr>
        <w:t xml:space="preserve"> </w:t>
      </w:r>
      <w:r>
        <w:t>particularly</w:t>
      </w:r>
      <w:r>
        <w:rPr>
          <w:spacing w:val="-1"/>
        </w:rPr>
        <w:t xml:space="preserve"> </w:t>
      </w:r>
      <w:r>
        <w:t>upper respiratory</w:t>
      </w:r>
      <w:r>
        <w:rPr>
          <w:spacing w:val="-1"/>
        </w:rPr>
        <w:t xml:space="preserve"> </w:t>
      </w:r>
      <w:r>
        <w:t>tract</w:t>
      </w:r>
      <w:r>
        <w:rPr>
          <w:spacing w:val="-1"/>
        </w:rPr>
        <w:t xml:space="preserve"> </w:t>
      </w:r>
      <w:r>
        <w:t>infection,</w:t>
      </w:r>
      <w:r>
        <w:rPr>
          <w:spacing w:val="-1"/>
        </w:rPr>
        <w:t xml:space="preserve"> </w:t>
      </w:r>
      <w:r w:rsidR="00277E2B">
        <w:rPr>
          <w:spacing w:val="-1"/>
        </w:rPr>
        <w:br/>
      </w:r>
      <w:r>
        <w:t>COVID-19, pneumonia and UTI.</w:t>
      </w:r>
      <w:r>
        <w:rPr>
          <w:spacing w:val="40"/>
        </w:rPr>
        <w:t xml:space="preserve"> </w:t>
      </w:r>
      <w:r>
        <w:t>Cytopenia were common, showing a similar pattern between studies. Haemorrhage</w:t>
      </w:r>
      <w:r>
        <w:rPr>
          <w:spacing w:val="-2"/>
        </w:rPr>
        <w:t xml:space="preserve"> </w:t>
      </w:r>
      <w:r>
        <w:t>was</w:t>
      </w:r>
      <w:r>
        <w:rPr>
          <w:spacing w:val="-1"/>
        </w:rPr>
        <w:t xml:space="preserve"> </w:t>
      </w:r>
      <w:r>
        <w:t>identified</w:t>
      </w:r>
      <w:r>
        <w:rPr>
          <w:spacing w:val="-2"/>
        </w:rPr>
        <w:t xml:space="preserve"> </w:t>
      </w:r>
      <w:r>
        <w:t>as</w:t>
      </w:r>
      <w:r>
        <w:rPr>
          <w:spacing w:val="-2"/>
        </w:rPr>
        <w:t xml:space="preserve"> </w:t>
      </w:r>
      <w:r>
        <w:t>a</w:t>
      </w:r>
      <w:r>
        <w:rPr>
          <w:spacing w:val="-6"/>
        </w:rPr>
        <w:t xml:space="preserve"> </w:t>
      </w:r>
      <w:r>
        <w:t>common</w:t>
      </w:r>
      <w:r>
        <w:rPr>
          <w:spacing w:val="-3"/>
        </w:rPr>
        <w:t xml:space="preserve"> </w:t>
      </w:r>
      <w:r>
        <w:t>grouped</w:t>
      </w:r>
      <w:r>
        <w:rPr>
          <w:spacing w:val="-5"/>
        </w:rPr>
        <w:t xml:space="preserve"> </w:t>
      </w:r>
      <w:r>
        <w:t>term</w:t>
      </w:r>
      <w:r>
        <w:rPr>
          <w:spacing w:val="-5"/>
        </w:rPr>
        <w:t xml:space="preserve"> </w:t>
      </w:r>
      <w:r>
        <w:t>TEAE.</w:t>
      </w:r>
      <w:r>
        <w:rPr>
          <w:spacing w:val="-5"/>
        </w:rPr>
        <w:t xml:space="preserve"> </w:t>
      </w:r>
      <w:r>
        <w:t>The</w:t>
      </w:r>
      <w:r>
        <w:rPr>
          <w:spacing w:val="-2"/>
        </w:rPr>
        <w:t xml:space="preserve"> </w:t>
      </w:r>
      <w:r>
        <w:t>rates were</w:t>
      </w:r>
      <w:r>
        <w:rPr>
          <w:spacing w:val="-2"/>
        </w:rPr>
        <w:t xml:space="preserve"> </w:t>
      </w:r>
      <w:r>
        <w:t>similar</w:t>
      </w:r>
      <w:r>
        <w:rPr>
          <w:spacing w:val="-2"/>
        </w:rPr>
        <w:t xml:space="preserve"> </w:t>
      </w:r>
      <w:r>
        <w:t>across</w:t>
      </w:r>
      <w:r>
        <w:rPr>
          <w:spacing w:val="-1"/>
        </w:rPr>
        <w:t xml:space="preserve"> </w:t>
      </w:r>
      <w:r>
        <w:t>all studies (24.4-34.9%) with purpura/petechiae and bruising not the only contributors to the pooled haemorrhage term. Second primary malignancies were not uncommon (5.8% ICP-CL-00102, vs 7% ICP-CL-00107 vs 4.8% B cell malignancy pool) and were not predominantly accounted for by non-melanomatous skin cancer. This is unusual but may reflect orelabrutinib effect or the effect of previous treatment with rituximab or the disease itself. Rates of arrhythmias were &lt;5% but it is unclear what contributed to the pooled term.</w:t>
      </w:r>
    </w:p>
    <w:p w14:paraId="7C020F1E" w14:textId="66D5D034" w:rsidR="003D7B22" w:rsidRDefault="003D7B22" w:rsidP="007C46E1">
      <w:r>
        <w:lastRenderedPageBreak/>
        <w:t>Incidence</w:t>
      </w:r>
      <w:r>
        <w:rPr>
          <w:spacing w:val="-6"/>
        </w:rPr>
        <w:t xml:space="preserve"> </w:t>
      </w:r>
      <w:r>
        <w:t>of</w:t>
      </w:r>
      <w:r>
        <w:rPr>
          <w:spacing w:val="-3"/>
        </w:rPr>
        <w:t xml:space="preserve"> </w:t>
      </w:r>
      <w:r>
        <w:t>class</w:t>
      </w:r>
      <w:r>
        <w:rPr>
          <w:spacing w:val="-2"/>
        </w:rPr>
        <w:t xml:space="preserve"> </w:t>
      </w:r>
      <w:r>
        <w:t>related</w:t>
      </w:r>
      <w:r>
        <w:rPr>
          <w:spacing w:val="-3"/>
        </w:rPr>
        <w:t xml:space="preserve"> </w:t>
      </w:r>
      <w:r>
        <w:t>AESIs</w:t>
      </w:r>
      <w:r>
        <w:rPr>
          <w:spacing w:val="-2"/>
        </w:rPr>
        <w:t xml:space="preserve"> </w:t>
      </w:r>
      <w:r>
        <w:t>including</w:t>
      </w:r>
      <w:r>
        <w:rPr>
          <w:spacing w:val="-2"/>
        </w:rPr>
        <w:t xml:space="preserve"> </w:t>
      </w:r>
      <w:r>
        <w:t>hypertension,</w:t>
      </w:r>
      <w:r>
        <w:rPr>
          <w:spacing w:val="-3"/>
        </w:rPr>
        <w:t xml:space="preserve"> </w:t>
      </w:r>
      <w:r>
        <w:t>diarrhoea</w:t>
      </w:r>
      <w:r>
        <w:rPr>
          <w:spacing w:val="-3"/>
        </w:rPr>
        <w:t xml:space="preserve"> </w:t>
      </w:r>
      <w:r>
        <w:t>and</w:t>
      </w:r>
      <w:r>
        <w:rPr>
          <w:spacing w:val="-4"/>
        </w:rPr>
        <w:t xml:space="preserve"> </w:t>
      </w:r>
      <w:r w:rsidR="009028FD">
        <w:rPr>
          <w:spacing w:val="-4"/>
        </w:rPr>
        <w:t>tumour lysis syndrome (</w:t>
      </w:r>
      <w:r>
        <w:t>TLS</w:t>
      </w:r>
      <w:r w:rsidR="009028FD">
        <w:t>)</w:t>
      </w:r>
      <w:r>
        <w:rPr>
          <w:spacing w:val="-3"/>
        </w:rPr>
        <w:t xml:space="preserve"> </w:t>
      </w:r>
      <w:r w:rsidR="00C54946">
        <w:t>were</w:t>
      </w:r>
      <w:r>
        <w:rPr>
          <w:spacing w:val="-2"/>
        </w:rPr>
        <w:t xml:space="preserve"> </w:t>
      </w:r>
      <w:r>
        <w:t>low,</w:t>
      </w:r>
      <w:r>
        <w:rPr>
          <w:spacing w:val="-4"/>
        </w:rPr>
        <w:t xml:space="preserve"> </w:t>
      </w:r>
      <w:r>
        <w:t>which could be attributed to the limited exposure in the studies.</w:t>
      </w:r>
    </w:p>
    <w:p w14:paraId="1B0B173C" w14:textId="26B0EB14" w:rsidR="003D7B22" w:rsidRDefault="003D7B22" w:rsidP="007C46E1">
      <w:r>
        <w:t>The</w:t>
      </w:r>
      <w:r>
        <w:rPr>
          <w:spacing w:val="-6"/>
        </w:rPr>
        <w:t xml:space="preserve"> </w:t>
      </w:r>
      <w:r>
        <w:t>following</w:t>
      </w:r>
      <w:r>
        <w:rPr>
          <w:spacing w:val="-5"/>
        </w:rPr>
        <w:t xml:space="preserve"> </w:t>
      </w:r>
      <w:r>
        <w:t>concerns</w:t>
      </w:r>
      <w:r w:rsidR="008F27F9">
        <w:t xml:space="preserve"> were highlighted </w:t>
      </w:r>
      <w:r w:rsidR="001226B6">
        <w:t>(</w:t>
      </w:r>
      <w:r>
        <w:t>from</w:t>
      </w:r>
      <w:r>
        <w:rPr>
          <w:spacing w:val="-2"/>
        </w:rPr>
        <w:t xml:space="preserve"> </w:t>
      </w:r>
      <w:r>
        <w:t>ICP-CL-00102</w:t>
      </w:r>
      <w:r>
        <w:rPr>
          <w:spacing w:val="-3"/>
        </w:rPr>
        <w:t xml:space="preserve"> </w:t>
      </w:r>
      <w:r>
        <w:t>v</w:t>
      </w:r>
      <w:r w:rsidR="001226B6">
        <w:t>ersus</w:t>
      </w:r>
      <w:r>
        <w:rPr>
          <w:spacing w:val="-2"/>
        </w:rPr>
        <w:t xml:space="preserve"> </w:t>
      </w:r>
      <w:r>
        <w:t>ICP-CL-00107 v</w:t>
      </w:r>
      <w:r w:rsidR="001226B6">
        <w:t>ersus</w:t>
      </w:r>
      <w:r>
        <w:t xml:space="preserve"> ICP-CL-00127 v</w:t>
      </w:r>
      <w:r w:rsidR="001226B6">
        <w:t>ersu</w:t>
      </w:r>
      <w:r>
        <w:t>s B-cell malignancy pool</w:t>
      </w:r>
      <w:r w:rsidR="004C1679">
        <w:t>ed data</w:t>
      </w:r>
      <w:r>
        <w:t>)</w:t>
      </w:r>
      <w:r w:rsidR="00E47072">
        <w:t>:</w:t>
      </w:r>
    </w:p>
    <w:p w14:paraId="13871A10" w14:textId="77777777" w:rsidR="003D7B22" w:rsidRDefault="003D7B22" w:rsidP="00992C39">
      <w:pPr>
        <w:pStyle w:val="ListBullet"/>
        <w:rPr>
          <w:spacing w:val="-2"/>
        </w:rPr>
      </w:pPr>
      <w:r>
        <w:t>Electrocardiograph</w:t>
      </w:r>
      <w:r>
        <w:rPr>
          <w:spacing w:val="-10"/>
        </w:rPr>
        <w:t xml:space="preserve"> </w:t>
      </w:r>
      <w:r>
        <w:t>findings</w:t>
      </w:r>
      <w:r>
        <w:rPr>
          <w:spacing w:val="-7"/>
        </w:rPr>
        <w:t xml:space="preserve"> </w:t>
      </w:r>
      <w:r>
        <w:t>and</w:t>
      </w:r>
      <w:r>
        <w:rPr>
          <w:spacing w:val="-10"/>
        </w:rPr>
        <w:t xml:space="preserve"> </w:t>
      </w:r>
      <w:r>
        <w:t>cardiovascular</w:t>
      </w:r>
      <w:r>
        <w:rPr>
          <w:spacing w:val="-10"/>
        </w:rPr>
        <w:t xml:space="preserve"> </w:t>
      </w:r>
      <w:r>
        <w:rPr>
          <w:spacing w:val="-2"/>
        </w:rPr>
        <w:t>safety</w:t>
      </w:r>
    </w:p>
    <w:p w14:paraId="40FF934E" w14:textId="2C142872" w:rsidR="003D7B22" w:rsidRDefault="003D7B22" w:rsidP="00992C39">
      <w:pPr>
        <w:pStyle w:val="ListBullet2"/>
        <w:rPr>
          <w:rFonts w:ascii="Arial" w:hAnsi="Arial"/>
        </w:rPr>
      </w:pPr>
      <w:r>
        <w:t>High</w:t>
      </w:r>
      <w:r>
        <w:rPr>
          <w:spacing w:val="-2"/>
        </w:rPr>
        <w:t xml:space="preserve"> </w:t>
      </w:r>
      <w:r>
        <w:t>rates</w:t>
      </w:r>
      <w:r>
        <w:rPr>
          <w:spacing w:val="-1"/>
        </w:rPr>
        <w:t xml:space="preserve"> </w:t>
      </w:r>
      <w:r>
        <w:t>of</w:t>
      </w:r>
      <w:r>
        <w:rPr>
          <w:spacing w:val="-2"/>
        </w:rPr>
        <w:t xml:space="preserve"> </w:t>
      </w:r>
      <w:r>
        <w:t>QT</w:t>
      </w:r>
      <w:r>
        <w:rPr>
          <w:spacing w:val="-1"/>
        </w:rPr>
        <w:t xml:space="preserve"> </w:t>
      </w:r>
      <w:r>
        <w:t>prolongation</w:t>
      </w:r>
      <w:r w:rsidR="004935F8">
        <w:t xml:space="preserve"> were observed</w:t>
      </w:r>
      <w:r>
        <w:rPr>
          <w:spacing w:val="-3"/>
        </w:rPr>
        <w:t xml:space="preserve"> </w:t>
      </w:r>
      <w:r>
        <w:t>(TEAE:</w:t>
      </w:r>
      <w:r>
        <w:rPr>
          <w:spacing w:val="-3"/>
        </w:rPr>
        <w:t xml:space="preserve"> </w:t>
      </w:r>
      <w:r>
        <w:t>12.3%</w:t>
      </w:r>
      <w:r>
        <w:rPr>
          <w:spacing w:val="-2"/>
        </w:rPr>
        <w:t xml:space="preserve"> </w:t>
      </w:r>
      <w:r>
        <w:t>vs</w:t>
      </w:r>
      <w:r>
        <w:rPr>
          <w:spacing w:val="-1"/>
        </w:rPr>
        <w:t xml:space="preserve"> </w:t>
      </w:r>
      <w:r>
        <w:t>0%</w:t>
      </w:r>
      <w:r>
        <w:rPr>
          <w:spacing w:val="-5"/>
        </w:rPr>
        <w:t xml:space="preserve"> </w:t>
      </w:r>
      <w:r>
        <w:t>vs</w:t>
      </w:r>
      <w:r>
        <w:rPr>
          <w:spacing w:val="-1"/>
        </w:rPr>
        <w:t xml:space="preserve"> </w:t>
      </w:r>
      <w:r>
        <w:t>NR</w:t>
      </w:r>
      <w:r>
        <w:rPr>
          <w:spacing w:val="-2"/>
        </w:rPr>
        <w:t xml:space="preserve"> </w:t>
      </w:r>
      <w:r>
        <w:t>vs</w:t>
      </w:r>
      <w:r>
        <w:rPr>
          <w:spacing w:val="-1"/>
        </w:rPr>
        <w:t xml:space="preserve"> </w:t>
      </w:r>
      <w:r>
        <w:t>3.5%</w:t>
      </w:r>
      <w:r w:rsidR="0087766B">
        <w:t>,</w:t>
      </w:r>
      <w:r>
        <w:rPr>
          <w:spacing w:val="-5"/>
        </w:rPr>
        <w:t xml:space="preserve"> </w:t>
      </w:r>
      <w:r>
        <w:t>TRAE:</w:t>
      </w:r>
      <w:r>
        <w:rPr>
          <w:spacing w:val="-3"/>
        </w:rPr>
        <w:t xml:space="preserve"> </w:t>
      </w:r>
      <w:r>
        <w:t>10.4%</w:t>
      </w:r>
      <w:r>
        <w:rPr>
          <w:spacing w:val="-2"/>
        </w:rPr>
        <w:t xml:space="preserve"> </w:t>
      </w:r>
      <w:r>
        <w:t>vs</w:t>
      </w:r>
      <w:r>
        <w:rPr>
          <w:spacing w:val="-1"/>
        </w:rPr>
        <w:t xml:space="preserve"> </w:t>
      </w:r>
      <w:r>
        <w:t>0% vs NR vs 3%). There is high discrepancy between Chinese and Caucasian studies.</w:t>
      </w:r>
    </w:p>
    <w:p w14:paraId="27C2F9B8" w14:textId="77777777" w:rsidR="003D7B22" w:rsidRDefault="003D7B22" w:rsidP="00992C39">
      <w:pPr>
        <w:pStyle w:val="ListBullet2"/>
        <w:rPr>
          <w:rFonts w:ascii="Arial" w:hAnsi="Arial"/>
        </w:rPr>
      </w:pPr>
      <w:r>
        <w:t>Hypertension</w:t>
      </w:r>
      <w:r>
        <w:rPr>
          <w:spacing w:val="-3"/>
        </w:rPr>
        <w:t xml:space="preserve"> </w:t>
      </w:r>
      <w:r>
        <w:t>was</w:t>
      </w:r>
      <w:r>
        <w:rPr>
          <w:spacing w:val="-5"/>
        </w:rPr>
        <w:t xml:space="preserve"> </w:t>
      </w:r>
      <w:r>
        <w:t>common</w:t>
      </w:r>
      <w:r>
        <w:rPr>
          <w:spacing w:val="-3"/>
        </w:rPr>
        <w:t xml:space="preserve"> </w:t>
      </w:r>
      <w:r>
        <w:t>(TEAE:</w:t>
      </w:r>
      <w:r>
        <w:rPr>
          <w:spacing w:val="-3"/>
        </w:rPr>
        <w:t xml:space="preserve"> </w:t>
      </w:r>
      <w:r>
        <w:t>18.9%</w:t>
      </w:r>
      <w:r>
        <w:rPr>
          <w:spacing w:val="-2"/>
        </w:rPr>
        <w:t xml:space="preserve"> </w:t>
      </w:r>
      <w:r>
        <w:t>vs</w:t>
      </w:r>
      <w:r>
        <w:rPr>
          <w:spacing w:val="-1"/>
        </w:rPr>
        <w:t xml:space="preserve"> </w:t>
      </w:r>
      <w:r>
        <w:t>14%</w:t>
      </w:r>
      <w:r>
        <w:rPr>
          <w:spacing w:val="-2"/>
        </w:rPr>
        <w:t xml:space="preserve"> </w:t>
      </w:r>
      <w:r>
        <w:t>vs</w:t>
      </w:r>
      <w:r>
        <w:rPr>
          <w:spacing w:val="-1"/>
        </w:rPr>
        <w:t xml:space="preserve"> </w:t>
      </w:r>
      <w:r>
        <w:t>NR</w:t>
      </w:r>
      <w:r>
        <w:rPr>
          <w:spacing w:val="-2"/>
        </w:rPr>
        <w:t xml:space="preserve"> </w:t>
      </w:r>
      <w:r>
        <w:t>vs</w:t>
      </w:r>
      <w:r>
        <w:rPr>
          <w:spacing w:val="-1"/>
        </w:rPr>
        <w:t xml:space="preserve"> </w:t>
      </w:r>
      <w:r>
        <w:t>10.8%</w:t>
      </w:r>
      <w:r>
        <w:rPr>
          <w:spacing w:val="-4"/>
        </w:rPr>
        <w:t xml:space="preserve"> </w:t>
      </w:r>
      <w:r>
        <w:t>TRAE:</w:t>
      </w:r>
      <w:r>
        <w:rPr>
          <w:spacing w:val="-3"/>
        </w:rPr>
        <w:t xml:space="preserve"> </w:t>
      </w:r>
      <w:r>
        <w:t>17%</w:t>
      </w:r>
      <w:r>
        <w:rPr>
          <w:spacing w:val="-2"/>
        </w:rPr>
        <w:t xml:space="preserve"> </w:t>
      </w:r>
      <w:r>
        <w:t>vs</w:t>
      </w:r>
      <w:r>
        <w:rPr>
          <w:spacing w:val="-1"/>
        </w:rPr>
        <w:t xml:space="preserve"> </w:t>
      </w:r>
      <w:r>
        <w:t>7%</w:t>
      </w:r>
      <w:r>
        <w:rPr>
          <w:spacing w:val="-3"/>
        </w:rPr>
        <w:t xml:space="preserve"> </w:t>
      </w:r>
      <w:r>
        <w:t>vs NR vs 5.5%) with common rates of &gt;/=grade 3 events (TEAE: 6.6% vs 9.3%</w:t>
      </w:r>
      <w:r>
        <w:rPr>
          <w:spacing w:val="-1"/>
        </w:rPr>
        <w:t xml:space="preserve"> </w:t>
      </w:r>
      <w:r>
        <w:t>vs 2.5% vs 4.1% TRAE: 5.7% vs 4.7% vs 2.5% vs NR). There was some discrepancy between Chinese and Caucasian populations.</w:t>
      </w:r>
    </w:p>
    <w:p w14:paraId="7DF2CE46" w14:textId="77777777" w:rsidR="003D7B22" w:rsidRDefault="003D7B22" w:rsidP="00992C39">
      <w:pPr>
        <w:pStyle w:val="ListBullet2"/>
        <w:rPr>
          <w:rFonts w:ascii="Arial" w:hAnsi="Arial"/>
        </w:rPr>
      </w:pPr>
      <w:r>
        <w:t>Cardiac</w:t>
      </w:r>
      <w:r>
        <w:rPr>
          <w:spacing w:val="-2"/>
        </w:rPr>
        <w:t xml:space="preserve"> </w:t>
      </w:r>
      <w:r>
        <w:t>disorders</w:t>
      </w:r>
      <w:r>
        <w:rPr>
          <w:spacing w:val="-2"/>
        </w:rPr>
        <w:t xml:space="preserve"> </w:t>
      </w:r>
      <w:r>
        <w:t>were</w:t>
      </w:r>
      <w:r>
        <w:rPr>
          <w:spacing w:val="-6"/>
        </w:rPr>
        <w:t xml:space="preserve"> </w:t>
      </w:r>
      <w:r>
        <w:t>common</w:t>
      </w:r>
      <w:r>
        <w:rPr>
          <w:spacing w:val="-4"/>
        </w:rPr>
        <w:t xml:space="preserve"> </w:t>
      </w:r>
      <w:r>
        <w:t>(TEAE:</w:t>
      </w:r>
      <w:r>
        <w:rPr>
          <w:spacing w:val="-4"/>
        </w:rPr>
        <w:t xml:space="preserve"> </w:t>
      </w:r>
      <w:r>
        <w:t>34%</w:t>
      </w:r>
      <w:r>
        <w:rPr>
          <w:spacing w:val="-3"/>
        </w:rPr>
        <w:t xml:space="preserve"> </w:t>
      </w:r>
      <w:r>
        <w:t>vs</w:t>
      </w:r>
      <w:r>
        <w:rPr>
          <w:spacing w:val="-2"/>
        </w:rPr>
        <w:t xml:space="preserve"> </w:t>
      </w:r>
      <w:r>
        <w:t>12.2%</w:t>
      </w:r>
      <w:r>
        <w:rPr>
          <w:spacing w:val="-3"/>
        </w:rPr>
        <w:t xml:space="preserve"> </w:t>
      </w:r>
      <w:r>
        <w:t>vs</w:t>
      </w:r>
      <w:r>
        <w:rPr>
          <w:spacing w:val="-2"/>
        </w:rPr>
        <w:t xml:space="preserve"> </w:t>
      </w:r>
      <w:r>
        <w:t>NR</w:t>
      </w:r>
      <w:r>
        <w:rPr>
          <w:spacing w:val="-3"/>
        </w:rPr>
        <w:t xml:space="preserve"> </w:t>
      </w:r>
      <w:r>
        <w:t>vs</w:t>
      </w:r>
      <w:r>
        <w:rPr>
          <w:spacing w:val="-2"/>
        </w:rPr>
        <w:t xml:space="preserve"> </w:t>
      </w:r>
      <w:r>
        <w:t>25.3%)</w:t>
      </w:r>
      <w:r>
        <w:rPr>
          <w:spacing w:val="-3"/>
        </w:rPr>
        <w:t xml:space="preserve"> </w:t>
      </w:r>
      <w:r>
        <w:t>with</w:t>
      </w:r>
      <w:r>
        <w:rPr>
          <w:spacing w:val="-3"/>
        </w:rPr>
        <w:t xml:space="preserve"> </w:t>
      </w:r>
      <w:r>
        <w:t>high discrepancy between Chinese and Caucasian populations.</w:t>
      </w:r>
    </w:p>
    <w:p w14:paraId="66E049BD" w14:textId="77777777" w:rsidR="003D7B22" w:rsidRDefault="003D7B22" w:rsidP="00992C39">
      <w:pPr>
        <w:pStyle w:val="ListBullet2"/>
        <w:rPr>
          <w:rFonts w:ascii="Arial" w:hAnsi="Arial"/>
        </w:rPr>
      </w:pPr>
      <w:r>
        <w:t>Rates</w:t>
      </w:r>
      <w:r>
        <w:rPr>
          <w:spacing w:val="-4"/>
        </w:rPr>
        <w:t xml:space="preserve"> </w:t>
      </w:r>
      <w:r>
        <w:t>of</w:t>
      </w:r>
      <w:r>
        <w:rPr>
          <w:spacing w:val="-5"/>
        </w:rPr>
        <w:t xml:space="preserve"> </w:t>
      </w:r>
      <w:r>
        <w:t>atrial</w:t>
      </w:r>
      <w:r>
        <w:rPr>
          <w:spacing w:val="-5"/>
        </w:rPr>
        <w:t xml:space="preserve"> </w:t>
      </w:r>
      <w:r>
        <w:t>fibrillation,</w:t>
      </w:r>
      <w:r>
        <w:rPr>
          <w:spacing w:val="-7"/>
        </w:rPr>
        <w:t xml:space="preserve"> </w:t>
      </w:r>
      <w:r>
        <w:t>cardiac</w:t>
      </w:r>
      <w:r>
        <w:rPr>
          <w:spacing w:val="-4"/>
        </w:rPr>
        <w:t xml:space="preserve"> </w:t>
      </w:r>
      <w:r>
        <w:t>failure,</w:t>
      </w:r>
      <w:r>
        <w:rPr>
          <w:spacing w:val="-7"/>
        </w:rPr>
        <w:t xml:space="preserve"> </w:t>
      </w:r>
      <w:r>
        <w:t>myocardial</w:t>
      </w:r>
      <w:r>
        <w:rPr>
          <w:spacing w:val="-5"/>
        </w:rPr>
        <w:t xml:space="preserve"> </w:t>
      </w:r>
      <w:r>
        <w:t>infarction/ischaemia,</w:t>
      </w:r>
      <w:r>
        <w:rPr>
          <w:spacing w:val="-5"/>
        </w:rPr>
        <w:t xml:space="preserve"> </w:t>
      </w:r>
      <w:r>
        <w:t>cardiac arrest and coronary artery disease/atherosclerosis were low.</w:t>
      </w:r>
    </w:p>
    <w:p w14:paraId="6D47175F" w14:textId="4022FBAE" w:rsidR="003D7B22" w:rsidRDefault="003D7B22" w:rsidP="00992C39">
      <w:pPr>
        <w:pStyle w:val="ListBullet2"/>
      </w:pPr>
      <w:r>
        <w:t>Sinus</w:t>
      </w:r>
      <w:r w:rsidRPr="006A3B0A">
        <w:rPr>
          <w:spacing w:val="-2"/>
        </w:rPr>
        <w:t xml:space="preserve"> </w:t>
      </w:r>
      <w:r>
        <w:t>bradycardia</w:t>
      </w:r>
      <w:r w:rsidRPr="006A3B0A">
        <w:rPr>
          <w:spacing w:val="-3"/>
        </w:rPr>
        <w:t xml:space="preserve"> </w:t>
      </w:r>
      <w:r>
        <w:t>was</w:t>
      </w:r>
      <w:r w:rsidRPr="006A3B0A">
        <w:rPr>
          <w:spacing w:val="-5"/>
        </w:rPr>
        <w:t xml:space="preserve"> </w:t>
      </w:r>
      <w:r>
        <w:t>common</w:t>
      </w:r>
      <w:r w:rsidRPr="006A3B0A">
        <w:rPr>
          <w:spacing w:val="-4"/>
        </w:rPr>
        <w:t xml:space="preserve"> </w:t>
      </w:r>
      <w:r>
        <w:t>(TEAE:</w:t>
      </w:r>
      <w:r w:rsidRPr="006A3B0A">
        <w:rPr>
          <w:spacing w:val="-4"/>
        </w:rPr>
        <w:t xml:space="preserve"> </w:t>
      </w:r>
      <w:r>
        <w:t>7.5%</w:t>
      </w:r>
      <w:r w:rsidRPr="006A3B0A">
        <w:rPr>
          <w:spacing w:val="-3"/>
        </w:rPr>
        <w:t xml:space="preserve"> </w:t>
      </w:r>
      <w:r>
        <w:t>vs</w:t>
      </w:r>
      <w:r w:rsidRPr="006A3B0A">
        <w:rPr>
          <w:spacing w:val="-2"/>
        </w:rPr>
        <w:t xml:space="preserve"> </w:t>
      </w:r>
      <w:r>
        <w:t>4.7%</w:t>
      </w:r>
      <w:r w:rsidRPr="006A3B0A">
        <w:rPr>
          <w:spacing w:val="-3"/>
        </w:rPr>
        <w:t xml:space="preserve"> </w:t>
      </w:r>
      <w:r>
        <w:t>vs</w:t>
      </w:r>
      <w:r w:rsidRPr="006A3B0A">
        <w:rPr>
          <w:spacing w:val="-2"/>
        </w:rPr>
        <w:t xml:space="preserve"> </w:t>
      </w:r>
      <w:r>
        <w:t>7.5%</w:t>
      </w:r>
      <w:r w:rsidRPr="006A3B0A">
        <w:rPr>
          <w:spacing w:val="-3"/>
        </w:rPr>
        <w:t xml:space="preserve"> </w:t>
      </w:r>
      <w:r>
        <w:t>vs</w:t>
      </w:r>
      <w:r w:rsidRPr="006A3B0A">
        <w:rPr>
          <w:spacing w:val="-2"/>
        </w:rPr>
        <w:t xml:space="preserve"> </w:t>
      </w:r>
      <w:r>
        <w:t>7.6%</w:t>
      </w:r>
      <w:r w:rsidRPr="006A3B0A">
        <w:rPr>
          <w:spacing w:val="-3"/>
        </w:rPr>
        <w:t xml:space="preserve"> </w:t>
      </w:r>
      <w:r>
        <w:t>TRAE:</w:t>
      </w:r>
      <w:r w:rsidRPr="006A3B0A">
        <w:rPr>
          <w:spacing w:val="-7"/>
        </w:rPr>
        <w:t xml:space="preserve"> </w:t>
      </w:r>
      <w:r>
        <w:t>5.7%</w:t>
      </w:r>
      <w:r w:rsidRPr="006A3B0A">
        <w:rPr>
          <w:spacing w:val="-2"/>
        </w:rPr>
        <w:t xml:space="preserve"> </w:t>
      </w:r>
      <w:r w:rsidRPr="006A3B0A">
        <w:rPr>
          <w:spacing w:val="-5"/>
        </w:rPr>
        <w:t>vs</w:t>
      </w:r>
      <w:r w:rsidR="006A3B0A" w:rsidRPr="006A3B0A">
        <w:rPr>
          <w:spacing w:val="-5"/>
        </w:rPr>
        <w:t xml:space="preserve"> </w:t>
      </w:r>
      <w:r>
        <w:t>0%</w:t>
      </w:r>
      <w:r w:rsidRPr="006A3B0A">
        <w:rPr>
          <w:spacing w:val="-2"/>
        </w:rPr>
        <w:t xml:space="preserve"> </w:t>
      </w:r>
      <w:r>
        <w:t>vs</w:t>
      </w:r>
      <w:r w:rsidRPr="006A3B0A">
        <w:rPr>
          <w:spacing w:val="-1"/>
        </w:rPr>
        <w:t xml:space="preserve"> </w:t>
      </w:r>
      <w:r>
        <w:t>5%</w:t>
      </w:r>
      <w:r w:rsidRPr="006A3B0A">
        <w:rPr>
          <w:spacing w:val="-2"/>
        </w:rPr>
        <w:t xml:space="preserve"> </w:t>
      </w:r>
      <w:r>
        <w:t xml:space="preserve">vs </w:t>
      </w:r>
      <w:r w:rsidRPr="006A3B0A">
        <w:rPr>
          <w:spacing w:val="-2"/>
        </w:rPr>
        <w:t>6.4%).</w:t>
      </w:r>
    </w:p>
    <w:p w14:paraId="5B587CE3" w14:textId="77777777" w:rsidR="003D7B22" w:rsidRDefault="003D7B22" w:rsidP="00992C39">
      <w:pPr>
        <w:pStyle w:val="ListBullet2"/>
        <w:rPr>
          <w:rFonts w:ascii="Arial" w:hAnsi="Arial"/>
        </w:rPr>
      </w:pPr>
      <w:r>
        <w:t>There</w:t>
      </w:r>
      <w:r>
        <w:rPr>
          <w:spacing w:val="-3"/>
        </w:rPr>
        <w:t xml:space="preserve"> </w:t>
      </w:r>
      <w:r>
        <w:t>were</w:t>
      </w:r>
      <w:r>
        <w:rPr>
          <w:spacing w:val="-3"/>
        </w:rPr>
        <w:t xml:space="preserve"> </w:t>
      </w:r>
      <w:r w:rsidRPr="00586D73">
        <w:rPr>
          <w:bCs/>
        </w:rPr>
        <w:t>high</w:t>
      </w:r>
      <w:r w:rsidRPr="00586D73">
        <w:rPr>
          <w:bCs/>
          <w:spacing w:val="-3"/>
        </w:rPr>
        <w:t xml:space="preserve"> </w:t>
      </w:r>
      <w:r w:rsidRPr="00586D73">
        <w:rPr>
          <w:bCs/>
        </w:rPr>
        <w:t>rates</w:t>
      </w:r>
      <w:r w:rsidRPr="00586D73">
        <w:rPr>
          <w:bCs/>
          <w:spacing w:val="-4"/>
        </w:rPr>
        <w:t xml:space="preserve"> </w:t>
      </w:r>
      <w:r w:rsidRPr="00586D73">
        <w:rPr>
          <w:bCs/>
        </w:rPr>
        <w:t>of</w:t>
      </w:r>
      <w:r w:rsidRPr="00586D73">
        <w:rPr>
          <w:bCs/>
          <w:spacing w:val="-6"/>
        </w:rPr>
        <w:t xml:space="preserve"> </w:t>
      </w:r>
      <w:r w:rsidRPr="00586D73">
        <w:rPr>
          <w:bCs/>
        </w:rPr>
        <w:t>other</w:t>
      </w:r>
      <w:r w:rsidRPr="00586D73">
        <w:rPr>
          <w:bCs/>
          <w:spacing w:val="-5"/>
        </w:rPr>
        <w:t xml:space="preserve"> </w:t>
      </w:r>
      <w:r w:rsidRPr="00586D73">
        <w:rPr>
          <w:bCs/>
        </w:rPr>
        <w:t>arrhythmias</w:t>
      </w:r>
      <w:r>
        <w:rPr>
          <w:b/>
          <w:spacing w:val="-3"/>
        </w:rPr>
        <w:t xml:space="preserve"> </w:t>
      </w:r>
      <w:r>
        <w:t>reported</w:t>
      </w:r>
      <w:r>
        <w:rPr>
          <w:spacing w:val="-4"/>
        </w:rPr>
        <w:t xml:space="preserve"> </w:t>
      </w:r>
      <w:r>
        <w:t>(excluding</w:t>
      </w:r>
      <w:r>
        <w:rPr>
          <w:spacing w:val="-5"/>
        </w:rPr>
        <w:t xml:space="preserve"> </w:t>
      </w:r>
      <w:r>
        <w:t>sinus</w:t>
      </w:r>
      <w:r>
        <w:rPr>
          <w:spacing w:val="-2"/>
        </w:rPr>
        <w:t xml:space="preserve"> </w:t>
      </w:r>
      <w:r>
        <w:t>arrhythmia</w:t>
      </w:r>
      <w:r>
        <w:rPr>
          <w:spacing w:val="-3"/>
        </w:rPr>
        <w:t xml:space="preserve"> </w:t>
      </w:r>
      <w:r>
        <w:t xml:space="preserve">and pooled by evaluator) although these are of varied clinical significance (TRAE: 22.6% vs 4.7% vs NR vs NR). There is high discrepancy between Chinese and Caucasian populations. Supraventricular extrasystoles (TRAE: 6.6% vs 0% vs NR vs 4.4%) and ventricular extrasystoles (TRAE: 4.7% vs 2.3% vs NR vs 3.2%) were reported in the B-cell pool also. Supraventricular tachycardia was reported as a &gt;/=grade 3 TRAE (2.3% </w:t>
      </w:r>
      <w:r>
        <w:rPr>
          <w:spacing w:val="-2"/>
        </w:rPr>
        <w:t>ICP-CL-00107).</w:t>
      </w:r>
    </w:p>
    <w:p w14:paraId="6CBC0786" w14:textId="77777777" w:rsidR="003D7B22" w:rsidRDefault="003D7B22" w:rsidP="00992C39">
      <w:pPr>
        <w:pStyle w:val="ListBullet2"/>
        <w:rPr>
          <w:rFonts w:ascii="Arial" w:hAnsi="Arial"/>
        </w:rPr>
      </w:pPr>
      <w:r>
        <w:t>Rates</w:t>
      </w:r>
      <w:r>
        <w:rPr>
          <w:spacing w:val="-2"/>
        </w:rPr>
        <w:t xml:space="preserve"> </w:t>
      </w:r>
      <w:r>
        <w:t>of</w:t>
      </w:r>
      <w:r>
        <w:rPr>
          <w:spacing w:val="-3"/>
        </w:rPr>
        <w:t xml:space="preserve"> </w:t>
      </w:r>
      <w:r>
        <w:t>peripheral</w:t>
      </w:r>
      <w:r>
        <w:rPr>
          <w:spacing w:val="-6"/>
        </w:rPr>
        <w:t xml:space="preserve"> </w:t>
      </w:r>
      <w:r>
        <w:t>oedema</w:t>
      </w:r>
      <w:r>
        <w:rPr>
          <w:spacing w:val="-3"/>
        </w:rPr>
        <w:t xml:space="preserve"> </w:t>
      </w:r>
      <w:r>
        <w:t>were</w:t>
      </w:r>
      <w:r>
        <w:rPr>
          <w:spacing w:val="-3"/>
        </w:rPr>
        <w:t xml:space="preserve"> </w:t>
      </w:r>
      <w:r>
        <w:t>variable</w:t>
      </w:r>
      <w:r>
        <w:rPr>
          <w:spacing w:val="-4"/>
        </w:rPr>
        <w:t xml:space="preserve"> </w:t>
      </w:r>
      <w:r>
        <w:t>between</w:t>
      </w:r>
      <w:r>
        <w:rPr>
          <w:spacing w:val="-4"/>
        </w:rPr>
        <w:t xml:space="preserve"> </w:t>
      </w:r>
      <w:r>
        <w:t>Caucasian</w:t>
      </w:r>
      <w:r>
        <w:rPr>
          <w:spacing w:val="-4"/>
        </w:rPr>
        <w:t xml:space="preserve"> </w:t>
      </w:r>
      <w:r>
        <w:t>and</w:t>
      </w:r>
      <w:r>
        <w:rPr>
          <w:spacing w:val="-4"/>
        </w:rPr>
        <w:t xml:space="preserve"> </w:t>
      </w:r>
      <w:r>
        <w:t>Chinese</w:t>
      </w:r>
      <w:r>
        <w:rPr>
          <w:spacing w:val="-6"/>
        </w:rPr>
        <w:t xml:space="preserve"> </w:t>
      </w:r>
      <w:r>
        <w:t>populations (TEAE:</w:t>
      </w:r>
      <w:r>
        <w:rPr>
          <w:spacing w:val="-2"/>
        </w:rPr>
        <w:t xml:space="preserve"> </w:t>
      </w:r>
      <w:r>
        <w:t>3.8%</w:t>
      </w:r>
      <w:r>
        <w:rPr>
          <w:spacing w:val="-1"/>
        </w:rPr>
        <w:t xml:space="preserve"> </w:t>
      </w:r>
      <w:r>
        <w:t>vs 16.3%</w:t>
      </w:r>
      <w:r>
        <w:rPr>
          <w:spacing w:val="-1"/>
        </w:rPr>
        <w:t xml:space="preserve"> </w:t>
      </w:r>
      <w:r>
        <w:t>vs</w:t>
      </w:r>
      <w:r>
        <w:rPr>
          <w:spacing w:val="-3"/>
        </w:rPr>
        <w:t xml:space="preserve"> </w:t>
      </w:r>
      <w:r>
        <w:t>NR</w:t>
      </w:r>
      <w:r>
        <w:rPr>
          <w:spacing w:val="-2"/>
        </w:rPr>
        <w:t xml:space="preserve"> </w:t>
      </w:r>
      <w:r>
        <w:t>vs 6.5%</w:t>
      </w:r>
      <w:r>
        <w:rPr>
          <w:spacing w:val="-1"/>
        </w:rPr>
        <w:t xml:space="preserve"> </w:t>
      </w:r>
      <w:r>
        <w:t>TRAE:</w:t>
      </w:r>
      <w:r>
        <w:rPr>
          <w:spacing w:val="-2"/>
        </w:rPr>
        <w:t xml:space="preserve"> </w:t>
      </w:r>
      <w:r>
        <w:t>1.9%</w:t>
      </w:r>
      <w:r>
        <w:rPr>
          <w:spacing w:val="-1"/>
        </w:rPr>
        <w:t xml:space="preserve"> </w:t>
      </w:r>
      <w:r>
        <w:t>vs 2.3%</w:t>
      </w:r>
      <w:r>
        <w:rPr>
          <w:spacing w:val="-1"/>
        </w:rPr>
        <w:t xml:space="preserve"> </w:t>
      </w:r>
      <w:r>
        <w:t>vs NR</w:t>
      </w:r>
      <w:r>
        <w:rPr>
          <w:spacing w:val="-1"/>
        </w:rPr>
        <w:t xml:space="preserve"> </w:t>
      </w:r>
      <w:r>
        <w:t>vs</w:t>
      </w:r>
      <w:r>
        <w:rPr>
          <w:spacing w:val="-3"/>
        </w:rPr>
        <w:t xml:space="preserve"> </w:t>
      </w:r>
      <w:r>
        <w:t>NR).</w:t>
      </w:r>
      <w:r>
        <w:rPr>
          <w:spacing w:val="-1"/>
        </w:rPr>
        <w:t xml:space="preserve"> </w:t>
      </w:r>
      <w:r>
        <w:t>Rates of</w:t>
      </w:r>
      <w:r>
        <w:rPr>
          <w:spacing w:val="-1"/>
        </w:rPr>
        <w:t xml:space="preserve"> </w:t>
      </w:r>
      <w:r>
        <w:t>other forms of oedema or effusions were low (including pericardial effusion TEAE: 1.9% vs 0% vs NR vs 07%).</w:t>
      </w:r>
    </w:p>
    <w:p w14:paraId="04799193" w14:textId="77777777" w:rsidR="003D7B22" w:rsidRDefault="003D7B22" w:rsidP="00992C39">
      <w:pPr>
        <w:pStyle w:val="ListBullet2"/>
        <w:rPr>
          <w:rFonts w:ascii="Arial" w:hAnsi="Arial"/>
        </w:rPr>
      </w:pPr>
      <w:r>
        <w:t>Only</w:t>
      </w:r>
      <w:r>
        <w:rPr>
          <w:spacing w:val="-3"/>
        </w:rPr>
        <w:t xml:space="preserve"> </w:t>
      </w:r>
      <w:r>
        <w:t>atherosclerosis</w:t>
      </w:r>
      <w:r>
        <w:rPr>
          <w:spacing w:val="-1"/>
        </w:rPr>
        <w:t xml:space="preserve"> </w:t>
      </w:r>
      <w:r>
        <w:t>coronary</w:t>
      </w:r>
      <w:r>
        <w:rPr>
          <w:spacing w:val="-3"/>
        </w:rPr>
        <w:t xml:space="preserve"> </w:t>
      </w:r>
      <w:r>
        <w:t>artery</w:t>
      </w:r>
      <w:r>
        <w:rPr>
          <w:spacing w:val="-3"/>
        </w:rPr>
        <w:t xml:space="preserve"> </w:t>
      </w:r>
      <w:r>
        <w:t>was</w:t>
      </w:r>
      <w:r>
        <w:rPr>
          <w:spacing w:val="-1"/>
        </w:rPr>
        <w:t xml:space="preserve"> </w:t>
      </w:r>
      <w:r>
        <w:t>reported</w:t>
      </w:r>
      <w:r>
        <w:rPr>
          <w:spacing w:val="-6"/>
        </w:rPr>
        <w:t xml:space="preserve"> </w:t>
      </w:r>
      <w:r>
        <w:t>as</w:t>
      </w:r>
      <w:r>
        <w:rPr>
          <w:spacing w:val="-1"/>
        </w:rPr>
        <w:t xml:space="preserve"> </w:t>
      </w:r>
      <w:r>
        <w:t>an</w:t>
      </w:r>
      <w:r>
        <w:rPr>
          <w:spacing w:val="-3"/>
        </w:rPr>
        <w:t xml:space="preserve"> </w:t>
      </w:r>
      <w:r>
        <w:t>SAE</w:t>
      </w:r>
      <w:r>
        <w:rPr>
          <w:spacing w:val="-5"/>
        </w:rPr>
        <w:t xml:space="preserve"> </w:t>
      </w:r>
      <w:r>
        <w:t>in</w:t>
      </w:r>
      <w:r>
        <w:rPr>
          <w:spacing w:val="-3"/>
        </w:rPr>
        <w:t xml:space="preserve"> </w:t>
      </w:r>
      <w:r>
        <w:t>the</w:t>
      </w:r>
      <w:r>
        <w:rPr>
          <w:spacing w:val="-2"/>
        </w:rPr>
        <w:t xml:space="preserve"> </w:t>
      </w:r>
      <w:r>
        <w:t>B-cell</w:t>
      </w:r>
      <w:r>
        <w:rPr>
          <w:spacing w:val="-5"/>
        </w:rPr>
        <w:t xml:space="preserve"> </w:t>
      </w:r>
      <w:r>
        <w:t>malignancy pool. There were no cardiovascular SAEs in the MCL patients.</w:t>
      </w:r>
    </w:p>
    <w:p w14:paraId="1171EE35" w14:textId="77777777" w:rsidR="003D7B22" w:rsidRDefault="003D7B22" w:rsidP="00992C39">
      <w:pPr>
        <w:pStyle w:val="ListBullet2"/>
        <w:rPr>
          <w:rFonts w:ascii="Arial" w:hAnsi="Arial"/>
        </w:rPr>
      </w:pPr>
      <w:r>
        <w:t>There</w:t>
      </w:r>
      <w:r>
        <w:rPr>
          <w:spacing w:val="-3"/>
        </w:rPr>
        <w:t xml:space="preserve"> </w:t>
      </w:r>
      <w:r>
        <w:t>were</w:t>
      </w:r>
      <w:r>
        <w:rPr>
          <w:spacing w:val="-3"/>
        </w:rPr>
        <w:t xml:space="preserve"> </w:t>
      </w:r>
      <w:r>
        <w:t>3</w:t>
      </w:r>
      <w:r>
        <w:rPr>
          <w:spacing w:val="-6"/>
        </w:rPr>
        <w:t xml:space="preserve"> </w:t>
      </w:r>
      <w:r>
        <w:t>cardiovascular</w:t>
      </w:r>
      <w:r>
        <w:rPr>
          <w:spacing w:val="-3"/>
        </w:rPr>
        <w:t xml:space="preserve"> </w:t>
      </w:r>
      <w:r>
        <w:t>related</w:t>
      </w:r>
      <w:r>
        <w:rPr>
          <w:spacing w:val="-3"/>
        </w:rPr>
        <w:t xml:space="preserve"> </w:t>
      </w:r>
      <w:r>
        <w:t>deaths</w:t>
      </w:r>
      <w:r>
        <w:rPr>
          <w:spacing w:val="-2"/>
        </w:rPr>
        <w:t xml:space="preserve"> </w:t>
      </w:r>
      <w:r>
        <w:t>which</w:t>
      </w:r>
      <w:r>
        <w:rPr>
          <w:spacing w:val="-3"/>
        </w:rPr>
        <w:t xml:space="preserve"> </w:t>
      </w:r>
      <w:r>
        <w:t>were</w:t>
      </w:r>
      <w:r>
        <w:rPr>
          <w:spacing w:val="-4"/>
        </w:rPr>
        <w:t xml:space="preserve"> </w:t>
      </w:r>
      <w:r>
        <w:t>considered</w:t>
      </w:r>
      <w:r>
        <w:rPr>
          <w:spacing w:val="-3"/>
        </w:rPr>
        <w:t xml:space="preserve"> </w:t>
      </w:r>
      <w:r>
        <w:t>not</w:t>
      </w:r>
      <w:r>
        <w:rPr>
          <w:spacing w:val="-3"/>
        </w:rPr>
        <w:t xml:space="preserve"> </w:t>
      </w:r>
      <w:r>
        <w:t>related.</w:t>
      </w:r>
      <w:r>
        <w:rPr>
          <w:spacing w:val="-3"/>
        </w:rPr>
        <w:t xml:space="preserve"> </w:t>
      </w:r>
      <w:r>
        <w:t>Given the average age and sex of the underlying population, it is likely there would be background rates of cardiovascular events and deaths and so this is plausible.</w:t>
      </w:r>
    </w:p>
    <w:p w14:paraId="5ACC1449" w14:textId="1BD3B212" w:rsidR="003D7B22" w:rsidRDefault="00983A24" w:rsidP="00992C39">
      <w:pPr>
        <w:pStyle w:val="ListBullet2"/>
        <w:rPr>
          <w:rFonts w:ascii="Arial" w:hAnsi="Arial"/>
          <w:sz w:val="24"/>
        </w:rPr>
      </w:pPr>
      <w:r>
        <w:t>I</w:t>
      </w:r>
      <w:r w:rsidR="003D7B22">
        <w:t>n the summary of clinical safety</w:t>
      </w:r>
      <w:r>
        <w:t xml:space="preserve"> prepared by the sponsor</w:t>
      </w:r>
      <w:r w:rsidR="003D7B22">
        <w:t>, the pooled rates of arrhythmia reported are lower than when examining the individual CSRs as above (4.7% vs 0% vs NR vs 3.2%). All events were grade</w:t>
      </w:r>
      <w:r w:rsidR="003D7B22">
        <w:rPr>
          <w:spacing w:val="-1"/>
        </w:rPr>
        <w:t xml:space="preserve"> </w:t>
      </w:r>
      <w:r w:rsidR="003D7B22">
        <w:t>1-2. In the B-cell malignancies pool, two (0.4%) subjects experienced serious adverse events of arrhythmias, which were considered not related to treatment. Treatment-related arrhythmias led to treatment interruption in 0.4% of subjects, with neither dose reduction</w:t>
      </w:r>
      <w:r w:rsidR="003D7B22">
        <w:rPr>
          <w:spacing w:val="-4"/>
        </w:rPr>
        <w:t xml:space="preserve"> </w:t>
      </w:r>
      <w:r w:rsidR="003D7B22">
        <w:t>nor</w:t>
      </w:r>
      <w:r w:rsidR="003D7B22">
        <w:rPr>
          <w:spacing w:val="-3"/>
        </w:rPr>
        <w:t xml:space="preserve"> </w:t>
      </w:r>
      <w:r w:rsidR="003D7B22">
        <w:t>discontinuation</w:t>
      </w:r>
      <w:r w:rsidR="003D7B22">
        <w:rPr>
          <w:spacing w:val="-4"/>
        </w:rPr>
        <w:t xml:space="preserve"> </w:t>
      </w:r>
      <w:r w:rsidR="003D7B22">
        <w:t>reported.</w:t>
      </w:r>
      <w:r w:rsidR="003D7B22">
        <w:rPr>
          <w:spacing w:val="-1"/>
        </w:rPr>
        <w:t xml:space="preserve"> </w:t>
      </w:r>
      <w:r w:rsidR="003D7B22">
        <w:t>No</w:t>
      </w:r>
      <w:r w:rsidR="003D7B22">
        <w:rPr>
          <w:spacing w:val="-3"/>
        </w:rPr>
        <w:t xml:space="preserve"> </w:t>
      </w:r>
      <w:r w:rsidR="003D7B22">
        <w:t>SAEs</w:t>
      </w:r>
      <w:r w:rsidR="003D7B22">
        <w:rPr>
          <w:spacing w:val="-2"/>
        </w:rPr>
        <w:t xml:space="preserve"> </w:t>
      </w:r>
      <w:r w:rsidR="003D7B22">
        <w:t>or</w:t>
      </w:r>
      <w:r w:rsidR="003D7B22">
        <w:rPr>
          <w:spacing w:val="-6"/>
        </w:rPr>
        <w:t xml:space="preserve"> </w:t>
      </w:r>
      <w:r w:rsidR="003D7B22">
        <w:t>treatment</w:t>
      </w:r>
      <w:r w:rsidR="003D7B22">
        <w:rPr>
          <w:spacing w:val="-4"/>
        </w:rPr>
        <w:t xml:space="preserve"> </w:t>
      </w:r>
      <w:r w:rsidR="003D7B22">
        <w:t>changes</w:t>
      </w:r>
      <w:r w:rsidR="003D7B22">
        <w:rPr>
          <w:spacing w:val="-2"/>
        </w:rPr>
        <w:t xml:space="preserve"> </w:t>
      </w:r>
      <w:r w:rsidR="003D7B22">
        <w:t>were</w:t>
      </w:r>
      <w:r w:rsidR="003D7B22">
        <w:rPr>
          <w:spacing w:val="-5"/>
        </w:rPr>
        <w:t xml:space="preserve"> </w:t>
      </w:r>
      <w:r w:rsidR="003D7B22">
        <w:t>seen</w:t>
      </w:r>
      <w:r w:rsidR="003D7B22">
        <w:rPr>
          <w:spacing w:val="-4"/>
        </w:rPr>
        <w:t xml:space="preserve"> </w:t>
      </w:r>
      <w:r w:rsidR="003D7B22">
        <w:t>in</w:t>
      </w:r>
      <w:r w:rsidR="003D7B22">
        <w:rPr>
          <w:spacing w:val="-4"/>
        </w:rPr>
        <w:t xml:space="preserve"> </w:t>
      </w:r>
      <w:r w:rsidR="003D7B22">
        <w:t>the MCL population related to arrhythmia.</w:t>
      </w:r>
    </w:p>
    <w:p w14:paraId="5BCCE5D8" w14:textId="4C571DBF" w:rsidR="00A01132" w:rsidRDefault="00FF42E8" w:rsidP="00E47072">
      <w:pPr>
        <w:pStyle w:val="ListBullet"/>
      </w:pPr>
      <w:r>
        <w:t>Infections</w:t>
      </w:r>
    </w:p>
    <w:p w14:paraId="7E93C42F" w14:textId="77777777" w:rsidR="00A428CF" w:rsidRDefault="00190418" w:rsidP="00E47072">
      <w:pPr>
        <w:pStyle w:val="ListBullet2"/>
        <w:rPr>
          <w:spacing w:val="40"/>
        </w:rPr>
      </w:pPr>
      <w:r>
        <w:t>TEAEs</w:t>
      </w:r>
      <w:r>
        <w:rPr>
          <w:spacing w:val="-1"/>
        </w:rPr>
        <w:t xml:space="preserve"> </w:t>
      </w:r>
      <w:r w:rsidR="00A428CF">
        <w:t xml:space="preserve">relating to </w:t>
      </w:r>
      <w:r w:rsidRPr="00A428CF">
        <w:rPr>
          <w:bCs/>
        </w:rPr>
        <w:t>infection</w:t>
      </w:r>
      <w:r w:rsidRPr="00A428CF">
        <w:rPr>
          <w:bCs/>
          <w:spacing w:val="-1"/>
        </w:rPr>
        <w:t xml:space="preserve"> </w:t>
      </w:r>
      <w:r w:rsidRPr="00A428CF">
        <w:rPr>
          <w:bCs/>
        </w:rPr>
        <w:t>were</w:t>
      </w:r>
      <w:r w:rsidRPr="00A428CF">
        <w:rPr>
          <w:bCs/>
          <w:spacing w:val="-3"/>
        </w:rPr>
        <w:t xml:space="preserve"> </w:t>
      </w:r>
      <w:r w:rsidRPr="00A428CF">
        <w:rPr>
          <w:bCs/>
        </w:rPr>
        <w:t>seen</w:t>
      </w:r>
      <w:r w:rsidRPr="00A428CF">
        <w:rPr>
          <w:bCs/>
          <w:spacing w:val="-1"/>
        </w:rPr>
        <w:t xml:space="preserve"> </w:t>
      </w:r>
      <w:r w:rsidRPr="00A428CF">
        <w:rPr>
          <w:bCs/>
        </w:rPr>
        <w:t>in</w:t>
      </w:r>
      <w:r w:rsidRPr="00A428CF">
        <w:rPr>
          <w:bCs/>
          <w:spacing w:val="-5"/>
        </w:rPr>
        <w:t xml:space="preserve"> </w:t>
      </w:r>
      <w:r w:rsidRPr="00A428CF">
        <w:rPr>
          <w:bCs/>
        </w:rPr>
        <w:t>&gt;60%</w:t>
      </w:r>
      <w:r w:rsidRPr="00A428CF">
        <w:rPr>
          <w:bCs/>
          <w:spacing w:val="-2"/>
        </w:rPr>
        <w:t xml:space="preserve"> </w:t>
      </w:r>
      <w:r w:rsidRPr="00A428CF">
        <w:rPr>
          <w:bCs/>
        </w:rPr>
        <w:t>of</w:t>
      </w:r>
      <w:r w:rsidRPr="00A428CF">
        <w:rPr>
          <w:bCs/>
          <w:spacing w:val="-2"/>
        </w:rPr>
        <w:t xml:space="preserve"> </w:t>
      </w:r>
      <w:r w:rsidRPr="00A428CF">
        <w:rPr>
          <w:bCs/>
        </w:rPr>
        <w:t>patients</w:t>
      </w:r>
      <w:r>
        <w:rPr>
          <w:b/>
          <w:spacing w:val="-2"/>
        </w:rPr>
        <w:t xml:space="preserve"> </w:t>
      </w:r>
      <w:r>
        <w:t xml:space="preserve">(ICP-CL-00102 vs ICP-CL-00107 vs B-cell malignancy pool) (62.8% vs 65.1% vs 64.1%). These were most </w:t>
      </w:r>
      <w:r>
        <w:lastRenderedPageBreak/>
        <w:t>commonly related to upper respiratory tract infection, COVID-19, pneumonia and urinary tract infections. Herpes virus infection was seen in rates of 4.7-8.7%. Hepatitis B reactivation was uncommon.</w:t>
      </w:r>
      <w:r>
        <w:rPr>
          <w:spacing w:val="40"/>
        </w:rPr>
        <w:t xml:space="preserve"> </w:t>
      </w:r>
    </w:p>
    <w:p w14:paraId="7BA18688" w14:textId="286F321A" w:rsidR="00190418" w:rsidRDefault="00190418" w:rsidP="00E47072">
      <w:pPr>
        <w:pStyle w:val="ListBullet2"/>
      </w:pPr>
      <w:r>
        <w:t>Infections were the highest contributor to deaths. There was one death due to TEAE pneumonia in both ICP-CL-00102 and ICP-CL-00127. In other B-cell malignancy studies (</w:t>
      </w:r>
      <w:r w:rsidR="004C6A88">
        <w:t>t</w:t>
      </w:r>
      <w:r>
        <w:t xml:space="preserve">able </w:t>
      </w:r>
      <w:r w:rsidR="004C6A88">
        <w:t>21</w:t>
      </w:r>
      <w:r>
        <w:t>) there were 4 deaths due to TRAE pneumonia and one from febrile neutropenia, hepatitis, fungal infection, septic shock and hepatitis B reactivation respectively.</w:t>
      </w:r>
    </w:p>
    <w:p w14:paraId="3A8C92B2" w14:textId="6FDA40CE" w:rsidR="0043674E" w:rsidRDefault="0043674E" w:rsidP="00C3091E">
      <w:pPr>
        <w:pStyle w:val="TableTitle"/>
        <w:spacing w:before="240"/>
      </w:pPr>
      <w:bookmarkStart w:id="80" w:name="_Toc202463975"/>
      <w:bookmarkStart w:id="81" w:name="_Ref202471510"/>
      <w:bookmarkStart w:id="82" w:name="_Ref202471772"/>
      <w:bookmarkStart w:id="83" w:name="_Toc211510701"/>
      <w:r>
        <w:t xml:space="preserve">Table </w:t>
      </w:r>
      <w:r w:rsidR="007C46E1">
        <w:t>1</w:t>
      </w:r>
      <w:r w:rsidR="00915482">
        <w:t>7</w:t>
      </w:r>
      <w:r>
        <w:t xml:space="preserve">: </w:t>
      </w:r>
      <w:r w:rsidRPr="00F77D19">
        <w:t>T</w:t>
      </w:r>
      <w:r w:rsidR="0087766B">
        <w:t>reatment related adverse events</w:t>
      </w:r>
      <w:r w:rsidRPr="00F77D19">
        <w:t xml:space="preserve"> leading to death across all studies</w:t>
      </w:r>
      <w:bookmarkEnd w:id="80"/>
      <w:bookmarkEnd w:id="81"/>
      <w:bookmarkEnd w:id="82"/>
      <w:bookmarkEnd w:id="83"/>
    </w:p>
    <w:p w14:paraId="3BC32DFB" w14:textId="02C8621E" w:rsidR="003E5412" w:rsidRDefault="003E5412" w:rsidP="00190418">
      <w:r w:rsidRPr="003E5412">
        <w:rPr>
          <w:noProof/>
        </w:rPr>
        <w:drawing>
          <wp:inline distT="0" distB="0" distL="0" distR="0" wp14:anchorId="5C68D55D" wp14:editId="73FA12B8">
            <wp:extent cx="6063021" cy="4200525"/>
            <wp:effectExtent l="0" t="0" r="0" b="0"/>
            <wp:docPr id="1968902278" name="Picture 1" descr="Table 17: Treatment related adverse events leading to death across all stu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02278" name="Picture 1" descr="Table 17: Treatment related adverse events leading to death across all studies."/>
                    <pic:cNvPicPr/>
                  </pic:nvPicPr>
                  <pic:blipFill>
                    <a:blip r:embed="rId37"/>
                    <a:stretch>
                      <a:fillRect/>
                    </a:stretch>
                  </pic:blipFill>
                  <pic:spPr>
                    <a:xfrm>
                      <a:off x="0" y="0"/>
                      <a:ext cx="6112128" cy="4234547"/>
                    </a:xfrm>
                    <a:prstGeom prst="rect">
                      <a:avLst/>
                    </a:prstGeom>
                  </pic:spPr>
                </pic:pic>
              </a:graphicData>
            </a:graphic>
          </wp:inline>
        </w:drawing>
      </w:r>
    </w:p>
    <w:p w14:paraId="14BD4C54" w14:textId="1B723C68" w:rsidR="00FF42E8" w:rsidRDefault="00190418" w:rsidP="00580DF3">
      <w:pPr>
        <w:pStyle w:val="ListBullet"/>
        <w:rPr>
          <w:lang w:val="en-US"/>
        </w:rPr>
      </w:pPr>
      <w:r>
        <w:rPr>
          <w:lang w:val="en-US"/>
        </w:rPr>
        <w:t>Malignancies</w:t>
      </w:r>
    </w:p>
    <w:p w14:paraId="0AA681AA" w14:textId="77777777" w:rsidR="009D2B5A" w:rsidRDefault="00A428CF" w:rsidP="00580DF3">
      <w:pPr>
        <w:pStyle w:val="ListBullet2"/>
      </w:pPr>
      <w:r w:rsidRPr="009D2B5A">
        <w:rPr>
          <w:bCs/>
        </w:rPr>
        <w:t>Secondary primary</w:t>
      </w:r>
      <w:r>
        <w:rPr>
          <w:b/>
        </w:rPr>
        <w:t xml:space="preserve"> </w:t>
      </w:r>
      <w:r>
        <w:t>malignancies were not uncommon (4.8-7%). These were not fully accounted for by non-melanoma skin cancers (0-2.3%). It possible that the rates of second cancers</w:t>
      </w:r>
      <w:r>
        <w:rPr>
          <w:spacing w:val="-4"/>
        </w:rPr>
        <w:t xml:space="preserve"> </w:t>
      </w:r>
      <w:r>
        <w:t>may</w:t>
      </w:r>
      <w:r>
        <w:rPr>
          <w:spacing w:val="-3"/>
        </w:rPr>
        <w:t xml:space="preserve"> </w:t>
      </w:r>
      <w:r>
        <w:t>be</w:t>
      </w:r>
      <w:r>
        <w:rPr>
          <w:spacing w:val="-2"/>
        </w:rPr>
        <w:t xml:space="preserve"> </w:t>
      </w:r>
      <w:r>
        <w:t>related</w:t>
      </w:r>
      <w:r>
        <w:rPr>
          <w:spacing w:val="-3"/>
        </w:rPr>
        <w:t xml:space="preserve"> </w:t>
      </w:r>
      <w:r>
        <w:t>to</w:t>
      </w:r>
      <w:r>
        <w:rPr>
          <w:spacing w:val="-5"/>
        </w:rPr>
        <w:t xml:space="preserve"> </w:t>
      </w:r>
      <w:r>
        <w:t>previous</w:t>
      </w:r>
      <w:r>
        <w:rPr>
          <w:spacing w:val="-1"/>
        </w:rPr>
        <w:t xml:space="preserve"> </w:t>
      </w:r>
      <w:r>
        <w:t>rituximab</w:t>
      </w:r>
      <w:r>
        <w:rPr>
          <w:spacing w:val="-4"/>
        </w:rPr>
        <w:t xml:space="preserve"> </w:t>
      </w:r>
      <w:r>
        <w:t>exposure.</w:t>
      </w:r>
      <w:r>
        <w:rPr>
          <w:spacing w:val="40"/>
        </w:rPr>
        <w:t xml:space="preserve"> </w:t>
      </w:r>
      <w:r>
        <w:t>Whil</w:t>
      </w:r>
      <w:r w:rsidR="009D2B5A">
        <w:t>e</w:t>
      </w:r>
      <w:r>
        <w:t xml:space="preserve"> all significant, there was no cancer which accounted for &gt;1 occurrence. </w:t>
      </w:r>
    </w:p>
    <w:p w14:paraId="6E026F01" w14:textId="30C90DFB" w:rsidR="00190418" w:rsidRDefault="00A428CF" w:rsidP="00580DF3">
      <w:pPr>
        <w:pStyle w:val="ListBullet2"/>
      </w:pPr>
      <w:r>
        <w:t>No second primary malignancies were reported in ICP-CL-00127</w:t>
      </w:r>
      <w:r w:rsidR="009D2B5A">
        <w:t>.</w:t>
      </w:r>
    </w:p>
    <w:p w14:paraId="2377E87E" w14:textId="77777777" w:rsidR="00136533" w:rsidRPr="00136533" w:rsidRDefault="00136533" w:rsidP="00580DF3">
      <w:pPr>
        <w:pStyle w:val="ListBullet"/>
        <w:rPr>
          <w:lang w:val="en-US"/>
        </w:rPr>
      </w:pPr>
      <w:r w:rsidRPr="00136533">
        <w:rPr>
          <w:lang w:val="en-US"/>
        </w:rPr>
        <w:t>Haemorrhage</w:t>
      </w:r>
    </w:p>
    <w:p w14:paraId="6202D55B" w14:textId="77777777" w:rsidR="00361FAE" w:rsidRDefault="00136533" w:rsidP="00580DF3">
      <w:pPr>
        <w:pStyle w:val="ListBullet2"/>
      </w:pPr>
      <w:r>
        <w:t xml:space="preserve">Pooled rates of </w:t>
      </w:r>
      <w:r w:rsidRPr="00136533">
        <w:rPr>
          <w:bCs/>
        </w:rPr>
        <w:t>haemorrhage</w:t>
      </w:r>
      <w:r>
        <w:rPr>
          <w:b/>
        </w:rPr>
        <w:t xml:space="preserve"> </w:t>
      </w:r>
      <w:r>
        <w:t>were not</w:t>
      </w:r>
      <w:r>
        <w:rPr>
          <w:spacing w:val="-1"/>
        </w:rPr>
        <w:t xml:space="preserve"> </w:t>
      </w:r>
      <w:r>
        <w:t>uncommon (24.4% vs 34.9% vs 33.5%) which</w:t>
      </w:r>
      <w:r>
        <w:rPr>
          <w:spacing w:val="-1"/>
        </w:rPr>
        <w:t xml:space="preserve"> </w:t>
      </w:r>
      <w:r>
        <w:t>included haemorrhage (12.8% vs 20.9% vs 22.1%), purpura/petechiae (7% vs 7% vs 9.9%) and</w:t>
      </w:r>
      <w:r>
        <w:rPr>
          <w:spacing w:val="-1"/>
        </w:rPr>
        <w:t xml:space="preserve"> </w:t>
      </w:r>
      <w:r>
        <w:t xml:space="preserve">bruising (5.8% vs 11.6% vs 7.4%). Individual rates of haemorrhage in each study were low. </w:t>
      </w:r>
    </w:p>
    <w:p w14:paraId="5AB03B35" w14:textId="77777777" w:rsidR="00361FAE" w:rsidRDefault="00136533" w:rsidP="00580DF3">
      <w:pPr>
        <w:pStyle w:val="ListBullet2"/>
      </w:pPr>
      <w:r>
        <w:t>In ICP-CL-00127,</w:t>
      </w:r>
      <w:r>
        <w:rPr>
          <w:spacing w:val="-5"/>
        </w:rPr>
        <w:t xml:space="preserve"> </w:t>
      </w:r>
      <w:r>
        <w:t>haemorrhoidal</w:t>
      </w:r>
      <w:r>
        <w:rPr>
          <w:spacing w:val="-2"/>
        </w:rPr>
        <w:t xml:space="preserve"> </w:t>
      </w:r>
      <w:r>
        <w:t>haemorrhage</w:t>
      </w:r>
      <w:r>
        <w:rPr>
          <w:spacing w:val="-5"/>
        </w:rPr>
        <w:t xml:space="preserve"> </w:t>
      </w:r>
      <w:r>
        <w:t>contributed</w:t>
      </w:r>
      <w:r>
        <w:rPr>
          <w:spacing w:val="-2"/>
        </w:rPr>
        <w:t xml:space="preserve"> </w:t>
      </w:r>
      <w:r>
        <w:t>to</w:t>
      </w:r>
      <w:r>
        <w:rPr>
          <w:spacing w:val="-5"/>
        </w:rPr>
        <w:t xml:space="preserve"> </w:t>
      </w:r>
      <w:r>
        <w:t>1</w:t>
      </w:r>
      <w:r>
        <w:rPr>
          <w:spacing w:val="-3"/>
        </w:rPr>
        <w:t xml:space="preserve"> </w:t>
      </w:r>
      <w:r>
        <w:t>SAE.</w:t>
      </w:r>
      <w:r>
        <w:rPr>
          <w:spacing w:val="-2"/>
        </w:rPr>
        <w:t xml:space="preserve"> </w:t>
      </w:r>
      <w:r>
        <w:t>No</w:t>
      </w:r>
      <w:r>
        <w:rPr>
          <w:spacing w:val="-5"/>
        </w:rPr>
        <w:t xml:space="preserve"> </w:t>
      </w:r>
      <w:r>
        <w:t>&gt;/=</w:t>
      </w:r>
      <w:r>
        <w:rPr>
          <w:spacing w:val="-2"/>
        </w:rPr>
        <w:t xml:space="preserve"> </w:t>
      </w:r>
      <w:r>
        <w:t>grade</w:t>
      </w:r>
      <w:r>
        <w:rPr>
          <w:spacing w:val="-2"/>
        </w:rPr>
        <w:t xml:space="preserve"> </w:t>
      </w:r>
      <w:r>
        <w:t>3</w:t>
      </w:r>
      <w:r>
        <w:rPr>
          <w:spacing w:val="-3"/>
        </w:rPr>
        <w:t xml:space="preserve"> </w:t>
      </w:r>
      <w:r>
        <w:t>CNS</w:t>
      </w:r>
      <w:r>
        <w:rPr>
          <w:spacing w:val="-2"/>
        </w:rPr>
        <w:t xml:space="preserve"> </w:t>
      </w:r>
      <w:r>
        <w:t>or</w:t>
      </w:r>
      <w:r>
        <w:rPr>
          <w:spacing w:val="-3"/>
        </w:rPr>
        <w:t xml:space="preserve"> </w:t>
      </w:r>
      <w:r>
        <w:t>internal</w:t>
      </w:r>
      <w:r>
        <w:rPr>
          <w:spacing w:val="-5"/>
        </w:rPr>
        <w:t xml:space="preserve"> </w:t>
      </w:r>
      <w:r>
        <w:t xml:space="preserve">organ bleeding occurred. </w:t>
      </w:r>
    </w:p>
    <w:p w14:paraId="4A1EFDC5" w14:textId="21BFEB3D" w:rsidR="00136533" w:rsidRDefault="00136533" w:rsidP="00580DF3">
      <w:pPr>
        <w:pStyle w:val="ListBullet2"/>
      </w:pPr>
      <w:r>
        <w:t>In ICP-CL-00103, there was one death due to cerebral haemorrhage.</w:t>
      </w:r>
    </w:p>
    <w:p w14:paraId="21FA39CC" w14:textId="15B8E80A" w:rsidR="00136533" w:rsidRDefault="00555704" w:rsidP="00555704">
      <w:pPr>
        <w:pStyle w:val="Heading5"/>
        <w:rPr>
          <w:i w:val="0"/>
          <w:iCs/>
        </w:rPr>
      </w:pPr>
      <w:r w:rsidRPr="00F7027E">
        <w:rPr>
          <w:i w:val="0"/>
          <w:iCs/>
        </w:rPr>
        <w:lastRenderedPageBreak/>
        <w:t xml:space="preserve">Conclusions </w:t>
      </w:r>
      <w:r w:rsidR="00C75C5F" w:rsidRPr="00F7027E">
        <w:rPr>
          <w:i w:val="0"/>
          <w:iCs/>
        </w:rPr>
        <w:t>from</w:t>
      </w:r>
      <w:r w:rsidRPr="00F7027E">
        <w:rPr>
          <w:i w:val="0"/>
          <w:iCs/>
        </w:rPr>
        <w:t xml:space="preserve"> </w:t>
      </w:r>
      <w:r w:rsidR="00E55E81" w:rsidRPr="00F7027E">
        <w:rPr>
          <w:i w:val="0"/>
          <w:iCs/>
        </w:rPr>
        <w:t xml:space="preserve">the </w:t>
      </w:r>
      <w:r w:rsidRPr="00F7027E">
        <w:rPr>
          <w:i w:val="0"/>
          <w:iCs/>
        </w:rPr>
        <w:t xml:space="preserve">safety </w:t>
      </w:r>
      <w:r w:rsidR="00C75C5F" w:rsidRPr="00F7027E">
        <w:rPr>
          <w:i w:val="0"/>
          <w:iCs/>
        </w:rPr>
        <w:t>evaluation</w:t>
      </w:r>
    </w:p>
    <w:p w14:paraId="1D5E9840" w14:textId="33F277F2" w:rsidR="00E55E81" w:rsidRPr="00E55E81" w:rsidRDefault="00E55E81" w:rsidP="00E55E81">
      <w:r>
        <w:t xml:space="preserve">The following key findings were </w:t>
      </w:r>
      <w:r w:rsidR="00F7027E">
        <w:t>noted.</w:t>
      </w:r>
    </w:p>
    <w:p w14:paraId="054736A7" w14:textId="43D71C45" w:rsidR="00136533" w:rsidRDefault="00136533" w:rsidP="00F7027E">
      <w:pPr>
        <w:pStyle w:val="ListBullet"/>
      </w:pPr>
      <w:r>
        <w:t>Three</w:t>
      </w:r>
      <w:r w:rsidRPr="007021C2">
        <w:rPr>
          <w:spacing w:val="-3"/>
        </w:rPr>
        <w:t xml:space="preserve"> </w:t>
      </w:r>
      <w:r>
        <w:t>main</w:t>
      </w:r>
      <w:r w:rsidRPr="007021C2">
        <w:rPr>
          <w:spacing w:val="-4"/>
        </w:rPr>
        <w:t xml:space="preserve"> </w:t>
      </w:r>
      <w:r>
        <w:t>studies</w:t>
      </w:r>
      <w:r w:rsidRPr="007021C2">
        <w:rPr>
          <w:spacing w:val="-5"/>
        </w:rPr>
        <w:t xml:space="preserve"> </w:t>
      </w:r>
      <w:r>
        <w:t>contributed</w:t>
      </w:r>
      <w:r w:rsidRPr="007021C2">
        <w:rPr>
          <w:spacing w:val="-3"/>
        </w:rPr>
        <w:t xml:space="preserve"> </w:t>
      </w:r>
      <w:r>
        <w:t>to</w:t>
      </w:r>
      <w:r w:rsidRPr="007021C2">
        <w:rPr>
          <w:spacing w:val="-3"/>
        </w:rPr>
        <w:t xml:space="preserve"> </w:t>
      </w:r>
      <w:r>
        <w:t>the</w:t>
      </w:r>
      <w:r w:rsidRPr="007021C2">
        <w:rPr>
          <w:spacing w:val="-6"/>
        </w:rPr>
        <w:t xml:space="preserve"> </w:t>
      </w:r>
      <w:r>
        <w:t>safety</w:t>
      </w:r>
      <w:r w:rsidRPr="007021C2">
        <w:rPr>
          <w:spacing w:val="-4"/>
        </w:rPr>
        <w:t xml:space="preserve"> </w:t>
      </w:r>
      <w:r>
        <w:t>evaluation:</w:t>
      </w:r>
      <w:r w:rsidRPr="007021C2">
        <w:rPr>
          <w:spacing w:val="-4"/>
        </w:rPr>
        <w:t xml:space="preserve"> </w:t>
      </w:r>
      <w:r>
        <w:t>ICP-CL-00102</w:t>
      </w:r>
      <w:r w:rsidRPr="007021C2">
        <w:rPr>
          <w:spacing w:val="-3"/>
        </w:rPr>
        <w:t xml:space="preserve"> </w:t>
      </w:r>
      <w:r>
        <w:t>(China),</w:t>
      </w:r>
      <w:r w:rsidRPr="007021C2">
        <w:rPr>
          <w:spacing w:val="-3"/>
        </w:rPr>
        <w:t xml:space="preserve"> </w:t>
      </w:r>
      <w:r>
        <w:t>ICP-CL-00107 (Non-Chinese</w:t>
      </w:r>
      <w:r w:rsidR="00FD1C3A">
        <w:t xml:space="preserve"> patients</w:t>
      </w:r>
      <w:r>
        <w:t>, mainly USA) and ICP-CL-00127. Supporting PK studies included ICP-CL-001, ICP-CL-00119 and ICP-CL-00120. Exposure across ICP-CL-00102 and ICP-CL-00107</w:t>
      </w:r>
      <w:r w:rsidRPr="007021C2">
        <w:rPr>
          <w:spacing w:val="-4"/>
        </w:rPr>
        <w:t xml:space="preserve"> </w:t>
      </w:r>
      <w:r>
        <w:t>was</w:t>
      </w:r>
      <w:r w:rsidRPr="007021C2">
        <w:rPr>
          <w:spacing w:val="-2"/>
        </w:rPr>
        <w:t xml:space="preserve"> </w:t>
      </w:r>
      <w:r>
        <w:t>similar</w:t>
      </w:r>
      <w:r w:rsidRPr="007021C2">
        <w:rPr>
          <w:spacing w:val="-3"/>
        </w:rPr>
        <w:t xml:space="preserve"> </w:t>
      </w:r>
      <w:r>
        <w:t>(16.2-22.89</w:t>
      </w:r>
      <w:r w:rsidRPr="007021C2">
        <w:rPr>
          <w:spacing w:val="-6"/>
        </w:rPr>
        <w:t xml:space="preserve"> </w:t>
      </w:r>
      <w:r>
        <w:t>months)</w:t>
      </w:r>
      <w:r w:rsidRPr="007021C2">
        <w:rPr>
          <w:spacing w:val="-4"/>
        </w:rPr>
        <w:t xml:space="preserve"> </w:t>
      </w:r>
      <w:r>
        <w:t>and</w:t>
      </w:r>
      <w:r w:rsidRPr="007021C2">
        <w:rPr>
          <w:spacing w:val="-4"/>
        </w:rPr>
        <w:t xml:space="preserve"> </w:t>
      </w:r>
      <w:r>
        <w:t>mostly</w:t>
      </w:r>
      <w:r w:rsidRPr="007021C2">
        <w:rPr>
          <w:spacing w:val="-4"/>
        </w:rPr>
        <w:t xml:space="preserve"> </w:t>
      </w:r>
      <w:r>
        <w:t>&gt;12</w:t>
      </w:r>
      <w:r w:rsidRPr="007021C2">
        <w:rPr>
          <w:spacing w:val="-4"/>
        </w:rPr>
        <w:t xml:space="preserve"> </w:t>
      </w:r>
      <w:r>
        <w:t>cycles</w:t>
      </w:r>
      <w:r w:rsidRPr="007021C2">
        <w:rPr>
          <w:spacing w:val="-2"/>
        </w:rPr>
        <w:t xml:space="preserve"> </w:t>
      </w:r>
      <w:r>
        <w:t>(67.9-69.8%).</w:t>
      </w:r>
      <w:r w:rsidRPr="007021C2">
        <w:rPr>
          <w:spacing w:val="-3"/>
        </w:rPr>
        <w:t xml:space="preserve"> </w:t>
      </w:r>
      <w:r>
        <w:t>ICP-CL-00127 had reduced exposure (approximately 100 d</w:t>
      </w:r>
      <w:r w:rsidR="00967116">
        <w:t>yu7ki</w:t>
      </w:r>
      <w:r>
        <w:t>ays) due to the short</w:t>
      </w:r>
      <w:r w:rsidRPr="007021C2">
        <w:rPr>
          <w:spacing w:val="-3"/>
        </w:rPr>
        <w:t xml:space="preserve"> </w:t>
      </w:r>
      <w:r>
        <w:t>median follow-</w:t>
      </w:r>
      <w:r w:rsidRPr="007021C2">
        <w:rPr>
          <w:spacing w:val="-4"/>
        </w:rPr>
        <w:t>up.</w:t>
      </w:r>
    </w:p>
    <w:p w14:paraId="0EDF7DEF" w14:textId="2ED3D60A" w:rsidR="00136533" w:rsidRDefault="00136533" w:rsidP="00F7027E">
      <w:pPr>
        <w:pStyle w:val="ListBullet"/>
      </w:pPr>
      <w:r>
        <w:t>In general, Caucasian populations (ICP-CL-00107) experienced lower rates of TEAEs than Chinese (ICP-CL-00102) with similar rates of higher grade TEAEs (&gt;/= grade 3), AEs</w:t>
      </w:r>
      <w:r>
        <w:rPr>
          <w:spacing w:val="-2"/>
        </w:rPr>
        <w:t xml:space="preserve"> </w:t>
      </w:r>
      <w:r>
        <w:t>leading</w:t>
      </w:r>
      <w:r>
        <w:rPr>
          <w:spacing w:val="-2"/>
        </w:rPr>
        <w:t xml:space="preserve"> </w:t>
      </w:r>
      <w:r>
        <w:t>to</w:t>
      </w:r>
      <w:r>
        <w:rPr>
          <w:spacing w:val="-3"/>
        </w:rPr>
        <w:t xml:space="preserve"> </w:t>
      </w:r>
      <w:r>
        <w:t>dose</w:t>
      </w:r>
      <w:r>
        <w:rPr>
          <w:spacing w:val="-3"/>
        </w:rPr>
        <w:t xml:space="preserve"> </w:t>
      </w:r>
      <w:r>
        <w:t>reduction</w:t>
      </w:r>
      <w:r>
        <w:rPr>
          <w:spacing w:val="-4"/>
        </w:rPr>
        <w:t xml:space="preserve"> </w:t>
      </w:r>
      <w:r>
        <w:t>or</w:t>
      </w:r>
      <w:r>
        <w:rPr>
          <w:spacing w:val="-3"/>
        </w:rPr>
        <w:t xml:space="preserve"> </w:t>
      </w:r>
      <w:r>
        <w:t>interruption</w:t>
      </w:r>
      <w:r>
        <w:rPr>
          <w:spacing w:val="-4"/>
        </w:rPr>
        <w:t xml:space="preserve"> </w:t>
      </w:r>
      <w:r>
        <w:t>and</w:t>
      </w:r>
      <w:r>
        <w:rPr>
          <w:spacing w:val="-4"/>
        </w:rPr>
        <w:t xml:space="preserve"> </w:t>
      </w:r>
      <w:r>
        <w:t>death.</w:t>
      </w:r>
      <w:r>
        <w:rPr>
          <w:spacing w:val="-3"/>
        </w:rPr>
        <w:t xml:space="preserve"> </w:t>
      </w:r>
      <w:r>
        <w:t>Rates</w:t>
      </w:r>
      <w:r>
        <w:rPr>
          <w:spacing w:val="-2"/>
        </w:rPr>
        <w:t xml:space="preserve"> </w:t>
      </w:r>
      <w:r>
        <w:t>of</w:t>
      </w:r>
      <w:r>
        <w:rPr>
          <w:spacing w:val="-3"/>
        </w:rPr>
        <w:t xml:space="preserve"> </w:t>
      </w:r>
      <w:r>
        <w:t>AESIs,</w:t>
      </w:r>
      <w:r>
        <w:rPr>
          <w:spacing w:val="-3"/>
        </w:rPr>
        <w:t xml:space="preserve"> </w:t>
      </w:r>
      <w:r>
        <w:t>and</w:t>
      </w:r>
      <w:r>
        <w:rPr>
          <w:spacing w:val="-4"/>
        </w:rPr>
        <w:t xml:space="preserve"> </w:t>
      </w:r>
      <w:r>
        <w:t>SAEs</w:t>
      </w:r>
      <w:r>
        <w:rPr>
          <w:spacing w:val="-2"/>
        </w:rPr>
        <w:t xml:space="preserve"> </w:t>
      </w:r>
      <w:r>
        <w:t>were lower in ICP-CL-00107 but rates of TEAEs leading to drug withdrawal were slightly higher.</w:t>
      </w:r>
      <w:r>
        <w:rPr>
          <w:spacing w:val="-3"/>
        </w:rPr>
        <w:t xml:space="preserve"> </w:t>
      </w:r>
      <w:r>
        <w:t>This</w:t>
      </w:r>
      <w:r>
        <w:rPr>
          <w:spacing w:val="-2"/>
        </w:rPr>
        <w:t xml:space="preserve"> </w:t>
      </w:r>
      <w:r>
        <w:t>overall</w:t>
      </w:r>
      <w:r>
        <w:rPr>
          <w:spacing w:val="-3"/>
        </w:rPr>
        <w:t xml:space="preserve"> </w:t>
      </w:r>
      <w:r>
        <w:t>pattern</w:t>
      </w:r>
      <w:r>
        <w:rPr>
          <w:spacing w:val="-4"/>
        </w:rPr>
        <w:t xml:space="preserve"> </w:t>
      </w:r>
      <w:r>
        <w:t>was</w:t>
      </w:r>
      <w:r>
        <w:rPr>
          <w:spacing w:val="-2"/>
        </w:rPr>
        <w:t xml:space="preserve"> </w:t>
      </w:r>
      <w:r>
        <w:t>consistent</w:t>
      </w:r>
      <w:r>
        <w:rPr>
          <w:spacing w:val="-4"/>
        </w:rPr>
        <w:t xml:space="preserve"> </w:t>
      </w:r>
      <w:r>
        <w:t>with</w:t>
      </w:r>
      <w:r>
        <w:rPr>
          <w:spacing w:val="-3"/>
        </w:rPr>
        <w:t xml:space="preserve"> </w:t>
      </w:r>
      <w:r>
        <w:t>TRAEs</w:t>
      </w:r>
      <w:r>
        <w:rPr>
          <w:spacing w:val="-2"/>
        </w:rPr>
        <w:t xml:space="preserve"> </w:t>
      </w:r>
      <w:r>
        <w:t>(ICP-CL-00107</w:t>
      </w:r>
      <w:r>
        <w:rPr>
          <w:spacing w:val="-3"/>
        </w:rPr>
        <w:t xml:space="preserve"> </w:t>
      </w:r>
      <w:r>
        <w:t>had</w:t>
      </w:r>
      <w:r>
        <w:rPr>
          <w:spacing w:val="-6"/>
        </w:rPr>
        <w:t xml:space="preserve"> </w:t>
      </w:r>
      <w:r>
        <w:t>much</w:t>
      </w:r>
      <w:r>
        <w:rPr>
          <w:spacing w:val="-3"/>
        </w:rPr>
        <w:t xml:space="preserve"> </w:t>
      </w:r>
      <w:r>
        <w:t>lower</w:t>
      </w:r>
      <w:r w:rsidR="007021C2">
        <w:t xml:space="preserve"> </w:t>
      </w:r>
      <w:r>
        <w:t xml:space="preserve">rates of TRAEs than ICP-CL-00102). Common TEAEs occurred </w:t>
      </w:r>
      <w:r w:rsidRPr="00EE28C3">
        <w:t>in blood count abnormalities</w:t>
      </w:r>
      <w:r w:rsidRPr="00EE28C3">
        <w:rPr>
          <w:spacing w:val="-4"/>
        </w:rPr>
        <w:t xml:space="preserve"> </w:t>
      </w:r>
      <w:r w:rsidRPr="00EE28C3">
        <w:t>and</w:t>
      </w:r>
      <w:r w:rsidRPr="00EE28C3">
        <w:rPr>
          <w:spacing w:val="-4"/>
        </w:rPr>
        <w:t xml:space="preserve"> </w:t>
      </w:r>
      <w:r w:rsidRPr="00EE28C3">
        <w:t>infections</w:t>
      </w:r>
      <w:r w:rsidRPr="007021C2">
        <w:rPr>
          <w:b/>
          <w:spacing w:val="-4"/>
        </w:rPr>
        <w:t xml:space="preserve"> </w:t>
      </w:r>
      <w:r>
        <w:t>(in</w:t>
      </w:r>
      <w:r w:rsidRPr="007021C2">
        <w:rPr>
          <w:spacing w:val="-4"/>
        </w:rPr>
        <w:t xml:space="preserve"> </w:t>
      </w:r>
      <w:r>
        <w:t>&gt;60%</w:t>
      </w:r>
      <w:r w:rsidRPr="007021C2">
        <w:rPr>
          <w:spacing w:val="-3"/>
        </w:rPr>
        <w:t xml:space="preserve"> </w:t>
      </w:r>
      <w:r>
        <w:t>of</w:t>
      </w:r>
      <w:r w:rsidRPr="007021C2">
        <w:rPr>
          <w:spacing w:val="-3"/>
        </w:rPr>
        <w:t xml:space="preserve"> </w:t>
      </w:r>
      <w:r>
        <w:t>patients</w:t>
      </w:r>
      <w:r w:rsidRPr="007021C2">
        <w:rPr>
          <w:spacing w:val="-5"/>
        </w:rPr>
        <w:t xml:space="preserve"> </w:t>
      </w:r>
      <w:r>
        <w:t>across</w:t>
      </w:r>
      <w:r w:rsidRPr="007021C2">
        <w:rPr>
          <w:spacing w:val="-5"/>
        </w:rPr>
        <w:t xml:space="preserve"> </w:t>
      </w:r>
      <w:r>
        <w:t>all</w:t>
      </w:r>
      <w:r w:rsidRPr="007021C2">
        <w:rPr>
          <w:spacing w:val="-3"/>
        </w:rPr>
        <w:t xml:space="preserve"> </w:t>
      </w:r>
      <w:r>
        <w:t>studies,</w:t>
      </w:r>
      <w:r w:rsidRPr="007021C2">
        <w:rPr>
          <w:spacing w:val="-3"/>
        </w:rPr>
        <w:t xml:space="preserve"> </w:t>
      </w:r>
      <w:r>
        <w:t>upper</w:t>
      </w:r>
      <w:r w:rsidRPr="007021C2">
        <w:rPr>
          <w:spacing w:val="-3"/>
        </w:rPr>
        <w:t xml:space="preserve"> </w:t>
      </w:r>
      <w:r>
        <w:t>respiratory tract infection, COVID-19, pneumonia and urinary tract infections most commonly).</w:t>
      </w:r>
    </w:p>
    <w:p w14:paraId="225CAEC1" w14:textId="46962C50" w:rsidR="00136533" w:rsidRPr="007021C2" w:rsidRDefault="00136533" w:rsidP="00F7027E">
      <w:pPr>
        <w:pStyle w:val="ListBullet"/>
      </w:pPr>
      <w:r w:rsidRPr="007021C2">
        <w:t>Diarrhoea was common in ICP-CL-00107 particularly (33% vs 13% in ICP-CL-00102). Haematuria and urinary occult blood positive (higher haematuria in ICP-CL-00107 and higher urinary occult blood positive in ICP-CL-00102) hypertension (across all studies</w:t>
      </w:r>
      <w:r w:rsidR="007021C2" w:rsidRPr="007021C2">
        <w:t xml:space="preserve"> </w:t>
      </w:r>
      <w:r w:rsidRPr="007021C2">
        <w:t>&gt;10%) and cough (across all studies &gt;10%) occurred commonly. Rates of contusion were high in ICP-CL-00107 (11.6%). It is unclear why this is, although contusion may occur more commonly in context of haematological and consequentially occurring bleeding disorders.</w:t>
      </w:r>
    </w:p>
    <w:p w14:paraId="58A8E94B" w14:textId="77777777" w:rsidR="00136533" w:rsidRDefault="00136533" w:rsidP="00F7027E">
      <w:pPr>
        <w:pStyle w:val="ListBullet"/>
      </w:pPr>
      <w:r w:rsidRPr="000D1542">
        <w:t>Other TEAEs of note, occurring at rates &lt;10% included blood creatinine increased, hyperlipidaemia, hypertriglyceridaemia and hypercholesterolaemia (&gt;3% in ICP-CL-00102 and</w:t>
      </w:r>
      <w:r w:rsidRPr="000D1542">
        <w:rPr>
          <w:spacing w:val="-1"/>
        </w:rPr>
        <w:t xml:space="preserve"> </w:t>
      </w:r>
      <w:r w:rsidRPr="000D1542">
        <w:t>ICP-CL-00127, with none reported</w:t>
      </w:r>
      <w:r w:rsidRPr="000D1542">
        <w:rPr>
          <w:spacing w:val="-1"/>
        </w:rPr>
        <w:t xml:space="preserve"> </w:t>
      </w:r>
      <w:r w:rsidRPr="000D1542">
        <w:t>in</w:t>
      </w:r>
      <w:r w:rsidRPr="000D1542">
        <w:rPr>
          <w:spacing w:val="-4"/>
        </w:rPr>
        <w:t xml:space="preserve"> </w:t>
      </w:r>
      <w:r w:rsidRPr="000D1542">
        <w:t>ICP-CL-00107), pneumonitis (14% ICP-CL-00102 vs 0% ICP-CL-00107, however, dyspnoea occurred in 11.6% in ICP-CL-00107 with 0%</w:t>
      </w:r>
      <w:r w:rsidRPr="000D1542">
        <w:rPr>
          <w:spacing w:val="-3"/>
        </w:rPr>
        <w:t xml:space="preserve"> </w:t>
      </w:r>
      <w:r w:rsidRPr="000D1542">
        <w:t>in</w:t>
      </w:r>
      <w:r w:rsidRPr="000D1542">
        <w:rPr>
          <w:spacing w:val="-1"/>
        </w:rPr>
        <w:t xml:space="preserve"> </w:t>
      </w:r>
      <w:r w:rsidRPr="000D1542">
        <w:t>ICP-CL-00102) and</w:t>
      </w:r>
      <w:r w:rsidRPr="000D1542">
        <w:rPr>
          <w:spacing w:val="-1"/>
        </w:rPr>
        <w:t xml:space="preserve"> </w:t>
      </w:r>
      <w:r w:rsidRPr="000D1542">
        <w:t>sinus</w:t>
      </w:r>
      <w:r w:rsidRPr="000D1542">
        <w:rPr>
          <w:spacing w:val="-1"/>
        </w:rPr>
        <w:t xml:space="preserve"> </w:t>
      </w:r>
      <w:r w:rsidRPr="000D1542">
        <w:t>bradycardia</w:t>
      </w:r>
      <w:r w:rsidRPr="000D1542">
        <w:rPr>
          <w:spacing w:val="-1"/>
        </w:rPr>
        <w:t xml:space="preserve"> </w:t>
      </w:r>
      <w:r w:rsidRPr="000D1542">
        <w:t>(4-8% across studies</w:t>
      </w:r>
      <w:r>
        <w:t>). Higher pneumonitis rates in ICP-CL-00102 may be related to higher rates of COVID-19</w:t>
      </w:r>
      <w:r>
        <w:rPr>
          <w:spacing w:val="40"/>
        </w:rPr>
        <w:t xml:space="preserve"> </w:t>
      </w:r>
      <w:r>
        <w:t>infection. The incidence of COVID-19 was 11.3% (12/106), 2.3% (1/43) and 16.3% (92/565) in ICP-CL-00102, ICP-CL-00107 and the B-cell malignancy pool respectively. Oedema occurred at varying rates (3.8-16.3%). Some additional differences in reported TRAEs were that the rates of investigation related TRAEs were much lower in ICP-CL-00107 (including myelosuppressive abnormalities) and rates of gastrointestinal TRAEs and fatigue were higher (including diarrhoea). TRAE oedema was low over all studies and rash (&gt;10%) was more common in ICP-CL-00102. There was a large difference in reported hypertension rates between ICP-CL-00102 and ICP-CL-00107 (17% vs 7%), however,</w:t>
      </w:r>
      <w:r>
        <w:rPr>
          <w:spacing w:val="-3"/>
        </w:rPr>
        <w:t xml:space="preserve"> </w:t>
      </w:r>
      <w:r>
        <w:t>this</w:t>
      </w:r>
      <w:r>
        <w:rPr>
          <w:spacing w:val="-2"/>
        </w:rPr>
        <w:t xml:space="preserve"> </w:t>
      </w:r>
      <w:r>
        <w:t>is</w:t>
      </w:r>
      <w:r>
        <w:rPr>
          <w:spacing w:val="-2"/>
        </w:rPr>
        <w:t xml:space="preserve"> </w:t>
      </w:r>
      <w:r>
        <w:t>unlikely</w:t>
      </w:r>
      <w:r>
        <w:rPr>
          <w:spacing w:val="-4"/>
        </w:rPr>
        <w:t xml:space="preserve"> </w:t>
      </w:r>
      <w:r>
        <w:t>to</w:t>
      </w:r>
      <w:r>
        <w:rPr>
          <w:spacing w:val="-3"/>
        </w:rPr>
        <w:t xml:space="preserve"> </w:t>
      </w:r>
      <w:r>
        <w:t>be</w:t>
      </w:r>
      <w:r>
        <w:rPr>
          <w:spacing w:val="-3"/>
        </w:rPr>
        <w:t xml:space="preserve"> </w:t>
      </w:r>
      <w:r>
        <w:t>of</w:t>
      </w:r>
      <w:r>
        <w:rPr>
          <w:spacing w:val="-3"/>
        </w:rPr>
        <w:t xml:space="preserve"> </w:t>
      </w:r>
      <w:r>
        <w:t>significance</w:t>
      </w:r>
      <w:r>
        <w:rPr>
          <w:spacing w:val="-3"/>
        </w:rPr>
        <w:t xml:space="preserve"> </w:t>
      </w:r>
      <w:r>
        <w:t>in</w:t>
      </w:r>
      <w:r>
        <w:rPr>
          <w:spacing w:val="-4"/>
        </w:rPr>
        <w:t xml:space="preserve"> </w:t>
      </w:r>
      <w:r>
        <w:t>practice.</w:t>
      </w:r>
      <w:r>
        <w:rPr>
          <w:spacing w:val="-3"/>
        </w:rPr>
        <w:t xml:space="preserve"> </w:t>
      </w:r>
      <w:r>
        <w:t>Although</w:t>
      </w:r>
      <w:r>
        <w:rPr>
          <w:spacing w:val="-6"/>
        </w:rPr>
        <w:t xml:space="preserve"> </w:t>
      </w:r>
      <w:r>
        <w:t>serious</w:t>
      </w:r>
      <w:r>
        <w:rPr>
          <w:spacing w:val="-2"/>
        </w:rPr>
        <w:t xml:space="preserve"> </w:t>
      </w:r>
      <w:r>
        <w:t>skin</w:t>
      </w:r>
      <w:r>
        <w:rPr>
          <w:spacing w:val="-4"/>
        </w:rPr>
        <w:t xml:space="preserve"> </w:t>
      </w:r>
      <w:r>
        <w:t>reactions did not occur, there were a few cases of Henoch-Schonlein purpura (0.9% in ICP-CL-</w:t>
      </w:r>
      <w:r>
        <w:rPr>
          <w:spacing w:val="-2"/>
        </w:rPr>
        <w:t>00102).</w:t>
      </w:r>
    </w:p>
    <w:p w14:paraId="311484AE" w14:textId="03C53822" w:rsidR="00136533" w:rsidRDefault="00136533" w:rsidP="00F7027E">
      <w:pPr>
        <w:pStyle w:val="ListBullet"/>
      </w:pPr>
      <w:r>
        <w:t xml:space="preserve">Of concern, there was a large variation in reported </w:t>
      </w:r>
      <w:r w:rsidRPr="007A2AD5">
        <w:rPr>
          <w:bCs/>
        </w:rPr>
        <w:t>cardiac disorders (26.4% vs 4.7%).</w:t>
      </w:r>
      <w:r w:rsidRPr="000D1542">
        <w:rPr>
          <w:b/>
        </w:rPr>
        <w:t xml:space="preserve"> </w:t>
      </w:r>
      <w:r>
        <w:t>Of note, this included discrepancy in rates of sinus bradycardia (5.7% vs 0%). The</w:t>
      </w:r>
      <w:r w:rsidRPr="000D1542">
        <w:rPr>
          <w:spacing w:val="-3"/>
        </w:rPr>
        <w:t xml:space="preserve"> </w:t>
      </w:r>
      <w:r>
        <w:t>B-cell</w:t>
      </w:r>
      <w:r w:rsidRPr="000D1542">
        <w:rPr>
          <w:spacing w:val="-3"/>
        </w:rPr>
        <w:t xml:space="preserve"> </w:t>
      </w:r>
      <w:r>
        <w:t>malignancy</w:t>
      </w:r>
      <w:r w:rsidRPr="000D1542">
        <w:rPr>
          <w:spacing w:val="-4"/>
        </w:rPr>
        <w:t xml:space="preserve"> </w:t>
      </w:r>
      <w:r>
        <w:t>pool</w:t>
      </w:r>
      <w:r w:rsidRPr="000D1542">
        <w:rPr>
          <w:spacing w:val="-3"/>
        </w:rPr>
        <w:t xml:space="preserve"> </w:t>
      </w:r>
      <w:r>
        <w:t>had</w:t>
      </w:r>
      <w:r w:rsidRPr="000D1542">
        <w:rPr>
          <w:spacing w:val="-4"/>
        </w:rPr>
        <w:t xml:space="preserve"> </w:t>
      </w:r>
      <w:r>
        <w:t>sinus</w:t>
      </w:r>
      <w:r w:rsidRPr="000D1542">
        <w:rPr>
          <w:spacing w:val="-2"/>
        </w:rPr>
        <w:t xml:space="preserve"> </w:t>
      </w:r>
      <w:r>
        <w:t>bradycardia</w:t>
      </w:r>
      <w:r w:rsidRPr="000D1542">
        <w:rPr>
          <w:spacing w:val="-3"/>
        </w:rPr>
        <w:t xml:space="preserve"> </w:t>
      </w:r>
      <w:r>
        <w:t>rates</w:t>
      </w:r>
      <w:r w:rsidRPr="000D1542">
        <w:rPr>
          <w:spacing w:val="-3"/>
        </w:rPr>
        <w:t xml:space="preserve"> </w:t>
      </w:r>
      <w:r>
        <w:t>of</w:t>
      </w:r>
      <w:r w:rsidRPr="000D1542">
        <w:rPr>
          <w:spacing w:val="-3"/>
        </w:rPr>
        <w:t xml:space="preserve"> </w:t>
      </w:r>
      <w:r>
        <w:t>6.4%.</w:t>
      </w:r>
      <w:r w:rsidRPr="000D1542">
        <w:rPr>
          <w:spacing w:val="-3"/>
        </w:rPr>
        <w:t xml:space="preserve"> </w:t>
      </w:r>
      <w:r>
        <w:t>ICP-CL-00102</w:t>
      </w:r>
      <w:r w:rsidRPr="000D1542">
        <w:rPr>
          <w:spacing w:val="-3"/>
        </w:rPr>
        <w:t xml:space="preserve"> </w:t>
      </w:r>
      <w:r>
        <w:t>reported rates of other</w:t>
      </w:r>
      <w:r w:rsidRPr="000D1542">
        <w:rPr>
          <w:spacing w:val="-1"/>
        </w:rPr>
        <w:t xml:space="preserve"> </w:t>
      </w:r>
      <w:r>
        <w:t>arrhythmias at</w:t>
      </w:r>
      <w:r w:rsidRPr="000D1542">
        <w:rPr>
          <w:spacing w:val="-2"/>
        </w:rPr>
        <w:t xml:space="preserve"> </w:t>
      </w:r>
      <w:r>
        <w:t>22.6% compared to 4.7% in</w:t>
      </w:r>
      <w:r w:rsidRPr="000D1542">
        <w:rPr>
          <w:spacing w:val="-1"/>
        </w:rPr>
        <w:t xml:space="preserve"> </w:t>
      </w:r>
      <w:r>
        <w:t>ICP-CL-00107 (pooled rate</w:t>
      </w:r>
      <w:r w:rsidRPr="000D1542">
        <w:rPr>
          <w:spacing w:val="-1"/>
        </w:rPr>
        <w:t xml:space="preserve"> </w:t>
      </w:r>
      <w:r>
        <w:t>by the evaluator). Whilst some of these arrhythmias are of questionable clinical significance, the rates remain highly discrepant. Pooled arrhythmia rates provided by the sponsor were lower and all grade 1-2 (&lt;5%). Although QTc prolongation was reported commonly in ICP-CL-00102 and 0% in ICP-CL-00107, the QTc specific study does not show significant QT prolongation concerns. Based on the concentration-QTc</w:t>
      </w:r>
      <w:r w:rsidR="000D1542">
        <w:t xml:space="preserve"> </w:t>
      </w:r>
      <w:r>
        <w:t>analysis, an effect on ΔΔQTcF exceeding 10</w:t>
      </w:r>
      <w:r w:rsidRPr="000D1542">
        <w:rPr>
          <w:spacing w:val="-1"/>
        </w:rPr>
        <w:t xml:space="preserve"> </w:t>
      </w:r>
      <w:r>
        <w:t>ms (the threshold for regulatory concern as described in ICH E14 guidelines) can be excluded within the full observed range of orelabrutinib</w:t>
      </w:r>
      <w:r w:rsidRPr="000D1542">
        <w:rPr>
          <w:spacing w:val="-4"/>
        </w:rPr>
        <w:t xml:space="preserve"> </w:t>
      </w:r>
      <w:r>
        <w:t>plasma</w:t>
      </w:r>
      <w:r w:rsidRPr="000D1542">
        <w:rPr>
          <w:spacing w:val="-3"/>
        </w:rPr>
        <w:t xml:space="preserve"> </w:t>
      </w:r>
      <w:r>
        <w:t>concentrations</w:t>
      </w:r>
      <w:r w:rsidRPr="000D1542">
        <w:rPr>
          <w:spacing w:val="-3"/>
        </w:rPr>
        <w:t xml:space="preserve"> </w:t>
      </w:r>
      <w:r>
        <w:t>up</w:t>
      </w:r>
      <w:r w:rsidRPr="000D1542">
        <w:rPr>
          <w:spacing w:val="-3"/>
        </w:rPr>
        <w:t xml:space="preserve"> </w:t>
      </w:r>
      <w:r>
        <w:t>to</w:t>
      </w:r>
      <w:r w:rsidRPr="000D1542">
        <w:rPr>
          <w:spacing w:val="-3"/>
        </w:rPr>
        <w:t xml:space="preserve"> </w:t>
      </w:r>
      <w:r>
        <w:t>~4550</w:t>
      </w:r>
      <w:r w:rsidRPr="000D1542">
        <w:rPr>
          <w:spacing w:val="-6"/>
        </w:rPr>
        <w:t xml:space="preserve"> </w:t>
      </w:r>
      <w:r>
        <w:t>ng/mL.</w:t>
      </w:r>
      <w:r w:rsidRPr="000D1542">
        <w:rPr>
          <w:spacing w:val="-4"/>
        </w:rPr>
        <w:t xml:space="preserve"> </w:t>
      </w:r>
      <w:r>
        <w:t>Although</w:t>
      </w:r>
      <w:r w:rsidRPr="000D1542">
        <w:rPr>
          <w:spacing w:val="-3"/>
        </w:rPr>
        <w:t xml:space="preserve"> </w:t>
      </w:r>
      <w:r>
        <w:t>the</w:t>
      </w:r>
      <w:r w:rsidRPr="000D1542">
        <w:rPr>
          <w:spacing w:val="-3"/>
        </w:rPr>
        <w:t xml:space="preserve"> </w:t>
      </w:r>
      <w:r>
        <w:t>populations</w:t>
      </w:r>
      <w:r w:rsidRPr="000D1542">
        <w:rPr>
          <w:spacing w:val="-3"/>
        </w:rPr>
        <w:t xml:space="preserve"> </w:t>
      </w:r>
      <w:r>
        <w:t xml:space="preserve">will have background risk of cardiac disorders and arrhythmias </w:t>
      </w:r>
      <w:r>
        <w:lastRenderedPageBreak/>
        <w:t>due to median age, these rates seem high (particularly for sinus bradycardia and arrhythmias), albeit the risk seems lower based on data in Caucasian populations.</w:t>
      </w:r>
    </w:p>
    <w:p w14:paraId="65B7B205" w14:textId="63CBD9F3" w:rsidR="00136533" w:rsidRDefault="00136533" w:rsidP="00F7027E">
      <w:pPr>
        <w:pStyle w:val="ListBullet"/>
      </w:pPr>
      <w:r>
        <w:t>Large discrepancies in &gt;/=grade 3 TRAEs existed between ICP-CL-00102 and ICP-CL-00107 particularly in terms of investigations (25.5% vs 4.7%) as well as infections (11.3%</w:t>
      </w:r>
      <w:r w:rsidRPr="000D1542">
        <w:rPr>
          <w:spacing w:val="-3"/>
        </w:rPr>
        <w:t xml:space="preserve"> </w:t>
      </w:r>
      <w:r>
        <w:t>vs</w:t>
      </w:r>
      <w:r w:rsidRPr="000D1542">
        <w:rPr>
          <w:spacing w:val="-2"/>
        </w:rPr>
        <w:t xml:space="preserve"> </w:t>
      </w:r>
      <w:r>
        <w:t>4.7%).</w:t>
      </w:r>
      <w:r w:rsidRPr="000D1542">
        <w:rPr>
          <w:spacing w:val="-3"/>
        </w:rPr>
        <w:t xml:space="preserve"> </w:t>
      </w:r>
      <w:r>
        <w:t>Hypertension</w:t>
      </w:r>
      <w:r w:rsidRPr="000D1542">
        <w:rPr>
          <w:spacing w:val="-4"/>
        </w:rPr>
        <w:t xml:space="preserve"> </w:t>
      </w:r>
      <w:r>
        <w:t>rates</w:t>
      </w:r>
      <w:r w:rsidRPr="000D1542">
        <w:rPr>
          <w:spacing w:val="-2"/>
        </w:rPr>
        <w:t xml:space="preserve"> </w:t>
      </w:r>
      <w:r>
        <w:t>were</w:t>
      </w:r>
      <w:r w:rsidRPr="000D1542">
        <w:rPr>
          <w:spacing w:val="-3"/>
        </w:rPr>
        <w:t xml:space="preserve"> </w:t>
      </w:r>
      <w:r>
        <w:t>similar.</w:t>
      </w:r>
      <w:r w:rsidRPr="000D1542">
        <w:rPr>
          <w:spacing w:val="-6"/>
        </w:rPr>
        <w:t xml:space="preserve"> </w:t>
      </w:r>
      <w:r>
        <w:t>Pneumonia</w:t>
      </w:r>
      <w:r w:rsidRPr="000D1542">
        <w:rPr>
          <w:spacing w:val="-3"/>
        </w:rPr>
        <w:t xml:space="preserve"> </w:t>
      </w:r>
      <w:r>
        <w:t>was</w:t>
      </w:r>
      <w:r w:rsidRPr="000D1542">
        <w:rPr>
          <w:spacing w:val="-2"/>
        </w:rPr>
        <w:t xml:space="preserve"> </w:t>
      </w:r>
      <w:r>
        <w:t>a</w:t>
      </w:r>
      <w:r w:rsidRPr="000D1542">
        <w:rPr>
          <w:spacing w:val="-4"/>
        </w:rPr>
        <w:t xml:space="preserve"> </w:t>
      </w:r>
      <w:r>
        <w:t>significant</w:t>
      </w:r>
      <w:r w:rsidRPr="000D1542">
        <w:rPr>
          <w:spacing w:val="-4"/>
        </w:rPr>
        <w:t xml:space="preserve"> </w:t>
      </w:r>
      <w:r>
        <w:t>cause</w:t>
      </w:r>
      <w:r w:rsidRPr="000D1542">
        <w:rPr>
          <w:spacing w:val="-3"/>
        </w:rPr>
        <w:t xml:space="preserve"> </w:t>
      </w:r>
      <w:r>
        <w:t>of</w:t>
      </w:r>
      <w:r w:rsidR="000D1542">
        <w:t xml:space="preserve"> </w:t>
      </w:r>
      <w:r>
        <w:t>&gt;/=grade 3 TEAE</w:t>
      </w:r>
      <w:r w:rsidR="0055199E">
        <w:t xml:space="preserve"> </w:t>
      </w:r>
      <w:r>
        <w:t>and accounted for a common cause of SAEs across studies. Grade &gt;/=3 pneumonitis occurred in 2.8%</w:t>
      </w:r>
      <w:r w:rsidRPr="000D1542">
        <w:rPr>
          <w:spacing w:val="-3"/>
        </w:rPr>
        <w:t xml:space="preserve"> </w:t>
      </w:r>
      <w:r>
        <w:t>of</w:t>
      </w:r>
      <w:r w:rsidRPr="000D1542">
        <w:rPr>
          <w:spacing w:val="-3"/>
        </w:rPr>
        <w:t xml:space="preserve"> </w:t>
      </w:r>
      <w:r>
        <w:t>ICP-CL-00102.</w:t>
      </w:r>
      <w:r w:rsidRPr="000D1542">
        <w:rPr>
          <w:spacing w:val="-3"/>
        </w:rPr>
        <w:t xml:space="preserve"> </w:t>
      </w:r>
      <w:r>
        <w:t>TRAEs</w:t>
      </w:r>
      <w:r w:rsidRPr="000D1542">
        <w:rPr>
          <w:spacing w:val="-2"/>
        </w:rPr>
        <w:t xml:space="preserve"> </w:t>
      </w:r>
      <w:r>
        <w:t>across</w:t>
      </w:r>
      <w:r w:rsidRPr="000D1542">
        <w:rPr>
          <w:spacing w:val="-2"/>
        </w:rPr>
        <w:t xml:space="preserve"> </w:t>
      </w:r>
      <w:r>
        <w:t>other</w:t>
      </w:r>
      <w:r w:rsidRPr="000D1542">
        <w:rPr>
          <w:spacing w:val="-4"/>
        </w:rPr>
        <w:t xml:space="preserve"> </w:t>
      </w:r>
      <w:r>
        <w:t>studies</w:t>
      </w:r>
      <w:r w:rsidRPr="000D1542">
        <w:rPr>
          <w:spacing w:val="-4"/>
        </w:rPr>
        <w:t xml:space="preserve"> </w:t>
      </w:r>
      <w:r>
        <w:t>in</w:t>
      </w:r>
      <w:r w:rsidRPr="000D1542">
        <w:rPr>
          <w:spacing w:val="-4"/>
        </w:rPr>
        <w:t xml:space="preserve"> </w:t>
      </w:r>
      <w:r>
        <w:t>Chinese</w:t>
      </w:r>
      <w:r w:rsidRPr="000D1542">
        <w:rPr>
          <w:spacing w:val="-3"/>
        </w:rPr>
        <w:t xml:space="preserve"> </w:t>
      </w:r>
      <w:r>
        <w:t>populations</w:t>
      </w:r>
      <w:r w:rsidRPr="000D1542">
        <w:rPr>
          <w:spacing w:val="-3"/>
        </w:rPr>
        <w:t xml:space="preserve"> </w:t>
      </w:r>
      <w:r>
        <w:t>(and</w:t>
      </w:r>
      <w:r w:rsidRPr="000D1542">
        <w:rPr>
          <w:spacing w:val="-4"/>
        </w:rPr>
        <w:t xml:space="preserve"> </w:t>
      </w:r>
      <w:r>
        <w:t>other</w:t>
      </w:r>
      <w:r w:rsidRPr="000D1542">
        <w:rPr>
          <w:spacing w:val="-4"/>
        </w:rPr>
        <w:t xml:space="preserve"> </w:t>
      </w:r>
      <w:r>
        <w:t>B-cell malignancies) showed consistent TRAE profiles to ICP-CL-00102.</w:t>
      </w:r>
    </w:p>
    <w:p w14:paraId="2DDAC65A" w14:textId="7D391A88" w:rsidR="00136533" w:rsidRDefault="00136533" w:rsidP="00F7027E">
      <w:pPr>
        <w:pStyle w:val="ListBullet"/>
      </w:pPr>
      <w:r>
        <w:t>In terms of severe events, TEAEs leading to death were uncommon and no TRAEs lead to</w:t>
      </w:r>
      <w:r w:rsidRPr="000D1542">
        <w:rPr>
          <w:spacing w:val="-2"/>
        </w:rPr>
        <w:t xml:space="preserve"> </w:t>
      </w:r>
      <w:r>
        <w:t>death</w:t>
      </w:r>
      <w:r w:rsidRPr="000D1542">
        <w:rPr>
          <w:spacing w:val="-5"/>
        </w:rPr>
        <w:t xml:space="preserve"> </w:t>
      </w:r>
      <w:r>
        <w:t>in</w:t>
      </w:r>
      <w:r w:rsidRPr="000D1542">
        <w:rPr>
          <w:spacing w:val="-3"/>
        </w:rPr>
        <w:t xml:space="preserve"> </w:t>
      </w:r>
      <w:r>
        <w:t>the</w:t>
      </w:r>
      <w:r w:rsidRPr="000D1542">
        <w:rPr>
          <w:spacing w:val="-2"/>
        </w:rPr>
        <w:t xml:space="preserve"> </w:t>
      </w:r>
      <w:r>
        <w:t>main</w:t>
      </w:r>
      <w:r w:rsidRPr="000D1542">
        <w:rPr>
          <w:spacing w:val="-3"/>
        </w:rPr>
        <w:t xml:space="preserve"> </w:t>
      </w:r>
      <w:r>
        <w:t>R/R</w:t>
      </w:r>
      <w:r w:rsidRPr="000D1542">
        <w:rPr>
          <w:spacing w:val="-6"/>
        </w:rPr>
        <w:t xml:space="preserve"> </w:t>
      </w:r>
      <w:r>
        <w:t>MCL</w:t>
      </w:r>
      <w:r w:rsidRPr="000D1542">
        <w:rPr>
          <w:spacing w:val="-3"/>
        </w:rPr>
        <w:t xml:space="preserve"> </w:t>
      </w:r>
      <w:r>
        <w:t>populations.</w:t>
      </w:r>
      <w:r w:rsidRPr="000D1542">
        <w:rPr>
          <w:spacing w:val="-2"/>
        </w:rPr>
        <w:t xml:space="preserve"> </w:t>
      </w:r>
      <w:r>
        <w:t>The</w:t>
      </w:r>
      <w:r w:rsidRPr="000D1542">
        <w:rPr>
          <w:spacing w:val="-2"/>
        </w:rPr>
        <w:t xml:space="preserve"> </w:t>
      </w:r>
      <w:r>
        <w:t>listed</w:t>
      </w:r>
      <w:r w:rsidRPr="000D1542">
        <w:rPr>
          <w:spacing w:val="-2"/>
        </w:rPr>
        <w:t xml:space="preserve"> </w:t>
      </w:r>
      <w:r>
        <w:t>reasons</w:t>
      </w:r>
      <w:r w:rsidRPr="000D1542">
        <w:rPr>
          <w:spacing w:val="-2"/>
        </w:rPr>
        <w:t xml:space="preserve"> </w:t>
      </w:r>
      <w:r>
        <w:t>for</w:t>
      </w:r>
      <w:r w:rsidRPr="000D1542">
        <w:rPr>
          <w:spacing w:val="-2"/>
        </w:rPr>
        <w:t xml:space="preserve"> </w:t>
      </w:r>
      <w:r>
        <w:t>TEAE</w:t>
      </w:r>
      <w:r w:rsidRPr="000D1542">
        <w:rPr>
          <w:spacing w:val="-2"/>
        </w:rPr>
        <w:t xml:space="preserve"> </w:t>
      </w:r>
      <w:r>
        <w:t>leading</w:t>
      </w:r>
      <w:r w:rsidRPr="000D1542">
        <w:rPr>
          <w:spacing w:val="-1"/>
        </w:rPr>
        <w:t xml:space="preserve"> </w:t>
      </w:r>
      <w:r>
        <w:t>to</w:t>
      </w:r>
      <w:r w:rsidRPr="000D1542">
        <w:rPr>
          <w:spacing w:val="-2"/>
        </w:rPr>
        <w:t xml:space="preserve"> </w:t>
      </w:r>
      <w:r>
        <w:t>death did not suggest a safety concern (as expected due to haematological malignancy, infections were</w:t>
      </w:r>
      <w:r w:rsidRPr="000D1542">
        <w:rPr>
          <w:spacing w:val="-1"/>
        </w:rPr>
        <w:t xml:space="preserve"> </w:t>
      </w:r>
      <w:r>
        <w:t>a</w:t>
      </w:r>
      <w:r w:rsidRPr="000D1542">
        <w:rPr>
          <w:spacing w:val="-5"/>
        </w:rPr>
        <w:t xml:space="preserve"> </w:t>
      </w:r>
      <w:r>
        <w:t>high</w:t>
      </w:r>
      <w:r w:rsidRPr="000D1542">
        <w:rPr>
          <w:spacing w:val="-4"/>
        </w:rPr>
        <w:t xml:space="preserve"> </w:t>
      </w:r>
      <w:r>
        <w:t>contributor).</w:t>
      </w:r>
      <w:r w:rsidRPr="000D1542">
        <w:rPr>
          <w:spacing w:val="-4"/>
        </w:rPr>
        <w:t xml:space="preserve"> </w:t>
      </w:r>
      <w:r>
        <w:t>There</w:t>
      </w:r>
      <w:r w:rsidRPr="000D1542">
        <w:rPr>
          <w:spacing w:val="-1"/>
        </w:rPr>
        <w:t xml:space="preserve"> </w:t>
      </w:r>
      <w:r>
        <w:t>were</w:t>
      </w:r>
      <w:r w:rsidRPr="000D1542">
        <w:rPr>
          <w:spacing w:val="-1"/>
        </w:rPr>
        <w:t xml:space="preserve"> </w:t>
      </w:r>
      <w:r>
        <w:t>no</w:t>
      </w:r>
      <w:r w:rsidRPr="000D1542">
        <w:rPr>
          <w:spacing w:val="-4"/>
        </w:rPr>
        <w:t xml:space="preserve"> </w:t>
      </w:r>
      <w:r>
        <w:t>concerning patterns or</w:t>
      </w:r>
      <w:r w:rsidRPr="000D1542">
        <w:rPr>
          <w:spacing w:val="-2"/>
        </w:rPr>
        <w:t xml:space="preserve"> </w:t>
      </w:r>
      <w:r>
        <w:t>flags in</w:t>
      </w:r>
      <w:r w:rsidRPr="000D1542">
        <w:rPr>
          <w:spacing w:val="-2"/>
        </w:rPr>
        <w:t xml:space="preserve"> </w:t>
      </w:r>
      <w:r>
        <w:t>SAEs due to TEAEs in ICP-CL-00102, ICP-CL-00107 or ICP-CL-00127. Haemorrhage was identified as a common grouped term TEAE (which was not displayed in the individual</w:t>
      </w:r>
      <w:r w:rsidR="000D1542">
        <w:t xml:space="preserve"> </w:t>
      </w:r>
      <w:r>
        <w:t>studies). The rates were</w:t>
      </w:r>
      <w:r w:rsidRPr="000D1542">
        <w:rPr>
          <w:spacing w:val="-3"/>
        </w:rPr>
        <w:t xml:space="preserve"> </w:t>
      </w:r>
      <w:r>
        <w:t>similar across</w:t>
      </w:r>
      <w:r w:rsidRPr="000D1542">
        <w:rPr>
          <w:spacing w:val="-2"/>
        </w:rPr>
        <w:t xml:space="preserve"> </w:t>
      </w:r>
      <w:r>
        <w:t>all studies (24.4-34.9%) with purpura/petechiae and</w:t>
      </w:r>
      <w:r w:rsidRPr="000D1542">
        <w:rPr>
          <w:spacing w:val="-4"/>
        </w:rPr>
        <w:t xml:space="preserve"> </w:t>
      </w:r>
      <w:r>
        <w:t>bruising</w:t>
      </w:r>
      <w:r w:rsidRPr="000D1542">
        <w:rPr>
          <w:spacing w:val="-2"/>
        </w:rPr>
        <w:t xml:space="preserve"> </w:t>
      </w:r>
      <w:r>
        <w:t>not</w:t>
      </w:r>
      <w:r w:rsidRPr="000D1542">
        <w:rPr>
          <w:spacing w:val="-3"/>
        </w:rPr>
        <w:t xml:space="preserve"> </w:t>
      </w:r>
      <w:r>
        <w:t>the</w:t>
      </w:r>
      <w:r w:rsidRPr="000D1542">
        <w:rPr>
          <w:spacing w:val="-3"/>
        </w:rPr>
        <w:t xml:space="preserve"> </w:t>
      </w:r>
      <w:r>
        <w:t>only</w:t>
      </w:r>
      <w:r w:rsidRPr="000D1542">
        <w:rPr>
          <w:spacing w:val="-7"/>
        </w:rPr>
        <w:t xml:space="preserve"> </w:t>
      </w:r>
      <w:r>
        <w:t>contributors</w:t>
      </w:r>
      <w:r w:rsidRPr="000D1542">
        <w:rPr>
          <w:spacing w:val="-2"/>
        </w:rPr>
        <w:t xml:space="preserve"> </w:t>
      </w:r>
      <w:r>
        <w:t>to</w:t>
      </w:r>
      <w:r w:rsidRPr="000D1542">
        <w:rPr>
          <w:spacing w:val="-3"/>
        </w:rPr>
        <w:t xml:space="preserve"> </w:t>
      </w:r>
      <w:r>
        <w:t>the</w:t>
      </w:r>
      <w:r w:rsidRPr="000D1542">
        <w:rPr>
          <w:spacing w:val="-3"/>
        </w:rPr>
        <w:t xml:space="preserve"> </w:t>
      </w:r>
      <w:r>
        <w:t>pooled</w:t>
      </w:r>
      <w:r w:rsidRPr="000D1542">
        <w:rPr>
          <w:spacing w:val="-4"/>
        </w:rPr>
        <w:t xml:space="preserve"> </w:t>
      </w:r>
      <w:r>
        <w:t>haemorrhage</w:t>
      </w:r>
      <w:r w:rsidRPr="000D1542">
        <w:rPr>
          <w:spacing w:val="-3"/>
        </w:rPr>
        <w:t xml:space="preserve"> </w:t>
      </w:r>
      <w:r>
        <w:t>term.</w:t>
      </w:r>
      <w:r w:rsidRPr="000D1542">
        <w:rPr>
          <w:spacing w:val="-3"/>
        </w:rPr>
        <w:t xml:space="preserve"> </w:t>
      </w:r>
      <w:r>
        <w:t>Second</w:t>
      </w:r>
      <w:r w:rsidRPr="000D1542">
        <w:rPr>
          <w:spacing w:val="-4"/>
        </w:rPr>
        <w:t xml:space="preserve"> </w:t>
      </w:r>
      <w:r>
        <w:t>primary malignancies were not uncommon (5.8%</w:t>
      </w:r>
      <w:r w:rsidRPr="000D1542">
        <w:rPr>
          <w:spacing w:val="-2"/>
        </w:rPr>
        <w:t xml:space="preserve"> </w:t>
      </w:r>
      <w:r>
        <w:t>ICP-CL-00102, vs 7% ICP-CL-00107 vs 4.8% B cell</w:t>
      </w:r>
      <w:r w:rsidRPr="000D1542">
        <w:rPr>
          <w:spacing w:val="-2"/>
        </w:rPr>
        <w:t xml:space="preserve"> </w:t>
      </w:r>
      <w:r>
        <w:t>malignancy pool) and</w:t>
      </w:r>
      <w:r w:rsidRPr="000D1542">
        <w:rPr>
          <w:spacing w:val="-3"/>
        </w:rPr>
        <w:t xml:space="preserve"> </w:t>
      </w:r>
      <w:r>
        <w:t>were not predominantly accounted for by non-melanomatous skin</w:t>
      </w:r>
      <w:r w:rsidRPr="000D1542">
        <w:rPr>
          <w:spacing w:val="-1"/>
        </w:rPr>
        <w:t xml:space="preserve"> </w:t>
      </w:r>
      <w:r>
        <w:t>cancer</w:t>
      </w:r>
      <w:r w:rsidRPr="000D1542">
        <w:rPr>
          <w:spacing w:val="-1"/>
        </w:rPr>
        <w:t xml:space="preserve"> </w:t>
      </w:r>
      <w:r>
        <w:t>(no non-skin</w:t>
      </w:r>
      <w:r w:rsidRPr="000D1542">
        <w:rPr>
          <w:spacing w:val="-1"/>
        </w:rPr>
        <w:t xml:space="preserve"> </w:t>
      </w:r>
      <w:r>
        <w:t>cancer accounted</w:t>
      </w:r>
      <w:r w:rsidRPr="000D1542">
        <w:rPr>
          <w:spacing w:val="-1"/>
        </w:rPr>
        <w:t xml:space="preserve"> </w:t>
      </w:r>
      <w:r>
        <w:t>for &gt;1 event). This is unusual but</w:t>
      </w:r>
      <w:r w:rsidRPr="000D1542">
        <w:rPr>
          <w:spacing w:val="-3"/>
        </w:rPr>
        <w:t xml:space="preserve"> </w:t>
      </w:r>
      <w:r>
        <w:t>may</w:t>
      </w:r>
      <w:r w:rsidRPr="000D1542">
        <w:rPr>
          <w:spacing w:val="-1"/>
        </w:rPr>
        <w:t xml:space="preserve"> </w:t>
      </w:r>
      <w:r>
        <w:t>reflect orelabrutinib effect or the effect of previous treatment with rituximab or the disease itself. Reasons leading to dose reduction,</w:t>
      </w:r>
      <w:r w:rsidRPr="000D1542">
        <w:rPr>
          <w:spacing w:val="40"/>
        </w:rPr>
        <w:t xml:space="preserve"> </w:t>
      </w:r>
      <w:r>
        <w:t xml:space="preserve">interruption and withdrawal were typical of haematological malignancies and their treatments (e.g. infections and </w:t>
      </w:r>
      <w:r w:rsidR="0055199E">
        <w:t>cytopenia</w:t>
      </w:r>
      <w:r w:rsidR="00101792">
        <w:t>s</w:t>
      </w:r>
      <w:r>
        <w:t>).</w:t>
      </w:r>
    </w:p>
    <w:p w14:paraId="192E072E" w14:textId="5E2ED0A2" w:rsidR="00136533" w:rsidRDefault="00136533" w:rsidP="00587D73">
      <w:pPr>
        <w:pStyle w:val="ListBullet"/>
      </w:pPr>
      <w:r>
        <w:t>Liver function test abnormalities were common in ICP-CL-00102, but not common in ICP-CL-00107. In ICP-CL-00107, AST and ALT increases in laboratory abnormalities were</w:t>
      </w:r>
      <w:r w:rsidRPr="00101792">
        <w:rPr>
          <w:spacing w:val="-3"/>
        </w:rPr>
        <w:t xml:space="preserve"> </w:t>
      </w:r>
      <w:r>
        <w:t>more</w:t>
      </w:r>
      <w:r w:rsidRPr="00101792">
        <w:rPr>
          <w:spacing w:val="-2"/>
        </w:rPr>
        <w:t xml:space="preserve"> </w:t>
      </w:r>
      <w:r>
        <w:t>common</w:t>
      </w:r>
      <w:r w:rsidRPr="00101792">
        <w:rPr>
          <w:spacing w:val="-3"/>
        </w:rPr>
        <w:t xml:space="preserve"> </w:t>
      </w:r>
      <w:r>
        <w:t>than</w:t>
      </w:r>
      <w:r w:rsidRPr="00101792">
        <w:rPr>
          <w:spacing w:val="-3"/>
        </w:rPr>
        <w:t xml:space="preserve"> </w:t>
      </w:r>
      <w:r>
        <w:t>were</w:t>
      </w:r>
      <w:r w:rsidRPr="00101792">
        <w:rPr>
          <w:spacing w:val="-3"/>
        </w:rPr>
        <w:t xml:space="preserve"> </w:t>
      </w:r>
      <w:r>
        <w:t>reported</w:t>
      </w:r>
      <w:r w:rsidRPr="00101792">
        <w:rPr>
          <w:spacing w:val="-2"/>
        </w:rPr>
        <w:t xml:space="preserve"> </w:t>
      </w:r>
      <w:r>
        <w:t>as</w:t>
      </w:r>
      <w:r w:rsidRPr="00101792">
        <w:rPr>
          <w:spacing w:val="-5"/>
        </w:rPr>
        <w:t xml:space="preserve"> </w:t>
      </w:r>
      <w:r>
        <w:t>TEAEs,</w:t>
      </w:r>
      <w:r w:rsidRPr="00101792">
        <w:rPr>
          <w:spacing w:val="-5"/>
        </w:rPr>
        <w:t xml:space="preserve"> </w:t>
      </w:r>
      <w:r>
        <w:t>whilst</w:t>
      </w:r>
      <w:r w:rsidRPr="00101792">
        <w:rPr>
          <w:spacing w:val="-3"/>
        </w:rPr>
        <w:t xml:space="preserve"> </w:t>
      </w:r>
      <w:r>
        <w:t>in</w:t>
      </w:r>
      <w:r w:rsidRPr="00101792">
        <w:rPr>
          <w:spacing w:val="-3"/>
        </w:rPr>
        <w:t xml:space="preserve"> </w:t>
      </w:r>
      <w:r>
        <w:t>ICP-CL-00102</w:t>
      </w:r>
      <w:r w:rsidRPr="00101792">
        <w:rPr>
          <w:spacing w:val="-2"/>
        </w:rPr>
        <w:t xml:space="preserve"> </w:t>
      </w:r>
      <w:r>
        <w:t>the</w:t>
      </w:r>
      <w:r w:rsidRPr="00101792">
        <w:rPr>
          <w:spacing w:val="-2"/>
        </w:rPr>
        <w:t xml:space="preserve"> </w:t>
      </w:r>
      <w:r>
        <w:t>reverse was true (high grade abnormalities uncommon). There were no cases meeting the</w:t>
      </w:r>
      <w:r w:rsidR="00101792">
        <w:t xml:space="preserve"> </w:t>
      </w:r>
      <w:r>
        <w:t>criteria for Hy’s law. Most abnormalities in clinic chemistry were grade 1-2. Common grade</w:t>
      </w:r>
      <w:r w:rsidRPr="00101792">
        <w:rPr>
          <w:spacing w:val="-5"/>
        </w:rPr>
        <w:t xml:space="preserve"> </w:t>
      </w:r>
      <w:r>
        <w:t>1-2</w:t>
      </w:r>
      <w:r w:rsidRPr="00101792">
        <w:rPr>
          <w:spacing w:val="-5"/>
        </w:rPr>
        <w:t xml:space="preserve"> </w:t>
      </w:r>
      <w:r>
        <w:t>clinical</w:t>
      </w:r>
      <w:r w:rsidRPr="00101792">
        <w:rPr>
          <w:spacing w:val="-2"/>
        </w:rPr>
        <w:t xml:space="preserve"> </w:t>
      </w:r>
      <w:r>
        <w:t>chemistry</w:t>
      </w:r>
      <w:r w:rsidRPr="00101792">
        <w:rPr>
          <w:spacing w:val="-3"/>
        </w:rPr>
        <w:t xml:space="preserve"> </w:t>
      </w:r>
      <w:r>
        <w:t>abnormalities</w:t>
      </w:r>
      <w:r w:rsidRPr="00101792">
        <w:rPr>
          <w:spacing w:val="-1"/>
        </w:rPr>
        <w:t xml:space="preserve"> </w:t>
      </w:r>
      <w:r>
        <w:t>(&gt;10%</w:t>
      </w:r>
      <w:r w:rsidRPr="00101792">
        <w:rPr>
          <w:spacing w:val="-2"/>
        </w:rPr>
        <w:t xml:space="preserve"> </w:t>
      </w:r>
      <w:r>
        <w:t>in</w:t>
      </w:r>
      <w:r w:rsidRPr="00101792">
        <w:rPr>
          <w:spacing w:val="-3"/>
        </w:rPr>
        <w:t xml:space="preserve"> </w:t>
      </w:r>
      <w:r>
        <w:t>ICP-CL-00102</w:t>
      </w:r>
      <w:r w:rsidRPr="00101792">
        <w:rPr>
          <w:spacing w:val="-2"/>
        </w:rPr>
        <w:t xml:space="preserve"> </w:t>
      </w:r>
      <w:r>
        <w:t>with</w:t>
      </w:r>
      <w:r w:rsidRPr="00101792">
        <w:rPr>
          <w:spacing w:val="-2"/>
        </w:rPr>
        <w:t xml:space="preserve"> </w:t>
      </w:r>
      <w:r>
        <w:t>lower</w:t>
      </w:r>
      <w:r w:rsidRPr="00101792">
        <w:rPr>
          <w:spacing w:val="-2"/>
        </w:rPr>
        <w:t xml:space="preserve"> </w:t>
      </w:r>
      <w:r>
        <w:t>rates</w:t>
      </w:r>
      <w:r w:rsidRPr="00101792">
        <w:rPr>
          <w:spacing w:val="-4"/>
        </w:rPr>
        <w:t xml:space="preserve"> </w:t>
      </w:r>
      <w:r>
        <w:t>in ICP-CL-00107) included: hypoalbuminaemia, hypercholesterolaemia, increased LDH, hypertriglyceridaemia, hypocalcaemia (higher in ICP-CL-00107), hypokalaemia and hyponatraemia. Hyperglycaemia is also listed as a common TEAE in the summary of clinical safety.</w:t>
      </w:r>
    </w:p>
    <w:p w14:paraId="15D63133" w14:textId="6F2D5864" w:rsidR="00136533" w:rsidRDefault="00136533" w:rsidP="00587D73">
      <w:pPr>
        <w:pStyle w:val="ListBullet"/>
      </w:pPr>
      <w:r>
        <w:t>The most common cytopenia (TRAE) in relation to investigations was platelet count decreased, followed by neutrophil count decreased and white blood cell count decreased. Of note, ICP-CL-00107 had much lower rates of reported TRAE cytopenia’s than ICP-CL-00102, ICP-CL-00127 or the B-cell malignancy pool. Grade &gt;/=3 platelet count</w:t>
      </w:r>
      <w:r>
        <w:rPr>
          <w:spacing w:val="-2"/>
        </w:rPr>
        <w:t xml:space="preserve"> </w:t>
      </w:r>
      <w:r>
        <w:t>decreased</w:t>
      </w:r>
      <w:r>
        <w:rPr>
          <w:spacing w:val="-2"/>
        </w:rPr>
        <w:t xml:space="preserve"> </w:t>
      </w:r>
      <w:r>
        <w:t>and</w:t>
      </w:r>
      <w:r>
        <w:rPr>
          <w:spacing w:val="-2"/>
        </w:rPr>
        <w:t xml:space="preserve"> </w:t>
      </w:r>
      <w:r>
        <w:t>neutrophil</w:t>
      </w:r>
      <w:r>
        <w:rPr>
          <w:spacing w:val="-1"/>
        </w:rPr>
        <w:t xml:space="preserve"> </w:t>
      </w:r>
      <w:r>
        <w:t>count</w:t>
      </w:r>
      <w:r>
        <w:rPr>
          <w:spacing w:val="-3"/>
        </w:rPr>
        <w:t xml:space="preserve"> </w:t>
      </w:r>
      <w:r>
        <w:t>decreased</w:t>
      </w:r>
      <w:r>
        <w:rPr>
          <w:spacing w:val="-1"/>
        </w:rPr>
        <w:t xml:space="preserve"> </w:t>
      </w:r>
      <w:r>
        <w:t>were</w:t>
      </w:r>
      <w:r>
        <w:rPr>
          <w:spacing w:val="-1"/>
        </w:rPr>
        <w:t xml:space="preserve"> </w:t>
      </w:r>
      <w:r>
        <w:t>common</w:t>
      </w:r>
      <w:r>
        <w:rPr>
          <w:spacing w:val="-2"/>
        </w:rPr>
        <w:t xml:space="preserve"> </w:t>
      </w:r>
      <w:r>
        <w:t>and</w:t>
      </w:r>
      <w:r>
        <w:rPr>
          <w:spacing w:val="-2"/>
        </w:rPr>
        <w:t xml:space="preserve"> </w:t>
      </w:r>
      <w:r>
        <w:t>followed</w:t>
      </w:r>
      <w:r>
        <w:rPr>
          <w:spacing w:val="-4"/>
        </w:rPr>
        <w:t xml:space="preserve"> </w:t>
      </w:r>
      <w:r>
        <w:t>a</w:t>
      </w:r>
      <w:r>
        <w:rPr>
          <w:spacing w:val="-2"/>
        </w:rPr>
        <w:t xml:space="preserve"> </w:t>
      </w:r>
      <w:r>
        <w:t xml:space="preserve">similar pattern across studies as above. Grade &gt;/=3 anaemia and neutropenia were less common, with neutropenia &gt;/=grade 3 only occurring in ICP-CL-00107. </w:t>
      </w:r>
      <w:r w:rsidR="00101792">
        <w:t>Cytopenias</w:t>
      </w:r>
      <w:r>
        <w:t xml:space="preserve"> contributed to both SAEs (platelet count decreased 4.7% in ICP-CL-00102) and drug interruption, reduction and withdrawals (&lt;6% across studies). Haematological laboratory abnormalities were common (both higher and lower grade). However, cytopenias</w:t>
      </w:r>
      <w:r>
        <w:rPr>
          <w:spacing w:val="-3"/>
        </w:rPr>
        <w:t xml:space="preserve"> </w:t>
      </w:r>
      <w:r>
        <w:t>are</w:t>
      </w:r>
      <w:r>
        <w:rPr>
          <w:spacing w:val="-6"/>
        </w:rPr>
        <w:t xml:space="preserve"> </w:t>
      </w:r>
      <w:r>
        <w:t>common</w:t>
      </w:r>
      <w:r>
        <w:rPr>
          <w:spacing w:val="-6"/>
        </w:rPr>
        <w:t xml:space="preserve"> </w:t>
      </w:r>
      <w:r>
        <w:t>AEs</w:t>
      </w:r>
      <w:r>
        <w:rPr>
          <w:spacing w:val="-2"/>
        </w:rPr>
        <w:t xml:space="preserve"> </w:t>
      </w:r>
      <w:r>
        <w:t>in</w:t>
      </w:r>
      <w:r>
        <w:rPr>
          <w:spacing w:val="-4"/>
        </w:rPr>
        <w:t xml:space="preserve"> </w:t>
      </w:r>
      <w:r>
        <w:t>lymphoma</w:t>
      </w:r>
      <w:r>
        <w:rPr>
          <w:spacing w:val="-3"/>
        </w:rPr>
        <w:t xml:space="preserve"> </w:t>
      </w:r>
      <w:r>
        <w:t>treatments</w:t>
      </w:r>
      <w:r>
        <w:rPr>
          <w:spacing w:val="-3"/>
        </w:rPr>
        <w:t xml:space="preserve"> </w:t>
      </w:r>
      <w:r>
        <w:t>as</w:t>
      </w:r>
      <w:r>
        <w:rPr>
          <w:spacing w:val="-3"/>
        </w:rPr>
        <w:t xml:space="preserve"> </w:t>
      </w:r>
      <w:r>
        <w:t>well</w:t>
      </w:r>
      <w:r>
        <w:rPr>
          <w:spacing w:val="-3"/>
        </w:rPr>
        <w:t xml:space="preserve"> </w:t>
      </w:r>
      <w:r>
        <w:t>as</w:t>
      </w:r>
      <w:r>
        <w:rPr>
          <w:spacing w:val="-2"/>
        </w:rPr>
        <w:t xml:space="preserve"> </w:t>
      </w:r>
      <w:r>
        <w:t>in</w:t>
      </w:r>
      <w:r>
        <w:rPr>
          <w:spacing w:val="-4"/>
        </w:rPr>
        <w:t xml:space="preserve"> </w:t>
      </w:r>
      <w:r>
        <w:t>the</w:t>
      </w:r>
      <w:r>
        <w:rPr>
          <w:spacing w:val="-3"/>
        </w:rPr>
        <w:t xml:space="preserve"> </w:t>
      </w:r>
      <w:r>
        <w:t>disease</w:t>
      </w:r>
      <w:r>
        <w:rPr>
          <w:spacing w:val="-3"/>
        </w:rPr>
        <w:t xml:space="preserve"> </w:t>
      </w:r>
      <w:r>
        <w:t>process which are manageable generally with supportive care and experience. ECOG scores mostly remained stable across treatment.</w:t>
      </w:r>
    </w:p>
    <w:p w14:paraId="552A41ED" w14:textId="2DEC8088" w:rsidR="00136533" w:rsidRDefault="00136533" w:rsidP="00587D73">
      <w:pPr>
        <w:pStyle w:val="ListBullet"/>
      </w:pPr>
      <w:r>
        <w:t>Non-significant variations in AE rates occurred when analysed by sex. Generally lower rates of &gt;/=grade 3 TEAEs and SAEs were seen in the &lt;65 years population in MCL studies (and similar rates in the B-cell malignancy pool). TEAE leading to death were less</w:t>
      </w:r>
      <w:r>
        <w:rPr>
          <w:spacing w:val="-2"/>
        </w:rPr>
        <w:t xml:space="preserve"> </w:t>
      </w:r>
      <w:r>
        <w:t>common</w:t>
      </w:r>
      <w:r>
        <w:rPr>
          <w:spacing w:val="-3"/>
        </w:rPr>
        <w:t xml:space="preserve"> </w:t>
      </w:r>
      <w:r>
        <w:t>in</w:t>
      </w:r>
      <w:r>
        <w:rPr>
          <w:spacing w:val="-3"/>
        </w:rPr>
        <w:t xml:space="preserve"> </w:t>
      </w:r>
      <w:r>
        <w:t>the</w:t>
      </w:r>
      <w:r>
        <w:rPr>
          <w:spacing w:val="-2"/>
        </w:rPr>
        <w:t xml:space="preserve"> </w:t>
      </w:r>
      <w:r>
        <w:t>younger</w:t>
      </w:r>
      <w:r>
        <w:rPr>
          <w:spacing w:val="-2"/>
        </w:rPr>
        <w:t xml:space="preserve"> </w:t>
      </w:r>
      <w:r>
        <w:t>population.</w:t>
      </w:r>
      <w:r>
        <w:rPr>
          <w:spacing w:val="-3"/>
        </w:rPr>
        <w:t xml:space="preserve"> </w:t>
      </w:r>
      <w:r>
        <w:t>These</w:t>
      </w:r>
      <w:r>
        <w:rPr>
          <w:spacing w:val="-2"/>
        </w:rPr>
        <w:t xml:space="preserve"> </w:t>
      </w:r>
      <w:r>
        <w:t>results</w:t>
      </w:r>
      <w:r>
        <w:rPr>
          <w:spacing w:val="-2"/>
        </w:rPr>
        <w:t xml:space="preserve"> </w:t>
      </w:r>
      <w:r>
        <w:t>are</w:t>
      </w:r>
      <w:r>
        <w:rPr>
          <w:spacing w:val="-3"/>
        </w:rPr>
        <w:t xml:space="preserve"> </w:t>
      </w:r>
      <w:r>
        <w:t>not</w:t>
      </w:r>
      <w:r>
        <w:rPr>
          <w:spacing w:val="-2"/>
        </w:rPr>
        <w:t xml:space="preserve"> </w:t>
      </w:r>
      <w:r>
        <w:t>unexpected</w:t>
      </w:r>
      <w:r>
        <w:rPr>
          <w:spacing w:val="-3"/>
        </w:rPr>
        <w:t xml:space="preserve"> </w:t>
      </w:r>
      <w:r>
        <w:t>(i.e.</w:t>
      </w:r>
      <w:r>
        <w:rPr>
          <w:spacing w:val="-4"/>
        </w:rPr>
        <w:t xml:space="preserve"> </w:t>
      </w:r>
      <w:r>
        <w:t>that</w:t>
      </w:r>
      <w:r>
        <w:rPr>
          <w:spacing w:val="-3"/>
        </w:rPr>
        <w:t xml:space="preserve"> </w:t>
      </w:r>
      <w:r>
        <w:t>older patients</w:t>
      </w:r>
      <w:r>
        <w:rPr>
          <w:spacing w:val="-1"/>
        </w:rPr>
        <w:t xml:space="preserve"> </w:t>
      </w:r>
      <w:r>
        <w:t>have</w:t>
      </w:r>
      <w:r>
        <w:rPr>
          <w:spacing w:val="-2"/>
        </w:rPr>
        <w:t xml:space="preserve"> </w:t>
      </w:r>
      <w:r>
        <w:t>more</w:t>
      </w:r>
      <w:r>
        <w:rPr>
          <w:spacing w:val="-2"/>
        </w:rPr>
        <w:t xml:space="preserve"> </w:t>
      </w:r>
      <w:r>
        <w:t>significant AEs and are more likely to die). Only 15.7% of patients</w:t>
      </w:r>
      <w:r>
        <w:rPr>
          <w:spacing w:val="-2"/>
        </w:rPr>
        <w:t xml:space="preserve"> </w:t>
      </w:r>
      <w:r>
        <w:t>in the B-cell malignancy pool were white (88/562). In the B-cell malignancy pool, white patients seemed to experience less AEs (including SAEs and TEAEs leading to death) than Asian patients. White patients in ICP-CL-00107 seemed to experience lower rates</w:t>
      </w:r>
      <w:r>
        <w:rPr>
          <w:spacing w:val="40"/>
        </w:rPr>
        <w:t xml:space="preserve"> </w:t>
      </w:r>
      <w:r>
        <w:t xml:space="preserve">of AEs overall (and similar rates of TEAEs leading to death) compared to Asian patients in ICP-CL-00102. Rates of TRAEs </w:t>
      </w:r>
      <w:r>
        <w:lastRenderedPageBreak/>
        <w:t>were vastly lower in ICP-CL-00107. Whilst it does not seem that orelabrutinib is less safe in white populations, the vast difference in AE reporting between race is concerning for the reproducibility and conduct of the study between regions. The low rates of white patients overall, in the B-cell malignancy pool,</w:t>
      </w:r>
      <w:r>
        <w:rPr>
          <w:spacing w:val="40"/>
        </w:rPr>
        <w:t xml:space="preserve"> </w:t>
      </w:r>
      <w:r>
        <w:t>is also concerning for verification of safety. No information was provided on safety in varying degrees of renal impairment and no post-marketing data was provided.</w:t>
      </w:r>
    </w:p>
    <w:p w14:paraId="71CCAAE3" w14:textId="669CA225" w:rsidR="00136533" w:rsidRDefault="00136533" w:rsidP="00587D73">
      <w:pPr>
        <w:pStyle w:val="ListBullet"/>
      </w:pPr>
      <w:r>
        <w:t>Possibilities that may have affected the difference in AE rates between ICP-CL-00107 and ICP-CL-00102 include decreased exposure of orelabrutinib in ICP-CL-00107 due to higher average body weight, smaller numbers in ICP-CL-00107 and shorter median follow-up</w:t>
      </w:r>
      <w:r w:rsidRPr="00101792">
        <w:t xml:space="preserve"> </w:t>
      </w:r>
      <w:r>
        <w:t>or</w:t>
      </w:r>
      <w:r w:rsidRPr="00101792">
        <w:t xml:space="preserve"> </w:t>
      </w:r>
      <w:r>
        <w:t>regional</w:t>
      </w:r>
      <w:r w:rsidRPr="00101792">
        <w:t xml:space="preserve"> </w:t>
      </w:r>
      <w:r>
        <w:t>variations</w:t>
      </w:r>
      <w:r w:rsidRPr="00101792">
        <w:t xml:space="preserve"> </w:t>
      </w:r>
      <w:r>
        <w:t>in</w:t>
      </w:r>
      <w:r w:rsidRPr="00101792">
        <w:t xml:space="preserve"> </w:t>
      </w:r>
      <w:r>
        <w:t>AE</w:t>
      </w:r>
      <w:r w:rsidRPr="00101792">
        <w:t xml:space="preserve"> </w:t>
      </w:r>
      <w:r>
        <w:t>reporting</w:t>
      </w:r>
      <w:r w:rsidRPr="00101792">
        <w:t xml:space="preserve"> </w:t>
      </w:r>
      <w:r>
        <w:t>(i.e.</w:t>
      </w:r>
      <w:r w:rsidRPr="00101792">
        <w:t xml:space="preserve"> </w:t>
      </w:r>
      <w:r>
        <w:t>differences</w:t>
      </w:r>
      <w:r w:rsidRPr="00101792">
        <w:t xml:space="preserve"> </w:t>
      </w:r>
      <w:r>
        <w:t>in</w:t>
      </w:r>
      <w:r w:rsidRPr="00101792">
        <w:t xml:space="preserve"> </w:t>
      </w:r>
      <w:r>
        <w:t>causality</w:t>
      </w:r>
      <w:r w:rsidRPr="00101792">
        <w:t xml:space="preserve"> </w:t>
      </w:r>
      <w:r>
        <w:t>designation between disease related and drug related and/or significance of the abnormality). The population-PK modelling does not suggest PK is statistically significantly impacted</w:t>
      </w:r>
      <w:r w:rsidR="00101792">
        <w:t xml:space="preserve"> </w:t>
      </w:r>
      <w:r>
        <w:t>based on covariates including age, sex, race, Chinese origin or renal impairment. The claim</w:t>
      </w:r>
      <w:r w:rsidRPr="00101792">
        <w:t xml:space="preserve"> </w:t>
      </w:r>
      <w:r>
        <w:t>that</w:t>
      </w:r>
      <w:r w:rsidRPr="00101792">
        <w:t xml:space="preserve"> </w:t>
      </w:r>
      <w:r>
        <w:t>traditionally</w:t>
      </w:r>
      <w:r w:rsidRPr="00101792">
        <w:t xml:space="preserve"> </w:t>
      </w:r>
      <w:r>
        <w:t>EGFR</w:t>
      </w:r>
      <w:r w:rsidRPr="00101792">
        <w:t xml:space="preserve"> </w:t>
      </w:r>
      <w:r>
        <w:t>inhibition</w:t>
      </w:r>
      <w:r w:rsidRPr="00101792">
        <w:t xml:space="preserve"> </w:t>
      </w:r>
      <w:r>
        <w:t>related</w:t>
      </w:r>
      <w:r w:rsidRPr="00101792">
        <w:t xml:space="preserve"> </w:t>
      </w:r>
      <w:r>
        <w:t>AEs</w:t>
      </w:r>
      <w:r w:rsidRPr="00101792">
        <w:t xml:space="preserve"> </w:t>
      </w:r>
      <w:r>
        <w:t>(i.e.</w:t>
      </w:r>
      <w:r w:rsidRPr="00101792">
        <w:t xml:space="preserve"> </w:t>
      </w:r>
      <w:r>
        <w:t>rash</w:t>
      </w:r>
      <w:r w:rsidRPr="00101792">
        <w:t xml:space="preserve"> </w:t>
      </w:r>
      <w:r>
        <w:t>and</w:t>
      </w:r>
      <w:r w:rsidRPr="00101792">
        <w:t xml:space="preserve"> </w:t>
      </w:r>
      <w:r>
        <w:t>diarrhoea)</w:t>
      </w:r>
      <w:r w:rsidRPr="00101792">
        <w:t xml:space="preserve"> </w:t>
      </w:r>
      <w:r>
        <w:t>would</w:t>
      </w:r>
      <w:r w:rsidRPr="00101792">
        <w:t xml:space="preserve"> </w:t>
      </w:r>
      <w:r>
        <w:t>be reduced with orelabrutinib given reduced inhibition of EGFR compared to other BTKi cannot be firmly established based on the reported AE profile.</w:t>
      </w:r>
    </w:p>
    <w:p w14:paraId="53C4A7F2" w14:textId="2F1C53E2" w:rsidR="00136533" w:rsidRDefault="00B60D21" w:rsidP="00587D73">
      <w:pPr>
        <w:pStyle w:val="ListBullet"/>
      </w:pPr>
      <w:r>
        <w:t>The clinical evaluation noted that</w:t>
      </w:r>
      <w:r w:rsidR="00136533" w:rsidRPr="00101792">
        <w:t xml:space="preserve"> </w:t>
      </w:r>
      <w:r w:rsidR="00136533">
        <w:t>indirect comparative data suggests that orelabrutinib seems to cause less high grade TEAEs and SAEs than ibrutinib.</w:t>
      </w:r>
      <w:r w:rsidR="00136533" w:rsidRPr="00101792">
        <w:t xml:space="preserve"> </w:t>
      </w:r>
      <w:r w:rsidR="00136533">
        <w:t xml:space="preserve">It also has the advantage of less dose reductions due to TEAE compared to ibrutinib. </w:t>
      </w:r>
    </w:p>
    <w:p w14:paraId="3A6BD4E4" w14:textId="673A201B" w:rsidR="00136533" w:rsidRDefault="00136533" w:rsidP="00587D73">
      <w:pPr>
        <w:pStyle w:val="ListBullet"/>
      </w:pPr>
      <w:r>
        <w:t>When</w:t>
      </w:r>
      <w:r>
        <w:rPr>
          <w:spacing w:val="-4"/>
        </w:rPr>
        <w:t xml:space="preserve"> </w:t>
      </w:r>
      <w:r>
        <w:t>comparing</w:t>
      </w:r>
      <w:r>
        <w:rPr>
          <w:spacing w:val="-2"/>
        </w:rPr>
        <w:t xml:space="preserve"> </w:t>
      </w:r>
      <w:r>
        <w:t>safety</w:t>
      </w:r>
      <w:r>
        <w:rPr>
          <w:spacing w:val="-4"/>
        </w:rPr>
        <w:t xml:space="preserve"> </w:t>
      </w:r>
      <w:r>
        <w:t>data</w:t>
      </w:r>
      <w:r>
        <w:rPr>
          <w:spacing w:val="-3"/>
        </w:rPr>
        <w:t xml:space="preserve"> </w:t>
      </w:r>
      <w:r>
        <w:t>from</w:t>
      </w:r>
      <w:r>
        <w:rPr>
          <w:spacing w:val="-2"/>
        </w:rPr>
        <w:t xml:space="preserve"> </w:t>
      </w:r>
      <w:r>
        <w:t>other</w:t>
      </w:r>
      <w:r>
        <w:rPr>
          <w:spacing w:val="-3"/>
        </w:rPr>
        <w:t xml:space="preserve"> </w:t>
      </w:r>
      <w:r>
        <w:t>BTKi</w:t>
      </w:r>
      <w:r w:rsidR="004E58F3">
        <w:t>’s</w:t>
      </w:r>
      <w:r w:rsidR="004E58F3">
        <w:rPr>
          <w:spacing w:val="-2"/>
        </w:rPr>
        <w:t xml:space="preserve">, </w:t>
      </w:r>
      <w:r>
        <w:t>ibrutinib</w:t>
      </w:r>
      <w:r>
        <w:rPr>
          <w:spacing w:val="-4"/>
        </w:rPr>
        <w:t xml:space="preserve"> </w:t>
      </w:r>
      <w:r>
        <w:t>(comparator),</w:t>
      </w:r>
      <w:r>
        <w:rPr>
          <w:spacing w:val="-3"/>
        </w:rPr>
        <w:t xml:space="preserve"> </w:t>
      </w:r>
      <w:r>
        <w:t>acalabrutinib</w:t>
      </w:r>
      <w:r>
        <w:rPr>
          <w:spacing w:val="-4"/>
        </w:rPr>
        <w:t xml:space="preserve"> </w:t>
      </w:r>
      <w:r>
        <w:t>and Zanubrutinib, limitations of cross trial comparisons exist and must be acknowledged.</w:t>
      </w:r>
    </w:p>
    <w:p w14:paraId="2C9E2D2D" w14:textId="3E9B0C6E" w:rsidR="00585D89" w:rsidRDefault="00996BA6" w:rsidP="00B92002">
      <w:pPr>
        <w:pStyle w:val="Heading6"/>
      </w:pPr>
      <w:bookmarkStart w:id="84" w:name="_Toc103679298"/>
      <w:r>
        <w:t>R</w:t>
      </w:r>
      <w:r w:rsidR="00585D89">
        <w:t>ecommendation</w:t>
      </w:r>
      <w:r w:rsidR="00585D89">
        <w:rPr>
          <w:spacing w:val="-7"/>
        </w:rPr>
        <w:t xml:space="preserve"> </w:t>
      </w:r>
      <w:r w:rsidR="00585D89">
        <w:t>regarding</w:t>
      </w:r>
      <w:r w:rsidR="00585D89">
        <w:rPr>
          <w:spacing w:val="-11"/>
        </w:rPr>
        <w:t xml:space="preserve"> </w:t>
      </w:r>
      <w:r w:rsidR="00960617">
        <w:t>registration</w:t>
      </w:r>
      <w:r w:rsidR="00960617">
        <w:rPr>
          <w:spacing w:val="-7"/>
        </w:rPr>
        <w:t xml:space="preserve"> </w:t>
      </w:r>
      <w:r w:rsidR="00B92002">
        <w:t>following clinical evaluation</w:t>
      </w:r>
    </w:p>
    <w:p w14:paraId="4B37DE01" w14:textId="77777777" w:rsidR="00585D89" w:rsidRDefault="00585D89" w:rsidP="00585D89">
      <w:pPr>
        <w:pStyle w:val="BodyText"/>
        <w:spacing w:before="121"/>
        <w:ind w:left="23"/>
      </w:pPr>
      <w:r>
        <w:t>It</w:t>
      </w:r>
      <w:r>
        <w:rPr>
          <w:spacing w:val="-6"/>
        </w:rPr>
        <w:t xml:space="preserve"> </w:t>
      </w:r>
      <w:r>
        <w:t>is</w:t>
      </w:r>
      <w:r>
        <w:rPr>
          <w:spacing w:val="-3"/>
        </w:rPr>
        <w:t xml:space="preserve"> </w:t>
      </w:r>
      <w:r>
        <w:t>recommended</w:t>
      </w:r>
      <w:r>
        <w:rPr>
          <w:spacing w:val="-4"/>
        </w:rPr>
        <w:t xml:space="preserve"> </w:t>
      </w:r>
      <w:r>
        <w:t>that</w:t>
      </w:r>
      <w:r>
        <w:rPr>
          <w:spacing w:val="-5"/>
        </w:rPr>
        <w:t xml:space="preserve"> </w:t>
      </w:r>
      <w:r>
        <w:t>approval</w:t>
      </w:r>
      <w:r>
        <w:rPr>
          <w:spacing w:val="-4"/>
        </w:rPr>
        <w:t xml:space="preserve"> </w:t>
      </w:r>
      <w:r>
        <w:t>not</w:t>
      </w:r>
      <w:r>
        <w:rPr>
          <w:spacing w:val="-4"/>
        </w:rPr>
        <w:t xml:space="preserve"> </w:t>
      </w:r>
      <w:r>
        <w:t>be</w:t>
      </w:r>
      <w:r>
        <w:rPr>
          <w:spacing w:val="-4"/>
        </w:rPr>
        <w:t xml:space="preserve"> </w:t>
      </w:r>
      <w:r>
        <w:t>granted</w:t>
      </w:r>
      <w:r>
        <w:rPr>
          <w:spacing w:val="-5"/>
        </w:rPr>
        <w:t xml:space="preserve"> </w:t>
      </w:r>
      <w:r>
        <w:t>for</w:t>
      </w:r>
      <w:r>
        <w:rPr>
          <w:spacing w:val="-5"/>
        </w:rPr>
        <w:t xml:space="preserve"> </w:t>
      </w:r>
      <w:r>
        <w:t>the</w:t>
      </w:r>
      <w:r>
        <w:rPr>
          <w:spacing w:val="-4"/>
        </w:rPr>
        <w:t xml:space="preserve"> </w:t>
      </w:r>
      <w:r>
        <w:t>following</w:t>
      </w:r>
      <w:r>
        <w:rPr>
          <w:spacing w:val="-3"/>
        </w:rPr>
        <w:t xml:space="preserve"> </w:t>
      </w:r>
      <w:r>
        <w:t>proposed</w:t>
      </w:r>
      <w:r>
        <w:rPr>
          <w:spacing w:val="-6"/>
        </w:rPr>
        <w:t xml:space="preserve"> </w:t>
      </w:r>
      <w:r>
        <w:rPr>
          <w:spacing w:val="-2"/>
        </w:rPr>
        <w:t>indication:</w:t>
      </w:r>
    </w:p>
    <w:p w14:paraId="2833286D" w14:textId="31DBD624" w:rsidR="00585D89" w:rsidRDefault="00585D89" w:rsidP="00B92002">
      <w:pPr>
        <w:spacing w:before="119"/>
        <w:ind w:left="720"/>
        <w:rPr>
          <w:i/>
        </w:rPr>
      </w:pPr>
      <w:r>
        <w:rPr>
          <w:i/>
        </w:rPr>
        <w:t>H</w:t>
      </w:r>
      <w:r w:rsidR="00B92002">
        <w:rPr>
          <w:i/>
        </w:rPr>
        <w:t>ibruka</w:t>
      </w:r>
      <w:r>
        <w:rPr>
          <w:i/>
          <w:spacing w:val="-5"/>
        </w:rPr>
        <w:t xml:space="preserve"> </w:t>
      </w:r>
      <w:r>
        <w:rPr>
          <w:i/>
        </w:rPr>
        <w:t>is</w:t>
      </w:r>
      <w:r>
        <w:rPr>
          <w:i/>
          <w:spacing w:val="-4"/>
        </w:rPr>
        <w:t xml:space="preserve"> </w:t>
      </w:r>
      <w:r>
        <w:rPr>
          <w:i/>
        </w:rPr>
        <w:t>indicated</w:t>
      </w:r>
      <w:r>
        <w:rPr>
          <w:i/>
          <w:spacing w:val="-4"/>
        </w:rPr>
        <w:t xml:space="preserve"> </w:t>
      </w:r>
      <w:r>
        <w:rPr>
          <w:i/>
        </w:rPr>
        <w:t>for</w:t>
      </w:r>
      <w:r>
        <w:rPr>
          <w:i/>
          <w:spacing w:val="-5"/>
        </w:rPr>
        <w:t xml:space="preserve"> </w:t>
      </w:r>
      <w:r>
        <w:rPr>
          <w:i/>
        </w:rPr>
        <w:t>the</w:t>
      </w:r>
      <w:r>
        <w:rPr>
          <w:i/>
          <w:spacing w:val="-4"/>
        </w:rPr>
        <w:t xml:space="preserve"> </w:t>
      </w:r>
      <w:r>
        <w:rPr>
          <w:i/>
        </w:rPr>
        <w:t>treatment</w:t>
      </w:r>
      <w:r>
        <w:rPr>
          <w:i/>
          <w:spacing w:val="-3"/>
        </w:rPr>
        <w:t xml:space="preserve"> </w:t>
      </w:r>
      <w:r>
        <w:rPr>
          <w:i/>
        </w:rPr>
        <w:t>of</w:t>
      </w:r>
      <w:r>
        <w:rPr>
          <w:i/>
          <w:spacing w:val="-4"/>
        </w:rPr>
        <w:t xml:space="preserve"> </w:t>
      </w:r>
      <w:r>
        <w:rPr>
          <w:i/>
        </w:rPr>
        <w:t>adult</w:t>
      </w:r>
      <w:r>
        <w:rPr>
          <w:i/>
          <w:spacing w:val="-6"/>
        </w:rPr>
        <w:t xml:space="preserve"> </w:t>
      </w:r>
      <w:r>
        <w:rPr>
          <w:i/>
        </w:rPr>
        <w:t>patients</w:t>
      </w:r>
      <w:r>
        <w:rPr>
          <w:i/>
          <w:spacing w:val="-4"/>
        </w:rPr>
        <w:t xml:space="preserve"> </w:t>
      </w:r>
      <w:r>
        <w:rPr>
          <w:i/>
        </w:rPr>
        <w:t>with</w:t>
      </w:r>
      <w:r>
        <w:rPr>
          <w:i/>
          <w:spacing w:val="-6"/>
        </w:rPr>
        <w:t xml:space="preserve"> </w:t>
      </w:r>
      <w:r>
        <w:rPr>
          <w:i/>
        </w:rPr>
        <w:t>mantle</w:t>
      </w:r>
      <w:r>
        <w:rPr>
          <w:i/>
          <w:spacing w:val="-4"/>
        </w:rPr>
        <w:t xml:space="preserve"> </w:t>
      </w:r>
      <w:r>
        <w:rPr>
          <w:i/>
        </w:rPr>
        <w:t>cell</w:t>
      </w:r>
      <w:r>
        <w:rPr>
          <w:i/>
          <w:spacing w:val="-2"/>
        </w:rPr>
        <w:t xml:space="preserve"> </w:t>
      </w:r>
      <w:r>
        <w:rPr>
          <w:i/>
        </w:rPr>
        <w:t>lymphoma</w:t>
      </w:r>
      <w:r>
        <w:rPr>
          <w:i/>
          <w:spacing w:val="-2"/>
        </w:rPr>
        <w:t xml:space="preserve"> </w:t>
      </w:r>
      <w:r>
        <w:rPr>
          <w:i/>
        </w:rPr>
        <w:t>(MCL)</w:t>
      </w:r>
      <w:r>
        <w:rPr>
          <w:i/>
          <w:spacing w:val="-4"/>
        </w:rPr>
        <w:t xml:space="preserve"> </w:t>
      </w:r>
      <w:r>
        <w:rPr>
          <w:i/>
          <w:spacing w:val="-5"/>
        </w:rPr>
        <w:t>who</w:t>
      </w:r>
      <w:r w:rsidR="00B92002">
        <w:rPr>
          <w:i/>
          <w:spacing w:val="-5"/>
        </w:rPr>
        <w:t xml:space="preserve"> </w:t>
      </w:r>
      <w:r>
        <w:rPr>
          <w:i/>
        </w:rPr>
        <w:t>have</w:t>
      </w:r>
      <w:r>
        <w:rPr>
          <w:i/>
          <w:spacing w:val="-3"/>
        </w:rPr>
        <w:t xml:space="preserve"> </w:t>
      </w:r>
      <w:r>
        <w:rPr>
          <w:i/>
        </w:rPr>
        <w:t>received</w:t>
      </w:r>
      <w:r>
        <w:rPr>
          <w:i/>
          <w:spacing w:val="-3"/>
        </w:rPr>
        <w:t xml:space="preserve"> </w:t>
      </w:r>
      <w:r>
        <w:rPr>
          <w:i/>
        </w:rPr>
        <w:t>at</w:t>
      </w:r>
      <w:r>
        <w:rPr>
          <w:i/>
          <w:spacing w:val="-2"/>
        </w:rPr>
        <w:t xml:space="preserve"> </w:t>
      </w:r>
      <w:r>
        <w:rPr>
          <w:i/>
        </w:rPr>
        <w:t>least</w:t>
      </w:r>
      <w:r>
        <w:rPr>
          <w:i/>
          <w:spacing w:val="-2"/>
        </w:rPr>
        <w:t xml:space="preserve"> </w:t>
      </w:r>
      <w:r>
        <w:rPr>
          <w:i/>
        </w:rPr>
        <w:t>one</w:t>
      </w:r>
      <w:r>
        <w:rPr>
          <w:i/>
          <w:spacing w:val="-5"/>
        </w:rPr>
        <w:t xml:space="preserve"> </w:t>
      </w:r>
      <w:r>
        <w:rPr>
          <w:i/>
        </w:rPr>
        <w:t xml:space="preserve">prior </w:t>
      </w:r>
      <w:r>
        <w:rPr>
          <w:i/>
          <w:spacing w:val="-2"/>
        </w:rPr>
        <w:t>therapy.</w:t>
      </w:r>
    </w:p>
    <w:p w14:paraId="71706E64" w14:textId="77777777" w:rsidR="00585D89" w:rsidRDefault="00585D89" w:rsidP="00585D89">
      <w:pPr>
        <w:pStyle w:val="BodyText"/>
        <w:ind w:left="23"/>
      </w:pPr>
      <w:r>
        <w:t>However, based on the evaluation of the clinical data and evidence provided in current submission,</w:t>
      </w:r>
      <w:r>
        <w:rPr>
          <w:spacing w:val="-4"/>
        </w:rPr>
        <w:t xml:space="preserve"> </w:t>
      </w:r>
      <w:r>
        <w:t>approval</w:t>
      </w:r>
      <w:r>
        <w:rPr>
          <w:spacing w:val="-4"/>
        </w:rPr>
        <w:t xml:space="preserve"> </w:t>
      </w:r>
      <w:r>
        <w:t>could</w:t>
      </w:r>
      <w:r>
        <w:rPr>
          <w:spacing w:val="-4"/>
        </w:rPr>
        <w:t xml:space="preserve"> </w:t>
      </w:r>
      <w:r>
        <w:t>potentially</w:t>
      </w:r>
      <w:r>
        <w:rPr>
          <w:spacing w:val="-4"/>
        </w:rPr>
        <w:t xml:space="preserve"> </w:t>
      </w:r>
      <w:r>
        <w:t>be</w:t>
      </w:r>
      <w:r>
        <w:rPr>
          <w:spacing w:val="-6"/>
        </w:rPr>
        <w:t xml:space="preserve"> </w:t>
      </w:r>
      <w:r>
        <w:t>granted</w:t>
      </w:r>
      <w:r>
        <w:rPr>
          <w:spacing w:val="-4"/>
        </w:rPr>
        <w:t xml:space="preserve"> </w:t>
      </w:r>
      <w:r>
        <w:t>for</w:t>
      </w:r>
      <w:r>
        <w:rPr>
          <w:spacing w:val="-3"/>
        </w:rPr>
        <w:t xml:space="preserve"> </w:t>
      </w:r>
      <w:r>
        <w:t>the</w:t>
      </w:r>
      <w:r>
        <w:rPr>
          <w:spacing w:val="-3"/>
        </w:rPr>
        <w:t xml:space="preserve"> </w:t>
      </w:r>
      <w:r>
        <w:t>following</w:t>
      </w:r>
      <w:r>
        <w:rPr>
          <w:spacing w:val="-2"/>
        </w:rPr>
        <w:t xml:space="preserve"> </w:t>
      </w:r>
      <w:r>
        <w:t>wording</w:t>
      </w:r>
      <w:r>
        <w:rPr>
          <w:spacing w:val="-2"/>
        </w:rPr>
        <w:t xml:space="preserve"> </w:t>
      </w:r>
      <w:r>
        <w:t>for</w:t>
      </w:r>
      <w:r>
        <w:rPr>
          <w:spacing w:val="-3"/>
        </w:rPr>
        <w:t xml:space="preserve"> </w:t>
      </w:r>
      <w:r>
        <w:t>indication:</w:t>
      </w:r>
    </w:p>
    <w:p w14:paraId="0147DA08" w14:textId="2F7A51E3" w:rsidR="00585D89" w:rsidRDefault="00B92002" w:rsidP="00B92002">
      <w:pPr>
        <w:spacing w:before="120"/>
        <w:ind w:left="720"/>
        <w:rPr>
          <w:i/>
        </w:rPr>
      </w:pPr>
      <w:r>
        <w:rPr>
          <w:i/>
        </w:rPr>
        <w:t xml:space="preserve">Hibruka </w:t>
      </w:r>
      <w:r w:rsidR="00585D89">
        <w:rPr>
          <w:i/>
        </w:rPr>
        <w:t>is indicated for the treatment of adult patients with relapsed or refractory mantle cell lymphoma (MCL) who have received at least one prior therapy. This indication is approved via the provisional</w:t>
      </w:r>
      <w:r w:rsidR="00585D89">
        <w:rPr>
          <w:i/>
          <w:spacing w:val="-1"/>
        </w:rPr>
        <w:t xml:space="preserve"> </w:t>
      </w:r>
      <w:r w:rsidR="00585D89">
        <w:rPr>
          <w:i/>
        </w:rPr>
        <w:t>pathway,</w:t>
      </w:r>
      <w:r w:rsidR="00585D89">
        <w:rPr>
          <w:i/>
          <w:spacing w:val="-3"/>
        </w:rPr>
        <w:t xml:space="preserve"> </w:t>
      </w:r>
      <w:r w:rsidR="00585D89">
        <w:rPr>
          <w:i/>
        </w:rPr>
        <w:t>based</w:t>
      </w:r>
      <w:r w:rsidR="00585D89">
        <w:rPr>
          <w:i/>
          <w:spacing w:val="-3"/>
        </w:rPr>
        <w:t xml:space="preserve"> </w:t>
      </w:r>
      <w:r w:rsidR="00585D89">
        <w:rPr>
          <w:i/>
        </w:rPr>
        <w:t>on</w:t>
      </w:r>
      <w:r w:rsidR="00585D89">
        <w:rPr>
          <w:i/>
          <w:spacing w:val="-3"/>
        </w:rPr>
        <w:t xml:space="preserve"> </w:t>
      </w:r>
      <w:r w:rsidR="00585D89">
        <w:rPr>
          <w:i/>
        </w:rPr>
        <w:t>ORR.</w:t>
      </w:r>
      <w:r w:rsidR="00585D89">
        <w:rPr>
          <w:i/>
          <w:spacing w:val="-3"/>
        </w:rPr>
        <w:t xml:space="preserve"> </w:t>
      </w:r>
      <w:r w:rsidR="00585D89">
        <w:rPr>
          <w:i/>
        </w:rPr>
        <w:t>Full</w:t>
      </w:r>
      <w:r w:rsidR="00585D89">
        <w:rPr>
          <w:i/>
          <w:spacing w:val="-4"/>
        </w:rPr>
        <w:t xml:space="preserve"> </w:t>
      </w:r>
      <w:r w:rsidR="00585D89">
        <w:rPr>
          <w:i/>
        </w:rPr>
        <w:t>registration</w:t>
      </w:r>
      <w:r w:rsidR="00585D89">
        <w:rPr>
          <w:i/>
          <w:spacing w:val="-5"/>
        </w:rPr>
        <w:t xml:space="preserve"> </w:t>
      </w:r>
      <w:r w:rsidR="00585D89">
        <w:rPr>
          <w:i/>
        </w:rPr>
        <w:t>for</w:t>
      </w:r>
      <w:r w:rsidR="00585D89">
        <w:rPr>
          <w:i/>
          <w:spacing w:val="-1"/>
        </w:rPr>
        <w:t xml:space="preserve"> </w:t>
      </w:r>
      <w:r w:rsidR="00585D89">
        <w:rPr>
          <w:i/>
        </w:rPr>
        <w:t>this product</w:t>
      </w:r>
      <w:r w:rsidR="00585D89">
        <w:rPr>
          <w:i/>
          <w:spacing w:val="-2"/>
        </w:rPr>
        <w:t xml:space="preserve"> </w:t>
      </w:r>
      <w:r w:rsidR="00585D89">
        <w:rPr>
          <w:i/>
        </w:rPr>
        <w:t>for</w:t>
      </w:r>
      <w:r w:rsidR="00585D89">
        <w:rPr>
          <w:i/>
          <w:spacing w:val="-4"/>
        </w:rPr>
        <w:t xml:space="preserve"> </w:t>
      </w:r>
      <w:r w:rsidR="00585D89">
        <w:rPr>
          <w:i/>
        </w:rPr>
        <w:t>this</w:t>
      </w:r>
      <w:r w:rsidR="00585D89">
        <w:rPr>
          <w:i/>
          <w:spacing w:val="-3"/>
        </w:rPr>
        <w:t xml:space="preserve"> </w:t>
      </w:r>
      <w:r w:rsidR="00585D89">
        <w:rPr>
          <w:i/>
        </w:rPr>
        <w:t>indication</w:t>
      </w:r>
      <w:r w:rsidR="00585D89">
        <w:rPr>
          <w:i/>
          <w:spacing w:val="-3"/>
        </w:rPr>
        <w:t xml:space="preserve"> </w:t>
      </w:r>
      <w:r w:rsidR="00585D89">
        <w:rPr>
          <w:i/>
        </w:rPr>
        <w:t>depends</w:t>
      </w:r>
      <w:r w:rsidR="00585D89">
        <w:rPr>
          <w:i/>
          <w:spacing w:val="-3"/>
        </w:rPr>
        <w:t xml:space="preserve"> </w:t>
      </w:r>
      <w:r w:rsidR="00585D89">
        <w:rPr>
          <w:i/>
        </w:rPr>
        <w:t>on verification and description of clinical benefit in confirmatory trials.</w:t>
      </w:r>
    </w:p>
    <w:p w14:paraId="34E71F69" w14:textId="0191505E" w:rsidR="00585D89" w:rsidRDefault="00585D89" w:rsidP="00585D89">
      <w:pPr>
        <w:pStyle w:val="BodyText"/>
        <w:spacing w:before="1"/>
        <w:ind w:left="23" w:right="810"/>
      </w:pPr>
      <w:r>
        <w:t>The</w:t>
      </w:r>
      <w:r>
        <w:rPr>
          <w:spacing w:val="-6"/>
        </w:rPr>
        <w:t xml:space="preserve"> </w:t>
      </w:r>
      <w:r>
        <w:t>sponsor</w:t>
      </w:r>
      <w:r>
        <w:rPr>
          <w:spacing w:val="-6"/>
        </w:rPr>
        <w:t xml:space="preserve"> </w:t>
      </w:r>
      <w:r>
        <w:t>may</w:t>
      </w:r>
      <w:r>
        <w:rPr>
          <w:spacing w:val="-4"/>
        </w:rPr>
        <w:t xml:space="preserve"> </w:t>
      </w:r>
      <w:r>
        <w:t>alternatively</w:t>
      </w:r>
      <w:r>
        <w:rPr>
          <w:spacing w:val="-4"/>
        </w:rPr>
        <w:t xml:space="preserve"> </w:t>
      </w:r>
      <w:r>
        <w:t>consider</w:t>
      </w:r>
      <w:r>
        <w:rPr>
          <w:spacing w:val="-3"/>
        </w:rPr>
        <w:t xml:space="preserve"> </w:t>
      </w:r>
      <w:r>
        <w:t>the</w:t>
      </w:r>
      <w:r>
        <w:rPr>
          <w:spacing w:val="-3"/>
        </w:rPr>
        <w:t xml:space="preserve"> </w:t>
      </w:r>
      <w:r>
        <w:t>following</w:t>
      </w:r>
      <w:r>
        <w:rPr>
          <w:spacing w:val="-2"/>
        </w:rPr>
        <w:t xml:space="preserve"> </w:t>
      </w:r>
      <w:r>
        <w:t>wording</w:t>
      </w:r>
      <w:r>
        <w:rPr>
          <w:spacing w:val="-2"/>
        </w:rPr>
        <w:t xml:space="preserve"> </w:t>
      </w:r>
      <w:r>
        <w:t>if</w:t>
      </w:r>
      <w:r>
        <w:rPr>
          <w:spacing w:val="-3"/>
        </w:rPr>
        <w:t xml:space="preserve"> </w:t>
      </w:r>
      <w:r>
        <w:t>the</w:t>
      </w:r>
      <w:r>
        <w:rPr>
          <w:spacing w:val="-3"/>
        </w:rPr>
        <w:t xml:space="preserve"> </w:t>
      </w:r>
      <w:r>
        <w:t>term</w:t>
      </w:r>
      <w:r>
        <w:rPr>
          <w:spacing w:val="-2"/>
        </w:rPr>
        <w:t xml:space="preserve"> </w:t>
      </w:r>
      <w:r w:rsidR="00B92002">
        <w:t>‘</w:t>
      </w:r>
      <w:r>
        <w:t>relapsed</w:t>
      </w:r>
      <w:r>
        <w:rPr>
          <w:spacing w:val="-6"/>
        </w:rPr>
        <w:t xml:space="preserve"> </w:t>
      </w:r>
      <w:r>
        <w:t>or refractory</w:t>
      </w:r>
      <w:r w:rsidR="00B92002">
        <w:t>’</w:t>
      </w:r>
      <w:r>
        <w:t xml:space="preserve"> is not acceptable:</w:t>
      </w:r>
    </w:p>
    <w:p w14:paraId="7DEABA47" w14:textId="6734A138" w:rsidR="00585D89" w:rsidRDefault="00B92002" w:rsidP="00B92002">
      <w:pPr>
        <w:spacing w:before="120"/>
        <w:ind w:left="720" w:right="94"/>
        <w:rPr>
          <w:i/>
        </w:rPr>
      </w:pPr>
      <w:r>
        <w:rPr>
          <w:i/>
        </w:rPr>
        <w:t xml:space="preserve">Hibruka </w:t>
      </w:r>
      <w:r w:rsidR="00585D89">
        <w:rPr>
          <w:i/>
        </w:rPr>
        <w:t>is</w:t>
      </w:r>
      <w:r w:rsidR="00585D89">
        <w:rPr>
          <w:i/>
          <w:spacing w:val="-3"/>
        </w:rPr>
        <w:t xml:space="preserve"> </w:t>
      </w:r>
      <w:r w:rsidR="00585D89">
        <w:rPr>
          <w:i/>
        </w:rPr>
        <w:t>indicated</w:t>
      </w:r>
      <w:r w:rsidR="00585D89">
        <w:rPr>
          <w:i/>
          <w:spacing w:val="-3"/>
        </w:rPr>
        <w:t xml:space="preserve"> </w:t>
      </w:r>
      <w:r w:rsidR="00585D89">
        <w:rPr>
          <w:i/>
        </w:rPr>
        <w:t>for</w:t>
      </w:r>
      <w:r w:rsidR="00585D89">
        <w:rPr>
          <w:i/>
          <w:spacing w:val="-4"/>
        </w:rPr>
        <w:t xml:space="preserve"> </w:t>
      </w:r>
      <w:r w:rsidR="00585D89">
        <w:rPr>
          <w:i/>
        </w:rPr>
        <w:t>the</w:t>
      </w:r>
      <w:r w:rsidR="00585D89">
        <w:rPr>
          <w:i/>
          <w:spacing w:val="-3"/>
        </w:rPr>
        <w:t xml:space="preserve"> </w:t>
      </w:r>
      <w:r w:rsidR="00585D89">
        <w:rPr>
          <w:i/>
        </w:rPr>
        <w:t>treatment</w:t>
      </w:r>
      <w:r w:rsidR="00585D89">
        <w:rPr>
          <w:i/>
          <w:spacing w:val="-2"/>
        </w:rPr>
        <w:t xml:space="preserve"> </w:t>
      </w:r>
      <w:r w:rsidR="00585D89">
        <w:rPr>
          <w:i/>
        </w:rPr>
        <w:t>of</w:t>
      </w:r>
      <w:r w:rsidR="00585D89">
        <w:rPr>
          <w:i/>
          <w:spacing w:val="-2"/>
        </w:rPr>
        <w:t xml:space="preserve"> </w:t>
      </w:r>
      <w:r w:rsidR="00585D89">
        <w:rPr>
          <w:i/>
        </w:rPr>
        <w:t>adult</w:t>
      </w:r>
      <w:r w:rsidR="00585D89">
        <w:rPr>
          <w:i/>
          <w:spacing w:val="-5"/>
        </w:rPr>
        <w:t xml:space="preserve"> </w:t>
      </w:r>
      <w:r w:rsidR="00585D89">
        <w:rPr>
          <w:i/>
        </w:rPr>
        <w:t>patients</w:t>
      </w:r>
      <w:r w:rsidR="00585D89">
        <w:rPr>
          <w:i/>
          <w:spacing w:val="-3"/>
        </w:rPr>
        <w:t xml:space="preserve"> </w:t>
      </w:r>
      <w:r w:rsidR="00585D89">
        <w:rPr>
          <w:i/>
        </w:rPr>
        <w:t>with</w:t>
      </w:r>
      <w:r w:rsidR="00585D89">
        <w:rPr>
          <w:i/>
          <w:spacing w:val="-5"/>
        </w:rPr>
        <w:t xml:space="preserve"> </w:t>
      </w:r>
      <w:r w:rsidR="00585D89">
        <w:rPr>
          <w:i/>
        </w:rPr>
        <w:t>mantle</w:t>
      </w:r>
      <w:r w:rsidR="00585D89">
        <w:rPr>
          <w:i/>
          <w:spacing w:val="-3"/>
        </w:rPr>
        <w:t xml:space="preserve"> </w:t>
      </w:r>
      <w:r w:rsidR="00585D89">
        <w:rPr>
          <w:i/>
        </w:rPr>
        <w:t>cell</w:t>
      </w:r>
      <w:r w:rsidR="00585D89">
        <w:rPr>
          <w:i/>
          <w:spacing w:val="-1"/>
        </w:rPr>
        <w:t xml:space="preserve"> </w:t>
      </w:r>
      <w:r w:rsidR="00585D89">
        <w:rPr>
          <w:i/>
        </w:rPr>
        <w:t>lymphoma</w:t>
      </w:r>
      <w:r w:rsidR="00585D89">
        <w:rPr>
          <w:i/>
          <w:spacing w:val="-3"/>
        </w:rPr>
        <w:t xml:space="preserve"> </w:t>
      </w:r>
      <w:r w:rsidR="00585D89">
        <w:rPr>
          <w:i/>
        </w:rPr>
        <w:t>(MCL)</w:t>
      </w:r>
      <w:r w:rsidR="00585D89">
        <w:rPr>
          <w:i/>
          <w:spacing w:val="-3"/>
        </w:rPr>
        <w:t xml:space="preserve"> </w:t>
      </w:r>
      <w:r w:rsidR="00585D89">
        <w:rPr>
          <w:i/>
        </w:rPr>
        <w:t>who have demonstrated progressive disease to at least one prior therapy. This indication is approved via the provisional pathway, based on ORR. Full registration for this product for this indication</w:t>
      </w:r>
      <w:r>
        <w:rPr>
          <w:i/>
        </w:rPr>
        <w:t xml:space="preserve"> </w:t>
      </w:r>
      <w:r w:rsidR="00585D89">
        <w:rPr>
          <w:i/>
        </w:rPr>
        <w:t>depends</w:t>
      </w:r>
      <w:r w:rsidR="00585D89">
        <w:rPr>
          <w:i/>
          <w:spacing w:val="-8"/>
        </w:rPr>
        <w:t xml:space="preserve"> </w:t>
      </w:r>
      <w:r w:rsidR="00585D89">
        <w:rPr>
          <w:i/>
        </w:rPr>
        <w:t>on</w:t>
      </w:r>
      <w:r w:rsidR="00585D89">
        <w:rPr>
          <w:i/>
          <w:spacing w:val="-5"/>
        </w:rPr>
        <w:t xml:space="preserve"> </w:t>
      </w:r>
      <w:r w:rsidR="00585D89">
        <w:rPr>
          <w:i/>
        </w:rPr>
        <w:t>verification</w:t>
      </w:r>
      <w:r w:rsidR="00585D89">
        <w:rPr>
          <w:i/>
          <w:spacing w:val="-5"/>
        </w:rPr>
        <w:t xml:space="preserve"> </w:t>
      </w:r>
      <w:r w:rsidR="00585D89">
        <w:rPr>
          <w:i/>
        </w:rPr>
        <w:t>and</w:t>
      </w:r>
      <w:r w:rsidR="00585D89">
        <w:rPr>
          <w:i/>
          <w:spacing w:val="-5"/>
        </w:rPr>
        <w:t xml:space="preserve"> </w:t>
      </w:r>
      <w:r w:rsidR="00585D89">
        <w:rPr>
          <w:i/>
        </w:rPr>
        <w:t>description</w:t>
      </w:r>
      <w:r w:rsidR="00585D89">
        <w:rPr>
          <w:i/>
          <w:spacing w:val="-5"/>
        </w:rPr>
        <w:t xml:space="preserve"> </w:t>
      </w:r>
      <w:r w:rsidR="00585D89">
        <w:rPr>
          <w:i/>
        </w:rPr>
        <w:t>of</w:t>
      </w:r>
      <w:r w:rsidR="00585D89">
        <w:rPr>
          <w:i/>
          <w:spacing w:val="-5"/>
        </w:rPr>
        <w:t xml:space="preserve"> </w:t>
      </w:r>
      <w:r w:rsidR="00585D89">
        <w:rPr>
          <w:i/>
        </w:rPr>
        <w:t>clinical</w:t>
      </w:r>
      <w:r w:rsidR="00585D89">
        <w:rPr>
          <w:i/>
          <w:spacing w:val="-3"/>
        </w:rPr>
        <w:t xml:space="preserve"> </w:t>
      </w:r>
      <w:r w:rsidR="00585D89">
        <w:rPr>
          <w:i/>
        </w:rPr>
        <w:t>benefit</w:t>
      </w:r>
      <w:r w:rsidR="00585D89">
        <w:rPr>
          <w:i/>
          <w:spacing w:val="-4"/>
        </w:rPr>
        <w:t xml:space="preserve"> </w:t>
      </w:r>
      <w:r w:rsidR="00585D89">
        <w:rPr>
          <w:i/>
        </w:rPr>
        <w:t>in</w:t>
      </w:r>
      <w:r w:rsidR="00585D89">
        <w:rPr>
          <w:i/>
          <w:spacing w:val="-5"/>
        </w:rPr>
        <w:t xml:space="preserve"> </w:t>
      </w:r>
      <w:r w:rsidR="00585D89">
        <w:rPr>
          <w:i/>
        </w:rPr>
        <w:t>confirmatory</w:t>
      </w:r>
      <w:r w:rsidR="00585D89">
        <w:rPr>
          <w:i/>
          <w:spacing w:val="-5"/>
        </w:rPr>
        <w:t xml:space="preserve"> </w:t>
      </w:r>
      <w:r w:rsidR="00585D89">
        <w:rPr>
          <w:i/>
          <w:spacing w:val="-2"/>
        </w:rPr>
        <w:t>trials.</w:t>
      </w:r>
    </w:p>
    <w:p w14:paraId="2C812BBA" w14:textId="77777777" w:rsidR="00EC1068" w:rsidRDefault="00585D89" w:rsidP="00EC1068">
      <w:pPr>
        <w:pStyle w:val="BodyText"/>
        <w:spacing w:before="121"/>
        <w:ind w:left="23" w:right="21"/>
      </w:pPr>
      <w:r>
        <w:t>As discussed above, there are limitations in the data, particularly relating to use in Caucasian populations</w:t>
      </w:r>
      <w:r>
        <w:rPr>
          <w:spacing w:val="-2"/>
        </w:rPr>
        <w:t xml:space="preserve"> </w:t>
      </w:r>
      <w:r w:rsidR="0083560F" w:rsidRPr="0083560F">
        <w:rPr>
          <w:spacing w:val="-2"/>
          <w:lang w:val="en-AU"/>
        </w:rPr>
        <w:t>Additional data in Caucasian population are expected upon the completion of the confirmatory RCT ICP-CL-00128</w:t>
      </w:r>
      <w:r w:rsidR="008C2923">
        <w:rPr>
          <w:rFonts w:ascii="SimSun" w:eastAsia="SimSun" w:hAnsi="SimSun" w:cs="SimSun" w:hint="eastAsia"/>
          <w:spacing w:val="-2"/>
          <w:lang w:val="en-AU" w:eastAsia="zh-CN"/>
        </w:rPr>
        <w:t>.</w:t>
      </w:r>
      <w:r>
        <w:t>Whil</w:t>
      </w:r>
      <w:r w:rsidR="0017174C">
        <w:t>e</w:t>
      </w:r>
      <w:r>
        <w:t xml:space="preserve"> provisional approval could be granted by</w:t>
      </w:r>
      <w:r>
        <w:rPr>
          <w:spacing w:val="-3"/>
        </w:rPr>
        <w:t xml:space="preserve"> </w:t>
      </w:r>
      <w:r>
        <w:t>the</w:t>
      </w:r>
      <w:r>
        <w:rPr>
          <w:spacing w:val="-2"/>
        </w:rPr>
        <w:t xml:space="preserve"> </w:t>
      </w:r>
      <w:r>
        <w:t>delegate,</w:t>
      </w:r>
      <w:r>
        <w:rPr>
          <w:spacing w:val="-2"/>
        </w:rPr>
        <w:t xml:space="preserve"> </w:t>
      </w:r>
      <w:r>
        <w:t>it</w:t>
      </w:r>
      <w:r>
        <w:rPr>
          <w:spacing w:val="-6"/>
        </w:rPr>
        <w:t xml:space="preserve"> </w:t>
      </w:r>
      <w:r>
        <w:t>could</w:t>
      </w:r>
      <w:r>
        <w:rPr>
          <w:spacing w:val="-3"/>
        </w:rPr>
        <w:t xml:space="preserve"> </w:t>
      </w:r>
      <w:r>
        <w:t>also</w:t>
      </w:r>
      <w:r>
        <w:rPr>
          <w:spacing w:val="-2"/>
        </w:rPr>
        <w:t xml:space="preserve"> </w:t>
      </w:r>
      <w:r>
        <w:t>be</w:t>
      </w:r>
      <w:r>
        <w:rPr>
          <w:spacing w:val="-2"/>
        </w:rPr>
        <w:t xml:space="preserve"> </w:t>
      </w:r>
      <w:r>
        <w:t>prudent</w:t>
      </w:r>
      <w:r>
        <w:rPr>
          <w:spacing w:val="-3"/>
        </w:rPr>
        <w:t xml:space="preserve"> </w:t>
      </w:r>
      <w:r>
        <w:t>to</w:t>
      </w:r>
      <w:r>
        <w:rPr>
          <w:spacing w:val="-2"/>
        </w:rPr>
        <w:t xml:space="preserve"> </w:t>
      </w:r>
      <w:r>
        <w:t>await</w:t>
      </w:r>
      <w:r>
        <w:rPr>
          <w:spacing w:val="-3"/>
        </w:rPr>
        <w:t xml:space="preserve"> </w:t>
      </w:r>
      <w:r>
        <w:t>further</w:t>
      </w:r>
      <w:r>
        <w:rPr>
          <w:spacing w:val="-2"/>
        </w:rPr>
        <w:t xml:space="preserve"> </w:t>
      </w:r>
      <w:r>
        <w:t>confirmatory</w:t>
      </w:r>
      <w:r>
        <w:rPr>
          <w:spacing w:val="-3"/>
        </w:rPr>
        <w:t xml:space="preserve"> </w:t>
      </w:r>
      <w:r>
        <w:t>data</w:t>
      </w:r>
      <w:r>
        <w:rPr>
          <w:spacing w:val="-2"/>
        </w:rPr>
        <w:t xml:space="preserve"> </w:t>
      </w:r>
      <w:r>
        <w:t>and</w:t>
      </w:r>
      <w:r>
        <w:rPr>
          <w:spacing w:val="-3"/>
        </w:rPr>
        <w:t xml:space="preserve"> </w:t>
      </w:r>
      <w:r>
        <w:t>longer</w:t>
      </w:r>
      <w:r>
        <w:rPr>
          <w:spacing w:val="-2"/>
        </w:rPr>
        <w:t xml:space="preserve"> </w:t>
      </w:r>
      <w:r>
        <w:t>follow-up in the Caucasian population based on the uncertainties associated with the data.</w:t>
      </w:r>
    </w:p>
    <w:p w14:paraId="61BD2941" w14:textId="1E89EE21" w:rsidR="00585D89" w:rsidRDefault="0017174C" w:rsidP="00EC1068">
      <w:pPr>
        <w:pStyle w:val="BodyText"/>
        <w:spacing w:before="121"/>
        <w:ind w:left="23" w:right="21"/>
      </w:pPr>
      <w:r w:rsidRPr="0017174C">
        <w:rPr>
          <w:bCs/>
        </w:rPr>
        <w:t xml:space="preserve">The </w:t>
      </w:r>
      <w:r w:rsidR="00585D89" w:rsidRPr="0017174C">
        <w:rPr>
          <w:bCs/>
        </w:rPr>
        <w:t xml:space="preserve">Delegate </w:t>
      </w:r>
      <w:r w:rsidRPr="0017174C">
        <w:rPr>
          <w:bCs/>
        </w:rPr>
        <w:t>noted that</w:t>
      </w:r>
      <w:r w:rsidR="00585D89" w:rsidRPr="0017174C">
        <w:t xml:space="preserve"> </w:t>
      </w:r>
      <w:r w:rsidRPr="0017174C">
        <w:t>c</w:t>
      </w:r>
      <w:r w:rsidR="00585D89" w:rsidRPr="0017174C">
        <w:t xml:space="preserve">onfirmatory data is not required in the context of this provisional </w:t>
      </w:r>
      <w:r w:rsidRPr="0017174C">
        <w:t>application but</w:t>
      </w:r>
      <w:r w:rsidR="00585D89" w:rsidRPr="0017174C">
        <w:t xml:space="preserve"> would be required for full/standard registration (i.e. conversion to full registration</w:t>
      </w:r>
      <w:r w:rsidR="00585D89" w:rsidRPr="0017174C">
        <w:rPr>
          <w:spacing w:val="-4"/>
        </w:rPr>
        <w:t xml:space="preserve"> </w:t>
      </w:r>
      <w:r w:rsidR="00585D89" w:rsidRPr="0017174C">
        <w:t>from</w:t>
      </w:r>
      <w:r w:rsidR="00585D89" w:rsidRPr="0017174C">
        <w:rPr>
          <w:spacing w:val="-3"/>
        </w:rPr>
        <w:t xml:space="preserve"> </w:t>
      </w:r>
      <w:r w:rsidR="00585D89" w:rsidRPr="0017174C">
        <w:t>provisional)</w:t>
      </w:r>
      <w:r w:rsidR="00585D89" w:rsidRPr="0017174C">
        <w:rPr>
          <w:spacing w:val="-1"/>
        </w:rPr>
        <w:t xml:space="preserve"> </w:t>
      </w:r>
      <w:r w:rsidR="00585D89" w:rsidRPr="0017174C">
        <w:t>within</w:t>
      </w:r>
      <w:r w:rsidR="00585D89" w:rsidRPr="0017174C">
        <w:rPr>
          <w:spacing w:val="-4"/>
        </w:rPr>
        <w:t xml:space="preserve"> </w:t>
      </w:r>
      <w:r w:rsidR="00585D89" w:rsidRPr="0017174C">
        <w:t>the</w:t>
      </w:r>
      <w:r w:rsidR="00585D89" w:rsidRPr="0017174C">
        <w:rPr>
          <w:spacing w:val="-3"/>
        </w:rPr>
        <w:t xml:space="preserve"> </w:t>
      </w:r>
      <w:r w:rsidR="00585D89" w:rsidRPr="0017174C">
        <w:t>legislated</w:t>
      </w:r>
      <w:r w:rsidR="00585D89" w:rsidRPr="0017174C">
        <w:rPr>
          <w:spacing w:val="-4"/>
        </w:rPr>
        <w:t xml:space="preserve"> </w:t>
      </w:r>
      <w:r w:rsidR="00585D89" w:rsidRPr="0017174C">
        <w:t>time</w:t>
      </w:r>
      <w:r w:rsidR="00585D89" w:rsidRPr="0017174C">
        <w:rPr>
          <w:spacing w:val="-3"/>
        </w:rPr>
        <w:t xml:space="preserve"> </w:t>
      </w:r>
      <w:r w:rsidR="00585D89" w:rsidRPr="0017174C">
        <w:t>frame.</w:t>
      </w:r>
      <w:r w:rsidR="00585D89" w:rsidRPr="0017174C">
        <w:rPr>
          <w:spacing w:val="40"/>
        </w:rPr>
        <w:t xml:space="preserve"> </w:t>
      </w:r>
      <w:r w:rsidR="00585D89" w:rsidRPr="0017174C">
        <w:t>Provisional</w:t>
      </w:r>
      <w:r w:rsidR="00585D89" w:rsidRPr="0017174C">
        <w:rPr>
          <w:spacing w:val="-5"/>
        </w:rPr>
        <w:t xml:space="preserve"> </w:t>
      </w:r>
      <w:r w:rsidR="00585D89" w:rsidRPr="0017174C">
        <w:t>determination</w:t>
      </w:r>
      <w:r w:rsidR="00585D89" w:rsidRPr="0017174C">
        <w:rPr>
          <w:spacing w:val="-4"/>
        </w:rPr>
        <w:t xml:space="preserve"> </w:t>
      </w:r>
      <w:r w:rsidR="00585D89" w:rsidRPr="0017174C">
        <w:t xml:space="preserve">of </w:t>
      </w:r>
      <w:r w:rsidR="00585D89" w:rsidRPr="0017174C">
        <w:lastRenderedPageBreak/>
        <w:t xml:space="preserve">orelabrutinib for Mantle Cell Lymphoma has already been granted by TGA on 19/12/2024, having considered the Sponsor’s proposed confirmatory study plan (i.e. ICP-CL-00128) to be </w:t>
      </w:r>
      <w:r w:rsidR="00585D89" w:rsidRPr="0017174C">
        <w:rPr>
          <w:spacing w:val="-2"/>
        </w:rPr>
        <w:t>satisfactory.</w:t>
      </w:r>
    </w:p>
    <w:p w14:paraId="2858B006" w14:textId="63E02E31" w:rsidR="00C22214" w:rsidRDefault="00C22214" w:rsidP="00C22214">
      <w:pPr>
        <w:pStyle w:val="Heading3"/>
        <w:rPr>
          <w:lang w:eastAsia="en-AU"/>
        </w:rPr>
      </w:pPr>
      <w:bookmarkStart w:id="85" w:name="_Toc241844860"/>
      <w:r>
        <w:rPr>
          <w:lang w:eastAsia="en-AU"/>
        </w:rPr>
        <w:t>Risk management plan</w:t>
      </w:r>
      <w:bookmarkEnd w:id="46"/>
      <w:bookmarkEnd w:id="84"/>
      <w:bookmarkEnd w:id="85"/>
    </w:p>
    <w:p w14:paraId="39F3CD1D" w14:textId="44FE8FB9" w:rsidR="0072003B" w:rsidRPr="00BD5DBD" w:rsidRDefault="00C22214" w:rsidP="00C22214">
      <w:pPr>
        <w:rPr>
          <w:szCs w:val="22"/>
        </w:rPr>
      </w:pPr>
      <w:bookmarkStart w:id="86" w:name="_Toc247691531"/>
      <w:bookmarkStart w:id="87" w:name="_Toc314842515"/>
      <w:r w:rsidRPr="00BD5DBD">
        <w:rPr>
          <w:szCs w:val="22"/>
        </w:rPr>
        <w:t>The summary of safety concerns and their associated risk monitoring and mitigation strategies are summarised in</w:t>
      </w:r>
      <w:r w:rsidR="003B149C">
        <w:rPr>
          <w:szCs w:val="22"/>
        </w:rPr>
        <w:t xml:space="preserve"> </w:t>
      </w:r>
      <w:r w:rsidR="00715F1E" w:rsidRPr="00715F1E">
        <w:rPr>
          <w:szCs w:val="22"/>
        </w:rPr>
        <w:t xml:space="preserve">table </w:t>
      </w:r>
      <w:r w:rsidR="00EA3B32">
        <w:rPr>
          <w:szCs w:val="22"/>
        </w:rPr>
        <w:t>18</w:t>
      </w:r>
      <w:r w:rsidR="008C49C6" w:rsidRPr="00715F1E">
        <w:rPr>
          <w:szCs w:val="22"/>
        </w:rPr>
        <w:t>.</w:t>
      </w:r>
      <w:r w:rsidR="0072003B" w:rsidRPr="00BD5DBD">
        <w:rPr>
          <w:szCs w:val="22"/>
        </w:rPr>
        <w:t xml:space="preserve"> </w:t>
      </w:r>
    </w:p>
    <w:p w14:paraId="56B51A93" w14:textId="2F4A64AD" w:rsidR="006A277A" w:rsidRDefault="00C22214" w:rsidP="00C22214">
      <w:pPr>
        <w:pStyle w:val="TableTitle"/>
      </w:pPr>
      <w:bookmarkStart w:id="88" w:name="_Ref97629131"/>
      <w:r>
        <w:t xml:space="preserve">Table </w:t>
      </w:r>
      <w:bookmarkEnd w:id="88"/>
      <w:r w:rsidR="00EA3B32">
        <w:t>1</w:t>
      </w:r>
      <w:r w:rsidR="00915482">
        <w:t>8</w:t>
      </w:r>
      <w:r>
        <w:t>: Summary of safety concerns</w:t>
      </w:r>
    </w:p>
    <w:tbl>
      <w:tblPr>
        <w:tblStyle w:val="TableTGAblue2023"/>
        <w:tblW w:w="9067" w:type="dxa"/>
        <w:tblLayout w:type="fixed"/>
        <w:tblLook w:val="04A0" w:firstRow="1" w:lastRow="0" w:firstColumn="1" w:lastColumn="0" w:noHBand="0" w:noVBand="1"/>
      </w:tblPr>
      <w:tblGrid>
        <w:gridCol w:w="1555"/>
        <w:gridCol w:w="2268"/>
        <w:gridCol w:w="1275"/>
        <w:gridCol w:w="1418"/>
        <w:gridCol w:w="1134"/>
        <w:gridCol w:w="1417"/>
      </w:tblGrid>
      <w:tr w:rsidR="00127A74" w:rsidRPr="007A1992" w14:paraId="359A0C59" w14:textId="77777777" w:rsidTr="00EC30DC">
        <w:trPr>
          <w:cnfStyle w:val="100000000000" w:firstRow="1" w:lastRow="0" w:firstColumn="0" w:lastColumn="0" w:oddVBand="0" w:evenVBand="0" w:oddHBand="0" w:evenHBand="0" w:firstRowFirstColumn="0" w:firstRowLastColumn="0" w:lastRowFirstColumn="0" w:lastRowLastColumn="0"/>
          <w:trHeight w:val="131"/>
        </w:trPr>
        <w:tc>
          <w:tcPr>
            <w:cnfStyle w:val="001000000000" w:firstRow="0" w:lastRow="0" w:firstColumn="1" w:lastColumn="0" w:oddVBand="0" w:evenVBand="0" w:oddHBand="0" w:evenHBand="0" w:firstRowFirstColumn="0" w:firstRowLastColumn="0" w:lastRowFirstColumn="0" w:lastRowLastColumn="0"/>
            <w:tcW w:w="3823" w:type="dxa"/>
            <w:gridSpan w:val="2"/>
            <w:vMerge w:val="restart"/>
          </w:tcPr>
          <w:p w14:paraId="24B1F090" w14:textId="77777777" w:rsidR="00127A74" w:rsidRPr="00127A74" w:rsidRDefault="00127A74" w:rsidP="00127A74">
            <w:r w:rsidRPr="00127A74">
              <w:t>Summary of safety concerns</w:t>
            </w:r>
          </w:p>
        </w:tc>
        <w:tc>
          <w:tcPr>
            <w:tcW w:w="2693" w:type="dxa"/>
            <w:gridSpan w:val="2"/>
          </w:tcPr>
          <w:p w14:paraId="596694C9" w14:textId="77777777" w:rsidR="00127A74" w:rsidRPr="00127A74" w:rsidRDefault="00127A74" w:rsidP="00127A74">
            <w:pPr>
              <w:cnfStyle w:val="100000000000" w:firstRow="1" w:lastRow="0" w:firstColumn="0" w:lastColumn="0" w:oddVBand="0" w:evenVBand="0" w:oddHBand="0" w:evenHBand="0" w:firstRowFirstColumn="0" w:firstRowLastColumn="0" w:lastRowFirstColumn="0" w:lastRowLastColumn="0"/>
            </w:pPr>
            <w:r w:rsidRPr="00127A74">
              <w:t>Pharmacovigilance</w:t>
            </w:r>
          </w:p>
        </w:tc>
        <w:tc>
          <w:tcPr>
            <w:tcW w:w="2551" w:type="dxa"/>
            <w:gridSpan w:val="2"/>
          </w:tcPr>
          <w:p w14:paraId="4F66CB82" w14:textId="77777777" w:rsidR="00127A74" w:rsidRPr="00127A74" w:rsidRDefault="00127A74" w:rsidP="00127A74">
            <w:pPr>
              <w:cnfStyle w:val="100000000000" w:firstRow="1" w:lastRow="0" w:firstColumn="0" w:lastColumn="0" w:oddVBand="0" w:evenVBand="0" w:oddHBand="0" w:evenHBand="0" w:firstRowFirstColumn="0" w:firstRowLastColumn="0" w:lastRowFirstColumn="0" w:lastRowLastColumn="0"/>
            </w:pPr>
            <w:r w:rsidRPr="00127A74">
              <w:t>Risk minimisation</w:t>
            </w:r>
          </w:p>
        </w:tc>
      </w:tr>
      <w:tr w:rsidR="00127A74" w:rsidRPr="007A1992" w14:paraId="12411E68" w14:textId="77777777" w:rsidTr="00EC30DC">
        <w:trPr>
          <w:trHeight w:val="150"/>
        </w:trPr>
        <w:tc>
          <w:tcPr>
            <w:cnfStyle w:val="001000000000" w:firstRow="0" w:lastRow="0" w:firstColumn="1" w:lastColumn="0" w:oddVBand="0" w:evenVBand="0" w:oddHBand="0" w:evenHBand="0" w:firstRowFirstColumn="0" w:firstRowLastColumn="0" w:lastRowFirstColumn="0" w:lastRowLastColumn="0"/>
            <w:tcW w:w="3823" w:type="dxa"/>
            <w:gridSpan w:val="2"/>
            <w:vMerge/>
          </w:tcPr>
          <w:p w14:paraId="71D88F2A" w14:textId="77777777" w:rsidR="00127A74" w:rsidRPr="00127A74" w:rsidRDefault="00127A74" w:rsidP="00127A74"/>
        </w:tc>
        <w:tc>
          <w:tcPr>
            <w:tcW w:w="1275" w:type="dxa"/>
            <w:shd w:val="clear" w:color="auto" w:fill="DEEAF6"/>
          </w:tcPr>
          <w:p w14:paraId="1BF9407C" w14:textId="77777777" w:rsidR="00127A74" w:rsidRPr="00127A74" w:rsidRDefault="00127A74" w:rsidP="00127A74">
            <w:pPr>
              <w:keepNext/>
              <w:cnfStyle w:val="000000000000" w:firstRow="0" w:lastRow="0" w:firstColumn="0" w:lastColumn="0" w:oddVBand="0" w:evenVBand="0" w:oddHBand="0" w:evenHBand="0" w:firstRowFirstColumn="0" w:firstRowLastColumn="0" w:lastRowFirstColumn="0" w:lastRowLastColumn="0"/>
              <w:rPr>
                <w:b/>
                <w:color w:val="263287"/>
              </w:rPr>
            </w:pPr>
            <w:r w:rsidRPr="00127A74">
              <w:rPr>
                <w:b/>
                <w:color w:val="263287"/>
              </w:rPr>
              <w:t>Routine</w:t>
            </w:r>
          </w:p>
        </w:tc>
        <w:tc>
          <w:tcPr>
            <w:tcW w:w="1418" w:type="dxa"/>
            <w:shd w:val="clear" w:color="auto" w:fill="DEEAF6"/>
          </w:tcPr>
          <w:p w14:paraId="442BA332" w14:textId="77777777" w:rsidR="00127A74" w:rsidRPr="00127A74" w:rsidRDefault="00127A74" w:rsidP="00127A74">
            <w:pPr>
              <w:keepNext/>
              <w:cnfStyle w:val="000000000000" w:firstRow="0" w:lastRow="0" w:firstColumn="0" w:lastColumn="0" w:oddVBand="0" w:evenVBand="0" w:oddHBand="0" w:evenHBand="0" w:firstRowFirstColumn="0" w:firstRowLastColumn="0" w:lastRowFirstColumn="0" w:lastRowLastColumn="0"/>
              <w:rPr>
                <w:b/>
                <w:color w:val="263287"/>
              </w:rPr>
            </w:pPr>
            <w:r w:rsidRPr="00127A74">
              <w:rPr>
                <w:b/>
                <w:color w:val="263287"/>
              </w:rPr>
              <w:t>Additional</w:t>
            </w:r>
          </w:p>
        </w:tc>
        <w:tc>
          <w:tcPr>
            <w:tcW w:w="1134" w:type="dxa"/>
            <w:shd w:val="clear" w:color="auto" w:fill="DEEAF6"/>
          </w:tcPr>
          <w:p w14:paraId="5920A04F" w14:textId="77777777" w:rsidR="00127A74" w:rsidRPr="00127A74" w:rsidRDefault="00127A74" w:rsidP="00127A74">
            <w:pPr>
              <w:keepNext/>
              <w:cnfStyle w:val="000000000000" w:firstRow="0" w:lastRow="0" w:firstColumn="0" w:lastColumn="0" w:oddVBand="0" w:evenVBand="0" w:oddHBand="0" w:evenHBand="0" w:firstRowFirstColumn="0" w:firstRowLastColumn="0" w:lastRowFirstColumn="0" w:lastRowLastColumn="0"/>
              <w:rPr>
                <w:b/>
                <w:color w:val="263287"/>
              </w:rPr>
            </w:pPr>
            <w:r w:rsidRPr="00127A74">
              <w:rPr>
                <w:b/>
                <w:color w:val="263287"/>
              </w:rPr>
              <w:t>Routine</w:t>
            </w:r>
          </w:p>
        </w:tc>
        <w:tc>
          <w:tcPr>
            <w:tcW w:w="1417" w:type="dxa"/>
            <w:shd w:val="clear" w:color="auto" w:fill="DEEAF6"/>
          </w:tcPr>
          <w:p w14:paraId="53B2ED29" w14:textId="77777777" w:rsidR="00127A74" w:rsidRPr="00127A74" w:rsidRDefault="00127A74" w:rsidP="00127A74">
            <w:pPr>
              <w:keepNext/>
              <w:cnfStyle w:val="000000000000" w:firstRow="0" w:lastRow="0" w:firstColumn="0" w:lastColumn="0" w:oddVBand="0" w:evenVBand="0" w:oddHBand="0" w:evenHBand="0" w:firstRowFirstColumn="0" w:firstRowLastColumn="0" w:lastRowFirstColumn="0" w:lastRowLastColumn="0"/>
              <w:rPr>
                <w:b/>
                <w:color w:val="263287"/>
              </w:rPr>
            </w:pPr>
            <w:r w:rsidRPr="00127A74">
              <w:rPr>
                <w:b/>
                <w:color w:val="263287"/>
              </w:rPr>
              <w:t>Additional</w:t>
            </w:r>
          </w:p>
        </w:tc>
      </w:tr>
      <w:tr w:rsidR="008C3CBB" w:rsidRPr="007A1992" w14:paraId="05599231" w14:textId="77777777">
        <w:trPr>
          <w:trHeight w:val="137"/>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67382D75" w14:textId="786FF53C" w:rsidR="008C3CBB" w:rsidRPr="00127A74" w:rsidRDefault="008C3CBB" w:rsidP="0076140A">
            <w:pPr>
              <w:rPr>
                <w:b/>
                <w:bCs/>
              </w:rPr>
            </w:pPr>
            <w:proofErr w:type="gramStart"/>
            <w:r w:rsidRPr="00127A74">
              <w:rPr>
                <w:b/>
                <w:bCs/>
              </w:rPr>
              <w:t>Important identified</w:t>
            </w:r>
            <w:proofErr w:type="gramEnd"/>
            <w:r w:rsidR="0076140A">
              <w:rPr>
                <w:b/>
                <w:bCs/>
              </w:rPr>
              <w:t xml:space="preserve"> </w:t>
            </w:r>
            <w:r w:rsidRPr="00127A74">
              <w:rPr>
                <w:b/>
                <w:bCs/>
              </w:rPr>
              <w:t>risks</w:t>
            </w:r>
          </w:p>
        </w:tc>
        <w:tc>
          <w:tcPr>
            <w:tcW w:w="2268" w:type="dxa"/>
          </w:tcPr>
          <w:p w14:paraId="7134CBC0" w14:textId="626187E3" w:rsidR="008C3CBB" w:rsidRPr="00127A74" w:rsidRDefault="008C3CBB" w:rsidP="008C3CBB">
            <w:pPr>
              <w:ind w:left="0"/>
              <w:cnfStyle w:val="000000000000" w:firstRow="0" w:lastRow="0" w:firstColumn="0" w:lastColumn="0" w:oddVBand="0" w:evenVBand="0" w:oddHBand="0" w:evenHBand="0" w:firstRowFirstColumn="0" w:firstRowLastColumn="0" w:lastRowFirstColumn="0" w:lastRowLastColumn="0"/>
            </w:pPr>
            <w:r w:rsidRPr="00826DF8">
              <w:t>Haemorrhage</w:t>
            </w:r>
          </w:p>
        </w:tc>
        <w:tc>
          <w:tcPr>
            <w:tcW w:w="1275" w:type="dxa"/>
            <w:vAlign w:val="center"/>
          </w:tcPr>
          <w:p w14:paraId="11797452" w14:textId="6FDD877E" w:rsidR="008C3CBB" w:rsidRPr="00127A74" w:rsidRDefault="008C3CBB" w:rsidP="002F1FA7">
            <w:pPr>
              <w:ind w:left="170"/>
              <w:jc w:val="center"/>
              <w:cnfStyle w:val="000000000000" w:firstRow="0" w:lastRow="0" w:firstColumn="0" w:lastColumn="0" w:oddVBand="0" w:evenVBand="0" w:oddHBand="0" w:evenHBand="0" w:firstRowFirstColumn="0" w:firstRowLastColumn="0" w:lastRowFirstColumn="0" w:lastRowLastColumn="0"/>
            </w:pPr>
            <w:r w:rsidRPr="00826DF8">
              <w:rPr>
                <w:rFonts w:ascii="Wingdings" w:eastAsia="Wingdings" w:hAnsi="Wingdings" w:cs="Wingdings"/>
              </w:rPr>
              <w:t>ü</w:t>
            </w:r>
            <w:r>
              <w:t>*</w:t>
            </w:r>
          </w:p>
        </w:tc>
        <w:tc>
          <w:tcPr>
            <w:tcW w:w="1418" w:type="dxa"/>
            <w:vAlign w:val="center"/>
          </w:tcPr>
          <w:p w14:paraId="7B703318" w14:textId="131EB898" w:rsidR="008C3CBB" w:rsidRPr="00127A74" w:rsidRDefault="008C3CBB" w:rsidP="008C3CBB">
            <w:pPr>
              <w:jc w:val="center"/>
              <w:cnfStyle w:val="000000000000" w:firstRow="0" w:lastRow="0" w:firstColumn="0" w:lastColumn="0" w:oddVBand="0" w:evenVBand="0" w:oddHBand="0" w:evenHBand="0" w:firstRowFirstColumn="0" w:firstRowLastColumn="0" w:lastRowFirstColumn="0" w:lastRowLastColumn="0"/>
            </w:pPr>
            <w:r w:rsidRPr="00826DF8">
              <w:t>–</w:t>
            </w:r>
          </w:p>
        </w:tc>
        <w:tc>
          <w:tcPr>
            <w:tcW w:w="1134" w:type="dxa"/>
            <w:vAlign w:val="center"/>
          </w:tcPr>
          <w:p w14:paraId="1A652099" w14:textId="1C9C5565" w:rsidR="008C3CBB" w:rsidRPr="00127A74" w:rsidRDefault="008C3CBB" w:rsidP="008C3CBB">
            <w:pPr>
              <w:jc w:val="center"/>
              <w:cnfStyle w:val="000000000000" w:firstRow="0" w:lastRow="0" w:firstColumn="0" w:lastColumn="0" w:oddVBand="0" w:evenVBand="0" w:oddHBand="0" w:evenHBand="0" w:firstRowFirstColumn="0" w:firstRowLastColumn="0" w:lastRowFirstColumn="0" w:lastRowLastColumn="0"/>
            </w:pPr>
            <w:r w:rsidRPr="00826DF8">
              <w:rPr>
                <w:rFonts w:ascii="Wingdings" w:eastAsia="Wingdings" w:hAnsi="Wingdings" w:cs="Wingdings"/>
              </w:rPr>
              <w:t>ü</w:t>
            </w:r>
          </w:p>
        </w:tc>
        <w:tc>
          <w:tcPr>
            <w:tcW w:w="1417" w:type="dxa"/>
            <w:vAlign w:val="center"/>
          </w:tcPr>
          <w:p w14:paraId="34A0513E" w14:textId="3484C3AE" w:rsidR="008C3CBB" w:rsidRPr="00127A74" w:rsidRDefault="008C3CBB" w:rsidP="008C3CBB">
            <w:pPr>
              <w:jc w:val="center"/>
              <w:cnfStyle w:val="000000000000" w:firstRow="0" w:lastRow="0" w:firstColumn="0" w:lastColumn="0" w:oddVBand="0" w:evenVBand="0" w:oddHBand="0" w:evenHBand="0" w:firstRowFirstColumn="0" w:firstRowLastColumn="0" w:lastRowFirstColumn="0" w:lastRowLastColumn="0"/>
            </w:pPr>
            <w:r w:rsidRPr="00826DF8">
              <w:t>–</w:t>
            </w:r>
          </w:p>
        </w:tc>
      </w:tr>
      <w:tr w:rsidR="008C3CBB" w:rsidRPr="007A1992" w14:paraId="3B513B31" w14:textId="77777777">
        <w:trPr>
          <w:trHeight w:val="94"/>
        </w:trPr>
        <w:tc>
          <w:tcPr>
            <w:cnfStyle w:val="001000000000" w:firstRow="0" w:lastRow="0" w:firstColumn="1" w:lastColumn="0" w:oddVBand="0" w:evenVBand="0" w:oddHBand="0" w:evenHBand="0" w:firstRowFirstColumn="0" w:firstRowLastColumn="0" w:lastRowFirstColumn="0" w:lastRowLastColumn="0"/>
            <w:tcW w:w="1555" w:type="dxa"/>
            <w:vMerge/>
          </w:tcPr>
          <w:p w14:paraId="584A0D09" w14:textId="77777777" w:rsidR="008C3CBB" w:rsidRPr="00127A74" w:rsidRDefault="008C3CBB" w:rsidP="008C3CBB">
            <w:pPr>
              <w:rPr>
                <w:b/>
                <w:bCs/>
              </w:rPr>
            </w:pPr>
          </w:p>
        </w:tc>
        <w:tc>
          <w:tcPr>
            <w:tcW w:w="2268" w:type="dxa"/>
          </w:tcPr>
          <w:p w14:paraId="2BE2E4B1" w14:textId="387CEA7A" w:rsidR="008C3CBB" w:rsidRPr="00127A74" w:rsidRDefault="008C3CBB" w:rsidP="008C3CBB">
            <w:pPr>
              <w:ind w:left="0"/>
              <w:cnfStyle w:val="000000000000" w:firstRow="0" w:lastRow="0" w:firstColumn="0" w:lastColumn="0" w:oddVBand="0" w:evenVBand="0" w:oddHBand="0" w:evenHBand="0" w:firstRowFirstColumn="0" w:firstRowLastColumn="0" w:lastRowFirstColumn="0" w:lastRowLastColumn="0"/>
            </w:pPr>
            <w:r w:rsidRPr="00826DF8">
              <w:t>Serious infection</w:t>
            </w:r>
          </w:p>
        </w:tc>
        <w:tc>
          <w:tcPr>
            <w:tcW w:w="1275" w:type="dxa"/>
            <w:vAlign w:val="center"/>
          </w:tcPr>
          <w:p w14:paraId="3A6C2CA6" w14:textId="6453C8B2" w:rsidR="008C3CBB" w:rsidRPr="00127A74" w:rsidRDefault="008C3CBB" w:rsidP="008C3CBB">
            <w:pPr>
              <w:jc w:val="center"/>
              <w:cnfStyle w:val="000000000000" w:firstRow="0" w:lastRow="0" w:firstColumn="0" w:lastColumn="0" w:oddVBand="0" w:evenVBand="0" w:oddHBand="0" w:evenHBand="0" w:firstRowFirstColumn="0" w:firstRowLastColumn="0" w:lastRowFirstColumn="0" w:lastRowLastColumn="0"/>
            </w:pPr>
            <w:r w:rsidRPr="00826DF8">
              <w:rPr>
                <w:rFonts w:ascii="Wingdings" w:eastAsia="Wingdings" w:hAnsi="Wingdings" w:cs="Wingdings"/>
              </w:rPr>
              <w:t>ü</w:t>
            </w:r>
          </w:p>
        </w:tc>
        <w:tc>
          <w:tcPr>
            <w:tcW w:w="1418" w:type="dxa"/>
            <w:vAlign w:val="center"/>
          </w:tcPr>
          <w:p w14:paraId="62F9A7AE" w14:textId="7D47305F" w:rsidR="008C3CBB" w:rsidRPr="00127A74" w:rsidRDefault="008C3CBB" w:rsidP="008C3CBB">
            <w:pPr>
              <w:jc w:val="center"/>
              <w:cnfStyle w:val="000000000000" w:firstRow="0" w:lastRow="0" w:firstColumn="0" w:lastColumn="0" w:oddVBand="0" w:evenVBand="0" w:oddHBand="0" w:evenHBand="0" w:firstRowFirstColumn="0" w:firstRowLastColumn="0" w:lastRowFirstColumn="0" w:lastRowLastColumn="0"/>
            </w:pPr>
            <w:r w:rsidRPr="00826DF8">
              <w:t>–</w:t>
            </w:r>
          </w:p>
        </w:tc>
        <w:tc>
          <w:tcPr>
            <w:tcW w:w="1134" w:type="dxa"/>
            <w:vAlign w:val="center"/>
          </w:tcPr>
          <w:p w14:paraId="1EA2B413" w14:textId="2F17B94E" w:rsidR="008C3CBB" w:rsidRPr="00127A74" w:rsidRDefault="008C3CBB" w:rsidP="008C3CBB">
            <w:pPr>
              <w:jc w:val="center"/>
              <w:cnfStyle w:val="000000000000" w:firstRow="0" w:lastRow="0" w:firstColumn="0" w:lastColumn="0" w:oddVBand="0" w:evenVBand="0" w:oddHBand="0" w:evenHBand="0" w:firstRowFirstColumn="0" w:firstRowLastColumn="0" w:lastRowFirstColumn="0" w:lastRowLastColumn="0"/>
            </w:pPr>
            <w:r w:rsidRPr="00826DF8">
              <w:rPr>
                <w:rFonts w:ascii="Wingdings" w:eastAsia="Wingdings" w:hAnsi="Wingdings" w:cs="Wingdings"/>
              </w:rPr>
              <w:t>ü</w:t>
            </w:r>
          </w:p>
        </w:tc>
        <w:tc>
          <w:tcPr>
            <w:tcW w:w="1417" w:type="dxa"/>
            <w:vAlign w:val="center"/>
          </w:tcPr>
          <w:p w14:paraId="62E30C06" w14:textId="3C2CA480" w:rsidR="008C3CBB" w:rsidRPr="00127A74" w:rsidRDefault="008C3CBB" w:rsidP="008C3CBB">
            <w:pPr>
              <w:jc w:val="center"/>
              <w:cnfStyle w:val="000000000000" w:firstRow="0" w:lastRow="0" w:firstColumn="0" w:lastColumn="0" w:oddVBand="0" w:evenVBand="0" w:oddHBand="0" w:evenHBand="0" w:firstRowFirstColumn="0" w:firstRowLastColumn="0" w:lastRowFirstColumn="0" w:lastRowLastColumn="0"/>
            </w:pPr>
            <w:r w:rsidRPr="00826DF8">
              <w:t>–</w:t>
            </w:r>
          </w:p>
        </w:tc>
      </w:tr>
      <w:tr w:rsidR="005016FB" w:rsidRPr="007A1992" w14:paraId="176B93B3" w14:textId="77777777">
        <w:trPr>
          <w:trHeight w:val="159"/>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77F0DB3E" w14:textId="36980AFE" w:rsidR="005016FB" w:rsidRPr="00127A74" w:rsidRDefault="005016FB" w:rsidP="0076140A">
            <w:pPr>
              <w:rPr>
                <w:b/>
                <w:bCs/>
              </w:rPr>
            </w:pPr>
            <w:r w:rsidRPr="00127A74">
              <w:rPr>
                <w:b/>
                <w:bCs/>
              </w:rPr>
              <w:t>Important potential</w:t>
            </w:r>
            <w:r w:rsidR="0076140A">
              <w:rPr>
                <w:b/>
                <w:bCs/>
              </w:rPr>
              <w:t xml:space="preserve"> </w:t>
            </w:r>
            <w:r w:rsidRPr="00127A74">
              <w:rPr>
                <w:b/>
                <w:bCs/>
              </w:rPr>
              <w:t>risks</w:t>
            </w:r>
          </w:p>
        </w:tc>
        <w:tc>
          <w:tcPr>
            <w:tcW w:w="2268" w:type="dxa"/>
          </w:tcPr>
          <w:p w14:paraId="6E17E14A" w14:textId="4D2EF3EC" w:rsidR="005016FB" w:rsidRPr="00127A74" w:rsidRDefault="005016FB" w:rsidP="008C3CBB">
            <w:pPr>
              <w:ind w:left="0"/>
              <w:cnfStyle w:val="000000000000" w:firstRow="0" w:lastRow="0" w:firstColumn="0" w:lastColumn="0" w:oddVBand="0" w:evenVBand="0" w:oddHBand="0" w:evenHBand="0" w:firstRowFirstColumn="0" w:firstRowLastColumn="0" w:lastRowFirstColumn="0" w:lastRowLastColumn="0"/>
            </w:pPr>
            <w:r w:rsidRPr="00826DF8">
              <w:t>Second primary malignancy</w:t>
            </w:r>
          </w:p>
        </w:tc>
        <w:tc>
          <w:tcPr>
            <w:tcW w:w="1275" w:type="dxa"/>
            <w:vAlign w:val="center"/>
          </w:tcPr>
          <w:p w14:paraId="252AD92F" w14:textId="17AFA110" w:rsidR="005016FB" w:rsidRPr="00127A74" w:rsidRDefault="005016FB" w:rsidP="008C3CBB">
            <w:pPr>
              <w:jc w:val="center"/>
              <w:cnfStyle w:val="000000000000" w:firstRow="0" w:lastRow="0" w:firstColumn="0" w:lastColumn="0" w:oddVBand="0" w:evenVBand="0" w:oddHBand="0" w:evenHBand="0" w:firstRowFirstColumn="0" w:firstRowLastColumn="0" w:lastRowFirstColumn="0" w:lastRowLastColumn="0"/>
            </w:pPr>
            <w:r w:rsidRPr="00826DF8">
              <w:rPr>
                <w:rFonts w:ascii="Wingdings" w:eastAsia="Wingdings" w:hAnsi="Wingdings" w:cs="Wingdings"/>
              </w:rPr>
              <w:t>ü</w:t>
            </w:r>
          </w:p>
        </w:tc>
        <w:tc>
          <w:tcPr>
            <w:tcW w:w="1418" w:type="dxa"/>
            <w:vAlign w:val="center"/>
          </w:tcPr>
          <w:p w14:paraId="77DA98F1" w14:textId="47C29F21" w:rsidR="005016FB" w:rsidRPr="00127A74" w:rsidRDefault="005016FB" w:rsidP="008C3CBB">
            <w:pPr>
              <w:jc w:val="center"/>
              <w:cnfStyle w:val="000000000000" w:firstRow="0" w:lastRow="0" w:firstColumn="0" w:lastColumn="0" w:oddVBand="0" w:evenVBand="0" w:oddHBand="0" w:evenHBand="0" w:firstRowFirstColumn="0" w:firstRowLastColumn="0" w:lastRowFirstColumn="0" w:lastRowLastColumn="0"/>
            </w:pPr>
            <w:r w:rsidRPr="00826DF8">
              <w:t>–</w:t>
            </w:r>
          </w:p>
        </w:tc>
        <w:tc>
          <w:tcPr>
            <w:tcW w:w="1134" w:type="dxa"/>
            <w:vAlign w:val="center"/>
          </w:tcPr>
          <w:p w14:paraId="182A5096" w14:textId="105F974C" w:rsidR="005016FB" w:rsidRPr="00127A74" w:rsidRDefault="005016FB" w:rsidP="008C3CBB">
            <w:pPr>
              <w:jc w:val="center"/>
              <w:cnfStyle w:val="000000000000" w:firstRow="0" w:lastRow="0" w:firstColumn="0" w:lastColumn="0" w:oddVBand="0" w:evenVBand="0" w:oddHBand="0" w:evenHBand="0" w:firstRowFirstColumn="0" w:firstRowLastColumn="0" w:lastRowFirstColumn="0" w:lastRowLastColumn="0"/>
            </w:pPr>
            <w:r w:rsidRPr="00826DF8">
              <w:rPr>
                <w:rFonts w:ascii="Wingdings" w:eastAsia="Wingdings" w:hAnsi="Wingdings" w:cs="Wingdings"/>
              </w:rPr>
              <w:t>ü</w:t>
            </w:r>
          </w:p>
        </w:tc>
        <w:tc>
          <w:tcPr>
            <w:tcW w:w="1417" w:type="dxa"/>
            <w:vAlign w:val="center"/>
          </w:tcPr>
          <w:p w14:paraId="2A6247DC" w14:textId="3E3BFE13" w:rsidR="005016FB" w:rsidRPr="00127A74" w:rsidRDefault="005016FB" w:rsidP="008C3CBB">
            <w:pPr>
              <w:jc w:val="center"/>
              <w:cnfStyle w:val="000000000000" w:firstRow="0" w:lastRow="0" w:firstColumn="0" w:lastColumn="0" w:oddVBand="0" w:evenVBand="0" w:oddHBand="0" w:evenHBand="0" w:firstRowFirstColumn="0" w:firstRowLastColumn="0" w:lastRowFirstColumn="0" w:lastRowLastColumn="0"/>
            </w:pPr>
            <w:r w:rsidRPr="00826DF8">
              <w:t>–</w:t>
            </w:r>
          </w:p>
        </w:tc>
      </w:tr>
      <w:tr w:rsidR="00F31D28" w:rsidRPr="007A1992" w14:paraId="1BACA225" w14:textId="77777777">
        <w:trPr>
          <w:trHeight w:val="159"/>
        </w:trPr>
        <w:tc>
          <w:tcPr>
            <w:cnfStyle w:val="001000000000" w:firstRow="0" w:lastRow="0" w:firstColumn="1" w:lastColumn="0" w:oddVBand="0" w:evenVBand="0" w:oddHBand="0" w:evenHBand="0" w:firstRowFirstColumn="0" w:firstRowLastColumn="0" w:lastRowFirstColumn="0" w:lastRowLastColumn="0"/>
            <w:tcW w:w="1555" w:type="dxa"/>
            <w:vMerge/>
          </w:tcPr>
          <w:p w14:paraId="4FEB119A" w14:textId="77777777" w:rsidR="00F31D28" w:rsidRPr="00127A74" w:rsidRDefault="00F31D28" w:rsidP="00F31D28">
            <w:pPr>
              <w:rPr>
                <w:b/>
                <w:bCs/>
              </w:rPr>
            </w:pPr>
          </w:p>
        </w:tc>
        <w:tc>
          <w:tcPr>
            <w:tcW w:w="2268" w:type="dxa"/>
          </w:tcPr>
          <w:p w14:paraId="080F305E" w14:textId="7C9BB51B" w:rsidR="00F31D28" w:rsidRPr="00826DF8" w:rsidRDefault="00F31D28" w:rsidP="00F31D28">
            <w:pPr>
              <w:ind w:left="0"/>
              <w:cnfStyle w:val="000000000000" w:firstRow="0" w:lastRow="0" w:firstColumn="0" w:lastColumn="0" w:oddVBand="0" w:evenVBand="0" w:oddHBand="0" w:evenHBand="0" w:firstRowFirstColumn="0" w:firstRowLastColumn="0" w:lastRowFirstColumn="0" w:lastRowLastColumn="0"/>
            </w:pPr>
            <w:r>
              <w:t>Atrial fibrillation/Flutter and Sinus bradycardia</w:t>
            </w:r>
          </w:p>
        </w:tc>
        <w:tc>
          <w:tcPr>
            <w:tcW w:w="1275" w:type="dxa"/>
            <w:vAlign w:val="center"/>
          </w:tcPr>
          <w:p w14:paraId="49BF3D72" w14:textId="3FCC527A" w:rsidR="00F31D28" w:rsidRPr="00826DF8" w:rsidRDefault="00F31D28" w:rsidP="00F31D28">
            <w:pPr>
              <w:jc w:val="center"/>
              <w:cnfStyle w:val="000000000000" w:firstRow="0" w:lastRow="0" w:firstColumn="0" w:lastColumn="0" w:oddVBand="0" w:evenVBand="0" w:oddHBand="0" w:evenHBand="0" w:firstRowFirstColumn="0" w:firstRowLastColumn="0" w:lastRowFirstColumn="0" w:lastRowLastColumn="0"/>
            </w:pPr>
            <w:r w:rsidRPr="00826DF8">
              <w:rPr>
                <w:rFonts w:ascii="Wingdings" w:eastAsia="Wingdings" w:hAnsi="Wingdings" w:cs="Wingdings"/>
              </w:rPr>
              <w:t>ü</w:t>
            </w:r>
          </w:p>
        </w:tc>
        <w:tc>
          <w:tcPr>
            <w:tcW w:w="1418" w:type="dxa"/>
            <w:vAlign w:val="center"/>
          </w:tcPr>
          <w:p w14:paraId="48A51A33" w14:textId="1C84DA54" w:rsidR="00F31D28" w:rsidRPr="00826DF8" w:rsidRDefault="00F31D28" w:rsidP="00F31D28">
            <w:pPr>
              <w:jc w:val="center"/>
              <w:cnfStyle w:val="000000000000" w:firstRow="0" w:lastRow="0" w:firstColumn="0" w:lastColumn="0" w:oddVBand="0" w:evenVBand="0" w:oddHBand="0" w:evenHBand="0" w:firstRowFirstColumn="0" w:firstRowLastColumn="0" w:lastRowFirstColumn="0" w:lastRowLastColumn="0"/>
            </w:pPr>
            <w:r w:rsidRPr="00826DF8">
              <w:t>–</w:t>
            </w:r>
          </w:p>
        </w:tc>
        <w:tc>
          <w:tcPr>
            <w:tcW w:w="1134" w:type="dxa"/>
            <w:vAlign w:val="center"/>
          </w:tcPr>
          <w:p w14:paraId="00EB03ED" w14:textId="2FB89159" w:rsidR="00F31D28" w:rsidRPr="00826DF8" w:rsidRDefault="00F31D28" w:rsidP="00F31D28">
            <w:pPr>
              <w:jc w:val="center"/>
              <w:cnfStyle w:val="000000000000" w:firstRow="0" w:lastRow="0" w:firstColumn="0" w:lastColumn="0" w:oddVBand="0" w:evenVBand="0" w:oddHBand="0" w:evenHBand="0" w:firstRowFirstColumn="0" w:firstRowLastColumn="0" w:lastRowFirstColumn="0" w:lastRowLastColumn="0"/>
            </w:pPr>
            <w:r w:rsidRPr="00826DF8">
              <w:rPr>
                <w:rFonts w:ascii="Wingdings" w:eastAsia="Wingdings" w:hAnsi="Wingdings" w:cs="Wingdings"/>
              </w:rPr>
              <w:t>ü</w:t>
            </w:r>
          </w:p>
        </w:tc>
        <w:tc>
          <w:tcPr>
            <w:tcW w:w="1417" w:type="dxa"/>
            <w:vAlign w:val="center"/>
          </w:tcPr>
          <w:p w14:paraId="53025611" w14:textId="56ACCC16" w:rsidR="00F31D28" w:rsidRPr="00826DF8" w:rsidRDefault="00F31D28" w:rsidP="00F31D28">
            <w:pPr>
              <w:jc w:val="center"/>
              <w:cnfStyle w:val="000000000000" w:firstRow="0" w:lastRow="0" w:firstColumn="0" w:lastColumn="0" w:oddVBand="0" w:evenVBand="0" w:oddHBand="0" w:evenHBand="0" w:firstRowFirstColumn="0" w:firstRowLastColumn="0" w:lastRowFirstColumn="0" w:lastRowLastColumn="0"/>
            </w:pPr>
            <w:r w:rsidRPr="00826DF8">
              <w:t>–</w:t>
            </w:r>
          </w:p>
        </w:tc>
      </w:tr>
      <w:tr w:rsidR="008C3CBB" w:rsidRPr="007A1992" w14:paraId="74C5E610" w14:textId="77777777">
        <w:trPr>
          <w:trHeight w:val="178"/>
        </w:trPr>
        <w:tc>
          <w:tcPr>
            <w:cnfStyle w:val="001000000000" w:firstRow="0" w:lastRow="0" w:firstColumn="1" w:lastColumn="0" w:oddVBand="0" w:evenVBand="0" w:oddHBand="0" w:evenHBand="0" w:firstRowFirstColumn="0" w:firstRowLastColumn="0" w:lastRowFirstColumn="0" w:lastRowLastColumn="0"/>
            <w:tcW w:w="1555" w:type="dxa"/>
          </w:tcPr>
          <w:p w14:paraId="262C65E3" w14:textId="3D0DE369" w:rsidR="008C3CBB" w:rsidRPr="00127A74" w:rsidRDefault="008C3CBB" w:rsidP="008C3CBB">
            <w:pPr>
              <w:rPr>
                <w:b/>
                <w:bCs/>
              </w:rPr>
            </w:pPr>
            <w:r w:rsidRPr="00127A74">
              <w:rPr>
                <w:b/>
                <w:bCs/>
              </w:rPr>
              <w:t>Missing information</w:t>
            </w:r>
          </w:p>
        </w:tc>
        <w:tc>
          <w:tcPr>
            <w:tcW w:w="2268" w:type="dxa"/>
          </w:tcPr>
          <w:p w14:paraId="104D79CD" w14:textId="493F066A" w:rsidR="008C3CBB" w:rsidRPr="00127A74" w:rsidRDefault="008C3CBB" w:rsidP="008C3CBB">
            <w:pPr>
              <w:ind w:left="0"/>
              <w:cnfStyle w:val="000000000000" w:firstRow="0" w:lastRow="0" w:firstColumn="0" w:lastColumn="0" w:oddVBand="0" w:evenVBand="0" w:oddHBand="0" w:evenHBand="0" w:firstRowFirstColumn="0" w:firstRowLastColumn="0" w:lastRowFirstColumn="0" w:lastRowLastColumn="0"/>
            </w:pPr>
            <w:r w:rsidRPr="00826DF8">
              <w:t>Patients with severe hepatic impairment</w:t>
            </w:r>
          </w:p>
        </w:tc>
        <w:tc>
          <w:tcPr>
            <w:tcW w:w="1275" w:type="dxa"/>
            <w:vAlign w:val="center"/>
          </w:tcPr>
          <w:p w14:paraId="07467A21" w14:textId="1E8EF2F9" w:rsidR="008C3CBB" w:rsidRPr="00127A74" w:rsidRDefault="008C3CBB" w:rsidP="008C3CBB">
            <w:pPr>
              <w:jc w:val="center"/>
              <w:cnfStyle w:val="000000000000" w:firstRow="0" w:lastRow="0" w:firstColumn="0" w:lastColumn="0" w:oddVBand="0" w:evenVBand="0" w:oddHBand="0" w:evenHBand="0" w:firstRowFirstColumn="0" w:firstRowLastColumn="0" w:lastRowFirstColumn="0" w:lastRowLastColumn="0"/>
            </w:pPr>
            <w:r w:rsidRPr="00826DF8">
              <w:rPr>
                <w:rFonts w:ascii="Wingdings" w:eastAsia="Wingdings" w:hAnsi="Wingdings" w:cs="Wingdings"/>
              </w:rPr>
              <w:t>ü</w:t>
            </w:r>
          </w:p>
        </w:tc>
        <w:tc>
          <w:tcPr>
            <w:tcW w:w="1418" w:type="dxa"/>
            <w:vAlign w:val="center"/>
          </w:tcPr>
          <w:p w14:paraId="35C7F07F" w14:textId="6D0C0CA7" w:rsidR="008C3CBB" w:rsidRPr="00127A74" w:rsidRDefault="008C3CBB" w:rsidP="008C3CBB">
            <w:pPr>
              <w:jc w:val="center"/>
              <w:cnfStyle w:val="000000000000" w:firstRow="0" w:lastRow="0" w:firstColumn="0" w:lastColumn="0" w:oddVBand="0" w:evenVBand="0" w:oddHBand="0" w:evenHBand="0" w:firstRowFirstColumn="0" w:firstRowLastColumn="0" w:lastRowFirstColumn="0" w:lastRowLastColumn="0"/>
            </w:pPr>
            <w:r w:rsidRPr="00826DF8">
              <w:t>–</w:t>
            </w:r>
          </w:p>
        </w:tc>
        <w:tc>
          <w:tcPr>
            <w:tcW w:w="1134" w:type="dxa"/>
            <w:vAlign w:val="center"/>
          </w:tcPr>
          <w:p w14:paraId="52620DEE" w14:textId="024E467A" w:rsidR="008C3CBB" w:rsidRPr="00127A74" w:rsidRDefault="008C3CBB" w:rsidP="008C3CBB">
            <w:pPr>
              <w:jc w:val="center"/>
              <w:cnfStyle w:val="000000000000" w:firstRow="0" w:lastRow="0" w:firstColumn="0" w:lastColumn="0" w:oddVBand="0" w:evenVBand="0" w:oddHBand="0" w:evenHBand="0" w:firstRowFirstColumn="0" w:firstRowLastColumn="0" w:lastRowFirstColumn="0" w:lastRowLastColumn="0"/>
            </w:pPr>
            <w:r w:rsidRPr="00826DF8">
              <w:rPr>
                <w:rFonts w:ascii="Wingdings" w:eastAsia="Wingdings" w:hAnsi="Wingdings" w:cs="Wingdings"/>
              </w:rPr>
              <w:t>ü</w:t>
            </w:r>
          </w:p>
        </w:tc>
        <w:tc>
          <w:tcPr>
            <w:tcW w:w="1417" w:type="dxa"/>
            <w:vAlign w:val="center"/>
          </w:tcPr>
          <w:p w14:paraId="16BD3C7B" w14:textId="0FF267B4" w:rsidR="008C3CBB" w:rsidRPr="00127A74" w:rsidRDefault="008C3CBB" w:rsidP="008C3CBB">
            <w:pPr>
              <w:jc w:val="center"/>
              <w:cnfStyle w:val="000000000000" w:firstRow="0" w:lastRow="0" w:firstColumn="0" w:lastColumn="0" w:oddVBand="0" w:evenVBand="0" w:oddHBand="0" w:evenHBand="0" w:firstRowFirstColumn="0" w:firstRowLastColumn="0" w:lastRowFirstColumn="0" w:lastRowLastColumn="0"/>
            </w:pPr>
            <w:r w:rsidRPr="00826DF8">
              <w:t>–</w:t>
            </w:r>
          </w:p>
        </w:tc>
      </w:tr>
    </w:tbl>
    <w:p w14:paraId="70D485E8" w14:textId="3C48F267" w:rsidR="005016FB" w:rsidRDefault="005016FB" w:rsidP="002F1FA7">
      <w:pPr>
        <w:pStyle w:val="TableDescription"/>
      </w:pPr>
      <w:r>
        <w:t>*Specific adverse reaction follow-up form</w:t>
      </w:r>
    </w:p>
    <w:p w14:paraId="2D08CB50" w14:textId="2912099C" w:rsidR="00FA1BC9" w:rsidRPr="00BD5DBD" w:rsidRDefault="00032A0F" w:rsidP="00516519">
      <w:pPr>
        <w:rPr>
          <w:szCs w:val="22"/>
        </w:rPr>
      </w:pPr>
      <w:r>
        <w:t>The RMP evaluation recommended conditions of registration</w:t>
      </w:r>
      <w:r w:rsidR="00BB5AD4">
        <w:t>, including</w:t>
      </w:r>
      <w:r>
        <w:t xml:space="preserve"> relating to the versions of the risk management plan, requirement for periodic safety update reports, and inclusion of the medicine in the Black Triangle Scheme.</w:t>
      </w:r>
      <w:r w:rsidRPr="00663544">
        <w:rPr>
          <w:rFonts w:eastAsia="Cambria" w:cs="Times New Roman"/>
          <w:i/>
          <w:color w:val="007099"/>
          <w:szCs w:val="22"/>
        </w:rPr>
        <w:t xml:space="preserve"> </w:t>
      </w:r>
      <w:bookmarkStart w:id="89" w:name="_Toc103679299"/>
    </w:p>
    <w:p w14:paraId="456C7934" w14:textId="1E98BAC5" w:rsidR="00FA1BC9" w:rsidRDefault="00FA1BC9" w:rsidP="00FA1BC9">
      <w:pPr>
        <w:rPr>
          <w:szCs w:val="22"/>
        </w:rPr>
      </w:pPr>
      <w:r w:rsidRPr="00BD5DBD">
        <w:rPr>
          <w:szCs w:val="22"/>
        </w:rPr>
        <w:t xml:space="preserve">The TGA may request an updated RMP at any stage of a product's </w:t>
      </w:r>
      <w:r w:rsidR="00516519" w:rsidRPr="00BD5DBD">
        <w:rPr>
          <w:szCs w:val="22"/>
        </w:rPr>
        <w:t>life cycle</w:t>
      </w:r>
      <w:r w:rsidRPr="00BD5DBD">
        <w:rPr>
          <w:szCs w:val="22"/>
        </w:rPr>
        <w:t xml:space="preserve">, during both the pre-approval and post-approval phases. Further information regarding the TGA’s risk management approach can be found in </w:t>
      </w:r>
      <w:hyperlink r:id="rId38" w:history="1">
        <w:r w:rsidRPr="00BD5DBD">
          <w:rPr>
            <w:rStyle w:val="Hyperlink"/>
            <w:szCs w:val="22"/>
          </w:rPr>
          <w:t>risk management plans for medicines and biologicals</w:t>
        </w:r>
      </w:hyperlink>
      <w:r w:rsidRPr="00BD5DBD">
        <w:rPr>
          <w:szCs w:val="22"/>
        </w:rPr>
        <w:t xml:space="preserve"> and </w:t>
      </w:r>
      <w:hyperlink r:id="rId39" w:history="1">
        <w:r w:rsidRPr="00BD5DBD">
          <w:rPr>
            <w:rStyle w:val="Hyperlink"/>
            <w:szCs w:val="22"/>
          </w:rPr>
          <w:t>the TGA's risk management approach</w:t>
        </w:r>
      </w:hyperlink>
      <w:r w:rsidRPr="00BD5DBD">
        <w:rPr>
          <w:szCs w:val="22"/>
        </w:rPr>
        <w:t xml:space="preserve">. Information on the </w:t>
      </w:r>
      <w:hyperlink r:id="rId40" w:history="1">
        <w:r w:rsidRPr="00BD5DBD">
          <w:rPr>
            <w:rStyle w:val="Hyperlink"/>
            <w:szCs w:val="22"/>
          </w:rPr>
          <w:t>Australia</w:t>
        </w:r>
        <w:r w:rsidR="00C57CEA">
          <w:rPr>
            <w:rStyle w:val="Hyperlink"/>
            <w:szCs w:val="22"/>
          </w:rPr>
          <w:t>-</w:t>
        </w:r>
        <w:r w:rsidRPr="00BD5DBD">
          <w:rPr>
            <w:rStyle w:val="Hyperlink"/>
            <w:szCs w:val="22"/>
          </w:rPr>
          <w:t>specific annex</w:t>
        </w:r>
      </w:hyperlink>
      <w:r w:rsidRPr="00BD5DBD">
        <w:rPr>
          <w:szCs w:val="22"/>
        </w:rPr>
        <w:t xml:space="preserve"> (</w:t>
      </w:r>
      <w:hyperlink r:id="rId41" w:history="1">
        <w:r w:rsidRPr="00BD5DBD">
          <w:rPr>
            <w:rStyle w:val="Hyperlink"/>
            <w:szCs w:val="22"/>
          </w:rPr>
          <w:t>ASA</w:t>
        </w:r>
      </w:hyperlink>
      <w:r w:rsidRPr="00BD5DBD">
        <w:rPr>
          <w:szCs w:val="22"/>
        </w:rPr>
        <w:t>) can be found on the TGA website.</w:t>
      </w:r>
    </w:p>
    <w:p w14:paraId="74A4F87F" w14:textId="77777777" w:rsidR="00C22214" w:rsidRDefault="00C22214" w:rsidP="00C22214">
      <w:pPr>
        <w:pStyle w:val="Heading3"/>
      </w:pPr>
      <w:bookmarkStart w:id="90" w:name="_Toc241844861"/>
      <w:r>
        <w:t>Risk-benefit analysis</w:t>
      </w:r>
      <w:bookmarkEnd w:id="86"/>
      <w:bookmarkEnd w:id="87"/>
      <w:bookmarkEnd w:id="89"/>
      <w:bookmarkEnd w:id="90"/>
    </w:p>
    <w:p w14:paraId="77DE2655" w14:textId="77777777" w:rsidR="00C22214" w:rsidRDefault="00C22214" w:rsidP="00C22214">
      <w:pPr>
        <w:pStyle w:val="Heading4"/>
      </w:pPr>
      <w:bookmarkStart w:id="91" w:name="_Toc98931932"/>
      <w:bookmarkStart w:id="92" w:name="_Toc241844862"/>
      <w:r>
        <w:t>Delegate’s considerations</w:t>
      </w:r>
      <w:bookmarkEnd w:id="91"/>
      <w:bookmarkEnd w:id="92"/>
    </w:p>
    <w:p w14:paraId="27D807D2" w14:textId="194B1C63" w:rsidR="001862C1" w:rsidRDefault="003C1BA4" w:rsidP="001862C1">
      <w:pPr>
        <w:pStyle w:val="BodyText"/>
        <w:spacing w:before="120"/>
        <w:ind w:left="23" w:right="204"/>
      </w:pPr>
      <w:r>
        <w:t>MCL</w:t>
      </w:r>
      <w:r w:rsidR="001862C1">
        <w:t xml:space="preserve"> is a rare, aggressive subtype of B-cell non-Hodgkin lymphoma, and is a life-threatening</w:t>
      </w:r>
      <w:r w:rsidR="001862C1">
        <w:rPr>
          <w:spacing w:val="-1"/>
        </w:rPr>
        <w:t xml:space="preserve"> </w:t>
      </w:r>
      <w:r w:rsidR="001862C1">
        <w:t>illness</w:t>
      </w:r>
      <w:r w:rsidR="001862C1">
        <w:rPr>
          <w:spacing w:val="-1"/>
        </w:rPr>
        <w:t xml:space="preserve"> </w:t>
      </w:r>
      <w:r w:rsidR="001862C1">
        <w:t>with</w:t>
      </w:r>
      <w:r w:rsidR="001862C1">
        <w:rPr>
          <w:spacing w:val="-2"/>
        </w:rPr>
        <w:t xml:space="preserve"> </w:t>
      </w:r>
      <w:r w:rsidR="001862C1">
        <w:t>an</w:t>
      </w:r>
      <w:r w:rsidR="001862C1">
        <w:rPr>
          <w:spacing w:val="-3"/>
        </w:rPr>
        <w:t xml:space="preserve"> </w:t>
      </w:r>
      <w:r w:rsidR="001862C1">
        <w:t>overall</w:t>
      </w:r>
      <w:r w:rsidR="001862C1">
        <w:rPr>
          <w:spacing w:val="-2"/>
        </w:rPr>
        <w:t xml:space="preserve"> </w:t>
      </w:r>
      <w:r w:rsidR="001862C1">
        <w:t>poor</w:t>
      </w:r>
      <w:r w:rsidR="001862C1">
        <w:rPr>
          <w:spacing w:val="-2"/>
        </w:rPr>
        <w:t xml:space="preserve"> </w:t>
      </w:r>
      <w:r w:rsidR="001862C1">
        <w:t>prognosis.</w:t>
      </w:r>
      <w:r w:rsidR="001862C1">
        <w:rPr>
          <w:spacing w:val="80"/>
        </w:rPr>
        <w:t xml:space="preserve"> </w:t>
      </w:r>
      <w:r w:rsidR="001862C1">
        <w:t>Despite</w:t>
      </w:r>
      <w:r w:rsidR="001862C1">
        <w:rPr>
          <w:spacing w:val="-5"/>
        </w:rPr>
        <w:t xml:space="preserve"> </w:t>
      </w:r>
      <w:r w:rsidR="001862C1">
        <w:t>high</w:t>
      </w:r>
      <w:r w:rsidR="001862C1">
        <w:rPr>
          <w:spacing w:val="-2"/>
        </w:rPr>
        <w:t xml:space="preserve"> </w:t>
      </w:r>
      <w:r w:rsidR="001862C1">
        <w:t>response</w:t>
      </w:r>
      <w:r w:rsidR="001862C1">
        <w:rPr>
          <w:spacing w:val="-2"/>
        </w:rPr>
        <w:t xml:space="preserve"> </w:t>
      </w:r>
      <w:r w:rsidR="001862C1">
        <w:t>rates</w:t>
      </w:r>
      <w:r w:rsidR="001862C1">
        <w:rPr>
          <w:spacing w:val="-2"/>
        </w:rPr>
        <w:t xml:space="preserve"> </w:t>
      </w:r>
      <w:r w:rsidR="001862C1">
        <w:t>after</w:t>
      </w:r>
      <w:r w:rsidR="001862C1">
        <w:rPr>
          <w:spacing w:val="-2"/>
        </w:rPr>
        <w:t xml:space="preserve"> </w:t>
      </w:r>
      <w:r w:rsidR="001862C1">
        <w:t>first-line chemoimmunotherapy, most patients relapse and require subsequent treatment.</w:t>
      </w:r>
    </w:p>
    <w:p w14:paraId="25B0DDE1" w14:textId="77777777" w:rsidR="001862C1" w:rsidRDefault="001862C1" w:rsidP="001862C1">
      <w:pPr>
        <w:pStyle w:val="BodyText"/>
        <w:spacing w:before="119"/>
        <w:ind w:left="23"/>
      </w:pPr>
      <w:r>
        <w:t>Current</w:t>
      </w:r>
      <w:r>
        <w:rPr>
          <w:spacing w:val="-4"/>
        </w:rPr>
        <w:t xml:space="preserve"> </w:t>
      </w:r>
      <w:r>
        <w:t>treatment</w:t>
      </w:r>
      <w:r>
        <w:rPr>
          <w:spacing w:val="-4"/>
        </w:rPr>
        <w:t xml:space="preserve"> </w:t>
      </w:r>
      <w:r>
        <w:t>options</w:t>
      </w:r>
      <w:r>
        <w:rPr>
          <w:spacing w:val="-2"/>
        </w:rPr>
        <w:t xml:space="preserve"> </w:t>
      </w:r>
      <w:r>
        <w:t>per</w:t>
      </w:r>
      <w:r>
        <w:rPr>
          <w:spacing w:val="-3"/>
        </w:rPr>
        <w:t xml:space="preserve"> </w:t>
      </w:r>
      <w:r>
        <w:t>international</w:t>
      </w:r>
      <w:r>
        <w:rPr>
          <w:spacing w:val="-7"/>
        </w:rPr>
        <w:t xml:space="preserve"> </w:t>
      </w:r>
      <w:r>
        <w:t>guidelines</w:t>
      </w:r>
      <w:r>
        <w:rPr>
          <w:spacing w:val="-2"/>
        </w:rPr>
        <w:t xml:space="preserve"> </w:t>
      </w:r>
      <w:r>
        <w:t>are</w:t>
      </w:r>
      <w:r>
        <w:rPr>
          <w:spacing w:val="-4"/>
        </w:rPr>
        <w:t xml:space="preserve"> </w:t>
      </w:r>
      <w:r>
        <w:t>noted</w:t>
      </w:r>
      <w:r>
        <w:rPr>
          <w:spacing w:val="-4"/>
        </w:rPr>
        <w:t xml:space="preserve"> </w:t>
      </w:r>
      <w:r>
        <w:t>(including</w:t>
      </w:r>
      <w:r>
        <w:rPr>
          <w:spacing w:val="-5"/>
        </w:rPr>
        <w:t xml:space="preserve"> </w:t>
      </w:r>
      <w:r>
        <w:t>NCCN</w:t>
      </w:r>
      <w:r>
        <w:rPr>
          <w:spacing w:val="-5"/>
        </w:rPr>
        <w:t xml:space="preserve"> </w:t>
      </w:r>
      <w:r>
        <w:t>guidelines v2.2025 B cell lymphomas).</w:t>
      </w:r>
    </w:p>
    <w:p w14:paraId="0D3CCB5F" w14:textId="074FE244" w:rsidR="001862C1" w:rsidRPr="003C1BA4" w:rsidRDefault="001862C1" w:rsidP="001862C1">
      <w:pPr>
        <w:spacing w:before="120"/>
        <w:ind w:left="23"/>
      </w:pPr>
      <w:r w:rsidRPr="003C1BA4">
        <w:t>In</w:t>
      </w:r>
      <w:r w:rsidRPr="003C1BA4">
        <w:rPr>
          <w:spacing w:val="-2"/>
        </w:rPr>
        <w:t xml:space="preserve"> </w:t>
      </w:r>
      <w:r w:rsidRPr="003C1BA4">
        <w:t>Australia,</w:t>
      </w:r>
      <w:r w:rsidRPr="003C1BA4">
        <w:rPr>
          <w:spacing w:val="-4"/>
        </w:rPr>
        <w:t xml:space="preserve"> </w:t>
      </w:r>
      <w:r w:rsidRPr="003C1BA4">
        <w:t>ibrutinib</w:t>
      </w:r>
      <w:r w:rsidRPr="003C1BA4">
        <w:rPr>
          <w:spacing w:val="-2"/>
        </w:rPr>
        <w:t xml:space="preserve"> </w:t>
      </w:r>
      <w:r w:rsidRPr="003C1BA4">
        <w:t>is registered</w:t>
      </w:r>
      <w:r w:rsidRPr="003C1BA4">
        <w:rPr>
          <w:spacing w:val="-1"/>
        </w:rPr>
        <w:t xml:space="preserve"> </w:t>
      </w:r>
      <w:r w:rsidRPr="003C1BA4">
        <w:t>for</w:t>
      </w:r>
      <w:r w:rsidRPr="003C1BA4">
        <w:rPr>
          <w:spacing w:val="-4"/>
        </w:rPr>
        <w:t xml:space="preserve"> </w:t>
      </w:r>
      <w:r w:rsidRPr="003C1BA4">
        <w:t>use</w:t>
      </w:r>
      <w:r w:rsidRPr="003C1BA4">
        <w:rPr>
          <w:spacing w:val="-4"/>
        </w:rPr>
        <w:t xml:space="preserve"> </w:t>
      </w:r>
      <w:r w:rsidRPr="003C1BA4">
        <w:t>in</w:t>
      </w:r>
      <w:r w:rsidRPr="003C1BA4">
        <w:rPr>
          <w:spacing w:val="-1"/>
        </w:rPr>
        <w:t xml:space="preserve"> </w:t>
      </w:r>
      <w:r w:rsidRPr="003C1BA4">
        <w:rPr>
          <w:i/>
        </w:rPr>
        <w:t>patients</w:t>
      </w:r>
      <w:r w:rsidRPr="003C1BA4">
        <w:rPr>
          <w:i/>
          <w:spacing w:val="-1"/>
        </w:rPr>
        <w:t xml:space="preserve"> </w:t>
      </w:r>
      <w:r w:rsidRPr="003C1BA4">
        <w:rPr>
          <w:i/>
        </w:rPr>
        <w:t>with</w:t>
      </w:r>
      <w:r w:rsidRPr="003C1BA4">
        <w:rPr>
          <w:i/>
          <w:spacing w:val="-5"/>
        </w:rPr>
        <w:t xml:space="preserve"> </w:t>
      </w:r>
      <w:r w:rsidRPr="003C1BA4">
        <w:rPr>
          <w:i/>
        </w:rPr>
        <w:t>MCL who have received at least one prior therapy</w:t>
      </w:r>
      <w:r w:rsidRPr="003C1BA4">
        <w:t>.</w:t>
      </w:r>
      <w:r w:rsidRPr="003C1BA4">
        <w:rPr>
          <w:spacing w:val="40"/>
        </w:rPr>
        <w:t xml:space="preserve"> </w:t>
      </w:r>
      <w:r w:rsidRPr="003C1BA4">
        <w:t xml:space="preserve">At the commencement of this submission, acalabrutinib and zanubrutinib were </w:t>
      </w:r>
      <w:r w:rsidRPr="003C1BA4">
        <w:lastRenderedPageBreak/>
        <w:t xml:space="preserve">also provisionally approved by TGA </w:t>
      </w:r>
      <w:r w:rsidRPr="003C1BA4">
        <w:rPr>
          <w:i/>
        </w:rPr>
        <w:t>for the treatment of adult patients with MCL who have received at least one prior therapy</w:t>
      </w:r>
      <w:r w:rsidRPr="003C1BA4">
        <w:t>.</w:t>
      </w:r>
    </w:p>
    <w:p w14:paraId="2E917746" w14:textId="77777777" w:rsidR="001862C1" w:rsidRPr="007C17FD" w:rsidRDefault="001862C1" w:rsidP="00F25F5F">
      <w:pPr>
        <w:pStyle w:val="Heading5"/>
        <w:rPr>
          <w:i w:val="0"/>
          <w:iCs/>
        </w:rPr>
      </w:pPr>
      <w:r w:rsidRPr="007C17FD">
        <w:rPr>
          <w:i w:val="0"/>
          <w:iCs/>
        </w:rPr>
        <w:t>Proposed</w:t>
      </w:r>
      <w:r w:rsidRPr="007C17FD">
        <w:rPr>
          <w:i w:val="0"/>
          <w:iCs/>
          <w:spacing w:val="-3"/>
        </w:rPr>
        <w:t xml:space="preserve"> </w:t>
      </w:r>
      <w:r w:rsidRPr="007C17FD">
        <w:rPr>
          <w:i w:val="0"/>
          <w:iCs/>
        </w:rPr>
        <w:t>indication</w:t>
      </w:r>
    </w:p>
    <w:p w14:paraId="4B759B0B" w14:textId="2119D581" w:rsidR="00F84529" w:rsidRDefault="001862C1" w:rsidP="0076140A">
      <w:r>
        <w:t>The</w:t>
      </w:r>
      <w:r>
        <w:rPr>
          <w:spacing w:val="-6"/>
        </w:rPr>
        <w:t xml:space="preserve"> </w:t>
      </w:r>
      <w:r w:rsidR="00F25F5F">
        <w:t>s</w:t>
      </w:r>
      <w:r>
        <w:t>ponsor</w:t>
      </w:r>
      <w:r>
        <w:rPr>
          <w:spacing w:val="-3"/>
        </w:rPr>
        <w:t xml:space="preserve"> </w:t>
      </w:r>
      <w:r>
        <w:t>initially</w:t>
      </w:r>
      <w:r>
        <w:rPr>
          <w:spacing w:val="-4"/>
        </w:rPr>
        <w:t xml:space="preserve"> </w:t>
      </w:r>
      <w:r>
        <w:t>proposed</w:t>
      </w:r>
      <w:r>
        <w:rPr>
          <w:spacing w:val="-3"/>
        </w:rPr>
        <w:t xml:space="preserve"> </w:t>
      </w:r>
      <w:r>
        <w:t>to</w:t>
      </w:r>
      <w:r>
        <w:rPr>
          <w:spacing w:val="-2"/>
        </w:rPr>
        <w:t xml:space="preserve"> </w:t>
      </w:r>
      <w:r w:rsidRPr="00F25F5F">
        <w:rPr>
          <w:bCs/>
        </w:rPr>
        <w:t>provisionally</w:t>
      </w:r>
      <w:r w:rsidRPr="00F25F5F">
        <w:rPr>
          <w:bCs/>
          <w:spacing w:val="-3"/>
        </w:rPr>
        <w:t xml:space="preserve"> </w:t>
      </w:r>
      <w:r>
        <w:t>register</w:t>
      </w:r>
      <w:r>
        <w:rPr>
          <w:spacing w:val="-6"/>
        </w:rPr>
        <w:t xml:space="preserve"> </w:t>
      </w:r>
      <w:r>
        <w:t>orelabrutinib,</w:t>
      </w:r>
      <w:r>
        <w:rPr>
          <w:spacing w:val="-3"/>
        </w:rPr>
        <w:t xml:space="preserve"> </w:t>
      </w:r>
      <w:r>
        <w:t>a</w:t>
      </w:r>
      <w:r>
        <w:rPr>
          <w:spacing w:val="-2"/>
        </w:rPr>
        <w:t xml:space="preserve"> </w:t>
      </w:r>
      <w:r>
        <w:t>new</w:t>
      </w:r>
      <w:r>
        <w:rPr>
          <w:spacing w:val="-4"/>
        </w:rPr>
        <w:t xml:space="preserve"> </w:t>
      </w:r>
      <w:r>
        <w:t>therapeutic entity, for the following indication:</w:t>
      </w:r>
    </w:p>
    <w:p w14:paraId="6744C5CB" w14:textId="28037599" w:rsidR="001862C1" w:rsidRDefault="001862C1" w:rsidP="00F84529">
      <w:pPr>
        <w:pStyle w:val="BodyText"/>
        <w:ind w:firstLine="720"/>
        <w:rPr>
          <w:i/>
        </w:rPr>
      </w:pPr>
      <w:r>
        <w:rPr>
          <w:i/>
        </w:rPr>
        <w:t>H</w:t>
      </w:r>
      <w:r w:rsidR="00F84529">
        <w:rPr>
          <w:i/>
        </w:rPr>
        <w:t xml:space="preserve">ibruka </w:t>
      </w:r>
      <w:r>
        <w:rPr>
          <w:i/>
        </w:rPr>
        <w:t>indicated</w:t>
      </w:r>
      <w:r>
        <w:rPr>
          <w:i/>
          <w:spacing w:val="-4"/>
        </w:rPr>
        <w:t xml:space="preserve"> </w:t>
      </w:r>
      <w:r>
        <w:rPr>
          <w:i/>
        </w:rPr>
        <w:t>for</w:t>
      </w:r>
      <w:r>
        <w:rPr>
          <w:i/>
          <w:spacing w:val="-2"/>
        </w:rPr>
        <w:t xml:space="preserve"> </w:t>
      </w:r>
      <w:r>
        <w:rPr>
          <w:i/>
        </w:rPr>
        <w:t>the</w:t>
      </w:r>
      <w:r>
        <w:rPr>
          <w:i/>
          <w:spacing w:val="-3"/>
        </w:rPr>
        <w:t xml:space="preserve"> </w:t>
      </w:r>
      <w:r>
        <w:rPr>
          <w:i/>
        </w:rPr>
        <w:t>treatment</w:t>
      </w:r>
      <w:r>
        <w:rPr>
          <w:i/>
          <w:spacing w:val="-3"/>
        </w:rPr>
        <w:t xml:space="preserve"> </w:t>
      </w:r>
      <w:r>
        <w:rPr>
          <w:i/>
        </w:rPr>
        <w:t>of</w:t>
      </w:r>
      <w:r>
        <w:rPr>
          <w:i/>
          <w:spacing w:val="-3"/>
        </w:rPr>
        <w:t xml:space="preserve"> </w:t>
      </w:r>
      <w:r>
        <w:rPr>
          <w:i/>
        </w:rPr>
        <w:t>adult</w:t>
      </w:r>
      <w:r>
        <w:rPr>
          <w:i/>
          <w:spacing w:val="-6"/>
        </w:rPr>
        <w:t xml:space="preserve"> </w:t>
      </w:r>
      <w:r>
        <w:rPr>
          <w:i/>
        </w:rPr>
        <w:t>patients</w:t>
      </w:r>
      <w:r>
        <w:rPr>
          <w:i/>
          <w:spacing w:val="-4"/>
        </w:rPr>
        <w:t xml:space="preserve"> </w:t>
      </w:r>
      <w:r>
        <w:rPr>
          <w:i/>
        </w:rPr>
        <w:t>with</w:t>
      </w:r>
      <w:r>
        <w:rPr>
          <w:i/>
          <w:spacing w:val="-6"/>
        </w:rPr>
        <w:t xml:space="preserve"> </w:t>
      </w:r>
      <w:r>
        <w:rPr>
          <w:i/>
        </w:rPr>
        <w:t>mantle</w:t>
      </w:r>
      <w:r>
        <w:rPr>
          <w:i/>
          <w:spacing w:val="-4"/>
        </w:rPr>
        <w:t xml:space="preserve"> </w:t>
      </w:r>
      <w:r>
        <w:rPr>
          <w:i/>
        </w:rPr>
        <w:t>cell</w:t>
      </w:r>
      <w:r>
        <w:rPr>
          <w:i/>
          <w:spacing w:val="-2"/>
        </w:rPr>
        <w:t xml:space="preserve"> lymphoma</w:t>
      </w:r>
    </w:p>
    <w:p w14:paraId="5464E1C0" w14:textId="4CB7C8EF" w:rsidR="001862C1" w:rsidRDefault="001862C1" w:rsidP="00F84529">
      <w:pPr>
        <w:spacing w:line="257" w:lineRule="exact"/>
        <w:ind w:firstLine="720"/>
        <w:rPr>
          <w:i/>
        </w:rPr>
      </w:pPr>
      <w:r>
        <w:rPr>
          <w:i/>
        </w:rPr>
        <w:t>(MCL)</w:t>
      </w:r>
      <w:r>
        <w:rPr>
          <w:i/>
          <w:spacing w:val="-3"/>
        </w:rPr>
        <w:t xml:space="preserve"> </w:t>
      </w:r>
      <w:r>
        <w:rPr>
          <w:i/>
        </w:rPr>
        <w:t>who</w:t>
      </w:r>
      <w:r>
        <w:rPr>
          <w:i/>
          <w:spacing w:val="-2"/>
        </w:rPr>
        <w:t xml:space="preserve"> </w:t>
      </w:r>
      <w:r>
        <w:rPr>
          <w:i/>
        </w:rPr>
        <w:t>have</w:t>
      </w:r>
      <w:r>
        <w:rPr>
          <w:i/>
          <w:spacing w:val="-3"/>
        </w:rPr>
        <w:t xml:space="preserve"> </w:t>
      </w:r>
      <w:r>
        <w:rPr>
          <w:i/>
        </w:rPr>
        <w:t>received</w:t>
      </w:r>
      <w:r>
        <w:rPr>
          <w:i/>
          <w:spacing w:val="-5"/>
        </w:rPr>
        <w:t xml:space="preserve"> </w:t>
      </w:r>
      <w:r>
        <w:rPr>
          <w:i/>
        </w:rPr>
        <w:t>at</w:t>
      </w:r>
      <w:r>
        <w:rPr>
          <w:i/>
          <w:spacing w:val="-2"/>
        </w:rPr>
        <w:t xml:space="preserve"> </w:t>
      </w:r>
      <w:r>
        <w:rPr>
          <w:i/>
        </w:rPr>
        <w:t>least</w:t>
      </w:r>
      <w:r>
        <w:rPr>
          <w:i/>
          <w:spacing w:val="-2"/>
        </w:rPr>
        <w:t xml:space="preserve"> </w:t>
      </w:r>
      <w:r>
        <w:rPr>
          <w:i/>
        </w:rPr>
        <w:t>one</w:t>
      </w:r>
      <w:r>
        <w:rPr>
          <w:i/>
          <w:spacing w:val="-5"/>
        </w:rPr>
        <w:t xml:space="preserve"> </w:t>
      </w:r>
      <w:r>
        <w:rPr>
          <w:i/>
        </w:rPr>
        <w:t xml:space="preserve">prior </w:t>
      </w:r>
      <w:r>
        <w:rPr>
          <w:i/>
          <w:spacing w:val="-2"/>
        </w:rPr>
        <w:t>therapy.</w:t>
      </w:r>
    </w:p>
    <w:p w14:paraId="3D3556E5" w14:textId="0D10E081" w:rsidR="001862C1" w:rsidRDefault="001862C1" w:rsidP="0076140A">
      <w:r>
        <w:t>Following</w:t>
      </w:r>
      <w:r>
        <w:rPr>
          <w:spacing w:val="-1"/>
        </w:rPr>
        <w:t xml:space="preserve"> </w:t>
      </w:r>
      <w:r>
        <w:t>evaluation,</w:t>
      </w:r>
      <w:r>
        <w:rPr>
          <w:spacing w:val="-3"/>
        </w:rPr>
        <w:t xml:space="preserve"> </w:t>
      </w:r>
      <w:r>
        <w:t>the</w:t>
      </w:r>
      <w:r>
        <w:rPr>
          <w:spacing w:val="-5"/>
        </w:rPr>
        <w:t xml:space="preserve"> </w:t>
      </w:r>
      <w:r w:rsidR="00E2342E">
        <w:rPr>
          <w:spacing w:val="-5"/>
        </w:rPr>
        <w:t>s</w:t>
      </w:r>
      <w:r>
        <w:t>ponsor</w:t>
      </w:r>
      <w:r>
        <w:rPr>
          <w:spacing w:val="-2"/>
        </w:rPr>
        <w:t xml:space="preserve"> </w:t>
      </w:r>
      <w:r>
        <w:t>amended</w:t>
      </w:r>
      <w:r>
        <w:rPr>
          <w:spacing w:val="-3"/>
        </w:rPr>
        <w:t xml:space="preserve"> </w:t>
      </w:r>
      <w:r>
        <w:t>the</w:t>
      </w:r>
      <w:r>
        <w:rPr>
          <w:spacing w:val="-2"/>
        </w:rPr>
        <w:t xml:space="preserve"> </w:t>
      </w:r>
      <w:r>
        <w:t>wording</w:t>
      </w:r>
      <w:r>
        <w:rPr>
          <w:spacing w:val="-1"/>
        </w:rPr>
        <w:t xml:space="preserve"> </w:t>
      </w:r>
      <w:r>
        <w:t>of</w:t>
      </w:r>
      <w:r>
        <w:rPr>
          <w:spacing w:val="-2"/>
        </w:rPr>
        <w:t xml:space="preserve"> </w:t>
      </w:r>
      <w:r>
        <w:t>the</w:t>
      </w:r>
      <w:r>
        <w:rPr>
          <w:spacing w:val="-2"/>
        </w:rPr>
        <w:t xml:space="preserve"> </w:t>
      </w:r>
      <w:r>
        <w:t>proposed</w:t>
      </w:r>
      <w:r>
        <w:rPr>
          <w:spacing w:val="-5"/>
        </w:rPr>
        <w:t xml:space="preserve"> </w:t>
      </w:r>
      <w:r>
        <w:t>indication</w:t>
      </w:r>
      <w:r>
        <w:rPr>
          <w:spacing w:val="-3"/>
        </w:rPr>
        <w:t xml:space="preserve"> </w:t>
      </w:r>
      <w:r>
        <w:t>to the following:</w:t>
      </w:r>
    </w:p>
    <w:p w14:paraId="4253685B" w14:textId="4CC66103" w:rsidR="001862C1" w:rsidRDefault="001862C1" w:rsidP="00E2342E">
      <w:pPr>
        <w:pStyle w:val="ListParagraph"/>
        <w:widowControl w:val="0"/>
        <w:tabs>
          <w:tab w:val="left" w:pos="743"/>
        </w:tabs>
        <w:autoSpaceDE w:val="0"/>
        <w:autoSpaceDN w:val="0"/>
        <w:spacing w:before="182" w:after="0" w:line="240" w:lineRule="auto"/>
        <w:ind w:left="743" w:right="72"/>
        <w:contextualSpacing w:val="0"/>
        <w:rPr>
          <w:i/>
        </w:rPr>
      </w:pPr>
      <w:r>
        <w:rPr>
          <w:i/>
          <w:sz w:val="22"/>
        </w:rPr>
        <w:t>H</w:t>
      </w:r>
      <w:r w:rsidR="00E2342E">
        <w:rPr>
          <w:i/>
          <w:sz w:val="22"/>
        </w:rPr>
        <w:t>ibruka</w:t>
      </w:r>
      <w:r>
        <w:rPr>
          <w:i/>
          <w:sz w:val="22"/>
        </w:rPr>
        <w:t xml:space="preserve"> is indicated for</w:t>
      </w:r>
      <w:r>
        <w:rPr>
          <w:i/>
          <w:spacing w:val="-1"/>
          <w:sz w:val="22"/>
        </w:rPr>
        <w:t xml:space="preserve"> </w:t>
      </w:r>
      <w:r>
        <w:rPr>
          <w:i/>
          <w:sz w:val="22"/>
        </w:rPr>
        <w:t>the treatment of adult</w:t>
      </w:r>
      <w:r>
        <w:rPr>
          <w:i/>
          <w:spacing w:val="-2"/>
          <w:sz w:val="22"/>
        </w:rPr>
        <w:t xml:space="preserve"> </w:t>
      </w:r>
      <w:r>
        <w:rPr>
          <w:i/>
          <w:sz w:val="22"/>
        </w:rPr>
        <w:t>patients with</w:t>
      </w:r>
      <w:r>
        <w:rPr>
          <w:i/>
          <w:spacing w:val="-2"/>
          <w:sz w:val="22"/>
        </w:rPr>
        <w:t xml:space="preserve"> </w:t>
      </w:r>
      <w:r>
        <w:rPr>
          <w:i/>
          <w:sz w:val="22"/>
        </w:rPr>
        <w:t>mantle cell lymphoma who had no response or demonstrated progressive disease to at least one prior therapy.</w:t>
      </w:r>
      <w:r>
        <w:rPr>
          <w:i/>
          <w:spacing w:val="40"/>
          <w:sz w:val="22"/>
        </w:rPr>
        <w:t xml:space="preserve"> </w:t>
      </w:r>
      <w:r>
        <w:rPr>
          <w:i/>
          <w:sz w:val="22"/>
        </w:rPr>
        <w:t>This indication</w:t>
      </w:r>
      <w:r>
        <w:rPr>
          <w:i/>
          <w:spacing w:val="-3"/>
          <w:sz w:val="22"/>
        </w:rPr>
        <w:t xml:space="preserve"> </w:t>
      </w:r>
      <w:r>
        <w:rPr>
          <w:i/>
          <w:sz w:val="22"/>
        </w:rPr>
        <w:t>is</w:t>
      </w:r>
      <w:r>
        <w:rPr>
          <w:i/>
          <w:spacing w:val="-3"/>
          <w:sz w:val="22"/>
        </w:rPr>
        <w:t xml:space="preserve"> </w:t>
      </w:r>
      <w:r>
        <w:rPr>
          <w:i/>
          <w:sz w:val="22"/>
        </w:rPr>
        <w:t>approved</w:t>
      </w:r>
      <w:r>
        <w:rPr>
          <w:i/>
          <w:spacing w:val="-3"/>
          <w:sz w:val="22"/>
        </w:rPr>
        <w:t xml:space="preserve"> </w:t>
      </w:r>
      <w:r>
        <w:rPr>
          <w:i/>
          <w:sz w:val="22"/>
        </w:rPr>
        <w:t>via</w:t>
      </w:r>
      <w:r>
        <w:rPr>
          <w:i/>
          <w:spacing w:val="-6"/>
          <w:sz w:val="22"/>
        </w:rPr>
        <w:t xml:space="preserve"> </w:t>
      </w:r>
      <w:r>
        <w:rPr>
          <w:i/>
          <w:sz w:val="22"/>
        </w:rPr>
        <w:t>the</w:t>
      </w:r>
      <w:r>
        <w:rPr>
          <w:i/>
          <w:spacing w:val="-3"/>
          <w:sz w:val="22"/>
        </w:rPr>
        <w:t xml:space="preserve"> </w:t>
      </w:r>
      <w:r>
        <w:rPr>
          <w:i/>
          <w:sz w:val="22"/>
        </w:rPr>
        <w:t>provisional</w:t>
      </w:r>
      <w:r>
        <w:rPr>
          <w:i/>
          <w:spacing w:val="-1"/>
          <w:sz w:val="22"/>
        </w:rPr>
        <w:t xml:space="preserve"> </w:t>
      </w:r>
      <w:r>
        <w:rPr>
          <w:i/>
          <w:sz w:val="22"/>
        </w:rPr>
        <w:t>pathway,</w:t>
      </w:r>
      <w:r>
        <w:rPr>
          <w:i/>
          <w:spacing w:val="-3"/>
          <w:sz w:val="22"/>
        </w:rPr>
        <w:t xml:space="preserve"> </w:t>
      </w:r>
      <w:r>
        <w:rPr>
          <w:i/>
          <w:sz w:val="22"/>
        </w:rPr>
        <w:t>based</w:t>
      </w:r>
      <w:r>
        <w:rPr>
          <w:i/>
          <w:spacing w:val="-3"/>
          <w:sz w:val="22"/>
        </w:rPr>
        <w:t xml:space="preserve"> </w:t>
      </w:r>
      <w:r>
        <w:rPr>
          <w:i/>
          <w:sz w:val="22"/>
        </w:rPr>
        <w:t>on</w:t>
      </w:r>
      <w:r>
        <w:rPr>
          <w:i/>
          <w:spacing w:val="-3"/>
          <w:sz w:val="22"/>
        </w:rPr>
        <w:t xml:space="preserve"> </w:t>
      </w:r>
      <w:r>
        <w:rPr>
          <w:i/>
          <w:sz w:val="22"/>
        </w:rPr>
        <w:t>ORR.</w:t>
      </w:r>
      <w:r>
        <w:rPr>
          <w:i/>
          <w:spacing w:val="-3"/>
          <w:sz w:val="22"/>
        </w:rPr>
        <w:t xml:space="preserve"> </w:t>
      </w:r>
      <w:r>
        <w:rPr>
          <w:i/>
          <w:sz w:val="22"/>
        </w:rPr>
        <w:t>Full</w:t>
      </w:r>
      <w:r>
        <w:rPr>
          <w:i/>
          <w:spacing w:val="-4"/>
          <w:sz w:val="22"/>
        </w:rPr>
        <w:t xml:space="preserve"> </w:t>
      </w:r>
      <w:r>
        <w:rPr>
          <w:i/>
          <w:sz w:val="22"/>
        </w:rPr>
        <w:t>registration</w:t>
      </w:r>
      <w:r>
        <w:rPr>
          <w:i/>
          <w:spacing w:val="-3"/>
          <w:sz w:val="22"/>
        </w:rPr>
        <w:t xml:space="preserve"> </w:t>
      </w:r>
      <w:r>
        <w:rPr>
          <w:i/>
          <w:sz w:val="22"/>
        </w:rPr>
        <w:t>for</w:t>
      </w:r>
      <w:r>
        <w:rPr>
          <w:i/>
          <w:spacing w:val="-1"/>
          <w:sz w:val="22"/>
        </w:rPr>
        <w:t xml:space="preserve"> </w:t>
      </w:r>
      <w:r>
        <w:rPr>
          <w:i/>
          <w:sz w:val="22"/>
        </w:rPr>
        <w:t>this product for this indication depends on verification and description of clinical benefit in</w:t>
      </w:r>
    </w:p>
    <w:p w14:paraId="14D74ABF" w14:textId="71848CB3" w:rsidR="001862C1" w:rsidRDefault="001862C1" w:rsidP="001862C1">
      <w:pPr>
        <w:spacing w:line="256" w:lineRule="exact"/>
        <w:ind w:left="743"/>
        <w:rPr>
          <w:i/>
        </w:rPr>
      </w:pPr>
      <w:r>
        <w:rPr>
          <w:i/>
        </w:rPr>
        <w:t>confirmatory</w:t>
      </w:r>
      <w:r>
        <w:rPr>
          <w:i/>
          <w:spacing w:val="-6"/>
        </w:rPr>
        <w:t xml:space="preserve"> </w:t>
      </w:r>
      <w:r>
        <w:rPr>
          <w:i/>
          <w:spacing w:val="-2"/>
        </w:rPr>
        <w:t>trials.</w:t>
      </w:r>
    </w:p>
    <w:p w14:paraId="225B3324" w14:textId="02ED61EC" w:rsidR="001862C1" w:rsidRDefault="001862C1" w:rsidP="001862C1">
      <w:pPr>
        <w:pStyle w:val="BodyText"/>
        <w:spacing w:before="182"/>
        <w:ind w:left="23"/>
      </w:pPr>
      <w:r>
        <w:t>The</w:t>
      </w:r>
      <w:r>
        <w:rPr>
          <w:spacing w:val="-4"/>
        </w:rPr>
        <w:t xml:space="preserve"> </w:t>
      </w:r>
      <w:r>
        <w:t>proposed</w:t>
      </w:r>
      <w:r>
        <w:rPr>
          <w:spacing w:val="-3"/>
        </w:rPr>
        <w:t xml:space="preserve"> </w:t>
      </w:r>
      <w:r>
        <w:t>dose</w:t>
      </w:r>
      <w:r>
        <w:rPr>
          <w:spacing w:val="-7"/>
        </w:rPr>
        <w:t xml:space="preserve"> </w:t>
      </w:r>
      <w:r>
        <w:t>is</w:t>
      </w:r>
      <w:r>
        <w:rPr>
          <w:spacing w:val="-2"/>
        </w:rPr>
        <w:t xml:space="preserve"> </w:t>
      </w:r>
      <w:r>
        <w:t>150</w:t>
      </w:r>
      <w:r w:rsidR="00962250">
        <w:t xml:space="preserve"> </w:t>
      </w:r>
      <w:r>
        <w:t>mg</w:t>
      </w:r>
      <w:r>
        <w:rPr>
          <w:spacing w:val="-6"/>
        </w:rPr>
        <w:t xml:space="preserve"> </w:t>
      </w:r>
      <w:r>
        <w:t>orally</w:t>
      </w:r>
      <w:r>
        <w:rPr>
          <w:spacing w:val="-4"/>
        </w:rPr>
        <w:t xml:space="preserve"> </w:t>
      </w:r>
      <w:r>
        <w:t>once</w:t>
      </w:r>
      <w:r>
        <w:rPr>
          <w:spacing w:val="-3"/>
        </w:rPr>
        <w:t xml:space="preserve"> </w:t>
      </w:r>
      <w:r>
        <w:rPr>
          <w:spacing w:val="-2"/>
        </w:rPr>
        <w:t>daily.</w:t>
      </w:r>
    </w:p>
    <w:p w14:paraId="7F07B3E8" w14:textId="16F61B7B" w:rsidR="001862C1" w:rsidRPr="007C17FD" w:rsidRDefault="001862C1" w:rsidP="00E2342E">
      <w:pPr>
        <w:pStyle w:val="Heading5"/>
        <w:rPr>
          <w:i w:val="0"/>
          <w:iCs/>
        </w:rPr>
      </w:pPr>
      <w:r w:rsidRPr="007C17FD">
        <w:rPr>
          <w:i w:val="0"/>
          <w:iCs/>
        </w:rPr>
        <w:t>Benefits</w:t>
      </w:r>
      <w:r w:rsidR="00C02641">
        <w:rPr>
          <w:i w:val="0"/>
          <w:iCs/>
        </w:rPr>
        <w:t>-</w:t>
      </w:r>
      <w:r w:rsidR="00412BC4">
        <w:rPr>
          <w:i w:val="0"/>
          <w:iCs/>
        </w:rPr>
        <w:t>u</w:t>
      </w:r>
      <w:r w:rsidRPr="007C17FD">
        <w:rPr>
          <w:i w:val="0"/>
          <w:iCs/>
        </w:rPr>
        <w:t xml:space="preserve">ncertainties </w:t>
      </w:r>
      <w:r w:rsidR="00E83BF0">
        <w:rPr>
          <w:i w:val="0"/>
          <w:iCs/>
        </w:rPr>
        <w:t>of benefits</w:t>
      </w:r>
    </w:p>
    <w:p w14:paraId="37AEAD50" w14:textId="5B57D165" w:rsidR="007C17FD" w:rsidRPr="007C17FD" w:rsidRDefault="007C17FD" w:rsidP="007C17FD">
      <w:pPr>
        <w:pStyle w:val="Heading6"/>
      </w:pPr>
      <w:r>
        <w:t>Benefits</w:t>
      </w:r>
    </w:p>
    <w:p w14:paraId="08BC08B7" w14:textId="1DC44A00" w:rsidR="001862C1" w:rsidRDefault="001862C1" w:rsidP="00D21FFC">
      <w:r>
        <w:t xml:space="preserve">The sponsor has provided adequate evidence of effectiveness to </w:t>
      </w:r>
      <w:r w:rsidRPr="00F02BFE">
        <w:t>support provisional approval of</w:t>
      </w:r>
      <w:r w:rsidRPr="00F02BFE">
        <w:rPr>
          <w:spacing w:val="-3"/>
        </w:rPr>
        <w:t xml:space="preserve"> </w:t>
      </w:r>
      <w:r w:rsidRPr="00F02BFE">
        <w:t>orelabrutinib</w:t>
      </w:r>
      <w:r w:rsidRPr="00F02BFE">
        <w:rPr>
          <w:spacing w:val="-4"/>
        </w:rPr>
        <w:t xml:space="preserve"> </w:t>
      </w:r>
      <w:r w:rsidRPr="00F02BFE">
        <w:t>for</w:t>
      </w:r>
      <w:r w:rsidRPr="00F02BFE">
        <w:rPr>
          <w:spacing w:val="-4"/>
        </w:rPr>
        <w:t xml:space="preserve"> </w:t>
      </w:r>
      <w:r w:rsidRPr="00F02BFE">
        <w:t>the</w:t>
      </w:r>
      <w:r w:rsidRPr="00F02BFE">
        <w:rPr>
          <w:spacing w:val="-6"/>
        </w:rPr>
        <w:t xml:space="preserve"> </w:t>
      </w:r>
      <w:r w:rsidRPr="00F02BFE">
        <w:t>evaluated</w:t>
      </w:r>
      <w:r w:rsidRPr="00F02BFE">
        <w:rPr>
          <w:spacing w:val="-3"/>
        </w:rPr>
        <w:t xml:space="preserve"> </w:t>
      </w:r>
      <w:r w:rsidRPr="00F02BFE">
        <w:t>population</w:t>
      </w:r>
      <w:r w:rsidRPr="00F02BFE">
        <w:rPr>
          <w:spacing w:val="-3"/>
        </w:rPr>
        <w:t xml:space="preserve"> </w:t>
      </w:r>
      <w:r w:rsidRPr="00F02BFE">
        <w:t>(patients</w:t>
      </w:r>
      <w:r w:rsidRPr="00F02BFE">
        <w:rPr>
          <w:spacing w:val="-2"/>
        </w:rPr>
        <w:t xml:space="preserve"> </w:t>
      </w:r>
      <w:r w:rsidRPr="00F02BFE">
        <w:t>with</w:t>
      </w:r>
      <w:r w:rsidRPr="00F02BFE">
        <w:rPr>
          <w:spacing w:val="-3"/>
        </w:rPr>
        <w:t xml:space="preserve"> </w:t>
      </w:r>
      <w:r w:rsidRPr="00F02BFE">
        <w:t>mantle</w:t>
      </w:r>
      <w:r w:rsidRPr="00F02BFE">
        <w:rPr>
          <w:spacing w:val="-3"/>
        </w:rPr>
        <w:t xml:space="preserve"> </w:t>
      </w:r>
      <w:r w:rsidRPr="00F02BFE">
        <w:t>cell</w:t>
      </w:r>
      <w:r w:rsidRPr="00F02BFE">
        <w:rPr>
          <w:spacing w:val="-3"/>
        </w:rPr>
        <w:t xml:space="preserve"> </w:t>
      </w:r>
      <w:r w:rsidRPr="00F02BFE">
        <w:t>lymphoma</w:t>
      </w:r>
      <w:r w:rsidRPr="00F02BFE">
        <w:rPr>
          <w:spacing w:val="-3"/>
        </w:rPr>
        <w:t xml:space="preserve"> </w:t>
      </w:r>
      <w:r w:rsidRPr="00F02BFE">
        <w:t>who</w:t>
      </w:r>
      <w:r w:rsidRPr="00F02BFE">
        <w:rPr>
          <w:spacing w:val="-3"/>
        </w:rPr>
        <w:t xml:space="preserve"> </w:t>
      </w:r>
      <w:r w:rsidRPr="00F02BFE">
        <w:t>have progressed on at least one prior systemic therapy), with a high overall response rate of ORR = 72.1% (95% CI: 61.4, 81.2) in Study ICP-CL-00102, and ORR = 83.7% (95% CI: 69.3, 93.2) in</w:t>
      </w:r>
      <w:r w:rsidR="00F02BFE">
        <w:t xml:space="preserve"> </w:t>
      </w:r>
      <w:r>
        <w:t>Study ICP-CL-00107.</w:t>
      </w:r>
      <w:r>
        <w:rPr>
          <w:spacing w:val="80"/>
        </w:rPr>
        <w:t xml:space="preserve"> </w:t>
      </w:r>
      <w:r>
        <w:t>The results of the supportive study ICP-CL-00127 were consistent with results</w:t>
      </w:r>
      <w:r>
        <w:rPr>
          <w:spacing w:val="-1"/>
        </w:rPr>
        <w:t xml:space="preserve"> </w:t>
      </w:r>
      <w:r>
        <w:t>of</w:t>
      </w:r>
      <w:r>
        <w:rPr>
          <w:spacing w:val="-5"/>
        </w:rPr>
        <w:t xml:space="preserve"> </w:t>
      </w:r>
      <w:r>
        <w:t>ICP-CL-00102</w:t>
      </w:r>
      <w:r>
        <w:rPr>
          <w:spacing w:val="-5"/>
        </w:rPr>
        <w:t xml:space="preserve"> </w:t>
      </w:r>
      <w:r>
        <w:t>and</w:t>
      </w:r>
      <w:r>
        <w:rPr>
          <w:spacing w:val="-3"/>
        </w:rPr>
        <w:t xml:space="preserve"> </w:t>
      </w:r>
      <w:r>
        <w:t>ICP-CL-00107</w:t>
      </w:r>
      <w:r>
        <w:rPr>
          <w:spacing w:val="-3"/>
        </w:rPr>
        <w:t xml:space="preserve"> </w:t>
      </w:r>
      <w:r>
        <w:t>(ORR</w:t>
      </w:r>
      <w:r>
        <w:rPr>
          <w:spacing w:val="-3"/>
        </w:rPr>
        <w:t xml:space="preserve"> </w:t>
      </w:r>
      <w:r>
        <w:t>by</w:t>
      </w:r>
      <w:r>
        <w:rPr>
          <w:spacing w:val="-3"/>
        </w:rPr>
        <w:t xml:space="preserve"> </w:t>
      </w:r>
      <w:r>
        <w:t>investigator</w:t>
      </w:r>
      <w:r>
        <w:rPr>
          <w:spacing w:val="-2"/>
        </w:rPr>
        <w:t xml:space="preserve"> </w:t>
      </w:r>
      <w:r>
        <w:t>assessment</w:t>
      </w:r>
      <w:r>
        <w:rPr>
          <w:spacing w:val="-3"/>
        </w:rPr>
        <w:t xml:space="preserve"> </w:t>
      </w:r>
      <w:r>
        <w:t>(FAS,</w:t>
      </w:r>
      <w:r>
        <w:rPr>
          <w:spacing w:val="-2"/>
        </w:rPr>
        <w:t xml:space="preserve"> </w:t>
      </w:r>
      <w:r>
        <w:t>total)</w:t>
      </w:r>
      <w:r>
        <w:rPr>
          <w:spacing w:val="-2"/>
        </w:rPr>
        <w:t xml:space="preserve"> </w:t>
      </w:r>
      <w:r>
        <w:t>=</w:t>
      </w:r>
      <w:r>
        <w:rPr>
          <w:spacing w:val="-3"/>
        </w:rPr>
        <w:t xml:space="preserve"> </w:t>
      </w:r>
      <w:r>
        <w:t xml:space="preserve">65% </w:t>
      </w:r>
      <w:r w:rsidR="004F10C8">
        <w:t>(</w:t>
      </w:r>
      <w:r>
        <w:t>48.3, 79.4</w:t>
      </w:r>
      <w:r w:rsidR="004F10C8">
        <w:t>)</w:t>
      </w:r>
      <w:r>
        <w:t>).</w:t>
      </w:r>
    </w:p>
    <w:p w14:paraId="30A70EA0" w14:textId="77777777" w:rsidR="001862C1" w:rsidRPr="007C17FD" w:rsidRDefault="001862C1" w:rsidP="007C17FD">
      <w:pPr>
        <w:pStyle w:val="Heading6"/>
      </w:pPr>
      <w:r w:rsidRPr="007C17FD">
        <w:t>Uncertainties</w:t>
      </w:r>
    </w:p>
    <w:p w14:paraId="13E8E82B" w14:textId="1FBDE4E4" w:rsidR="001862C1" w:rsidRDefault="001862C1" w:rsidP="004B5444">
      <w:r>
        <w:t>Currently available data in support of the efficacy (ORR and DOR) for orelabrutinib in the evaluated population are from single arm phase 1/2 studies, as above, with relatively small sample sizes.</w:t>
      </w:r>
      <w:r>
        <w:rPr>
          <w:spacing w:val="40"/>
        </w:rPr>
        <w:t xml:space="preserve"> </w:t>
      </w:r>
      <w:r>
        <w:t>No direct head-to-head comparison of orelabrutinib with a standard treatment option in the proposed population has been performed as yet.</w:t>
      </w:r>
      <w:r>
        <w:rPr>
          <w:spacing w:val="40"/>
        </w:rPr>
        <w:t xml:space="preserve"> </w:t>
      </w:r>
      <w:r>
        <w:t>To address this uncertainty, further data would be required to confirm (and more precisely, to estimate the degree of) benefit</w:t>
      </w:r>
      <w:r>
        <w:rPr>
          <w:spacing w:val="-3"/>
        </w:rPr>
        <w:t xml:space="preserve"> </w:t>
      </w:r>
      <w:r>
        <w:t>and</w:t>
      </w:r>
      <w:r>
        <w:rPr>
          <w:spacing w:val="-3"/>
        </w:rPr>
        <w:t xml:space="preserve"> </w:t>
      </w:r>
      <w:r>
        <w:t>safety</w:t>
      </w:r>
      <w:r>
        <w:rPr>
          <w:spacing w:val="-4"/>
        </w:rPr>
        <w:t xml:space="preserve"> </w:t>
      </w:r>
      <w:r>
        <w:t>(</w:t>
      </w:r>
      <w:r w:rsidR="004574B5">
        <w:t>as noted below</w:t>
      </w:r>
      <w:r>
        <w:t>);</w:t>
      </w:r>
      <w:r>
        <w:rPr>
          <w:spacing w:val="-3"/>
        </w:rPr>
        <w:t xml:space="preserve"> </w:t>
      </w:r>
      <w:r>
        <w:t>this</w:t>
      </w:r>
      <w:r>
        <w:rPr>
          <w:spacing w:val="-1"/>
        </w:rPr>
        <w:t xml:space="preserve"> </w:t>
      </w:r>
      <w:r>
        <w:t>is</w:t>
      </w:r>
      <w:r>
        <w:rPr>
          <w:spacing w:val="-4"/>
        </w:rPr>
        <w:t xml:space="preserve"> </w:t>
      </w:r>
      <w:r>
        <w:t>expected</w:t>
      </w:r>
      <w:r>
        <w:rPr>
          <w:spacing w:val="-3"/>
        </w:rPr>
        <w:t xml:space="preserve"> </w:t>
      </w:r>
      <w:r>
        <w:t>to</w:t>
      </w:r>
      <w:r>
        <w:rPr>
          <w:spacing w:val="-2"/>
        </w:rPr>
        <w:t xml:space="preserve"> </w:t>
      </w:r>
      <w:r>
        <w:t>be</w:t>
      </w:r>
      <w:r>
        <w:rPr>
          <w:spacing w:val="-4"/>
        </w:rPr>
        <w:t xml:space="preserve"> </w:t>
      </w:r>
      <w:r>
        <w:t>provided</w:t>
      </w:r>
      <w:r>
        <w:rPr>
          <w:spacing w:val="-2"/>
        </w:rPr>
        <w:t xml:space="preserve"> </w:t>
      </w:r>
      <w:r>
        <w:t>by</w:t>
      </w:r>
      <w:r>
        <w:rPr>
          <w:spacing w:val="-3"/>
        </w:rPr>
        <w:t xml:space="preserve"> </w:t>
      </w:r>
      <w:r>
        <w:t>the</w:t>
      </w:r>
      <w:r>
        <w:rPr>
          <w:spacing w:val="-2"/>
        </w:rPr>
        <w:t xml:space="preserve"> </w:t>
      </w:r>
      <w:r>
        <w:t>Sponsor</w:t>
      </w:r>
      <w:r>
        <w:rPr>
          <w:spacing w:val="-1"/>
        </w:rPr>
        <w:t xml:space="preserve"> </w:t>
      </w:r>
      <w:r>
        <w:t>in</w:t>
      </w:r>
      <w:r>
        <w:rPr>
          <w:spacing w:val="-3"/>
        </w:rPr>
        <w:t xml:space="preserve"> </w:t>
      </w:r>
      <w:r>
        <w:t>a</w:t>
      </w:r>
      <w:r>
        <w:rPr>
          <w:spacing w:val="-3"/>
        </w:rPr>
        <w:t xml:space="preserve"> </w:t>
      </w:r>
      <w:r>
        <w:t>subsequent submission to convert registration from provisional to full.</w:t>
      </w:r>
    </w:p>
    <w:p w14:paraId="691F7D81" w14:textId="1B98A896" w:rsidR="001862C1" w:rsidRDefault="001862C1" w:rsidP="004B5444">
      <w:r>
        <w:t>As</w:t>
      </w:r>
      <w:r>
        <w:rPr>
          <w:spacing w:val="-2"/>
        </w:rPr>
        <w:t xml:space="preserve"> </w:t>
      </w:r>
      <w:r>
        <w:t>a</w:t>
      </w:r>
      <w:r>
        <w:rPr>
          <w:spacing w:val="-4"/>
        </w:rPr>
        <w:t xml:space="preserve"> </w:t>
      </w:r>
      <w:r>
        <w:t>part</w:t>
      </w:r>
      <w:r>
        <w:rPr>
          <w:spacing w:val="-5"/>
        </w:rPr>
        <w:t xml:space="preserve"> </w:t>
      </w:r>
      <w:r>
        <w:t>of</w:t>
      </w:r>
      <w:r>
        <w:rPr>
          <w:spacing w:val="-3"/>
        </w:rPr>
        <w:t xml:space="preserve"> </w:t>
      </w:r>
      <w:r>
        <w:t>the</w:t>
      </w:r>
      <w:r>
        <w:rPr>
          <w:spacing w:val="-3"/>
        </w:rPr>
        <w:t xml:space="preserve"> </w:t>
      </w:r>
      <w:r>
        <w:t>provisional</w:t>
      </w:r>
      <w:r>
        <w:rPr>
          <w:spacing w:val="-3"/>
        </w:rPr>
        <w:t xml:space="preserve"> </w:t>
      </w:r>
      <w:r>
        <w:t>designation</w:t>
      </w:r>
      <w:r>
        <w:rPr>
          <w:spacing w:val="-4"/>
        </w:rPr>
        <w:t xml:space="preserve"> </w:t>
      </w:r>
      <w:r>
        <w:t>application</w:t>
      </w:r>
      <w:r>
        <w:rPr>
          <w:spacing w:val="-4"/>
        </w:rPr>
        <w:t xml:space="preserve"> </w:t>
      </w:r>
      <w:r>
        <w:t>(PM-2024-05542-1-4),</w:t>
      </w:r>
      <w:r>
        <w:rPr>
          <w:spacing w:val="-3"/>
        </w:rPr>
        <w:t xml:space="preserve"> </w:t>
      </w:r>
      <w:r>
        <w:t>the</w:t>
      </w:r>
      <w:r>
        <w:rPr>
          <w:spacing w:val="-3"/>
        </w:rPr>
        <w:t xml:space="preserve"> </w:t>
      </w:r>
      <w:r>
        <w:t>Sponsor</w:t>
      </w:r>
      <w:r>
        <w:rPr>
          <w:spacing w:val="-3"/>
        </w:rPr>
        <w:t xml:space="preserve"> </w:t>
      </w:r>
      <w:r>
        <w:t>included a clinical study</w:t>
      </w:r>
      <w:r>
        <w:rPr>
          <w:spacing w:val="-1"/>
        </w:rPr>
        <w:t xml:space="preserve"> </w:t>
      </w:r>
      <w:r>
        <w:t>plan</w:t>
      </w:r>
      <w:r>
        <w:rPr>
          <w:spacing w:val="-1"/>
        </w:rPr>
        <w:t xml:space="preserve"> </w:t>
      </w:r>
      <w:r>
        <w:t>for the submission</w:t>
      </w:r>
      <w:r>
        <w:rPr>
          <w:spacing w:val="-1"/>
        </w:rPr>
        <w:t xml:space="preserve"> </w:t>
      </w:r>
      <w:r>
        <w:t>of</w:t>
      </w:r>
      <w:r>
        <w:rPr>
          <w:spacing w:val="-3"/>
        </w:rPr>
        <w:t xml:space="preserve"> </w:t>
      </w:r>
      <w:r>
        <w:t>comprehensive clinical efficacy</w:t>
      </w:r>
      <w:r>
        <w:rPr>
          <w:spacing w:val="-1"/>
        </w:rPr>
        <w:t xml:space="preserve"> </w:t>
      </w:r>
      <w:r>
        <w:t>and</w:t>
      </w:r>
      <w:r>
        <w:rPr>
          <w:spacing w:val="-3"/>
        </w:rPr>
        <w:t xml:space="preserve"> </w:t>
      </w:r>
      <w:r>
        <w:t>safety</w:t>
      </w:r>
      <w:r>
        <w:rPr>
          <w:spacing w:val="-1"/>
        </w:rPr>
        <w:t xml:space="preserve"> </w:t>
      </w:r>
      <w:r>
        <w:t>data from a confirmatory phase 3 study ICP-CL-00128.</w:t>
      </w:r>
      <w:r>
        <w:rPr>
          <w:spacing w:val="40"/>
        </w:rPr>
        <w:t xml:space="preserve"> </w:t>
      </w:r>
      <w:r w:rsidR="000804E6">
        <w:t xml:space="preserve">Figure </w:t>
      </w:r>
      <w:r w:rsidR="009F4771">
        <w:t>7</w:t>
      </w:r>
      <w:r>
        <w:t xml:space="preserve"> has</w:t>
      </w:r>
      <w:r w:rsidR="00885145">
        <w:t xml:space="preserve"> </w:t>
      </w:r>
      <w:r>
        <w:t>been reproduced from the evaluation of the provisional designation assessment (determination granted by TGA 19 December 2024)</w:t>
      </w:r>
      <w:r w:rsidR="000804E6">
        <w:t>.</w:t>
      </w:r>
    </w:p>
    <w:p w14:paraId="3D36B5E1" w14:textId="0B75BC2A" w:rsidR="00315A68" w:rsidRDefault="00315A68" w:rsidP="00545DC9">
      <w:pPr>
        <w:pStyle w:val="FigureTitle"/>
      </w:pPr>
      <w:r>
        <w:lastRenderedPageBreak/>
        <w:t xml:space="preserve">Figure </w:t>
      </w:r>
      <w:r w:rsidR="00893203">
        <w:rPr>
          <w:rFonts w:hint="eastAsia"/>
          <w:lang w:eastAsia="zh-CN"/>
        </w:rPr>
        <w:t>7</w:t>
      </w:r>
      <w:r>
        <w:t>: Clinical study plan for ICP-</w:t>
      </w:r>
      <w:r w:rsidR="00545DC9">
        <w:t>CL-00128</w:t>
      </w:r>
    </w:p>
    <w:p w14:paraId="62795493" w14:textId="0C561BB5" w:rsidR="00315A68" w:rsidRDefault="00315A68" w:rsidP="004B5444">
      <w:r w:rsidRPr="00315A68">
        <w:rPr>
          <w:noProof/>
        </w:rPr>
        <w:drawing>
          <wp:inline distT="0" distB="0" distL="0" distR="0" wp14:anchorId="5E71ADEB" wp14:editId="5AF74FD3">
            <wp:extent cx="4724400" cy="5585047"/>
            <wp:effectExtent l="0" t="0" r="0" b="0"/>
            <wp:docPr id="1908003268" name="Picture 1" descr="Figure 7: Clinical study plan for ICP-CL-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03268" name="Picture 1" descr="Figure 7: Clinical study plan for ICP-CL-00128."/>
                    <pic:cNvPicPr/>
                  </pic:nvPicPr>
                  <pic:blipFill>
                    <a:blip r:embed="rId42"/>
                    <a:stretch>
                      <a:fillRect/>
                    </a:stretch>
                  </pic:blipFill>
                  <pic:spPr>
                    <a:xfrm>
                      <a:off x="0" y="0"/>
                      <a:ext cx="4736869" cy="5599788"/>
                    </a:xfrm>
                    <a:prstGeom prst="rect">
                      <a:avLst/>
                    </a:prstGeom>
                  </pic:spPr>
                </pic:pic>
              </a:graphicData>
            </a:graphic>
          </wp:inline>
        </w:drawing>
      </w:r>
    </w:p>
    <w:p w14:paraId="43560630" w14:textId="4778EBFF" w:rsidR="00FD1CA9" w:rsidRDefault="00FD1CA9" w:rsidP="009F4771">
      <w:pPr>
        <w:spacing w:before="240"/>
      </w:pPr>
      <w:r>
        <w:t>From ClinicalTrials.gov (</w:t>
      </w:r>
      <w:hyperlink r:id="rId43">
        <w:r>
          <w:rPr>
            <w:color w:val="0000FF"/>
            <w:u w:val="single" w:color="0000FF"/>
          </w:rPr>
          <w:t>https://clinicaltrials.gov/study/NCT06363994</w:t>
        </w:r>
      </w:hyperlink>
      <w:r>
        <w:t>), Study NCT06363994/ICP-CL-00128 (</w:t>
      </w:r>
      <w:r>
        <w:rPr>
          <w:i/>
        </w:rPr>
        <w:t>randomised phase 3 study of orelabrutinib in combination with rituximab</w:t>
      </w:r>
      <w:r>
        <w:rPr>
          <w:i/>
          <w:spacing w:val="-2"/>
        </w:rPr>
        <w:t xml:space="preserve"> </w:t>
      </w:r>
      <w:r>
        <w:rPr>
          <w:i/>
        </w:rPr>
        <w:t>and</w:t>
      </w:r>
      <w:r>
        <w:rPr>
          <w:i/>
          <w:spacing w:val="-3"/>
        </w:rPr>
        <w:t xml:space="preserve"> </w:t>
      </w:r>
      <w:r>
        <w:rPr>
          <w:i/>
        </w:rPr>
        <w:t>bendamustine</w:t>
      </w:r>
      <w:r>
        <w:rPr>
          <w:i/>
          <w:spacing w:val="-3"/>
        </w:rPr>
        <w:t xml:space="preserve"> </w:t>
      </w:r>
      <w:r>
        <w:rPr>
          <w:i/>
        </w:rPr>
        <w:t>(BR)</w:t>
      </w:r>
      <w:r>
        <w:rPr>
          <w:i/>
          <w:spacing w:val="-3"/>
        </w:rPr>
        <w:t xml:space="preserve"> </w:t>
      </w:r>
      <w:r>
        <w:rPr>
          <w:i/>
        </w:rPr>
        <w:t>vs.</w:t>
      </w:r>
      <w:r>
        <w:rPr>
          <w:i/>
          <w:spacing w:val="-4"/>
        </w:rPr>
        <w:t xml:space="preserve"> </w:t>
      </w:r>
      <w:r>
        <w:rPr>
          <w:i/>
        </w:rPr>
        <w:t>BR</w:t>
      </w:r>
      <w:r>
        <w:rPr>
          <w:i/>
          <w:spacing w:val="-3"/>
        </w:rPr>
        <w:t xml:space="preserve"> </w:t>
      </w:r>
      <w:r>
        <w:rPr>
          <w:i/>
        </w:rPr>
        <w:t>in</w:t>
      </w:r>
      <w:r>
        <w:rPr>
          <w:i/>
          <w:spacing w:val="-3"/>
        </w:rPr>
        <w:t xml:space="preserve"> </w:t>
      </w:r>
      <w:r>
        <w:rPr>
          <w:i/>
        </w:rPr>
        <w:t>patients</w:t>
      </w:r>
      <w:r>
        <w:rPr>
          <w:i/>
          <w:spacing w:val="-3"/>
        </w:rPr>
        <w:t xml:space="preserve"> </w:t>
      </w:r>
      <w:r>
        <w:rPr>
          <w:i/>
        </w:rPr>
        <w:t>with</w:t>
      </w:r>
      <w:r>
        <w:rPr>
          <w:i/>
          <w:spacing w:val="-2"/>
        </w:rPr>
        <w:t xml:space="preserve"> </w:t>
      </w:r>
      <w:r>
        <w:rPr>
          <w:i/>
        </w:rPr>
        <w:t>treatment-naïve</w:t>
      </w:r>
      <w:r>
        <w:rPr>
          <w:i/>
          <w:spacing w:val="-5"/>
        </w:rPr>
        <w:t xml:space="preserve"> </w:t>
      </w:r>
      <w:r>
        <w:rPr>
          <w:i/>
        </w:rPr>
        <w:t>mantle</w:t>
      </w:r>
      <w:r>
        <w:rPr>
          <w:i/>
          <w:spacing w:val="-3"/>
        </w:rPr>
        <w:t xml:space="preserve"> </w:t>
      </w:r>
      <w:r>
        <w:rPr>
          <w:i/>
        </w:rPr>
        <w:t>cell</w:t>
      </w:r>
      <w:r>
        <w:rPr>
          <w:i/>
          <w:spacing w:val="-4"/>
        </w:rPr>
        <w:t xml:space="preserve"> </w:t>
      </w:r>
      <w:r>
        <w:rPr>
          <w:i/>
        </w:rPr>
        <w:t xml:space="preserve">lymphoma) </w:t>
      </w:r>
      <w:r>
        <w:t>has commenced enrolment, with study commencement date 29 May 2024</w:t>
      </w:r>
      <w:r w:rsidR="00A22C04">
        <w:t xml:space="preserve"> and </w:t>
      </w:r>
      <w:r>
        <w:t>estimated study completion 25 June 2031.</w:t>
      </w:r>
      <w:r>
        <w:rPr>
          <w:spacing w:val="40"/>
        </w:rPr>
        <w:t xml:space="preserve"> </w:t>
      </w:r>
      <w:r>
        <w:t>The study is currently recruiting in China (38 sites).</w:t>
      </w:r>
      <w:r>
        <w:rPr>
          <w:spacing w:val="40"/>
        </w:rPr>
        <w:t xml:space="preserve"> </w:t>
      </w:r>
      <w:r>
        <w:t xml:space="preserve">The </w:t>
      </w:r>
      <w:r w:rsidR="005649C6">
        <w:t>s</w:t>
      </w:r>
      <w:r>
        <w:t>ponsor states that study enrolment is confirmed in countries outside of China, including Australia, US and European countries,</w:t>
      </w:r>
      <w:r>
        <w:rPr>
          <w:spacing w:val="-1"/>
        </w:rPr>
        <w:t xml:space="preserve"> </w:t>
      </w:r>
      <w:r>
        <w:t>with clinical</w:t>
      </w:r>
      <w:r>
        <w:rPr>
          <w:spacing w:val="-1"/>
        </w:rPr>
        <w:t xml:space="preserve"> </w:t>
      </w:r>
      <w:r>
        <w:t>sites ex-China currently being selected</w:t>
      </w:r>
      <w:r>
        <w:rPr>
          <w:spacing w:val="-1"/>
        </w:rPr>
        <w:t xml:space="preserve"> </w:t>
      </w:r>
      <w:r>
        <w:t>and CTA filings in different countries/regions currently underway. The targeted ex-China patient percentage is</w:t>
      </w:r>
      <w:r w:rsidR="004B5444">
        <w:t xml:space="preserve"> </w:t>
      </w:r>
      <w:r>
        <w:t>&gt;30%</w:t>
      </w:r>
      <w:r>
        <w:rPr>
          <w:spacing w:val="-6"/>
        </w:rPr>
        <w:t xml:space="preserve"> </w:t>
      </w:r>
      <w:r>
        <w:t>(i.e.</w:t>
      </w:r>
      <w:r>
        <w:rPr>
          <w:spacing w:val="-4"/>
        </w:rPr>
        <w:t xml:space="preserve"> </w:t>
      </w:r>
      <w:r>
        <w:t>&gt;150</w:t>
      </w:r>
      <w:r>
        <w:rPr>
          <w:spacing w:val="-4"/>
        </w:rPr>
        <w:t xml:space="preserve"> </w:t>
      </w:r>
      <w:r>
        <w:t>patients)</w:t>
      </w:r>
      <w:r>
        <w:rPr>
          <w:spacing w:val="-8"/>
        </w:rPr>
        <w:t xml:space="preserve"> </w:t>
      </w:r>
      <w:r>
        <w:t>as</w:t>
      </w:r>
      <w:r>
        <w:rPr>
          <w:spacing w:val="-3"/>
        </w:rPr>
        <w:t xml:space="preserve"> </w:t>
      </w:r>
      <w:r>
        <w:t>projected</w:t>
      </w:r>
      <w:r>
        <w:rPr>
          <w:spacing w:val="-5"/>
        </w:rPr>
        <w:t xml:space="preserve"> </w:t>
      </w:r>
      <w:r>
        <w:t>in</w:t>
      </w:r>
      <w:r>
        <w:rPr>
          <w:spacing w:val="-5"/>
        </w:rPr>
        <w:t xml:space="preserve"> </w:t>
      </w:r>
      <w:r>
        <w:t>the</w:t>
      </w:r>
      <w:r>
        <w:rPr>
          <w:spacing w:val="-4"/>
        </w:rPr>
        <w:t xml:space="preserve"> </w:t>
      </w:r>
      <w:r>
        <w:t>Provisional</w:t>
      </w:r>
      <w:r>
        <w:rPr>
          <w:spacing w:val="-4"/>
        </w:rPr>
        <w:t xml:space="preserve"> </w:t>
      </w:r>
      <w:r>
        <w:t>Determination</w:t>
      </w:r>
      <w:r>
        <w:rPr>
          <w:spacing w:val="-4"/>
        </w:rPr>
        <w:t xml:space="preserve"> </w:t>
      </w:r>
      <w:r>
        <w:rPr>
          <w:spacing w:val="-2"/>
        </w:rPr>
        <w:t>application.</w:t>
      </w:r>
    </w:p>
    <w:p w14:paraId="56384A36" w14:textId="3F658EE1" w:rsidR="00FD1CA9" w:rsidRDefault="00FD1CA9" w:rsidP="004B5444">
      <w:r>
        <w:t>The Delegate note</w:t>
      </w:r>
      <w:r w:rsidR="000804E6">
        <w:t>d</w:t>
      </w:r>
      <w:r>
        <w:t xml:space="preserve"> that in the event that study ICP-CL-00128 fails to recruit patients globally, (i.e. should the confirmatory phase 3 data be from a study population from China only), the applicability and generalisibility of efficacy and safety data to patients in Australia may then be of concern</w:t>
      </w:r>
      <w:r w:rsidR="005649C6">
        <w:t>. T</w:t>
      </w:r>
      <w:r>
        <w:t>his would be an issue that would need to be considered in the anticipated future submission</w:t>
      </w:r>
      <w:r>
        <w:rPr>
          <w:spacing w:val="-4"/>
        </w:rPr>
        <w:t xml:space="preserve"> </w:t>
      </w:r>
      <w:r>
        <w:t>for</w:t>
      </w:r>
      <w:r>
        <w:rPr>
          <w:spacing w:val="-5"/>
        </w:rPr>
        <w:t xml:space="preserve"> </w:t>
      </w:r>
      <w:r>
        <w:t>conversion</w:t>
      </w:r>
      <w:r>
        <w:rPr>
          <w:spacing w:val="-4"/>
        </w:rPr>
        <w:t xml:space="preserve"> </w:t>
      </w:r>
      <w:r>
        <w:t>of</w:t>
      </w:r>
      <w:r>
        <w:rPr>
          <w:spacing w:val="-3"/>
        </w:rPr>
        <w:t xml:space="preserve"> </w:t>
      </w:r>
      <w:r>
        <w:t>the</w:t>
      </w:r>
      <w:r>
        <w:rPr>
          <w:spacing w:val="-3"/>
        </w:rPr>
        <w:t xml:space="preserve"> </w:t>
      </w:r>
      <w:r>
        <w:t>registration</w:t>
      </w:r>
      <w:r>
        <w:rPr>
          <w:spacing w:val="-4"/>
        </w:rPr>
        <w:t xml:space="preserve"> </w:t>
      </w:r>
      <w:r>
        <w:t>of</w:t>
      </w:r>
      <w:r>
        <w:rPr>
          <w:spacing w:val="-3"/>
        </w:rPr>
        <w:t xml:space="preserve"> </w:t>
      </w:r>
      <w:r>
        <w:t>orelabrutinib</w:t>
      </w:r>
      <w:r>
        <w:rPr>
          <w:spacing w:val="-4"/>
        </w:rPr>
        <w:t xml:space="preserve"> </w:t>
      </w:r>
      <w:r>
        <w:t>from</w:t>
      </w:r>
      <w:r>
        <w:rPr>
          <w:spacing w:val="-2"/>
        </w:rPr>
        <w:t xml:space="preserve"> </w:t>
      </w:r>
      <w:r>
        <w:t>provisional</w:t>
      </w:r>
      <w:r>
        <w:rPr>
          <w:spacing w:val="-3"/>
        </w:rPr>
        <w:t xml:space="preserve"> </w:t>
      </w:r>
      <w:r>
        <w:t>to</w:t>
      </w:r>
      <w:r>
        <w:rPr>
          <w:spacing w:val="-3"/>
        </w:rPr>
        <w:t xml:space="preserve"> </w:t>
      </w:r>
      <w:r>
        <w:t>standard/full.</w:t>
      </w:r>
    </w:p>
    <w:p w14:paraId="03656BEA" w14:textId="257649BC" w:rsidR="00FD1CA9" w:rsidRPr="005649C6" w:rsidRDefault="00FD1CA9" w:rsidP="005649C6">
      <w:pPr>
        <w:pStyle w:val="Heading5"/>
        <w:rPr>
          <w:i w:val="0"/>
          <w:iCs/>
        </w:rPr>
      </w:pPr>
      <w:r w:rsidRPr="005649C6">
        <w:rPr>
          <w:i w:val="0"/>
          <w:iCs/>
        </w:rPr>
        <w:lastRenderedPageBreak/>
        <w:t>Risks</w:t>
      </w:r>
      <w:r w:rsidR="00205B65">
        <w:rPr>
          <w:i w:val="0"/>
          <w:iCs/>
        </w:rPr>
        <w:t>-</w:t>
      </w:r>
      <w:r w:rsidR="00412BC4">
        <w:rPr>
          <w:i w:val="0"/>
          <w:iCs/>
        </w:rPr>
        <w:t>u</w:t>
      </w:r>
      <w:r w:rsidRPr="005649C6">
        <w:rPr>
          <w:i w:val="0"/>
          <w:iCs/>
        </w:rPr>
        <w:t>ncertainties</w:t>
      </w:r>
      <w:r w:rsidRPr="005649C6">
        <w:rPr>
          <w:i w:val="0"/>
          <w:iCs/>
          <w:spacing w:val="-4"/>
        </w:rPr>
        <w:t xml:space="preserve"> </w:t>
      </w:r>
      <w:r w:rsidRPr="005649C6">
        <w:rPr>
          <w:i w:val="0"/>
          <w:iCs/>
        </w:rPr>
        <w:t>of</w:t>
      </w:r>
      <w:r w:rsidRPr="005649C6">
        <w:rPr>
          <w:i w:val="0"/>
          <w:iCs/>
          <w:spacing w:val="-3"/>
        </w:rPr>
        <w:t xml:space="preserve"> </w:t>
      </w:r>
      <w:r w:rsidRPr="005649C6">
        <w:rPr>
          <w:i w:val="0"/>
          <w:iCs/>
          <w:spacing w:val="-4"/>
        </w:rPr>
        <w:t>risk</w:t>
      </w:r>
    </w:p>
    <w:p w14:paraId="4E91CA8D" w14:textId="3FEA4EB2" w:rsidR="00A46350" w:rsidRDefault="00A46350" w:rsidP="00091E38">
      <w:pPr>
        <w:pStyle w:val="Heading6"/>
      </w:pPr>
      <w:r>
        <w:t xml:space="preserve">Risks </w:t>
      </w:r>
    </w:p>
    <w:p w14:paraId="71A4C40E" w14:textId="3F5AB99D" w:rsidR="00FD1CA9" w:rsidRDefault="00FD1CA9" w:rsidP="009D2C93">
      <w:r>
        <w:t>The</w:t>
      </w:r>
      <w:r>
        <w:rPr>
          <w:spacing w:val="-6"/>
        </w:rPr>
        <w:t xml:space="preserve"> </w:t>
      </w:r>
      <w:r>
        <w:t>safety</w:t>
      </w:r>
      <w:r>
        <w:rPr>
          <w:spacing w:val="-4"/>
        </w:rPr>
        <w:t xml:space="preserve"> </w:t>
      </w:r>
      <w:r>
        <w:t>profile</w:t>
      </w:r>
      <w:r>
        <w:rPr>
          <w:spacing w:val="-3"/>
        </w:rPr>
        <w:t xml:space="preserve"> </w:t>
      </w:r>
      <w:r>
        <w:t>of</w:t>
      </w:r>
      <w:r>
        <w:rPr>
          <w:spacing w:val="-3"/>
        </w:rPr>
        <w:t xml:space="preserve"> </w:t>
      </w:r>
      <w:r>
        <w:t>orelabrutinib</w:t>
      </w:r>
      <w:r>
        <w:rPr>
          <w:spacing w:val="-4"/>
        </w:rPr>
        <w:t xml:space="preserve"> </w:t>
      </w:r>
      <w:r>
        <w:t>has been satisfactorily established in the context of this provisional registration application.</w:t>
      </w:r>
    </w:p>
    <w:p w14:paraId="59023097" w14:textId="77777777" w:rsidR="00FD1CA9" w:rsidRDefault="00FD1CA9" w:rsidP="00AF2BE2">
      <w:pPr>
        <w:pStyle w:val="Heading6"/>
      </w:pPr>
      <w:r>
        <w:t>Uncertainties</w:t>
      </w:r>
    </w:p>
    <w:p w14:paraId="440EF316" w14:textId="77777777" w:rsidR="00FD1CA9" w:rsidRDefault="00FD1CA9" w:rsidP="009D2C93">
      <w:r>
        <w:t>The single arm study design of ICP-CL-00102 and ICP-CL-00107 precludes the direct comparison of safety/toxicity profile of orelabrutinib with current standards of care.</w:t>
      </w:r>
      <w:r>
        <w:rPr>
          <w:spacing w:val="40"/>
        </w:rPr>
        <w:t xml:space="preserve"> </w:t>
      </w:r>
      <w:r>
        <w:t>The number</w:t>
      </w:r>
      <w:r>
        <w:rPr>
          <w:spacing w:val="-3"/>
        </w:rPr>
        <w:t xml:space="preserve"> </w:t>
      </w:r>
      <w:r>
        <w:t>of</w:t>
      </w:r>
      <w:r>
        <w:rPr>
          <w:spacing w:val="-3"/>
        </w:rPr>
        <w:t xml:space="preserve"> </w:t>
      </w:r>
      <w:r>
        <w:t>patients</w:t>
      </w:r>
      <w:r>
        <w:rPr>
          <w:spacing w:val="-2"/>
        </w:rPr>
        <w:t xml:space="preserve"> </w:t>
      </w:r>
      <w:r>
        <w:t>in</w:t>
      </w:r>
      <w:r>
        <w:rPr>
          <w:spacing w:val="-4"/>
        </w:rPr>
        <w:t xml:space="preserve"> </w:t>
      </w:r>
      <w:r>
        <w:t>these</w:t>
      </w:r>
      <w:r>
        <w:rPr>
          <w:spacing w:val="-3"/>
        </w:rPr>
        <w:t xml:space="preserve"> </w:t>
      </w:r>
      <w:r>
        <w:t>studies</w:t>
      </w:r>
      <w:r>
        <w:rPr>
          <w:spacing w:val="-2"/>
        </w:rPr>
        <w:t xml:space="preserve"> </w:t>
      </w:r>
      <w:r>
        <w:t>was</w:t>
      </w:r>
      <w:r>
        <w:rPr>
          <w:spacing w:val="-2"/>
        </w:rPr>
        <w:t xml:space="preserve"> </w:t>
      </w:r>
      <w:r>
        <w:t>relatively</w:t>
      </w:r>
      <w:r>
        <w:rPr>
          <w:spacing w:val="-4"/>
        </w:rPr>
        <w:t xml:space="preserve"> </w:t>
      </w:r>
      <w:r>
        <w:t>small,</w:t>
      </w:r>
      <w:r>
        <w:rPr>
          <w:spacing w:val="-3"/>
        </w:rPr>
        <w:t xml:space="preserve"> </w:t>
      </w:r>
      <w:r>
        <w:t>limiting</w:t>
      </w:r>
      <w:r>
        <w:rPr>
          <w:spacing w:val="-2"/>
        </w:rPr>
        <w:t xml:space="preserve"> </w:t>
      </w:r>
      <w:r>
        <w:t>the</w:t>
      </w:r>
      <w:r>
        <w:rPr>
          <w:spacing w:val="-3"/>
        </w:rPr>
        <w:t xml:space="preserve"> </w:t>
      </w:r>
      <w:r>
        <w:t>ability</w:t>
      </w:r>
      <w:r>
        <w:rPr>
          <w:spacing w:val="-4"/>
        </w:rPr>
        <w:t xml:space="preserve"> </w:t>
      </w:r>
      <w:r>
        <w:t>to fully</w:t>
      </w:r>
      <w:r>
        <w:rPr>
          <w:spacing w:val="-4"/>
        </w:rPr>
        <w:t xml:space="preserve"> </w:t>
      </w:r>
      <w:r>
        <w:t>characterise rare AEs.</w:t>
      </w:r>
    </w:p>
    <w:p w14:paraId="0C9071DB" w14:textId="77777777" w:rsidR="00FD1CA9" w:rsidRDefault="00FD1CA9" w:rsidP="009D2C93">
      <w:r>
        <w:t>As</w:t>
      </w:r>
      <w:r>
        <w:rPr>
          <w:spacing w:val="-1"/>
        </w:rPr>
        <w:t xml:space="preserve"> </w:t>
      </w:r>
      <w:r>
        <w:t>discussed</w:t>
      </w:r>
      <w:r>
        <w:rPr>
          <w:spacing w:val="-2"/>
        </w:rPr>
        <w:t xml:space="preserve"> </w:t>
      </w:r>
      <w:r>
        <w:t>above,</w:t>
      </w:r>
      <w:r>
        <w:rPr>
          <w:spacing w:val="-2"/>
        </w:rPr>
        <w:t xml:space="preserve"> </w:t>
      </w:r>
      <w:r>
        <w:t>a</w:t>
      </w:r>
      <w:r>
        <w:rPr>
          <w:spacing w:val="-2"/>
        </w:rPr>
        <w:t xml:space="preserve"> </w:t>
      </w:r>
      <w:r>
        <w:t>larger</w:t>
      </w:r>
      <w:r>
        <w:rPr>
          <w:spacing w:val="-2"/>
        </w:rPr>
        <w:t xml:space="preserve"> </w:t>
      </w:r>
      <w:r>
        <w:t>randomised</w:t>
      </w:r>
      <w:r>
        <w:rPr>
          <w:spacing w:val="-5"/>
        </w:rPr>
        <w:t xml:space="preserve"> </w:t>
      </w:r>
      <w:r>
        <w:t>study</w:t>
      </w:r>
      <w:r>
        <w:rPr>
          <w:spacing w:val="-3"/>
        </w:rPr>
        <w:t xml:space="preserve"> </w:t>
      </w:r>
      <w:r>
        <w:t>is</w:t>
      </w:r>
      <w:r>
        <w:rPr>
          <w:spacing w:val="-1"/>
        </w:rPr>
        <w:t xml:space="preserve"> </w:t>
      </w:r>
      <w:r>
        <w:t>needed</w:t>
      </w:r>
      <w:r>
        <w:rPr>
          <w:spacing w:val="-2"/>
        </w:rPr>
        <w:t xml:space="preserve"> </w:t>
      </w:r>
      <w:r>
        <w:t>to</w:t>
      </w:r>
      <w:r>
        <w:rPr>
          <w:spacing w:val="-3"/>
        </w:rPr>
        <w:t xml:space="preserve"> </w:t>
      </w:r>
      <w:r>
        <w:t>further</w:t>
      </w:r>
      <w:r>
        <w:rPr>
          <w:spacing w:val="-5"/>
        </w:rPr>
        <w:t xml:space="preserve"> </w:t>
      </w:r>
      <w:r>
        <w:t>confirm</w:t>
      </w:r>
      <w:r>
        <w:rPr>
          <w:spacing w:val="-5"/>
        </w:rPr>
        <w:t xml:space="preserve"> </w:t>
      </w:r>
      <w:r>
        <w:t>efficacy</w:t>
      </w:r>
      <w:r>
        <w:rPr>
          <w:spacing w:val="-3"/>
        </w:rPr>
        <w:t xml:space="preserve"> </w:t>
      </w:r>
      <w:r>
        <w:t>and</w:t>
      </w:r>
      <w:r>
        <w:rPr>
          <w:spacing w:val="-3"/>
        </w:rPr>
        <w:t xml:space="preserve"> </w:t>
      </w:r>
      <w:r>
        <w:t>safety of orelabrutinib in patients with MCL (the Sponsor will be required to provide data from the confirmatory</w:t>
      </w:r>
      <w:r>
        <w:rPr>
          <w:spacing w:val="-3"/>
        </w:rPr>
        <w:t xml:space="preserve"> </w:t>
      </w:r>
      <w:r>
        <w:t>study</w:t>
      </w:r>
      <w:r>
        <w:rPr>
          <w:spacing w:val="-3"/>
        </w:rPr>
        <w:t xml:space="preserve"> </w:t>
      </w:r>
      <w:r>
        <w:t>as</w:t>
      </w:r>
      <w:r>
        <w:rPr>
          <w:spacing w:val="-1"/>
        </w:rPr>
        <w:t xml:space="preserve"> </w:t>
      </w:r>
      <w:r>
        <w:t>planned,</w:t>
      </w:r>
      <w:r>
        <w:rPr>
          <w:spacing w:val="-2"/>
        </w:rPr>
        <w:t xml:space="preserve"> </w:t>
      </w:r>
      <w:r>
        <w:t>to</w:t>
      </w:r>
      <w:r>
        <w:rPr>
          <w:spacing w:val="-3"/>
        </w:rPr>
        <w:t xml:space="preserve"> </w:t>
      </w:r>
      <w:r>
        <w:t>convert</w:t>
      </w:r>
      <w:r>
        <w:rPr>
          <w:spacing w:val="-3"/>
        </w:rPr>
        <w:t xml:space="preserve"> </w:t>
      </w:r>
      <w:r>
        <w:t>the</w:t>
      </w:r>
      <w:r>
        <w:rPr>
          <w:spacing w:val="-3"/>
        </w:rPr>
        <w:t xml:space="preserve"> </w:t>
      </w:r>
      <w:r>
        <w:t>registration</w:t>
      </w:r>
      <w:r>
        <w:rPr>
          <w:spacing w:val="-3"/>
        </w:rPr>
        <w:t xml:space="preserve"> </w:t>
      </w:r>
      <w:r>
        <w:t>of</w:t>
      </w:r>
      <w:r>
        <w:rPr>
          <w:spacing w:val="-5"/>
        </w:rPr>
        <w:t xml:space="preserve"> </w:t>
      </w:r>
      <w:r>
        <w:t>orelabrutinib</w:t>
      </w:r>
      <w:r>
        <w:rPr>
          <w:spacing w:val="-3"/>
        </w:rPr>
        <w:t xml:space="preserve"> </w:t>
      </w:r>
      <w:r>
        <w:t>from</w:t>
      </w:r>
      <w:r>
        <w:rPr>
          <w:spacing w:val="-1"/>
        </w:rPr>
        <w:t xml:space="preserve"> </w:t>
      </w:r>
      <w:r>
        <w:t>provisional</w:t>
      </w:r>
      <w:r>
        <w:rPr>
          <w:spacing w:val="-2"/>
        </w:rPr>
        <w:t xml:space="preserve"> </w:t>
      </w:r>
      <w:r>
        <w:t xml:space="preserve">to </w:t>
      </w:r>
      <w:r>
        <w:rPr>
          <w:spacing w:val="-2"/>
        </w:rPr>
        <w:t>standard/full).</w:t>
      </w:r>
    </w:p>
    <w:p w14:paraId="0BEBF7CA" w14:textId="35E4D1C1" w:rsidR="00FD1CA9" w:rsidRPr="009D2C93" w:rsidRDefault="00FD1CA9" w:rsidP="009D2C93">
      <w:pPr>
        <w:pStyle w:val="Heading5"/>
        <w:rPr>
          <w:i w:val="0"/>
          <w:iCs/>
        </w:rPr>
      </w:pPr>
      <w:r w:rsidRPr="007E5946">
        <w:rPr>
          <w:i w:val="0"/>
          <w:iCs/>
        </w:rPr>
        <w:t>Benefit</w:t>
      </w:r>
      <w:r w:rsidR="007E5946" w:rsidRPr="007E5946">
        <w:rPr>
          <w:i w:val="0"/>
          <w:iCs/>
        </w:rPr>
        <w:t>-</w:t>
      </w:r>
      <w:r w:rsidR="005E7768" w:rsidRPr="007E5946">
        <w:rPr>
          <w:i w:val="0"/>
          <w:iCs/>
        </w:rPr>
        <w:t>risk</w:t>
      </w:r>
      <w:r w:rsidRPr="009D2C93">
        <w:rPr>
          <w:i w:val="0"/>
          <w:iCs/>
        </w:rPr>
        <w:t xml:space="preserve"> balance</w:t>
      </w:r>
    </w:p>
    <w:p w14:paraId="768DC158" w14:textId="77777777" w:rsidR="00FD1CA9" w:rsidRDefault="00FD1CA9" w:rsidP="00E12C0C">
      <w:r>
        <w:t>Overall, the benefit-risk assessment for orelabrutinib in the evaluated population is favourable with respect to supporting provisional registration.</w:t>
      </w:r>
      <w:r>
        <w:rPr>
          <w:spacing w:val="40"/>
        </w:rPr>
        <w:t xml:space="preserve"> </w:t>
      </w:r>
      <w:r>
        <w:t>The ORRs from the Study ICP-CL-00102 and ICP-CL-00107 are considered to be clinically meaningful and reasonably likely to predict clinical</w:t>
      </w:r>
      <w:r>
        <w:rPr>
          <w:spacing w:val="-3"/>
        </w:rPr>
        <w:t xml:space="preserve"> </w:t>
      </w:r>
      <w:r>
        <w:t>benefit</w:t>
      </w:r>
      <w:r>
        <w:rPr>
          <w:spacing w:val="-6"/>
        </w:rPr>
        <w:t xml:space="preserve"> </w:t>
      </w:r>
      <w:r>
        <w:t>in</w:t>
      </w:r>
      <w:r>
        <w:rPr>
          <w:spacing w:val="-4"/>
        </w:rPr>
        <w:t xml:space="preserve"> </w:t>
      </w:r>
      <w:r>
        <w:t>the</w:t>
      </w:r>
      <w:r>
        <w:rPr>
          <w:spacing w:val="-2"/>
        </w:rPr>
        <w:t xml:space="preserve"> </w:t>
      </w:r>
      <w:r>
        <w:t>evaluated</w:t>
      </w:r>
      <w:r>
        <w:rPr>
          <w:spacing w:val="-4"/>
        </w:rPr>
        <w:t xml:space="preserve"> </w:t>
      </w:r>
      <w:r>
        <w:t>population.</w:t>
      </w:r>
      <w:r>
        <w:rPr>
          <w:spacing w:val="40"/>
        </w:rPr>
        <w:t xml:space="preserve"> </w:t>
      </w:r>
      <w:r>
        <w:t>Although</w:t>
      </w:r>
      <w:r>
        <w:rPr>
          <w:spacing w:val="-3"/>
        </w:rPr>
        <w:t xml:space="preserve"> </w:t>
      </w:r>
      <w:r>
        <w:t>orelabrutinib</w:t>
      </w:r>
      <w:r>
        <w:rPr>
          <w:spacing w:val="-3"/>
        </w:rPr>
        <w:t xml:space="preserve"> </w:t>
      </w:r>
      <w:r>
        <w:t>can</w:t>
      </w:r>
      <w:r>
        <w:rPr>
          <w:spacing w:val="-4"/>
        </w:rPr>
        <w:t xml:space="preserve"> </w:t>
      </w:r>
      <w:r>
        <w:t>cause</w:t>
      </w:r>
      <w:r>
        <w:rPr>
          <w:spacing w:val="-3"/>
        </w:rPr>
        <w:t xml:space="preserve"> </w:t>
      </w:r>
      <w:r>
        <w:t>serious</w:t>
      </w:r>
      <w:r>
        <w:rPr>
          <w:spacing w:val="-2"/>
        </w:rPr>
        <w:t xml:space="preserve"> </w:t>
      </w:r>
      <w:r>
        <w:t>toxicities, the safety profile demonstrated is acceptable when considered in the context of a life-threatening disease (i.e. R/R MCL).</w:t>
      </w:r>
    </w:p>
    <w:p w14:paraId="373F3951" w14:textId="2C5545E0" w:rsidR="00FD1CA9" w:rsidRDefault="00FD1CA9" w:rsidP="00E12C0C">
      <w:r>
        <w:t>The study design limits interpretation of survival</w:t>
      </w:r>
      <w:r w:rsidR="0034402A">
        <w:t>. A</w:t>
      </w:r>
      <w:r>
        <w:t>lthough available evidence supports provisional</w:t>
      </w:r>
      <w:r>
        <w:rPr>
          <w:spacing w:val="-3"/>
        </w:rPr>
        <w:t xml:space="preserve"> </w:t>
      </w:r>
      <w:r>
        <w:t>approval,</w:t>
      </w:r>
      <w:r>
        <w:rPr>
          <w:spacing w:val="-3"/>
        </w:rPr>
        <w:t xml:space="preserve"> </w:t>
      </w:r>
      <w:r>
        <w:t>further</w:t>
      </w:r>
      <w:r>
        <w:rPr>
          <w:spacing w:val="-4"/>
        </w:rPr>
        <w:t xml:space="preserve"> </w:t>
      </w:r>
      <w:r>
        <w:t>data</w:t>
      </w:r>
      <w:r>
        <w:rPr>
          <w:spacing w:val="-5"/>
        </w:rPr>
        <w:t xml:space="preserve"> </w:t>
      </w:r>
      <w:r>
        <w:t>is</w:t>
      </w:r>
      <w:r>
        <w:rPr>
          <w:spacing w:val="-2"/>
        </w:rPr>
        <w:t xml:space="preserve"> </w:t>
      </w:r>
      <w:r>
        <w:t>required</w:t>
      </w:r>
      <w:r>
        <w:rPr>
          <w:spacing w:val="-4"/>
        </w:rPr>
        <w:t xml:space="preserve"> </w:t>
      </w:r>
      <w:r>
        <w:t>in</w:t>
      </w:r>
      <w:r>
        <w:rPr>
          <w:spacing w:val="-4"/>
        </w:rPr>
        <w:t xml:space="preserve"> </w:t>
      </w:r>
      <w:r>
        <w:t>order</w:t>
      </w:r>
      <w:r>
        <w:rPr>
          <w:spacing w:val="-4"/>
        </w:rPr>
        <w:t xml:space="preserve"> </w:t>
      </w:r>
      <w:r>
        <w:t>to</w:t>
      </w:r>
      <w:r>
        <w:rPr>
          <w:spacing w:val="-3"/>
        </w:rPr>
        <w:t xml:space="preserve"> </w:t>
      </w:r>
      <w:r>
        <w:t>confirm</w:t>
      </w:r>
      <w:r>
        <w:rPr>
          <w:spacing w:val="-2"/>
        </w:rPr>
        <w:t xml:space="preserve"> </w:t>
      </w:r>
      <w:r>
        <w:t>clinical</w:t>
      </w:r>
      <w:r>
        <w:rPr>
          <w:spacing w:val="-3"/>
        </w:rPr>
        <w:t xml:space="preserve"> </w:t>
      </w:r>
      <w:r>
        <w:t>benefit.</w:t>
      </w:r>
      <w:r>
        <w:rPr>
          <w:spacing w:val="40"/>
        </w:rPr>
        <w:t xml:space="preserve"> </w:t>
      </w:r>
      <w:r>
        <w:t>The</w:t>
      </w:r>
      <w:r>
        <w:rPr>
          <w:spacing w:val="-3"/>
        </w:rPr>
        <w:t xml:space="preserve"> </w:t>
      </w:r>
      <w:r>
        <w:t>sponsor will be required to submit final reports of the relevant confirmatory study (</w:t>
      </w:r>
      <w:r w:rsidR="007E68C1">
        <w:t>outlined</w:t>
      </w:r>
      <w:r>
        <w:t xml:space="preserve"> above</w:t>
      </w:r>
      <w:r w:rsidR="007E68C1">
        <w:t xml:space="preserve"> in figure </w:t>
      </w:r>
      <w:r w:rsidR="009F4771">
        <w:t>7</w:t>
      </w:r>
      <w:r>
        <w:t>).</w:t>
      </w:r>
    </w:p>
    <w:p w14:paraId="0F86A515" w14:textId="6FDDAD1A" w:rsidR="00FD1CA9" w:rsidRDefault="00FD1CA9" w:rsidP="00E12C0C">
      <w:r>
        <w:t>The</w:t>
      </w:r>
      <w:r>
        <w:rPr>
          <w:spacing w:val="-2"/>
        </w:rPr>
        <w:t xml:space="preserve"> </w:t>
      </w:r>
      <w:r w:rsidR="00E12C0C">
        <w:rPr>
          <w:spacing w:val="-2"/>
        </w:rPr>
        <w:t>D</w:t>
      </w:r>
      <w:r>
        <w:t>elegate</w:t>
      </w:r>
      <w:r>
        <w:rPr>
          <w:spacing w:val="-2"/>
        </w:rPr>
        <w:t xml:space="preserve"> </w:t>
      </w:r>
      <w:r>
        <w:t>note</w:t>
      </w:r>
      <w:r w:rsidR="00B33E3C">
        <w:t>s</w:t>
      </w:r>
      <w:r>
        <w:rPr>
          <w:spacing w:val="-1"/>
        </w:rPr>
        <w:t xml:space="preserve"> </w:t>
      </w:r>
      <w:r>
        <w:t>both</w:t>
      </w:r>
      <w:r>
        <w:rPr>
          <w:spacing w:val="-2"/>
        </w:rPr>
        <w:t xml:space="preserve"> </w:t>
      </w:r>
      <w:r>
        <w:t>(1)</w:t>
      </w:r>
      <w:r>
        <w:rPr>
          <w:spacing w:val="-3"/>
        </w:rPr>
        <w:t xml:space="preserve"> </w:t>
      </w:r>
      <w:r>
        <w:t>the</w:t>
      </w:r>
      <w:r>
        <w:rPr>
          <w:spacing w:val="-2"/>
        </w:rPr>
        <w:t xml:space="preserve"> </w:t>
      </w:r>
      <w:r w:rsidR="00E12C0C">
        <w:rPr>
          <w:spacing w:val="-2"/>
        </w:rPr>
        <w:t>s</w:t>
      </w:r>
      <w:r>
        <w:t>ponsor’s</w:t>
      </w:r>
      <w:r>
        <w:rPr>
          <w:spacing w:val="-1"/>
        </w:rPr>
        <w:t xml:space="preserve"> </w:t>
      </w:r>
      <w:r>
        <w:t>amendment</w:t>
      </w:r>
      <w:r>
        <w:rPr>
          <w:spacing w:val="-3"/>
        </w:rPr>
        <w:t xml:space="preserve"> </w:t>
      </w:r>
      <w:r>
        <w:t>of</w:t>
      </w:r>
      <w:r>
        <w:rPr>
          <w:spacing w:val="-2"/>
        </w:rPr>
        <w:t xml:space="preserve"> </w:t>
      </w:r>
      <w:r>
        <w:t>the</w:t>
      </w:r>
      <w:r>
        <w:rPr>
          <w:spacing w:val="-2"/>
        </w:rPr>
        <w:t xml:space="preserve"> </w:t>
      </w:r>
      <w:r>
        <w:t>wording</w:t>
      </w:r>
      <w:r>
        <w:rPr>
          <w:spacing w:val="-4"/>
        </w:rPr>
        <w:t xml:space="preserve"> </w:t>
      </w:r>
      <w:r>
        <w:t>of</w:t>
      </w:r>
      <w:r>
        <w:rPr>
          <w:spacing w:val="-2"/>
        </w:rPr>
        <w:t xml:space="preserve"> </w:t>
      </w:r>
      <w:r>
        <w:t>the</w:t>
      </w:r>
      <w:r>
        <w:rPr>
          <w:spacing w:val="-5"/>
        </w:rPr>
        <w:t xml:space="preserve"> </w:t>
      </w:r>
      <w:r>
        <w:t>proposed</w:t>
      </w:r>
      <w:r>
        <w:rPr>
          <w:spacing w:val="-2"/>
        </w:rPr>
        <w:t xml:space="preserve"> </w:t>
      </w:r>
      <w:r>
        <w:t xml:space="preserve">indication during the course of clinical evaluation, and (2) the </w:t>
      </w:r>
      <w:r w:rsidR="00E12C0C">
        <w:t>c</w:t>
      </w:r>
      <w:r>
        <w:t xml:space="preserve">linical </w:t>
      </w:r>
      <w:r w:rsidR="00E12C0C">
        <w:t>e</w:t>
      </w:r>
      <w:r>
        <w:t>valuator’s preferred wording of indication.</w:t>
      </w:r>
      <w:r>
        <w:rPr>
          <w:spacing w:val="40"/>
        </w:rPr>
        <w:t xml:space="preserve"> </w:t>
      </w:r>
      <w:r>
        <w:t>However, neither of these fully represent or capture, respectively, the patient population evaluated per inclusion criteria of studies ICP-CL-00102 and ICP-CL-00107.</w:t>
      </w:r>
    </w:p>
    <w:p w14:paraId="3B77C323" w14:textId="354D3F96" w:rsidR="00FD1CA9" w:rsidRDefault="00FD1CA9" w:rsidP="00E12C0C">
      <w:r>
        <w:t>It would be more appropriate for the wording of the indication to specify adult patients who have</w:t>
      </w:r>
      <w:r>
        <w:rPr>
          <w:spacing w:val="-3"/>
        </w:rPr>
        <w:t xml:space="preserve"> </w:t>
      </w:r>
      <w:r>
        <w:t>relapsed</w:t>
      </w:r>
      <w:r>
        <w:rPr>
          <w:spacing w:val="-3"/>
        </w:rPr>
        <w:t xml:space="preserve"> </w:t>
      </w:r>
      <w:r>
        <w:t>or</w:t>
      </w:r>
      <w:r>
        <w:rPr>
          <w:spacing w:val="-4"/>
        </w:rPr>
        <w:t xml:space="preserve"> </w:t>
      </w:r>
      <w:r>
        <w:t>refractory</w:t>
      </w:r>
      <w:r>
        <w:rPr>
          <w:spacing w:val="-4"/>
        </w:rPr>
        <w:t xml:space="preserve"> </w:t>
      </w:r>
      <w:r>
        <w:t>MCL.</w:t>
      </w:r>
      <w:r>
        <w:rPr>
          <w:spacing w:val="40"/>
        </w:rPr>
        <w:t xml:space="preserve"> </w:t>
      </w:r>
      <w:r>
        <w:t>Therefore,</w:t>
      </w:r>
      <w:r>
        <w:rPr>
          <w:spacing w:val="-3"/>
        </w:rPr>
        <w:t xml:space="preserve"> </w:t>
      </w:r>
      <w:r>
        <w:t>the</w:t>
      </w:r>
      <w:r>
        <w:rPr>
          <w:spacing w:val="-3"/>
        </w:rPr>
        <w:t xml:space="preserve"> </w:t>
      </w:r>
      <w:r w:rsidR="009E6700">
        <w:rPr>
          <w:spacing w:val="-3"/>
        </w:rPr>
        <w:t>D</w:t>
      </w:r>
      <w:r>
        <w:t>elegate</w:t>
      </w:r>
      <w:r>
        <w:rPr>
          <w:spacing w:val="-6"/>
        </w:rPr>
        <w:t xml:space="preserve"> </w:t>
      </w:r>
      <w:r>
        <w:t>supports</w:t>
      </w:r>
      <w:r>
        <w:rPr>
          <w:spacing w:val="-3"/>
        </w:rPr>
        <w:t xml:space="preserve"> </w:t>
      </w:r>
      <w:r>
        <w:t>the</w:t>
      </w:r>
      <w:r>
        <w:rPr>
          <w:spacing w:val="-3"/>
        </w:rPr>
        <w:t xml:space="preserve"> </w:t>
      </w:r>
      <w:r>
        <w:t>provisional</w:t>
      </w:r>
      <w:r>
        <w:rPr>
          <w:spacing w:val="-3"/>
        </w:rPr>
        <w:t xml:space="preserve"> </w:t>
      </w:r>
      <w:r>
        <w:t>registration of orelabrutinib as follows:</w:t>
      </w:r>
    </w:p>
    <w:p w14:paraId="7C85EB81" w14:textId="7637908F" w:rsidR="00FD1CA9" w:rsidRPr="009E6700" w:rsidRDefault="00FD1CA9" w:rsidP="00D45F3D">
      <w:pPr>
        <w:ind w:left="720"/>
        <w:rPr>
          <w:i/>
          <w:iCs/>
        </w:rPr>
      </w:pPr>
      <w:r w:rsidRPr="009E6700">
        <w:rPr>
          <w:i/>
          <w:iCs/>
        </w:rPr>
        <w:t>H</w:t>
      </w:r>
      <w:r w:rsidR="00F948D6">
        <w:rPr>
          <w:i/>
          <w:iCs/>
        </w:rPr>
        <w:t>ibruka</w:t>
      </w:r>
      <w:r w:rsidRPr="009E6700">
        <w:rPr>
          <w:i/>
          <w:iCs/>
          <w:spacing w:val="-5"/>
        </w:rPr>
        <w:t xml:space="preserve"> </w:t>
      </w:r>
      <w:r w:rsidRPr="009E6700">
        <w:rPr>
          <w:i/>
          <w:iCs/>
        </w:rPr>
        <w:t>has</w:t>
      </w:r>
      <w:r w:rsidRPr="009E6700">
        <w:rPr>
          <w:i/>
          <w:iCs/>
          <w:spacing w:val="-3"/>
        </w:rPr>
        <w:t xml:space="preserve"> </w:t>
      </w:r>
      <w:r w:rsidRPr="009E6700">
        <w:rPr>
          <w:bCs/>
          <w:i/>
          <w:iCs/>
        </w:rPr>
        <w:t>provisional</w:t>
      </w:r>
      <w:r w:rsidRPr="009E6700">
        <w:rPr>
          <w:bCs/>
          <w:i/>
          <w:iCs/>
          <w:spacing w:val="-6"/>
        </w:rPr>
        <w:t xml:space="preserve"> </w:t>
      </w:r>
      <w:r w:rsidRPr="009E6700">
        <w:rPr>
          <w:bCs/>
          <w:i/>
          <w:iCs/>
        </w:rPr>
        <w:t>approval</w:t>
      </w:r>
      <w:r w:rsidRPr="009E6700">
        <w:rPr>
          <w:b/>
          <w:i/>
          <w:iCs/>
          <w:spacing w:val="-2"/>
        </w:rPr>
        <w:t xml:space="preserve"> </w:t>
      </w:r>
      <w:r w:rsidRPr="009E6700">
        <w:rPr>
          <w:i/>
          <w:iCs/>
        </w:rPr>
        <w:t>in</w:t>
      </w:r>
      <w:r w:rsidRPr="009E6700">
        <w:rPr>
          <w:i/>
          <w:iCs/>
          <w:spacing w:val="-3"/>
        </w:rPr>
        <w:t xml:space="preserve"> </w:t>
      </w:r>
      <w:r w:rsidRPr="009E6700">
        <w:rPr>
          <w:i/>
          <w:iCs/>
        </w:rPr>
        <w:t>Australia</w:t>
      </w:r>
      <w:r w:rsidRPr="009E6700">
        <w:rPr>
          <w:i/>
          <w:iCs/>
          <w:spacing w:val="-3"/>
        </w:rPr>
        <w:t xml:space="preserve"> </w:t>
      </w:r>
      <w:r w:rsidRPr="009E6700">
        <w:rPr>
          <w:i/>
          <w:iCs/>
        </w:rPr>
        <w:t>for</w:t>
      </w:r>
      <w:r w:rsidRPr="009E6700">
        <w:rPr>
          <w:i/>
          <w:iCs/>
          <w:spacing w:val="-4"/>
        </w:rPr>
        <w:t xml:space="preserve"> </w:t>
      </w:r>
      <w:r w:rsidRPr="009E6700">
        <w:rPr>
          <w:i/>
          <w:iCs/>
        </w:rPr>
        <w:t>the</w:t>
      </w:r>
      <w:r w:rsidRPr="009E6700">
        <w:rPr>
          <w:i/>
          <w:iCs/>
          <w:spacing w:val="-3"/>
        </w:rPr>
        <w:t xml:space="preserve"> </w:t>
      </w:r>
      <w:r w:rsidRPr="009E6700">
        <w:rPr>
          <w:i/>
          <w:iCs/>
        </w:rPr>
        <w:t>treatment</w:t>
      </w:r>
      <w:r w:rsidRPr="009E6700">
        <w:rPr>
          <w:i/>
          <w:iCs/>
          <w:spacing w:val="-2"/>
        </w:rPr>
        <w:t xml:space="preserve"> </w:t>
      </w:r>
      <w:r w:rsidRPr="009E6700">
        <w:rPr>
          <w:i/>
          <w:iCs/>
        </w:rPr>
        <w:t>of</w:t>
      </w:r>
      <w:r w:rsidRPr="009E6700">
        <w:rPr>
          <w:i/>
          <w:iCs/>
          <w:spacing w:val="-2"/>
        </w:rPr>
        <w:t xml:space="preserve"> </w:t>
      </w:r>
      <w:r w:rsidRPr="009E6700">
        <w:rPr>
          <w:i/>
          <w:iCs/>
        </w:rPr>
        <w:t>adult</w:t>
      </w:r>
      <w:r w:rsidRPr="009E6700">
        <w:rPr>
          <w:i/>
          <w:iCs/>
          <w:spacing w:val="-5"/>
        </w:rPr>
        <w:t xml:space="preserve"> </w:t>
      </w:r>
      <w:r w:rsidRPr="009E6700">
        <w:rPr>
          <w:i/>
          <w:iCs/>
        </w:rPr>
        <w:t>patients</w:t>
      </w:r>
      <w:r w:rsidRPr="009E6700">
        <w:rPr>
          <w:i/>
          <w:iCs/>
          <w:spacing w:val="-3"/>
        </w:rPr>
        <w:t xml:space="preserve"> </w:t>
      </w:r>
      <w:r w:rsidRPr="009E6700">
        <w:rPr>
          <w:i/>
          <w:iCs/>
        </w:rPr>
        <w:t>with relapsed or refractory mantle cell lymphoma (MCL).</w:t>
      </w:r>
    </w:p>
    <w:p w14:paraId="38A8B33E" w14:textId="2A227B20" w:rsidR="00FD1CA9" w:rsidRDefault="00FD1CA9" w:rsidP="009E6700">
      <w:pPr>
        <w:ind w:left="720"/>
      </w:pPr>
      <w:r w:rsidRPr="009E6700">
        <w:rPr>
          <w:i/>
          <w:iCs/>
        </w:rPr>
        <w:t>The</w:t>
      </w:r>
      <w:r w:rsidRPr="009E6700">
        <w:rPr>
          <w:i/>
          <w:iCs/>
          <w:spacing w:val="-3"/>
        </w:rPr>
        <w:t xml:space="preserve"> </w:t>
      </w:r>
      <w:r w:rsidRPr="009E6700">
        <w:rPr>
          <w:i/>
          <w:iCs/>
        </w:rPr>
        <w:t>decision</w:t>
      </w:r>
      <w:r w:rsidRPr="009E6700">
        <w:rPr>
          <w:i/>
          <w:iCs/>
          <w:spacing w:val="-3"/>
        </w:rPr>
        <w:t xml:space="preserve"> </w:t>
      </w:r>
      <w:r w:rsidRPr="009E6700">
        <w:rPr>
          <w:i/>
          <w:iCs/>
        </w:rPr>
        <w:t>to</w:t>
      </w:r>
      <w:r w:rsidRPr="009E6700">
        <w:rPr>
          <w:i/>
          <w:iCs/>
          <w:spacing w:val="-2"/>
        </w:rPr>
        <w:t xml:space="preserve"> </w:t>
      </w:r>
      <w:r w:rsidRPr="009E6700">
        <w:rPr>
          <w:i/>
          <w:iCs/>
        </w:rPr>
        <w:t>approve</w:t>
      </w:r>
      <w:r w:rsidRPr="009E6700">
        <w:rPr>
          <w:i/>
          <w:iCs/>
          <w:spacing w:val="-3"/>
        </w:rPr>
        <w:t xml:space="preserve"> </w:t>
      </w:r>
      <w:r w:rsidRPr="009E6700">
        <w:rPr>
          <w:i/>
          <w:iCs/>
        </w:rPr>
        <w:t>this</w:t>
      </w:r>
      <w:r w:rsidRPr="009E6700">
        <w:rPr>
          <w:i/>
          <w:iCs/>
          <w:spacing w:val="-3"/>
        </w:rPr>
        <w:t xml:space="preserve"> </w:t>
      </w:r>
      <w:r w:rsidRPr="009E6700">
        <w:rPr>
          <w:i/>
          <w:iCs/>
        </w:rPr>
        <w:t>indication</w:t>
      </w:r>
      <w:r w:rsidRPr="009E6700">
        <w:rPr>
          <w:i/>
          <w:iCs/>
          <w:spacing w:val="-3"/>
        </w:rPr>
        <w:t xml:space="preserve"> </w:t>
      </w:r>
      <w:r w:rsidRPr="009E6700">
        <w:rPr>
          <w:i/>
          <w:iCs/>
        </w:rPr>
        <w:t>has</w:t>
      </w:r>
      <w:r w:rsidRPr="009E6700">
        <w:rPr>
          <w:i/>
          <w:iCs/>
          <w:spacing w:val="-3"/>
        </w:rPr>
        <w:t xml:space="preserve"> </w:t>
      </w:r>
      <w:r w:rsidRPr="009E6700">
        <w:rPr>
          <w:i/>
          <w:iCs/>
        </w:rPr>
        <w:t>been</w:t>
      </w:r>
      <w:r w:rsidRPr="009E6700">
        <w:rPr>
          <w:i/>
          <w:iCs/>
          <w:spacing w:val="-3"/>
        </w:rPr>
        <w:t xml:space="preserve"> </w:t>
      </w:r>
      <w:r w:rsidRPr="009E6700">
        <w:rPr>
          <w:i/>
          <w:iCs/>
        </w:rPr>
        <w:t>made</w:t>
      </w:r>
      <w:r w:rsidRPr="009E6700">
        <w:rPr>
          <w:i/>
          <w:iCs/>
          <w:spacing w:val="-3"/>
        </w:rPr>
        <w:t xml:space="preserve"> </w:t>
      </w:r>
      <w:r w:rsidRPr="009E6700">
        <w:rPr>
          <w:i/>
          <w:iCs/>
        </w:rPr>
        <w:t>on</w:t>
      </w:r>
      <w:r w:rsidRPr="009E6700">
        <w:rPr>
          <w:i/>
          <w:iCs/>
          <w:spacing w:val="-3"/>
        </w:rPr>
        <w:t xml:space="preserve"> </w:t>
      </w:r>
      <w:r w:rsidRPr="009E6700">
        <w:rPr>
          <w:i/>
          <w:iCs/>
        </w:rPr>
        <w:t>the</w:t>
      </w:r>
      <w:r w:rsidRPr="009E6700">
        <w:rPr>
          <w:i/>
          <w:iCs/>
          <w:spacing w:val="-3"/>
        </w:rPr>
        <w:t xml:space="preserve"> </w:t>
      </w:r>
      <w:r w:rsidRPr="009E6700">
        <w:rPr>
          <w:i/>
          <w:iCs/>
        </w:rPr>
        <w:t>basis</w:t>
      </w:r>
      <w:r w:rsidRPr="009E6700">
        <w:rPr>
          <w:i/>
          <w:iCs/>
          <w:spacing w:val="-3"/>
        </w:rPr>
        <w:t xml:space="preserve"> </w:t>
      </w:r>
      <w:r w:rsidRPr="009E6700">
        <w:rPr>
          <w:i/>
          <w:iCs/>
        </w:rPr>
        <w:t>of</w:t>
      </w:r>
      <w:r w:rsidRPr="009E6700">
        <w:rPr>
          <w:i/>
          <w:iCs/>
          <w:spacing w:val="-2"/>
        </w:rPr>
        <w:t xml:space="preserve"> </w:t>
      </w:r>
      <w:r w:rsidRPr="009E6700">
        <w:rPr>
          <w:i/>
          <w:iCs/>
        </w:rPr>
        <w:t>overall</w:t>
      </w:r>
      <w:r w:rsidRPr="009E6700">
        <w:rPr>
          <w:i/>
          <w:iCs/>
          <w:spacing w:val="-4"/>
        </w:rPr>
        <w:t xml:space="preserve"> </w:t>
      </w:r>
      <w:r w:rsidRPr="009E6700">
        <w:rPr>
          <w:i/>
          <w:iCs/>
        </w:rPr>
        <w:t>response</w:t>
      </w:r>
      <w:r w:rsidRPr="009E6700">
        <w:rPr>
          <w:i/>
          <w:iCs/>
          <w:spacing w:val="-5"/>
        </w:rPr>
        <w:t xml:space="preserve"> </w:t>
      </w:r>
      <w:r w:rsidRPr="009E6700">
        <w:rPr>
          <w:i/>
          <w:iCs/>
        </w:rPr>
        <w:t>rate (ORR).</w:t>
      </w:r>
      <w:r w:rsidRPr="009E6700">
        <w:rPr>
          <w:i/>
          <w:iCs/>
          <w:spacing w:val="40"/>
        </w:rPr>
        <w:t xml:space="preserve"> </w:t>
      </w:r>
      <w:r w:rsidRPr="009E6700">
        <w:rPr>
          <w:i/>
          <w:iCs/>
        </w:rPr>
        <w:t>Continued approval of this indication depends on verification and description of benefit in confirmatory trials.</w:t>
      </w:r>
    </w:p>
    <w:p w14:paraId="154E7F63" w14:textId="2FE74513" w:rsidR="009E6700" w:rsidRDefault="00FD1CA9" w:rsidP="00FD1CA9">
      <w:pPr>
        <w:spacing w:before="179"/>
        <w:ind w:left="23" w:right="94"/>
        <w:rPr>
          <w:spacing w:val="-3"/>
        </w:rPr>
      </w:pPr>
      <w:r>
        <w:t>Alternatively,</w:t>
      </w:r>
      <w:r>
        <w:rPr>
          <w:spacing w:val="-2"/>
        </w:rPr>
        <w:t xml:space="preserve"> </w:t>
      </w:r>
      <w:r>
        <w:t>the</w:t>
      </w:r>
      <w:r>
        <w:rPr>
          <w:spacing w:val="-1"/>
        </w:rPr>
        <w:t xml:space="preserve"> </w:t>
      </w:r>
      <w:r>
        <w:t>following wording of</w:t>
      </w:r>
      <w:r>
        <w:rPr>
          <w:spacing w:val="-1"/>
        </w:rPr>
        <w:t xml:space="preserve"> </w:t>
      </w:r>
      <w:r w:rsidR="000625DC">
        <w:rPr>
          <w:spacing w:val="-1"/>
        </w:rPr>
        <w:t xml:space="preserve">the </w:t>
      </w:r>
      <w:r>
        <w:t>indication</w:t>
      </w:r>
      <w:r>
        <w:rPr>
          <w:spacing w:val="-2"/>
        </w:rPr>
        <w:t xml:space="preserve"> </w:t>
      </w:r>
      <w:r>
        <w:t>could</w:t>
      </w:r>
      <w:r>
        <w:rPr>
          <w:spacing w:val="-2"/>
        </w:rPr>
        <w:t xml:space="preserve"> </w:t>
      </w:r>
      <w:r>
        <w:t>be</w:t>
      </w:r>
      <w:r>
        <w:rPr>
          <w:spacing w:val="-1"/>
        </w:rPr>
        <w:t xml:space="preserve"> </w:t>
      </w:r>
      <w:r>
        <w:t>considered</w:t>
      </w:r>
      <w:r>
        <w:rPr>
          <w:spacing w:val="-1"/>
        </w:rPr>
        <w:t xml:space="preserve"> </w:t>
      </w:r>
      <w:r>
        <w:t>reasonable:</w:t>
      </w:r>
      <w:r>
        <w:rPr>
          <w:spacing w:val="-3"/>
        </w:rPr>
        <w:t xml:space="preserve"> </w:t>
      </w:r>
    </w:p>
    <w:p w14:paraId="0E1D3E6F" w14:textId="77777777" w:rsidR="00CD4DE7" w:rsidRDefault="00FD1CA9" w:rsidP="00F948D6">
      <w:pPr>
        <w:spacing w:before="179"/>
        <w:ind w:left="720" w:right="94"/>
        <w:rPr>
          <w:i/>
          <w:spacing w:val="40"/>
        </w:rPr>
      </w:pPr>
      <w:r>
        <w:rPr>
          <w:i/>
        </w:rPr>
        <w:t>H</w:t>
      </w:r>
      <w:r w:rsidR="00F948D6">
        <w:rPr>
          <w:i/>
        </w:rPr>
        <w:t>ibruka</w:t>
      </w:r>
      <w:r>
        <w:rPr>
          <w:i/>
          <w:spacing w:val="-2"/>
        </w:rPr>
        <w:t xml:space="preserve"> </w:t>
      </w:r>
      <w:r>
        <w:rPr>
          <w:i/>
        </w:rPr>
        <w:t>is indicated</w:t>
      </w:r>
      <w:r>
        <w:rPr>
          <w:i/>
          <w:spacing w:val="-3"/>
        </w:rPr>
        <w:t xml:space="preserve"> </w:t>
      </w:r>
      <w:r>
        <w:rPr>
          <w:i/>
        </w:rPr>
        <w:t>for</w:t>
      </w:r>
      <w:r>
        <w:rPr>
          <w:i/>
          <w:spacing w:val="-1"/>
        </w:rPr>
        <w:t xml:space="preserve"> </w:t>
      </w:r>
      <w:r>
        <w:rPr>
          <w:i/>
        </w:rPr>
        <w:t>the</w:t>
      </w:r>
      <w:r>
        <w:rPr>
          <w:i/>
          <w:spacing w:val="-3"/>
        </w:rPr>
        <w:t xml:space="preserve"> </w:t>
      </w:r>
      <w:r>
        <w:rPr>
          <w:i/>
        </w:rPr>
        <w:t>treatment</w:t>
      </w:r>
      <w:r>
        <w:rPr>
          <w:i/>
          <w:spacing w:val="-2"/>
        </w:rPr>
        <w:t xml:space="preserve"> </w:t>
      </w:r>
      <w:r>
        <w:rPr>
          <w:i/>
        </w:rPr>
        <w:t>of</w:t>
      </w:r>
      <w:r>
        <w:rPr>
          <w:i/>
          <w:spacing w:val="-2"/>
        </w:rPr>
        <w:t xml:space="preserve"> </w:t>
      </w:r>
      <w:r>
        <w:rPr>
          <w:i/>
        </w:rPr>
        <w:t>adult</w:t>
      </w:r>
      <w:r>
        <w:rPr>
          <w:i/>
          <w:spacing w:val="-5"/>
        </w:rPr>
        <w:t xml:space="preserve"> </w:t>
      </w:r>
      <w:r>
        <w:rPr>
          <w:i/>
        </w:rPr>
        <w:t>patients</w:t>
      </w:r>
      <w:r>
        <w:rPr>
          <w:i/>
          <w:spacing w:val="-2"/>
        </w:rPr>
        <w:t xml:space="preserve"> </w:t>
      </w:r>
      <w:r>
        <w:rPr>
          <w:i/>
        </w:rPr>
        <w:t>with</w:t>
      </w:r>
      <w:r>
        <w:rPr>
          <w:i/>
          <w:spacing w:val="-2"/>
        </w:rPr>
        <w:t xml:space="preserve"> </w:t>
      </w:r>
      <w:r>
        <w:rPr>
          <w:i/>
        </w:rPr>
        <w:t>mantle</w:t>
      </w:r>
      <w:r>
        <w:rPr>
          <w:i/>
          <w:spacing w:val="-3"/>
        </w:rPr>
        <w:t xml:space="preserve"> </w:t>
      </w:r>
      <w:r>
        <w:rPr>
          <w:i/>
        </w:rPr>
        <w:t>cell</w:t>
      </w:r>
      <w:r>
        <w:rPr>
          <w:i/>
          <w:spacing w:val="-4"/>
        </w:rPr>
        <w:t xml:space="preserve"> </w:t>
      </w:r>
      <w:r>
        <w:rPr>
          <w:i/>
        </w:rPr>
        <w:t>lymphoma</w:t>
      </w:r>
      <w:r>
        <w:rPr>
          <w:i/>
          <w:spacing w:val="-3"/>
        </w:rPr>
        <w:t xml:space="preserve"> </w:t>
      </w:r>
      <w:r>
        <w:rPr>
          <w:i/>
        </w:rPr>
        <w:t>(MCL)</w:t>
      </w:r>
      <w:r>
        <w:rPr>
          <w:i/>
          <w:spacing w:val="-6"/>
        </w:rPr>
        <w:t xml:space="preserve"> </w:t>
      </w:r>
      <w:r>
        <w:rPr>
          <w:i/>
        </w:rPr>
        <w:t>who</w:t>
      </w:r>
      <w:r>
        <w:rPr>
          <w:i/>
          <w:spacing w:val="-1"/>
        </w:rPr>
        <w:t xml:space="preserve"> </w:t>
      </w:r>
      <w:r>
        <w:rPr>
          <w:i/>
        </w:rPr>
        <w:t>have</w:t>
      </w:r>
      <w:r>
        <w:rPr>
          <w:i/>
          <w:spacing w:val="-5"/>
        </w:rPr>
        <w:t xml:space="preserve"> </w:t>
      </w:r>
      <w:r>
        <w:rPr>
          <w:i/>
        </w:rPr>
        <w:t>received at least one prior therapy.</w:t>
      </w:r>
      <w:r>
        <w:rPr>
          <w:i/>
          <w:spacing w:val="40"/>
        </w:rPr>
        <w:t xml:space="preserve"> </w:t>
      </w:r>
    </w:p>
    <w:p w14:paraId="49C44854" w14:textId="4D2E8E7D" w:rsidR="00F948D6" w:rsidRDefault="00FD1CA9" w:rsidP="00F948D6">
      <w:pPr>
        <w:spacing w:before="179"/>
        <w:ind w:left="720" w:right="94"/>
        <w:rPr>
          <w:i/>
          <w:spacing w:val="40"/>
        </w:rPr>
      </w:pPr>
      <w:r>
        <w:rPr>
          <w:i/>
        </w:rPr>
        <w:t>The decision to approve this indication has been made on the basis of overall response rate (ORR).</w:t>
      </w:r>
      <w:r>
        <w:rPr>
          <w:i/>
          <w:spacing w:val="40"/>
        </w:rPr>
        <w:t xml:space="preserve"> </w:t>
      </w:r>
      <w:r>
        <w:rPr>
          <w:i/>
        </w:rPr>
        <w:t>Continued approval of this indication depends on verification and description of benefit in confirmatory trials.</w:t>
      </w:r>
      <w:r>
        <w:rPr>
          <w:i/>
          <w:spacing w:val="40"/>
        </w:rPr>
        <w:t xml:space="preserve"> </w:t>
      </w:r>
    </w:p>
    <w:p w14:paraId="3AF12345" w14:textId="0B62BC6A" w:rsidR="00FD1CA9" w:rsidRDefault="00FD1CA9" w:rsidP="00F948D6">
      <w:pPr>
        <w:spacing w:before="179"/>
        <w:ind w:right="94"/>
      </w:pPr>
      <w:r>
        <w:lastRenderedPageBreak/>
        <w:t xml:space="preserve">This wording is in alignment with that of similar agents provisionally registered in this patient population (i.e. acalabrutinib based on </w:t>
      </w:r>
      <w:r w:rsidR="00CD4DE7">
        <w:t>P</w:t>
      </w:r>
      <w:r>
        <w:t xml:space="preserve">hase 2 study ACE-LY-004 and zanubrutinib based on </w:t>
      </w:r>
      <w:r w:rsidR="00CD4DE7">
        <w:t>P</w:t>
      </w:r>
      <w:r>
        <w:t>hase 2 studies BGB-3111-206/BGB-3111-AU-003), and also in alignment with that for orelabrutinib approved by other global health regulatory agencies.</w:t>
      </w:r>
    </w:p>
    <w:p w14:paraId="3916F296" w14:textId="77777777" w:rsidR="00C22214" w:rsidRDefault="00C22214" w:rsidP="00C22214">
      <w:pPr>
        <w:pStyle w:val="Heading4"/>
      </w:pPr>
      <w:bookmarkStart w:id="93" w:name="_Toc98931933"/>
      <w:bookmarkStart w:id="94" w:name="_Toc241844863"/>
      <w:r w:rsidRPr="00D23139">
        <w:t>Proposed action</w:t>
      </w:r>
      <w:bookmarkEnd w:id="93"/>
      <w:bookmarkEnd w:id="94"/>
    </w:p>
    <w:p w14:paraId="2BCD821F" w14:textId="719D248B" w:rsidR="0038534B" w:rsidRDefault="00DF4C6D" w:rsidP="00DF4C6D">
      <w:pPr>
        <w:pStyle w:val="BodyText"/>
        <w:spacing w:before="119"/>
        <w:ind w:left="23" w:right="810"/>
        <w:rPr>
          <w:spacing w:val="40"/>
        </w:rPr>
      </w:pPr>
      <w:r>
        <w:t xml:space="preserve">Currently, the </w:t>
      </w:r>
      <w:r w:rsidRPr="00914D99">
        <w:t>benefit</w:t>
      </w:r>
      <w:r w:rsidR="00914D99">
        <w:t>-</w:t>
      </w:r>
      <w:r w:rsidRPr="00914D99">
        <w:t>risk</w:t>
      </w:r>
      <w:r>
        <w:t xml:space="preserve"> assessment for orelabrutinib in the evaluated population is considered</w:t>
      </w:r>
      <w:r>
        <w:rPr>
          <w:spacing w:val="-2"/>
        </w:rPr>
        <w:t xml:space="preserve"> </w:t>
      </w:r>
      <w:r>
        <w:t>to</w:t>
      </w:r>
      <w:r>
        <w:rPr>
          <w:spacing w:val="-2"/>
        </w:rPr>
        <w:t xml:space="preserve"> </w:t>
      </w:r>
      <w:r>
        <w:t>be</w:t>
      </w:r>
      <w:r>
        <w:rPr>
          <w:spacing w:val="-2"/>
        </w:rPr>
        <w:t xml:space="preserve"> </w:t>
      </w:r>
      <w:r>
        <w:t>favourable.</w:t>
      </w:r>
      <w:r>
        <w:rPr>
          <w:spacing w:val="40"/>
        </w:rPr>
        <w:t xml:space="preserve"> </w:t>
      </w:r>
    </w:p>
    <w:p w14:paraId="773DAD03" w14:textId="4A13A70C" w:rsidR="00DF4C6D" w:rsidRDefault="00DF4C6D" w:rsidP="00DF4C6D">
      <w:pPr>
        <w:pStyle w:val="BodyText"/>
        <w:spacing w:before="119"/>
        <w:ind w:left="23" w:right="810"/>
      </w:pPr>
      <w:r>
        <w:t>The</w:t>
      </w:r>
      <w:r>
        <w:rPr>
          <w:spacing w:val="-2"/>
        </w:rPr>
        <w:t xml:space="preserve"> </w:t>
      </w:r>
      <w:r>
        <w:t>Delegate</w:t>
      </w:r>
      <w:r>
        <w:rPr>
          <w:spacing w:val="-2"/>
        </w:rPr>
        <w:t xml:space="preserve"> </w:t>
      </w:r>
      <w:r>
        <w:t>will</w:t>
      </w:r>
      <w:r>
        <w:rPr>
          <w:spacing w:val="-2"/>
        </w:rPr>
        <w:t xml:space="preserve"> </w:t>
      </w:r>
      <w:r>
        <w:t>refer</w:t>
      </w:r>
      <w:r>
        <w:rPr>
          <w:spacing w:val="-4"/>
        </w:rPr>
        <w:t xml:space="preserve"> </w:t>
      </w:r>
      <w:r>
        <w:t>this</w:t>
      </w:r>
      <w:r>
        <w:rPr>
          <w:spacing w:val="-4"/>
        </w:rPr>
        <w:t xml:space="preserve"> </w:t>
      </w:r>
      <w:r>
        <w:t>submission</w:t>
      </w:r>
      <w:r>
        <w:rPr>
          <w:spacing w:val="-3"/>
        </w:rPr>
        <w:t xml:space="preserve"> </w:t>
      </w:r>
      <w:r>
        <w:t>to</w:t>
      </w:r>
      <w:r>
        <w:rPr>
          <w:spacing w:val="-2"/>
        </w:rPr>
        <w:t xml:space="preserve"> </w:t>
      </w:r>
      <w:r w:rsidR="00CE54BC">
        <w:rPr>
          <w:spacing w:val="-2"/>
        </w:rPr>
        <w:t>the Advisory Committee on Medicines (</w:t>
      </w:r>
      <w:r>
        <w:t>ACM</w:t>
      </w:r>
      <w:r w:rsidR="00CE54BC">
        <w:t>)</w:t>
      </w:r>
      <w:r>
        <w:rPr>
          <w:spacing w:val="-2"/>
        </w:rPr>
        <w:t xml:space="preserve"> </w:t>
      </w:r>
      <w:r>
        <w:t>for</w:t>
      </w:r>
      <w:r>
        <w:rPr>
          <w:spacing w:val="-1"/>
        </w:rPr>
        <w:t xml:space="preserve"> </w:t>
      </w:r>
      <w:r>
        <w:t>further advice regarding the wording of the therapeutic indication.</w:t>
      </w:r>
    </w:p>
    <w:p w14:paraId="0D171812" w14:textId="77777777" w:rsidR="00C22214" w:rsidRDefault="00C22214" w:rsidP="00C22214">
      <w:pPr>
        <w:pStyle w:val="Heading4"/>
      </w:pPr>
      <w:bookmarkStart w:id="95" w:name="_Toc241844864"/>
      <w:r>
        <w:t>Independent expert advice</w:t>
      </w:r>
      <w:bookmarkEnd w:id="95"/>
    </w:p>
    <w:p w14:paraId="4A031B64" w14:textId="77777777" w:rsidR="00C22214" w:rsidRDefault="00C22214" w:rsidP="00C22214">
      <w:pPr>
        <w:rPr>
          <w:szCs w:val="22"/>
        </w:rPr>
      </w:pPr>
      <w:r w:rsidRPr="00BD5DBD">
        <w:rPr>
          <w:szCs w:val="22"/>
        </w:rPr>
        <w:t>The Delegate received the following independent expert advice.</w:t>
      </w:r>
    </w:p>
    <w:p w14:paraId="318CFABC" w14:textId="77777777" w:rsidR="00C22214" w:rsidRPr="00F73346" w:rsidRDefault="00C22214" w:rsidP="00C22214">
      <w:pPr>
        <w:pStyle w:val="Heading4"/>
      </w:pPr>
      <w:bookmarkStart w:id="96" w:name="_Toc98931936"/>
      <w:bookmarkStart w:id="97" w:name="_Toc241844865"/>
      <w:bookmarkStart w:id="98" w:name="_Toc247691532"/>
      <w:bookmarkStart w:id="99" w:name="_Toc314842516"/>
      <w:r w:rsidRPr="00F73346">
        <w:t>Advisory Committee considerations</w:t>
      </w:r>
      <w:bookmarkEnd w:id="96"/>
      <w:bookmarkEnd w:id="97"/>
    </w:p>
    <w:p w14:paraId="087BB9CB" w14:textId="269CEC5A" w:rsidR="00C22214" w:rsidRPr="00BD5DBD" w:rsidRDefault="00C22214" w:rsidP="00C22214">
      <w:pPr>
        <w:rPr>
          <w:bCs/>
          <w:szCs w:val="22"/>
        </w:rPr>
      </w:pPr>
      <w:r w:rsidRPr="00BD5DBD">
        <w:rPr>
          <w:bCs/>
          <w:szCs w:val="22"/>
        </w:rPr>
        <w:t xml:space="preserve">The </w:t>
      </w:r>
      <w:hyperlink r:id="rId44" w:history="1">
        <w:r w:rsidRPr="00BD5DBD">
          <w:rPr>
            <w:rStyle w:val="Hyperlink"/>
            <w:szCs w:val="22"/>
          </w:rPr>
          <w:t>Advisory Committee on Medicines (ACM)</w:t>
        </w:r>
      </w:hyperlink>
      <w:r w:rsidRPr="00BD5DBD">
        <w:rPr>
          <w:szCs w:val="22"/>
        </w:rPr>
        <w:t>,</w:t>
      </w:r>
      <w:r w:rsidRPr="00BD5DBD">
        <w:rPr>
          <w:bCs/>
          <w:szCs w:val="22"/>
        </w:rPr>
        <w:t xml:space="preserve"> having considered the evaluations and the Delegate’s </w:t>
      </w:r>
      <w:r w:rsidR="00347A65">
        <w:rPr>
          <w:bCs/>
          <w:szCs w:val="22"/>
        </w:rPr>
        <w:t>O</w:t>
      </w:r>
      <w:r w:rsidRPr="00BD5DBD">
        <w:rPr>
          <w:bCs/>
          <w:szCs w:val="22"/>
        </w:rPr>
        <w:t>verview, as well as the sponsor’s response to these documents, advised the following.</w:t>
      </w:r>
    </w:p>
    <w:p w14:paraId="0D935CC4" w14:textId="77777777" w:rsidR="00C22214" w:rsidRPr="005E7768" w:rsidRDefault="00C22214" w:rsidP="00C22214">
      <w:pPr>
        <w:pStyle w:val="Heading5"/>
        <w:rPr>
          <w:i w:val="0"/>
          <w:iCs/>
        </w:rPr>
      </w:pPr>
      <w:r w:rsidRPr="005E7768">
        <w:rPr>
          <w:i w:val="0"/>
          <w:iCs/>
        </w:rPr>
        <w:t>Specific advice to the Delegate</w:t>
      </w:r>
    </w:p>
    <w:p w14:paraId="6968ACE9" w14:textId="77777777" w:rsidR="006E5076" w:rsidRPr="006E5076" w:rsidRDefault="006E5076" w:rsidP="006E5076">
      <w:r w:rsidRPr="006E5076">
        <w:t xml:space="preserve">The ACM advised the following in response to the Delegate’s specific request for advice: </w:t>
      </w:r>
    </w:p>
    <w:p w14:paraId="6FBE57A2" w14:textId="0C96B188" w:rsidR="006E5076" w:rsidRPr="006E5076" w:rsidRDefault="006E5076" w:rsidP="006E5076">
      <w:pPr>
        <w:rPr>
          <w:i/>
          <w:iCs/>
        </w:rPr>
      </w:pPr>
      <w:r w:rsidRPr="006E5076">
        <w:rPr>
          <w:b/>
          <w:bCs/>
          <w:i/>
          <w:iCs/>
        </w:rPr>
        <w:t xml:space="preserve">1. Based on the available data, does ACM support the use of orelabrutinib for the proposed population? (If yes, please advise regarding wording of indication) </w:t>
      </w:r>
    </w:p>
    <w:p w14:paraId="2B528A86" w14:textId="77777777" w:rsidR="006E5076" w:rsidRPr="006E5076" w:rsidRDefault="006E5076" w:rsidP="006E5076">
      <w:r w:rsidRPr="006E5076">
        <w:t xml:space="preserve">Overall, the ACM was satisfied that the available efficacy and safety data supported the provisional registration of orelabrutinib for patients with relapsed or refractory MCL as per the clinical trial program. </w:t>
      </w:r>
    </w:p>
    <w:p w14:paraId="7F5A0582" w14:textId="18990CA0" w:rsidR="006E5076" w:rsidRPr="006E5076" w:rsidRDefault="006E5076" w:rsidP="006E5076">
      <w:r w:rsidRPr="006E5076">
        <w:t>While it was acknowledged that the Sponsor’s preferred indication according to their pre-ACM response aligned with wording previously approved for other BTK inhibitors, the ACM noted the role of BTK inhibitor maintenance treatment in the front-line setting is still unclear in patients who are in remission or have had response to first line therapy. Therefore, the ACM advised that the wording of the indication should not include maintenance therapy as there was no supporting evidence provided for its use as such a therapy.</w:t>
      </w:r>
    </w:p>
    <w:p w14:paraId="5291EA2A" w14:textId="41383B92" w:rsidR="00C22214" w:rsidRPr="005E7768" w:rsidRDefault="008D56CA" w:rsidP="00C22214">
      <w:pPr>
        <w:pStyle w:val="Heading5"/>
        <w:rPr>
          <w:i w:val="0"/>
          <w:iCs/>
        </w:rPr>
      </w:pPr>
      <w:r w:rsidRPr="005E7768">
        <w:rPr>
          <w:i w:val="0"/>
          <w:iCs/>
        </w:rPr>
        <w:t>A</w:t>
      </w:r>
      <w:r w:rsidR="004A45D4" w:rsidRPr="005E7768">
        <w:rPr>
          <w:i w:val="0"/>
          <w:iCs/>
        </w:rPr>
        <w:t>dvisory committee c</w:t>
      </w:r>
      <w:r w:rsidR="00C22214" w:rsidRPr="005E7768">
        <w:rPr>
          <w:i w:val="0"/>
          <w:iCs/>
        </w:rPr>
        <w:t>onclusion</w:t>
      </w:r>
    </w:p>
    <w:p w14:paraId="4150D7AE" w14:textId="77777777" w:rsidR="005A3BD4" w:rsidRPr="005A3BD4" w:rsidRDefault="005A3BD4" w:rsidP="005A3BD4">
      <w:r w:rsidRPr="005A3BD4">
        <w:t xml:space="preserve">The ACM considered orelabrutinib to have an overall positive benefit-risk profile for the Delegate’s proposed indication: </w:t>
      </w:r>
    </w:p>
    <w:p w14:paraId="5AA85AFF" w14:textId="484878A6" w:rsidR="005E7768" w:rsidRPr="005E7768" w:rsidRDefault="005A3BD4" w:rsidP="005A3BD4">
      <w:pPr>
        <w:ind w:left="720"/>
      </w:pPr>
      <w:r w:rsidRPr="005A3BD4">
        <w:rPr>
          <w:i/>
          <w:iCs/>
        </w:rPr>
        <w:t>H</w:t>
      </w:r>
      <w:r>
        <w:rPr>
          <w:i/>
          <w:iCs/>
        </w:rPr>
        <w:t xml:space="preserve">ibruka </w:t>
      </w:r>
      <w:r w:rsidRPr="005A3BD4">
        <w:rPr>
          <w:i/>
          <w:iCs/>
        </w:rPr>
        <w:t>has provisional approval in Australia for the treatment of adult patients with relapsed or refractory mantle cell lymphoma (MCL). The decision to approve this indication has been made on the basis of overall response rate (ORR). Continued approval of this indication depends on verification and description of benefit in confirmatory trials.</w:t>
      </w:r>
    </w:p>
    <w:p w14:paraId="307F236C" w14:textId="7FD19BD3" w:rsidR="00C22214" w:rsidRPr="002E238E" w:rsidRDefault="0046285C" w:rsidP="00C22214">
      <w:pPr>
        <w:pStyle w:val="Heading2"/>
      </w:pPr>
      <w:bookmarkStart w:id="100" w:name="_Toc103679300"/>
      <w:bookmarkStart w:id="101" w:name="_Toc241844866"/>
      <w:r>
        <w:t>Assessment</w:t>
      </w:r>
      <w:r w:rsidR="00190853">
        <w:t xml:space="preserve"> </w:t>
      </w:r>
      <w:r>
        <w:t>o</w:t>
      </w:r>
      <w:r w:rsidR="00C22214">
        <w:t>utcome</w:t>
      </w:r>
      <w:bookmarkEnd w:id="98"/>
      <w:bookmarkEnd w:id="99"/>
      <w:bookmarkEnd w:id="100"/>
      <w:bookmarkEnd w:id="101"/>
    </w:p>
    <w:p w14:paraId="6CF428DE" w14:textId="77777777" w:rsidR="007C108C" w:rsidRDefault="00C22214" w:rsidP="0006104E">
      <w:pPr>
        <w:rPr>
          <w:szCs w:val="22"/>
        </w:rPr>
      </w:pPr>
      <w:r w:rsidRPr="0017005C">
        <w:t xml:space="preserve">Based on a review of quality, safety, and efficacy, the TGA </w:t>
      </w:r>
      <w:r w:rsidR="00B46DFB">
        <w:t>decided to</w:t>
      </w:r>
      <w:r w:rsidRPr="0017005C">
        <w:t xml:space="preserve"> </w:t>
      </w:r>
      <w:r w:rsidR="00705588">
        <w:t xml:space="preserve">provisionally </w:t>
      </w:r>
      <w:r w:rsidRPr="0017005C">
        <w:t>regist</w:t>
      </w:r>
      <w:r w:rsidR="00B46DFB">
        <w:t>er</w:t>
      </w:r>
      <w:r w:rsidRPr="0017005C">
        <w:t xml:space="preserve"> </w:t>
      </w:r>
      <w:r w:rsidR="00357092" w:rsidRPr="001209FA">
        <w:rPr>
          <w:szCs w:val="22"/>
        </w:rPr>
        <w:t>H</w:t>
      </w:r>
      <w:r w:rsidR="00357092">
        <w:rPr>
          <w:szCs w:val="22"/>
        </w:rPr>
        <w:t>ibruka</w:t>
      </w:r>
      <w:r w:rsidR="00357092" w:rsidRPr="001209FA">
        <w:rPr>
          <w:szCs w:val="22"/>
        </w:rPr>
        <w:t xml:space="preserve"> </w:t>
      </w:r>
      <w:r w:rsidR="00357092">
        <w:rPr>
          <w:szCs w:val="22"/>
        </w:rPr>
        <w:t>(</w:t>
      </w:r>
      <w:r w:rsidR="00357092" w:rsidRPr="001209FA">
        <w:rPr>
          <w:szCs w:val="22"/>
        </w:rPr>
        <w:t>orelabrutinib</w:t>
      </w:r>
      <w:r w:rsidR="00357092">
        <w:rPr>
          <w:szCs w:val="22"/>
        </w:rPr>
        <w:t>)</w:t>
      </w:r>
      <w:r w:rsidR="00357092" w:rsidRPr="001209FA">
        <w:rPr>
          <w:szCs w:val="22"/>
        </w:rPr>
        <w:t xml:space="preserve"> 50 mg</w:t>
      </w:r>
      <w:r w:rsidR="00737FCA">
        <w:rPr>
          <w:szCs w:val="22"/>
        </w:rPr>
        <w:t>,</w:t>
      </w:r>
      <w:r w:rsidR="00357092" w:rsidRPr="001209FA">
        <w:rPr>
          <w:szCs w:val="22"/>
        </w:rPr>
        <w:t xml:space="preserve"> tablet</w:t>
      </w:r>
      <w:r w:rsidR="00737FCA">
        <w:rPr>
          <w:szCs w:val="22"/>
        </w:rPr>
        <w:t>,</w:t>
      </w:r>
      <w:r w:rsidR="00357092">
        <w:rPr>
          <w:szCs w:val="22"/>
        </w:rPr>
        <w:t xml:space="preserve"> bottle</w:t>
      </w:r>
      <w:r w:rsidR="007C108C">
        <w:rPr>
          <w:szCs w:val="22"/>
        </w:rPr>
        <w:t xml:space="preserve">. </w:t>
      </w:r>
    </w:p>
    <w:p w14:paraId="1D1F171C" w14:textId="05479151" w:rsidR="007C108C" w:rsidRDefault="007C108C" w:rsidP="0006104E">
      <w:pPr>
        <w:rPr>
          <w:szCs w:val="22"/>
        </w:rPr>
      </w:pPr>
      <w:r>
        <w:rPr>
          <w:szCs w:val="22"/>
        </w:rPr>
        <w:lastRenderedPageBreak/>
        <w:t>The indication for the medicine is:</w:t>
      </w:r>
    </w:p>
    <w:p w14:paraId="4EF22939" w14:textId="2B5C0C10" w:rsidR="00C22214" w:rsidRPr="007C108C" w:rsidRDefault="007C108C" w:rsidP="007C108C">
      <w:pPr>
        <w:ind w:left="720"/>
        <w:rPr>
          <w:i/>
          <w:iCs/>
        </w:rPr>
      </w:pPr>
      <w:r w:rsidRPr="007C108C">
        <w:rPr>
          <w:i/>
          <w:iCs/>
        </w:rPr>
        <w:t>Hibruka has provisional approval in Australia for the treatment of adult patients with relapsed or refractory mantle cell lymphoma (MCL). The decision to approve this indication has been made on the basis of overall response rate (ORR). Continued approval of this indication depends on verification and description of benefit in confirmatory trials.</w:t>
      </w:r>
      <w:r w:rsidR="00C22214" w:rsidRPr="007C108C">
        <w:rPr>
          <w:i/>
          <w:iCs/>
        </w:rPr>
        <w:t xml:space="preserve"> </w:t>
      </w:r>
    </w:p>
    <w:p w14:paraId="0D732DA4" w14:textId="74882685" w:rsidR="00854D98" w:rsidRPr="00D23139" w:rsidRDefault="00854D98" w:rsidP="00906C74">
      <w:pPr>
        <w:pStyle w:val="Heading2"/>
      </w:pPr>
      <w:bookmarkStart w:id="102" w:name="_Toc241844867"/>
      <w:bookmarkStart w:id="103" w:name="_Toc103679301"/>
      <w:r w:rsidRPr="00D23139">
        <w:t>Specific conditions of registration</w:t>
      </w:r>
      <w:bookmarkEnd w:id="102"/>
      <w:r w:rsidRPr="00D23139">
        <w:t xml:space="preserve"> </w:t>
      </w:r>
      <w:bookmarkEnd w:id="103"/>
    </w:p>
    <w:p w14:paraId="460A619C" w14:textId="3D88ACC6" w:rsidR="00717EFA" w:rsidRPr="00717EFA" w:rsidRDefault="00717EFA">
      <w:pPr>
        <w:pStyle w:val="ListBullet"/>
      </w:pPr>
      <w:r w:rsidRPr="00717EFA">
        <w:t>Hibruka (orelabrutinib) is to be included in the Black Triangle Scheme. The PI and</w:t>
      </w:r>
      <w:r w:rsidR="003B16AE">
        <w:t xml:space="preserve"> </w:t>
      </w:r>
      <w:r w:rsidRPr="00717EFA">
        <w:t>CMI for Hibruka must include the black triangle symbol and mandatory</w:t>
      </w:r>
      <w:r w:rsidR="003B16AE">
        <w:t xml:space="preserve"> </w:t>
      </w:r>
      <w:r w:rsidRPr="00717EFA">
        <w:t>accompanying text for five years, or the product’s entire period of provisional</w:t>
      </w:r>
      <w:r w:rsidR="003B16AE">
        <w:t xml:space="preserve"> </w:t>
      </w:r>
      <w:r w:rsidRPr="00717EFA">
        <w:t>registration, whichever is longer.</w:t>
      </w:r>
    </w:p>
    <w:p w14:paraId="57A9E2B8" w14:textId="77777777" w:rsidR="00986216" w:rsidRDefault="00717EFA">
      <w:pPr>
        <w:pStyle w:val="ListBullet"/>
      </w:pPr>
      <w:r w:rsidRPr="00717EFA">
        <w:t>The Hibruka AU-Risk Management Plan (RMP) (version 0.3, dated 24 November</w:t>
      </w:r>
      <w:r w:rsidR="00986216">
        <w:t xml:space="preserve"> </w:t>
      </w:r>
      <w:r w:rsidRPr="00717EFA">
        <w:t>2025, data lock point 1 May 2024), included with submission PM-2025-00463-1-4,</w:t>
      </w:r>
      <w:r w:rsidR="00986216">
        <w:t xml:space="preserve"> </w:t>
      </w:r>
      <w:r w:rsidRPr="00717EFA">
        <w:t>and any subsequent revisions, will be implemented in Australia</w:t>
      </w:r>
      <w:r w:rsidR="00986216">
        <w:t xml:space="preserve"> </w:t>
      </w:r>
    </w:p>
    <w:p w14:paraId="433AFD5A" w14:textId="77777777" w:rsidR="00743650" w:rsidRDefault="00717EFA" w:rsidP="00743650">
      <w:pPr>
        <w:pStyle w:val="ListBullet"/>
      </w:pPr>
      <w:r w:rsidRPr="00717EFA">
        <w:t>An obligatory component of risk management plans is routine pharmacovigilance.</w:t>
      </w:r>
      <w:r w:rsidR="00986216">
        <w:t xml:space="preserve"> </w:t>
      </w:r>
      <w:r w:rsidRPr="00717EFA">
        <w:t>Routine pharmacovigilance includes the submission of periodic safety update</w:t>
      </w:r>
      <w:r w:rsidR="0018046F">
        <w:t xml:space="preserve"> </w:t>
      </w:r>
      <w:r w:rsidRPr="00717EFA">
        <w:t>reports (PSURs).</w:t>
      </w:r>
      <w:r w:rsidR="0018046F">
        <w:t xml:space="preserve"> </w:t>
      </w:r>
    </w:p>
    <w:p w14:paraId="7CCBF4F5" w14:textId="37689C25" w:rsidR="00717EFA" w:rsidRPr="00717EFA" w:rsidRDefault="00717EFA" w:rsidP="00743650">
      <w:pPr>
        <w:pStyle w:val="ListBullet2"/>
      </w:pPr>
      <w:r w:rsidRPr="00717EFA">
        <w:t>Unless agreed separately between the supplier who is the recipient of the approval</w:t>
      </w:r>
      <w:r w:rsidR="0018046F">
        <w:t xml:space="preserve"> </w:t>
      </w:r>
      <w:r w:rsidRPr="00717EFA">
        <w:t>and the TGA, the first report must be submitted to TGA no later than 15 calendar</w:t>
      </w:r>
      <w:r w:rsidR="0018046F">
        <w:t xml:space="preserve"> </w:t>
      </w:r>
      <w:r w:rsidRPr="00717EFA">
        <w:t>months after the date of this approval letter. The subsequent reports must be</w:t>
      </w:r>
      <w:r w:rsidR="0018046F">
        <w:t xml:space="preserve"> </w:t>
      </w:r>
      <w:r w:rsidRPr="00717EFA">
        <w:t>submitted no less frequently than annually from the date of the first submitted</w:t>
      </w:r>
      <w:r w:rsidR="0018046F">
        <w:t xml:space="preserve"> </w:t>
      </w:r>
      <w:r w:rsidRPr="00717EFA">
        <w:t>report until the period covered by such reports is not less than three years from the</w:t>
      </w:r>
      <w:r w:rsidR="0018046F">
        <w:t xml:space="preserve"> </w:t>
      </w:r>
      <w:r w:rsidRPr="00717EFA">
        <w:t>date of th</w:t>
      </w:r>
      <w:r w:rsidR="0018046F">
        <w:t>e</w:t>
      </w:r>
      <w:r w:rsidRPr="00717EFA">
        <w:t xml:space="preserve"> approval letter, or the entire period of provisional registration,</w:t>
      </w:r>
      <w:r w:rsidR="0018046F">
        <w:t xml:space="preserve"> </w:t>
      </w:r>
      <w:r w:rsidRPr="00717EFA">
        <w:t>whichever is longer. Each report must be submitted within ninety calendar days</w:t>
      </w:r>
      <w:r w:rsidR="0018046F">
        <w:t xml:space="preserve"> </w:t>
      </w:r>
      <w:r w:rsidRPr="00717EFA">
        <w:t>of the data lock point for that report.</w:t>
      </w:r>
    </w:p>
    <w:p w14:paraId="3FE7A551" w14:textId="770B02D1" w:rsidR="00717EFA" w:rsidRPr="00717EFA" w:rsidRDefault="00717EFA">
      <w:pPr>
        <w:pStyle w:val="ListBullet2"/>
      </w:pPr>
      <w:r w:rsidRPr="00717EFA">
        <w:t>The reports are to at least meet the requirements for PSURs as described in the</w:t>
      </w:r>
      <w:r w:rsidR="00743650">
        <w:t xml:space="preserve"> </w:t>
      </w:r>
      <w:r w:rsidRPr="00717EFA">
        <w:t>European Medicines Agency’s Guideline on good pharmacovigilance practices</w:t>
      </w:r>
      <w:r w:rsidR="00743650">
        <w:t xml:space="preserve"> </w:t>
      </w:r>
      <w:r w:rsidRPr="00717EFA">
        <w:t>(GVP) Module VII-periodic safety update report (Rev 1), Part VII.B Structures</w:t>
      </w:r>
      <w:r w:rsidR="00743650">
        <w:t xml:space="preserve"> </w:t>
      </w:r>
      <w:r w:rsidRPr="00717EFA">
        <w:t>and processes. Note that submission of a PSUR does not constitute an application</w:t>
      </w:r>
      <w:r w:rsidR="00743650">
        <w:t xml:space="preserve"> </w:t>
      </w:r>
      <w:r w:rsidRPr="00717EFA">
        <w:t>to vary the registration.</w:t>
      </w:r>
    </w:p>
    <w:p w14:paraId="4BA69B43" w14:textId="437726BB" w:rsidR="00717EFA" w:rsidRPr="00717EFA" w:rsidRDefault="00717EFA">
      <w:pPr>
        <w:pStyle w:val="ListBullet"/>
      </w:pPr>
      <w:r w:rsidRPr="00717EFA">
        <w:t xml:space="preserve">The </w:t>
      </w:r>
      <w:r w:rsidR="00231E5B">
        <w:t>s</w:t>
      </w:r>
      <w:r w:rsidRPr="00717EFA">
        <w:t>ponsor must conduct studies as described in the clinical study plan in version 0.3</w:t>
      </w:r>
      <w:r w:rsidR="002C2A3D">
        <w:t xml:space="preserve"> </w:t>
      </w:r>
      <w:r w:rsidRPr="00717EFA">
        <w:t>(dated 24 November 2025, data lock point 1 May 2024) of the Australia-Specific</w:t>
      </w:r>
      <w:r w:rsidR="002C2A3D">
        <w:t xml:space="preserve"> </w:t>
      </w:r>
      <w:r w:rsidRPr="00717EFA">
        <w:t xml:space="preserve">Annex. The following study report(s) should be submitted to TGA: </w:t>
      </w:r>
      <w:r w:rsidRPr="00231E5B">
        <w:t>ICP-CL-00128,</w:t>
      </w:r>
      <w:r w:rsidR="002C2A3D">
        <w:t xml:space="preserve"> </w:t>
      </w:r>
      <w:r w:rsidRPr="00717EFA">
        <w:t>by end Q4 2031.</w:t>
      </w:r>
    </w:p>
    <w:p w14:paraId="0F9C1952" w14:textId="46BD475E" w:rsidR="00BA657C" w:rsidRPr="00BA657C" w:rsidRDefault="00BA657C" w:rsidP="004D4AD5">
      <w:pPr>
        <w:pStyle w:val="Heading3"/>
      </w:pPr>
      <w:bookmarkStart w:id="104" w:name="_Toc241844868"/>
      <w:bookmarkStart w:id="105" w:name="_Toc196738290"/>
      <w:r w:rsidRPr="00BA657C">
        <w:t>Product Information and Consumer Medicine Information</w:t>
      </w:r>
      <w:bookmarkEnd w:id="104"/>
      <w:r w:rsidRPr="00BA657C">
        <w:t xml:space="preserve"> </w:t>
      </w:r>
      <w:bookmarkEnd w:id="105"/>
    </w:p>
    <w:p w14:paraId="5F276616" w14:textId="6667B73D" w:rsidR="004D0933" w:rsidRPr="004D0933" w:rsidRDefault="004D0933" w:rsidP="004D0933">
      <w:bookmarkStart w:id="106" w:name="_Hlk200021736"/>
      <w:r w:rsidRPr="004D0933">
        <w:t xml:space="preserve">For the most recent Product Information (PI) and Consumer Medicine Information (CMI), please refer to the TGA </w:t>
      </w:r>
      <w:hyperlink r:id="rId45" w:history="1">
        <w:r w:rsidRPr="004D0933">
          <w:rPr>
            <w:rStyle w:val="Hyperlink"/>
          </w:rPr>
          <w:t>PI/CMI search facility.</w:t>
        </w:r>
      </w:hyperlink>
    </w:p>
    <w:bookmarkEnd w:id="106"/>
    <w:p w14:paraId="40740B65" w14:textId="5819D664" w:rsidR="00C22214" w:rsidRPr="008B4DA3" w:rsidRDefault="00C22214" w:rsidP="00C22214">
      <w:pPr>
        <w:autoSpaceDE w:val="0"/>
        <w:autoSpaceDN w:val="0"/>
        <w:adjustRightInd w:val="0"/>
        <w:spacing w:after="0"/>
      </w:pPr>
    </w:p>
    <w:p w14:paraId="53357BF3" w14:textId="276457B5" w:rsidR="00C22214" w:rsidRDefault="00C22214" w:rsidP="00C22214">
      <w:pPr>
        <w:rPr>
          <w:lang w:eastAsia="ja-JP"/>
        </w:rPr>
        <w:sectPr w:rsidR="00C22214" w:rsidSect="007452E8">
          <w:headerReference w:type="default" r:id="rId46"/>
          <w:footerReference w:type="default" r:id="rId47"/>
          <w:pgSz w:w="11906" w:h="16838" w:code="9"/>
          <w:pgMar w:top="1134" w:right="1418" w:bottom="1361" w:left="1418" w:header="573" w:footer="567" w:gutter="0"/>
          <w:cols w:space="708"/>
          <w:docGrid w:linePitch="360"/>
        </w:sectPr>
      </w:pPr>
    </w:p>
    <w:tbl>
      <w:tblPr>
        <w:tblW w:w="9145" w:type="dxa"/>
        <w:jc w:val="center"/>
        <w:tblLayout w:type="fixed"/>
        <w:tblCellMar>
          <w:left w:w="0" w:type="dxa"/>
          <w:right w:w="0" w:type="dxa"/>
        </w:tblCellMar>
        <w:tblLook w:val="04A0" w:firstRow="1" w:lastRow="0" w:firstColumn="1" w:lastColumn="0" w:noHBand="0" w:noVBand="1"/>
      </w:tblPr>
      <w:tblGrid>
        <w:gridCol w:w="9145"/>
      </w:tblGrid>
      <w:tr w:rsidR="00F02AEC" w:rsidRPr="00215D48" w14:paraId="3C0C07BF" w14:textId="77777777" w:rsidTr="007452E8">
        <w:trPr>
          <w:trHeight w:hRule="exact" w:val="565"/>
          <w:jc w:val="center"/>
        </w:trPr>
        <w:tc>
          <w:tcPr>
            <w:tcW w:w="9145" w:type="dxa"/>
          </w:tcPr>
          <w:bookmarkEnd w:id="3"/>
          <w:bookmarkEnd w:id="4"/>
          <w:p w14:paraId="7E090B86" w14:textId="77777777" w:rsidR="00F02AEC" w:rsidRPr="00215D48" w:rsidRDefault="00F02AEC" w:rsidP="007452E8">
            <w:pPr>
              <w:pStyle w:val="TGASignoff"/>
            </w:pPr>
            <w:r w:rsidRPr="00215D48">
              <w:lastRenderedPageBreak/>
              <w:t>Therapeutic Goods Administration</w:t>
            </w:r>
          </w:p>
        </w:tc>
      </w:tr>
      <w:tr w:rsidR="00F02AEC" w:rsidRPr="00215D48" w14:paraId="70F47EA1" w14:textId="77777777" w:rsidTr="007452E8">
        <w:trPr>
          <w:trHeight w:val="963"/>
          <w:jc w:val="center"/>
        </w:trPr>
        <w:tc>
          <w:tcPr>
            <w:tcW w:w="9145" w:type="dxa"/>
            <w:tcMar>
              <w:top w:w="28" w:type="dxa"/>
            </w:tcMar>
          </w:tcPr>
          <w:p w14:paraId="3491EBCD" w14:textId="77777777" w:rsidR="00F02AEC" w:rsidRPr="00215D48" w:rsidRDefault="00F02AEC" w:rsidP="007452E8">
            <w:pPr>
              <w:pStyle w:val="Address"/>
              <w:jc w:val="center"/>
            </w:pPr>
            <w:r w:rsidRPr="00215D48">
              <w:t>PO Box 100 Woden ACT 2606 Australia</w:t>
            </w:r>
          </w:p>
          <w:p w14:paraId="5D0FE0E7" w14:textId="53CB9479" w:rsidR="00F02AEC" w:rsidRDefault="00F02AEC">
            <w:pPr>
              <w:pStyle w:val="Address"/>
              <w:jc w:val="center"/>
              <w:rPr>
                <w:sz w:val="22"/>
                <w:szCs w:val="22"/>
              </w:rPr>
            </w:pPr>
            <w:r w:rsidRPr="00215D48">
              <w:t xml:space="preserve">Email: </w:t>
            </w:r>
            <w:hyperlink r:id="rId48" w:history="1">
              <w:r w:rsidRPr="00215D48">
                <w:rPr>
                  <w:rStyle w:val="Hyperlink"/>
                </w:rPr>
                <w:t>info@tga.gov.au</w:t>
              </w:r>
            </w:hyperlink>
            <w:r w:rsidRPr="00215D48">
              <w:t xml:space="preserve">  Phone: 1800 020 653  Fax: </w:t>
            </w:r>
            <w:r w:rsidRPr="00BA0DFC">
              <w:t>02 6203 1605</w:t>
            </w:r>
          </w:p>
          <w:p w14:paraId="4533D80F" w14:textId="1519D7A3" w:rsidR="00F02AEC" w:rsidRPr="00315F97" w:rsidRDefault="00F02AEC">
            <w:pPr>
              <w:pStyle w:val="Address"/>
              <w:jc w:val="center"/>
              <w:rPr>
                <w:rStyle w:val="Hyperlink"/>
                <w:color w:val="auto"/>
                <w:sz w:val="22"/>
              </w:rPr>
            </w:pPr>
            <w:hyperlink r:id="rId49" w:history="1">
              <w:r w:rsidRPr="00315F97">
                <w:rPr>
                  <w:rStyle w:val="Hyperlink"/>
                </w:rPr>
                <w:t>https://www.tga.gov.au</w:t>
              </w:r>
            </w:hyperlink>
          </w:p>
        </w:tc>
      </w:tr>
      <w:tr w:rsidR="00F02AEC" w:rsidRPr="00215D48" w14:paraId="2AD74347" w14:textId="77777777" w:rsidTr="007452E8">
        <w:trPr>
          <w:trHeight w:val="251"/>
          <w:jc w:val="center"/>
        </w:trPr>
        <w:tc>
          <w:tcPr>
            <w:tcW w:w="9145" w:type="dxa"/>
            <w:tcMar>
              <w:top w:w="28" w:type="dxa"/>
            </w:tcMar>
          </w:tcPr>
          <w:p w14:paraId="6EAAD5C1" w14:textId="7E0F86DC" w:rsidR="00F02AEC" w:rsidRPr="00215D48" w:rsidRDefault="00F02AEC" w:rsidP="007452E8">
            <w:pPr>
              <w:pStyle w:val="Address"/>
              <w:jc w:val="center"/>
            </w:pPr>
          </w:p>
        </w:tc>
      </w:tr>
    </w:tbl>
    <w:p w14:paraId="788B80FD" w14:textId="77777777" w:rsidR="007452E8" w:rsidRDefault="007452E8"/>
    <w:sectPr w:rsidR="007452E8" w:rsidSect="007452E8">
      <w:headerReference w:type="first" r:id="rId50"/>
      <w:footerReference w:type="first" r:id="rId51"/>
      <w:pgSz w:w="11906" w:h="16838" w:code="9"/>
      <w:pgMar w:top="13571" w:right="1701" w:bottom="567" w:left="1701" w:header="1134" w:footer="7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A587D" w14:textId="77777777" w:rsidR="00A00483" w:rsidRDefault="00A00483" w:rsidP="00F02AEC">
      <w:pPr>
        <w:spacing w:after="0" w:line="240" w:lineRule="auto"/>
      </w:pPr>
      <w:r>
        <w:separator/>
      </w:r>
    </w:p>
  </w:endnote>
  <w:endnote w:type="continuationSeparator" w:id="0">
    <w:p w14:paraId="75212490" w14:textId="77777777" w:rsidR="00A00483" w:rsidRDefault="00A00483" w:rsidP="00F02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p·Ô3">
    <w:altName w:val="Calibri"/>
    <w:panose1 w:val="00000000000000000000"/>
    <w:charset w:val="4D"/>
    <w:family w:val="auto"/>
    <w:notTrueType/>
    <w:pitch w:val="default"/>
    <w:sig w:usb0="00000003" w:usb1="00000000" w:usb2="00000000" w:usb3="00000000" w:csb0="00000001" w:csb1="00000000"/>
  </w:font>
  <w:font w:name="Í::.">
    <w:altName w:val="Calibri"/>
    <w:panose1 w:val="00000000000000000000"/>
    <w:charset w:val="4D"/>
    <w:family w:val="auto"/>
    <w:notTrueType/>
    <w:pitch w:val="default"/>
    <w:sig w:usb0="00000003" w:usb1="00000000" w:usb2="00000000" w:usb3="00000000" w:csb0="00000001" w:csb1="00000000"/>
  </w:font>
  <w:font w:name="ƒx_Ô'1">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7CF7" w14:textId="7A536625" w:rsidR="00AA6080" w:rsidRDefault="00AA6080">
    <w:pPr>
      <w:pStyle w:val="Footer"/>
    </w:pPr>
    <w:r>
      <w:rPr>
        <w:noProof/>
      </w:rPr>
      <mc:AlternateContent>
        <mc:Choice Requires="wps">
          <w:drawing>
            <wp:anchor distT="0" distB="0" distL="0" distR="0" simplePos="0" relativeHeight="251658247" behindDoc="0" locked="0" layoutInCell="1" allowOverlap="1" wp14:anchorId="6C82A4BB" wp14:editId="3401825C">
              <wp:simplePos x="635" y="635"/>
              <wp:positionH relativeFrom="page">
                <wp:align>center</wp:align>
              </wp:positionH>
              <wp:positionV relativeFrom="page">
                <wp:align>bottom</wp:align>
              </wp:positionV>
              <wp:extent cx="622300" cy="391160"/>
              <wp:effectExtent l="0" t="0" r="6350" b="0"/>
              <wp:wrapNone/>
              <wp:docPr id="160745585"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229CBAB" w14:textId="08773DFC"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82A4BB" id="_x0000_t202" coordsize="21600,21600" o:spt="202" path="m,l,21600r21600,l21600,xe">
              <v:stroke joinstyle="miter"/>
              <v:path gradientshapeok="t" o:connecttype="rect"/>
            </v:shapetype>
            <v:shape id="Text Box 7" o:spid="_x0000_s1028" type="#_x0000_t202" alt="OFFICIAL" style="position:absolute;margin-left:0;margin-top:0;width:49pt;height:30.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3229CBAB" w14:textId="08773DFC"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774"/>
    </w:tblGrid>
    <w:tr w:rsidR="00117B96" w:rsidRPr="00257138" w14:paraId="162D69C2" w14:textId="77777777" w:rsidTr="00996B0B">
      <w:trPr>
        <w:trHeight w:val="423"/>
      </w:trPr>
      <w:tc>
        <w:tcPr>
          <w:tcW w:w="6946" w:type="dxa"/>
          <w:tcBorders>
            <w:top w:val="single" w:sz="4" w:space="0" w:color="auto"/>
          </w:tcBorders>
        </w:tcPr>
        <w:p w14:paraId="1849C07C" w14:textId="52ABAB6D" w:rsidR="00117B96" w:rsidRPr="00257138" w:rsidRDefault="00117B96" w:rsidP="0032515E">
          <w:pPr>
            <w:pStyle w:val="Footer"/>
            <w:ind w:left="-113"/>
          </w:pPr>
          <w:r w:rsidRPr="00565F54">
            <w:t xml:space="preserve">AusPAR - </w:t>
          </w:r>
          <w:r w:rsidR="00481653">
            <w:t>Hibruka</w:t>
          </w:r>
          <w:r w:rsidRPr="00565F54">
            <w:t xml:space="preserve"> - </w:t>
          </w:r>
          <w:r w:rsidR="00481653">
            <w:t>o</w:t>
          </w:r>
          <w:r w:rsidR="00560F02">
            <w:t>rela</w:t>
          </w:r>
          <w:r w:rsidR="00481653">
            <w:t>brutinib</w:t>
          </w:r>
          <w:r w:rsidRPr="00565F54">
            <w:t xml:space="preserve"> - </w:t>
          </w:r>
          <w:r w:rsidR="00FF5971">
            <w:t>Innocare</w:t>
          </w:r>
          <w:r w:rsidR="00FF5971">
            <w:rPr>
              <w:spacing w:val="-7"/>
            </w:rPr>
            <w:t xml:space="preserve"> </w:t>
          </w:r>
          <w:r w:rsidR="00FF5971">
            <w:t>Pharma</w:t>
          </w:r>
          <w:r w:rsidR="00FF5971">
            <w:rPr>
              <w:spacing w:val="-5"/>
            </w:rPr>
            <w:t xml:space="preserve"> </w:t>
          </w:r>
          <w:r w:rsidR="00FF5971">
            <w:t>Australia</w:t>
          </w:r>
          <w:r w:rsidR="00FF5971">
            <w:rPr>
              <w:spacing w:val="-4"/>
            </w:rPr>
            <w:t xml:space="preserve"> </w:t>
          </w:r>
          <w:r w:rsidR="00FF5971">
            <w:t>Pty</w:t>
          </w:r>
          <w:r w:rsidR="00FF5971">
            <w:rPr>
              <w:spacing w:val="-8"/>
            </w:rPr>
            <w:t xml:space="preserve"> </w:t>
          </w:r>
          <w:r w:rsidR="00FF5971">
            <w:t>Ltd</w:t>
          </w:r>
          <w:r w:rsidRPr="00565F54">
            <w:t xml:space="preserve"> - </w:t>
          </w:r>
          <w:r w:rsidR="00996B0B">
            <w:t>PM-2025-00463-1-</w:t>
          </w:r>
          <w:r w:rsidR="00996B0B">
            <w:rPr>
              <w:spacing w:val="-10"/>
            </w:rPr>
            <w:t>4</w:t>
          </w:r>
          <w:r w:rsidRPr="00565F54">
            <w:br/>
            <w:t>Draft V</w:t>
          </w:r>
          <w:r w:rsidR="00481653">
            <w:t>1</w:t>
          </w:r>
          <w:r w:rsidRPr="00565F54">
            <w:t xml:space="preserve"> </w:t>
          </w:r>
          <w:r w:rsidR="005B57EE">
            <w:t xml:space="preserve">– </w:t>
          </w:r>
          <w:r w:rsidR="00C32CA2">
            <w:t>S</w:t>
          </w:r>
          <w:r w:rsidR="00C17888">
            <w:t>ponsor track changes</w:t>
          </w:r>
          <w:r w:rsidR="005B57EE">
            <w:t xml:space="preserve"> – </w:t>
          </w:r>
          <w:r w:rsidR="00C17888">
            <w:t>TGA annotated version</w:t>
          </w:r>
          <w:r w:rsidR="00970439">
            <w:t xml:space="preserve"> – 2 October 2026</w:t>
          </w:r>
        </w:p>
      </w:tc>
      <w:tc>
        <w:tcPr>
          <w:tcW w:w="1774" w:type="dxa"/>
          <w:tcBorders>
            <w:top w:val="single" w:sz="4" w:space="0" w:color="auto"/>
          </w:tcBorders>
        </w:tcPr>
        <w:sdt>
          <w:sdtPr>
            <w:id w:val="1087729233"/>
            <w:docPartObj>
              <w:docPartGallery w:val="Page Numbers (Top of Page)"/>
              <w:docPartUnique/>
            </w:docPartObj>
          </w:sdtPr>
          <w:sdtEndPr/>
          <w:sdtContent>
            <w:p w14:paraId="606A08BF" w14:textId="77777777" w:rsidR="00117B96" w:rsidRDefault="00117B96" w:rsidP="00117B96">
              <w:pPr>
                <w:pStyle w:val="Footer"/>
                <w:jc w:val="right"/>
              </w:pPr>
            </w:p>
            <w:p w14:paraId="5EDE6DF6" w14:textId="77777777" w:rsidR="00117B96" w:rsidRPr="00257138" w:rsidRDefault="00117B96" w:rsidP="00117B96">
              <w:pPr>
                <w:pStyle w:val="Footer"/>
                <w:jc w:val="right"/>
              </w:pPr>
              <w:r w:rsidRPr="00257138">
                <w:t xml:space="preserve">Page </w:t>
              </w:r>
              <w:r>
                <w:fldChar w:fldCharType="begin"/>
              </w:r>
              <w:r>
                <w:instrText xml:space="preserve"> PAGE </w:instrText>
              </w:r>
              <w:r>
                <w:fldChar w:fldCharType="separate"/>
              </w:r>
              <w:r>
                <w:rPr>
                  <w:noProof/>
                </w:rPr>
                <w:t>2</w:t>
              </w:r>
              <w:r>
                <w:rPr>
                  <w:noProof/>
                </w:rPr>
                <w:fldChar w:fldCharType="end"/>
              </w:r>
              <w:r w:rsidRPr="00257138">
                <w:t xml:space="preserve"> of </w:t>
              </w:r>
              <w:fldSimple w:instr=" NUMPAGES  ">
                <w:r>
                  <w:rPr>
                    <w:noProof/>
                  </w:rPr>
                  <w:t>2</w:t>
                </w:r>
              </w:fldSimple>
            </w:p>
          </w:sdtContent>
        </w:sdt>
      </w:tc>
    </w:tr>
    <w:tr w:rsidR="00117B96" w:rsidRPr="00257138" w14:paraId="280F09C8" w14:textId="77777777" w:rsidTr="00996B0B">
      <w:trPr>
        <w:trHeight w:val="263"/>
      </w:trPr>
      <w:tc>
        <w:tcPr>
          <w:tcW w:w="6946" w:type="dxa"/>
        </w:tcPr>
        <w:p w14:paraId="673F06D3" w14:textId="66098B1B" w:rsidR="00117B96" w:rsidRPr="00257138" w:rsidRDefault="00117B96" w:rsidP="00117B96">
          <w:pPr>
            <w:pStyle w:val="Footer"/>
          </w:pPr>
        </w:p>
      </w:tc>
      <w:tc>
        <w:tcPr>
          <w:tcW w:w="1774" w:type="dxa"/>
        </w:tcPr>
        <w:p w14:paraId="77F5B433" w14:textId="77777777" w:rsidR="00117B96" w:rsidRPr="00257138" w:rsidRDefault="00117B96" w:rsidP="00117B96">
          <w:pPr>
            <w:pStyle w:val="Footer"/>
            <w:jc w:val="right"/>
          </w:pPr>
        </w:p>
      </w:tc>
    </w:tr>
  </w:tbl>
  <w:p w14:paraId="63F6FDDE" w14:textId="77777777" w:rsidR="007452E8" w:rsidRPr="00826007" w:rsidRDefault="007452E8" w:rsidP="007452E8">
    <w:pPr>
      <w:pStyle w:val="Footer"/>
      <w:tabs>
        <w:tab w:val="left" w:pos="7620"/>
        <w:tab w:val="right" w:pos="850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A29C" w14:textId="2D931C92" w:rsidR="007452E8" w:rsidRDefault="00AA6080" w:rsidP="007452E8">
    <w:pPr>
      <w:pStyle w:val="Footer"/>
      <w:ind w:left="-1701"/>
    </w:pPr>
    <w:r>
      <w:rPr>
        <w:noProof/>
      </w:rPr>
      <mc:AlternateContent>
        <mc:Choice Requires="wps">
          <w:drawing>
            <wp:anchor distT="0" distB="0" distL="0" distR="0" simplePos="0" relativeHeight="251658246" behindDoc="0" locked="0" layoutInCell="1" allowOverlap="1" wp14:anchorId="7FBBD7AA" wp14:editId="0931A908">
              <wp:simplePos x="635" y="635"/>
              <wp:positionH relativeFrom="page">
                <wp:align>center</wp:align>
              </wp:positionH>
              <wp:positionV relativeFrom="page">
                <wp:align>bottom</wp:align>
              </wp:positionV>
              <wp:extent cx="622300" cy="391160"/>
              <wp:effectExtent l="0" t="0" r="6350" b="0"/>
              <wp:wrapNone/>
              <wp:docPr id="211656148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13A14CE" w14:textId="6C3CFA46"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BBD7AA" id="_x0000_t202" coordsize="21600,21600" o:spt="202" path="m,l,21600r21600,l21600,xe">
              <v:stroke joinstyle="miter"/>
              <v:path gradientshapeok="t" o:connecttype="rect"/>
            </v:shapetype>
            <v:shape id="Text Box 6" o:spid="_x0000_s1030" type="#_x0000_t202" alt="OFFICIAL" style="position:absolute;left:0;text-align:left;margin-left:0;margin-top:0;width:49pt;height:30.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jeDgIAABwEAAAOAAAAZHJzL2Uyb0RvYy54bWysU01v2zAMvQ/YfxB0X2ynW7A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hOv4X6SEshnPj2Tq5aar0WPjwLJIJpWhJt&#10;eKJDd9BXHM4WZw3gj7/5Yz7hTlHOehJMxS0pmrPumyU+orZGA0djm4ziNv8U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DUj1jeDgIAABwE&#10;AAAOAAAAAAAAAAAAAAAAAC4CAABkcnMvZTJvRG9jLnhtbFBLAQItABQABgAIAAAAIQCCUZTX2gAA&#10;AAMBAAAPAAAAAAAAAAAAAAAAAGgEAABkcnMvZG93bnJldi54bWxQSwUGAAAAAAQABADzAAAAbwUA&#10;AAAA&#10;" filled="f" stroked="f">
              <v:textbox style="mso-fit-shape-to-text:t" inset="0,0,0,15pt">
                <w:txbxContent>
                  <w:p w14:paraId="413A14CE" w14:textId="6C3CFA46"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r w:rsidR="007452E8" w:rsidRPr="002B29B2">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tblCellMar>
      <w:tblLook w:val="04A0" w:firstRow="1" w:lastRow="0" w:firstColumn="1" w:lastColumn="0" w:noHBand="0" w:noVBand="1"/>
    </w:tblPr>
    <w:tblGrid>
      <w:gridCol w:w="7338"/>
      <w:gridCol w:w="1734"/>
    </w:tblGrid>
    <w:tr w:rsidR="007452E8" w:rsidRPr="004A3084" w14:paraId="6266BC33" w14:textId="77777777" w:rsidTr="007452E8">
      <w:trPr>
        <w:trHeight w:val="423"/>
      </w:trPr>
      <w:tc>
        <w:tcPr>
          <w:tcW w:w="7338" w:type="dxa"/>
          <w:tcBorders>
            <w:top w:val="single" w:sz="4" w:space="0" w:color="auto"/>
          </w:tcBorders>
        </w:tcPr>
        <w:p w14:paraId="3C421323" w14:textId="40D78BB4" w:rsidR="007452E8" w:rsidRPr="004A3084" w:rsidRDefault="007452E8" w:rsidP="007452E8">
          <w:pPr>
            <w:pStyle w:val="Footer"/>
          </w:pPr>
          <w:r w:rsidRPr="00487162">
            <w:t>AusPA</w:t>
          </w:r>
          <w:r>
            <w:t xml:space="preserve">R </w:t>
          </w:r>
          <w:r w:rsidR="00E96B76">
            <w:t>–</w:t>
          </w:r>
          <w:r>
            <w:t xml:space="preserve"> </w:t>
          </w:r>
          <w:r w:rsidR="00E96B76">
            <w:t xml:space="preserve">Hibruka </w:t>
          </w:r>
          <w:r>
            <w:t>-</w:t>
          </w:r>
          <w:r w:rsidRPr="00460036">
            <w:t xml:space="preserve"> </w:t>
          </w:r>
          <w:r w:rsidR="00E96B76">
            <w:t>o</w:t>
          </w:r>
          <w:r w:rsidR="0045201D">
            <w:t>rela</w:t>
          </w:r>
          <w:r w:rsidR="00E96B76">
            <w:t>brutinib</w:t>
          </w:r>
          <w:r w:rsidRPr="00460036">
            <w:t xml:space="preserve"> </w:t>
          </w:r>
          <w:r w:rsidR="008C754C">
            <w:t>-</w:t>
          </w:r>
          <w:r>
            <w:t xml:space="preserve"> </w:t>
          </w:r>
          <w:r w:rsidR="004E0E3C">
            <w:t>Innocare</w:t>
          </w:r>
          <w:r w:rsidR="004E0E3C">
            <w:rPr>
              <w:spacing w:val="-7"/>
            </w:rPr>
            <w:t xml:space="preserve"> </w:t>
          </w:r>
          <w:r w:rsidR="004E0E3C">
            <w:t>Pharma</w:t>
          </w:r>
          <w:r w:rsidR="004E0E3C">
            <w:rPr>
              <w:spacing w:val="-5"/>
            </w:rPr>
            <w:t xml:space="preserve"> </w:t>
          </w:r>
          <w:r w:rsidR="004E0E3C">
            <w:t>Australia</w:t>
          </w:r>
          <w:r w:rsidR="004E0E3C">
            <w:rPr>
              <w:spacing w:val="-4"/>
            </w:rPr>
            <w:t xml:space="preserve"> </w:t>
          </w:r>
          <w:r w:rsidR="004E0E3C">
            <w:t>Pty</w:t>
          </w:r>
          <w:r w:rsidR="004E0E3C">
            <w:rPr>
              <w:spacing w:val="-8"/>
            </w:rPr>
            <w:t xml:space="preserve"> </w:t>
          </w:r>
          <w:r w:rsidR="004E0E3C">
            <w:t>Ltd</w:t>
          </w:r>
          <w:r>
            <w:t xml:space="preserve"> - </w:t>
          </w:r>
          <w:r w:rsidR="007F42A4">
            <w:t>PM-2025-00463-1-</w:t>
          </w:r>
          <w:r w:rsidR="007F42A4">
            <w:rPr>
              <w:spacing w:val="-10"/>
            </w:rPr>
            <w:t>4</w:t>
          </w:r>
          <w:r>
            <w:br/>
          </w:r>
          <w:r w:rsidR="00FE7CB9">
            <w:t xml:space="preserve">Revised </w:t>
          </w:r>
          <w:r w:rsidR="00C21473" w:rsidRPr="00565F54">
            <w:t xml:space="preserve">Draft </w:t>
          </w:r>
          <w:r w:rsidR="00CB1399">
            <w:t>f</w:t>
          </w:r>
          <w:r w:rsidR="00B32506">
            <w:t>or finalisation</w:t>
          </w:r>
          <w:r w:rsidR="001371AF">
            <w:t xml:space="preserve"> –</w:t>
          </w:r>
          <w:r w:rsidR="00332205">
            <w:t xml:space="preserve"> </w:t>
          </w:r>
          <w:r w:rsidR="001371AF">
            <w:t>2 October 2026</w:t>
          </w:r>
        </w:p>
      </w:tc>
      <w:tc>
        <w:tcPr>
          <w:tcW w:w="1734" w:type="dxa"/>
          <w:tcBorders>
            <w:top w:val="single" w:sz="4" w:space="0" w:color="auto"/>
          </w:tcBorders>
        </w:tcPr>
        <w:sdt>
          <w:sdtPr>
            <w:id w:val="11571659"/>
            <w:docPartObj>
              <w:docPartGallery w:val="Page Numbers (Top of Page)"/>
              <w:docPartUnique/>
            </w:docPartObj>
          </w:sdtPr>
          <w:sdtEndPr/>
          <w:sdtContent>
            <w:p w14:paraId="4DE4ED0C" w14:textId="29F65FFD" w:rsidR="007452E8" w:rsidRPr="004A3084" w:rsidRDefault="007452E8" w:rsidP="007452E8">
              <w:pPr>
                <w:pStyle w:val="Footer"/>
                <w:jc w:val="right"/>
              </w:pPr>
              <w:r w:rsidRPr="004A3084">
                <w:t xml:space="preserve">Page </w:t>
              </w:r>
              <w:r>
                <w:fldChar w:fldCharType="begin"/>
              </w:r>
              <w:r>
                <w:instrText xml:space="preserve"> PAGE </w:instrText>
              </w:r>
              <w:r>
                <w:fldChar w:fldCharType="separate"/>
              </w:r>
              <w:r w:rsidR="006D6B44">
                <w:rPr>
                  <w:noProof/>
                </w:rPr>
                <w:t>13</w:t>
              </w:r>
              <w:r>
                <w:rPr>
                  <w:noProof/>
                </w:rPr>
                <w:fldChar w:fldCharType="end"/>
              </w:r>
              <w:r w:rsidRPr="004A3084">
                <w:t xml:space="preserve"> of </w:t>
              </w:r>
              <w:fldSimple w:instr=" NUMPAGES  ">
                <w:r w:rsidR="006D6B44">
                  <w:rPr>
                    <w:noProof/>
                  </w:rPr>
                  <w:t>17</w:t>
                </w:r>
              </w:fldSimple>
            </w:p>
          </w:sdtContent>
        </w:sdt>
      </w:tc>
    </w:tr>
  </w:tbl>
  <w:p w14:paraId="1A4EDE60" w14:textId="77777777" w:rsidR="007452E8" w:rsidRPr="00826007" w:rsidRDefault="007452E8" w:rsidP="007452E8">
    <w:pPr>
      <w:pStyle w:val="Footer"/>
      <w:tabs>
        <w:tab w:val="left" w:pos="7620"/>
        <w:tab w:val="right" w:pos="8504"/>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F70A" w14:textId="77E05F7B" w:rsidR="007452E8" w:rsidRPr="008E3C43" w:rsidRDefault="00AA6080" w:rsidP="007452E8">
    <w:pPr>
      <w:pStyle w:val="Footer"/>
    </w:pPr>
    <w:r>
      <w:rPr>
        <w:noProof/>
      </w:rPr>
      <mc:AlternateContent>
        <mc:Choice Requires="wps">
          <w:drawing>
            <wp:anchor distT="0" distB="0" distL="0" distR="0" simplePos="0" relativeHeight="251658248" behindDoc="0" locked="0" layoutInCell="1" allowOverlap="1" wp14:anchorId="75BBE838" wp14:editId="4624DE86">
              <wp:simplePos x="635" y="635"/>
              <wp:positionH relativeFrom="page">
                <wp:align>center</wp:align>
              </wp:positionH>
              <wp:positionV relativeFrom="page">
                <wp:align>bottom</wp:align>
              </wp:positionV>
              <wp:extent cx="622300" cy="391160"/>
              <wp:effectExtent l="0" t="0" r="6350" b="0"/>
              <wp:wrapNone/>
              <wp:docPr id="67730484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D069688" w14:textId="70C9A1B7"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BBE838" id="_x0000_t202" coordsize="21600,21600" o:spt="202" path="m,l,21600r21600,l21600,xe">
              <v:stroke joinstyle="miter"/>
              <v:path gradientshapeok="t" o:connecttype="rect"/>
            </v:shapetype>
            <v:shape id="Text Box 10" o:spid="_x0000_s1033" type="#_x0000_t202" alt="OFFICIAL" style="position:absolute;margin-left:0;margin-top:0;width:49pt;height:30.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o+YDgIAABwEAAAOAAAAZHJzL2Uyb0RvYy54bWysU01v2zAMvQ/YfxB0X2ynWLY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ROv4X6SEshnPj2Tq5aar0WPjwLJIJpWhJt&#10;eKJDd9BXHM4WZw3gj7/5Yz7hTlHOehJMxS0pmrPumyU+orZGA0djm4ziNv8Y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BjTo+YDgIAABwE&#10;AAAOAAAAAAAAAAAAAAAAAC4CAABkcnMvZTJvRG9jLnhtbFBLAQItABQABgAIAAAAIQCCUZTX2gAA&#10;AAMBAAAPAAAAAAAAAAAAAAAAAGgEAABkcnMvZG93bnJldi54bWxQSwUGAAAAAAQABADzAAAAbwUA&#10;AAAA&#10;" filled="f" stroked="f">
              <v:textbox style="mso-fit-shape-to-text:t" inset="0,0,0,15pt">
                <w:txbxContent>
                  <w:p w14:paraId="2D069688" w14:textId="70C9A1B7"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F74FF" w14:textId="77777777" w:rsidR="00A00483" w:rsidRDefault="00A00483" w:rsidP="00F02AEC">
      <w:pPr>
        <w:spacing w:after="0" w:line="240" w:lineRule="auto"/>
      </w:pPr>
      <w:r>
        <w:separator/>
      </w:r>
    </w:p>
  </w:footnote>
  <w:footnote w:type="continuationSeparator" w:id="0">
    <w:p w14:paraId="49710FA3" w14:textId="77777777" w:rsidR="00A00483" w:rsidRDefault="00A00483" w:rsidP="00F02AEC">
      <w:pPr>
        <w:spacing w:after="0" w:line="240" w:lineRule="auto"/>
      </w:pPr>
      <w:r>
        <w:continuationSeparator/>
      </w:r>
    </w:p>
  </w:footnote>
  <w:footnote w:id="1">
    <w:p w14:paraId="59DB04FA" w14:textId="77777777" w:rsidR="00CD5355" w:rsidRDefault="00CD5355" w:rsidP="00D57B24">
      <w:pPr>
        <w:pStyle w:val="FootnoteText"/>
        <w:spacing w:after="60" w:line="240" w:lineRule="auto"/>
      </w:pPr>
      <w:r>
        <w:rPr>
          <w:rStyle w:val="FootnoteReference"/>
        </w:rPr>
        <w:footnoteRef/>
      </w:r>
      <w:r>
        <w:t xml:space="preserve"> Satterthwaite, A. B. and Witte, O. N. (2000) The role of Bruton’s tyrosine kinase in B-cell development and function: a genetic perspective. </w:t>
      </w:r>
      <w:r w:rsidRPr="00FD6B13">
        <w:rPr>
          <w:i/>
          <w:iCs/>
        </w:rPr>
        <w:t>Immunol</w:t>
      </w:r>
      <w:r>
        <w:rPr>
          <w:i/>
          <w:iCs/>
        </w:rPr>
        <w:t>.</w:t>
      </w:r>
      <w:r w:rsidRPr="00FD6B13">
        <w:rPr>
          <w:i/>
          <w:iCs/>
        </w:rPr>
        <w:t xml:space="preserve"> Rev</w:t>
      </w:r>
      <w:r>
        <w:rPr>
          <w:i/>
          <w:iCs/>
        </w:rPr>
        <w:t>.</w:t>
      </w:r>
      <w:r>
        <w:t xml:space="preserve"> </w:t>
      </w:r>
      <w:r w:rsidRPr="00FD6B13">
        <w:rPr>
          <w:b/>
          <w:bCs/>
        </w:rPr>
        <w:t>175</w:t>
      </w:r>
      <w:r>
        <w:t>: 120-127.</w:t>
      </w:r>
    </w:p>
  </w:footnote>
  <w:footnote w:id="2">
    <w:p w14:paraId="30CF1F6F" w14:textId="661F2325" w:rsidR="001E0C65" w:rsidRDefault="001E0C65" w:rsidP="001E0C65">
      <w:pPr>
        <w:pStyle w:val="FootnoteText"/>
      </w:pPr>
      <w:r>
        <w:rPr>
          <w:rStyle w:val="FootnoteReference"/>
        </w:rPr>
        <w:footnoteRef/>
      </w:r>
      <w:r>
        <w:t xml:space="preserve"> </w:t>
      </w:r>
      <w:proofErr w:type="spellStart"/>
      <w:r>
        <w:t>Elmeliegy</w:t>
      </w:r>
      <w:proofErr w:type="spellEnd"/>
      <w:r>
        <w:rPr>
          <w:spacing w:val="-4"/>
        </w:rPr>
        <w:t xml:space="preserve"> </w:t>
      </w:r>
      <w:r>
        <w:t>M,</w:t>
      </w:r>
      <w:r>
        <w:rPr>
          <w:spacing w:val="-4"/>
        </w:rPr>
        <w:t xml:space="preserve"> </w:t>
      </w:r>
      <w:r>
        <w:t>et</w:t>
      </w:r>
      <w:r>
        <w:rPr>
          <w:spacing w:val="-1"/>
        </w:rPr>
        <w:t xml:space="preserve"> </w:t>
      </w:r>
      <w:r>
        <w:t>al.</w:t>
      </w:r>
      <w:r>
        <w:rPr>
          <w:spacing w:val="-1"/>
        </w:rPr>
        <w:t xml:space="preserve"> </w:t>
      </w:r>
      <w:r>
        <w:t>Discordance</w:t>
      </w:r>
      <w:r>
        <w:rPr>
          <w:spacing w:val="-1"/>
        </w:rPr>
        <w:t xml:space="preserve"> </w:t>
      </w:r>
      <w:r>
        <w:t>Between</w:t>
      </w:r>
      <w:r>
        <w:rPr>
          <w:spacing w:val="-5"/>
        </w:rPr>
        <w:t xml:space="preserve"> </w:t>
      </w:r>
      <w:r>
        <w:t>Child-Pugh</w:t>
      </w:r>
      <w:r>
        <w:rPr>
          <w:spacing w:val="-4"/>
        </w:rPr>
        <w:t xml:space="preserve"> </w:t>
      </w:r>
      <w:r>
        <w:t>and</w:t>
      </w:r>
      <w:r>
        <w:rPr>
          <w:spacing w:val="-2"/>
        </w:rPr>
        <w:t xml:space="preserve"> </w:t>
      </w:r>
      <w:r>
        <w:t>National</w:t>
      </w:r>
      <w:r>
        <w:rPr>
          <w:spacing w:val="-2"/>
        </w:rPr>
        <w:t xml:space="preserve"> </w:t>
      </w:r>
      <w:r>
        <w:t>Cancer</w:t>
      </w:r>
      <w:r>
        <w:rPr>
          <w:spacing w:val="-4"/>
        </w:rPr>
        <w:t xml:space="preserve"> </w:t>
      </w:r>
      <w:r>
        <w:t>Institute</w:t>
      </w:r>
      <w:r>
        <w:rPr>
          <w:spacing w:val="-3"/>
        </w:rPr>
        <w:t xml:space="preserve"> </w:t>
      </w:r>
      <w:r>
        <w:t>Classifications</w:t>
      </w:r>
      <w:r>
        <w:rPr>
          <w:spacing w:val="-1"/>
        </w:rPr>
        <w:t xml:space="preserve"> </w:t>
      </w:r>
      <w:r>
        <w:t>for</w:t>
      </w:r>
      <w:r>
        <w:rPr>
          <w:spacing w:val="-1"/>
        </w:rPr>
        <w:t xml:space="preserve"> </w:t>
      </w:r>
      <w:r>
        <w:t>Hepatic</w:t>
      </w:r>
      <w:r>
        <w:rPr>
          <w:spacing w:val="-1"/>
        </w:rPr>
        <w:t xml:space="preserve"> </w:t>
      </w:r>
      <w:r>
        <w:t>Dysfunction:</w:t>
      </w:r>
      <w:r>
        <w:rPr>
          <w:spacing w:val="40"/>
        </w:rPr>
        <w:t xml:space="preserve"> </w:t>
      </w:r>
      <w:r>
        <w:t xml:space="preserve">Implications on Dosing Recommendations for Oncology Compounds. J Clin Pharmacol. 2021 Jan;61(1):105-115. </w:t>
      </w:r>
      <w:proofErr w:type="spellStart"/>
      <w:r>
        <w:t>doi</w:t>
      </w:r>
      <w:proofErr w:type="spellEnd"/>
      <w:r>
        <w:t>:</w:t>
      </w:r>
      <w:r>
        <w:rPr>
          <w:spacing w:val="40"/>
        </w:rPr>
        <w:t xml:space="preserve"> </w:t>
      </w:r>
      <w:r>
        <w:t xml:space="preserve">10.1002/jcph.1702. </w:t>
      </w:r>
      <w:proofErr w:type="spellStart"/>
      <w:r>
        <w:t>Epub</w:t>
      </w:r>
      <w:proofErr w:type="spellEnd"/>
      <w:r>
        <w:t xml:space="preserve"> 2020 Jul 20. PMID: 32691438; PMCID: PMC7754409.</w:t>
      </w:r>
    </w:p>
  </w:footnote>
  <w:footnote w:id="3">
    <w:p w14:paraId="5D4A35C8" w14:textId="403504B3" w:rsidR="001E0C65" w:rsidRDefault="001E0C65" w:rsidP="001E0C65">
      <w:pPr>
        <w:pStyle w:val="FootnoteText"/>
      </w:pPr>
      <w:r>
        <w:rPr>
          <w:rStyle w:val="FootnoteReference"/>
        </w:rPr>
        <w:footnoteRef/>
      </w:r>
      <w:r>
        <w:t xml:space="preserve"> FDA.</w:t>
      </w:r>
      <w:r>
        <w:rPr>
          <w:spacing w:val="-5"/>
        </w:rPr>
        <w:t xml:space="preserve"> </w:t>
      </w:r>
      <w:r>
        <w:t>Guidance</w:t>
      </w:r>
      <w:r>
        <w:rPr>
          <w:spacing w:val="-2"/>
        </w:rPr>
        <w:t xml:space="preserve"> </w:t>
      </w:r>
      <w:r>
        <w:t>for</w:t>
      </w:r>
      <w:r>
        <w:rPr>
          <w:spacing w:val="-5"/>
        </w:rPr>
        <w:t xml:space="preserve"> </w:t>
      </w:r>
      <w:r>
        <w:t>industry:</w:t>
      </w:r>
      <w:r>
        <w:rPr>
          <w:spacing w:val="-2"/>
        </w:rPr>
        <w:t xml:space="preserve"> </w:t>
      </w:r>
      <w:r>
        <w:t>population</w:t>
      </w:r>
      <w:r>
        <w:rPr>
          <w:spacing w:val="-4"/>
        </w:rPr>
        <w:t xml:space="preserve"> </w:t>
      </w:r>
      <w:r>
        <w:t>pharmacokinetics.</w:t>
      </w:r>
      <w:r>
        <w:rPr>
          <w:spacing w:val="-2"/>
        </w:rPr>
        <w:t xml:space="preserve"> </w:t>
      </w:r>
      <w:r>
        <w:t>2022.</w:t>
      </w:r>
      <w:r>
        <w:rPr>
          <w:spacing w:val="-5"/>
        </w:rPr>
        <w:t xml:space="preserve"> </w:t>
      </w:r>
      <w:r>
        <w:t>Available</w:t>
      </w:r>
      <w:r>
        <w:rPr>
          <w:spacing w:val="-3"/>
        </w:rPr>
        <w:t xml:space="preserve"> </w:t>
      </w:r>
      <w:r>
        <w:t xml:space="preserve">from: </w:t>
      </w:r>
      <w:hyperlink r:id="rId1">
        <w:r>
          <w:rPr>
            <w:color w:val="0000FF"/>
            <w:u w:val="single" w:color="0000FF"/>
          </w:rPr>
          <w:t>https://www.fda.gov/regulatory-</w:t>
        </w:r>
      </w:hyperlink>
      <w:hyperlink r:id="rId2">
        <w:r>
          <w:rPr>
            <w:color w:val="0000FF"/>
            <w:u w:val="single" w:color="0000FF"/>
          </w:rPr>
          <w:t>information/search-fda-guidance-documents/populationpharmacokinetics</w:t>
        </w:r>
      </w:hyperlink>
      <w:r>
        <w:rPr>
          <w:color w:val="0000FF"/>
        </w:rPr>
        <w:t xml:space="preserve"> </w:t>
      </w:r>
      <w:r>
        <w:t>[accessed 03 February 2022].</w:t>
      </w:r>
    </w:p>
  </w:footnote>
  <w:footnote w:id="4">
    <w:p w14:paraId="3918B4C2" w14:textId="77777777" w:rsidR="001E0C65" w:rsidRDefault="001E0C65" w:rsidP="001E0C65">
      <w:pPr>
        <w:pStyle w:val="FootnoteText"/>
      </w:pPr>
      <w:r>
        <w:rPr>
          <w:rStyle w:val="FootnoteReference"/>
        </w:rPr>
        <w:footnoteRef/>
      </w:r>
      <w:r>
        <w:t xml:space="preserve"> EMA.</w:t>
      </w:r>
      <w:r>
        <w:rPr>
          <w:spacing w:val="-4"/>
        </w:rPr>
        <w:t xml:space="preserve"> </w:t>
      </w:r>
      <w:r>
        <w:t>Committee</w:t>
      </w:r>
      <w:r>
        <w:rPr>
          <w:spacing w:val="-3"/>
        </w:rPr>
        <w:t xml:space="preserve"> </w:t>
      </w:r>
      <w:r>
        <w:t>for</w:t>
      </w:r>
      <w:r>
        <w:rPr>
          <w:spacing w:val="-4"/>
        </w:rPr>
        <w:t xml:space="preserve"> </w:t>
      </w:r>
      <w:r>
        <w:t>Medicinal</w:t>
      </w:r>
      <w:r>
        <w:rPr>
          <w:spacing w:val="-2"/>
        </w:rPr>
        <w:t xml:space="preserve"> </w:t>
      </w:r>
      <w:r>
        <w:t>Products</w:t>
      </w:r>
      <w:r>
        <w:rPr>
          <w:spacing w:val="-1"/>
        </w:rPr>
        <w:t xml:space="preserve"> </w:t>
      </w:r>
      <w:r>
        <w:t>for</w:t>
      </w:r>
      <w:r>
        <w:rPr>
          <w:spacing w:val="-1"/>
        </w:rPr>
        <w:t xml:space="preserve"> </w:t>
      </w:r>
      <w:r>
        <w:t>Human</w:t>
      </w:r>
      <w:r>
        <w:rPr>
          <w:spacing w:val="-5"/>
        </w:rPr>
        <w:t xml:space="preserve"> </w:t>
      </w:r>
      <w:r>
        <w:t>Use</w:t>
      </w:r>
      <w:r>
        <w:rPr>
          <w:spacing w:val="-3"/>
        </w:rPr>
        <w:t xml:space="preserve"> </w:t>
      </w:r>
      <w:r>
        <w:t>(CHMP).</w:t>
      </w:r>
      <w:r>
        <w:rPr>
          <w:spacing w:val="-4"/>
        </w:rPr>
        <w:t xml:space="preserve"> </w:t>
      </w:r>
      <w:r>
        <w:t>Guideline</w:t>
      </w:r>
      <w:r>
        <w:rPr>
          <w:spacing w:val="-3"/>
        </w:rPr>
        <w:t xml:space="preserve"> </w:t>
      </w:r>
      <w:r>
        <w:t>on reporting</w:t>
      </w:r>
      <w:r>
        <w:rPr>
          <w:spacing w:val="-4"/>
        </w:rPr>
        <w:t xml:space="preserve"> </w:t>
      </w:r>
      <w:r>
        <w:t>the</w:t>
      </w:r>
      <w:r>
        <w:rPr>
          <w:spacing w:val="-3"/>
        </w:rPr>
        <w:t xml:space="preserve"> </w:t>
      </w:r>
      <w:r>
        <w:t>results</w:t>
      </w:r>
      <w:r>
        <w:rPr>
          <w:spacing w:val="-4"/>
        </w:rPr>
        <w:t xml:space="preserve"> </w:t>
      </w:r>
      <w:r>
        <w:t>of</w:t>
      </w:r>
      <w:r>
        <w:rPr>
          <w:spacing w:val="-2"/>
        </w:rPr>
        <w:t xml:space="preserve"> </w:t>
      </w:r>
      <w:r>
        <w:t>population</w:t>
      </w:r>
      <w:r>
        <w:rPr>
          <w:spacing w:val="-3"/>
        </w:rPr>
        <w:t xml:space="preserve"> </w:t>
      </w:r>
      <w:r>
        <w:t>pharmacokinetic</w:t>
      </w:r>
      <w:r>
        <w:rPr>
          <w:spacing w:val="40"/>
        </w:rPr>
        <w:t xml:space="preserve"> </w:t>
      </w:r>
      <w:r>
        <w:t xml:space="preserve">analyses, Doc. Ref. CHMP/EWP/185990/06, London, 21 June 2007: Available from: </w:t>
      </w:r>
      <w:hyperlink r:id="rId3">
        <w:r>
          <w:rPr>
            <w:color w:val="0000FF"/>
            <w:spacing w:val="-2"/>
            <w:u w:val="single" w:color="0000FF"/>
          </w:rPr>
          <w:t>http://www.ema.europa.eu/docs/en_GB/document_library/Scientific_guideline/2009/09/WC500003067.pdf</w:t>
        </w:r>
      </w:hyperlink>
    </w:p>
    <w:p w14:paraId="7ADC1F62" w14:textId="03DB465B" w:rsidR="001E0C65" w:rsidRDefault="001E0C65">
      <w:pPr>
        <w:pStyle w:val="FootnoteText"/>
      </w:pPr>
    </w:p>
  </w:footnote>
  <w:footnote w:id="5">
    <w:p w14:paraId="4EC41291" w14:textId="539BDEFB" w:rsidR="00B16FB9" w:rsidRDefault="00B16FB9" w:rsidP="006636D5">
      <w:pPr>
        <w:pStyle w:val="FootnoteText"/>
        <w:spacing w:line="240" w:lineRule="auto"/>
      </w:pPr>
      <w:r>
        <w:rPr>
          <w:rStyle w:val="FootnoteReference"/>
        </w:rPr>
        <w:footnoteRef/>
      </w:r>
      <w:r>
        <w:t xml:space="preserve"> </w:t>
      </w:r>
      <w:hyperlink r:id="rId4">
        <w:r w:rsidR="006636D5">
          <w:rPr>
            <w:sz w:val="16"/>
          </w:rPr>
          <w:t>https://www.fda.gov/drugs/resources-information-approved-drugs/fda-approves-acalabrutinib-bendamustine-and-rituximab-</w:t>
        </w:r>
      </w:hyperlink>
      <w:hyperlink r:id="rId5">
        <w:r w:rsidR="006636D5">
          <w:rPr>
            <w:spacing w:val="-2"/>
            <w:sz w:val="16"/>
          </w:rPr>
          <w:t>previously-untreated-mantle-cell-lymphoma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BF43" w14:textId="4621B79E" w:rsidR="00AA6080" w:rsidRDefault="00AA6080">
    <w:pPr>
      <w:pStyle w:val="Header"/>
    </w:pPr>
    <w:r>
      <w:rPr>
        <w:noProof/>
      </w:rPr>
      <mc:AlternateContent>
        <mc:Choice Requires="wps">
          <w:drawing>
            <wp:anchor distT="0" distB="0" distL="0" distR="0" simplePos="0" relativeHeight="251658243" behindDoc="0" locked="0" layoutInCell="1" allowOverlap="1" wp14:anchorId="168E078F" wp14:editId="3777CC4B">
              <wp:simplePos x="635" y="635"/>
              <wp:positionH relativeFrom="page">
                <wp:align>center</wp:align>
              </wp:positionH>
              <wp:positionV relativeFrom="page">
                <wp:align>top</wp:align>
              </wp:positionV>
              <wp:extent cx="622300" cy="391160"/>
              <wp:effectExtent l="0" t="0" r="6350" b="8890"/>
              <wp:wrapNone/>
              <wp:docPr id="162645292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7242D30" w14:textId="21E668B3"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8E078F"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0.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57242D30" w14:textId="21E668B3"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3517" w14:textId="37A3B326" w:rsidR="007452E8" w:rsidRPr="00CB0550" w:rsidRDefault="00AA6080" w:rsidP="00CB0550">
    <w:pPr>
      <w:pStyle w:val="Header"/>
      <w:jc w:val="left"/>
    </w:pPr>
    <w:r>
      <w:rPr>
        <w:noProof/>
      </w:rPr>
      <mc:AlternateContent>
        <mc:Choice Requires="wps">
          <w:drawing>
            <wp:anchor distT="0" distB="0" distL="0" distR="0" simplePos="0" relativeHeight="251658244" behindDoc="0" locked="0" layoutInCell="1" allowOverlap="1" wp14:anchorId="1E1C9365" wp14:editId="2AEDCC7B">
              <wp:simplePos x="635" y="635"/>
              <wp:positionH relativeFrom="page">
                <wp:align>center</wp:align>
              </wp:positionH>
              <wp:positionV relativeFrom="page">
                <wp:align>top</wp:align>
              </wp:positionV>
              <wp:extent cx="622300" cy="391160"/>
              <wp:effectExtent l="0" t="0" r="6350" b="8890"/>
              <wp:wrapNone/>
              <wp:docPr id="86998396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A4722D9" w14:textId="1610D419"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1C9365" id="_x0000_t202" coordsize="21600,21600" o:spt="202" path="m,l,21600r21600,l21600,xe">
              <v:stroke joinstyle="miter"/>
              <v:path gradientshapeok="t" o:connecttype="rect"/>
            </v:shapetype>
            <v:shape id="Text Box 3" o:spid="_x0000_s1027" type="#_x0000_t202" alt="OFFICIAL" style="position:absolute;margin-left:0;margin-top:0;width:49pt;height:30.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7A4722D9" w14:textId="1610D419"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1" w:tblpY="8999"/>
      <w:tblOverlap w:val="never"/>
      <w:tblW w:w="11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964"/>
    </w:tblGrid>
    <w:tr w:rsidR="007452E8" w:rsidRPr="002B29B2" w14:paraId="3E15C3BC" w14:textId="77777777" w:rsidTr="007452E8">
      <w:trPr>
        <w:trHeight w:hRule="exact" w:val="8845"/>
      </w:trPr>
      <w:tc>
        <w:tcPr>
          <w:tcW w:w="11964" w:type="dxa"/>
          <w:vAlign w:val="center"/>
        </w:tcPr>
        <w:p w14:paraId="6FDE4BFB" w14:textId="1A1F69EB" w:rsidR="007452E8" w:rsidRPr="002B29B2" w:rsidRDefault="00AA6080" w:rsidP="007452E8">
          <w:pPr>
            <w:ind w:left="-57"/>
            <w:rPr>
              <w:noProof/>
            </w:rPr>
          </w:pPr>
          <w:r>
            <w:rPr>
              <w:noProof/>
            </w:rPr>
            <mc:AlternateContent>
              <mc:Choice Requires="wps">
                <w:drawing>
                  <wp:anchor distT="0" distB="0" distL="0" distR="0" simplePos="0" relativeHeight="251658242" behindDoc="0" locked="0" layoutInCell="1" allowOverlap="1" wp14:anchorId="422F140B" wp14:editId="490F3E2F">
                    <wp:simplePos x="635" y="635"/>
                    <wp:positionH relativeFrom="page">
                      <wp:align>center</wp:align>
                    </wp:positionH>
                    <wp:positionV relativeFrom="page">
                      <wp:align>top</wp:align>
                    </wp:positionV>
                    <wp:extent cx="622300" cy="391160"/>
                    <wp:effectExtent l="0" t="0" r="6350" b="8890"/>
                    <wp:wrapNone/>
                    <wp:docPr id="12206007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A069E31" w14:textId="4AEFAA85"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2F140B" id="_x0000_t202" coordsize="21600,21600" o:spt="202" path="m,l,21600r21600,l21600,xe">
                    <v:stroke joinstyle="miter"/>
                    <v:path gradientshapeok="t" o:connecttype="rect"/>
                  </v:shapetype>
                  <v:shape id="Text Box 1" o:spid="_x0000_s1029" type="#_x0000_t202" alt="OFFICIAL" style="position:absolute;left:0;text-align:left;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5A069E31" w14:textId="4AEFAA85"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sdt>
            <w:sdtPr>
              <w:rPr>
                <w:noProof/>
              </w:rPr>
              <w:id w:val="1926993388"/>
              <w:showingPlcHdr/>
              <w:picture/>
            </w:sdtPr>
            <w:sdtEndPr/>
            <w:sdtContent>
              <w:r w:rsidR="007452E8" w:rsidRPr="00F71E1E">
                <w:rPr>
                  <w:noProof/>
                  <w:lang w:val="en-GB" w:eastAsia="en-GB"/>
                </w:rPr>
                <w:drawing>
                  <wp:inline distT="0" distB="0" distL="0" distR="0" wp14:anchorId="5C7F8AC9" wp14:editId="23FC1BBE">
                    <wp:extent cx="7631430" cy="5523865"/>
                    <wp:effectExtent l="0" t="0" r="762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1"/>
                            <pic:cNvPicPr>
                              <a:picLocks noChangeAspect="1" noChangeArrowheads="1"/>
                            </pic:cNvPicPr>
                          </pic:nvPicPr>
                          <pic:blipFill>
                            <a:blip r:embed="rId1" cstate="print"/>
                            <a:srcRect/>
                            <a:stretch>
                              <a:fillRect/>
                            </a:stretch>
                          </pic:blipFill>
                          <pic:spPr bwMode="auto">
                            <a:xfrm>
                              <a:off x="0" y="0"/>
                              <a:ext cx="7631430" cy="5523865"/>
                            </a:xfrm>
                            <a:prstGeom prst="rect">
                              <a:avLst/>
                            </a:prstGeom>
                            <a:noFill/>
                            <a:ln w="9525">
                              <a:noFill/>
                              <a:miter lim="800000"/>
                              <a:headEnd/>
                              <a:tailEnd/>
                            </a:ln>
                          </pic:spPr>
                        </pic:pic>
                      </a:graphicData>
                    </a:graphic>
                  </wp:inline>
                </w:drawing>
              </w:r>
            </w:sdtContent>
          </w:sdt>
        </w:p>
      </w:tc>
    </w:tr>
  </w:tbl>
  <w:p w14:paraId="6402DE55" w14:textId="38802056" w:rsidR="007452E8" w:rsidRDefault="0006693A" w:rsidP="007452E8">
    <w:pPr>
      <w:rPr>
        <w:noProof/>
      </w:rPr>
    </w:pPr>
    <w:r>
      <w:rPr>
        <w:noProof/>
      </w:rPr>
      <w:drawing>
        <wp:inline distT="0" distB="0" distL="0" distR="0" wp14:anchorId="26654E9F" wp14:editId="78E105AB">
          <wp:extent cx="3344545" cy="694055"/>
          <wp:effectExtent l="0" t="0" r="8255" b="0"/>
          <wp:docPr id="1596027861"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27861" name="Picture 2"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4545" cy="694055"/>
                  </a:xfrm>
                  <a:prstGeom prst="rect">
                    <a:avLst/>
                  </a:prstGeom>
                  <a:noFill/>
                  <a:ln>
                    <a:noFill/>
                  </a:ln>
                </pic:spPr>
              </pic:pic>
            </a:graphicData>
          </a:graphic>
        </wp:inline>
      </w:drawing>
    </w:r>
    <w:r w:rsidR="007452E8" w:rsidRPr="002B29B2">
      <w:rPr>
        <w:noProof/>
        <w:lang w:val="en-GB" w:eastAsia="en-GB"/>
      </w:rPr>
      <w:drawing>
        <wp:anchor distT="0" distB="0" distL="114300" distR="114300" simplePos="0" relativeHeight="251658241" behindDoc="0" locked="0" layoutInCell="0" allowOverlap="1" wp14:anchorId="14BBEAC1" wp14:editId="5D9F0498">
          <wp:simplePos x="0" y="0"/>
          <wp:positionH relativeFrom="page">
            <wp:align>left</wp:align>
          </wp:positionH>
          <wp:positionV relativeFrom="page">
            <wp:posOffset>3239495</wp:posOffset>
          </wp:positionV>
          <wp:extent cx="7663815" cy="4323091"/>
          <wp:effectExtent l="0" t="0" r="0" b="127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7663815" cy="43230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1632D" w14:textId="120C3F87" w:rsidR="007452E8" w:rsidRDefault="00AA6080" w:rsidP="007452E8">
    <w:pPr>
      <w:pStyle w:val="Header"/>
    </w:pPr>
    <w:r>
      <w:rPr>
        <w:noProof/>
      </w:rPr>
      <mc:AlternateContent>
        <mc:Choice Requires="wps">
          <w:drawing>
            <wp:anchor distT="0" distB="0" distL="0" distR="0" simplePos="0" relativeHeight="251658240" behindDoc="0" locked="0" layoutInCell="1" allowOverlap="1" wp14:anchorId="7AEDDC9B" wp14:editId="36FD8DAD">
              <wp:simplePos x="904875" y="361950"/>
              <wp:positionH relativeFrom="page">
                <wp:align>center</wp:align>
              </wp:positionH>
              <wp:positionV relativeFrom="page">
                <wp:align>top</wp:align>
              </wp:positionV>
              <wp:extent cx="622300" cy="391160"/>
              <wp:effectExtent l="0" t="0" r="6350" b="8890"/>
              <wp:wrapNone/>
              <wp:docPr id="196345560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D4558F2" w14:textId="487235AC"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EDDC9B" id="_x0000_t202" coordsize="21600,21600" o:spt="202" path="m,l,21600r21600,l21600,xe">
              <v:stroke joinstyle="miter"/>
              <v:path gradientshapeok="t" o:connecttype="rect"/>
            </v:shapetype>
            <v:shape id="Text Box 4" o:spid="_x0000_s1031" type="#_x0000_t202" alt="OFFICIAL" style="position:absolute;left:0;text-align:left;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n97tXDQIAABwEAAAO&#10;AAAAAAAAAAAAAAAAAC4CAABkcnMvZTJvRG9jLnhtbFBLAQItABQABgAIAAAAIQBhokho2AAAAAMB&#10;AAAPAAAAAAAAAAAAAAAAAGcEAABkcnMvZG93bnJldi54bWxQSwUGAAAAAAQABADzAAAAbAUAAAAA&#10;" filled="f" stroked="f">
              <v:textbox style="mso-fit-shape-to-text:t" inset="0,15pt,0,0">
                <w:txbxContent>
                  <w:p w14:paraId="5D4558F2" w14:textId="487235AC"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r w:rsidR="007452E8" w:rsidRPr="000F5176">
      <w:t>Therapeutic Goods Administration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477B" w14:textId="47193F49" w:rsidR="007452E8" w:rsidRPr="00FE501F" w:rsidRDefault="00AA6080" w:rsidP="007452E8">
    <w:pPr>
      <w:pStyle w:val="Headernoline"/>
    </w:pPr>
    <w:r>
      <w:rPr>
        <w:noProof/>
      </w:rPr>
      <mc:AlternateContent>
        <mc:Choice Requires="wps">
          <w:drawing>
            <wp:anchor distT="0" distB="0" distL="0" distR="0" simplePos="0" relativeHeight="251658245" behindDoc="0" locked="0" layoutInCell="1" allowOverlap="1" wp14:anchorId="2E9DBE25" wp14:editId="6C92E7E4">
              <wp:simplePos x="635" y="635"/>
              <wp:positionH relativeFrom="page">
                <wp:align>center</wp:align>
              </wp:positionH>
              <wp:positionV relativeFrom="page">
                <wp:align>top</wp:align>
              </wp:positionV>
              <wp:extent cx="622300" cy="391160"/>
              <wp:effectExtent l="0" t="0" r="6350" b="8890"/>
              <wp:wrapNone/>
              <wp:docPr id="9160222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44BABE5" w14:textId="660E2D68"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9DBE25" id="_x0000_t202" coordsize="21600,21600" o:spt="202" path="m,l,21600r21600,l21600,xe">
              <v:stroke joinstyle="miter"/>
              <v:path gradientshapeok="t" o:connecttype="rect"/>
            </v:shapetype>
            <v:shape id="Text Box 5" o:spid="_x0000_s1032" type="#_x0000_t202" alt="OFFICIAL" style="position:absolute;left:0;text-align:left;margin-left:0;margin-top:0;width:49pt;height:30.8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wR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vTIOP0W6iPtJSHE9/ByVVLrdci4LPwRDBNS6LF&#10;Jzq0gb7icLY4a8D//Js/5hPuFOWsJ8FU3JKiOTPfLfERtZWM4jb/HMHwo3s7Gnbf3QPJsKAX4WQy&#10;Yx6a0dQeuleS8zI2opCwktpVHEfzHk/Kpecg1XKZkkhGTuDabpyMpSNcEcuX4VV4dwYcialHGNUk&#10;yne4n3LjzeCWeyT0EykR2hOQZ8RJgomr83OJGn/7n7Kuj3rxCw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JA2bBEMAgAAHAQAAA4A&#10;AAAAAAAAAAAAAAAALgIAAGRycy9lMm9Eb2MueG1sUEsBAi0AFAAGAAgAAAAhAGGiSGjYAAAAAwEA&#10;AA8AAAAAAAAAAAAAAAAAZgQAAGRycy9kb3ducmV2LnhtbFBLBQYAAAAABAAEAPMAAABrBQAAAAA=&#10;" filled="f" stroked="f">
              <v:textbox style="mso-fit-shape-to-text:t" inset="0,15pt,0,0">
                <w:txbxContent>
                  <w:p w14:paraId="044BABE5" w14:textId="660E2D68" w:rsidR="00AA6080" w:rsidRPr="00AA6080" w:rsidRDefault="00AA6080" w:rsidP="00AA6080">
                    <w:pPr>
                      <w:spacing w:after="0"/>
                      <w:rPr>
                        <w:rFonts w:ascii="Aptos" w:eastAsia="Aptos" w:hAnsi="Aptos" w:cs="Aptos"/>
                        <w:noProof/>
                        <w:color w:val="FF0000"/>
                        <w:sz w:val="24"/>
                        <w:szCs w:val="24"/>
                      </w:rPr>
                    </w:pPr>
                    <w:r w:rsidRPr="00AA6080">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53F11"/>
    <w:multiLevelType w:val="multilevel"/>
    <w:tmpl w:val="9B4A173E"/>
    <w:styleLink w:val="NumberBullet"/>
    <w:lvl w:ilvl="0">
      <w:start w:val="1"/>
      <w:numFmt w:val="decimal"/>
      <w:pStyle w:val="Numberbullet0"/>
      <w:lvlText w:val="%1."/>
      <w:lvlJc w:val="left"/>
      <w:pPr>
        <w:ind w:left="360" w:hanging="360"/>
      </w:pPr>
      <w:rPr>
        <w:rFonts w:ascii="Arial" w:hAnsi="Arial" w:hint="default"/>
      </w:rPr>
    </w:lvl>
    <w:lvl w:ilvl="1">
      <w:start w:val="1"/>
      <w:numFmt w:val="lowerLetter"/>
      <w:pStyle w:val="Numberbullet2"/>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1" w15:restartNumberingAfterBreak="0">
    <w:nsid w:val="11954162"/>
    <w:multiLevelType w:val="hybridMultilevel"/>
    <w:tmpl w:val="21E0E150"/>
    <w:lvl w:ilvl="0" w:tplc="66A8C192">
      <w:start w:val="1"/>
      <w:numFmt w:val="bullet"/>
      <w:lvlText w:val=""/>
      <w:lvlJc w:val="left"/>
      <w:pPr>
        <w:ind w:left="720" w:hanging="360"/>
      </w:pPr>
      <w:rPr>
        <w:rFonts w:ascii="Symbol" w:hAnsi="Symbol"/>
      </w:rPr>
    </w:lvl>
    <w:lvl w:ilvl="1" w:tplc="816C6ABA">
      <w:start w:val="1"/>
      <w:numFmt w:val="bullet"/>
      <w:lvlText w:val=""/>
      <w:lvlJc w:val="left"/>
      <w:pPr>
        <w:ind w:left="720" w:hanging="360"/>
      </w:pPr>
      <w:rPr>
        <w:rFonts w:ascii="Symbol" w:hAnsi="Symbol"/>
      </w:rPr>
    </w:lvl>
    <w:lvl w:ilvl="2" w:tplc="FA228082">
      <w:start w:val="1"/>
      <w:numFmt w:val="bullet"/>
      <w:lvlText w:val=""/>
      <w:lvlJc w:val="left"/>
      <w:pPr>
        <w:ind w:left="720" w:hanging="360"/>
      </w:pPr>
      <w:rPr>
        <w:rFonts w:ascii="Symbol" w:hAnsi="Symbol"/>
      </w:rPr>
    </w:lvl>
    <w:lvl w:ilvl="3" w:tplc="5FFA528C">
      <w:start w:val="1"/>
      <w:numFmt w:val="bullet"/>
      <w:lvlText w:val=""/>
      <w:lvlJc w:val="left"/>
      <w:pPr>
        <w:ind w:left="720" w:hanging="360"/>
      </w:pPr>
      <w:rPr>
        <w:rFonts w:ascii="Symbol" w:hAnsi="Symbol"/>
      </w:rPr>
    </w:lvl>
    <w:lvl w:ilvl="4" w:tplc="1ADE0C1E">
      <w:start w:val="1"/>
      <w:numFmt w:val="bullet"/>
      <w:lvlText w:val=""/>
      <w:lvlJc w:val="left"/>
      <w:pPr>
        <w:ind w:left="720" w:hanging="360"/>
      </w:pPr>
      <w:rPr>
        <w:rFonts w:ascii="Symbol" w:hAnsi="Symbol"/>
      </w:rPr>
    </w:lvl>
    <w:lvl w:ilvl="5" w:tplc="1FC2A16A">
      <w:start w:val="1"/>
      <w:numFmt w:val="bullet"/>
      <w:lvlText w:val=""/>
      <w:lvlJc w:val="left"/>
      <w:pPr>
        <w:ind w:left="720" w:hanging="360"/>
      </w:pPr>
      <w:rPr>
        <w:rFonts w:ascii="Symbol" w:hAnsi="Symbol"/>
      </w:rPr>
    </w:lvl>
    <w:lvl w:ilvl="6" w:tplc="CC9273EE">
      <w:start w:val="1"/>
      <w:numFmt w:val="bullet"/>
      <w:lvlText w:val=""/>
      <w:lvlJc w:val="left"/>
      <w:pPr>
        <w:ind w:left="720" w:hanging="360"/>
      </w:pPr>
      <w:rPr>
        <w:rFonts w:ascii="Symbol" w:hAnsi="Symbol"/>
      </w:rPr>
    </w:lvl>
    <w:lvl w:ilvl="7" w:tplc="D0167D44">
      <w:start w:val="1"/>
      <w:numFmt w:val="bullet"/>
      <w:lvlText w:val=""/>
      <w:lvlJc w:val="left"/>
      <w:pPr>
        <w:ind w:left="720" w:hanging="360"/>
      </w:pPr>
      <w:rPr>
        <w:rFonts w:ascii="Symbol" w:hAnsi="Symbol"/>
      </w:rPr>
    </w:lvl>
    <w:lvl w:ilvl="8" w:tplc="19C639C8">
      <w:start w:val="1"/>
      <w:numFmt w:val="bullet"/>
      <w:lvlText w:val=""/>
      <w:lvlJc w:val="left"/>
      <w:pPr>
        <w:ind w:left="720" w:hanging="360"/>
      </w:pPr>
      <w:rPr>
        <w:rFonts w:ascii="Symbol" w:hAnsi="Symbol"/>
      </w:rPr>
    </w:lvl>
  </w:abstractNum>
  <w:abstractNum w:abstractNumId="2" w15:restartNumberingAfterBreak="0">
    <w:nsid w:val="14A2524B"/>
    <w:multiLevelType w:val="hybridMultilevel"/>
    <w:tmpl w:val="BCBC1D98"/>
    <w:lvl w:ilvl="0" w:tplc="905459B6">
      <w:numFmt w:val="bullet"/>
      <w:lvlText w:val=""/>
      <w:lvlJc w:val="left"/>
      <w:pPr>
        <w:ind w:left="825" w:hanging="360"/>
      </w:pPr>
      <w:rPr>
        <w:rFonts w:ascii="Symbol" w:eastAsia="Symbol" w:hAnsi="Symbol" w:cs="Symbol" w:hint="default"/>
        <w:b w:val="0"/>
        <w:bCs w:val="0"/>
        <w:i w:val="0"/>
        <w:iCs w:val="0"/>
        <w:spacing w:val="0"/>
        <w:w w:val="100"/>
        <w:sz w:val="21"/>
        <w:szCs w:val="21"/>
        <w:lang w:val="en-US" w:eastAsia="en-US" w:bidi="ar-SA"/>
      </w:rPr>
    </w:lvl>
    <w:lvl w:ilvl="1" w:tplc="ED1A7D98">
      <w:numFmt w:val="bullet"/>
      <w:lvlText w:val="•"/>
      <w:lvlJc w:val="left"/>
      <w:pPr>
        <w:ind w:left="1467" w:hanging="360"/>
      </w:pPr>
      <w:rPr>
        <w:rFonts w:hint="default"/>
        <w:lang w:val="en-US" w:eastAsia="en-US" w:bidi="ar-SA"/>
      </w:rPr>
    </w:lvl>
    <w:lvl w:ilvl="2" w:tplc="A12EF662">
      <w:numFmt w:val="bullet"/>
      <w:lvlText w:val="•"/>
      <w:lvlJc w:val="left"/>
      <w:pPr>
        <w:ind w:left="2115" w:hanging="360"/>
      </w:pPr>
      <w:rPr>
        <w:rFonts w:hint="default"/>
        <w:lang w:val="en-US" w:eastAsia="en-US" w:bidi="ar-SA"/>
      </w:rPr>
    </w:lvl>
    <w:lvl w:ilvl="3" w:tplc="AA3EA31E">
      <w:numFmt w:val="bullet"/>
      <w:lvlText w:val="•"/>
      <w:lvlJc w:val="left"/>
      <w:pPr>
        <w:ind w:left="2763" w:hanging="360"/>
      </w:pPr>
      <w:rPr>
        <w:rFonts w:hint="default"/>
        <w:lang w:val="en-US" w:eastAsia="en-US" w:bidi="ar-SA"/>
      </w:rPr>
    </w:lvl>
    <w:lvl w:ilvl="4" w:tplc="3904C6B0">
      <w:numFmt w:val="bullet"/>
      <w:lvlText w:val="•"/>
      <w:lvlJc w:val="left"/>
      <w:pPr>
        <w:ind w:left="3410" w:hanging="360"/>
      </w:pPr>
      <w:rPr>
        <w:rFonts w:hint="default"/>
        <w:lang w:val="en-US" w:eastAsia="en-US" w:bidi="ar-SA"/>
      </w:rPr>
    </w:lvl>
    <w:lvl w:ilvl="5" w:tplc="01B85E5A">
      <w:numFmt w:val="bullet"/>
      <w:lvlText w:val="•"/>
      <w:lvlJc w:val="left"/>
      <w:pPr>
        <w:ind w:left="4058" w:hanging="360"/>
      </w:pPr>
      <w:rPr>
        <w:rFonts w:hint="default"/>
        <w:lang w:val="en-US" w:eastAsia="en-US" w:bidi="ar-SA"/>
      </w:rPr>
    </w:lvl>
    <w:lvl w:ilvl="6" w:tplc="F61E8760">
      <w:numFmt w:val="bullet"/>
      <w:lvlText w:val="•"/>
      <w:lvlJc w:val="left"/>
      <w:pPr>
        <w:ind w:left="4706" w:hanging="360"/>
      </w:pPr>
      <w:rPr>
        <w:rFonts w:hint="default"/>
        <w:lang w:val="en-US" w:eastAsia="en-US" w:bidi="ar-SA"/>
      </w:rPr>
    </w:lvl>
    <w:lvl w:ilvl="7" w:tplc="0436DB64">
      <w:numFmt w:val="bullet"/>
      <w:lvlText w:val="•"/>
      <w:lvlJc w:val="left"/>
      <w:pPr>
        <w:ind w:left="5353" w:hanging="360"/>
      </w:pPr>
      <w:rPr>
        <w:rFonts w:hint="default"/>
        <w:lang w:val="en-US" w:eastAsia="en-US" w:bidi="ar-SA"/>
      </w:rPr>
    </w:lvl>
    <w:lvl w:ilvl="8" w:tplc="1F68357C">
      <w:numFmt w:val="bullet"/>
      <w:lvlText w:val="•"/>
      <w:lvlJc w:val="left"/>
      <w:pPr>
        <w:ind w:left="6001" w:hanging="360"/>
      </w:pPr>
      <w:rPr>
        <w:rFonts w:hint="default"/>
        <w:lang w:val="en-US" w:eastAsia="en-US" w:bidi="ar-SA"/>
      </w:rPr>
    </w:lvl>
  </w:abstractNum>
  <w:abstractNum w:abstractNumId="3" w15:restartNumberingAfterBreak="0">
    <w:nsid w:val="163F187C"/>
    <w:multiLevelType w:val="hybridMultilevel"/>
    <w:tmpl w:val="20409048"/>
    <w:lvl w:ilvl="0" w:tplc="669A989C">
      <w:start w:val="4"/>
      <w:numFmt w:val="bullet"/>
      <w:pStyle w:val="ListBullet3"/>
      <w:lvlText w:val="▪"/>
      <w:lvlJc w:val="left"/>
      <w:pPr>
        <w:ind w:left="1571" w:hanging="360"/>
      </w:pPr>
      <w:rPr>
        <w:rFonts w:ascii="Arial" w:eastAsia="Cambria"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4" w15:restartNumberingAfterBreak="0">
    <w:nsid w:val="168F13E9"/>
    <w:multiLevelType w:val="multilevel"/>
    <w:tmpl w:val="7C94C0AC"/>
    <w:styleLink w:val="ListBullets"/>
    <w:lvl w:ilvl="0">
      <w:start w:val="4"/>
      <w:numFmt w:val="bullet"/>
      <w:pStyle w:val="ListBullet"/>
      <w:lvlText w:val="•"/>
      <w:lvlJc w:val="left"/>
      <w:pPr>
        <w:ind w:left="360" w:hanging="360"/>
      </w:pPr>
      <w:rPr>
        <w:rFonts w:ascii="Cambria" w:eastAsia="Cambria" w:hAnsi="Cambria" w:hint="default"/>
      </w:rPr>
    </w:lvl>
    <w:lvl w:ilvl="1">
      <w:start w:val="1"/>
      <w:numFmt w:val="bullet"/>
      <w:pStyle w:val="ListBullet2"/>
      <w:lvlText w:val="–"/>
      <w:lvlJc w:val="left"/>
      <w:pPr>
        <w:ind w:left="720"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 w15:restartNumberingAfterBreak="0">
    <w:nsid w:val="17A53F58"/>
    <w:multiLevelType w:val="hybridMultilevel"/>
    <w:tmpl w:val="9006CE9C"/>
    <w:lvl w:ilvl="0" w:tplc="CCE608D2">
      <w:start w:val="1"/>
      <w:numFmt w:val="bullet"/>
      <w:lvlText w:val=""/>
      <w:lvlJc w:val="left"/>
      <w:pPr>
        <w:ind w:left="720" w:hanging="360"/>
      </w:pPr>
      <w:rPr>
        <w:rFonts w:ascii="Symbol" w:hAnsi="Symbol"/>
      </w:rPr>
    </w:lvl>
    <w:lvl w:ilvl="1" w:tplc="DD000D32">
      <w:start w:val="1"/>
      <w:numFmt w:val="bullet"/>
      <w:lvlText w:val=""/>
      <w:lvlJc w:val="left"/>
      <w:pPr>
        <w:ind w:left="720" w:hanging="360"/>
      </w:pPr>
      <w:rPr>
        <w:rFonts w:ascii="Symbol" w:hAnsi="Symbol"/>
      </w:rPr>
    </w:lvl>
    <w:lvl w:ilvl="2" w:tplc="B9A68454">
      <w:start w:val="1"/>
      <w:numFmt w:val="bullet"/>
      <w:lvlText w:val=""/>
      <w:lvlJc w:val="left"/>
      <w:pPr>
        <w:ind w:left="720" w:hanging="360"/>
      </w:pPr>
      <w:rPr>
        <w:rFonts w:ascii="Symbol" w:hAnsi="Symbol"/>
      </w:rPr>
    </w:lvl>
    <w:lvl w:ilvl="3" w:tplc="0F56BB88">
      <w:start w:val="1"/>
      <w:numFmt w:val="bullet"/>
      <w:lvlText w:val=""/>
      <w:lvlJc w:val="left"/>
      <w:pPr>
        <w:ind w:left="720" w:hanging="360"/>
      </w:pPr>
      <w:rPr>
        <w:rFonts w:ascii="Symbol" w:hAnsi="Symbol"/>
      </w:rPr>
    </w:lvl>
    <w:lvl w:ilvl="4" w:tplc="CD46838A">
      <w:start w:val="1"/>
      <w:numFmt w:val="bullet"/>
      <w:lvlText w:val=""/>
      <w:lvlJc w:val="left"/>
      <w:pPr>
        <w:ind w:left="720" w:hanging="360"/>
      </w:pPr>
      <w:rPr>
        <w:rFonts w:ascii="Symbol" w:hAnsi="Symbol"/>
      </w:rPr>
    </w:lvl>
    <w:lvl w:ilvl="5" w:tplc="BBAA1BCC">
      <w:start w:val="1"/>
      <w:numFmt w:val="bullet"/>
      <w:lvlText w:val=""/>
      <w:lvlJc w:val="left"/>
      <w:pPr>
        <w:ind w:left="720" w:hanging="360"/>
      </w:pPr>
      <w:rPr>
        <w:rFonts w:ascii="Symbol" w:hAnsi="Symbol"/>
      </w:rPr>
    </w:lvl>
    <w:lvl w:ilvl="6" w:tplc="BF04908C">
      <w:start w:val="1"/>
      <w:numFmt w:val="bullet"/>
      <w:lvlText w:val=""/>
      <w:lvlJc w:val="left"/>
      <w:pPr>
        <w:ind w:left="720" w:hanging="360"/>
      </w:pPr>
      <w:rPr>
        <w:rFonts w:ascii="Symbol" w:hAnsi="Symbol"/>
      </w:rPr>
    </w:lvl>
    <w:lvl w:ilvl="7" w:tplc="E4DC650E">
      <w:start w:val="1"/>
      <w:numFmt w:val="bullet"/>
      <w:lvlText w:val=""/>
      <w:lvlJc w:val="left"/>
      <w:pPr>
        <w:ind w:left="720" w:hanging="360"/>
      </w:pPr>
      <w:rPr>
        <w:rFonts w:ascii="Symbol" w:hAnsi="Symbol"/>
      </w:rPr>
    </w:lvl>
    <w:lvl w:ilvl="8" w:tplc="2CE8444E">
      <w:start w:val="1"/>
      <w:numFmt w:val="bullet"/>
      <w:lvlText w:val=""/>
      <w:lvlJc w:val="left"/>
      <w:pPr>
        <w:ind w:left="720" w:hanging="360"/>
      </w:pPr>
      <w:rPr>
        <w:rFonts w:ascii="Symbol" w:hAnsi="Symbol"/>
      </w:rPr>
    </w:lvl>
  </w:abstractNum>
  <w:abstractNum w:abstractNumId="6" w15:restartNumberingAfterBreak="0">
    <w:nsid w:val="201C0118"/>
    <w:multiLevelType w:val="hybridMultilevel"/>
    <w:tmpl w:val="49B4E04E"/>
    <w:lvl w:ilvl="0" w:tplc="8C44B270">
      <w:numFmt w:val="bullet"/>
      <w:lvlText w:val=""/>
      <w:lvlJc w:val="left"/>
      <w:pPr>
        <w:ind w:left="827" w:hanging="360"/>
      </w:pPr>
      <w:rPr>
        <w:rFonts w:ascii="Symbol" w:eastAsia="Symbol" w:hAnsi="Symbol" w:cs="Symbol" w:hint="default"/>
        <w:b w:val="0"/>
        <w:bCs w:val="0"/>
        <w:i w:val="0"/>
        <w:iCs w:val="0"/>
        <w:spacing w:val="0"/>
        <w:w w:val="100"/>
        <w:sz w:val="18"/>
        <w:szCs w:val="18"/>
        <w:lang w:val="en-US" w:eastAsia="en-US" w:bidi="ar-SA"/>
      </w:rPr>
    </w:lvl>
    <w:lvl w:ilvl="1" w:tplc="E976F634">
      <w:numFmt w:val="bullet"/>
      <w:lvlText w:val="•"/>
      <w:lvlJc w:val="left"/>
      <w:pPr>
        <w:ind w:left="1520" w:hanging="360"/>
      </w:pPr>
      <w:rPr>
        <w:rFonts w:hint="default"/>
        <w:lang w:val="en-US" w:eastAsia="en-US" w:bidi="ar-SA"/>
      </w:rPr>
    </w:lvl>
    <w:lvl w:ilvl="2" w:tplc="ACC2450C">
      <w:numFmt w:val="bullet"/>
      <w:lvlText w:val="•"/>
      <w:lvlJc w:val="left"/>
      <w:pPr>
        <w:ind w:left="2221" w:hanging="360"/>
      </w:pPr>
      <w:rPr>
        <w:rFonts w:hint="default"/>
        <w:lang w:val="en-US" w:eastAsia="en-US" w:bidi="ar-SA"/>
      </w:rPr>
    </w:lvl>
    <w:lvl w:ilvl="3" w:tplc="335CA38A">
      <w:numFmt w:val="bullet"/>
      <w:lvlText w:val="•"/>
      <w:lvlJc w:val="left"/>
      <w:pPr>
        <w:ind w:left="2921" w:hanging="360"/>
      </w:pPr>
      <w:rPr>
        <w:rFonts w:hint="default"/>
        <w:lang w:val="en-US" w:eastAsia="en-US" w:bidi="ar-SA"/>
      </w:rPr>
    </w:lvl>
    <w:lvl w:ilvl="4" w:tplc="6F5462B4">
      <w:numFmt w:val="bullet"/>
      <w:lvlText w:val="•"/>
      <w:lvlJc w:val="left"/>
      <w:pPr>
        <w:ind w:left="3622" w:hanging="360"/>
      </w:pPr>
      <w:rPr>
        <w:rFonts w:hint="default"/>
        <w:lang w:val="en-US" w:eastAsia="en-US" w:bidi="ar-SA"/>
      </w:rPr>
    </w:lvl>
    <w:lvl w:ilvl="5" w:tplc="F8AC9570">
      <w:numFmt w:val="bullet"/>
      <w:lvlText w:val="•"/>
      <w:lvlJc w:val="left"/>
      <w:pPr>
        <w:ind w:left="4322" w:hanging="360"/>
      </w:pPr>
      <w:rPr>
        <w:rFonts w:hint="default"/>
        <w:lang w:val="en-US" w:eastAsia="en-US" w:bidi="ar-SA"/>
      </w:rPr>
    </w:lvl>
    <w:lvl w:ilvl="6" w:tplc="83CA3A98">
      <w:numFmt w:val="bullet"/>
      <w:lvlText w:val="•"/>
      <w:lvlJc w:val="left"/>
      <w:pPr>
        <w:ind w:left="5023" w:hanging="360"/>
      </w:pPr>
      <w:rPr>
        <w:rFonts w:hint="default"/>
        <w:lang w:val="en-US" w:eastAsia="en-US" w:bidi="ar-SA"/>
      </w:rPr>
    </w:lvl>
    <w:lvl w:ilvl="7" w:tplc="336AD2B0">
      <w:numFmt w:val="bullet"/>
      <w:lvlText w:val="•"/>
      <w:lvlJc w:val="left"/>
      <w:pPr>
        <w:ind w:left="5723" w:hanging="360"/>
      </w:pPr>
      <w:rPr>
        <w:rFonts w:hint="default"/>
        <w:lang w:val="en-US" w:eastAsia="en-US" w:bidi="ar-SA"/>
      </w:rPr>
    </w:lvl>
    <w:lvl w:ilvl="8" w:tplc="5BF67A22">
      <w:numFmt w:val="bullet"/>
      <w:lvlText w:val="•"/>
      <w:lvlJc w:val="left"/>
      <w:pPr>
        <w:ind w:left="6424" w:hanging="360"/>
      </w:pPr>
      <w:rPr>
        <w:rFonts w:hint="default"/>
        <w:lang w:val="en-US" w:eastAsia="en-US" w:bidi="ar-SA"/>
      </w:rPr>
    </w:lvl>
  </w:abstractNum>
  <w:abstractNum w:abstractNumId="7" w15:restartNumberingAfterBreak="0">
    <w:nsid w:val="23FB1C56"/>
    <w:multiLevelType w:val="multilevel"/>
    <w:tmpl w:val="339EBC96"/>
    <w:lvl w:ilvl="0">
      <w:start w:val="1"/>
      <w:numFmt w:val="bullet"/>
      <w:pStyle w:val="ListBullet-dotick"/>
      <w:lvlText w:val=""/>
      <w:lvlJc w:val="left"/>
      <w:pPr>
        <w:ind w:left="360" w:hanging="360"/>
      </w:pPr>
      <w:rPr>
        <w:rFonts w:ascii="Wingdings" w:hAnsi="Wingdings" w:hint="default"/>
        <w:b/>
        <w:i w:val="0"/>
        <w:color w:val="00B050"/>
        <w:sz w:val="24"/>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8" w15:restartNumberingAfterBreak="0">
    <w:nsid w:val="2994514E"/>
    <w:multiLevelType w:val="hybridMultilevel"/>
    <w:tmpl w:val="DD3E29EC"/>
    <w:lvl w:ilvl="0" w:tplc="CD6A0BC2">
      <w:numFmt w:val="bullet"/>
      <w:lvlText w:val="-"/>
      <w:lvlJc w:val="left"/>
      <w:pPr>
        <w:ind w:left="743" w:hanging="360"/>
      </w:pPr>
      <w:rPr>
        <w:rFonts w:ascii="Cambria" w:eastAsia="Cambria" w:hAnsi="Cambria" w:cs="Cambria" w:hint="default"/>
        <w:b w:val="0"/>
        <w:bCs w:val="0"/>
        <w:i w:val="0"/>
        <w:iCs w:val="0"/>
        <w:spacing w:val="0"/>
        <w:w w:val="100"/>
        <w:sz w:val="22"/>
        <w:szCs w:val="22"/>
        <w:lang w:val="en-US" w:eastAsia="en-US" w:bidi="ar-SA"/>
      </w:rPr>
    </w:lvl>
    <w:lvl w:ilvl="1" w:tplc="59F8F942">
      <w:numFmt w:val="bullet"/>
      <w:lvlText w:val="•"/>
      <w:lvlJc w:val="left"/>
      <w:pPr>
        <w:ind w:left="1573" w:hanging="360"/>
      </w:pPr>
      <w:rPr>
        <w:rFonts w:hint="default"/>
        <w:lang w:val="en-US" w:eastAsia="en-US" w:bidi="ar-SA"/>
      </w:rPr>
    </w:lvl>
    <w:lvl w:ilvl="2" w:tplc="1C22C2D4">
      <w:numFmt w:val="bullet"/>
      <w:lvlText w:val="•"/>
      <w:lvlJc w:val="left"/>
      <w:pPr>
        <w:ind w:left="2406" w:hanging="360"/>
      </w:pPr>
      <w:rPr>
        <w:rFonts w:hint="default"/>
        <w:lang w:val="en-US" w:eastAsia="en-US" w:bidi="ar-SA"/>
      </w:rPr>
    </w:lvl>
    <w:lvl w:ilvl="3" w:tplc="F2E4A422">
      <w:numFmt w:val="bullet"/>
      <w:lvlText w:val="•"/>
      <w:lvlJc w:val="left"/>
      <w:pPr>
        <w:ind w:left="3239" w:hanging="360"/>
      </w:pPr>
      <w:rPr>
        <w:rFonts w:hint="default"/>
        <w:lang w:val="en-US" w:eastAsia="en-US" w:bidi="ar-SA"/>
      </w:rPr>
    </w:lvl>
    <w:lvl w:ilvl="4" w:tplc="505AE756">
      <w:numFmt w:val="bullet"/>
      <w:lvlText w:val="•"/>
      <w:lvlJc w:val="left"/>
      <w:pPr>
        <w:ind w:left="4072" w:hanging="360"/>
      </w:pPr>
      <w:rPr>
        <w:rFonts w:hint="default"/>
        <w:lang w:val="en-US" w:eastAsia="en-US" w:bidi="ar-SA"/>
      </w:rPr>
    </w:lvl>
    <w:lvl w:ilvl="5" w:tplc="74B6C50A">
      <w:numFmt w:val="bullet"/>
      <w:lvlText w:val="•"/>
      <w:lvlJc w:val="left"/>
      <w:pPr>
        <w:ind w:left="4906" w:hanging="360"/>
      </w:pPr>
      <w:rPr>
        <w:rFonts w:hint="default"/>
        <w:lang w:val="en-US" w:eastAsia="en-US" w:bidi="ar-SA"/>
      </w:rPr>
    </w:lvl>
    <w:lvl w:ilvl="6" w:tplc="83A8508C">
      <w:numFmt w:val="bullet"/>
      <w:lvlText w:val="•"/>
      <w:lvlJc w:val="left"/>
      <w:pPr>
        <w:ind w:left="5739" w:hanging="360"/>
      </w:pPr>
      <w:rPr>
        <w:rFonts w:hint="default"/>
        <w:lang w:val="en-US" w:eastAsia="en-US" w:bidi="ar-SA"/>
      </w:rPr>
    </w:lvl>
    <w:lvl w:ilvl="7" w:tplc="65F84E44">
      <w:numFmt w:val="bullet"/>
      <w:lvlText w:val="•"/>
      <w:lvlJc w:val="left"/>
      <w:pPr>
        <w:ind w:left="6572" w:hanging="360"/>
      </w:pPr>
      <w:rPr>
        <w:rFonts w:hint="default"/>
        <w:lang w:val="en-US" w:eastAsia="en-US" w:bidi="ar-SA"/>
      </w:rPr>
    </w:lvl>
    <w:lvl w:ilvl="8" w:tplc="0F36F2DC">
      <w:numFmt w:val="bullet"/>
      <w:lvlText w:val="•"/>
      <w:lvlJc w:val="left"/>
      <w:pPr>
        <w:ind w:left="7405" w:hanging="360"/>
      </w:pPr>
      <w:rPr>
        <w:rFonts w:hint="default"/>
        <w:lang w:val="en-US" w:eastAsia="en-US" w:bidi="ar-SA"/>
      </w:rPr>
    </w:lvl>
  </w:abstractNum>
  <w:abstractNum w:abstractNumId="9" w15:restartNumberingAfterBreak="0">
    <w:nsid w:val="354F52D8"/>
    <w:multiLevelType w:val="hybridMultilevel"/>
    <w:tmpl w:val="C4F22648"/>
    <w:lvl w:ilvl="0" w:tplc="EAAC8E8E">
      <w:numFmt w:val="bullet"/>
      <w:lvlText w:val=""/>
      <w:lvlJc w:val="left"/>
      <w:pPr>
        <w:ind w:left="467" w:hanging="360"/>
      </w:pPr>
      <w:rPr>
        <w:rFonts w:ascii="Symbol" w:eastAsia="Symbol" w:hAnsi="Symbol" w:cs="Symbol" w:hint="default"/>
        <w:b w:val="0"/>
        <w:bCs w:val="0"/>
        <w:i w:val="0"/>
        <w:iCs w:val="0"/>
        <w:spacing w:val="0"/>
        <w:w w:val="100"/>
        <w:sz w:val="18"/>
        <w:szCs w:val="18"/>
        <w:lang w:val="en-US" w:eastAsia="en-US" w:bidi="ar-SA"/>
      </w:rPr>
    </w:lvl>
    <w:lvl w:ilvl="1" w:tplc="5AF85E64">
      <w:numFmt w:val="bullet"/>
      <w:lvlText w:val="•"/>
      <w:lvlJc w:val="left"/>
      <w:pPr>
        <w:ind w:left="1196" w:hanging="360"/>
      </w:pPr>
      <w:rPr>
        <w:rFonts w:hint="default"/>
        <w:lang w:val="en-US" w:eastAsia="en-US" w:bidi="ar-SA"/>
      </w:rPr>
    </w:lvl>
    <w:lvl w:ilvl="2" w:tplc="78749A80">
      <w:numFmt w:val="bullet"/>
      <w:lvlText w:val="•"/>
      <w:lvlJc w:val="left"/>
      <w:pPr>
        <w:ind w:left="1933" w:hanging="360"/>
      </w:pPr>
      <w:rPr>
        <w:rFonts w:hint="default"/>
        <w:lang w:val="en-US" w:eastAsia="en-US" w:bidi="ar-SA"/>
      </w:rPr>
    </w:lvl>
    <w:lvl w:ilvl="3" w:tplc="85FCA39A">
      <w:numFmt w:val="bullet"/>
      <w:lvlText w:val="•"/>
      <w:lvlJc w:val="left"/>
      <w:pPr>
        <w:ind w:left="2669" w:hanging="360"/>
      </w:pPr>
      <w:rPr>
        <w:rFonts w:hint="default"/>
        <w:lang w:val="en-US" w:eastAsia="en-US" w:bidi="ar-SA"/>
      </w:rPr>
    </w:lvl>
    <w:lvl w:ilvl="4" w:tplc="F04AF418">
      <w:numFmt w:val="bullet"/>
      <w:lvlText w:val="•"/>
      <w:lvlJc w:val="left"/>
      <w:pPr>
        <w:ind w:left="3406" w:hanging="360"/>
      </w:pPr>
      <w:rPr>
        <w:rFonts w:hint="default"/>
        <w:lang w:val="en-US" w:eastAsia="en-US" w:bidi="ar-SA"/>
      </w:rPr>
    </w:lvl>
    <w:lvl w:ilvl="5" w:tplc="D1A41CBA">
      <w:numFmt w:val="bullet"/>
      <w:lvlText w:val="•"/>
      <w:lvlJc w:val="left"/>
      <w:pPr>
        <w:ind w:left="4142" w:hanging="360"/>
      </w:pPr>
      <w:rPr>
        <w:rFonts w:hint="default"/>
        <w:lang w:val="en-US" w:eastAsia="en-US" w:bidi="ar-SA"/>
      </w:rPr>
    </w:lvl>
    <w:lvl w:ilvl="6" w:tplc="614E6C58">
      <w:numFmt w:val="bullet"/>
      <w:lvlText w:val="•"/>
      <w:lvlJc w:val="left"/>
      <w:pPr>
        <w:ind w:left="4879" w:hanging="360"/>
      </w:pPr>
      <w:rPr>
        <w:rFonts w:hint="default"/>
        <w:lang w:val="en-US" w:eastAsia="en-US" w:bidi="ar-SA"/>
      </w:rPr>
    </w:lvl>
    <w:lvl w:ilvl="7" w:tplc="F20EB206">
      <w:numFmt w:val="bullet"/>
      <w:lvlText w:val="•"/>
      <w:lvlJc w:val="left"/>
      <w:pPr>
        <w:ind w:left="5615" w:hanging="360"/>
      </w:pPr>
      <w:rPr>
        <w:rFonts w:hint="default"/>
        <w:lang w:val="en-US" w:eastAsia="en-US" w:bidi="ar-SA"/>
      </w:rPr>
    </w:lvl>
    <w:lvl w:ilvl="8" w:tplc="3B9E792A">
      <w:numFmt w:val="bullet"/>
      <w:lvlText w:val="•"/>
      <w:lvlJc w:val="left"/>
      <w:pPr>
        <w:ind w:left="6352" w:hanging="360"/>
      </w:pPr>
      <w:rPr>
        <w:rFonts w:hint="default"/>
        <w:lang w:val="en-US" w:eastAsia="en-US" w:bidi="ar-SA"/>
      </w:rPr>
    </w:lvl>
  </w:abstractNum>
  <w:abstractNum w:abstractNumId="10" w15:restartNumberingAfterBreak="0">
    <w:nsid w:val="3C111C30"/>
    <w:multiLevelType w:val="hybridMultilevel"/>
    <w:tmpl w:val="1FE4F238"/>
    <w:lvl w:ilvl="0" w:tplc="DABAB8A8">
      <w:numFmt w:val="bullet"/>
      <w:lvlText w:val="-"/>
      <w:lvlJc w:val="left"/>
      <w:pPr>
        <w:ind w:left="743" w:hanging="360"/>
      </w:pPr>
      <w:rPr>
        <w:rFonts w:ascii="Century Gothic" w:eastAsia="Century Gothic" w:hAnsi="Century Gothic" w:cs="Century Gothic" w:hint="default"/>
        <w:b w:val="0"/>
        <w:bCs w:val="0"/>
        <w:i w:val="0"/>
        <w:iCs w:val="0"/>
        <w:spacing w:val="0"/>
        <w:w w:val="102"/>
        <w:sz w:val="22"/>
        <w:szCs w:val="22"/>
        <w:lang w:val="en-US" w:eastAsia="en-US" w:bidi="ar-SA"/>
      </w:rPr>
    </w:lvl>
    <w:lvl w:ilvl="1" w:tplc="78D8967C">
      <w:numFmt w:val="bullet"/>
      <w:lvlText w:val="•"/>
      <w:lvlJc w:val="left"/>
      <w:pPr>
        <w:ind w:left="1573" w:hanging="360"/>
      </w:pPr>
      <w:rPr>
        <w:rFonts w:hint="default"/>
        <w:lang w:val="en-US" w:eastAsia="en-US" w:bidi="ar-SA"/>
      </w:rPr>
    </w:lvl>
    <w:lvl w:ilvl="2" w:tplc="76A885D6">
      <w:numFmt w:val="bullet"/>
      <w:lvlText w:val="•"/>
      <w:lvlJc w:val="left"/>
      <w:pPr>
        <w:ind w:left="2406" w:hanging="360"/>
      </w:pPr>
      <w:rPr>
        <w:rFonts w:hint="default"/>
        <w:lang w:val="en-US" w:eastAsia="en-US" w:bidi="ar-SA"/>
      </w:rPr>
    </w:lvl>
    <w:lvl w:ilvl="3" w:tplc="DD78CA92">
      <w:numFmt w:val="bullet"/>
      <w:lvlText w:val="•"/>
      <w:lvlJc w:val="left"/>
      <w:pPr>
        <w:ind w:left="3239" w:hanging="360"/>
      </w:pPr>
      <w:rPr>
        <w:rFonts w:hint="default"/>
        <w:lang w:val="en-US" w:eastAsia="en-US" w:bidi="ar-SA"/>
      </w:rPr>
    </w:lvl>
    <w:lvl w:ilvl="4" w:tplc="D3224CBE">
      <w:numFmt w:val="bullet"/>
      <w:lvlText w:val="•"/>
      <w:lvlJc w:val="left"/>
      <w:pPr>
        <w:ind w:left="4072" w:hanging="360"/>
      </w:pPr>
      <w:rPr>
        <w:rFonts w:hint="default"/>
        <w:lang w:val="en-US" w:eastAsia="en-US" w:bidi="ar-SA"/>
      </w:rPr>
    </w:lvl>
    <w:lvl w:ilvl="5" w:tplc="90DE20EC">
      <w:numFmt w:val="bullet"/>
      <w:lvlText w:val="•"/>
      <w:lvlJc w:val="left"/>
      <w:pPr>
        <w:ind w:left="4906" w:hanging="360"/>
      </w:pPr>
      <w:rPr>
        <w:rFonts w:hint="default"/>
        <w:lang w:val="en-US" w:eastAsia="en-US" w:bidi="ar-SA"/>
      </w:rPr>
    </w:lvl>
    <w:lvl w:ilvl="6" w:tplc="577209B0">
      <w:numFmt w:val="bullet"/>
      <w:lvlText w:val="•"/>
      <w:lvlJc w:val="left"/>
      <w:pPr>
        <w:ind w:left="5739" w:hanging="360"/>
      </w:pPr>
      <w:rPr>
        <w:rFonts w:hint="default"/>
        <w:lang w:val="en-US" w:eastAsia="en-US" w:bidi="ar-SA"/>
      </w:rPr>
    </w:lvl>
    <w:lvl w:ilvl="7" w:tplc="ED0EFA10">
      <w:numFmt w:val="bullet"/>
      <w:lvlText w:val="•"/>
      <w:lvlJc w:val="left"/>
      <w:pPr>
        <w:ind w:left="6572" w:hanging="360"/>
      </w:pPr>
      <w:rPr>
        <w:rFonts w:hint="default"/>
        <w:lang w:val="en-US" w:eastAsia="en-US" w:bidi="ar-SA"/>
      </w:rPr>
    </w:lvl>
    <w:lvl w:ilvl="8" w:tplc="DC147F58">
      <w:numFmt w:val="bullet"/>
      <w:lvlText w:val="•"/>
      <w:lvlJc w:val="left"/>
      <w:pPr>
        <w:ind w:left="7405" w:hanging="360"/>
      </w:pPr>
      <w:rPr>
        <w:rFonts w:hint="default"/>
        <w:lang w:val="en-US" w:eastAsia="en-US" w:bidi="ar-SA"/>
      </w:rPr>
    </w:lvl>
  </w:abstractNum>
  <w:abstractNum w:abstractNumId="11" w15:restartNumberingAfterBreak="0">
    <w:nsid w:val="3C344AC6"/>
    <w:multiLevelType w:val="hybridMultilevel"/>
    <w:tmpl w:val="A260D4E8"/>
    <w:lvl w:ilvl="0" w:tplc="70B097C0">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35C4F658">
      <w:numFmt w:val="bullet"/>
      <w:lvlText w:val="•"/>
      <w:lvlJc w:val="left"/>
      <w:pPr>
        <w:ind w:left="1573" w:hanging="360"/>
      </w:pPr>
      <w:rPr>
        <w:rFonts w:hint="default"/>
        <w:lang w:val="en-US" w:eastAsia="en-US" w:bidi="ar-SA"/>
      </w:rPr>
    </w:lvl>
    <w:lvl w:ilvl="2" w:tplc="12B4D91A">
      <w:numFmt w:val="bullet"/>
      <w:lvlText w:val="•"/>
      <w:lvlJc w:val="left"/>
      <w:pPr>
        <w:ind w:left="2406" w:hanging="360"/>
      </w:pPr>
      <w:rPr>
        <w:rFonts w:hint="default"/>
        <w:lang w:val="en-US" w:eastAsia="en-US" w:bidi="ar-SA"/>
      </w:rPr>
    </w:lvl>
    <w:lvl w:ilvl="3" w:tplc="7780D54A">
      <w:numFmt w:val="bullet"/>
      <w:lvlText w:val="•"/>
      <w:lvlJc w:val="left"/>
      <w:pPr>
        <w:ind w:left="3239" w:hanging="360"/>
      </w:pPr>
      <w:rPr>
        <w:rFonts w:hint="default"/>
        <w:lang w:val="en-US" w:eastAsia="en-US" w:bidi="ar-SA"/>
      </w:rPr>
    </w:lvl>
    <w:lvl w:ilvl="4" w:tplc="2F729134">
      <w:numFmt w:val="bullet"/>
      <w:lvlText w:val="•"/>
      <w:lvlJc w:val="left"/>
      <w:pPr>
        <w:ind w:left="4072" w:hanging="360"/>
      </w:pPr>
      <w:rPr>
        <w:rFonts w:hint="default"/>
        <w:lang w:val="en-US" w:eastAsia="en-US" w:bidi="ar-SA"/>
      </w:rPr>
    </w:lvl>
    <w:lvl w:ilvl="5" w:tplc="DE420E48">
      <w:numFmt w:val="bullet"/>
      <w:lvlText w:val="•"/>
      <w:lvlJc w:val="left"/>
      <w:pPr>
        <w:ind w:left="4906" w:hanging="360"/>
      </w:pPr>
      <w:rPr>
        <w:rFonts w:hint="default"/>
        <w:lang w:val="en-US" w:eastAsia="en-US" w:bidi="ar-SA"/>
      </w:rPr>
    </w:lvl>
    <w:lvl w:ilvl="6" w:tplc="653C3B14">
      <w:numFmt w:val="bullet"/>
      <w:lvlText w:val="•"/>
      <w:lvlJc w:val="left"/>
      <w:pPr>
        <w:ind w:left="5739" w:hanging="360"/>
      </w:pPr>
      <w:rPr>
        <w:rFonts w:hint="default"/>
        <w:lang w:val="en-US" w:eastAsia="en-US" w:bidi="ar-SA"/>
      </w:rPr>
    </w:lvl>
    <w:lvl w:ilvl="7" w:tplc="D16E26D4">
      <w:numFmt w:val="bullet"/>
      <w:lvlText w:val="•"/>
      <w:lvlJc w:val="left"/>
      <w:pPr>
        <w:ind w:left="6572" w:hanging="360"/>
      </w:pPr>
      <w:rPr>
        <w:rFonts w:hint="default"/>
        <w:lang w:val="en-US" w:eastAsia="en-US" w:bidi="ar-SA"/>
      </w:rPr>
    </w:lvl>
    <w:lvl w:ilvl="8" w:tplc="04045BD0">
      <w:numFmt w:val="bullet"/>
      <w:lvlText w:val="•"/>
      <w:lvlJc w:val="left"/>
      <w:pPr>
        <w:ind w:left="7405" w:hanging="360"/>
      </w:pPr>
      <w:rPr>
        <w:rFonts w:hint="default"/>
        <w:lang w:val="en-US" w:eastAsia="en-US" w:bidi="ar-SA"/>
      </w:rPr>
    </w:lvl>
  </w:abstractNum>
  <w:abstractNum w:abstractNumId="12" w15:restartNumberingAfterBreak="0">
    <w:nsid w:val="46836578"/>
    <w:multiLevelType w:val="hybridMultilevel"/>
    <w:tmpl w:val="F350D9EC"/>
    <w:lvl w:ilvl="0" w:tplc="B8AAF4A2">
      <w:start w:val="1"/>
      <w:numFmt w:val="bullet"/>
      <w:lvlText w:val=""/>
      <w:lvlJc w:val="left"/>
      <w:pPr>
        <w:ind w:left="720" w:hanging="360"/>
      </w:pPr>
      <w:rPr>
        <w:rFonts w:ascii="Symbol" w:hAnsi="Symbol"/>
      </w:rPr>
    </w:lvl>
    <w:lvl w:ilvl="1" w:tplc="B63ED5FC">
      <w:start w:val="1"/>
      <w:numFmt w:val="bullet"/>
      <w:lvlText w:val=""/>
      <w:lvlJc w:val="left"/>
      <w:pPr>
        <w:ind w:left="720" w:hanging="360"/>
      </w:pPr>
      <w:rPr>
        <w:rFonts w:ascii="Symbol" w:hAnsi="Symbol"/>
      </w:rPr>
    </w:lvl>
    <w:lvl w:ilvl="2" w:tplc="C9C41D84">
      <w:start w:val="1"/>
      <w:numFmt w:val="bullet"/>
      <w:lvlText w:val=""/>
      <w:lvlJc w:val="left"/>
      <w:pPr>
        <w:ind w:left="720" w:hanging="360"/>
      </w:pPr>
      <w:rPr>
        <w:rFonts w:ascii="Symbol" w:hAnsi="Symbol"/>
      </w:rPr>
    </w:lvl>
    <w:lvl w:ilvl="3" w:tplc="A9FCBD70">
      <w:start w:val="1"/>
      <w:numFmt w:val="bullet"/>
      <w:lvlText w:val=""/>
      <w:lvlJc w:val="left"/>
      <w:pPr>
        <w:ind w:left="720" w:hanging="360"/>
      </w:pPr>
      <w:rPr>
        <w:rFonts w:ascii="Symbol" w:hAnsi="Symbol"/>
      </w:rPr>
    </w:lvl>
    <w:lvl w:ilvl="4" w:tplc="28B4DAE8">
      <w:start w:val="1"/>
      <w:numFmt w:val="bullet"/>
      <w:lvlText w:val=""/>
      <w:lvlJc w:val="left"/>
      <w:pPr>
        <w:ind w:left="720" w:hanging="360"/>
      </w:pPr>
      <w:rPr>
        <w:rFonts w:ascii="Symbol" w:hAnsi="Symbol"/>
      </w:rPr>
    </w:lvl>
    <w:lvl w:ilvl="5" w:tplc="7C5A0216">
      <w:start w:val="1"/>
      <w:numFmt w:val="bullet"/>
      <w:lvlText w:val=""/>
      <w:lvlJc w:val="left"/>
      <w:pPr>
        <w:ind w:left="720" w:hanging="360"/>
      </w:pPr>
      <w:rPr>
        <w:rFonts w:ascii="Symbol" w:hAnsi="Symbol"/>
      </w:rPr>
    </w:lvl>
    <w:lvl w:ilvl="6" w:tplc="5D96E20E">
      <w:start w:val="1"/>
      <w:numFmt w:val="bullet"/>
      <w:lvlText w:val=""/>
      <w:lvlJc w:val="left"/>
      <w:pPr>
        <w:ind w:left="720" w:hanging="360"/>
      </w:pPr>
      <w:rPr>
        <w:rFonts w:ascii="Symbol" w:hAnsi="Symbol"/>
      </w:rPr>
    </w:lvl>
    <w:lvl w:ilvl="7" w:tplc="B96E25EA">
      <w:start w:val="1"/>
      <w:numFmt w:val="bullet"/>
      <w:lvlText w:val=""/>
      <w:lvlJc w:val="left"/>
      <w:pPr>
        <w:ind w:left="720" w:hanging="360"/>
      </w:pPr>
      <w:rPr>
        <w:rFonts w:ascii="Symbol" w:hAnsi="Symbol"/>
      </w:rPr>
    </w:lvl>
    <w:lvl w:ilvl="8" w:tplc="ECF04C6A">
      <w:start w:val="1"/>
      <w:numFmt w:val="bullet"/>
      <w:lvlText w:val=""/>
      <w:lvlJc w:val="left"/>
      <w:pPr>
        <w:ind w:left="720" w:hanging="360"/>
      </w:pPr>
      <w:rPr>
        <w:rFonts w:ascii="Symbol" w:hAnsi="Symbol"/>
      </w:rPr>
    </w:lvl>
  </w:abstractNum>
  <w:abstractNum w:abstractNumId="13" w15:restartNumberingAfterBreak="0">
    <w:nsid w:val="476F2345"/>
    <w:multiLevelType w:val="hybridMultilevel"/>
    <w:tmpl w:val="9D041810"/>
    <w:lvl w:ilvl="0" w:tplc="76F8A47A">
      <w:numFmt w:val="bullet"/>
      <w:lvlText w:val=""/>
      <w:lvlJc w:val="left"/>
      <w:pPr>
        <w:ind w:left="825" w:hanging="360"/>
      </w:pPr>
      <w:rPr>
        <w:rFonts w:ascii="Symbol" w:eastAsia="Symbol" w:hAnsi="Symbol" w:cs="Symbol" w:hint="default"/>
        <w:b w:val="0"/>
        <w:bCs w:val="0"/>
        <w:i w:val="0"/>
        <w:iCs w:val="0"/>
        <w:spacing w:val="0"/>
        <w:w w:val="100"/>
        <w:sz w:val="21"/>
        <w:szCs w:val="21"/>
        <w:lang w:val="en-US" w:eastAsia="en-US" w:bidi="ar-SA"/>
      </w:rPr>
    </w:lvl>
    <w:lvl w:ilvl="1" w:tplc="60BEDB78">
      <w:numFmt w:val="bullet"/>
      <w:lvlText w:val="•"/>
      <w:lvlJc w:val="left"/>
      <w:pPr>
        <w:ind w:left="1467" w:hanging="360"/>
      </w:pPr>
      <w:rPr>
        <w:rFonts w:hint="default"/>
        <w:lang w:val="en-US" w:eastAsia="en-US" w:bidi="ar-SA"/>
      </w:rPr>
    </w:lvl>
    <w:lvl w:ilvl="2" w:tplc="4A32CD60">
      <w:numFmt w:val="bullet"/>
      <w:lvlText w:val="•"/>
      <w:lvlJc w:val="left"/>
      <w:pPr>
        <w:ind w:left="2115" w:hanging="360"/>
      </w:pPr>
      <w:rPr>
        <w:rFonts w:hint="default"/>
        <w:lang w:val="en-US" w:eastAsia="en-US" w:bidi="ar-SA"/>
      </w:rPr>
    </w:lvl>
    <w:lvl w:ilvl="3" w:tplc="8D2A00FE">
      <w:numFmt w:val="bullet"/>
      <w:lvlText w:val="•"/>
      <w:lvlJc w:val="left"/>
      <w:pPr>
        <w:ind w:left="2763" w:hanging="360"/>
      </w:pPr>
      <w:rPr>
        <w:rFonts w:hint="default"/>
        <w:lang w:val="en-US" w:eastAsia="en-US" w:bidi="ar-SA"/>
      </w:rPr>
    </w:lvl>
    <w:lvl w:ilvl="4" w:tplc="656C71AE">
      <w:numFmt w:val="bullet"/>
      <w:lvlText w:val="•"/>
      <w:lvlJc w:val="left"/>
      <w:pPr>
        <w:ind w:left="3410" w:hanging="360"/>
      </w:pPr>
      <w:rPr>
        <w:rFonts w:hint="default"/>
        <w:lang w:val="en-US" w:eastAsia="en-US" w:bidi="ar-SA"/>
      </w:rPr>
    </w:lvl>
    <w:lvl w:ilvl="5" w:tplc="A8FA11D2">
      <w:numFmt w:val="bullet"/>
      <w:lvlText w:val="•"/>
      <w:lvlJc w:val="left"/>
      <w:pPr>
        <w:ind w:left="4058" w:hanging="360"/>
      </w:pPr>
      <w:rPr>
        <w:rFonts w:hint="default"/>
        <w:lang w:val="en-US" w:eastAsia="en-US" w:bidi="ar-SA"/>
      </w:rPr>
    </w:lvl>
    <w:lvl w:ilvl="6" w:tplc="FE36EB7E">
      <w:numFmt w:val="bullet"/>
      <w:lvlText w:val="•"/>
      <w:lvlJc w:val="left"/>
      <w:pPr>
        <w:ind w:left="4706" w:hanging="360"/>
      </w:pPr>
      <w:rPr>
        <w:rFonts w:hint="default"/>
        <w:lang w:val="en-US" w:eastAsia="en-US" w:bidi="ar-SA"/>
      </w:rPr>
    </w:lvl>
    <w:lvl w:ilvl="7" w:tplc="CD582AA8">
      <w:numFmt w:val="bullet"/>
      <w:lvlText w:val="•"/>
      <w:lvlJc w:val="left"/>
      <w:pPr>
        <w:ind w:left="5353" w:hanging="360"/>
      </w:pPr>
      <w:rPr>
        <w:rFonts w:hint="default"/>
        <w:lang w:val="en-US" w:eastAsia="en-US" w:bidi="ar-SA"/>
      </w:rPr>
    </w:lvl>
    <w:lvl w:ilvl="8" w:tplc="D2E64A66">
      <w:numFmt w:val="bullet"/>
      <w:lvlText w:val="•"/>
      <w:lvlJc w:val="left"/>
      <w:pPr>
        <w:ind w:left="6001" w:hanging="360"/>
      </w:pPr>
      <w:rPr>
        <w:rFonts w:hint="default"/>
        <w:lang w:val="en-US" w:eastAsia="en-US" w:bidi="ar-SA"/>
      </w:rPr>
    </w:lvl>
  </w:abstractNum>
  <w:abstractNum w:abstractNumId="14" w15:restartNumberingAfterBreak="0">
    <w:nsid w:val="489B15D7"/>
    <w:multiLevelType w:val="hybridMultilevel"/>
    <w:tmpl w:val="4A9CD754"/>
    <w:lvl w:ilvl="0" w:tplc="6AAA5D7A">
      <w:start w:val="1"/>
      <w:numFmt w:val="bullet"/>
      <w:pStyle w:val="Bulletpoint"/>
      <w:lvlText w:val=""/>
      <w:lvlJc w:val="left"/>
      <w:pPr>
        <w:tabs>
          <w:tab w:val="num" w:pos="369"/>
        </w:tabs>
        <w:ind w:left="369" w:hanging="227"/>
      </w:pPr>
      <w:rPr>
        <w:rFonts w:ascii="Symbol" w:hAnsi="Symbol" w:hint="default"/>
        <w:color w:val="auto"/>
        <w:position w:val="0"/>
        <w:sz w:val="22"/>
        <w:szCs w:val="22"/>
      </w:rPr>
    </w:lvl>
    <w:lvl w:ilvl="1" w:tplc="0C090003">
      <w:start w:val="1"/>
      <w:numFmt w:val="bullet"/>
      <w:lvlText w:val="o"/>
      <w:lvlJc w:val="left"/>
      <w:pPr>
        <w:tabs>
          <w:tab w:val="num" w:pos="1352"/>
        </w:tabs>
        <w:ind w:left="1352"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767691"/>
    <w:multiLevelType w:val="hybridMultilevel"/>
    <w:tmpl w:val="CF8E271A"/>
    <w:lvl w:ilvl="0" w:tplc="5E765112">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AD087EAE">
      <w:numFmt w:val="bullet"/>
      <w:lvlText w:val="•"/>
      <w:lvlJc w:val="left"/>
      <w:pPr>
        <w:ind w:left="1573" w:hanging="360"/>
      </w:pPr>
      <w:rPr>
        <w:rFonts w:hint="default"/>
        <w:lang w:val="en-US" w:eastAsia="en-US" w:bidi="ar-SA"/>
      </w:rPr>
    </w:lvl>
    <w:lvl w:ilvl="2" w:tplc="79E4C03A">
      <w:numFmt w:val="bullet"/>
      <w:lvlText w:val="•"/>
      <w:lvlJc w:val="left"/>
      <w:pPr>
        <w:ind w:left="2406" w:hanging="360"/>
      </w:pPr>
      <w:rPr>
        <w:rFonts w:hint="default"/>
        <w:lang w:val="en-US" w:eastAsia="en-US" w:bidi="ar-SA"/>
      </w:rPr>
    </w:lvl>
    <w:lvl w:ilvl="3" w:tplc="F922536E">
      <w:numFmt w:val="bullet"/>
      <w:lvlText w:val="•"/>
      <w:lvlJc w:val="left"/>
      <w:pPr>
        <w:ind w:left="3239" w:hanging="360"/>
      </w:pPr>
      <w:rPr>
        <w:rFonts w:hint="default"/>
        <w:lang w:val="en-US" w:eastAsia="en-US" w:bidi="ar-SA"/>
      </w:rPr>
    </w:lvl>
    <w:lvl w:ilvl="4" w:tplc="05B8E5F4">
      <w:numFmt w:val="bullet"/>
      <w:lvlText w:val="•"/>
      <w:lvlJc w:val="left"/>
      <w:pPr>
        <w:ind w:left="4072" w:hanging="360"/>
      </w:pPr>
      <w:rPr>
        <w:rFonts w:hint="default"/>
        <w:lang w:val="en-US" w:eastAsia="en-US" w:bidi="ar-SA"/>
      </w:rPr>
    </w:lvl>
    <w:lvl w:ilvl="5" w:tplc="605C2690">
      <w:numFmt w:val="bullet"/>
      <w:lvlText w:val="•"/>
      <w:lvlJc w:val="left"/>
      <w:pPr>
        <w:ind w:left="4906" w:hanging="360"/>
      </w:pPr>
      <w:rPr>
        <w:rFonts w:hint="default"/>
        <w:lang w:val="en-US" w:eastAsia="en-US" w:bidi="ar-SA"/>
      </w:rPr>
    </w:lvl>
    <w:lvl w:ilvl="6" w:tplc="AF886D0C">
      <w:numFmt w:val="bullet"/>
      <w:lvlText w:val="•"/>
      <w:lvlJc w:val="left"/>
      <w:pPr>
        <w:ind w:left="5739" w:hanging="360"/>
      </w:pPr>
      <w:rPr>
        <w:rFonts w:hint="default"/>
        <w:lang w:val="en-US" w:eastAsia="en-US" w:bidi="ar-SA"/>
      </w:rPr>
    </w:lvl>
    <w:lvl w:ilvl="7" w:tplc="D698068A">
      <w:numFmt w:val="bullet"/>
      <w:lvlText w:val="•"/>
      <w:lvlJc w:val="left"/>
      <w:pPr>
        <w:ind w:left="6572" w:hanging="360"/>
      </w:pPr>
      <w:rPr>
        <w:rFonts w:hint="default"/>
        <w:lang w:val="en-US" w:eastAsia="en-US" w:bidi="ar-SA"/>
      </w:rPr>
    </w:lvl>
    <w:lvl w:ilvl="8" w:tplc="379CC2D2">
      <w:numFmt w:val="bullet"/>
      <w:lvlText w:val="•"/>
      <w:lvlJc w:val="left"/>
      <w:pPr>
        <w:ind w:left="7405" w:hanging="360"/>
      </w:pPr>
      <w:rPr>
        <w:rFonts w:hint="default"/>
        <w:lang w:val="en-US" w:eastAsia="en-US" w:bidi="ar-SA"/>
      </w:rPr>
    </w:lvl>
  </w:abstractNum>
  <w:abstractNum w:abstractNumId="16" w15:restartNumberingAfterBreak="0">
    <w:nsid w:val="4F7912C9"/>
    <w:multiLevelType w:val="multilevel"/>
    <w:tmpl w:val="D6F4F1DE"/>
    <w:lvl w:ilvl="0">
      <w:start w:val="1"/>
      <w:numFmt w:val="bullet"/>
      <w:pStyle w:val="ListBullet-donotcross"/>
      <w:lvlText w:val=""/>
      <w:lvlJc w:val="left"/>
      <w:pPr>
        <w:ind w:left="785" w:hanging="360"/>
      </w:pPr>
      <w:rPr>
        <w:rFonts w:ascii="Wingdings" w:hAnsi="Wingdings" w:hint="default"/>
        <w:b/>
        <w:i w:val="0"/>
        <w:color w:val="800000"/>
        <w:sz w:val="26"/>
        <w:szCs w:val="22"/>
      </w:rPr>
    </w:lvl>
    <w:lvl w:ilvl="1">
      <w:start w:val="1"/>
      <w:numFmt w:val="bullet"/>
      <w:lvlText w:val="–"/>
      <w:lvlJc w:val="left"/>
      <w:pPr>
        <w:ind w:left="720" w:hanging="360"/>
      </w:pPr>
      <w:rPr>
        <w:rFonts w:ascii="Arial" w:hAnsi="Arial" w:cs="Times New Roman"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7" w15:restartNumberingAfterBreak="0">
    <w:nsid w:val="4F8D23DB"/>
    <w:multiLevelType w:val="hybridMultilevel"/>
    <w:tmpl w:val="9A4A81D0"/>
    <w:lvl w:ilvl="0" w:tplc="898EA3AA">
      <w:start w:val="1"/>
      <w:numFmt w:val="bullet"/>
      <w:lvlText w:val=""/>
      <w:lvlJc w:val="left"/>
      <w:pPr>
        <w:ind w:left="720" w:hanging="360"/>
      </w:pPr>
      <w:rPr>
        <w:rFonts w:ascii="Symbol" w:hAnsi="Symbol"/>
      </w:rPr>
    </w:lvl>
    <w:lvl w:ilvl="1" w:tplc="403E12E2">
      <w:start w:val="1"/>
      <w:numFmt w:val="bullet"/>
      <w:lvlText w:val=""/>
      <w:lvlJc w:val="left"/>
      <w:pPr>
        <w:ind w:left="720" w:hanging="360"/>
      </w:pPr>
      <w:rPr>
        <w:rFonts w:ascii="Symbol" w:hAnsi="Symbol"/>
      </w:rPr>
    </w:lvl>
    <w:lvl w:ilvl="2" w:tplc="C678A248">
      <w:start w:val="1"/>
      <w:numFmt w:val="bullet"/>
      <w:lvlText w:val=""/>
      <w:lvlJc w:val="left"/>
      <w:pPr>
        <w:ind w:left="720" w:hanging="360"/>
      </w:pPr>
      <w:rPr>
        <w:rFonts w:ascii="Symbol" w:hAnsi="Symbol"/>
      </w:rPr>
    </w:lvl>
    <w:lvl w:ilvl="3" w:tplc="4EE4EEBA">
      <w:start w:val="1"/>
      <w:numFmt w:val="bullet"/>
      <w:lvlText w:val=""/>
      <w:lvlJc w:val="left"/>
      <w:pPr>
        <w:ind w:left="720" w:hanging="360"/>
      </w:pPr>
      <w:rPr>
        <w:rFonts w:ascii="Symbol" w:hAnsi="Symbol"/>
      </w:rPr>
    </w:lvl>
    <w:lvl w:ilvl="4" w:tplc="F31E8080">
      <w:start w:val="1"/>
      <w:numFmt w:val="bullet"/>
      <w:lvlText w:val=""/>
      <w:lvlJc w:val="left"/>
      <w:pPr>
        <w:ind w:left="720" w:hanging="360"/>
      </w:pPr>
      <w:rPr>
        <w:rFonts w:ascii="Symbol" w:hAnsi="Symbol"/>
      </w:rPr>
    </w:lvl>
    <w:lvl w:ilvl="5" w:tplc="261AFD6A">
      <w:start w:val="1"/>
      <w:numFmt w:val="bullet"/>
      <w:lvlText w:val=""/>
      <w:lvlJc w:val="left"/>
      <w:pPr>
        <w:ind w:left="720" w:hanging="360"/>
      </w:pPr>
      <w:rPr>
        <w:rFonts w:ascii="Symbol" w:hAnsi="Symbol"/>
      </w:rPr>
    </w:lvl>
    <w:lvl w:ilvl="6" w:tplc="94FC1AF8">
      <w:start w:val="1"/>
      <w:numFmt w:val="bullet"/>
      <w:lvlText w:val=""/>
      <w:lvlJc w:val="left"/>
      <w:pPr>
        <w:ind w:left="720" w:hanging="360"/>
      </w:pPr>
      <w:rPr>
        <w:rFonts w:ascii="Symbol" w:hAnsi="Symbol"/>
      </w:rPr>
    </w:lvl>
    <w:lvl w:ilvl="7" w:tplc="FF503C7C">
      <w:start w:val="1"/>
      <w:numFmt w:val="bullet"/>
      <w:lvlText w:val=""/>
      <w:lvlJc w:val="left"/>
      <w:pPr>
        <w:ind w:left="720" w:hanging="360"/>
      </w:pPr>
      <w:rPr>
        <w:rFonts w:ascii="Symbol" w:hAnsi="Symbol"/>
      </w:rPr>
    </w:lvl>
    <w:lvl w:ilvl="8" w:tplc="E8B4BDE6">
      <w:start w:val="1"/>
      <w:numFmt w:val="bullet"/>
      <w:lvlText w:val=""/>
      <w:lvlJc w:val="left"/>
      <w:pPr>
        <w:ind w:left="720" w:hanging="360"/>
      </w:pPr>
      <w:rPr>
        <w:rFonts w:ascii="Symbol" w:hAnsi="Symbol"/>
      </w:rPr>
    </w:lvl>
  </w:abstractNum>
  <w:abstractNum w:abstractNumId="18" w15:restartNumberingAfterBreak="0">
    <w:nsid w:val="50336B0D"/>
    <w:multiLevelType w:val="hybridMultilevel"/>
    <w:tmpl w:val="5D54CD1A"/>
    <w:lvl w:ilvl="0" w:tplc="4EDE096A">
      <w:start w:val="1"/>
      <w:numFmt w:val="lowerRoman"/>
      <w:pStyle w:val="Numberbullet3"/>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0CA2B76"/>
    <w:multiLevelType w:val="hybridMultilevel"/>
    <w:tmpl w:val="F5F43D82"/>
    <w:lvl w:ilvl="0" w:tplc="057601E0">
      <w:numFmt w:val="bullet"/>
      <w:lvlText w:val=""/>
      <w:lvlJc w:val="left"/>
      <w:pPr>
        <w:ind w:left="393" w:hanging="228"/>
      </w:pPr>
      <w:rPr>
        <w:rFonts w:ascii="Symbol" w:eastAsia="Symbol" w:hAnsi="Symbol" w:cs="Symbol" w:hint="default"/>
        <w:spacing w:val="0"/>
        <w:w w:val="100"/>
        <w:lang w:val="en-US" w:eastAsia="en-US" w:bidi="ar-SA"/>
      </w:rPr>
    </w:lvl>
    <w:lvl w:ilvl="1" w:tplc="32AEA502">
      <w:numFmt w:val="bullet"/>
      <w:lvlText w:val="o"/>
      <w:lvlJc w:val="left"/>
      <w:pPr>
        <w:ind w:left="1463" w:hanging="360"/>
      </w:pPr>
      <w:rPr>
        <w:rFonts w:ascii="Courier New" w:eastAsia="Courier New" w:hAnsi="Courier New" w:cs="Courier New" w:hint="default"/>
        <w:b w:val="0"/>
        <w:bCs w:val="0"/>
        <w:i w:val="0"/>
        <w:iCs w:val="0"/>
        <w:spacing w:val="0"/>
        <w:w w:val="100"/>
        <w:sz w:val="22"/>
        <w:szCs w:val="22"/>
        <w:lang w:val="en-US" w:eastAsia="en-US" w:bidi="ar-SA"/>
      </w:rPr>
    </w:lvl>
    <w:lvl w:ilvl="2" w:tplc="BEA427D4">
      <w:numFmt w:val="bullet"/>
      <w:lvlText w:val="•"/>
      <w:lvlJc w:val="left"/>
      <w:pPr>
        <w:ind w:left="2305" w:hanging="360"/>
      </w:pPr>
      <w:rPr>
        <w:rFonts w:hint="default"/>
        <w:lang w:val="en-US" w:eastAsia="en-US" w:bidi="ar-SA"/>
      </w:rPr>
    </w:lvl>
    <w:lvl w:ilvl="3" w:tplc="61F46C32">
      <w:numFmt w:val="bullet"/>
      <w:lvlText w:val="•"/>
      <w:lvlJc w:val="left"/>
      <w:pPr>
        <w:ind w:left="3151" w:hanging="360"/>
      </w:pPr>
      <w:rPr>
        <w:rFonts w:hint="default"/>
        <w:lang w:val="en-US" w:eastAsia="en-US" w:bidi="ar-SA"/>
      </w:rPr>
    </w:lvl>
    <w:lvl w:ilvl="4" w:tplc="3C364784">
      <w:numFmt w:val="bullet"/>
      <w:lvlText w:val="•"/>
      <w:lvlJc w:val="left"/>
      <w:pPr>
        <w:ind w:left="3997" w:hanging="360"/>
      </w:pPr>
      <w:rPr>
        <w:rFonts w:hint="default"/>
        <w:lang w:val="en-US" w:eastAsia="en-US" w:bidi="ar-SA"/>
      </w:rPr>
    </w:lvl>
    <w:lvl w:ilvl="5" w:tplc="1A26A6EE">
      <w:numFmt w:val="bullet"/>
      <w:lvlText w:val="•"/>
      <w:lvlJc w:val="left"/>
      <w:pPr>
        <w:ind w:left="4843" w:hanging="360"/>
      </w:pPr>
      <w:rPr>
        <w:rFonts w:hint="default"/>
        <w:lang w:val="en-US" w:eastAsia="en-US" w:bidi="ar-SA"/>
      </w:rPr>
    </w:lvl>
    <w:lvl w:ilvl="6" w:tplc="62409652">
      <w:numFmt w:val="bullet"/>
      <w:lvlText w:val="•"/>
      <w:lvlJc w:val="left"/>
      <w:pPr>
        <w:ind w:left="5689" w:hanging="360"/>
      </w:pPr>
      <w:rPr>
        <w:rFonts w:hint="default"/>
        <w:lang w:val="en-US" w:eastAsia="en-US" w:bidi="ar-SA"/>
      </w:rPr>
    </w:lvl>
    <w:lvl w:ilvl="7" w:tplc="3722A100">
      <w:numFmt w:val="bullet"/>
      <w:lvlText w:val="•"/>
      <w:lvlJc w:val="left"/>
      <w:pPr>
        <w:ind w:left="6534" w:hanging="360"/>
      </w:pPr>
      <w:rPr>
        <w:rFonts w:hint="default"/>
        <w:lang w:val="en-US" w:eastAsia="en-US" w:bidi="ar-SA"/>
      </w:rPr>
    </w:lvl>
    <w:lvl w:ilvl="8" w:tplc="1E8EABF4">
      <w:numFmt w:val="bullet"/>
      <w:lvlText w:val="•"/>
      <w:lvlJc w:val="left"/>
      <w:pPr>
        <w:ind w:left="7380" w:hanging="360"/>
      </w:pPr>
      <w:rPr>
        <w:rFonts w:hint="default"/>
        <w:lang w:val="en-US" w:eastAsia="en-US" w:bidi="ar-SA"/>
      </w:rPr>
    </w:lvl>
  </w:abstractNum>
  <w:abstractNum w:abstractNumId="20" w15:restartNumberingAfterBreak="0">
    <w:nsid w:val="56013013"/>
    <w:multiLevelType w:val="hybridMultilevel"/>
    <w:tmpl w:val="F3549324"/>
    <w:lvl w:ilvl="0" w:tplc="51BE614E">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4B5A23C4">
      <w:numFmt w:val="bullet"/>
      <w:lvlText w:val="o"/>
      <w:lvlJc w:val="left"/>
      <w:pPr>
        <w:ind w:left="1463" w:hanging="360"/>
      </w:pPr>
      <w:rPr>
        <w:rFonts w:ascii="Courier New" w:eastAsia="Courier New" w:hAnsi="Courier New" w:cs="Courier New" w:hint="default"/>
        <w:b w:val="0"/>
        <w:bCs w:val="0"/>
        <w:i w:val="0"/>
        <w:iCs w:val="0"/>
        <w:spacing w:val="0"/>
        <w:w w:val="100"/>
        <w:sz w:val="22"/>
        <w:szCs w:val="22"/>
        <w:lang w:val="en-US" w:eastAsia="en-US" w:bidi="ar-SA"/>
      </w:rPr>
    </w:lvl>
    <w:lvl w:ilvl="2" w:tplc="A2E266F6">
      <w:numFmt w:val="bullet"/>
      <w:lvlText w:val="•"/>
      <w:lvlJc w:val="left"/>
      <w:pPr>
        <w:ind w:left="2305" w:hanging="360"/>
      </w:pPr>
      <w:rPr>
        <w:rFonts w:hint="default"/>
        <w:lang w:val="en-US" w:eastAsia="en-US" w:bidi="ar-SA"/>
      </w:rPr>
    </w:lvl>
    <w:lvl w:ilvl="3" w:tplc="67C2D5DE">
      <w:numFmt w:val="bullet"/>
      <w:lvlText w:val="•"/>
      <w:lvlJc w:val="left"/>
      <w:pPr>
        <w:ind w:left="3151" w:hanging="360"/>
      </w:pPr>
      <w:rPr>
        <w:rFonts w:hint="default"/>
        <w:lang w:val="en-US" w:eastAsia="en-US" w:bidi="ar-SA"/>
      </w:rPr>
    </w:lvl>
    <w:lvl w:ilvl="4" w:tplc="405ECBFE">
      <w:numFmt w:val="bullet"/>
      <w:lvlText w:val="•"/>
      <w:lvlJc w:val="left"/>
      <w:pPr>
        <w:ind w:left="3997" w:hanging="360"/>
      </w:pPr>
      <w:rPr>
        <w:rFonts w:hint="default"/>
        <w:lang w:val="en-US" w:eastAsia="en-US" w:bidi="ar-SA"/>
      </w:rPr>
    </w:lvl>
    <w:lvl w:ilvl="5" w:tplc="58A64F22">
      <w:numFmt w:val="bullet"/>
      <w:lvlText w:val="•"/>
      <w:lvlJc w:val="left"/>
      <w:pPr>
        <w:ind w:left="4843" w:hanging="360"/>
      </w:pPr>
      <w:rPr>
        <w:rFonts w:hint="default"/>
        <w:lang w:val="en-US" w:eastAsia="en-US" w:bidi="ar-SA"/>
      </w:rPr>
    </w:lvl>
    <w:lvl w:ilvl="6" w:tplc="46520FD6">
      <w:numFmt w:val="bullet"/>
      <w:lvlText w:val="•"/>
      <w:lvlJc w:val="left"/>
      <w:pPr>
        <w:ind w:left="5689" w:hanging="360"/>
      </w:pPr>
      <w:rPr>
        <w:rFonts w:hint="default"/>
        <w:lang w:val="en-US" w:eastAsia="en-US" w:bidi="ar-SA"/>
      </w:rPr>
    </w:lvl>
    <w:lvl w:ilvl="7" w:tplc="C0A28C30">
      <w:numFmt w:val="bullet"/>
      <w:lvlText w:val="•"/>
      <w:lvlJc w:val="left"/>
      <w:pPr>
        <w:ind w:left="6534" w:hanging="360"/>
      </w:pPr>
      <w:rPr>
        <w:rFonts w:hint="default"/>
        <w:lang w:val="en-US" w:eastAsia="en-US" w:bidi="ar-SA"/>
      </w:rPr>
    </w:lvl>
    <w:lvl w:ilvl="8" w:tplc="B610F2D6">
      <w:numFmt w:val="bullet"/>
      <w:lvlText w:val="•"/>
      <w:lvlJc w:val="left"/>
      <w:pPr>
        <w:ind w:left="7380" w:hanging="360"/>
      </w:pPr>
      <w:rPr>
        <w:rFonts w:hint="default"/>
        <w:lang w:val="en-US" w:eastAsia="en-US" w:bidi="ar-SA"/>
      </w:rPr>
    </w:lvl>
  </w:abstractNum>
  <w:abstractNum w:abstractNumId="21" w15:restartNumberingAfterBreak="0">
    <w:nsid w:val="56E67BE1"/>
    <w:multiLevelType w:val="hybridMultilevel"/>
    <w:tmpl w:val="6EBCAECA"/>
    <w:lvl w:ilvl="0" w:tplc="01849512">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49D4B41A">
      <w:numFmt w:val="bullet"/>
      <w:lvlText w:val="•"/>
      <w:lvlJc w:val="left"/>
      <w:pPr>
        <w:ind w:left="1573" w:hanging="360"/>
      </w:pPr>
      <w:rPr>
        <w:rFonts w:hint="default"/>
        <w:lang w:val="en-US" w:eastAsia="en-US" w:bidi="ar-SA"/>
      </w:rPr>
    </w:lvl>
    <w:lvl w:ilvl="2" w:tplc="D2D4AC08">
      <w:numFmt w:val="bullet"/>
      <w:lvlText w:val="•"/>
      <w:lvlJc w:val="left"/>
      <w:pPr>
        <w:ind w:left="2406" w:hanging="360"/>
      </w:pPr>
      <w:rPr>
        <w:rFonts w:hint="default"/>
        <w:lang w:val="en-US" w:eastAsia="en-US" w:bidi="ar-SA"/>
      </w:rPr>
    </w:lvl>
    <w:lvl w:ilvl="3" w:tplc="19C2AB6E">
      <w:numFmt w:val="bullet"/>
      <w:lvlText w:val="•"/>
      <w:lvlJc w:val="left"/>
      <w:pPr>
        <w:ind w:left="3239" w:hanging="360"/>
      </w:pPr>
      <w:rPr>
        <w:rFonts w:hint="default"/>
        <w:lang w:val="en-US" w:eastAsia="en-US" w:bidi="ar-SA"/>
      </w:rPr>
    </w:lvl>
    <w:lvl w:ilvl="4" w:tplc="2C703EFC">
      <w:numFmt w:val="bullet"/>
      <w:lvlText w:val="•"/>
      <w:lvlJc w:val="left"/>
      <w:pPr>
        <w:ind w:left="4072" w:hanging="360"/>
      </w:pPr>
      <w:rPr>
        <w:rFonts w:hint="default"/>
        <w:lang w:val="en-US" w:eastAsia="en-US" w:bidi="ar-SA"/>
      </w:rPr>
    </w:lvl>
    <w:lvl w:ilvl="5" w:tplc="BFE43D1A">
      <w:numFmt w:val="bullet"/>
      <w:lvlText w:val="•"/>
      <w:lvlJc w:val="left"/>
      <w:pPr>
        <w:ind w:left="4906" w:hanging="360"/>
      </w:pPr>
      <w:rPr>
        <w:rFonts w:hint="default"/>
        <w:lang w:val="en-US" w:eastAsia="en-US" w:bidi="ar-SA"/>
      </w:rPr>
    </w:lvl>
    <w:lvl w:ilvl="6" w:tplc="80305774">
      <w:numFmt w:val="bullet"/>
      <w:lvlText w:val="•"/>
      <w:lvlJc w:val="left"/>
      <w:pPr>
        <w:ind w:left="5739" w:hanging="360"/>
      </w:pPr>
      <w:rPr>
        <w:rFonts w:hint="default"/>
        <w:lang w:val="en-US" w:eastAsia="en-US" w:bidi="ar-SA"/>
      </w:rPr>
    </w:lvl>
    <w:lvl w:ilvl="7" w:tplc="4DDC8762">
      <w:numFmt w:val="bullet"/>
      <w:lvlText w:val="•"/>
      <w:lvlJc w:val="left"/>
      <w:pPr>
        <w:ind w:left="6572" w:hanging="360"/>
      </w:pPr>
      <w:rPr>
        <w:rFonts w:hint="default"/>
        <w:lang w:val="en-US" w:eastAsia="en-US" w:bidi="ar-SA"/>
      </w:rPr>
    </w:lvl>
    <w:lvl w:ilvl="8" w:tplc="4EFEE486">
      <w:numFmt w:val="bullet"/>
      <w:lvlText w:val="•"/>
      <w:lvlJc w:val="left"/>
      <w:pPr>
        <w:ind w:left="7405" w:hanging="360"/>
      </w:pPr>
      <w:rPr>
        <w:rFonts w:hint="default"/>
        <w:lang w:val="en-US" w:eastAsia="en-US" w:bidi="ar-SA"/>
      </w:rPr>
    </w:lvl>
  </w:abstractNum>
  <w:abstractNum w:abstractNumId="22" w15:restartNumberingAfterBreak="0">
    <w:nsid w:val="573431B6"/>
    <w:multiLevelType w:val="hybridMultilevel"/>
    <w:tmpl w:val="ECB46A96"/>
    <w:lvl w:ilvl="0" w:tplc="53382244">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F4D6767E">
      <w:numFmt w:val="bullet"/>
      <w:lvlText w:val="•"/>
      <w:lvlJc w:val="left"/>
      <w:pPr>
        <w:ind w:left="1573" w:hanging="360"/>
      </w:pPr>
      <w:rPr>
        <w:rFonts w:hint="default"/>
        <w:lang w:val="en-US" w:eastAsia="en-US" w:bidi="ar-SA"/>
      </w:rPr>
    </w:lvl>
    <w:lvl w:ilvl="2" w:tplc="4B6A96E0">
      <w:numFmt w:val="bullet"/>
      <w:lvlText w:val="•"/>
      <w:lvlJc w:val="left"/>
      <w:pPr>
        <w:ind w:left="2406" w:hanging="360"/>
      </w:pPr>
      <w:rPr>
        <w:rFonts w:hint="default"/>
        <w:lang w:val="en-US" w:eastAsia="en-US" w:bidi="ar-SA"/>
      </w:rPr>
    </w:lvl>
    <w:lvl w:ilvl="3" w:tplc="804ECA80">
      <w:numFmt w:val="bullet"/>
      <w:lvlText w:val="•"/>
      <w:lvlJc w:val="left"/>
      <w:pPr>
        <w:ind w:left="3239" w:hanging="360"/>
      </w:pPr>
      <w:rPr>
        <w:rFonts w:hint="default"/>
        <w:lang w:val="en-US" w:eastAsia="en-US" w:bidi="ar-SA"/>
      </w:rPr>
    </w:lvl>
    <w:lvl w:ilvl="4" w:tplc="092068BC">
      <w:numFmt w:val="bullet"/>
      <w:lvlText w:val="•"/>
      <w:lvlJc w:val="left"/>
      <w:pPr>
        <w:ind w:left="4072" w:hanging="360"/>
      </w:pPr>
      <w:rPr>
        <w:rFonts w:hint="default"/>
        <w:lang w:val="en-US" w:eastAsia="en-US" w:bidi="ar-SA"/>
      </w:rPr>
    </w:lvl>
    <w:lvl w:ilvl="5" w:tplc="76EE1F1E">
      <w:numFmt w:val="bullet"/>
      <w:lvlText w:val="•"/>
      <w:lvlJc w:val="left"/>
      <w:pPr>
        <w:ind w:left="4906" w:hanging="360"/>
      </w:pPr>
      <w:rPr>
        <w:rFonts w:hint="default"/>
        <w:lang w:val="en-US" w:eastAsia="en-US" w:bidi="ar-SA"/>
      </w:rPr>
    </w:lvl>
    <w:lvl w:ilvl="6" w:tplc="122217A8">
      <w:numFmt w:val="bullet"/>
      <w:lvlText w:val="•"/>
      <w:lvlJc w:val="left"/>
      <w:pPr>
        <w:ind w:left="5739" w:hanging="360"/>
      </w:pPr>
      <w:rPr>
        <w:rFonts w:hint="default"/>
        <w:lang w:val="en-US" w:eastAsia="en-US" w:bidi="ar-SA"/>
      </w:rPr>
    </w:lvl>
    <w:lvl w:ilvl="7" w:tplc="D04A2BCA">
      <w:numFmt w:val="bullet"/>
      <w:lvlText w:val="•"/>
      <w:lvlJc w:val="left"/>
      <w:pPr>
        <w:ind w:left="6572" w:hanging="360"/>
      </w:pPr>
      <w:rPr>
        <w:rFonts w:hint="default"/>
        <w:lang w:val="en-US" w:eastAsia="en-US" w:bidi="ar-SA"/>
      </w:rPr>
    </w:lvl>
    <w:lvl w:ilvl="8" w:tplc="5DC25388">
      <w:numFmt w:val="bullet"/>
      <w:lvlText w:val="•"/>
      <w:lvlJc w:val="left"/>
      <w:pPr>
        <w:ind w:left="7405" w:hanging="360"/>
      </w:pPr>
      <w:rPr>
        <w:rFonts w:hint="default"/>
        <w:lang w:val="en-US" w:eastAsia="en-US" w:bidi="ar-SA"/>
      </w:rPr>
    </w:lvl>
  </w:abstractNum>
  <w:abstractNum w:abstractNumId="23" w15:restartNumberingAfterBreak="0">
    <w:nsid w:val="59D22096"/>
    <w:multiLevelType w:val="hybridMultilevel"/>
    <w:tmpl w:val="9DF2F518"/>
    <w:lvl w:ilvl="0" w:tplc="480AF4BC">
      <w:start w:val="1"/>
      <w:numFmt w:val="bullet"/>
      <w:lvlText w:val=""/>
      <w:lvlJc w:val="left"/>
      <w:pPr>
        <w:ind w:left="720" w:hanging="360"/>
      </w:pPr>
      <w:rPr>
        <w:rFonts w:ascii="Symbol" w:hAnsi="Symbol"/>
      </w:rPr>
    </w:lvl>
    <w:lvl w:ilvl="1" w:tplc="519064D0">
      <w:start w:val="1"/>
      <w:numFmt w:val="bullet"/>
      <w:lvlText w:val=""/>
      <w:lvlJc w:val="left"/>
      <w:pPr>
        <w:ind w:left="720" w:hanging="360"/>
      </w:pPr>
      <w:rPr>
        <w:rFonts w:ascii="Symbol" w:hAnsi="Symbol"/>
      </w:rPr>
    </w:lvl>
    <w:lvl w:ilvl="2" w:tplc="D5968F16">
      <w:start w:val="1"/>
      <w:numFmt w:val="bullet"/>
      <w:lvlText w:val=""/>
      <w:lvlJc w:val="left"/>
      <w:pPr>
        <w:ind w:left="720" w:hanging="360"/>
      </w:pPr>
      <w:rPr>
        <w:rFonts w:ascii="Symbol" w:hAnsi="Symbol"/>
      </w:rPr>
    </w:lvl>
    <w:lvl w:ilvl="3" w:tplc="E800FA06">
      <w:start w:val="1"/>
      <w:numFmt w:val="bullet"/>
      <w:lvlText w:val=""/>
      <w:lvlJc w:val="left"/>
      <w:pPr>
        <w:ind w:left="720" w:hanging="360"/>
      </w:pPr>
      <w:rPr>
        <w:rFonts w:ascii="Symbol" w:hAnsi="Symbol"/>
      </w:rPr>
    </w:lvl>
    <w:lvl w:ilvl="4" w:tplc="6BCA7B38">
      <w:start w:val="1"/>
      <w:numFmt w:val="bullet"/>
      <w:lvlText w:val=""/>
      <w:lvlJc w:val="left"/>
      <w:pPr>
        <w:ind w:left="720" w:hanging="360"/>
      </w:pPr>
      <w:rPr>
        <w:rFonts w:ascii="Symbol" w:hAnsi="Symbol"/>
      </w:rPr>
    </w:lvl>
    <w:lvl w:ilvl="5" w:tplc="AA40038E">
      <w:start w:val="1"/>
      <w:numFmt w:val="bullet"/>
      <w:lvlText w:val=""/>
      <w:lvlJc w:val="left"/>
      <w:pPr>
        <w:ind w:left="720" w:hanging="360"/>
      </w:pPr>
      <w:rPr>
        <w:rFonts w:ascii="Symbol" w:hAnsi="Symbol"/>
      </w:rPr>
    </w:lvl>
    <w:lvl w:ilvl="6" w:tplc="D34480EE">
      <w:start w:val="1"/>
      <w:numFmt w:val="bullet"/>
      <w:lvlText w:val=""/>
      <w:lvlJc w:val="left"/>
      <w:pPr>
        <w:ind w:left="720" w:hanging="360"/>
      </w:pPr>
      <w:rPr>
        <w:rFonts w:ascii="Symbol" w:hAnsi="Symbol"/>
      </w:rPr>
    </w:lvl>
    <w:lvl w:ilvl="7" w:tplc="BABE86B6">
      <w:start w:val="1"/>
      <w:numFmt w:val="bullet"/>
      <w:lvlText w:val=""/>
      <w:lvlJc w:val="left"/>
      <w:pPr>
        <w:ind w:left="720" w:hanging="360"/>
      </w:pPr>
      <w:rPr>
        <w:rFonts w:ascii="Symbol" w:hAnsi="Symbol"/>
      </w:rPr>
    </w:lvl>
    <w:lvl w:ilvl="8" w:tplc="5AD2833C">
      <w:start w:val="1"/>
      <w:numFmt w:val="bullet"/>
      <w:lvlText w:val=""/>
      <w:lvlJc w:val="left"/>
      <w:pPr>
        <w:ind w:left="720" w:hanging="360"/>
      </w:pPr>
      <w:rPr>
        <w:rFonts w:ascii="Symbol" w:hAnsi="Symbol"/>
      </w:rPr>
    </w:lvl>
  </w:abstractNum>
  <w:abstractNum w:abstractNumId="24" w15:restartNumberingAfterBreak="0">
    <w:nsid w:val="5E20408F"/>
    <w:multiLevelType w:val="hybridMultilevel"/>
    <w:tmpl w:val="EC3E95D6"/>
    <w:lvl w:ilvl="0" w:tplc="DC9CC564">
      <w:numFmt w:val="bullet"/>
      <w:lvlText w:val=""/>
      <w:lvlJc w:val="left"/>
      <w:pPr>
        <w:ind w:left="825" w:hanging="360"/>
      </w:pPr>
      <w:rPr>
        <w:rFonts w:ascii="Symbol" w:eastAsia="Symbol" w:hAnsi="Symbol" w:cs="Symbol" w:hint="default"/>
        <w:b w:val="0"/>
        <w:bCs w:val="0"/>
        <w:i w:val="0"/>
        <w:iCs w:val="0"/>
        <w:spacing w:val="0"/>
        <w:w w:val="100"/>
        <w:sz w:val="21"/>
        <w:szCs w:val="21"/>
        <w:lang w:val="en-US" w:eastAsia="en-US" w:bidi="ar-SA"/>
      </w:rPr>
    </w:lvl>
    <w:lvl w:ilvl="1" w:tplc="02002B14">
      <w:numFmt w:val="bullet"/>
      <w:lvlText w:val="•"/>
      <w:lvlJc w:val="left"/>
      <w:pPr>
        <w:ind w:left="1467" w:hanging="360"/>
      </w:pPr>
      <w:rPr>
        <w:rFonts w:hint="default"/>
        <w:lang w:val="en-US" w:eastAsia="en-US" w:bidi="ar-SA"/>
      </w:rPr>
    </w:lvl>
    <w:lvl w:ilvl="2" w:tplc="10F263D4">
      <w:numFmt w:val="bullet"/>
      <w:lvlText w:val="•"/>
      <w:lvlJc w:val="left"/>
      <w:pPr>
        <w:ind w:left="2115" w:hanging="360"/>
      </w:pPr>
      <w:rPr>
        <w:rFonts w:hint="default"/>
        <w:lang w:val="en-US" w:eastAsia="en-US" w:bidi="ar-SA"/>
      </w:rPr>
    </w:lvl>
    <w:lvl w:ilvl="3" w:tplc="155CDF58">
      <w:numFmt w:val="bullet"/>
      <w:lvlText w:val="•"/>
      <w:lvlJc w:val="left"/>
      <w:pPr>
        <w:ind w:left="2763" w:hanging="360"/>
      </w:pPr>
      <w:rPr>
        <w:rFonts w:hint="default"/>
        <w:lang w:val="en-US" w:eastAsia="en-US" w:bidi="ar-SA"/>
      </w:rPr>
    </w:lvl>
    <w:lvl w:ilvl="4" w:tplc="F2F09B48">
      <w:numFmt w:val="bullet"/>
      <w:lvlText w:val="•"/>
      <w:lvlJc w:val="left"/>
      <w:pPr>
        <w:ind w:left="3410" w:hanging="360"/>
      </w:pPr>
      <w:rPr>
        <w:rFonts w:hint="default"/>
        <w:lang w:val="en-US" w:eastAsia="en-US" w:bidi="ar-SA"/>
      </w:rPr>
    </w:lvl>
    <w:lvl w:ilvl="5" w:tplc="8DF200A8">
      <w:numFmt w:val="bullet"/>
      <w:lvlText w:val="•"/>
      <w:lvlJc w:val="left"/>
      <w:pPr>
        <w:ind w:left="4058" w:hanging="360"/>
      </w:pPr>
      <w:rPr>
        <w:rFonts w:hint="default"/>
        <w:lang w:val="en-US" w:eastAsia="en-US" w:bidi="ar-SA"/>
      </w:rPr>
    </w:lvl>
    <w:lvl w:ilvl="6" w:tplc="87F0A8F0">
      <w:numFmt w:val="bullet"/>
      <w:lvlText w:val="•"/>
      <w:lvlJc w:val="left"/>
      <w:pPr>
        <w:ind w:left="4706" w:hanging="360"/>
      </w:pPr>
      <w:rPr>
        <w:rFonts w:hint="default"/>
        <w:lang w:val="en-US" w:eastAsia="en-US" w:bidi="ar-SA"/>
      </w:rPr>
    </w:lvl>
    <w:lvl w:ilvl="7" w:tplc="684A5014">
      <w:numFmt w:val="bullet"/>
      <w:lvlText w:val="•"/>
      <w:lvlJc w:val="left"/>
      <w:pPr>
        <w:ind w:left="5353" w:hanging="360"/>
      </w:pPr>
      <w:rPr>
        <w:rFonts w:hint="default"/>
        <w:lang w:val="en-US" w:eastAsia="en-US" w:bidi="ar-SA"/>
      </w:rPr>
    </w:lvl>
    <w:lvl w:ilvl="8" w:tplc="6AA80938">
      <w:numFmt w:val="bullet"/>
      <w:lvlText w:val="•"/>
      <w:lvlJc w:val="left"/>
      <w:pPr>
        <w:ind w:left="6001" w:hanging="360"/>
      </w:pPr>
      <w:rPr>
        <w:rFonts w:hint="default"/>
        <w:lang w:val="en-US" w:eastAsia="en-US" w:bidi="ar-SA"/>
      </w:rPr>
    </w:lvl>
  </w:abstractNum>
  <w:abstractNum w:abstractNumId="25" w15:restartNumberingAfterBreak="0">
    <w:nsid w:val="5EC872A7"/>
    <w:multiLevelType w:val="hybridMultilevel"/>
    <w:tmpl w:val="6C6252F8"/>
    <w:lvl w:ilvl="0" w:tplc="6DF01020">
      <w:numFmt w:val="bullet"/>
      <w:lvlText w:val=""/>
      <w:lvlJc w:val="left"/>
      <w:pPr>
        <w:ind w:left="825" w:hanging="360"/>
      </w:pPr>
      <w:rPr>
        <w:rFonts w:ascii="Symbol" w:eastAsia="Symbol" w:hAnsi="Symbol" w:cs="Symbol" w:hint="default"/>
        <w:b w:val="0"/>
        <w:bCs w:val="0"/>
        <w:i w:val="0"/>
        <w:iCs w:val="0"/>
        <w:spacing w:val="0"/>
        <w:w w:val="100"/>
        <w:sz w:val="21"/>
        <w:szCs w:val="21"/>
        <w:lang w:val="en-US" w:eastAsia="en-US" w:bidi="ar-SA"/>
      </w:rPr>
    </w:lvl>
    <w:lvl w:ilvl="1" w:tplc="F5E4BB7E">
      <w:numFmt w:val="bullet"/>
      <w:lvlText w:val="•"/>
      <w:lvlJc w:val="left"/>
      <w:pPr>
        <w:ind w:left="1467" w:hanging="360"/>
      </w:pPr>
      <w:rPr>
        <w:rFonts w:hint="default"/>
        <w:lang w:val="en-US" w:eastAsia="en-US" w:bidi="ar-SA"/>
      </w:rPr>
    </w:lvl>
    <w:lvl w:ilvl="2" w:tplc="6DBAFA8C">
      <w:numFmt w:val="bullet"/>
      <w:lvlText w:val="•"/>
      <w:lvlJc w:val="left"/>
      <w:pPr>
        <w:ind w:left="2115" w:hanging="360"/>
      </w:pPr>
      <w:rPr>
        <w:rFonts w:hint="default"/>
        <w:lang w:val="en-US" w:eastAsia="en-US" w:bidi="ar-SA"/>
      </w:rPr>
    </w:lvl>
    <w:lvl w:ilvl="3" w:tplc="5D4CC970">
      <w:numFmt w:val="bullet"/>
      <w:lvlText w:val="•"/>
      <w:lvlJc w:val="left"/>
      <w:pPr>
        <w:ind w:left="2763" w:hanging="360"/>
      </w:pPr>
      <w:rPr>
        <w:rFonts w:hint="default"/>
        <w:lang w:val="en-US" w:eastAsia="en-US" w:bidi="ar-SA"/>
      </w:rPr>
    </w:lvl>
    <w:lvl w:ilvl="4" w:tplc="6CC2EF22">
      <w:numFmt w:val="bullet"/>
      <w:lvlText w:val="•"/>
      <w:lvlJc w:val="left"/>
      <w:pPr>
        <w:ind w:left="3410" w:hanging="360"/>
      </w:pPr>
      <w:rPr>
        <w:rFonts w:hint="default"/>
        <w:lang w:val="en-US" w:eastAsia="en-US" w:bidi="ar-SA"/>
      </w:rPr>
    </w:lvl>
    <w:lvl w:ilvl="5" w:tplc="9D8ED12C">
      <w:numFmt w:val="bullet"/>
      <w:lvlText w:val="•"/>
      <w:lvlJc w:val="left"/>
      <w:pPr>
        <w:ind w:left="4058" w:hanging="360"/>
      </w:pPr>
      <w:rPr>
        <w:rFonts w:hint="default"/>
        <w:lang w:val="en-US" w:eastAsia="en-US" w:bidi="ar-SA"/>
      </w:rPr>
    </w:lvl>
    <w:lvl w:ilvl="6" w:tplc="11901FEE">
      <w:numFmt w:val="bullet"/>
      <w:lvlText w:val="•"/>
      <w:lvlJc w:val="left"/>
      <w:pPr>
        <w:ind w:left="4706" w:hanging="360"/>
      </w:pPr>
      <w:rPr>
        <w:rFonts w:hint="default"/>
        <w:lang w:val="en-US" w:eastAsia="en-US" w:bidi="ar-SA"/>
      </w:rPr>
    </w:lvl>
    <w:lvl w:ilvl="7" w:tplc="5FBABED8">
      <w:numFmt w:val="bullet"/>
      <w:lvlText w:val="•"/>
      <w:lvlJc w:val="left"/>
      <w:pPr>
        <w:ind w:left="5353" w:hanging="360"/>
      </w:pPr>
      <w:rPr>
        <w:rFonts w:hint="default"/>
        <w:lang w:val="en-US" w:eastAsia="en-US" w:bidi="ar-SA"/>
      </w:rPr>
    </w:lvl>
    <w:lvl w:ilvl="8" w:tplc="1FFEA7EE">
      <w:numFmt w:val="bullet"/>
      <w:lvlText w:val="•"/>
      <w:lvlJc w:val="left"/>
      <w:pPr>
        <w:ind w:left="6001" w:hanging="360"/>
      </w:pPr>
      <w:rPr>
        <w:rFonts w:hint="default"/>
        <w:lang w:val="en-US" w:eastAsia="en-US" w:bidi="ar-SA"/>
      </w:rPr>
    </w:lvl>
  </w:abstractNum>
  <w:abstractNum w:abstractNumId="26" w15:restartNumberingAfterBreak="0">
    <w:nsid w:val="655E1FEE"/>
    <w:multiLevelType w:val="hybridMultilevel"/>
    <w:tmpl w:val="6C569128"/>
    <w:lvl w:ilvl="0" w:tplc="34CCCAA6">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FB6C1F68">
      <w:numFmt w:val="bullet"/>
      <w:lvlText w:val="•"/>
      <w:lvlJc w:val="left"/>
      <w:pPr>
        <w:ind w:left="1573" w:hanging="360"/>
      </w:pPr>
      <w:rPr>
        <w:rFonts w:hint="default"/>
        <w:lang w:val="en-US" w:eastAsia="en-US" w:bidi="ar-SA"/>
      </w:rPr>
    </w:lvl>
    <w:lvl w:ilvl="2" w:tplc="255A738E">
      <w:numFmt w:val="bullet"/>
      <w:lvlText w:val="•"/>
      <w:lvlJc w:val="left"/>
      <w:pPr>
        <w:ind w:left="2406" w:hanging="360"/>
      </w:pPr>
      <w:rPr>
        <w:rFonts w:hint="default"/>
        <w:lang w:val="en-US" w:eastAsia="en-US" w:bidi="ar-SA"/>
      </w:rPr>
    </w:lvl>
    <w:lvl w:ilvl="3" w:tplc="ACB87B84">
      <w:numFmt w:val="bullet"/>
      <w:lvlText w:val="•"/>
      <w:lvlJc w:val="left"/>
      <w:pPr>
        <w:ind w:left="3239" w:hanging="360"/>
      </w:pPr>
      <w:rPr>
        <w:rFonts w:hint="default"/>
        <w:lang w:val="en-US" w:eastAsia="en-US" w:bidi="ar-SA"/>
      </w:rPr>
    </w:lvl>
    <w:lvl w:ilvl="4" w:tplc="0F601B3A">
      <w:numFmt w:val="bullet"/>
      <w:lvlText w:val="•"/>
      <w:lvlJc w:val="left"/>
      <w:pPr>
        <w:ind w:left="4072" w:hanging="360"/>
      </w:pPr>
      <w:rPr>
        <w:rFonts w:hint="default"/>
        <w:lang w:val="en-US" w:eastAsia="en-US" w:bidi="ar-SA"/>
      </w:rPr>
    </w:lvl>
    <w:lvl w:ilvl="5" w:tplc="E5A2FCC2">
      <w:numFmt w:val="bullet"/>
      <w:lvlText w:val="•"/>
      <w:lvlJc w:val="left"/>
      <w:pPr>
        <w:ind w:left="4906" w:hanging="360"/>
      </w:pPr>
      <w:rPr>
        <w:rFonts w:hint="default"/>
        <w:lang w:val="en-US" w:eastAsia="en-US" w:bidi="ar-SA"/>
      </w:rPr>
    </w:lvl>
    <w:lvl w:ilvl="6" w:tplc="2E389226">
      <w:numFmt w:val="bullet"/>
      <w:lvlText w:val="•"/>
      <w:lvlJc w:val="left"/>
      <w:pPr>
        <w:ind w:left="5739" w:hanging="360"/>
      </w:pPr>
      <w:rPr>
        <w:rFonts w:hint="default"/>
        <w:lang w:val="en-US" w:eastAsia="en-US" w:bidi="ar-SA"/>
      </w:rPr>
    </w:lvl>
    <w:lvl w:ilvl="7" w:tplc="69F20220">
      <w:numFmt w:val="bullet"/>
      <w:lvlText w:val="•"/>
      <w:lvlJc w:val="left"/>
      <w:pPr>
        <w:ind w:left="6572" w:hanging="360"/>
      </w:pPr>
      <w:rPr>
        <w:rFonts w:hint="default"/>
        <w:lang w:val="en-US" w:eastAsia="en-US" w:bidi="ar-SA"/>
      </w:rPr>
    </w:lvl>
    <w:lvl w:ilvl="8" w:tplc="C2A6EECC">
      <w:numFmt w:val="bullet"/>
      <w:lvlText w:val="•"/>
      <w:lvlJc w:val="left"/>
      <w:pPr>
        <w:ind w:left="7405" w:hanging="360"/>
      </w:pPr>
      <w:rPr>
        <w:rFonts w:hint="default"/>
        <w:lang w:val="en-US" w:eastAsia="en-US" w:bidi="ar-SA"/>
      </w:rPr>
    </w:lvl>
  </w:abstractNum>
  <w:abstractNum w:abstractNumId="27" w15:restartNumberingAfterBreak="0">
    <w:nsid w:val="69B91A37"/>
    <w:multiLevelType w:val="hybridMultilevel"/>
    <w:tmpl w:val="8BCA36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D594D34"/>
    <w:multiLevelType w:val="hybridMultilevel"/>
    <w:tmpl w:val="27401E1E"/>
    <w:lvl w:ilvl="0" w:tplc="AF48F888">
      <w:numFmt w:val="bullet"/>
      <w:lvlText w:val=""/>
      <w:lvlJc w:val="left"/>
      <w:pPr>
        <w:ind w:left="827" w:hanging="360"/>
      </w:pPr>
      <w:rPr>
        <w:rFonts w:ascii="Symbol" w:eastAsia="Symbol" w:hAnsi="Symbol" w:cs="Symbol" w:hint="default"/>
        <w:b w:val="0"/>
        <w:bCs w:val="0"/>
        <w:i w:val="0"/>
        <w:iCs w:val="0"/>
        <w:spacing w:val="0"/>
        <w:w w:val="100"/>
        <w:sz w:val="18"/>
        <w:szCs w:val="18"/>
        <w:lang w:val="en-US" w:eastAsia="en-US" w:bidi="ar-SA"/>
      </w:rPr>
    </w:lvl>
    <w:lvl w:ilvl="1" w:tplc="1AF8F806">
      <w:numFmt w:val="bullet"/>
      <w:lvlText w:val="•"/>
      <w:lvlJc w:val="left"/>
      <w:pPr>
        <w:ind w:left="1520" w:hanging="360"/>
      </w:pPr>
      <w:rPr>
        <w:rFonts w:hint="default"/>
        <w:lang w:val="en-US" w:eastAsia="en-US" w:bidi="ar-SA"/>
      </w:rPr>
    </w:lvl>
    <w:lvl w:ilvl="2" w:tplc="90129ABA">
      <w:numFmt w:val="bullet"/>
      <w:lvlText w:val="•"/>
      <w:lvlJc w:val="left"/>
      <w:pPr>
        <w:ind w:left="2221" w:hanging="360"/>
      </w:pPr>
      <w:rPr>
        <w:rFonts w:hint="default"/>
        <w:lang w:val="en-US" w:eastAsia="en-US" w:bidi="ar-SA"/>
      </w:rPr>
    </w:lvl>
    <w:lvl w:ilvl="3" w:tplc="6C64B94A">
      <w:numFmt w:val="bullet"/>
      <w:lvlText w:val="•"/>
      <w:lvlJc w:val="left"/>
      <w:pPr>
        <w:ind w:left="2921" w:hanging="360"/>
      </w:pPr>
      <w:rPr>
        <w:rFonts w:hint="default"/>
        <w:lang w:val="en-US" w:eastAsia="en-US" w:bidi="ar-SA"/>
      </w:rPr>
    </w:lvl>
    <w:lvl w:ilvl="4" w:tplc="F6C0E004">
      <w:numFmt w:val="bullet"/>
      <w:lvlText w:val="•"/>
      <w:lvlJc w:val="left"/>
      <w:pPr>
        <w:ind w:left="3622" w:hanging="360"/>
      </w:pPr>
      <w:rPr>
        <w:rFonts w:hint="default"/>
        <w:lang w:val="en-US" w:eastAsia="en-US" w:bidi="ar-SA"/>
      </w:rPr>
    </w:lvl>
    <w:lvl w:ilvl="5" w:tplc="B552943C">
      <w:numFmt w:val="bullet"/>
      <w:lvlText w:val="•"/>
      <w:lvlJc w:val="left"/>
      <w:pPr>
        <w:ind w:left="4322" w:hanging="360"/>
      </w:pPr>
      <w:rPr>
        <w:rFonts w:hint="default"/>
        <w:lang w:val="en-US" w:eastAsia="en-US" w:bidi="ar-SA"/>
      </w:rPr>
    </w:lvl>
    <w:lvl w:ilvl="6" w:tplc="312A6D8C">
      <w:numFmt w:val="bullet"/>
      <w:lvlText w:val="•"/>
      <w:lvlJc w:val="left"/>
      <w:pPr>
        <w:ind w:left="5023" w:hanging="360"/>
      </w:pPr>
      <w:rPr>
        <w:rFonts w:hint="default"/>
        <w:lang w:val="en-US" w:eastAsia="en-US" w:bidi="ar-SA"/>
      </w:rPr>
    </w:lvl>
    <w:lvl w:ilvl="7" w:tplc="15F48C90">
      <w:numFmt w:val="bullet"/>
      <w:lvlText w:val="•"/>
      <w:lvlJc w:val="left"/>
      <w:pPr>
        <w:ind w:left="5723" w:hanging="360"/>
      </w:pPr>
      <w:rPr>
        <w:rFonts w:hint="default"/>
        <w:lang w:val="en-US" w:eastAsia="en-US" w:bidi="ar-SA"/>
      </w:rPr>
    </w:lvl>
    <w:lvl w:ilvl="8" w:tplc="120EDEF8">
      <w:numFmt w:val="bullet"/>
      <w:lvlText w:val="•"/>
      <w:lvlJc w:val="left"/>
      <w:pPr>
        <w:ind w:left="6424" w:hanging="360"/>
      </w:pPr>
      <w:rPr>
        <w:rFonts w:hint="default"/>
        <w:lang w:val="en-US" w:eastAsia="en-US" w:bidi="ar-SA"/>
      </w:rPr>
    </w:lvl>
  </w:abstractNum>
  <w:abstractNum w:abstractNumId="29" w15:restartNumberingAfterBreak="0">
    <w:nsid w:val="72200853"/>
    <w:multiLevelType w:val="hybridMultilevel"/>
    <w:tmpl w:val="FCE6B628"/>
    <w:lvl w:ilvl="0" w:tplc="9954CFC8">
      <w:numFmt w:val="bullet"/>
      <w:lvlText w:val=""/>
      <w:lvlJc w:val="left"/>
      <w:pPr>
        <w:ind w:left="467" w:hanging="360"/>
      </w:pPr>
      <w:rPr>
        <w:rFonts w:ascii="Symbol" w:eastAsia="Symbol" w:hAnsi="Symbol" w:cs="Symbol" w:hint="default"/>
        <w:b w:val="0"/>
        <w:bCs w:val="0"/>
        <w:i w:val="0"/>
        <w:iCs w:val="0"/>
        <w:spacing w:val="0"/>
        <w:w w:val="100"/>
        <w:sz w:val="18"/>
        <w:szCs w:val="18"/>
        <w:lang w:val="en-US" w:eastAsia="en-US" w:bidi="ar-SA"/>
      </w:rPr>
    </w:lvl>
    <w:lvl w:ilvl="1" w:tplc="DCBA5E9E">
      <w:numFmt w:val="bullet"/>
      <w:lvlText w:val="•"/>
      <w:lvlJc w:val="left"/>
      <w:pPr>
        <w:ind w:left="1196" w:hanging="360"/>
      </w:pPr>
      <w:rPr>
        <w:rFonts w:hint="default"/>
        <w:lang w:val="en-US" w:eastAsia="en-US" w:bidi="ar-SA"/>
      </w:rPr>
    </w:lvl>
    <w:lvl w:ilvl="2" w:tplc="5E52EBF6">
      <w:numFmt w:val="bullet"/>
      <w:lvlText w:val="•"/>
      <w:lvlJc w:val="left"/>
      <w:pPr>
        <w:ind w:left="1933" w:hanging="360"/>
      </w:pPr>
      <w:rPr>
        <w:rFonts w:hint="default"/>
        <w:lang w:val="en-US" w:eastAsia="en-US" w:bidi="ar-SA"/>
      </w:rPr>
    </w:lvl>
    <w:lvl w:ilvl="3" w:tplc="DE46E844">
      <w:numFmt w:val="bullet"/>
      <w:lvlText w:val="•"/>
      <w:lvlJc w:val="left"/>
      <w:pPr>
        <w:ind w:left="2669" w:hanging="360"/>
      </w:pPr>
      <w:rPr>
        <w:rFonts w:hint="default"/>
        <w:lang w:val="en-US" w:eastAsia="en-US" w:bidi="ar-SA"/>
      </w:rPr>
    </w:lvl>
    <w:lvl w:ilvl="4" w:tplc="2CD67160">
      <w:numFmt w:val="bullet"/>
      <w:lvlText w:val="•"/>
      <w:lvlJc w:val="left"/>
      <w:pPr>
        <w:ind w:left="3406" w:hanging="360"/>
      </w:pPr>
      <w:rPr>
        <w:rFonts w:hint="default"/>
        <w:lang w:val="en-US" w:eastAsia="en-US" w:bidi="ar-SA"/>
      </w:rPr>
    </w:lvl>
    <w:lvl w:ilvl="5" w:tplc="F90262CA">
      <w:numFmt w:val="bullet"/>
      <w:lvlText w:val="•"/>
      <w:lvlJc w:val="left"/>
      <w:pPr>
        <w:ind w:left="4142" w:hanging="360"/>
      </w:pPr>
      <w:rPr>
        <w:rFonts w:hint="default"/>
        <w:lang w:val="en-US" w:eastAsia="en-US" w:bidi="ar-SA"/>
      </w:rPr>
    </w:lvl>
    <w:lvl w:ilvl="6" w:tplc="4B74EE08">
      <w:numFmt w:val="bullet"/>
      <w:lvlText w:val="•"/>
      <w:lvlJc w:val="left"/>
      <w:pPr>
        <w:ind w:left="4879" w:hanging="360"/>
      </w:pPr>
      <w:rPr>
        <w:rFonts w:hint="default"/>
        <w:lang w:val="en-US" w:eastAsia="en-US" w:bidi="ar-SA"/>
      </w:rPr>
    </w:lvl>
    <w:lvl w:ilvl="7" w:tplc="72A48ED8">
      <w:numFmt w:val="bullet"/>
      <w:lvlText w:val="•"/>
      <w:lvlJc w:val="left"/>
      <w:pPr>
        <w:ind w:left="5615" w:hanging="360"/>
      </w:pPr>
      <w:rPr>
        <w:rFonts w:hint="default"/>
        <w:lang w:val="en-US" w:eastAsia="en-US" w:bidi="ar-SA"/>
      </w:rPr>
    </w:lvl>
    <w:lvl w:ilvl="8" w:tplc="8500E254">
      <w:numFmt w:val="bullet"/>
      <w:lvlText w:val="•"/>
      <w:lvlJc w:val="left"/>
      <w:pPr>
        <w:ind w:left="6352" w:hanging="360"/>
      </w:pPr>
      <w:rPr>
        <w:rFonts w:hint="default"/>
        <w:lang w:val="en-US" w:eastAsia="en-US" w:bidi="ar-SA"/>
      </w:rPr>
    </w:lvl>
  </w:abstractNum>
  <w:abstractNum w:abstractNumId="30" w15:restartNumberingAfterBreak="0">
    <w:nsid w:val="75407735"/>
    <w:multiLevelType w:val="hybridMultilevel"/>
    <w:tmpl w:val="EDEAAE18"/>
    <w:lvl w:ilvl="0" w:tplc="604240BA">
      <w:numFmt w:val="bullet"/>
      <w:lvlText w:val=""/>
      <w:lvlJc w:val="left"/>
      <w:pPr>
        <w:ind w:left="1309" w:hanging="360"/>
      </w:pPr>
      <w:rPr>
        <w:rFonts w:ascii="Symbol" w:eastAsia="Symbol" w:hAnsi="Symbol" w:cs="Symbol" w:hint="default"/>
        <w:b w:val="0"/>
        <w:bCs w:val="0"/>
        <w:i w:val="0"/>
        <w:iCs w:val="0"/>
        <w:spacing w:val="0"/>
        <w:w w:val="100"/>
        <w:sz w:val="22"/>
        <w:szCs w:val="22"/>
        <w:lang w:val="en-US" w:eastAsia="en-US" w:bidi="ar-SA"/>
      </w:rPr>
    </w:lvl>
    <w:lvl w:ilvl="1" w:tplc="8D3EE4BE">
      <w:numFmt w:val="bullet"/>
      <w:lvlText w:val="•"/>
      <w:lvlJc w:val="left"/>
      <w:pPr>
        <w:ind w:left="2077" w:hanging="360"/>
      </w:pPr>
      <w:rPr>
        <w:rFonts w:hint="default"/>
        <w:lang w:val="en-US" w:eastAsia="en-US" w:bidi="ar-SA"/>
      </w:rPr>
    </w:lvl>
    <w:lvl w:ilvl="2" w:tplc="DA707DEC">
      <w:numFmt w:val="bullet"/>
      <w:lvlText w:val="•"/>
      <w:lvlJc w:val="left"/>
      <w:pPr>
        <w:ind w:left="2854" w:hanging="360"/>
      </w:pPr>
      <w:rPr>
        <w:rFonts w:hint="default"/>
        <w:lang w:val="en-US" w:eastAsia="en-US" w:bidi="ar-SA"/>
      </w:rPr>
    </w:lvl>
    <w:lvl w:ilvl="3" w:tplc="6890ED8C">
      <w:numFmt w:val="bullet"/>
      <w:lvlText w:val="•"/>
      <w:lvlJc w:val="left"/>
      <w:pPr>
        <w:ind w:left="3631" w:hanging="360"/>
      </w:pPr>
      <w:rPr>
        <w:rFonts w:hint="default"/>
        <w:lang w:val="en-US" w:eastAsia="en-US" w:bidi="ar-SA"/>
      </w:rPr>
    </w:lvl>
    <w:lvl w:ilvl="4" w:tplc="9B882CE4">
      <w:numFmt w:val="bullet"/>
      <w:lvlText w:val="•"/>
      <w:lvlJc w:val="left"/>
      <w:pPr>
        <w:ind w:left="4408" w:hanging="360"/>
      </w:pPr>
      <w:rPr>
        <w:rFonts w:hint="default"/>
        <w:lang w:val="en-US" w:eastAsia="en-US" w:bidi="ar-SA"/>
      </w:rPr>
    </w:lvl>
    <w:lvl w:ilvl="5" w:tplc="A2F2A440">
      <w:numFmt w:val="bullet"/>
      <w:lvlText w:val="•"/>
      <w:lvlJc w:val="left"/>
      <w:pPr>
        <w:ind w:left="5186" w:hanging="360"/>
      </w:pPr>
      <w:rPr>
        <w:rFonts w:hint="default"/>
        <w:lang w:val="en-US" w:eastAsia="en-US" w:bidi="ar-SA"/>
      </w:rPr>
    </w:lvl>
    <w:lvl w:ilvl="6" w:tplc="D93EB136">
      <w:numFmt w:val="bullet"/>
      <w:lvlText w:val="•"/>
      <w:lvlJc w:val="left"/>
      <w:pPr>
        <w:ind w:left="5963" w:hanging="360"/>
      </w:pPr>
      <w:rPr>
        <w:rFonts w:hint="default"/>
        <w:lang w:val="en-US" w:eastAsia="en-US" w:bidi="ar-SA"/>
      </w:rPr>
    </w:lvl>
    <w:lvl w:ilvl="7" w:tplc="FEB4EA28">
      <w:numFmt w:val="bullet"/>
      <w:lvlText w:val="•"/>
      <w:lvlJc w:val="left"/>
      <w:pPr>
        <w:ind w:left="6740" w:hanging="360"/>
      </w:pPr>
      <w:rPr>
        <w:rFonts w:hint="default"/>
        <w:lang w:val="en-US" w:eastAsia="en-US" w:bidi="ar-SA"/>
      </w:rPr>
    </w:lvl>
    <w:lvl w:ilvl="8" w:tplc="92B6F000">
      <w:numFmt w:val="bullet"/>
      <w:lvlText w:val="•"/>
      <w:lvlJc w:val="left"/>
      <w:pPr>
        <w:ind w:left="7517" w:hanging="360"/>
      </w:pPr>
      <w:rPr>
        <w:rFonts w:hint="default"/>
        <w:lang w:val="en-US" w:eastAsia="en-US" w:bidi="ar-SA"/>
      </w:rPr>
    </w:lvl>
  </w:abstractNum>
  <w:abstractNum w:abstractNumId="31" w15:restartNumberingAfterBreak="0">
    <w:nsid w:val="7A6379A9"/>
    <w:multiLevelType w:val="hybridMultilevel"/>
    <w:tmpl w:val="4FE8D072"/>
    <w:lvl w:ilvl="0" w:tplc="40AA1BA0">
      <w:start w:val="1"/>
      <w:numFmt w:val="bullet"/>
      <w:lvlText w:val=""/>
      <w:lvlJc w:val="left"/>
      <w:pPr>
        <w:ind w:left="720" w:hanging="360"/>
      </w:pPr>
      <w:rPr>
        <w:rFonts w:ascii="Symbol" w:hAnsi="Symbol"/>
      </w:rPr>
    </w:lvl>
    <w:lvl w:ilvl="1" w:tplc="15A0EAC8">
      <w:start w:val="1"/>
      <w:numFmt w:val="bullet"/>
      <w:lvlText w:val=""/>
      <w:lvlJc w:val="left"/>
      <w:pPr>
        <w:ind w:left="720" w:hanging="360"/>
      </w:pPr>
      <w:rPr>
        <w:rFonts w:ascii="Symbol" w:hAnsi="Symbol"/>
      </w:rPr>
    </w:lvl>
    <w:lvl w:ilvl="2" w:tplc="A2A06F8A">
      <w:start w:val="1"/>
      <w:numFmt w:val="bullet"/>
      <w:lvlText w:val=""/>
      <w:lvlJc w:val="left"/>
      <w:pPr>
        <w:ind w:left="720" w:hanging="360"/>
      </w:pPr>
      <w:rPr>
        <w:rFonts w:ascii="Symbol" w:hAnsi="Symbol"/>
      </w:rPr>
    </w:lvl>
    <w:lvl w:ilvl="3" w:tplc="638C4750">
      <w:start w:val="1"/>
      <w:numFmt w:val="bullet"/>
      <w:lvlText w:val=""/>
      <w:lvlJc w:val="left"/>
      <w:pPr>
        <w:ind w:left="720" w:hanging="360"/>
      </w:pPr>
      <w:rPr>
        <w:rFonts w:ascii="Symbol" w:hAnsi="Symbol"/>
      </w:rPr>
    </w:lvl>
    <w:lvl w:ilvl="4" w:tplc="593CA732">
      <w:start w:val="1"/>
      <w:numFmt w:val="bullet"/>
      <w:lvlText w:val=""/>
      <w:lvlJc w:val="left"/>
      <w:pPr>
        <w:ind w:left="720" w:hanging="360"/>
      </w:pPr>
      <w:rPr>
        <w:rFonts w:ascii="Symbol" w:hAnsi="Symbol"/>
      </w:rPr>
    </w:lvl>
    <w:lvl w:ilvl="5" w:tplc="A2B0A4B0">
      <w:start w:val="1"/>
      <w:numFmt w:val="bullet"/>
      <w:lvlText w:val=""/>
      <w:lvlJc w:val="left"/>
      <w:pPr>
        <w:ind w:left="720" w:hanging="360"/>
      </w:pPr>
      <w:rPr>
        <w:rFonts w:ascii="Symbol" w:hAnsi="Symbol"/>
      </w:rPr>
    </w:lvl>
    <w:lvl w:ilvl="6" w:tplc="60CE26AE">
      <w:start w:val="1"/>
      <w:numFmt w:val="bullet"/>
      <w:lvlText w:val=""/>
      <w:lvlJc w:val="left"/>
      <w:pPr>
        <w:ind w:left="720" w:hanging="360"/>
      </w:pPr>
      <w:rPr>
        <w:rFonts w:ascii="Symbol" w:hAnsi="Symbol"/>
      </w:rPr>
    </w:lvl>
    <w:lvl w:ilvl="7" w:tplc="488A39BE">
      <w:start w:val="1"/>
      <w:numFmt w:val="bullet"/>
      <w:lvlText w:val=""/>
      <w:lvlJc w:val="left"/>
      <w:pPr>
        <w:ind w:left="720" w:hanging="360"/>
      </w:pPr>
      <w:rPr>
        <w:rFonts w:ascii="Symbol" w:hAnsi="Symbol"/>
      </w:rPr>
    </w:lvl>
    <w:lvl w:ilvl="8" w:tplc="C188F4DC">
      <w:start w:val="1"/>
      <w:numFmt w:val="bullet"/>
      <w:lvlText w:val=""/>
      <w:lvlJc w:val="left"/>
      <w:pPr>
        <w:ind w:left="720" w:hanging="360"/>
      </w:pPr>
      <w:rPr>
        <w:rFonts w:ascii="Symbol" w:hAnsi="Symbol"/>
      </w:rPr>
    </w:lvl>
  </w:abstractNum>
  <w:abstractNum w:abstractNumId="32" w15:restartNumberingAfterBreak="0">
    <w:nsid w:val="7D5B6B25"/>
    <w:multiLevelType w:val="hybridMultilevel"/>
    <w:tmpl w:val="8F58CA3C"/>
    <w:lvl w:ilvl="0" w:tplc="F626D814">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0874A220">
      <w:numFmt w:val="bullet"/>
      <w:lvlText w:val="o"/>
      <w:lvlJc w:val="left"/>
      <w:pPr>
        <w:ind w:left="1463" w:hanging="360"/>
      </w:pPr>
      <w:rPr>
        <w:rFonts w:ascii="Courier New" w:eastAsia="Courier New" w:hAnsi="Courier New" w:cs="Courier New" w:hint="default"/>
        <w:b w:val="0"/>
        <w:bCs w:val="0"/>
        <w:i w:val="0"/>
        <w:iCs w:val="0"/>
        <w:spacing w:val="0"/>
        <w:w w:val="100"/>
        <w:sz w:val="22"/>
        <w:szCs w:val="22"/>
        <w:lang w:val="en-US" w:eastAsia="en-US" w:bidi="ar-SA"/>
      </w:rPr>
    </w:lvl>
    <w:lvl w:ilvl="2" w:tplc="396EBC76">
      <w:numFmt w:val="bullet"/>
      <w:lvlText w:val="•"/>
      <w:lvlJc w:val="left"/>
      <w:pPr>
        <w:ind w:left="2305" w:hanging="360"/>
      </w:pPr>
      <w:rPr>
        <w:rFonts w:hint="default"/>
        <w:lang w:val="en-US" w:eastAsia="en-US" w:bidi="ar-SA"/>
      </w:rPr>
    </w:lvl>
    <w:lvl w:ilvl="3" w:tplc="7C10F9E6">
      <w:numFmt w:val="bullet"/>
      <w:lvlText w:val="•"/>
      <w:lvlJc w:val="left"/>
      <w:pPr>
        <w:ind w:left="3151" w:hanging="360"/>
      </w:pPr>
      <w:rPr>
        <w:rFonts w:hint="default"/>
        <w:lang w:val="en-US" w:eastAsia="en-US" w:bidi="ar-SA"/>
      </w:rPr>
    </w:lvl>
    <w:lvl w:ilvl="4" w:tplc="79146992">
      <w:numFmt w:val="bullet"/>
      <w:lvlText w:val="•"/>
      <w:lvlJc w:val="left"/>
      <w:pPr>
        <w:ind w:left="3997" w:hanging="360"/>
      </w:pPr>
      <w:rPr>
        <w:rFonts w:hint="default"/>
        <w:lang w:val="en-US" w:eastAsia="en-US" w:bidi="ar-SA"/>
      </w:rPr>
    </w:lvl>
    <w:lvl w:ilvl="5" w:tplc="6A9EA032">
      <w:numFmt w:val="bullet"/>
      <w:lvlText w:val="•"/>
      <w:lvlJc w:val="left"/>
      <w:pPr>
        <w:ind w:left="4843" w:hanging="360"/>
      </w:pPr>
      <w:rPr>
        <w:rFonts w:hint="default"/>
        <w:lang w:val="en-US" w:eastAsia="en-US" w:bidi="ar-SA"/>
      </w:rPr>
    </w:lvl>
    <w:lvl w:ilvl="6" w:tplc="4522A61A">
      <w:numFmt w:val="bullet"/>
      <w:lvlText w:val="•"/>
      <w:lvlJc w:val="left"/>
      <w:pPr>
        <w:ind w:left="5689" w:hanging="360"/>
      </w:pPr>
      <w:rPr>
        <w:rFonts w:hint="default"/>
        <w:lang w:val="en-US" w:eastAsia="en-US" w:bidi="ar-SA"/>
      </w:rPr>
    </w:lvl>
    <w:lvl w:ilvl="7" w:tplc="D856D9D4">
      <w:numFmt w:val="bullet"/>
      <w:lvlText w:val="•"/>
      <w:lvlJc w:val="left"/>
      <w:pPr>
        <w:ind w:left="6534" w:hanging="360"/>
      </w:pPr>
      <w:rPr>
        <w:rFonts w:hint="default"/>
        <w:lang w:val="en-US" w:eastAsia="en-US" w:bidi="ar-SA"/>
      </w:rPr>
    </w:lvl>
    <w:lvl w:ilvl="8" w:tplc="315E373C">
      <w:numFmt w:val="bullet"/>
      <w:lvlText w:val="•"/>
      <w:lvlJc w:val="left"/>
      <w:pPr>
        <w:ind w:left="7380" w:hanging="360"/>
      </w:pPr>
      <w:rPr>
        <w:rFonts w:hint="default"/>
        <w:lang w:val="en-US" w:eastAsia="en-US" w:bidi="ar-SA"/>
      </w:rPr>
    </w:lvl>
  </w:abstractNum>
  <w:abstractNum w:abstractNumId="33" w15:restartNumberingAfterBreak="0">
    <w:nsid w:val="7E851AC1"/>
    <w:multiLevelType w:val="hybridMultilevel"/>
    <w:tmpl w:val="3C2607D8"/>
    <w:lvl w:ilvl="0" w:tplc="5C8CD836">
      <w:numFmt w:val="bullet"/>
      <w:lvlText w:val="–"/>
      <w:lvlJc w:val="left"/>
      <w:pPr>
        <w:ind w:left="743" w:hanging="360"/>
      </w:pPr>
      <w:rPr>
        <w:rFonts w:ascii="Arial" w:eastAsia="Arial" w:hAnsi="Arial" w:cs="Arial" w:hint="default"/>
        <w:spacing w:val="0"/>
        <w:w w:val="100"/>
        <w:lang w:val="en-US" w:eastAsia="en-US" w:bidi="ar-SA"/>
      </w:rPr>
    </w:lvl>
    <w:lvl w:ilvl="1" w:tplc="4342CE4E">
      <w:numFmt w:val="bullet"/>
      <w:lvlText w:val="•"/>
      <w:lvlJc w:val="left"/>
      <w:pPr>
        <w:ind w:left="1573" w:hanging="360"/>
      </w:pPr>
      <w:rPr>
        <w:rFonts w:hint="default"/>
        <w:lang w:val="en-US" w:eastAsia="en-US" w:bidi="ar-SA"/>
      </w:rPr>
    </w:lvl>
    <w:lvl w:ilvl="2" w:tplc="08F0428A">
      <w:numFmt w:val="bullet"/>
      <w:lvlText w:val="•"/>
      <w:lvlJc w:val="left"/>
      <w:pPr>
        <w:ind w:left="2406" w:hanging="360"/>
      </w:pPr>
      <w:rPr>
        <w:rFonts w:hint="default"/>
        <w:lang w:val="en-US" w:eastAsia="en-US" w:bidi="ar-SA"/>
      </w:rPr>
    </w:lvl>
    <w:lvl w:ilvl="3" w:tplc="F33AC1E6">
      <w:numFmt w:val="bullet"/>
      <w:lvlText w:val="•"/>
      <w:lvlJc w:val="left"/>
      <w:pPr>
        <w:ind w:left="3239" w:hanging="360"/>
      </w:pPr>
      <w:rPr>
        <w:rFonts w:hint="default"/>
        <w:lang w:val="en-US" w:eastAsia="en-US" w:bidi="ar-SA"/>
      </w:rPr>
    </w:lvl>
    <w:lvl w:ilvl="4" w:tplc="10DE7F8C">
      <w:numFmt w:val="bullet"/>
      <w:lvlText w:val="•"/>
      <w:lvlJc w:val="left"/>
      <w:pPr>
        <w:ind w:left="4072" w:hanging="360"/>
      </w:pPr>
      <w:rPr>
        <w:rFonts w:hint="default"/>
        <w:lang w:val="en-US" w:eastAsia="en-US" w:bidi="ar-SA"/>
      </w:rPr>
    </w:lvl>
    <w:lvl w:ilvl="5" w:tplc="99667F82">
      <w:numFmt w:val="bullet"/>
      <w:lvlText w:val="•"/>
      <w:lvlJc w:val="left"/>
      <w:pPr>
        <w:ind w:left="4906" w:hanging="360"/>
      </w:pPr>
      <w:rPr>
        <w:rFonts w:hint="default"/>
        <w:lang w:val="en-US" w:eastAsia="en-US" w:bidi="ar-SA"/>
      </w:rPr>
    </w:lvl>
    <w:lvl w:ilvl="6" w:tplc="382C668A">
      <w:numFmt w:val="bullet"/>
      <w:lvlText w:val="•"/>
      <w:lvlJc w:val="left"/>
      <w:pPr>
        <w:ind w:left="5739" w:hanging="360"/>
      </w:pPr>
      <w:rPr>
        <w:rFonts w:hint="default"/>
        <w:lang w:val="en-US" w:eastAsia="en-US" w:bidi="ar-SA"/>
      </w:rPr>
    </w:lvl>
    <w:lvl w:ilvl="7" w:tplc="14346C4A">
      <w:numFmt w:val="bullet"/>
      <w:lvlText w:val="•"/>
      <w:lvlJc w:val="left"/>
      <w:pPr>
        <w:ind w:left="6572" w:hanging="360"/>
      </w:pPr>
      <w:rPr>
        <w:rFonts w:hint="default"/>
        <w:lang w:val="en-US" w:eastAsia="en-US" w:bidi="ar-SA"/>
      </w:rPr>
    </w:lvl>
    <w:lvl w:ilvl="8" w:tplc="F0A21856">
      <w:numFmt w:val="bullet"/>
      <w:lvlText w:val="•"/>
      <w:lvlJc w:val="left"/>
      <w:pPr>
        <w:ind w:left="7405" w:hanging="360"/>
      </w:pPr>
      <w:rPr>
        <w:rFonts w:hint="default"/>
        <w:lang w:val="en-US" w:eastAsia="en-US" w:bidi="ar-SA"/>
      </w:rPr>
    </w:lvl>
  </w:abstractNum>
  <w:num w:numId="1" w16cid:durableId="1032997172">
    <w:abstractNumId w:val="4"/>
    <w:lvlOverride w:ilvl="0">
      <w:lvl w:ilvl="0">
        <w:start w:val="4"/>
        <w:numFmt w:val="bullet"/>
        <w:pStyle w:val="ListBullet"/>
        <w:lvlText w:val="•"/>
        <w:lvlJc w:val="left"/>
        <w:pPr>
          <w:ind w:left="360" w:hanging="360"/>
        </w:pPr>
      </w:lvl>
    </w:lvlOverride>
  </w:num>
  <w:num w:numId="2" w16cid:durableId="1856573705">
    <w:abstractNumId w:val="0"/>
  </w:num>
  <w:num w:numId="3" w16cid:durableId="357703499">
    <w:abstractNumId w:val="3"/>
  </w:num>
  <w:num w:numId="4" w16cid:durableId="1869176708">
    <w:abstractNumId w:val="18"/>
  </w:num>
  <w:num w:numId="5" w16cid:durableId="1652950129">
    <w:abstractNumId w:val="7"/>
  </w:num>
  <w:num w:numId="6" w16cid:durableId="1053193207">
    <w:abstractNumId w:val="16"/>
  </w:num>
  <w:num w:numId="7" w16cid:durableId="201135927">
    <w:abstractNumId w:val="0"/>
    <w:lvlOverride w:ilvl="0">
      <w:startOverride w:val="1"/>
      <w:lvl w:ilvl="0">
        <w:start w:val="1"/>
        <w:numFmt w:val="decimal"/>
        <w:pStyle w:val="Numberbullet0"/>
        <w:lvlText w:val="%1."/>
        <w:lvlJc w:val="left"/>
        <w:pPr>
          <w:ind w:left="425" w:hanging="425"/>
        </w:pPr>
        <w:rPr>
          <w:rFonts w:ascii="Cambria" w:hAnsi="Cambria" w:hint="default"/>
        </w:rPr>
      </w:lvl>
    </w:lvlOverride>
    <w:lvlOverride w:ilvl="1">
      <w:startOverride w:val="1"/>
      <w:lvl w:ilvl="1">
        <w:start w:val="1"/>
        <w:numFmt w:val="lowerLetter"/>
        <w:pStyle w:val="Numberbullet2"/>
        <w:lvlText w:val="%2."/>
        <w:lvlJc w:val="left"/>
        <w:pPr>
          <w:ind w:left="851" w:hanging="426"/>
        </w:pPr>
        <w:rPr>
          <w:rFonts w:hint="default"/>
        </w:rPr>
      </w:lvl>
    </w:lvlOverride>
    <w:lvlOverride w:ilvl="2">
      <w:startOverride w:val="1"/>
      <w:lvl w:ilvl="2">
        <w:start w:val="1"/>
        <w:numFmt w:val="lowerRoman"/>
        <w:lvlText w:val="%3."/>
        <w:lvlJc w:val="left"/>
        <w:pPr>
          <w:ind w:left="1276" w:hanging="425"/>
        </w:pPr>
        <w:rPr>
          <w:rFonts w:hint="default"/>
        </w:rPr>
      </w:lvl>
    </w:lvlOverride>
    <w:lvlOverride w:ilvl="3">
      <w:startOverride w:val="1"/>
      <w:lvl w:ilvl="3">
        <w:start w:val="1"/>
        <w:numFmt w:val="none"/>
        <w:lvlText w:val=""/>
        <w:lvlJc w:val="left"/>
        <w:pPr>
          <w:ind w:left="1276" w:hanging="425"/>
        </w:pPr>
        <w:rPr>
          <w:rFonts w:hint="default"/>
        </w:rPr>
      </w:lvl>
    </w:lvlOverride>
    <w:lvlOverride w:ilvl="4">
      <w:startOverride w:val="1"/>
      <w:lvl w:ilvl="4">
        <w:start w:val="1"/>
        <w:numFmt w:val="none"/>
        <w:lvlText w:val=""/>
        <w:lvlJc w:val="left"/>
        <w:pPr>
          <w:ind w:left="1276" w:hanging="425"/>
        </w:pPr>
        <w:rPr>
          <w:rFonts w:hint="default"/>
        </w:rPr>
      </w:lvl>
    </w:lvlOverride>
    <w:lvlOverride w:ilvl="5">
      <w:startOverride w:val="1"/>
      <w:lvl w:ilvl="5">
        <w:start w:val="1"/>
        <w:numFmt w:val="none"/>
        <w:lvlText w:val=""/>
        <w:lvlJc w:val="left"/>
        <w:pPr>
          <w:ind w:left="1276" w:hanging="425"/>
        </w:pPr>
        <w:rPr>
          <w:rFonts w:hint="default"/>
        </w:rPr>
      </w:lvl>
    </w:lvlOverride>
    <w:lvlOverride w:ilvl="6">
      <w:startOverride w:val="1"/>
      <w:lvl w:ilvl="6">
        <w:start w:val="1"/>
        <w:numFmt w:val="none"/>
        <w:lvlText w:val="%7"/>
        <w:lvlJc w:val="left"/>
        <w:pPr>
          <w:ind w:left="1276" w:hanging="425"/>
        </w:pPr>
        <w:rPr>
          <w:rFonts w:hint="default"/>
        </w:rPr>
      </w:lvl>
    </w:lvlOverride>
    <w:lvlOverride w:ilvl="7">
      <w:startOverride w:val="1"/>
      <w:lvl w:ilvl="7">
        <w:start w:val="1"/>
        <w:numFmt w:val="none"/>
        <w:lvlText w:val=""/>
        <w:lvlJc w:val="left"/>
        <w:pPr>
          <w:ind w:left="1276" w:hanging="425"/>
        </w:pPr>
        <w:rPr>
          <w:rFonts w:hint="default"/>
        </w:rPr>
      </w:lvl>
    </w:lvlOverride>
    <w:lvlOverride w:ilvl="8">
      <w:startOverride w:val="1"/>
      <w:lvl w:ilvl="8">
        <w:start w:val="1"/>
        <w:numFmt w:val="none"/>
        <w:lvlText w:val=""/>
        <w:lvlJc w:val="left"/>
        <w:pPr>
          <w:ind w:left="1276" w:hanging="425"/>
        </w:pPr>
        <w:rPr>
          <w:rFonts w:hint="default"/>
        </w:rPr>
      </w:lvl>
    </w:lvlOverride>
  </w:num>
  <w:num w:numId="8" w16cid:durableId="1604608059">
    <w:abstractNumId w:val="17"/>
  </w:num>
  <w:num w:numId="9" w16cid:durableId="173421270">
    <w:abstractNumId w:val="1"/>
  </w:num>
  <w:num w:numId="10" w16cid:durableId="2108043357">
    <w:abstractNumId w:val="5"/>
  </w:num>
  <w:num w:numId="11" w16cid:durableId="1725904230">
    <w:abstractNumId w:val="12"/>
  </w:num>
  <w:num w:numId="12" w16cid:durableId="141579354">
    <w:abstractNumId w:val="23"/>
  </w:num>
  <w:num w:numId="13" w16cid:durableId="283735081">
    <w:abstractNumId w:val="31"/>
  </w:num>
  <w:num w:numId="14" w16cid:durableId="1297951926">
    <w:abstractNumId w:val="25"/>
  </w:num>
  <w:num w:numId="15" w16cid:durableId="1987008457">
    <w:abstractNumId w:val="32"/>
  </w:num>
  <w:num w:numId="16" w16cid:durableId="2087411232">
    <w:abstractNumId w:val="19"/>
  </w:num>
  <w:num w:numId="17" w16cid:durableId="800463519">
    <w:abstractNumId w:val="14"/>
  </w:num>
  <w:num w:numId="18" w16cid:durableId="365526396">
    <w:abstractNumId w:val="8"/>
  </w:num>
  <w:num w:numId="19" w16cid:durableId="1466923854">
    <w:abstractNumId w:val="22"/>
  </w:num>
  <w:num w:numId="20" w16cid:durableId="387148482">
    <w:abstractNumId w:val="26"/>
  </w:num>
  <w:num w:numId="21" w16cid:durableId="1417556244">
    <w:abstractNumId w:val="30"/>
  </w:num>
  <w:num w:numId="22" w16cid:durableId="1173715816">
    <w:abstractNumId w:val="33"/>
  </w:num>
  <w:num w:numId="23" w16cid:durableId="238759717">
    <w:abstractNumId w:val="11"/>
  </w:num>
  <w:num w:numId="24" w16cid:durableId="1310014916">
    <w:abstractNumId w:val="10"/>
  </w:num>
  <w:num w:numId="25" w16cid:durableId="556478652">
    <w:abstractNumId w:val="15"/>
  </w:num>
  <w:num w:numId="26" w16cid:durableId="1905987007">
    <w:abstractNumId w:val="21"/>
  </w:num>
  <w:num w:numId="27" w16cid:durableId="1628969766">
    <w:abstractNumId w:val="29"/>
  </w:num>
  <w:num w:numId="28" w16cid:durableId="1876575661">
    <w:abstractNumId w:val="6"/>
  </w:num>
  <w:num w:numId="29" w16cid:durableId="1452019817">
    <w:abstractNumId w:val="9"/>
  </w:num>
  <w:num w:numId="30" w16cid:durableId="1727794150">
    <w:abstractNumId w:val="28"/>
  </w:num>
  <w:num w:numId="31" w16cid:durableId="465853768">
    <w:abstractNumId w:val="20"/>
  </w:num>
  <w:num w:numId="32" w16cid:durableId="796490941">
    <w:abstractNumId w:val="24"/>
  </w:num>
  <w:num w:numId="33" w16cid:durableId="1863744949">
    <w:abstractNumId w:val="13"/>
  </w:num>
  <w:num w:numId="34" w16cid:durableId="619649694">
    <w:abstractNumId w:val="2"/>
  </w:num>
  <w:num w:numId="35" w16cid:durableId="575432605">
    <w:abstractNumId w:val="27"/>
  </w:num>
  <w:num w:numId="36" w16cid:durableId="309797989">
    <w:abstractNumId w:val="4"/>
    <w:lvlOverride w:ilvl="0">
      <w:lvl w:ilvl="0">
        <w:start w:val="4"/>
        <w:numFmt w:val="bullet"/>
        <w:pStyle w:val="ListBullet"/>
        <w:lvlText w:val="•"/>
        <w:lvlJc w:val="left"/>
        <w:pPr>
          <w:ind w:left="360" w:hanging="360"/>
        </w:pPr>
      </w:lvl>
    </w:lvlOverride>
  </w:num>
  <w:num w:numId="37" w16cid:durableId="2140537641">
    <w:abstractNumId w:val="4"/>
    <w:lvlOverride w:ilvl="0">
      <w:lvl w:ilvl="0">
        <w:start w:val="4"/>
        <w:numFmt w:val="bullet"/>
        <w:pStyle w:val="ListBullet"/>
        <w:lvlText w:val="•"/>
        <w:lvlJc w:val="left"/>
        <w:pPr>
          <w:ind w:left="360" w:hanging="360"/>
        </w:pPr>
      </w:lvl>
    </w:lvlOverride>
  </w:num>
  <w:num w:numId="38" w16cid:durableId="783768124">
    <w:abstractNumId w:val="4"/>
    <w:lvlOverride w:ilvl="0">
      <w:lvl w:ilvl="0">
        <w:start w:val="4"/>
        <w:numFmt w:val="bullet"/>
        <w:pStyle w:val="ListBullet"/>
        <w:lvlText w:val="•"/>
        <w:lvlJc w:val="left"/>
        <w:pPr>
          <w:ind w:left="360" w:hanging="360"/>
        </w:pPr>
      </w:lvl>
    </w:lvlOverride>
  </w:num>
  <w:num w:numId="39" w16cid:durableId="149837130">
    <w:abstractNumId w:val="4"/>
    <w:lvlOverride w:ilvl="0">
      <w:lvl w:ilvl="0">
        <w:start w:val="4"/>
        <w:numFmt w:val="bullet"/>
        <w:pStyle w:val="ListBullet"/>
        <w:lvlText w:val="•"/>
        <w:lvlJc w:val="left"/>
        <w:pPr>
          <w:ind w:left="360" w:hanging="360"/>
        </w:pPr>
      </w:lvl>
    </w:lvlOverride>
  </w:num>
  <w:num w:numId="40" w16cid:durableId="1650934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EC2"/>
    <w:rsid w:val="00000BC3"/>
    <w:rsid w:val="00000E6E"/>
    <w:rsid w:val="0000124E"/>
    <w:rsid w:val="00003412"/>
    <w:rsid w:val="00004431"/>
    <w:rsid w:val="00005062"/>
    <w:rsid w:val="00005DFC"/>
    <w:rsid w:val="0001064C"/>
    <w:rsid w:val="0001152C"/>
    <w:rsid w:val="0001384A"/>
    <w:rsid w:val="00015D36"/>
    <w:rsid w:val="00017C0A"/>
    <w:rsid w:val="0002137B"/>
    <w:rsid w:val="000218C4"/>
    <w:rsid w:val="00021C13"/>
    <w:rsid w:val="0002308E"/>
    <w:rsid w:val="00024EF9"/>
    <w:rsid w:val="00026876"/>
    <w:rsid w:val="00026C65"/>
    <w:rsid w:val="00030E18"/>
    <w:rsid w:val="0003113B"/>
    <w:rsid w:val="00031E91"/>
    <w:rsid w:val="00032A0F"/>
    <w:rsid w:val="000371E7"/>
    <w:rsid w:val="00037A86"/>
    <w:rsid w:val="00040D8D"/>
    <w:rsid w:val="00041271"/>
    <w:rsid w:val="00041CC0"/>
    <w:rsid w:val="00041D37"/>
    <w:rsid w:val="00043AB6"/>
    <w:rsid w:val="00043F3A"/>
    <w:rsid w:val="00046423"/>
    <w:rsid w:val="00046878"/>
    <w:rsid w:val="000477F5"/>
    <w:rsid w:val="0005067C"/>
    <w:rsid w:val="00051DA2"/>
    <w:rsid w:val="00053378"/>
    <w:rsid w:val="0005368F"/>
    <w:rsid w:val="00057520"/>
    <w:rsid w:val="00057623"/>
    <w:rsid w:val="00057C28"/>
    <w:rsid w:val="0006104E"/>
    <w:rsid w:val="000625DC"/>
    <w:rsid w:val="000640BD"/>
    <w:rsid w:val="00064E6B"/>
    <w:rsid w:val="0006528E"/>
    <w:rsid w:val="00065839"/>
    <w:rsid w:val="000659C4"/>
    <w:rsid w:val="00065FDF"/>
    <w:rsid w:val="0006648A"/>
    <w:rsid w:val="0006693A"/>
    <w:rsid w:val="00066AB7"/>
    <w:rsid w:val="0006779E"/>
    <w:rsid w:val="00073522"/>
    <w:rsid w:val="0007517E"/>
    <w:rsid w:val="000755E8"/>
    <w:rsid w:val="00075DD9"/>
    <w:rsid w:val="00076678"/>
    <w:rsid w:val="00077844"/>
    <w:rsid w:val="000804E6"/>
    <w:rsid w:val="0008095C"/>
    <w:rsid w:val="00080A90"/>
    <w:rsid w:val="00081E91"/>
    <w:rsid w:val="00082C91"/>
    <w:rsid w:val="000835F7"/>
    <w:rsid w:val="00083763"/>
    <w:rsid w:val="000841A2"/>
    <w:rsid w:val="000849EA"/>
    <w:rsid w:val="0008564B"/>
    <w:rsid w:val="000875DB"/>
    <w:rsid w:val="00090510"/>
    <w:rsid w:val="00090B48"/>
    <w:rsid w:val="000917AE"/>
    <w:rsid w:val="00091E38"/>
    <w:rsid w:val="000924A7"/>
    <w:rsid w:val="00092826"/>
    <w:rsid w:val="00092C6F"/>
    <w:rsid w:val="000939ED"/>
    <w:rsid w:val="000945B1"/>
    <w:rsid w:val="00094B81"/>
    <w:rsid w:val="00095912"/>
    <w:rsid w:val="00095C6A"/>
    <w:rsid w:val="00095E54"/>
    <w:rsid w:val="000966D1"/>
    <w:rsid w:val="000974F5"/>
    <w:rsid w:val="000975AA"/>
    <w:rsid w:val="000A0C46"/>
    <w:rsid w:val="000A0CA1"/>
    <w:rsid w:val="000A1367"/>
    <w:rsid w:val="000A143E"/>
    <w:rsid w:val="000A148D"/>
    <w:rsid w:val="000A3B61"/>
    <w:rsid w:val="000A50DD"/>
    <w:rsid w:val="000A68BC"/>
    <w:rsid w:val="000A7D0F"/>
    <w:rsid w:val="000B01B7"/>
    <w:rsid w:val="000B0B5C"/>
    <w:rsid w:val="000B1DF5"/>
    <w:rsid w:val="000B2118"/>
    <w:rsid w:val="000B28BE"/>
    <w:rsid w:val="000B45A3"/>
    <w:rsid w:val="000B6852"/>
    <w:rsid w:val="000B6B15"/>
    <w:rsid w:val="000C01DD"/>
    <w:rsid w:val="000C031B"/>
    <w:rsid w:val="000C216A"/>
    <w:rsid w:val="000C25A7"/>
    <w:rsid w:val="000C68FD"/>
    <w:rsid w:val="000D1328"/>
    <w:rsid w:val="000D1542"/>
    <w:rsid w:val="000D1C86"/>
    <w:rsid w:val="000D232F"/>
    <w:rsid w:val="000D2816"/>
    <w:rsid w:val="000D3749"/>
    <w:rsid w:val="000D3D80"/>
    <w:rsid w:val="000D3F4D"/>
    <w:rsid w:val="000D528F"/>
    <w:rsid w:val="000D6DE8"/>
    <w:rsid w:val="000D78EC"/>
    <w:rsid w:val="000D7934"/>
    <w:rsid w:val="000E2434"/>
    <w:rsid w:val="000E2597"/>
    <w:rsid w:val="000E3621"/>
    <w:rsid w:val="000E504E"/>
    <w:rsid w:val="000E5420"/>
    <w:rsid w:val="000E5B00"/>
    <w:rsid w:val="000E6746"/>
    <w:rsid w:val="000F46AE"/>
    <w:rsid w:val="000F7B51"/>
    <w:rsid w:val="00101792"/>
    <w:rsid w:val="00101BEE"/>
    <w:rsid w:val="00101CE6"/>
    <w:rsid w:val="00101FB1"/>
    <w:rsid w:val="00103BBF"/>
    <w:rsid w:val="00104DEB"/>
    <w:rsid w:val="0010558A"/>
    <w:rsid w:val="00105E79"/>
    <w:rsid w:val="00105ED1"/>
    <w:rsid w:val="00107645"/>
    <w:rsid w:val="001101FF"/>
    <w:rsid w:val="00110EA1"/>
    <w:rsid w:val="00111989"/>
    <w:rsid w:val="00112C41"/>
    <w:rsid w:val="00113F43"/>
    <w:rsid w:val="00113F9F"/>
    <w:rsid w:val="00114025"/>
    <w:rsid w:val="001148C9"/>
    <w:rsid w:val="00117B96"/>
    <w:rsid w:val="00117EAC"/>
    <w:rsid w:val="001209FA"/>
    <w:rsid w:val="00121CF6"/>
    <w:rsid w:val="001226B6"/>
    <w:rsid w:val="00123B28"/>
    <w:rsid w:val="0012473C"/>
    <w:rsid w:val="00124B7D"/>
    <w:rsid w:val="00125E7D"/>
    <w:rsid w:val="00127A74"/>
    <w:rsid w:val="0013132F"/>
    <w:rsid w:val="00131B1B"/>
    <w:rsid w:val="00131BDA"/>
    <w:rsid w:val="001322A1"/>
    <w:rsid w:val="001325C8"/>
    <w:rsid w:val="0013306D"/>
    <w:rsid w:val="00133C6A"/>
    <w:rsid w:val="0013528C"/>
    <w:rsid w:val="0013592E"/>
    <w:rsid w:val="00136533"/>
    <w:rsid w:val="001365EC"/>
    <w:rsid w:val="00136A50"/>
    <w:rsid w:val="001371AF"/>
    <w:rsid w:val="00137869"/>
    <w:rsid w:val="00137A26"/>
    <w:rsid w:val="0014112D"/>
    <w:rsid w:val="00142857"/>
    <w:rsid w:val="00142B86"/>
    <w:rsid w:val="0014340E"/>
    <w:rsid w:val="00143C09"/>
    <w:rsid w:val="001442A2"/>
    <w:rsid w:val="001468CA"/>
    <w:rsid w:val="00147767"/>
    <w:rsid w:val="00147C71"/>
    <w:rsid w:val="001500A8"/>
    <w:rsid w:val="0015188B"/>
    <w:rsid w:val="00151C8F"/>
    <w:rsid w:val="0015293D"/>
    <w:rsid w:val="00152DFB"/>
    <w:rsid w:val="00153DF1"/>
    <w:rsid w:val="00155CED"/>
    <w:rsid w:val="00155D85"/>
    <w:rsid w:val="00157ED2"/>
    <w:rsid w:val="00163316"/>
    <w:rsid w:val="00164979"/>
    <w:rsid w:val="00165D28"/>
    <w:rsid w:val="00166684"/>
    <w:rsid w:val="00166855"/>
    <w:rsid w:val="00166D8A"/>
    <w:rsid w:val="0017005C"/>
    <w:rsid w:val="00171138"/>
    <w:rsid w:val="00171559"/>
    <w:rsid w:val="0017174C"/>
    <w:rsid w:val="00175CD8"/>
    <w:rsid w:val="0018046F"/>
    <w:rsid w:val="00182554"/>
    <w:rsid w:val="00182913"/>
    <w:rsid w:val="00182BD8"/>
    <w:rsid w:val="00183375"/>
    <w:rsid w:val="001842AF"/>
    <w:rsid w:val="00185E13"/>
    <w:rsid w:val="001862C1"/>
    <w:rsid w:val="001866E6"/>
    <w:rsid w:val="0018714D"/>
    <w:rsid w:val="00190418"/>
    <w:rsid w:val="00190853"/>
    <w:rsid w:val="001909A3"/>
    <w:rsid w:val="00191D90"/>
    <w:rsid w:val="00193D5C"/>
    <w:rsid w:val="001A2381"/>
    <w:rsid w:val="001A35AC"/>
    <w:rsid w:val="001A5F48"/>
    <w:rsid w:val="001A607D"/>
    <w:rsid w:val="001A76F9"/>
    <w:rsid w:val="001B009A"/>
    <w:rsid w:val="001B0540"/>
    <w:rsid w:val="001B06FF"/>
    <w:rsid w:val="001B1703"/>
    <w:rsid w:val="001B2F2E"/>
    <w:rsid w:val="001B3100"/>
    <w:rsid w:val="001C1C2E"/>
    <w:rsid w:val="001C1EDA"/>
    <w:rsid w:val="001C31A1"/>
    <w:rsid w:val="001C3243"/>
    <w:rsid w:val="001C3D01"/>
    <w:rsid w:val="001C3E89"/>
    <w:rsid w:val="001C3FA2"/>
    <w:rsid w:val="001C507A"/>
    <w:rsid w:val="001C56FA"/>
    <w:rsid w:val="001C5EE2"/>
    <w:rsid w:val="001C72B9"/>
    <w:rsid w:val="001D0077"/>
    <w:rsid w:val="001D0F33"/>
    <w:rsid w:val="001D1988"/>
    <w:rsid w:val="001D46E7"/>
    <w:rsid w:val="001D4E99"/>
    <w:rsid w:val="001D5508"/>
    <w:rsid w:val="001E0C65"/>
    <w:rsid w:val="001E1D7C"/>
    <w:rsid w:val="001E338B"/>
    <w:rsid w:val="001E407B"/>
    <w:rsid w:val="001E4732"/>
    <w:rsid w:val="001E7FC6"/>
    <w:rsid w:val="001F1C03"/>
    <w:rsid w:val="001F240C"/>
    <w:rsid w:val="001F2502"/>
    <w:rsid w:val="001F50C8"/>
    <w:rsid w:val="001F590D"/>
    <w:rsid w:val="001F5C5B"/>
    <w:rsid w:val="001F68A3"/>
    <w:rsid w:val="001F70A5"/>
    <w:rsid w:val="001F7159"/>
    <w:rsid w:val="001F7523"/>
    <w:rsid w:val="00201B49"/>
    <w:rsid w:val="00201D08"/>
    <w:rsid w:val="00201F06"/>
    <w:rsid w:val="0020235D"/>
    <w:rsid w:val="00202BEE"/>
    <w:rsid w:val="00202D94"/>
    <w:rsid w:val="0020369B"/>
    <w:rsid w:val="00204023"/>
    <w:rsid w:val="002049B3"/>
    <w:rsid w:val="00205B65"/>
    <w:rsid w:val="00207B4D"/>
    <w:rsid w:val="00210D49"/>
    <w:rsid w:val="00210F9B"/>
    <w:rsid w:val="00211499"/>
    <w:rsid w:val="002117B1"/>
    <w:rsid w:val="002128EB"/>
    <w:rsid w:val="00213A17"/>
    <w:rsid w:val="0021442F"/>
    <w:rsid w:val="00216561"/>
    <w:rsid w:val="00217CCE"/>
    <w:rsid w:val="002203B1"/>
    <w:rsid w:val="00220CAF"/>
    <w:rsid w:val="00220EB6"/>
    <w:rsid w:val="00221C90"/>
    <w:rsid w:val="00226F39"/>
    <w:rsid w:val="00231E5B"/>
    <w:rsid w:val="002327F5"/>
    <w:rsid w:val="002334AD"/>
    <w:rsid w:val="00237463"/>
    <w:rsid w:val="0023758D"/>
    <w:rsid w:val="00240160"/>
    <w:rsid w:val="00241B60"/>
    <w:rsid w:val="00241CE4"/>
    <w:rsid w:val="00242CB5"/>
    <w:rsid w:val="0024516A"/>
    <w:rsid w:val="0025417A"/>
    <w:rsid w:val="00254464"/>
    <w:rsid w:val="00254A2B"/>
    <w:rsid w:val="00254C70"/>
    <w:rsid w:val="00256C61"/>
    <w:rsid w:val="00257016"/>
    <w:rsid w:val="0025785B"/>
    <w:rsid w:val="00257969"/>
    <w:rsid w:val="002600A3"/>
    <w:rsid w:val="00260DA6"/>
    <w:rsid w:val="00261B8E"/>
    <w:rsid w:val="00261EF8"/>
    <w:rsid w:val="0026259B"/>
    <w:rsid w:val="00264898"/>
    <w:rsid w:val="00265CD1"/>
    <w:rsid w:val="00270176"/>
    <w:rsid w:val="00271EE5"/>
    <w:rsid w:val="00272038"/>
    <w:rsid w:val="00272664"/>
    <w:rsid w:val="0027308B"/>
    <w:rsid w:val="00273398"/>
    <w:rsid w:val="00273576"/>
    <w:rsid w:val="00273843"/>
    <w:rsid w:val="00274CD6"/>
    <w:rsid w:val="0027662E"/>
    <w:rsid w:val="00276950"/>
    <w:rsid w:val="00277E2B"/>
    <w:rsid w:val="00280048"/>
    <w:rsid w:val="0028134A"/>
    <w:rsid w:val="00282DBD"/>
    <w:rsid w:val="0028489E"/>
    <w:rsid w:val="002848DE"/>
    <w:rsid w:val="0028794E"/>
    <w:rsid w:val="002903BA"/>
    <w:rsid w:val="00290C18"/>
    <w:rsid w:val="00291150"/>
    <w:rsid w:val="00291369"/>
    <w:rsid w:val="00291A55"/>
    <w:rsid w:val="002929FD"/>
    <w:rsid w:val="00293678"/>
    <w:rsid w:val="00296684"/>
    <w:rsid w:val="0029733B"/>
    <w:rsid w:val="002A09F4"/>
    <w:rsid w:val="002A1313"/>
    <w:rsid w:val="002A1516"/>
    <w:rsid w:val="002A1BE6"/>
    <w:rsid w:val="002A1D16"/>
    <w:rsid w:val="002A311B"/>
    <w:rsid w:val="002A55EC"/>
    <w:rsid w:val="002A5841"/>
    <w:rsid w:val="002A60D8"/>
    <w:rsid w:val="002B0CF8"/>
    <w:rsid w:val="002B1EDF"/>
    <w:rsid w:val="002B2061"/>
    <w:rsid w:val="002B2547"/>
    <w:rsid w:val="002B27F5"/>
    <w:rsid w:val="002B33C3"/>
    <w:rsid w:val="002B35F6"/>
    <w:rsid w:val="002B4511"/>
    <w:rsid w:val="002B6D2A"/>
    <w:rsid w:val="002C00A5"/>
    <w:rsid w:val="002C0805"/>
    <w:rsid w:val="002C0A09"/>
    <w:rsid w:val="002C1232"/>
    <w:rsid w:val="002C172D"/>
    <w:rsid w:val="002C1D4F"/>
    <w:rsid w:val="002C1E44"/>
    <w:rsid w:val="002C2A3D"/>
    <w:rsid w:val="002C4EDA"/>
    <w:rsid w:val="002C5677"/>
    <w:rsid w:val="002C5C92"/>
    <w:rsid w:val="002C5E29"/>
    <w:rsid w:val="002C7D54"/>
    <w:rsid w:val="002D0478"/>
    <w:rsid w:val="002D1054"/>
    <w:rsid w:val="002D25A1"/>
    <w:rsid w:val="002D53FA"/>
    <w:rsid w:val="002D7127"/>
    <w:rsid w:val="002D755A"/>
    <w:rsid w:val="002E227D"/>
    <w:rsid w:val="002E2EE6"/>
    <w:rsid w:val="002E3192"/>
    <w:rsid w:val="002E3A21"/>
    <w:rsid w:val="002F0C70"/>
    <w:rsid w:val="002F0EE4"/>
    <w:rsid w:val="002F1FA7"/>
    <w:rsid w:val="002F2F4D"/>
    <w:rsid w:val="002F318F"/>
    <w:rsid w:val="002F599E"/>
    <w:rsid w:val="002F7B62"/>
    <w:rsid w:val="003008D8"/>
    <w:rsid w:val="00301D9A"/>
    <w:rsid w:val="003023E0"/>
    <w:rsid w:val="003032A1"/>
    <w:rsid w:val="00303959"/>
    <w:rsid w:val="00305560"/>
    <w:rsid w:val="00305ADE"/>
    <w:rsid w:val="00305B19"/>
    <w:rsid w:val="00305CE6"/>
    <w:rsid w:val="00306E72"/>
    <w:rsid w:val="00310D1E"/>
    <w:rsid w:val="00312AC3"/>
    <w:rsid w:val="00314430"/>
    <w:rsid w:val="003151FB"/>
    <w:rsid w:val="00315A68"/>
    <w:rsid w:val="00315F97"/>
    <w:rsid w:val="003163BC"/>
    <w:rsid w:val="003212D9"/>
    <w:rsid w:val="003221AE"/>
    <w:rsid w:val="00322C57"/>
    <w:rsid w:val="00322E52"/>
    <w:rsid w:val="0032351A"/>
    <w:rsid w:val="00323C50"/>
    <w:rsid w:val="00324B33"/>
    <w:rsid w:val="0032515E"/>
    <w:rsid w:val="00327488"/>
    <w:rsid w:val="00327509"/>
    <w:rsid w:val="00332205"/>
    <w:rsid w:val="00333425"/>
    <w:rsid w:val="00333510"/>
    <w:rsid w:val="00334260"/>
    <w:rsid w:val="0033455A"/>
    <w:rsid w:val="00335129"/>
    <w:rsid w:val="00336FE1"/>
    <w:rsid w:val="00337957"/>
    <w:rsid w:val="00337BD8"/>
    <w:rsid w:val="00337F60"/>
    <w:rsid w:val="00340FDE"/>
    <w:rsid w:val="00342D56"/>
    <w:rsid w:val="0034402A"/>
    <w:rsid w:val="00345415"/>
    <w:rsid w:val="00345424"/>
    <w:rsid w:val="003456E7"/>
    <w:rsid w:val="00346EC2"/>
    <w:rsid w:val="0034732F"/>
    <w:rsid w:val="003477F9"/>
    <w:rsid w:val="00347A65"/>
    <w:rsid w:val="003512A9"/>
    <w:rsid w:val="003520C1"/>
    <w:rsid w:val="0035419A"/>
    <w:rsid w:val="0035444D"/>
    <w:rsid w:val="00354987"/>
    <w:rsid w:val="003549F6"/>
    <w:rsid w:val="00356072"/>
    <w:rsid w:val="00356963"/>
    <w:rsid w:val="00356D62"/>
    <w:rsid w:val="00357092"/>
    <w:rsid w:val="0036010C"/>
    <w:rsid w:val="00361FAE"/>
    <w:rsid w:val="00363927"/>
    <w:rsid w:val="00363EE3"/>
    <w:rsid w:val="003640A0"/>
    <w:rsid w:val="00366833"/>
    <w:rsid w:val="00367C4F"/>
    <w:rsid w:val="0037063D"/>
    <w:rsid w:val="00370D44"/>
    <w:rsid w:val="003719C6"/>
    <w:rsid w:val="00372503"/>
    <w:rsid w:val="003735F3"/>
    <w:rsid w:val="00374545"/>
    <w:rsid w:val="00374729"/>
    <w:rsid w:val="0037493D"/>
    <w:rsid w:val="00380D8E"/>
    <w:rsid w:val="00381BB2"/>
    <w:rsid w:val="003836F3"/>
    <w:rsid w:val="00383811"/>
    <w:rsid w:val="00384259"/>
    <w:rsid w:val="00384AC9"/>
    <w:rsid w:val="00384B46"/>
    <w:rsid w:val="0038534B"/>
    <w:rsid w:val="00386340"/>
    <w:rsid w:val="0038675C"/>
    <w:rsid w:val="00386EA1"/>
    <w:rsid w:val="00387298"/>
    <w:rsid w:val="00387984"/>
    <w:rsid w:val="00387F52"/>
    <w:rsid w:val="00392CDA"/>
    <w:rsid w:val="00395131"/>
    <w:rsid w:val="00395140"/>
    <w:rsid w:val="00396F69"/>
    <w:rsid w:val="003A018C"/>
    <w:rsid w:val="003A2381"/>
    <w:rsid w:val="003A2422"/>
    <w:rsid w:val="003A26FD"/>
    <w:rsid w:val="003A3353"/>
    <w:rsid w:val="003A4E11"/>
    <w:rsid w:val="003A4EC5"/>
    <w:rsid w:val="003A63F1"/>
    <w:rsid w:val="003A702F"/>
    <w:rsid w:val="003A782C"/>
    <w:rsid w:val="003B047F"/>
    <w:rsid w:val="003B07FD"/>
    <w:rsid w:val="003B149C"/>
    <w:rsid w:val="003B16AE"/>
    <w:rsid w:val="003B5396"/>
    <w:rsid w:val="003B5DC2"/>
    <w:rsid w:val="003C0FDB"/>
    <w:rsid w:val="003C1192"/>
    <w:rsid w:val="003C1BA4"/>
    <w:rsid w:val="003C55E2"/>
    <w:rsid w:val="003C5DBD"/>
    <w:rsid w:val="003C63D5"/>
    <w:rsid w:val="003C76E6"/>
    <w:rsid w:val="003C7AA8"/>
    <w:rsid w:val="003D06A5"/>
    <w:rsid w:val="003D0DD7"/>
    <w:rsid w:val="003D1AC1"/>
    <w:rsid w:val="003D2A9B"/>
    <w:rsid w:val="003D3C16"/>
    <w:rsid w:val="003D4351"/>
    <w:rsid w:val="003D4F7D"/>
    <w:rsid w:val="003D528E"/>
    <w:rsid w:val="003D54F2"/>
    <w:rsid w:val="003D5682"/>
    <w:rsid w:val="003D5FF3"/>
    <w:rsid w:val="003D71A1"/>
    <w:rsid w:val="003D7735"/>
    <w:rsid w:val="003D7B22"/>
    <w:rsid w:val="003E0BF1"/>
    <w:rsid w:val="003E0DF6"/>
    <w:rsid w:val="003E125B"/>
    <w:rsid w:val="003E2E72"/>
    <w:rsid w:val="003E30A9"/>
    <w:rsid w:val="003E3F28"/>
    <w:rsid w:val="003E5412"/>
    <w:rsid w:val="003E5834"/>
    <w:rsid w:val="003F015B"/>
    <w:rsid w:val="003F1CE0"/>
    <w:rsid w:val="003F2D0D"/>
    <w:rsid w:val="00401895"/>
    <w:rsid w:val="00405288"/>
    <w:rsid w:val="00410C9A"/>
    <w:rsid w:val="00411830"/>
    <w:rsid w:val="00412AD0"/>
    <w:rsid w:val="00412BC4"/>
    <w:rsid w:val="0041688F"/>
    <w:rsid w:val="00417502"/>
    <w:rsid w:val="0042376F"/>
    <w:rsid w:val="00423869"/>
    <w:rsid w:val="004246B8"/>
    <w:rsid w:val="004248F1"/>
    <w:rsid w:val="00425263"/>
    <w:rsid w:val="00430E36"/>
    <w:rsid w:val="00433318"/>
    <w:rsid w:val="004346B2"/>
    <w:rsid w:val="004349C1"/>
    <w:rsid w:val="004349D1"/>
    <w:rsid w:val="0043674E"/>
    <w:rsid w:val="00436F3B"/>
    <w:rsid w:val="004411D9"/>
    <w:rsid w:val="00441EC1"/>
    <w:rsid w:val="0044240B"/>
    <w:rsid w:val="00442A56"/>
    <w:rsid w:val="00442BC2"/>
    <w:rsid w:val="00443334"/>
    <w:rsid w:val="004444B0"/>
    <w:rsid w:val="00446718"/>
    <w:rsid w:val="00446EFE"/>
    <w:rsid w:val="0045060B"/>
    <w:rsid w:val="00450A6F"/>
    <w:rsid w:val="004513F0"/>
    <w:rsid w:val="0045201D"/>
    <w:rsid w:val="004574B5"/>
    <w:rsid w:val="004575E4"/>
    <w:rsid w:val="00460E04"/>
    <w:rsid w:val="004611E9"/>
    <w:rsid w:val="004619FD"/>
    <w:rsid w:val="00461EBD"/>
    <w:rsid w:val="004626FF"/>
    <w:rsid w:val="0046285C"/>
    <w:rsid w:val="00463785"/>
    <w:rsid w:val="00463BAD"/>
    <w:rsid w:val="004643CD"/>
    <w:rsid w:val="004657AC"/>
    <w:rsid w:val="004658B0"/>
    <w:rsid w:val="00466FDF"/>
    <w:rsid w:val="004702AB"/>
    <w:rsid w:val="00470A52"/>
    <w:rsid w:val="00471729"/>
    <w:rsid w:val="00471BD5"/>
    <w:rsid w:val="00472784"/>
    <w:rsid w:val="004732D0"/>
    <w:rsid w:val="004777D4"/>
    <w:rsid w:val="00477A5D"/>
    <w:rsid w:val="00477C4E"/>
    <w:rsid w:val="00477F07"/>
    <w:rsid w:val="00481503"/>
    <w:rsid w:val="00481653"/>
    <w:rsid w:val="0048172F"/>
    <w:rsid w:val="00481D12"/>
    <w:rsid w:val="004854A6"/>
    <w:rsid w:val="00486320"/>
    <w:rsid w:val="00486D6C"/>
    <w:rsid w:val="0048703E"/>
    <w:rsid w:val="004878EB"/>
    <w:rsid w:val="00487AFD"/>
    <w:rsid w:val="004913DA"/>
    <w:rsid w:val="00491A55"/>
    <w:rsid w:val="004929A8"/>
    <w:rsid w:val="00492A3C"/>
    <w:rsid w:val="004935F8"/>
    <w:rsid w:val="00493DBA"/>
    <w:rsid w:val="00494247"/>
    <w:rsid w:val="00494C3E"/>
    <w:rsid w:val="00497DF1"/>
    <w:rsid w:val="004A318E"/>
    <w:rsid w:val="004A45D4"/>
    <w:rsid w:val="004A47DF"/>
    <w:rsid w:val="004A50E4"/>
    <w:rsid w:val="004A57E8"/>
    <w:rsid w:val="004A7C12"/>
    <w:rsid w:val="004A7C31"/>
    <w:rsid w:val="004B0623"/>
    <w:rsid w:val="004B12FA"/>
    <w:rsid w:val="004B1A11"/>
    <w:rsid w:val="004B249C"/>
    <w:rsid w:val="004B3081"/>
    <w:rsid w:val="004B31DB"/>
    <w:rsid w:val="004B3BD1"/>
    <w:rsid w:val="004B4A09"/>
    <w:rsid w:val="004B5444"/>
    <w:rsid w:val="004B5CBF"/>
    <w:rsid w:val="004B6432"/>
    <w:rsid w:val="004B69BE"/>
    <w:rsid w:val="004B6D65"/>
    <w:rsid w:val="004C0C5D"/>
    <w:rsid w:val="004C1679"/>
    <w:rsid w:val="004C1722"/>
    <w:rsid w:val="004C1A7F"/>
    <w:rsid w:val="004C217D"/>
    <w:rsid w:val="004C2A1C"/>
    <w:rsid w:val="004C3E2F"/>
    <w:rsid w:val="004C41CE"/>
    <w:rsid w:val="004C4A0D"/>
    <w:rsid w:val="004C503E"/>
    <w:rsid w:val="004C631B"/>
    <w:rsid w:val="004C6A88"/>
    <w:rsid w:val="004D0933"/>
    <w:rsid w:val="004D0A7D"/>
    <w:rsid w:val="004D1DD6"/>
    <w:rsid w:val="004D20C7"/>
    <w:rsid w:val="004D2F00"/>
    <w:rsid w:val="004D2F11"/>
    <w:rsid w:val="004D31D8"/>
    <w:rsid w:val="004D35D1"/>
    <w:rsid w:val="004D4AD5"/>
    <w:rsid w:val="004D5388"/>
    <w:rsid w:val="004D6EFB"/>
    <w:rsid w:val="004E0E3C"/>
    <w:rsid w:val="004E2798"/>
    <w:rsid w:val="004E34A5"/>
    <w:rsid w:val="004E49EF"/>
    <w:rsid w:val="004E5497"/>
    <w:rsid w:val="004E58F3"/>
    <w:rsid w:val="004E6DEF"/>
    <w:rsid w:val="004E6F12"/>
    <w:rsid w:val="004E781A"/>
    <w:rsid w:val="004E7E04"/>
    <w:rsid w:val="004E7F16"/>
    <w:rsid w:val="004F10C8"/>
    <w:rsid w:val="004F1739"/>
    <w:rsid w:val="004F180F"/>
    <w:rsid w:val="004F18EC"/>
    <w:rsid w:val="004F29B0"/>
    <w:rsid w:val="004F2D27"/>
    <w:rsid w:val="004F3665"/>
    <w:rsid w:val="004F3735"/>
    <w:rsid w:val="004F3A1A"/>
    <w:rsid w:val="004F4D45"/>
    <w:rsid w:val="004F7CB7"/>
    <w:rsid w:val="00500D68"/>
    <w:rsid w:val="005014C2"/>
    <w:rsid w:val="0050154A"/>
    <w:rsid w:val="005016FB"/>
    <w:rsid w:val="00505124"/>
    <w:rsid w:val="00507B8E"/>
    <w:rsid w:val="0051157B"/>
    <w:rsid w:val="005134A7"/>
    <w:rsid w:val="00513B5E"/>
    <w:rsid w:val="0051540B"/>
    <w:rsid w:val="00515869"/>
    <w:rsid w:val="00516519"/>
    <w:rsid w:val="00516B87"/>
    <w:rsid w:val="00516DB8"/>
    <w:rsid w:val="00516F63"/>
    <w:rsid w:val="00517C20"/>
    <w:rsid w:val="005227CC"/>
    <w:rsid w:val="0052432A"/>
    <w:rsid w:val="005272F6"/>
    <w:rsid w:val="005310FD"/>
    <w:rsid w:val="0053377D"/>
    <w:rsid w:val="0053384D"/>
    <w:rsid w:val="005351FD"/>
    <w:rsid w:val="00535BF3"/>
    <w:rsid w:val="00535DFE"/>
    <w:rsid w:val="0053624A"/>
    <w:rsid w:val="005369ED"/>
    <w:rsid w:val="005373B5"/>
    <w:rsid w:val="00537AB7"/>
    <w:rsid w:val="005411AC"/>
    <w:rsid w:val="00542FA9"/>
    <w:rsid w:val="00545000"/>
    <w:rsid w:val="00545DC9"/>
    <w:rsid w:val="0054669B"/>
    <w:rsid w:val="00546E16"/>
    <w:rsid w:val="005470A3"/>
    <w:rsid w:val="00550B73"/>
    <w:rsid w:val="0055199E"/>
    <w:rsid w:val="005524B8"/>
    <w:rsid w:val="00552C40"/>
    <w:rsid w:val="0055415C"/>
    <w:rsid w:val="005551FC"/>
    <w:rsid w:val="00555704"/>
    <w:rsid w:val="00556C6C"/>
    <w:rsid w:val="00557684"/>
    <w:rsid w:val="00557844"/>
    <w:rsid w:val="00560EC1"/>
    <w:rsid w:val="00560F02"/>
    <w:rsid w:val="005610D1"/>
    <w:rsid w:val="00562F42"/>
    <w:rsid w:val="005632BD"/>
    <w:rsid w:val="0056437C"/>
    <w:rsid w:val="005649C6"/>
    <w:rsid w:val="00564B88"/>
    <w:rsid w:val="00565739"/>
    <w:rsid w:val="00565C2E"/>
    <w:rsid w:val="0056766D"/>
    <w:rsid w:val="005710A6"/>
    <w:rsid w:val="00571C6E"/>
    <w:rsid w:val="00572C57"/>
    <w:rsid w:val="00573DCC"/>
    <w:rsid w:val="00575215"/>
    <w:rsid w:val="005753D1"/>
    <w:rsid w:val="0057566D"/>
    <w:rsid w:val="00575CBC"/>
    <w:rsid w:val="005775D0"/>
    <w:rsid w:val="00580226"/>
    <w:rsid w:val="005803E7"/>
    <w:rsid w:val="00580C10"/>
    <w:rsid w:val="00580DF3"/>
    <w:rsid w:val="00581138"/>
    <w:rsid w:val="00581C77"/>
    <w:rsid w:val="00583C04"/>
    <w:rsid w:val="0058575E"/>
    <w:rsid w:val="00585A17"/>
    <w:rsid w:val="00585CB1"/>
    <w:rsid w:val="00585D89"/>
    <w:rsid w:val="0058609D"/>
    <w:rsid w:val="0058618F"/>
    <w:rsid w:val="00586D73"/>
    <w:rsid w:val="00587762"/>
    <w:rsid w:val="0058783C"/>
    <w:rsid w:val="00587D73"/>
    <w:rsid w:val="00590CC3"/>
    <w:rsid w:val="005911AE"/>
    <w:rsid w:val="005926E2"/>
    <w:rsid w:val="0059313A"/>
    <w:rsid w:val="005A02DF"/>
    <w:rsid w:val="005A1393"/>
    <w:rsid w:val="005A1C4B"/>
    <w:rsid w:val="005A2414"/>
    <w:rsid w:val="005A2696"/>
    <w:rsid w:val="005A3018"/>
    <w:rsid w:val="005A3AEB"/>
    <w:rsid w:val="005A3BD4"/>
    <w:rsid w:val="005A44EB"/>
    <w:rsid w:val="005A4A4E"/>
    <w:rsid w:val="005A4A60"/>
    <w:rsid w:val="005A54EA"/>
    <w:rsid w:val="005A5BA0"/>
    <w:rsid w:val="005A7743"/>
    <w:rsid w:val="005B023F"/>
    <w:rsid w:val="005B02A2"/>
    <w:rsid w:val="005B053E"/>
    <w:rsid w:val="005B1417"/>
    <w:rsid w:val="005B1B03"/>
    <w:rsid w:val="005B44AE"/>
    <w:rsid w:val="005B4C7A"/>
    <w:rsid w:val="005B57EE"/>
    <w:rsid w:val="005B5978"/>
    <w:rsid w:val="005B69CF"/>
    <w:rsid w:val="005C1170"/>
    <w:rsid w:val="005C1220"/>
    <w:rsid w:val="005C3F07"/>
    <w:rsid w:val="005C4390"/>
    <w:rsid w:val="005C4B46"/>
    <w:rsid w:val="005C560E"/>
    <w:rsid w:val="005C5DC5"/>
    <w:rsid w:val="005D0DC5"/>
    <w:rsid w:val="005D0E1E"/>
    <w:rsid w:val="005D1CD8"/>
    <w:rsid w:val="005D2089"/>
    <w:rsid w:val="005D2BEA"/>
    <w:rsid w:val="005D3843"/>
    <w:rsid w:val="005D4834"/>
    <w:rsid w:val="005D4F61"/>
    <w:rsid w:val="005D5C23"/>
    <w:rsid w:val="005D62DC"/>
    <w:rsid w:val="005D7514"/>
    <w:rsid w:val="005D776C"/>
    <w:rsid w:val="005D77B9"/>
    <w:rsid w:val="005E0FC6"/>
    <w:rsid w:val="005E1A7B"/>
    <w:rsid w:val="005E219C"/>
    <w:rsid w:val="005E231F"/>
    <w:rsid w:val="005E2D31"/>
    <w:rsid w:val="005E3490"/>
    <w:rsid w:val="005E596F"/>
    <w:rsid w:val="005E7768"/>
    <w:rsid w:val="005E78CE"/>
    <w:rsid w:val="005F05D3"/>
    <w:rsid w:val="005F2239"/>
    <w:rsid w:val="005F25B1"/>
    <w:rsid w:val="005F2F47"/>
    <w:rsid w:val="005F430A"/>
    <w:rsid w:val="005F4DE3"/>
    <w:rsid w:val="005F56DE"/>
    <w:rsid w:val="005F7835"/>
    <w:rsid w:val="00600093"/>
    <w:rsid w:val="006012B3"/>
    <w:rsid w:val="00601354"/>
    <w:rsid w:val="0060163C"/>
    <w:rsid w:val="00602D6E"/>
    <w:rsid w:val="006041D1"/>
    <w:rsid w:val="0060441C"/>
    <w:rsid w:val="00605C05"/>
    <w:rsid w:val="00606368"/>
    <w:rsid w:val="00606B2A"/>
    <w:rsid w:val="00606F8D"/>
    <w:rsid w:val="0060734F"/>
    <w:rsid w:val="00610578"/>
    <w:rsid w:val="00611351"/>
    <w:rsid w:val="0061217D"/>
    <w:rsid w:val="006129AE"/>
    <w:rsid w:val="00612BFF"/>
    <w:rsid w:val="0061300B"/>
    <w:rsid w:val="00614859"/>
    <w:rsid w:val="00615620"/>
    <w:rsid w:val="0061770F"/>
    <w:rsid w:val="0062779F"/>
    <w:rsid w:val="006277A1"/>
    <w:rsid w:val="00630950"/>
    <w:rsid w:val="006321B0"/>
    <w:rsid w:val="00632BFD"/>
    <w:rsid w:val="00632D8D"/>
    <w:rsid w:val="00632FA4"/>
    <w:rsid w:val="00633717"/>
    <w:rsid w:val="00633BD7"/>
    <w:rsid w:val="00633C77"/>
    <w:rsid w:val="00634580"/>
    <w:rsid w:val="00634884"/>
    <w:rsid w:val="00635182"/>
    <w:rsid w:val="006351D9"/>
    <w:rsid w:val="006361F5"/>
    <w:rsid w:val="00637130"/>
    <w:rsid w:val="00637F0E"/>
    <w:rsid w:val="006400F2"/>
    <w:rsid w:val="006423F2"/>
    <w:rsid w:val="006428C5"/>
    <w:rsid w:val="00645D3F"/>
    <w:rsid w:val="0064601B"/>
    <w:rsid w:val="006465D9"/>
    <w:rsid w:val="00646F14"/>
    <w:rsid w:val="00646FCA"/>
    <w:rsid w:val="00647F02"/>
    <w:rsid w:val="00650234"/>
    <w:rsid w:val="00652D9E"/>
    <w:rsid w:val="00653137"/>
    <w:rsid w:val="0065595C"/>
    <w:rsid w:val="00657465"/>
    <w:rsid w:val="00660091"/>
    <w:rsid w:val="0066044B"/>
    <w:rsid w:val="00660867"/>
    <w:rsid w:val="006625E7"/>
    <w:rsid w:val="00662A64"/>
    <w:rsid w:val="006630AA"/>
    <w:rsid w:val="00663544"/>
    <w:rsid w:val="006636D5"/>
    <w:rsid w:val="00663735"/>
    <w:rsid w:val="00663C81"/>
    <w:rsid w:val="00664045"/>
    <w:rsid w:val="00664168"/>
    <w:rsid w:val="00665297"/>
    <w:rsid w:val="00665965"/>
    <w:rsid w:val="006664B2"/>
    <w:rsid w:val="00666539"/>
    <w:rsid w:val="00666911"/>
    <w:rsid w:val="00667A41"/>
    <w:rsid w:val="0067073A"/>
    <w:rsid w:val="00675F81"/>
    <w:rsid w:val="00675FA8"/>
    <w:rsid w:val="00680948"/>
    <w:rsid w:val="0068143E"/>
    <w:rsid w:val="00681C12"/>
    <w:rsid w:val="0068507D"/>
    <w:rsid w:val="00686F5D"/>
    <w:rsid w:val="006913A5"/>
    <w:rsid w:val="00691AF2"/>
    <w:rsid w:val="00692357"/>
    <w:rsid w:val="00692B80"/>
    <w:rsid w:val="00692BEA"/>
    <w:rsid w:val="00692CCD"/>
    <w:rsid w:val="00692D51"/>
    <w:rsid w:val="00693A0B"/>
    <w:rsid w:val="00694049"/>
    <w:rsid w:val="00694DD7"/>
    <w:rsid w:val="0069636B"/>
    <w:rsid w:val="00697CE2"/>
    <w:rsid w:val="006A0687"/>
    <w:rsid w:val="006A1762"/>
    <w:rsid w:val="006A19CE"/>
    <w:rsid w:val="006A1F0B"/>
    <w:rsid w:val="006A1F45"/>
    <w:rsid w:val="006A277A"/>
    <w:rsid w:val="006A3B0A"/>
    <w:rsid w:val="006A4EE0"/>
    <w:rsid w:val="006A5973"/>
    <w:rsid w:val="006A6682"/>
    <w:rsid w:val="006A73A5"/>
    <w:rsid w:val="006A7EAE"/>
    <w:rsid w:val="006B04F3"/>
    <w:rsid w:val="006B3518"/>
    <w:rsid w:val="006B490B"/>
    <w:rsid w:val="006B5E64"/>
    <w:rsid w:val="006B7126"/>
    <w:rsid w:val="006C2BE2"/>
    <w:rsid w:val="006C382C"/>
    <w:rsid w:val="006C4003"/>
    <w:rsid w:val="006C6B86"/>
    <w:rsid w:val="006C76BB"/>
    <w:rsid w:val="006D0188"/>
    <w:rsid w:val="006D2D0B"/>
    <w:rsid w:val="006D2F05"/>
    <w:rsid w:val="006D30D8"/>
    <w:rsid w:val="006D4116"/>
    <w:rsid w:val="006D4553"/>
    <w:rsid w:val="006D4898"/>
    <w:rsid w:val="006D4A35"/>
    <w:rsid w:val="006D4D9A"/>
    <w:rsid w:val="006D4F9A"/>
    <w:rsid w:val="006D6B44"/>
    <w:rsid w:val="006E0152"/>
    <w:rsid w:val="006E0F71"/>
    <w:rsid w:val="006E1962"/>
    <w:rsid w:val="006E22ED"/>
    <w:rsid w:val="006E27FE"/>
    <w:rsid w:val="006E28A5"/>
    <w:rsid w:val="006E4988"/>
    <w:rsid w:val="006E5076"/>
    <w:rsid w:val="006E5F64"/>
    <w:rsid w:val="006E603E"/>
    <w:rsid w:val="006E7194"/>
    <w:rsid w:val="006F0663"/>
    <w:rsid w:val="006F06A2"/>
    <w:rsid w:val="006F29D8"/>
    <w:rsid w:val="006F356C"/>
    <w:rsid w:val="006F45E2"/>
    <w:rsid w:val="00700CF8"/>
    <w:rsid w:val="00700ED1"/>
    <w:rsid w:val="00701110"/>
    <w:rsid w:val="007021C2"/>
    <w:rsid w:val="00702D0D"/>
    <w:rsid w:val="00702E91"/>
    <w:rsid w:val="0070330F"/>
    <w:rsid w:val="00703624"/>
    <w:rsid w:val="007040CA"/>
    <w:rsid w:val="007046ED"/>
    <w:rsid w:val="0070504B"/>
    <w:rsid w:val="0070541F"/>
    <w:rsid w:val="00705588"/>
    <w:rsid w:val="007062BB"/>
    <w:rsid w:val="007072A1"/>
    <w:rsid w:val="0071060C"/>
    <w:rsid w:val="00710BC5"/>
    <w:rsid w:val="007121CA"/>
    <w:rsid w:val="00712A7C"/>
    <w:rsid w:val="00715C25"/>
    <w:rsid w:val="00715F1E"/>
    <w:rsid w:val="00716554"/>
    <w:rsid w:val="0071708B"/>
    <w:rsid w:val="007170AC"/>
    <w:rsid w:val="00717575"/>
    <w:rsid w:val="00717EFA"/>
    <w:rsid w:val="0072003B"/>
    <w:rsid w:val="00721059"/>
    <w:rsid w:val="007211E6"/>
    <w:rsid w:val="0072160E"/>
    <w:rsid w:val="007217BF"/>
    <w:rsid w:val="007220C4"/>
    <w:rsid w:val="007221B2"/>
    <w:rsid w:val="00722ACE"/>
    <w:rsid w:val="00723526"/>
    <w:rsid w:val="00723A8C"/>
    <w:rsid w:val="00723E39"/>
    <w:rsid w:val="00723FD2"/>
    <w:rsid w:val="0072689D"/>
    <w:rsid w:val="00726DFE"/>
    <w:rsid w:val="007305ED"/>
    <w:rsid w:val="00730C17"/>
    <w:rsid w:val="007311B9"/>
    <w:rsid w:val="0073204B"/>
    <w:rsid w:val="00732361"/>
    <w:rsid w:val="0073259E"/>
    <w:rsid w:val="007331E7"/>
    <w:rsid w:val="00734149"/>
    <w:rsid w:val="00734BC0"/>
    <w:rsid w:val="0073560C"/>
    <w:rsid w:val="007357B9"/>
    <w:rsid w:val="00737FCA"/>
    <w:rsid w:val="007400DC"/>
    <w:rsid w:val="00741AB9"/>
    <w:rsid w:val="0074262E"/>
    <w:rsid w:val="00742D03"/>
    <w:rsid w:val="00742DA9"/>
    <w:rsid w:val="00743650"/>
    <w:rsid w:val="00744216"/>
    <w:rsid w:val="00744B25"/>
    <w:rsid w:val="00745275"/>
    <w:rsid w:val="007452E8"/>
    <w:rsid w:val="00745CFA"/>
    <w:rsid w:val="00746990"/>
    <w:rsid w:val="00747093"/>
    <w:rsid w:val="00747A0D"/>
    <w:rsid w:val="007501ED"/>
    <w:rsid w:val="00750C34"/>
    <w:rsid w:val="00750C82"/>
    <w:rsid w:val="00750D70"/>
    <w:rsid w:val="00751180"/>
    <w:rsid w:val="00752F9F"/>
    <w:rsid w:val="007536AB"/>
    <w:rsid w:val="00753A5B"/>
    <w:rsid w:val="007551CE"/>
    <w:rsid w:val="00755756"/>
    <w:rsid w:val="007557E3"/>
    <w:rsid w:val="007560B1"/>
    <w:rsid w:val="007575D0"/>
    <w:rsid w:val="0076094A"/>
    <w:rsid w:val="00760D4B"/>
    <w:rsid w:val="00761200"/>
    <w:rsid w:val="0076140A"/>
    <w:rsid w:val="00761D17"/>
    <w:rsid w:val="007627A7"/>
    <w:rsid w:val="007640CA"/>
    <w:rsid w:val="007662E0"/>
    <w:rsid w:val="00766477"/>
    <w:rsid w:val="00766C13"/>
    <w:rsid w:val="00770B69"/>
    <w:rsid w:val="00771309"/>
    <w:rsid w:val="007718AC"/>
    <w:rsid w:val="00772037"/>
    <w:rsid w:val="0077516E"/>
    <w:rsid w:val="00775BAC"/>
    <w:rsid w:val="00775E99"/>
    <w:rsid w:val="00775EE8"/>
    <w:rsid w:val="00775F71"/>
    <w:rsid w:val="00776E9C"/>
    <w:rsid w:val="00777913"/>
    <w:rsid w:val="00780185"/>
    <w:rsid w:val="007814C9"/>
    <w:rsid w:val="007816D8"/>
    <w:rsid w:val="00781C69"/>
    <w:rsid w:val="00783CDF"/>
    <w:rsid w:val="00784150"/>
    <w:rsid w:val="007846D6"/>
    <w:rsid w:val="0078736D"/>
    <w:rsid w:val="007901BB"/>
    <w:rsid w:val="00790C78"/>
    <w:rsid w:val="00791892"/>
    <w:rsid w:val="00793272"/>
    <w:rsid w:val="00793AE1"/>
    <w:rsid w:val="0079499A"/>
    <w:rsid w:val="00794B64"/>
    <w:rsid w:val="007967C3"/>
    <w:rsid w:val="00797DFA"/>
    <w:rsid w:val="007A01FB"/>
    <w:rsid w:val="007A0A33"/>
    <w:rsid w:val="007A163F"/>
    <w:rsid w:val="007A278C"/>
    <w:rsid w:val="007A2822"/>
    <w:rsid w:val="007A2AD5"/>
    <w:rsid w:val="007A3286"/>
    <w:rsid w:val="007A3735"/>
    <w:rsid w:val="007A464B"/>
    <w:rsid w:val="007A4C40"/>
    <w:rsid w:val="007A5199"/>
    <w:rsid w:val="007A5310"/>
    <w:rsid w:val="007A5E03"/>
    <w:rsid w:val="007A5E3B"/>
    <w:rsid w:val="007B04DE"/>
    <w:rsid w:val="007B04EF"/>
    <w:rsid w:val="007B0AE6"/>
    <w:rsid w:val="007B0D42"/>
    <w:rsid w:val="007B312C"/>
    <w:rsid w:val="007B3A79"/>
    <w:rsid w:val="007B719E"/>
    <w:rsid w:val="007B720B"/>
    <w:rsid w:val="007B76D8"/>
    <w:rsid w:val="007C0236"/>
    <w:rsid w:val="007C0F0B"/>
    <w:rsid w:val="007C0F82"/>
    <w:rsid w:val="007C108C"/>
    <w:rsid w:val="007C1446"/>
    <w:rsid w:val="007C17FD"/>
    <w:rsid w:val="007C321C"/>
    <w:rsid w:val="007C46E1"/>
    <w:rsid w:val="007C57BC"/>
    <w:rsid w:val="007C64F5"/>
    <w:rsid w:val="007D04CA"/>
    <w:rsid w:val="007D07E9"/>
    <w:rsid w:val="007D0997"/>
    <w:rsid w:val="007D0A2B"/>
    <w:rsid w:val="007D12A1"/>
    <w:rsid w:val="007D1AE3"/>
    <w:rsid w:val="007D40E5"/>
    <w:rsid w:val="007D4138"/>
    <w:rsid w:val="007D6A3B"/>
    <w:rsid w:val="007D721A"/>
    <w:rsid w:val="007D77CE"/>
    <w:rsid w:val="007E0F10"/>
    <w:rsid w:val="007E38DF"/>
    <w:rsid w:val="007E4178"/>
    <w:rsid w:val="007E5946"/>
    <w:rsid w:val="007E6132"/>
    <w:rsid w:val="007E6443"/>
    <w:rsid w:val="007E68C1"/>
    <w:rsid w:val="007E6D6C"/>
    <w:rsid w:val="007E7BA0"/>
    <w:rsid w:val="007F0A77"/>
    <w:rsid w:val="007F0F5C"/>
    <w:rsid w:val="007F1E37"/>
    <w:rsid w:val="007F2A41"/>
    <w:rsid w:val="007F3F80"/>
    <w:rsid w:val="007F42A4"/>
    <w:rsid w:val="007F4D84"/>
    <w:rsid w:val="007F50D3"/>
    <w:rsid w:val="007F512F"/>
    <w:rsid w:val="007F5D1D"/>
    <w:rsid w:val="007F6B1F"/>
    <w:rsid w:val="007F7BFF"/>
    <w:rsid w:val="008007A1"/>
    <w:rsid w:val="008013F0"/>
    <w:rsid w:val="00801CED"/>
    <w:rsid w:val="008022B3"/>
    <w:rsid w:val="00803926"/>
    <w:rsid w:val="00803FCD"/>
    <w:rsid w:val="00804269"/>
    <w:rsid w:val="00804897"/>
    <w:rsid w:val="00806538"/>
    <w:rsid w:val="0081181C"/>
    <w:rsid w:val="00812B18"/>
    <w:rsid w:val="0081378A"/>
    <w:rsid w:val="008149B5"/>
    <w:rsid w:val="008166A1"/>
    <w:rsid w:val="00816F92"/>
    <w:rsid w:val="00817068"/>
    <w:rsid w:val="00817286"/>
    <w:rsid w:val="00817F78"/>
    <w:rsid w:val="0082045B"/>
    <w:rsid w:val="00821DCC"/>
    <w:rsid w:val="008242E5"/>
    <w:rsid w:val="008249EB"/>
    <w:rsid w:val="0082752A"/>
    <w:rsid w:val="00827AC5"/>
    <w:rsid w:val="00827B37"/>
    <w:rsid w:val="00832818"/>
    <w:rsid w:val="008329DB"/>
    <w:rsid w:val="00833582"/>
    <w:rsid w:val="00833A30"/>
    <w:rsid w:val="00834BB2"/>
    <w:rsid w:val="0083560F"/>
    <w:rsid w:val="00835694"/>
    <w:rsid w:val="00835B1E"/>
    <w:rsid w:val="008361C5"/>
    <w:rsid w:val="0083628F"/>
    <w:rsid w:val="008367DD"/>
    <w:rsid w:val="00837AB9"/>
    <w:rsid w:val="008403AD"/>
    <w:rsid w:val="008408E6"/>
    <w:rsid w:val="00840CD0"/>
    <w:rsid w:val="00841F53"/>
    <w:rsid w:val="00844A77"/>
    <w:rsid w:val="0084560F"/>
    <w:rsid w:val="00850637"/>
    <w:rsid w:val="00850E22"/>
    <w:rsid w:val="008512F1"/>
    <w:rsid w:val="00853B4B"/>
    <w:rsid w:val="00854D98"/>
    <w:rsid w:val="0085623F"/>
    <w:rsid w:val="00856348"/>
    <w:rsid w:val="0085751E"/>
    <w:rsid w:val="00860B29"/>
    <w:rsid w:val="0086125E"/>
    <w:rsid w:val="00861A1A"/>
    <w:rsid w:val="00861DB4"/>
    <w:rsid w:val="008622E8"/>
    <w:rsid w:val="008645EE"/>
    <w:rsid w:val="00864BD7"/>
    <w:rsid w:val="00870144"/>
    <w:rsid w:val="0087072C"/>
    <w:rsid w:val="00870D8D"/>
    <w:rsid w:val="008710C1"/>
    <w:rsid w:val="00871312"/>
    <w:rsid w:val="00871358"/>
    <w:rsid w:val="00871389"/>
    <w:rsid w:val="00872228"/>
    <w:rsid w:val="00873A96"/>
    <w:rsid w:val="00873D7A"/>
    <w:rsid w:val="00874223"/>
    <w:rsid w:val="00874708"/>
    <w:rsid w:val="00875AC7"/>
    <w:rsid w:val="00877242"/>
    <w:rsid w:val="0087766B"/>
    <w:rsid w:val="00877CB3"/>
    <w:rsid w:val="008804CF"/>
    <w:rsid w:val="0088073C"/>
    <w:rsid w:val="008823C5"/>
    <w:rsid w:val="00882D58"/>
    <w:rsid w:val="00882F19"/>
    <w:rsid w:val="00883D35"/>
    <w:rsid w:val="00884569"/>
    <w:rsid w:val="00885145"/>
    <w:rsid w:val="00887A51"/>
    <w:rsid w:val="00887FA2"/>
    <w:rsid w:val="0089038A"/>
    <w:rsid w:val="00890D9B"/>
    <w:rsid w:val="008913D0"/>
    <w:rsid w:val="00891C6C"/>
    <w:rsid w:val="008927BF"/>
    <w:rsid w:val="00893203"/>
    <w:rsid w:val="00893AC3"/>
    <w:rsid w:val="00893CCD"/>
    <w:rsid w:val="008964B3"/>
    <w:rsid w:val="008A19EE"/>
    <w:rsid w:val="008A1A0D"/>
    <w:rsid w:val="008A2301"/>
    <w:rsid w:val="008A35CC"/>
    <w:rsid w:val="008A5D88"/>
    <w:rsid w:val="008B0409"/>
    <w:rsid w:val="008B0758"/>
    <w:rsid w:val="008B1AFA"/>
    <w:rsid w:val="008B1CB5"/>
    <w:rsid w:val="008B1CDC"/>
    <w:rsid w:val="008B2161"/>
    <w:rsid w:val="008B44C9"/>
    <w:rsid w:val="008B4A7C"/>
    <w:rsid w:val="008B6B13"/>
    <w:rsid w:val="008C010E"/>
    <w:rsid w:val="008C0FD8"/>
    <w:rsid w:val="008C1996"/>
    <w:rsid w:val="008C2923"/>
    <w:rsid w:val="008C2D69"/>
    <w:rsid w:val="008C3CBB"/>
    <w:rsid w:val="008C3CF8"/>
    <w:rsid w:val="008C414E"/>
    <w:rsid w:val="008C4579"/>
    <w:rsid w:val="008C49C6"/>
    <w:rsid w:val="008C7197"/>
    <w:rsid w:val="008C751B"/>
    <w:rsid w:val="008C754C"/>
    <w:rsid w:val="008D05A1"/>
    <w:rsid w:val="008D062F"/>
    <w:rsid w:val="008D0F11"/>
    <w:rsid w:val="008D5572"/>
    <w:rsid w:val="008D56C9"/>
    <w:rsid w:val="008D56CA"/>
    <w:rsid w:val="008D5935"/>
    <w:rsid w:val="008D68CB"/>
    <w:rsid w:val="008D6A41"/>
    <w:rsid w:val="008D6A54"/>
    <w:rsid w:val="008E02BC"/>
    <w:rsid w:val="008E1578"/>
    <w:rsid w:val="008E2485"/>
    <w:rsid w:val="008E2585"/>
    <w:rsid w:val="008E2D7A"/>
    <w:rsid w:val="008E2D97"/>
    <w:rsid w:val="008E3212"/>
    <w:rsid w:val="008E5255"/>
    <w:rsid w:val="008E63F6"/>
    <w:rsid w:val="008F157C"/>
    <w:rsid w:val="008F1F4A"/>
    <w:rsid w:val="008F27F9"/>
    <w:rsid w:val="008F3215"/>
    <w:rsid w:val="008F4590"/>
    <w:rsid w:val="008F4A62"/>
    <w:rsid w:val="008F6092"/>
    <w:rsid w:val="008F67E4"/>
    <w:rsid w:val="008F69A3"/>
    <w:rsid w:val="008F7256"/>
    <w:rsid w:val="008F72F3"/>
    <w:rsid w:val="00900A3D"/>
    <w:rsid w:val="00902085"/>
    <w:rsid w:val="009028FD"/>
    <w:rsid w:val="009030D7"/>
    <w:rsid w:val="00903561"/>
    <w:rsid w:val="0090424C"/>
    <w:rsid w:val="00904346"/>
    <w:rsid w:val="00905606"/>
    <w:rsid w:val="00905ECF"/>
    <w:rsid w:val="0090605E"/>
    <w:rsid w:val="00906C74"/>
    <w:rsid w:val="00907998"/>
    <w:rsid w:val="009108CE"/>
    <w:rsid w:val="00914D99"/>
    <w:rsid w:val="00915482"/>
    <w:rsid w:val="00915A9F"/>
    <w:rsid w:val="0092095D"/>
    <w:rsid w:val="00921CA4"/>
    <w:rsid w:val="00921F23"/>
    <w:rsid w:val="009238F7"/>
    <w:rsid w:val="00924DAC"/>
    <w:rsid w:val="009264FF"/>
    <w:rsid w:val="009272D8"/>
    <w:rsid w:val="0092765C"/>
    <w:rsid w:val="00930BFE"/>
    <w:rsid w:val="00930D58"/>
    <w:rsid w:val="00931F26"/>
    <w:rsid w:val="0093362B"/>
    <w:rsid w:val="00934180"/>
    <w:rsid w:val="00935229"/>
    <w:rsid w:val="009358E0"/>
    <w:rsid w:val="00935905"/>
    <w:rsid w:val="00935AAA"/>
    <w:rsid w:val="009379EF"/>
    <w:rsid w:val="009422D4"/>
    <w:rsid w:val="009433A4"/>
    <w:rsid w:val="009450CB"/>
    <w:rsid w:val="009463F1"/>
    <w:rsid w:val="00946A8C"/>
    <w:rsid w:val="0095031E"/>
    <w:rsid w:val="00950383"/>
    <w:rsid w:val="00952405"/>
    <w:rsid w:val="009529A5"/>
    <w:rsid w:val="00954297"/>
    <w:rsid w:val="00954707"/>
    <w:rsid w:val="00955037"/>
    <w:rsid w:val="009555E0"/>
    <w:rsid w:val="00955A13"/>
    <w:rsid w:val="00957633"/>
    <w:rsid w:val="00957AE2"/>
    <w:rsid w:val="00960617"/>
    <w:rsid w:val="00960A56"/>
    <w:rsid w:val="009619B6"/>
    <w:rsid w:val="00962250"/>
    <w:rsid w:val="00964F8F"/>
    <w:rsid w:val="00966532"/>
    <w:rsid w:val="00966C16"/>
    <w:rsid w:val="00966EF1"/>
    <w:rsid w:val="00967116"/>
    <w:rsid w:val="00967223"/>
    <w:rsid w:val="00970439"/>
    <w:rsid w:val="00971397"/>
    <w:rsid w:val="00971FA7"/>
    <w:rsid w:val="009730E2"/>
    <w:rsid w:val="009751F7"/>
    <w:rsid w:val="00975B38"/>
    <w:rsid w:val="00975F5C"/>
    <w:rsid w:val="0097645D"/>
    <w:rsid w:val="0097717A"/>
    <w:rsid w:val="0097724B"/>
    <w:rsid w:val="009779D0"/>
    <w:rsid w:val="00980A13"/>
    <w:rsid w:val="0098168B"/>
    <w:rsid w:val="00981F87"/>
    <w:rsid w:val="0098270A"/>
    <w:rsid w:val="0098350E"/>
    <w:rsid w:val="0098399D"/>
    <w:rsid w:val="00983A24"/>
    <w:rsid w:val="009843D2"/>
    <w:rsid w:val="00984EB1"/>
    <w:rsid w:val="00984F7B"/>
    <w:rsid w:val="00986216"/>
    <w:rsid w:val="00986CBD"/>
    <w:rsid w:val="009876E5"/>
    <w:rsid w:val="00990C12"/>
    <w:rsid w:val="00992C39"/>
    <w:rsid w:val="0099404F"/>
    <w:rsid w:val="00994306"/>
    <w:rsid w:val="00996B0B"/>
    <w:rsid w:val="00996BA6"/>
    <w:rsid w:val="00996FA5"/>
    <w:rsid w:val="009A361A"/>
    <w:rsid w:val="009A43DF"/>
    <w:rsid w:val="009A73CC"/>
    <w:rsid w:val="009A7AFA"/>
    <w:rsid w:val="009B15C9"/>
    <w:rsid w:val="009B378D"/>
    <w:rsid w:val="009B3890"/>
    <w:rsid w:val="009B3896"/>
    <w:rsid w:val="009B3B77"/>
    <w:rsid w:val="009B3FD1"/>
    <w:rsid w:val="009B4366"/>
    <w:rsid w:val="009B5662"/>
    <w:rsid w:val="009B6570"/>
    <w:rsid w:val="009B7212"/>
    <w:rsid w:val="009C20ED"/>
    <w:rsid w:val="009C2211"/>
    <w:rsid w:val="009C2A1D"/>
    <w:rsid w:val="009C2E73"/>
    <w:rsid w:val="009C40E8"/>
    <w:rsid w:val="009C45C5"/>
    <w:rsid w:val="009D14A3"/>
    <w:rsid w:val="009D1C30"/>
    <w:rsid w:val="009D284E"/>
    <w:rsid w:val="009D2B5A"/>
    <w:rsid w:val="009D2C93"/>
    <w:rsid w:val="009D57FF"/>
    <w:rsid w:val="009D6D6D"/>
    <w:rsid w:val="009E1B70"/>
    <w:rsid w:val="009E228E"/>
    <w:rsid w:val="009E5FD4"/>
    <w:rsid w:val="009E6700"/>
    <w:rsid w:val="009E6858"/>
    <w:rsid w:val="009E6F8C"/>
    <w:rsid w:val="009E78F0"/>
    <w:rsid w:val="009E7943"/>
    <w:rsid w:val="009F0E13"/>
    <w:rsid w:val="009F0F6D"/>
    <w:rsid w:val="009F19A3"/>
    <w:rsid w:val="009F3366"/>
    <w:rsid w:val="009F405F"/>
    <w:rsid w:val="009F4771"/>
    <w:rsid w:val="009F4DA0"/>
    <w:rsid w:val="009F5210"/>
    <w:rsid w:val="009F792B"/>
    <w:rsid w:val="00A00483"/>
    <w:rsid w:val="00A00708"/>
    <w:rsid w:val="00A01132"/>
    <w:rsid w:val="00A01C56"/>
    <w:rsid w:val="00A02783"/>
    <w:rsid w:val="00A04074"/>
    <w:rsid w:val="00A041B3"/>
    <w:rsid w:val="00A062FA"/>
    <w:rsid w:val="00A1024A"/>
    <w:rsid w:val="00A107F8"/>
    <w:rsid w:val="00A1163B"/>
    <w:rsid w:val="00A1226F"/>
    <w:rsid w:val="00A13114"/>
    <w:rsid w:val="00A1416F"/>
    <w:rsid w:val="00A17665"/>
    <w:rsid w:val="00A1787C"/>
    <w:rsid w:val="00A20C02"/>
    <w:rsid w:val="00A22C04"/>
    <w:rsid w:val="00A304BE"/>
    <w:rsid w:val="00A30A07"/>
    <w:rsid w:val="00A30F32"/>
    <w:rsid w:val="00A32C50"/>
    <w:rsid w:val="00A33121"/>
    <w:rsid w:val="00A338E2"/>
    <w:rsid w:val="00A33AF6"/>
    <w:rsid w:val="00A33D40"/>
    <w:rsid w:val="00A34168"/>
    <w:rsid w:val="00A3421E"/>
    <w:rsid w:val="00A358E7"/>
    <w:rsid w:val="00A40449"/>
    <w:rsid w:val="00A4052B"/>
    <w:rsid w:val="00A40734"/>
    <w:rsid w:val="00A41644"/>
    <w:rsid w:val="00A41D59"/>
    <w:rsid w:val="00A428CF"/>
    <w:rsid w:val="00A4380B"/>
    <w:rsid w:val="00A43FDF"/>
    <w:rsid w:val="00A442C3"/>
    <w:rsid w:val="00A44C59"/>
    <w:rsid w:val="00A45A70"/>
    <w:rsid w:val="00A46350"/>
    <w:rsid w:val="00A46519"/>
    <w:rsid w:val="00A50919"/>
    <w:rsid w:val="00A51A2D"/>
    <w:rsid w:val="00A5576D"/>
    <w:rsid w:val="00A5596B"/>
    <w:rsid w:val="00A568B2"/>
    <w:rsid w:val="00A56917"/>
    <w:rsid w:val="00A5723A"/>
    <w:rsid w:val="00A579E2"/>
    <w:rsid w:val="00A607B4"/>
    <w:rsid w:val="00A60F77"/>
    <w:rsid w:val="00A6187A"/>
    <w:rsid w:val="00A62C63"/>
    <w:rsid w:val="00A63C07"/>
    <w:rsid w:val="00A63D9B"/>
    <w:rsid w:val="00A704DC"/>
    <w:rsid w:val="00A70BC5"/>
    <w:rsid w:val="00A72CB2"/>
    <w:rsid w:val="00A72EA4"/>
    <w:rsid w:val="00A73564"/>
    <w:rsid w:val="00A73B9B"/>
    <w:rsid w:val="00A750A0"/>
    <w:rsid w:val="00A76E01"/>
    <w:rsid w:val="00A81702"/>
    <w:rsid w:val="00A83891"/>
    <w:rsid w:val="00A83C70"/>
    <w:rsid w:val="00A84F10"/>
    <w:rsid w:val="00A851D1"/>
    <w:rsid w:val="00A9284F"/>
    <w:rsid w:val="00A93DC6"/>
    <w:rsid w:val="00A9411A"/>
    <w:rsid w:val="00AA0332"/>
    <w:rsid w:val="00AA0DD9"/>
    <w:rsid w:val="00AA1A1D"/>
    <w:rsid w:val="00AA33A9"/>
    <w:rsid w:val="00AA4A4B"/>
    <w:rsid w:val="00AA4A54"/>
    <w:rsid w:val="00AA544C"/>
    <w:rsid w:val="00AA6080"/>
    <w:rsid w:val="00AA6682"/>
    <w:rsid w:val="00AA6BDB"/>
    <w:rsid w:val="00AB0613"/>
    <w:rsid w:val="00AB1928"/>
    <w:rsid w:val="00AB4423"/>
    <w:rsid w:val="00AB75FB"/>
    <w:rsid w:val="00AB7C5C"/>
    <w:rsid w:val="00AB7CBF"/>
    <w:rsid w:val="00AC17CD"/>
    <w:rsid w:val="00AC2E23"/>
    <w:rsid w:val="00AC719A"/>
    <w:rsid w:val="00AD0111"/>
    <w:rsid w:val="00AD0561"/>
    <w:rsid w:val="00AD0B68"/>
    <w:rsid w:val="00AD1CDB"/>
    <w:rsid w:val="00AD1F4C"/>
    <w:rsid w:val="00AD2C47"/>
    <w:rsid w:val="00AD40C3"/>
    <w:rsid w:val="00AD4C72"/>
    <w:rsid w:val="00AD5451"/>
    <w:rsid w:val="00AD5524"/>
    <w:rsid w:val="00AD5906"/>
    <w:rsid w:val="00AD6048"/>
    <w:rsid w:val="00AD72F4"/>
    <w:rsid w:val="00AE0735"/>
    <w:rsid w:val="00AE1947"/>
    <w:rsid w:val="00AE1CE1"/>
    <w:rsid w:val="00AE22AC"/>
    <w:rsid w:val="00AE3A4B"/>
    <w:rsid w:val="00AE5EB6"/>
    <w:rsid w:val="00AF1C8B"/>
    <w:rsid w:val="00AF2855"/>
    <w:rsid w:val="00AF28EC"/>
    <w:rsid w:val="00AF299B"/>
    <w:rsid w:val="00AF2BE2"/>
    <w:rsid w:val="00AF2DBA"/>
    <w:rsid w:val="00AF3F30"/>
    <w:rsid w:val="00AF7CFF"/>
    <w:rsid w:val="00AF7E43"/>
    <w:rsid w:val="00B00649"/>
    <w:rsid w:val="00B02AE0"/>
    <w:rsid w:val="00B03F25"/>
    <w:rsid w:val="00B04C6F"/>
    <w:rsid w:val="00B05326"/>
    <w:rsid w:val="00B053A2"/>
    <w:rsid w:val="00B0677E"/>
    <w:rsid w:val="00B067CF"/>
    <w:rsid w:val="00B07013"/>
    <w:rsid w:val="00B14512"/>
    <w:rsid w:val="00B14545"/>
    <w:rsid w:val="00B14E60"/>
    <w:rsid w:val="00B16FB9"/>
    <w:rsid w:val="00B17BA2"/>
    <w:rsid w:val="00B203E8"/>
    <w:rsid w:val="00B204C0"/>
    <w:rsid w:val="00B24BF3"/>
    <w:rsid w:val="00B2685B"/>
    <w:rsid w:val="00B26DC3"/>
    <w:rsid w:val="00B271D6"/>
    <w:rsid w:val="00B30A4A"/>
    <w:rsid w:val="00B30B9D"/>
    <w:rsid w:val="00B32506"/>
    <w:rsid w:val="00B325A7"/>
    <w:rsid w:val="00B3261B"/>
    <w:rsid w:val="00B33E3C"/>
    <w:rsid w:val="00B36EE1"/>
    <w:rsid w:val="00B426BF"/>
    <w:rsid w:val="00B4292C"/>
    <w:rsid w:val="00B42DDF"/>
    <w:rsid w:val="00B432EC"/>
    <w:rsid w:val="00B433C6"/>
    <w:rsid w:val="00B43894"/>
    <w:rsid w:val="00B44F23"/>
    <w:rsid w:val="00B4574D"/>
    <w:rsid w:val="00B468E1"/>
    <w:rsid w:val="00B46BC0"/>
    <w:rsid w:val="00B46DFB"/>
    <w:rsid w:val="00B47386"/>
    <w:rsid w:val="00B5141B"/>
    <w:rsid w:val="00B52037"/>
    <w:rsid w:val="00B54BA4"/>
    <w:rsid w:val="00B55681"/>
    <w:rsid w:val="00B56B30"/>
    <w:rsid w:val="00B57AAD"/>
    <w:rsid w:val="00B60D21"/>
    <w:rsid w:val="00B62FDF"/>
    <w:rsid w:val="00B63188"/>
    <w:rsid w:val="00B6374E"/>
    <w:rsid w:val="00B63B31"/>
    <w:rsid w:val="00B6438E"/>
    <w:rsid w:val="00B64EFA"/>
    <w:rsid w:val="00B65374"/>
    <w:rsid w:val="00B65CCE"/>
    <w:rsid w:val="00B67A87"/>
    <w:rsid w:val="00B705BC"/>
    <w:rsid w:val="00B70873"/>
    <w:rsid w:val="00B72B16"/>
    <w:rsid w:val="00B72D68"/>
    <w:rsid w:val="00B7429B"/>
    <w:rsid w:val="00B7491C"/>
    <w:rsid w:val="00B75486"/>
    <w:rsid w:val="00B75545"/>
    <w:rsid w:val="00B75F6C"/>
    <w:rsid w:val="00B76FF4"/>
    <w:rsid w:val="00B80408"/>
    <w:rsid w:val="00B80B8A"/>
    <w:rsid w:val="00B81397"/>
    <w:rsid w:val="00B82633"/>
    <w:rsid w:val="00B83C5D"/>
    <w:rsid w:val="00B91B67"/>
    <w:rsid w:val="00B91B6E"/>
    <w:rsid w:val="00B92002"/>
    <w:rsid w:val="00B923B6"/>
    <w:rsid w:val="00B925DB"/>
    <w:rsid w:val="00B94166"/>
    <w:rsid w:val="00B95CAA"/>
    <w:rsid w:val="00B967FF"/>
    <w:rsid w:val="00B96B8D"/>
    <w:rsid w:val="00B96CAE"/>
    <w:rsid w:val="00B974B9"/>
    <w:rsid w:val="00BA0501"/>
    <w:rsid w:val="00BA0986"/>
    <w:rsid w:val="00BA1288"/>
    <w:rsid w:val="00BA17FF"/>
    <w:rsid w:val="00BA3F6D"/>
    <w:rsid w:val="00BA4996"/>
    <w:rsid w:val="00BA4BE6"/>
    <w:rsid w:val="00BA4FC0"/>
    <w:rsid w:val="00BA5AF0"/>
    <w:rsid w:val="00BA61E0"/>
    <w:rsid w:val="00BA62A0"/>
    <w:rsid w:val="00BA657C"/>
    <w:rsid w:val="00BA6EF0"/>
    <w:rsid w:val="00BA7F7D"/>
    <w:rsid w:val="00BB04BD"/>
    <w:rsid w:val="00BB067F"/>
    <w:rsid w:val="00BB0803"/>
    <w:rsid w:val="00BB0ADF"/>
    <w:rsid w:val="00BB1C14"/>
    <w:rsid w:val="00BB220B"/>
    <w:rsid w:val="00BB30A7"/>
    <w:rsid w:val="00BB3558"/>
    <w:rsid w:val="00BB3670"/>
    <w:rsid w:val="00BB444F"/>
    <w:rsid w:val="00BB5261"/>
    <w:rsid w:val="00BB5711"/>
    <w:rsid w:val="00BB5AD4"/>
    <w:rsid w:val="00BB60FF"/>
    <w:rsid w:val="00BB6847"/>
    <w:rsid w:val="00BB7F8F"/>
    <w:rsid w:val="00BC070C"/>
    <w:rsid w:val="00BC26AE"/>
    <w:rsid w:val="00BC26DC"/>
    <w:rsid w:val="00BC557F"/>
    <w:rsid w:val="00BC58DB"/>
    <w:rsid w:val="00BC716A"/>
    <w:rsid w:val="00BD04B3"/>
    <w:rsid w:val="00BD066D"/>
    <w:rsid w:val="00BD07DF"/>
    <w:rsid w:val="00BD20EF"/>
    <w:rsid w:val="00BD26F4"/>
    <w:rsid w:val="00BD3E9A"/>
    <w:rsid w:val="00BD4474"/>
    <w:rsid w:val="00BD4E07"/>
    <w:rsid w:val="00BD5DBD"/>
    <w:rsid w:val="00BD5DF6"/>
    <w:rsid w:val="00BD6219"/>
    <w:rsid w:val="00BD6C9F"/>
    <w:rsid w:val="00BD75E8"/>
    <w:rsid w:val="00BE0041"/>
    <w:rsid w:val="00BE3542"/>
    <w:rsid w:val="00BE3BAF"/>
    <w:rsid w:val="00BE4C16"/>
    <w:rsid w:val="00BE516F"/>
    <w:rsid w:val="00BE5897"/>
    <w:rsid w:val="00BE640F"/>
    <w:rsid w:val="00BE6CAB"/>
    <w:rsid w:val="00BE6D2A"/>
    <w:rsid w:val="00BF0E29"/>
    <w:rsid w:val="00BF304A"/>
    <w:rsid w:val="00BF32EB"/>
    <w:rsid w:val="00BF3900"/>
    <w:rsid w:val="00BF41FA"/>
    <w:rsid w:val="00BF4638"/>
    <w:rsid w:val="00BF5130"/>
    <w:rsid w:val="00BF6790"/>
    <w:rsid w:val="00C00844"/>
    <w:rsid w:val="00C014FC"/>
    <w:rsid w:val="00C01D7B"/>
    <w:rsid w:val="00C02641"/>
    <w:rsid w:val="00C02BD8"/>
    <w:rsid w:val="00C059D0"/>
    <w:rsid w:val="00C07551"/>
    <w:rsid w:val="00C10F2E"/>
    <w:rsid w:val="00C1109F"/>
    <w:rsid w:val="00C12D65"/>
    <w:rsid w:val="00C12E9A"/>
    <w:rsid w:val="00C133AB"/>
    <w:rsid w:val="00C13AB3"/>
    <w:rsid w:val="00C169B8"/>
    <w:rsid w:val="00C16DCA"/>
    <w:rsid w:val="00C17888"/>
    <w:rsid w:val="00C17D99"/>
    <w:rsid w:val="00C20097"/>
    <w:rsid w:val="00C202C7"/>
    <w:rsid w:val="00C20B56"/>
    <w:rsid w:val="00C21473"/>
    <w:rsid w:val="00C21DBB"/>
    <w:rsid w:val="00C22214"/>
    <w:rsid w:val="00C2269F"/>
    <w:rsid w:val="00C22CE2"/>
    <w:rsid w:val="00C249EE"/>
    <w:rsid w:val="00C24F4F"/>
    <w:rsid w:val="00C257FB"/>
    <w:rsid w:val="00C267B4"/>
    <w:rsid w:val="00C26F72"/>
    <w:rsid w:val="00C3091E"/>
    <w:rsid w:val="00C309A7"/>
    <w:rsid w:val="00C32659"/>
    <w:rsid w:val="00C32CA2"/>
    <w:rsid w:val="00C335AB"/>
    <w:rsid w:val="00C363BA"/>
    <w:rsid w:val="00C36B8E"/>
    <w:rsid w:val="00C36C3F"/>
    <w:rsid w:val="00C36F28"/>
    <w:rsid w:val="00C37634"/>
    <w:rsid w:val="00C37ECB"/>
    <w:rsid w:val="00C407AB"/>
    <w:rsid w:val="00C42468"/>
    <w:rsid w:val="00C42EF5"/>
    <w:rsid w:val="00C42F9C"/>
    <w:rsid w:val="00C435C1"/>
    <w:rsid w:val="00C46163"/>
    <w:rsid w:val="00C50428"/>
    <w:rsid w:val="00C50F19"/>
    <w:rsid w:val="00C524FF"/>
    <w:rsid w:val="00C52B7B"/>
    <w:rsid w:val="00C547CD"/>
    <w:rsid w:val="00C54946"/>
    <w:rsid w:val="00C56721"/>
    <w:rsid w:val="00C56A14"/>
    <w:rsid w:val="00C570FF"/>
    <w:rsid w:val="00C579A9"/>
    <w:rsid w:val="00C57CEA"/>
    <w:rsid w:val="00C60FEC"/>
    <w:rsid w:val="00C6179B"/>
    <w:rsid w:val="00C61AEA"/>
    <w:rsid w:val="00C62B1C"/>
    <w:rsid w:val="00C6574E"/>
    <w:rsid w:val="00C657B6"/>
    <w:rsid w:val="00C65C0B"/>
    <w:rsid w:val="00C663D1"/>
    <w:rsid w:val="00C707FD"/>
    <w:rsid w:val="00C71986"/>
    <w:rsid w:val="00C71CD5"/>
    <w:rsid w:val="00C72EE8"/>
    <w:rsid w:val="00C73151"/>
    <w:rsid w:val="00C731AC"/>
    <w:rsid w:val="00C74470"/>
    <w:rsid w:val="00C75BDD"/>
    <w:rsid w:val="00C75C5F"/>
    <w:rsid w:val="00C76DEB"/>
    <w:rsid w:val="00C77984"/>
    <w:rsid w:val="00C80972"/>
    <w:rsid w:val="00C80A70"/>
    <w:rsid w:val="00C80F6F"/>
    <w:rsid w:val="00C811D8"/>
    <w:rsid w:val="00C816C6"/>
    <w:rsid w:val="00C85ED9"/>
    <w:rsid w:val="00C86375"/>
    <w:rsid w:val="00C863A7"/>
    <w:rsid w:val="00C86E99"/>
    <w:rsid w:val="00C87263"/>
    <w:rsid w:val="00C87290"/>
    <w:rsid w:val="00C90E41"/>
    <w:rsid w:val="00C912F4"/>
    <w:rsid w:val="00C9139F"/>
    <w:rsid w:val="00C9156F"/>
    <w:rsid w:val="00C91601"/>
    <w:rsid w:val="00C94B06"/>
    <w:rsid w:val="00C9581A"/>
    <w:rsid w:val="00C95ED9"/>
    <w:rsid w:val="00C96A2D"/>
    <w:rsid w:val="00C97D29"/>
    <w:rsid w:val="00CA1050"/>
    <w:rsid w:val="00CA1273"/>
    <w:rsid w:val="00CA1A0A"/>
    <w:rsid w:val="00CA50CF"/>
    <w:rsid w:val="00CA68F2"/>
    <w:rsid w:val="00CA6AFF"/>
    <w:rsid w:val="00CB0550"/>
    <w:rsid w:val="00CB1399"/>
    <w:rsid w:val="00CB18FA"/>
    <w:rsid w:val="00CB2968"/>
    <w:rsid w:val="00CB326D"/>
    <w:rsid w:val="00CB6813"/>
    <w:rsid w:val="00CB6C7C"/>
    <w:rsid w:val="00CB72C3"/>
    <w:rsid w:val="00CC0211"/>
    <w:rsid w:val="00CC0FEE"/>
    <w:rsid w:val="00CC2262"/>
    <w:rsid w:val="00CC399B"/>
    <w:rsid w:val="00CC3CC3"/>
    <w:rsid w:val="00CC61EB"/>
    <w:rsid w:val="00CD1FF6"/>
    <w:rsid w:val="00CD37CD"/>
    <w:rsid w:val="00CD4DE7"/>
    <w:rsid w:val="00CD5355"/>
    <w:rsid w:val="00CD6C27"/>
    <w:rsid w:val="00CD6FE2"/>
    <w:rsid w:val="00CE0902"/>
    <w:rsid w:val="00CE26E1"/>
    <w:rsid w:val="00CE2AEC"/>
    <w:rsid w:val="00CE355A"/>
    <w:rsid w:val="00CE54BC"/>
    <w:rsid w:val="00CE650E"/>
    <w:rsid w:val="00CF1E90"/>
    <w:rsid w:val="00CF374D"/>
    <w:rsid w:val="00CF393A"/>
    <w:rsid w:val="00CF4600"/>
    <w:rsid w:val="00CF6A55"/>
    <w:rsid w:val="00CF6DC6"/>
    <w:rsid w:val="00CF6DCF"/>
    <w:rsid w:val="00D01832"/>
    <w:rsid w:val="00D01DDB"/>
    <w:rsid w:val="00D0312C"/>
    <w:rsid w:val="00D053B0"/>
    <w:rsid w:val="00D07795"/>
    <w:rsid w:val="00D078BE"/>
    <w:rsid w:val="00D12E15"/>
    <w:rsid w:val="00D1393D"/>
    <w:rsid w:val="00D13F8A"/>
    <w:rsid w:val="00D14825"/>
    <w:rsid w:val="00D14E69"/>
    <w:rsid w:val="00D16F60"/>
    <w:rsid w:val="00D205BB"/>
    <w:rsid w:val="00D21FFC"/>
    <w:rsid w:val="00D22981"/>
    <w:rsid w:val="00D23C2D"/>
    <w:rsid w:val="00D25420"/>
    <w:rsid w:val="00D25A0A"/>
    <w:rsid w:val="00D26397"/>
    <w:rsid w:val="00D265D8"/>
    <w:rsid w:val="00D26EBC"/>
    <w:rsid w:val="00D27C71"/>
    <w:rsid w:val="00D3013C"/>
    <w:rsid w:val="00D30D72"/>
    <w:rsid w:val="00D32170"/>
    <w:rsid w:val="00D32389"/>
    <w:rsid w:val="00D3349B"/>
    <w:rsid w:val="00D35B94"/>
    <w:rsid w:val="00D40E50"/>
    <w:rsid w:val="00D424A8"/>
    <w:rsid w:val="00D42853"/>
    <w:rsid w:val="00D45D46"/>
    <w:rsid w:val="00D45DAD"/>
    <w:rsid w:val="00D45F3D"/>
    <w:rsid w:val="00D46306"/>
    <w:rsid w:val="00D46935"/>
    <w:rsid w:val="00D47DC7"/>
    <w:rsid w:val="00D47FBA"/>
    <w:rsid w:val="00D510BB"/>
    <w:rsid w:val="00D53046"/>
    <w:rsid w:val="00D53CEB"/>
    <w:rsid w:val="00D54BFB"/>
    <w:rsid w:val="00D5614C"/>
    <w:rsid w:val="00D56D14"/>
    <w:rsid w:val="00D57830"/>
    <w:rsid w:val="00D57B24"/>
    <w:rsid w:val="00D57C2F"/>
    <w:rsid w:val="00D6036F"/>
    <w:rsid w:val="00D62877"/>
    <w:rsid w:val="00D62A62"/>
    <w:rsid w:val="00D63760"/>
    <w:rsid w:val="00D64D82"/>
    <w:rsid w:val="00D6581C"/>
    <w:rsid w:val="00D663D5"/>
    <w:rsid w:val="00D66C27"/>
    <w:rsid w:val="00D6703F"/>
    <w:rsid w:val="00D70812"/>
    <w:rsid w:val="00D710E7"/>
    <w:rsid w:val="00D734EB"/>
    <w:rsid w:val="00D76A72"/>
    <w:rsid w:val="00D816E3"/>
    <w:rsid w:val="00D82713"/>
    <w:rsid w:val="00D8279D"/>
    <w:rsid w:val="00D8354A"/>
    <w:rsid w:val="00D84F83"/>
    <w:rsid w:val="00D8514E"/>
    <w:rsid w:val="00D86CF3"/>
    <w:rsid w:val="00D86F00"/>
    <w:rsid w:val="00D903AC"/>
    <w:rsid w:val="00D918D5"/>
    <w:rsid w:val="00D930DE"/>
    <w:rsid w:val="00D93716"/>
    <w:rsid w:val="00D94C8E"/>
    <w:rsid w:val="00D97B52"/>
    <w:rsid w:val="00D97DDB"/>
    <w:rsid w:val="00DA0B73"/>
    <w:rsid w:val="00DA46CF"/>
    <w:rsid w:val="00DA4811"/>
    <w:rsid w:val="00DA59BB"/>
    <w:rsid w:val="00DA5E85"/>
    <w:rsid w:val="00DA5FB2"/>
    <w:rsid w:val="00DB1372"/>
    <w:rsid w:val="00DB192C"/>
    <w:rsid w:val="00DB1CF3"/>
    <w:rsid w:val="00DB1FEC"/>
    <w:rsid w:val="00DB3692"/>
    <w:rsid w:val="00DB5425"/>
    <w:rsid w:val="00DB72A6"/>
    <w:rsid w:val="00DC01C6"/>
    <w:rsid w:val="00DC12BE"/>
    <w:rsid w:val="00DC145C"/>
    <w:rsid w:val="00DC33AF"/>
    <w:rsid w:val="00DC3ADB"/>
    <w:rsid w:val="00DC6611"/>
    <w:rsid w:val="00DC7E21"/>
    <w:rsid w:val="00DD0A01"/>
    <w:rsid w:val="00DD0A10"/>
    <w:rsid w:val="00DD0EA4"/>
    <w:rsid w:val="00DD1B3D"/>
    <w:rsid w:val="00DD48F2"/>
    <w:rsid w:val="00DD5AFB"/>
    <w:rsid w:val="00DE1344"/>
    <w:rsid w:val="00DE3CAA"/>
    <w:rsid w:val="00DE4054"/>
    <w:rsid w:val="00DE474C"/>
    <w:rsid w:val="00DE51BC"/>
    <w:rsid w:val="00DF04F8"/>
    <w:rsid w:val="00DF05A2"/>
    <w:rsid w:val="00DF1CFD"/>
    <w:rsid w:val="00DF333E"/>
    <w:rsid w:val="00DF3A29"/>
    <w:rsid w:val="00DF4C6D"/>
    <w:rsid w:val="00DF5BFE"/>
    <w:rsid w:val="00DF712B"/>
    <w:rsid w:val="00DF7B4A"/>
    <w:rsid w:val="00E01CA1"/>
    <w:rsid w:val="00E0223B"/>
    <w:rsid w:val="00E0244F"/>
    <w:rsid w:val="00E02AA7"/>
    <w:rsid w:val="00E035C5"/>
    <w:rsid w:val="00E03DD1"/>
    <w:rsid w:val="00E04D58"/>
    <w:rsid w:val="00E0523F"/>
    <w:rsid w:val="00E06E19"/>
    <w:rsid w:val="00E071B5"/>
    <w:rsid w:val="00E07260"/>
    <w:rsid w:val="00E10DCB"/>
    <w:rsid w:val="00E12C0C"/>
    <w:rsid w:val="00E168A9"/>
    <w:rsid w:val="00E16B01"/>
    <w:rsid w:val="00E179C3"/>
    <w:rsid w:val="00E21372"/>
    <w:rsid w:val="00E2265A"/>
    <w:rsid w:val="00E2298E"/>
    <w:rsid w:val="00E22F89"/>
    <w:rsid w:val="00E2342E"/>
    <w:rsid w:val="00E23E50"/>
    <w:rsid w:val="00E26213"/>
    <w:rsid w:val="00E26E72"/>
    <w:rsid w:val="00E274DF"/>
    <w:rsid w:val="00E30916"/>
    <w:rsid w:val="00E313B1"/>
    <w:rsid w:val="00E3202F"/>
    <w:rsid w:val="00E341A0"/>
    <w:rsid w:val="00E34D66"/>
    <w:rsid w:val="00E362C4"/>
    <w:rsid w:val="00E42B37"/>
    <w:rsid w:val="00E42D9B"/>
    <w:rsid w:val="00E451E5"/>
    <w:rsid w:val="00E45BC4"/>
    <w:rsid w:val="00E45F99"/>
    <w:rsid w:val="00E464DE"/>
    <w:rsid w:val="00E46CC2"/>
    <w:rsid w:val="00E47072"/>
    <w:rsid w:val="00E47E0C"/>
    <w:rsid w:val="00E511C2"/>
    <w:rsid w:val="00E51813"/>
    <w:rsid w:val="00E51C67"/>
    <w:rsid w:val="00E52C0B"/>
    <w:rsid w:val="00E53D3F"/>
    <w:rsid w:val="00E5579B"/>
    <w:rsid w:val="00E55E81"/>
    <w:rsid w:val="00E568B9"/>
    <w:rsid w:val="00E579E6"/>
    <w:rsid w:val="00E57FF4"/>
    <w:rsid w:val="00E6039D"/>
    <w:rsid w:val="00E6176B"/>
    <w:rsid w:val="00E623E5"/>
    <w:rsid w:val="00E62B9E"/>
    <w:rsid w:val="00E64337"/>
    <w:rsid w:val="00E655F7"/>
    <w:rsid w:val="00E661AC"/>
    <w:rsid w:val="00E679D1"/>
    <w:rsid w:val="00E67C1C"/>
    <w:rsid w:val="00E71D81"/>
    <w:rsid w:val="00E735C0"/>
    <w:rsid w:val="00E76BCC"/>
    <w:rsid w:val="00E76E5C"/>
    <w:rsid w:val="00E81556"/>
    <w:rsid w:val="00E81E0C"/>
    <w:rsid w:val="00E8205D"/>
    <w:rsid w:val="00E828C5"/>
    <w:rsid w:val="00E82C23"/>
    <w:rsid w:val="00E83BF0"/>
    <w:rsid w:val="00E8684C"/>
    <w:rsid w:val="00E8778F"/>
    <w:rsid w:val="00E91A3F"/>
    <w:rsid w:val="00E91F11"/>
    <w:rsid w:val="00E96400"/>
    <w:rsid w:val="00E967CA"/>
    <w:rsid w:val="00E968C2"/>
    <w:rsid w:val="00E96B76"/>
    <w:rsid w:val="00E9706D"/>
    <w:rsid w:val="00EA1061"/>
    <w:rsid w:val="00EA25CF"/>
    <w:rsid w:val="00EA3AF4"/>
    <w:rsid w:val="00EA3B32"/>
    <w:rsid w:val="00EA3C52"/>
    <w:rsid w:val="00EA4684"/>
    <w:rsid w:val="00EA535F"/>
    <w:rsid w:val="00EA79AE"/>
    <w:rsid w:val="00EB02D2"/>
    <w:rsid w:val="00EB191A"/>
    <w:rsid w:val="00EB430C"/>
    <w:rsid w:val="00EB6E1D"/>
    <w:rsid w:val="00EB738B"/>
    <w:rsid w:val="00EB7E0F"/>
    <w:rsid w:val="00EC00F4"/>
    <w:rsid w:val="00EC1068"/>
    <w:rsid w:val="00EC30DC"/>
    <w:rsid w:val="00EC47D3"/>
    <w:rsid w:val="00EC52E8"/>
    <w:rsid w:val="00EC5C0E"/>
    <w:rsid w:val="00EC60F2"/>
    <w:rsid w:val="00EC662C"/>
    <w:rsid w:val="00ED000D"/>
    <w:rsid w:val="00ED063A"/>
    <w:rsid w:val="00ED0A7A"/>
    <w:rsid w:val="00ED0ABA"/>
    <w:rsid w:val="00ED0F53"/>
    <w:rsid w:val="00ED21CC"/>
    <w:rsid w:val="00ED2CC6"/>
    <w:rsid w:val="00ED2FE4"/>
    <w:rsid w:val="00ED4319"/>
    <w:rsid w:val="00ED79BF"/>
    <w:rsid w:val="00EE2138"/>
    <w:rsid w:val="00EE28C3"/>
    <w:rsid w:val="00EE4B01"/>
    <w:rsid w:val="00EE612F"/>
    <w:rsid w:val="00EE7608"/>
    <w:rsid w:val="00EF0545"/>
    <w:rsid w:val="00EF2DA6"/>
    <w:rsid w:val="00EF3F0B"/>
    <w:rsid w:val="00EF5583"/>
    <w:rsid w:val="00EF71DA"/>
    <w:rsid w:val="00EF75AC"/>
    <w:rsid w:val="00F000F1"/>
    <w:rsid w:val="00F003F3"/>
    <w:rsid w:val="00F00D3C"/>
    <w:rsid w:val="00F00D98"/>
    <w:rsid w:val="00F02702"/>
    <w:rsid w:val="00F0289D"/>
    <w:rsid w:val="00F02AEC"/>
    <w:rsid w:val="00F02BFE"/>
    <w:rsid w:val="00F02D42"/>
    <w:rsid w:val="00F03E33"/>
    <w:rsid w:val="00F04242"/>
    <w:rsid w:val="00F07572"/>
    <w:rsid w:val="00F157FC"/>
    <w:rsid w:val="00F17CC4"/>
    <w:rsid w:val="00F17F6E"/>
    <w:rsid w:val="00F24B57"/>
    <w:rsid w:val="00F24B73"/>
    <w:rsid w:val="00F25F5F"/>
    <w:rsid w:val="00F268D2"/>
    <w:rsid w:val="00F271C3"/>
    <w:rsid w:val="00F277A6"/>
    <w:rsid w:val="00F27F35"/>
    <w:rsid w:val="00F30AF3"/>
    <w:rsid w:val="00F31267"/>
    <w:rsid w:val="00F31A9F"/>
    <w:rsid w:val="00F31D28"/>
    <w:rsid w:val="00F33DDB"/>
    <w:rsid w:val="00F343E2"/>
    <w:rsid w:val="00F35A04"/>
    <w:rsid w:val="00F367BC"/>
    <w:rsid w:val="00F36868"/>
    <w:rsid w:val="00F3700F"/>
    <w:rsid w:val="00F374A6"/>
    <w:rsid w:val="00F37DFD"/>
    <w:rsid w:val="00F43CD1"/>
    <w:rsid w:val="00F45AE0"/>
    <w:rsid w:val="00F45C5E"/>
    <w:rsid w:val="00F468D2"/>
    <w:rsid w:val="00F558F6"/>
    <w:rsid w:val="00F56451"/>
    <w:rsid w:val="00F57AE3"/>
    <w:rsid w:val="00F57F3E"/>
    <w:rsid w:val="00F60CF2"/>
    <w:rsid w:val="00F61AAD"/>
    <w:rsid w:val="00F62744"/>
    <w:rsid w:val="00F636E0"/>
    <w:rsid w:val="00F6569E"/>
    <w:rsid w:val="00F657B4"/>
    <w:rsid w:val="00F65B7E"/>
    <w:rsid w:val="00F7027E"/>
    <w:rsid w:val="00F703A5"/>
    <w:rsid w:val="00F70604"/>
    <w:rsid w:val="00F72725"/>
    <w:rsid w:val="00F7423A"/>
    <w:rsid w:val="00F7649F"/>
    <w:rsid w:val="00F7652F"/>
    <w:rsid w:val="00F800FF"/>
    <w:rsid w:val="00F8083B"/>
    <w:rsid w:val="00F80B4F"/>
    <w:rsid w:val="00F824F3"/>
    <w:rsid w:val="00F82D1B"/>
    <w:rsid w:val="00F84529"/>
    <w:rsid w:val="00F8568E"/>
    <w:rsid w:val="00F865A7"/>
    <w:rsid w:val="00F904AF"/>
    <w:rsid w:val="00F9093E"/>
    <w:rsid w:val="00F93A24"/>
    <w:rsid w:val="00F948D6"/>
    <w:rsid w:val="00F949A9"/>
    <w:rsid w:val="00F95B2B"/>
    <w:rsid w:val="00F96A72"/>
    <w:rsid w:val="00FA0754"/>
    <w:rsid w:val="00FA0BFB"/>
    <w:rsid w:val="00FA0D22"/>
    <w:rsid w:val="00FA1BC9"/>
    <w:rsid w:val="00FA1D41"/>
    <w:rsid w:val="00FA49C3"/>
    <w:rsid w:val="00FA5B8C"/>
    <w:rsid w:val="00FA6A4F"/>
    <w:rsid w:val="00FA7062"/>
    <w:rsid w:val="00FA7AD8"/>
    <w:rsid w:val="00FB1162"/>
    <w:rsid w:val="00FB14F1"/>
    <w:rsid w:val="00FB1F96"/>
    <w:rsid w:val="00FB236E"/>
    <w:rsid w:val="00FB2666"/>
    <w:rsid w:val="00FB2F1A"/>
    <w:rsid w:val="00FB3F7B"/>
    <w:rsid w:val="00FB3FD7"/>
    <w:rsid w:val="00FB4C2A"/>
    <w:rsid w:val="00FB5091"/>
    <w:rsid w:val="00FB5AC3"/>
    <w:rsid w:val="00FC2107"/>
    <w:rsid w:val="00FC2E0E"/>
    <w:rsid w:val="00FC445D"/>
    <w:rsid w:val="00FC48FE"/>
    <w:rsid w:val="00FC6A3F"/>
    <w:rsid w:val="00FC6F56"/>
    <w:rsid w:val="00FC730E"/>
    <w:rsid w:val="00FD1C3A"/>
    <w:rsid w:val="00FD1CA9"/>
    <w:rsid w:val="00FD231D"/>
    <w:rsid w:val="00FD7780"/>
    <w:rsid w:val="00FD7A06"/>
    <w:rsid w:val="00FE087C"/>
    <w:rsid w:val="00FE15F2"/>
    <w:rsid w:val="00FE3818"/>
    <w:rsid w:val="00FE468A"/>
    <w:rsid w:val="00FE48A7"/>
    <w:rsid w:val="00FE52EA"/>
    <w:rsid w:val="00FE543C"/>
    <w:rsid w:val="00FE5489"/>
    <w:rsid w:val="00FE6301"/>
    <w:rsid w:val="00FE752D"/>
    <w:rsid w:val="00FE79A0"/>
    <w:rsid w:val="00FE7CB9"/>
    <w:rsid w:val="00FF0008"/>
    <w:rsid w:val="00FF090C"/>
    <w:rsid w:val="00FF0939"/>
    <w:rsid w:val="00FF3BBB"/>
    <w:rsid w:val="00FF42E8"/>
    <w:rsid w:val="00FF528F"/>
    <w:rsid w:val="00FF5971"/>
    <w:rsid w:val="00FF72FD"/>
    <w:rsid w:val="00FF74F0"/>
    <w:rsid w:val="00FF7EC6"/>
    <w:rsid w:val="0C4A3FC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4C024"/>
  <w15:chartTrackingRefBased/>
  <w15:docId w15:val="{80A798BE-457A-441B-8674-EB49387A8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49C"/>
    <w:rPr>
      <w:rFonts w:ascii="Cambria" w:hAnsi="Cambria"/>
      <w:sz w:val="22"/>
    </w:rPr>
  </w:style>
  <w:style w:type="paragraph" w:styleId="Heading1">
    <w:name w:val="heading 1"/>
    <w:basedOn w:val="Normal"/>
    <w:link w:val="Heading1Char"/>
    <w:uiPriority w:val="9"/>
    <w:qFormat/>
    <w:rsid w:val="0072689D"/>
    <w:pPr>
      <w:widowControl w:val="0"/>
      <w:autoSpaceDE w:val="0"/>
      <w:autoSpaceDN w:val="0"/>
      <w:spacing w:after="0" w:line="240" w:lineRule="auto"/>
      <w:ind w:left="23"/>
      <w:outlineLvl w:val="0"/>
    </w:pPr>
    <w:rPr>
      <w:rFonts w:ascii="Arial" w:eastAsia="Arial" w:hAnsi="Arial" w:cs="Arial"/>
      <w:b/>
      <w:bCs/>
      <w:sz w:val="28"/>
      <w:szCs w:val="28"/>
      <w:lang w:val="en-US"/>
    </w:rPr>
  </w:style>
  <w:style w:type="paragraph" w:styleId="Heading2">
    <w:name w:val="heading 2"/>
    <w:basedOn w:val="Normal"/>
    <w:next w:val="Normal"/>
    <w:link w:val="Heading2Char"/>
    <w:uiPriority w:val="9"/>
    <w:qFormat/>
    <w:rsid w:val="00F02AEC"/>
    <w:pPr>
      <w:keepNext/>
      <w:keepLines/>
      <w:spacing w:before="480" w:line="240" w:lineRule="atLeast"/>
      <w:outlineLvl w:val="1"/>
    </w:pPr>
    <w:rPr>
      <w:rFonts w:ascii="Arial" w:eastAsia="Times New Roman" w:hAnsi="Arial" w:cs="Times New Roman"/>
      <w:b/>
      <w:bCs/>
      <w:color w:val="001871"/>
      <w:sz w:val="38"/>
      <w:szCs w:val="38"/>
    </w:rPr>
  </w:style>
  <w:style w:type="paragraph" w:styleId="Heading3">
    <w:name w:val="heading 3"/>
    <w:basedOn w:val="Normal"/>
    <w:next w:val="Normal"/>
    <w:link w:val="Heading3Char"/>
    <w:uiPriority w:val="9"/>
    <w:qFormat/>
    <w:rsid w:val="00F02AEC"/>
    <w:pPr>
      <w:keepNext/>
      <w:keepLines/>
      <w:spacing w:before="480" w:line="240" w:lineRule="atLeast"/>
      <w:outlineLvl w:val="2"/>
    </w:pPr>
    <w:rPr>
      <w:rFonts w:ascii="Arial" w:eastAsia="Times New Roman" w:hAnsi="Arial" w:cs="Times New Roman"/>
      <w:b/>
      <w:bCs/>
      <w:color w:val="001871"/>
      <w:sz w:val="32"/>
      <w:szCs w:val="32"/>
    </w:rPr>
  </w:style>
  <w:style w:type="paragraph" w:styleId="Heading4">
    <w:name w:val="heading 4"/>
    <w:basedOn w:val="Normal"/>
    <w:next w:val="Normal"/>
    <w:link w:val="Heading4Char"/>
    <w:uiPriority w:val="9"/>
    <w:qFormat/>
    <w:rsid w:val="00F02AEC"/>
    <w:pPr>
      <w:keepNext/>
      <w:keepLines/>
      <w:spacing w:before="360" w:line="240" w:lineRule="atLeast"/>
      <w:outlineLvl w:val="3"/>
    </w:pPr>
    <w:rPr>
      <w:rFonts w:ascii="Arial" w:eastAsia="Cambria" w:hAnsi="Arial" w:cs="Times New Roman"/>
      <w:b/>
      <w:bCs/>
      <w:color w:val="001871"/>
      <w:sz w:val="28"/>
      <w:szCs w:val="26"/>
    </w:rPr>
  </w:style>
  <w:style w:type="paragraph" w:styleId="Heading5">
    <w:name w:val="heading 5"/>
    <w:basedOn w:val="Normal"/>
    <w:next w:val="Normal"/>
    <w:link w:val="Heading5Char"/>
    <w:uiPriority w:val="9"/>
    <w:qFormat/>
    <w:rsid w:val="00F02AEC"/>
    <w:pPr>
      <w:keepNext/>
      <w:keepLines/>
      <w:spacing w:before="240" w:line="240" w:lineRule="atLeast"/>
      <w:outlineLvl w:val="4"/>
    </w:pPr>
    <w:rPr>
      <w:rFonts w:ascii="Arial" w:eastAsia="Times New Roman" w:hAnsi="Arial" w:cs="Times New Roman"/>
      <w:b/>
      <w:bCs/>
      <w:i/>
      <w:color w:val="001871"/>
      <w:sz w:val="26"/>
      <w:szCs w:val="26"/>
    </w:rPr>
  </w:style>
  <w:style w:type="paragraph" w:styleId="Heading6">
    <w:name w:val="heading 6"/>
    <w:basedOn w:val="Normal"/>
    <w:next w:val="Normal"/>
    <w:link w:val="Heading6Char"/>
    <w:uiPriority w:val="9"/>
    <w:qFormat/>
    <w:rsid w:val="00F02AEC"/>
    <w:pPr>
      <w:keepNext/>
      <w:keepLines/>
      <w:spacing w:before="240" w:line="240" w:lineRule="atLeast"/>
      <w:outlineLvl w:val="5"/>
    </w:pPr>
    <w:rPr>
      <w:rFonts w:ascii="Arial" w:eastAsia="Times New Roman" w:hAnsi="Arial" w:cs="Times New Roman"/>
      <w:b/>
      <w:bCs/>
      <w:i/>
      <w:color w:val="001871"/>
      <w:sz w:val="24"/>
      <w:szCs w:val="21"/>
    </w:rPr>
  </w:style>
  <w:style w:type="paragraph" w:styleId="Heading7">
    <w:name w:val="heading 7"/>
    <w:basedOn w:val="Normal"/>
    <w:next w:val="Normal"/>
    <w:link w:val="Heading7Char"/>
    <w:uiPriority w:val="9"/>
    <w:unhideWhenUsed/>
    <w:qFormat/>
    <w:rsid w:val="00E22F8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C68F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TGAblue2023">
    <w:name w:val="Table TGA blue 2023"/>
    <w:basedOn w:val="TableNormal"/>
    <w:uiPriority w:val="99"/>
    <w:qFormat/>
    <w:rsid w:val="008329DB"/>
    <w:pPr>
      <w:spacing w:before="80" w:after="40" w:line="264" w:lineRule="auto"/>
      <w:ind w:left="113"/>
    </w:pPr>
    <w:rPr>
      <w:rFonts w:ascii="Arial" w:eastAsia="Cambria" w:hAnsi="Arial" w:cs="Times New Roman"/>
      <w:color w:val="000000"/>
      <w:sz w:val="18"/>
      <w:szCs w:val="21"/>
      <w:lang w:eastAsia="en-AU"/>
    </w:rPr>
    <w:tblPr>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Pr>
    <w:trPr>
      <w:cantSplit/>
    </w:trPr>
    <w:tcPr>
      <w:shd w:val="clear" w:color="auto" w:fill="FFFFFF" w:themeFill="background1"/>
    </w:tcPr>
    <w:tblStylePr w:type="firstRow">
      <w:pPr>
        <w:keepNext/>
        <w:wordWrap/>
      </w:pPr>
      <w:rPr>
        <w:rFonts w:ascii="Arial" w:hAnsi="Arial"/>
        <w:b/>
        <w:color w:val="263287"/>
        <w:sz w:val="22"/>
      </w:rPr>
      <w:tblPr/>
      <w:trPr>
        <w:tblHeader/>
      </w:trPr>
      <w:tcPr>
        <w:shd w:val="clear" w:color="auto" w:fill="DEEAF6" w:themeFill="accent5" w:themeFillTint="33"/>
      </w:tcPr>
    </w:tblStylePr>
    <w:tblStylePr w:type="firstCol">
      <w:pPr>
        <w:keepNext w:val="0"/>
        <w:wordWrap/>
      </w:pPr>
    </w:tblStylePr>
  </w:style>
  <w:style w:type="character" w:customStyle="1" w:styleId="Heading2Char">
    <w:name w:val="Heading 2 Char"/>
    <w:basedOn w:val="DefaultParagraphFont"/>
    <w:link w:val="Heading2"/>
    <w:rsid w:val="00F02AEC"/>
    <w:rPr>
      <w:rFonts w:ascii="Arial" w:eastAsia="Times New Roman" w:hAnsi="Arial" w:cs="Times New Roman"/>
      <w:b/>
      <w:bCs/>
      <w:color w:val="001871"/>
      <w:sz w:val="38"/>
      <w:szCs w:val="38"/>
    </w:rPr>
  </w:style>
  <w:style w:type="character" w:customStyle="1" w:styleId="Heading3Char">
    <w:name w:val="Heading 3 Char"/>
    <w:basedOn w:val="DefaultParagraphFont"/>
    <w:link w:val="Heading3"/>
    <w:rsid w:val="00F02AEC"/>
    <w:rPr>
      <w:rFonts w:ascii="Arial" w:eastAsia="Times New Roman" w:hAnsi="Arial" w:cs="Times New Roman"/>
      <w:b/>
      <w:bCs/>
      <w:color w:val="001871"/>
      <w:sz w:val="32"/>
      <w:szCs w:val="32"/>
    </w:rPr>
  </w:style>
  <w:style w:type="character" w:customStyle="1" w:styleId="Heading4Char">
    <w:name w:val="Heading 4 Char"/>
    <w:basedOn w:val="DefaultParagraphFont"/>
    <w:link w:val="Heading4"/>
    <w:rsid w:val="00F02AEC"/>
    <w:rPr>
      <w:rFonts w:ascii="Arial" w:eastAsia="Cambria" w:hAnsi="Arial" w:cs="Times New Roman"/>
      <w:b/>
      <w:bCs/>
      <w:color w:val="001871"/>
      <w:sz w:val="28"/>
      <w:szCs w:val="26"/>
    </w:rPr>
  </w:style>
  <w:style w:type="character" w:customStyle="1" w:styleId="Heading5Char">
    <w:name w:val="Heading 5 Char"/>
    <w:basedOn w:val="DefaultParagraphFont"/>
    <w:link w:val="Heading5"/>
    <w:uiPriority w:val="9"/>
    <w:rsid w:val="00F02AEC"/>
    <w:rPr>
      <w:rFonts w:ascii="Arial" w:eastAsia="Times New Roman" w:hAnsi="Arial" w:cs="Times New Roman"/>
      <w:b/>
      <w:bCs/>
      <w:i/>
      <w:color w:val="001871"/>
      <w:sz w:val="26"/>
      <w:szCs w:val="26"/>
    </w:rPr>
  </w:style>
  <w:style w:type="character" w:customStyle="1" w:styleId="Heading6Char">
    <w:name w:val="Heading 6 Char"/>
    <w:basedOn w:val="DefaultParagraphFont"/>
    <w:link w:val="Heading6"/>
    <w:uiPriority w:val="9"/>
    <w:rsid w:val="00F02AEC"/>
    <w:rPr>
      <w:rFonts w:ascii="Arial" w:eastAsia="Times New Roman" w:hAnsi="Arial" w:cs="Times New Roman"/>
      <w:b/>
      <w:bCs/>
      <w:i/>
      <w:color w:val="001871"/>
      <w:sz w:val="24"/>
      <w:szCs w:val="21"/>
    </w:rPr>
  </w:style>
  <w:style w:type="paragraph" w:styleId="Date">
    <w:name w:val="Date"/>
    <w:basedOn w:val="Normal"/>
    <w:next w:val="Normal"/>
    <w:link w:val="DateChar"/>
    <w:uiPriority w:val="99"/>
    <w:rsid w:val="00F02AEC"/>
    <w:pPr>
      <w:spacing w:before="120" w:after="0" w:line="240" w:lineRule="atLeast"/>
    </w:pPr>
    <w:rPr>
      <w:rFonts w:ascii="Arial" w:eastAsia="Cambria" w:hAnsi="Arial" w:cs="Times New Roman"/>
      <w:color w:val="333F4A"/>
      <w:sz w:val="28"/>
    </w:rPr>
  </w:style>
  <w:style w:type="character" w:customStyle="1" w:styleId="DateChar">
    <w:name w:val="Date Char"/>
    <w:basedOn w:val="DefaultParagraphFont"/>
    <w:link w:val="Date"/>
    <w:uiPriority w:val="99"/>
    <w:rsid w:val="00F02AEC"/>
    <w:rPr>
      <w:rFonts w:ascii="Arial" w:eastAsia="Cambria" w:hAnsi="Arial" w:cs="Times New Roman"/>
      <w:color w:val="333F4A"/>
      <w:sz w:val="28"/>
      <w:szCs w:val="20"/>
    </w:rPr>
  </w:style>
  <w:style w:type="paragraph" w:styleId="Footer">
    <w:name w:val="footer"/>
    <w:basedOn w:val="Normal"/>
    <w:link w:val="FooterChar"/>
    <w:uiPriority w:val="99"/>
    <w:rsid w:val="0056766D"/>
    <w:pPr>
      <w:tabs>
        <w:tab w:val="center" w:pos="4513"/>
        <w:tab w:val="right" w:pos="9026"/>
      </w:tabs>
      <w:spacing w:after="0" w:line="240" w:lineRule="auto"/>
    </w:pPr>
    <w:rPr>
      <w:rFonts w:eastAsia="Cambria" w:cs="Times New Roman"/>
      <w:color w:val="333F4A"/>
      <w:sz w:val="17"/>
    </w:rPr>
  </w:style>
  <w:style w:type="character" w:customStyle="1" w:styleId="FooterChar">
    <w:name w:val="Footer Char"/>
    <w:basedOn w:val="DefaultParagraphFont"/>
    <w:link w:val="Footer"/>
    <w:uiPriority w:val="99"/>
    <w:rsid w:val="0056766D"/>
    <w:rPr>
      <w:rFonts w:ascii="Cambria" w:eastAsia="Cambria" w:hAnsi="Cambria" w:cs="Times New Roman"/>
      <w:color w:val="333F4A"/>
      <w:sz w:val="17"/>
    </w:rPr>
  </w:style>
  <w:style w:type="paragraph" w:styleId="Header">
    <w:name w:val="header"/>
    <w:basedOn w:val="Normal"/>
    <w:link w:val="HeaderChar"/>
    <w:uiPriority w:val="99"/>
    <w:rsid w:val="00F02AEC"/>
    <w:pPr>
      <w:pBdr>
        <w:bottom w:val="single" w:sz="4" w:space="3" w:color="auto"/>
      </w:pBdr>
      <w:tabs>
        <w:tab w:val="center" w:pos="4513"/>
        <w:tab w:val="right" w:pos="9026"/>
      </w:tabs>
      <w:spacing w:after="0" w:line="240" w:lineRule="auto"/>
      <w:jc w:val="right"/>
    </w:pPr>
    <w:rPr>
      <w:rFonts w:ascii="Arial" w:eastAsia="Cambria" w:hAnsi="Arial" w:cs="Times New Roman"/>
      <w:color w:val="333F4A"/>
      <w:sz w:val="17"/>
    </w:rPr>
  </w:style>
  <w:style w:type="character" w:customStyle="1" w:styleId="HeaderChar">
    <w:name w:val="Header Char"/>
    <w:basedOn w:val="DefaultParagraphFont"/>
    <w:link w:val="Header"/>
    <w:uiPriority w:val="99"/>
    <w:rsid w:val="00F02AEC"/>
    <w:rPr>
      <w:rFonts w:ascii="Arial" w:eastAsia="Cambria" w:hAnsi="Arial" w:cs="Times New Roman"/>
      <w:color w:val="333F4A"/>
      <w:sz w:val="17"/>
      <w:szCs w:val="20"/>
    </w:rPr>
  </w:style>
  <w:style w:type="character" w:styleId="Hyperlink">
    <w:name w:val="Hyperlink"/>
    <w:basedOn w:val="DefaultParagraphFont"/>
    <w:uiPriority w:val="99"/>
    <w:unhideWhenUsed/>
    <w:rsid w:val="0056766D"/>
    <w:rPr>
      <w:rFonts w:ascii="Cambria" w:hAnsi="Cambria"/>
      <w:color w:val="0000FF"/>
      <w:u w:val="single"/>
    </w:rPr>
  </w:style>
  <w:style w:type="paragraph" w:customStyle="1" w:styleId="LegalCopy">
    <w:name w:val="Legal Copy"/>
    <w:basedOn w:val="Footer"/>
    <w:rsid w:val="0056766D"/>
  </w:style>
  <w:style w:type="paragraph" w:customStyle="1" w:styleId="LegalSubheading">
    <w:name w:val="Legal Subheading"/>
    <w:basedOn w:val="Footer"/>
    <w:rsid w:val="0056766D"/>
    <w:pPr>
      <w:outlineLvl w:val="1"/>
    </w:pPr>
    <w:rPr>
      <w:b/>
    </w:rPr>
  </w:style>
  <w:style w:type="paragraph" w:styleId="ListBullet">
    <w:name w:val="List Bullet"/>
    <w:basedOn w:val="Normal"/>
    <w:uiPriority w:val="2"/>
    <w:qFormat/>
    <w:rsid w:val="00FC6F56"/>
    <w:pPr>
      <w:numPr>
        <w:numId w:val="1"/>
      </w:numPr>
      <w:spacing w:before="120" w:after="180" w:line="240" w:lineRule="atLeast"/>
    </w:pPr>
    <w:rPr>
      <w:rFonts w:eastAsia="Cambria" w:cs="Times New Roman"/>
      <w:color w:val="000000" w:themeColor="text1"/>
    </w:rPr>
  </w:style>
  <w:style w:type="paragraph" w:styleId="ListBullet2">
    <w:name w:val="List Bullet 2"/>
    <w:basedOn w:val="Normal"/>
    <w:uiPriority w:val="2"/>
    <w:qFormat/>
    <w:rsid w:val="00FC6F56"/>
    <w:pPr>
      <w:numPr>
        <w:ilvl w:val="1"/>
        <w:numId w:val="1"/>
      </w:numPr>
      <w:spacing w:before="120" w:after="180" w:line="240" w:lineRule="atLeast"/>
      <w:ind w:left="850" w:hanging="425"/>
    </w:pPr>
    <w:rPr>
      <w:rFonts w:eastAsia="Cambria" w:cs="Times New Roman"/>
      <w:color w:val="000000" w:themeColor="text1"/>
    </w:rPr>
  </w:style>
  <w:style w:type="paragraph" w:styleId="ListBullet3">
    <w:name w:val="List Bullet 3"/>
    <w:basedOn w:val="Normal"/>
    <w:uiPriority w:val="2"/>
    <w:qFormat/>
    <w:rsid w:val="00FC6F56"/>
    <w:pPr>
      <w:numPr>
        <w:numId w:val="3"/>
      </w:numPr>
      <w:spacing w:before="120" w:after="180" w:line="240" w:lineRule="atLeast"/>
      <w:ind w:left="1276" w:hanging="425"/>
    </w:pPr>
    <w:rPr>
      <w:rFonts w:eastAsia="Cambria" w:cs="Times New Roman"/>
    </w:rPr>
  </w:style>
  <w:style w:type="numbering" w:customStyle="1" w:styleId="ListBullets">
    <w:name w:val="ListBullets"/>
    <w:uiPriority w:val="99"/>
    <w:locked/>
    <w:rsid w:val="00F02AEC"/>
    <w:pPr>
      <w:numPr>
        <w:numId w:val="40"/>
      </w:numPr>
    </w:pPr>
  </w:style>
  <w:style w:type="paragraph" w:customStyle="1" w:styleId="Numberbullet0">
    <w:name w:val="Number bullet"/>
    <w:basedOn w:val="ListBullet"/>
    <w:uiPriority w:val="2"/>
    <w:qFormat/>
    <w:rsid w:val="00FC6F56"/>
    <w:pPr>
      <w:numPr>
        <w:numId w:val="2"/>
      </w:numPr>
    </w:pPr>
  </w:style>
  <w:style w:type="paragraph" w:customStyle="1" w:styleId="Numberbullet2">
    <w:name w:val="Number bullet 2"/>
    <w:basedOn w:val="ListBullet2"/>
    <w:uiPriority w:val="2"/>
    <w:qFormat/>
    <w:rsid w:val="00F02AEC"/>
    <w:pPr>
      <w:numPr>
        <w:numId w:val="2"/>
      </w:numPr>
      <w:ind w:left="850" w:hanging="425"/>
    </w:pPr>
  </w:style>
  <w:style w:type="paragraph" w:customStyle="1" w:styleId="Numberbullet3">
    <w:name w:val="Number bullet 3"/>
    <w:basedOn w:val="Normal"/>
    <w:uiPriority w:val="2"/>
    <w:qFormat/>
    <w:rsid w:val="00F02AEC"/>
    <w:pPr>
      <w:numPr>
        <w:numId w:val="4"/>
      </w:numPr>
      <w:spacing w:before="120" w:after="180" w:line="240" w:lineRule="atLeast"/>
      <w:ind w:left="1361" w:hanging="397"/>
    </w:pPr>
    <w:rPr>
      <w:rFonts w:ascii="Arial" w:eastAsia="Cambria" w:hAnsi="Arial" w:cs="Times New Roman"/>
      <w:color w:val="333F48"/>
    </w:rPr>
  </w:style>
  <w:style w:type="numbering" w:customStyle="1" w:styleId="NumberBullet">
    <w:name w:val="NumberBullet"/>
    <w:uiPriority w:val="99"/>
    <w:locked/>
    <w:rsid w:val="00F02AEC"/>
    <w:pPr>
      <w:numPr>
        <w:numId w:val="2"/>
      </w:numPr>
    </w:pPr>
  </w:style>
  <w:style w:type="paragraph" w:styleId="Subtitle">
    <w:name w:val="Subtitle"/>
    <w:basedOn w:val="Normal"/>
    <w:link w:val="SubtitleChar"/>
    <w:uiPriority w:val="11"/>
    <w:rsid w:val="00F02AEC"/>
    <w:pPr>
      <w:numPr>
        <w:ilvl w:val="1"/>
      </w:numPr>
      <w:spacing w:after="0" w:line="240" w:lineRule="atLeast"/>
      <w:ind w:left="170"/>
    </w:pPr>
    <w:rPr>
      <w:rFonts w:ascii="Arial" w:eastAsia="Times New Roman" w:hAnsi="Arial" w:cs="Times New Roman"/>
      <w:bCs/>
      <w:iCs/>
      <w:color w:val="006BA6"/>
      <w:sz w:val="40"/>
      <w:szCs w:val="24"/>
    </w:rPr>
  </w:style>
  <w:style w:type="character" w:customStyle="1" w:styleId="SubtitleChar">
    <w:name w:val="Subtitle Char"/>
    <w:basedOn w:val="DefaultParagraphFont"/>
    <w:link w:val="Subtitle"/>
    <w:uiPriority w:val="11"/>
    <w:rsid w:val="00F02AEC"/>
    <w:rPr>
      <w:rFonts w:ascii="Arial" w:eastAsia="Times New Roman" w:hAnsi="Arial" w:cs="Times New Roman"/>
      <w:bCs/>
      <w:iCs/>
      <w:color w:val="006BA6"/>
      <w:sz w:val="40"/>
      <w:szCs w:val="24"/>
    </w:rPr>
  </w:style>
  <w:style w:type="table" w:styleId="TableGrid">
    <w:name w:val="Table Grid"/>
    <w:basedOn w:val="TableNormal"/>
    <w:uiPriority w:val="59"/>
    <w:rsid w:val="00F02AEC"/>
    <w:pPr>
      <w:spacing w:after="0" w:line="240" w:lineRule="auto"/>
    </w:pPr>
    <w:rPr>
      <w:rFonts w:ascii="Cambria" w:eastAsia="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ASignoff">
    <w:name w:val="TGA Signoff"/>
    <w:basedOn w:val="Normal"/>
    <w:rsid w:val="00F02AEC"/>
    <w:pPr>
      <w:spacing w:before="120" w:after="360" w:line="240" w:lineRule="atLeast"/>
      <w:jc w:val="center"/>
    </w:pPr>
    <w:rPr>
      <w:rFonts w:ascii="Arial" w:eastAsia="Cambria" w:hAnsi="Arial" w:cs="Times New Roman"/>
      <w:b/>
      <w:color w:val="333F48"/>
      <w:sz w:val="28"/>
    </w:rPr>
  </w:style>
  <w:style w:type="paragraph" w:styleId="Title">
    <w:name w:val="Title"/>
    <w:link w:val="TitleChar"/>
    <w:uiPriority w:val="10"/>
    <w:qFormat/>
    <w:rsid w:val="00F02AEC"/>
    <w:pPr>
      <w:spacing w:line="240" w:lineRule="auto"/>
      <w:contextualSpacing/>
      <w:outlineLvl w:val="0"/>
    </w:pPr>
    <w:rPr>
      <w:rFonts w:ascii="Arial" w:eastAsia="Times New Roman" w:hAnsi="Arial" w:cs="Times New Roman"/>
      <w:color w:val="001871"/>
      <w:spacing w:val="5"/>
      <w:kern w:val="28"/>
      <w:sz w:val="52"/>
      <w:szCs w:val="52"/>
    </w:rPr>
  </w:style>
  <w:style w:type="character" w:customStyle="1" w:styleId="TitleChar">
    <w:name w:val="Title Char"/>
    <w:basedOn w:val="DefaultParagraphFont"/>
    <w:link w:val="Title"/>
    <w:uiPriority w:val="10"/>
    <w:rsid w:val="00F02AEC"/>
    <w:rPr>
      <w:rFonts w:ascii="Arial" w:eastAsia="Times New Roman" w:hAnsi="Arial" w:cs="Times New Roman"/>
      <w:color w:val="001871"/>
      <w:spacing w:val="5"/>
      <w:kern w:val="28"/>
      <w:sz w:val="52"/>
      <w:szCs w:val="52"/>
    </w:rPr>
  </w:style>
  <w:style w:type="paragraph" w:styleId="TOC1">
    <w:name w:val="toc 1"/>
    <w:basedOn w:val="Normal"/>
    <w:next w:val="Normal"/>
    <w:uiPriority w:val="39"/>
    <w:unhideWhenUsed/>
    <w:rsid w:val="00F02AEC"/>
    <w:pPr>
      <w:keepNext/>
      <w:keepLines/>
      <w:tabs>
        <w:tab w:val="right" w:leader="underscore" w:pos="8505"/>
      </w:tabs>
      <w:spacing w:before="120" w:after="200" w:line="240" w:lineRule="atLeast"/>
    </w:pPr>
    <w:rPr>
      <w:rFonts w:ascii="Arial" w:eastAsia="Cambria" w:hAnsi="Arial" w:cs="Times New Roman"/>
      <w:b/>
      <w:color w:val="333F48"/>
      <w:sz w:val="32"/>
    </w:rPr>
  </w:style>
  <w:style w:type="paragraph" w:styleId="TOC2">
    <w:name w:val="toc 2"/>
    <w:basedOn w:val="Normal"/>
    <w:next w:val="Normal"/>
    <w:uiPriority w:val="39"/>
    <w:unhideWhenUsed/>
    <w:rsid w:val="00F02AEC"/>
    <w:pPr>
      <w:keepNext/>
      <w:keepLines/>
      <w:tabs>
        <w:tab w:val="right" w:leader="underscore" w:pos="8505"/>
      </w:tabs>
      <w:spacing w:before="120" w:after="100" w:line="240" w:lineRule="atLeast"/>
      <w:ind w:left="425"/>
    </w:pPr>
    <w:rPr>
      <w:rFonts w:ascii="Arial" w:eastAsia="Cambria" w:hAnsi="Arial" w:cs="Times New Roman"/>
      <w:b/>
      <w:color w:val="333F48"/>
      <w:sz w:val="25"/>
    </w:rPr>
  </w:style>
  <w:style w:type="paragraph" w:styleId="TOC3">
    <w:name w:val="toc 3"/>
    <w:basedOn w:val="Normal"/>
    <w:next w:val="Normal"/>
    <w:uiPriority w:val="39"/>
    <w:unhideWhenUsed/>
    <w:rsid w:val="00F02AEC"/>
    <w:pPr>
      <w:keepNext/>
      <w:keepLines/>
      <w:tabs>
        <w:tab w:val="right" w:leader="hyphen" w:pos="8505"/>
      </w:tabs>
      <w:spacing w:before="120" w:after="100" w:line="240" w:lineRule="atLeast"/>
      <w:ind w:left="851"/>
    </w:pPr>
    <w:rPr>
      <w:rFonts w:ascii="Arial" w:eastAsia="Cambria" w:hAnsi="Arial" w:cs="Times New Roman"/>
      <w:b/>
      <w:color w:val="333F48"/>
    </w:rPr>
  </w:style>
  <w:style w:type="paragraph" w:styleId="FootnoteText">
    <w:name w:val="footnote text"/>
    <w:basedOn w:val="Normal"/>
    <w:link w:val="FootnoteTextChar"/>
    <w:qFormat/>
    <w:rsid w:val="00FE087C"/>
    <w:pPr>
      <w:keepLines/>
      <w:spacing w:after="0" w:line="240" w:lineRule="atLeast"/>
    </w:pPr>
    <w:rPr>
      <w:rFonts w:eastAsia="Cambria" w:cs="Times New Roman"/>
      <w:color w:val="333F48"/>
      <w:sz w:val="17"/>
    </w:rPr>
  </w:style>
  <w:style w:type="character" w:customStyle="1" w:styleId="FootnoteTextChar">
    <w:name w:val="Footnote Text Char"/>
    <w:basedOn w:val="DefaultParagraphFont"/>
    <w:link w:val="FootnoteText"/>
    <w:rsid w:val="00FE087C"/>
    <w:rPr>
      <w:rFonts w:ascii="Cambria" w:eastAsia="Cambria" w:hAnsi="Cambria" w:cs="Times New Roman"/>
      <w:color w:val="333F48"/>
      <w:sz w:val="17"/>
    </w:rPr>
  </w:style>
  <w:style w:type="character" w:styleId="FootnoteReference">
    <w:name w:val="footnote reference"/>
    <w:basedOn w:val="DefaultParagraphFont"/>
    <w:semiHidden/>
    <w:unhideWhenUsed/>
    <w:rsid w:val="00F02AEC"/>
    <w:rPr>
      <w:vertAlign w:val="superscript"/>
    </w:rPr>
  </w:style>
  <w:style w:type="paragraph" w:customStyle="1" w:styleId="NonTOCheading2">
    <w:name w:val="Non TOC heading 2"/>
    <w:basedOn w:val="Normal"/>
    <w:next w:val="Normal"/>
    <w:rsid w:val="00F02AEC"/>
    <w:pPr>
      <w:keepNext/>
      <w:keepLines/>
      <w:pageBreakBefore/>
      <w:spacing w:after="180" w:line="240" w:lineRule="atLeast"/>
      <w:outlineLvl w:val="1"/>
    </w:pPr>
    <w:rPr>
      <w:rFonts w:ascii="Arial" w:eastAsia="Cambria" w:hAnsi="Arial" w:cs="Times New Roman"/>
      <w:b/>
      <w:color w:val="001871"/>
      <w:sz w:val="38"/>
    </w:rPr>
  </w:style>
  <w:style w:type="paragraph" w:customStyle="1" w:styleId="Headernoline">
    <w:name w:val="Header no line"/>
    <w:basedOn w:val="Header"/>
    <w:rsid w:val="00F02AEC"/>
    <w:pPr>
      <w:pBdr>
        <w:bottom w:val="none" w:sz="0" w:space="0" w:color="auto"/>
      </w:pBdr>
      <w:spacing w:line="240" w:lineRule="atLeast"/>
    </w:pPr>
  </w:style>
  <w:style w:type="paragraph" w:customStyle="1" w:styleId="Address">
    <w:name w:val="Address"/>
    <w:basedOn w:val="Normal"/>
    <w:rsid w:val="00F02AEC"/>
    <w:pPr>
      <w:spacing w:after="0" w:line="240" w:lineRule="auto"/>
    </w:pPr>
    <w:rPr>
      <w:rFonts w:ascii="Arial" w:eastAsia="Cambria" w:hAnsi="Arial" w:cs="Times New Roman"/>
      <w:color w:val="333F48"/>
      <w:sz w:val="21"/>
    </w:rPr>
  </w:style>
  <w:style w:type="paragraph" w:customStyle="1" w:styleId="ListBullet-dotick">
    <w:name w:val="List Bullet - do (tick)"/>
    <w:basedOn w:val="ListBullet"/>
    <w:autoRedefine/>
    <w:uiPriority w:val="1"/>
    <w:rsid w:val="00F02AEC"/>
    <w:pPr>
      <w:numPr>
        <w:numId w:val="5"/>
      </w:numPr>
      <w:tabs>
        <w:tab w:val="left" w:pos="425"/>
      </w:tabs>
    </w:pPr>
  </w:style>
  <w:style w:type="paragraph" w:customStyle="1" w:styleId="ListBullet-donotcross">
    <w:name w:val="List Bullet - do not (cross)"/>
    <w:basedOn w:val="ListBullet"/>
    <w:autoRedefine/>
    <w:uiPriority w:val="1"/>
    <w:rsid w:val="00F02AEC"/>
    <w:pPr>
      <w:numPr>
        <w:numId w:val="6"/>
      </w:numPr>
      <w:ind w:left="357" w:hanging="357"/>
    </w:pPr>
    <w:rPr>
      <w:rFonts w:eastAsiaTheme="minorHAnsi" w:cstheme="minorBidi"/>
      <w:szCs w:val="22"/>
    </w:rPr>
  </w:style>
  <w:style w:type="table" w:customStyle="1" w:styleId="TGABlack2023">
    <w:name w:val="TGA Black 2023"/>
    <w:basedOn w:val="TableTGAblue2023"/>
    <w:uiPriority w:val="99"/>
    <w:rsid w:val="00FA49C3"/>
    <w:pPr>
      <w:spacing w:line="240" w:lineRule="auto"/>
    </w:pPr>
    <w:tblP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Pr>
    <w:tblStylePr w:type="firstRow">
      <w:pPr>
        <w:keepNext/>
        <w:wordWrap/>
      </w:pPr>
      <w:rPr>
        <w:rFonts w:ascii="Arial" w:hAnsi="Arial"/>
        <w:b/>
        <w:color w:val="FFFFFF" w:themeColor="background1"/>
        <w:sz w:val="22"/>
      </w:rPr>
      <w:tblPr/>
      <w:trPr>
        <w:tblHeader/>
      </w:trPr>
      <w:tcPr>
        <w:shd w:val="clear" w:color="auto" w:fill="171717" w:themeFill="background2" w:themeFillShade="1A"/>
      </w:tcPr>
    </w:tblStylePr>
    <w:tblStylePr w:type="firstCol">
      <w:pPr>
        <w:keepNext w:val="0"/>
        <w:wordWrap/>
      </w:pPr>
    </w:tblStylePr>
  </w:style>
  <w:style w:type="paragraph" w:customStyle="1" w:styleId="NonTOCHeading20">
    <w:name w:val="Non TOC Heading 2"/>
    <w:basedOn w:val="Normal"/>
    <w:rsid w:val="00346EC2"/>
    <w:pPr>
      <w:spacing w:before="240" w:line="240" w:lineRule="atLeast"/>
      <w:outlineLvl w:val="1"/>
    </w:pPr>
    <w:rPr>
      <w:rFonts w:ascii="Arial" w:eastAsia="Cambria" w:hAnsi="Arial" w:cs="Times New Roman"/>
      <w:b/>
      <w:sz w:val="32"/>
      <w:szCs w:val="22"/>
    </w:rPr>
  </w:style>
  <w:style w:type="table" w:customStyle="1" w:styleId="TableTGAblue">
    <w:name w:val="Table TGA blue"/>
    <w:basedOn w:val="TableNormal"/>
    <w:uiPriority w:val="99"/>
    <w:qFormat/>
    <w:rsid w:val="00324B33"/>
    <w:pPr>
      <w:spacing w:after="0" w:line="240" w:lineRule="auto"/>
      <w:ind w:left="170" w:right="170"/>
    </w:pPr>
    <w:rPr>
      <w:rFonts w:ascii="Cambria" w:hAnsi="Cambria" w:cs="Times New Roman"/>
      <w:color w:val="000000" w:themeColor="text1"/>
      <w:sz w:val="22"/>
      <w:szCs w:val="21"/>
      <w:lang w:eastAsia="en-AU"/>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auto"/>
    </w:tcPr>
    <w:tblStylePr w:type="firstRow">
      <w:pPr>
        <w:keepNext/>
        <w:wordWrap/>
      </w:pPr>
      <w:rPr>
        <w:rFonts w:ascii="Cambria" w:hAnsi="Cambria"/>
        <w:b/>
        <w:color w:val="FFFFFF" w:themeColor="background1"/>
        <w:sz w:val="22"/>
      </w:rPr>
      <w:tblPr/>
      <w:trPr>
        <w:tblHeader/>
      </w:tr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shd w:val="clear" w:color="auto" w:fill="006DA7"/>
      </w:tcPr>
    </w:tblStylePr>
  </w:style>
  <w:style w:type="paragraph" w:customStyle="1" w:styleId="Instructions">
    <w:name w:val="Instructions"/>
    <w:basedOn w:val="Normal"/>
    <w:next w:val="Normal"/>
    <w:uiPriority w:val="1"/>
    <w:qFormat/>
    <w:rsid w:val="00324B33"/>
    <w:pPr>
      <w:spacing w:before="120" w:line="240" w:lineRule="atLeast"/>
    </w:pPr>
    <w:rPr>
      <w:rFonts w:eastAsia="Cambria" w:cs="Times New Roman"/>
      <w:i/>
      <w:color w:val="007099"/>
      <w:szCs w:val="22"/>
    </w:rPr>
  </w:style>
  <w:style w:type="paragraph" w:customStyle="1" w:styleId="TableTitle">
    <w:name w:val="Table Title"/>
    <w:basedOn w:val="Normal"/>
    <w:rsid w:val="00324B33"/>
    <w:pPr>
      <w:keepNext/>
      <w:spacing w:before="120" w:line="240" w:lineRule="atLeast"/>
    </w:pPr>
    <w:rPr>
      <w:rFonts w:eastAsia="Cambria" w:cs="Times New Roman"/>
      <w:b/>
      <w:szCs w:val="22"/>
    </w:rPr>
  </w:style>
  <w:style w:type="paragraph" w:customStyle="1" w:styleId="TableDescription">
    <w:name w:val="Table Description"/>
    <w:basedOn w:val="Normal"/>
    <w:qFormat/>
    <w:rsid w:val="00854D98"/>
    <w:pPr>
      <w:spacing w:before="120" w:line="240" w:lineRule="auto"/>
    </w:pPr>
    <w:rPr>
      <w:rFonts w:eastAsia="Cambria" w:cs="Times New Roman"/>
      <w:sz w:val="18"/>
      <w:szCs w:val="19"/>
    </w:rPr>
  </w:style>
  <w:style w:type="paragraph" w:styleId="BalloonText">
    <w:name w:val="Balloon Text"/>
    <w:basedOn w:val="Normal"/>
    <w:link w:val="BalloonTextChar"/>
    <w:uiPriority w:val="99"/>
    <w:semiHidden/>
    <w:unhideWhenUsed/>
    <w:rsid w:val="00D63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760"/>
    <w:rPr>
      <w:rFonts w:ascii="Segoe UI" w:hAnsi="Segoe UI" w:cs="Segoe UI"/>
      <w:sz w:val="18"/>
      <w:szCs w:val="18"/>
    </w:rPr>
  </w:style>
  <w:style w:type="character" w:styleId="FollowedHyperlink">
    <w:name w:val="FollowedHyperlink"/>
    <w:basedOn w:val="DefaultParagraphFont"/>
    <w:uiPriority w:val="99"/>
    <w:semiHidden/>
    <w:unhideWhenUsed/>
    <w:rsid w:val="001C1C2E"/>
    <w:rPr>
      <w:color w:val="954F72" w:themeColor="followedHyperlink"/>
      <w:u w:val="single"/>
    </w:rPr>
  </w:style>
  <w:style w:type="paragraph" w:styleId="Revision">
    <w:name w:val="Revision"/>
    <w:hidden/>
    <w:uiPriority w:val="99"/>
    <w:semiHidden/>
    <w:rsid w:val="008964B3"/>
    <w:pPr>
      <w:spacing w:after="0" w:line="240" w:lineRule="auto"/>
    </w:pPr>
    <w:rPr>
      <w:rFonts w:ascii="Cambria" w:hAnsi="Cambria"/>
    </w:rPr>
  </w:style>
  <w:style w:type="character" w:styleId="UnresolvedMention">
    <w:name w:val="Unresolved Mention"/>
    <w:basedOn w:val="DefaultParagraphFont"/>
    <w:uiPriority w:val="99"/>
    <w:semiHidden/>
    <w:unhideWhenUsed/>
    <w:rsid w:val="00966EF1"/>
    <w:rPr>
      <w:color w:val="605E5C"/>
      <w:shd w:val="clear" w:color="auto" w:fill="E1DFDD"/>
    </w:rPr>
  </w:style>
  <w:style w:type="paragraph" w:customStyle="1" w:styleId="TableText">
    <w:name w:val="Table Text"/>
    <w:basedOn w:val="FootnoteText"/>
    <w:qFormat/>
    <w:rsid w:val="005B69CF"/>
    <w:rPr>
      <w:color w:val="000000" w:themeColor="text1"/>
      <w:sz w:val="22"/>
      <w:lang w:val="en-GB"/>
    </w:rPr>
  </w:style>
  <w:style w:type="paragraph" w:customStyle="1" w:styleId="FigureTitle">
    <w:name w:val="Figure Title"/>
    <w:basedOn w:val="Normal"/>
    <w:qFormat/>
    <w:rsid w:val="00AB0613"/>
    <w:pPr>
      <w:keepNext/>
    </w:pPr>
    <w:rPr>
      <w:b/>
    </w:rPr>
  </w:style>
  <w:style w:type="paragraph" w:styleId="Caption">
    <w:name w:val="caption"/>
    <w:basedOn w:val="Normal"/>
    <w:next w:val="Normal"/>
    <w:uiPriority w:val="35"/>
    <w:unhideWhenUsed/>
    <w:qFormat/>
    <w:rsid w:val="0098350E"/>
    <w:pPr>
      <w:spacing w:after="200" w:line="240" w:lineRule="auto"/>
    </w:pPr>
    <w:rPr>
      <w:i/>
      <w:iCs/>
      <w:color w:val="44546A" w:themeColor="text2"/>
      <w:sz w:val="18"/>
      <w:szCs w:val="18"/>
    </w:rPr>
  </w:style>
  <w:style w:type="paragraph" w:customStyle="1" w:styleId="FigureDescription">
    <w:name w:val="Figure Description"/>
    <w:basedOn w:val="FigureTitle"/>
    <w:qFormat/>
    <w:rsid w:val="0010558A"/>
    <w:pPr>
      <w:spacing w:before="120"/>
    </w:pPr>
    <w:rPr>
      <w:b w:val="0"/>
      <w:sz w:val="19"/>
    </w:rPr>
  </w:style>
  <w:style w:type="paragraph" w:styleId="ListParagraph">
    <w:name w:val="List Paragraph"/>
    <w:basedOn w:val="Normal"/>
    <w:link w:val="ListParagraphChar"/>
    <w:uiPriority w:val="1"/>
    <w:qFormat/>
    <w:rsid w:val="006B7126"/>
    <w:pPr>
      <w:spacing w:after="160"/>
      <w:ind w:left="720"/>
      <w:contextualSpacing/>
    </w:pPr>
    <w:rPr>
      <w:rFonts w:ascii="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6B7126"/>
    <w:rPr>
      <w:rFonts w:ascii="Times New Roman" w:hAnsi="Times New Roman" w:cs="Times New Roman"/>
      <w:sz w:val="24"/>
      <w:szCs w:val="24"/>
    </w:rPr>
  </w:style>
  <w:style w:type="paragraph" w:customStyle="1" w:styleId="Indication">
    <w:name w:val="Indication"/>
    <w:basedOn w:val="Normal"/>
    <w:next w:val="Normal"/>
    <w:qFormat/>
    <w:rsid w:val="00BA3F6D"/>
    <w:pPr>
      <w:spacing w:before="120" w:line="240" w:lineRule="atLeast"/>
      <w:ind w:left="720"/>
      <w:contextualSpacing/>
    </w:pPr>
    <w:rPr>
      <w:i/>
      <w:color w:val="000000" w:themeColor="text1"/>
    </w:rPr>
  </w:style>
  <w:style w:type="paragraph" w:customStyle="1" w:styleId="DelegatesQuestions">
    <w:name w:val="Delegate's Questions"/>
    <w:basedOn w:val="Numberbullet0"/>
    <w:qFormat/>
    <w:rsid w:val="007575D0"/>
    <w:rPr>
      <w:b/>
      <w:bCs/>
      <w:i/>
      <w:iCs/>
    </w:rPr>
  </w:style>
  <w:style w:type="paragraph" w:customStyle="1" w:styleId="TableParagraph">
    <w:name w:val="Table Paragraph"/>
    <w:basedOn w:val="Normal"/>
    <w:uiPriority w:val="1"/>
    <w:qFormat/>
    <w:rsid w:val="00202BEE"/>
    <w:pPr>
      <w:widowControl w:val="0"/>
      <w:autoSpaceDE w:val="0"/>
      <w:autoSpaceDN w:val="0"/>
      <w:spacing w:after="0" w:line="240" w:lineRule="auto"/>
      <w:ind w:left="107"/>
    </w:pPr>
    <w:rPr>
      <w:rFonts w:eastAsia="Cambria" w:cs="Cambria"/>
      <w:szCs w:val="22"/>
      <w:lang w:val="en-US"/>
    </w:rPr>
  </w:style>
  <w:style w:type="paragraph" w:styleId="BodyText">
    <w:name w:val="Body Text"/>
    <w:basedOn w:val="Normal"/>
    <w:link w:val="BodyTextChar"/>
    <w:uiPriority w:val="1"/>
    <w:qFormat/>
    <w:rsid w:val="00E01CA1"/>
    <w:pPr>
      <w:widowControl w:val="0"/>
      <w:autoSpaceDE w:val="0"/>
      <w:autoSpaceDN w:val="0"/>
      <w:spacing w:after="0" w:line="240" w:lineRule="auto"/>
    </w:pPr>
    <w:rPr>
      <w:rFonts w:eastAsia="Cambria" w:cs="Cambria"/>
      <w:szCs w:val="22"/>
      <w:lang w:val="en-US"/>
    </w:rPr>
  </w:style>
  <w:style w:type="character" w:customStyle="1" w:styleId="BodyTextChar">
    <w:name w:val="Body Text Char"/>
    <w:basedOn w:val="DefaultParagraphFont"/>
    <w:link w:val="BodyText"/>
    <w:uiPriority w:val="1"/>
    <w:rsid w:val="00E01CA1"/>
    <w:rPr>
      <w:rFonts w:ascii="Cambria" w:eastAsia="Cambria" w:hAnsi="Cambria" w:cs="Cambria"/>
      <w:sz w:val="22"/>
      <w:szCs w:val="22"/>
      <w:lang w:val="en-US"/>
    </w:rPr>
  </w:style>
  <w:style w:type="paragraph" w:customStyle="1" w:styleId="Standard">
    <w:name w:val="Standard"/>
    <w:basedOn w:val="Normal"/>
    <w:link w:val="StandardChar"/>
    <w:qFormat/>
    <w:rsid w:val="00CA6AFF"/>
    <w:pPr>
      <w:spacing w:after="180" w:line="252" w:lineRule="auto"/>
    </w:pPr>
    <w:rPr>
      <w:rFonts w:eastAsia="Times New Roman" w:cs="Times New Roman"/>
      <w:snapToGrid w:val="0"/>
      <w:kern w:val="16"/>
      <w:szCs w:val="24"/>
    </w:rPr>
  </w:style>
  <w:style w:type="character" w:customStyle="1" w:styleId="StandardChar">
    <w:name w:val="Standard Char"/>
    <w:basedOn w:val="DefaultParagraphFont"/>
    <w:link w:val="Standard"/>
    <w:rsid w:val="00CA6AFF"/>
    <w:rPr>
      <w:rFonts w:ascii="Cambria" w:eastAsia="Times New Roman" w:hAnsi="Cambria" w:cs="Times New Roman"/>
      <w:snapToGrid w:val="0"/>
      <w:kern w:val="16"/>
      <w:sz w:val="22"/>
      <w:szCs w:val="24"/>
    </w:rPr>
  </w:style>
  <w:style w:type="paragraph" w:customStyle="1" w:styleId="Bulletpoint">
    <w:name w:val="Bullet point"/>
    <w:basedOn w:val="Standard"/>
    <w:rsid w:val="008B1CDC"/>
    <w:pPr>
      <w:numPr>
        <w:numId w:val="17"/>
      </w:numPr>
      <w:tabs>
        <w:tab w:val="clear" w:pos="369"/>
        <w:tab w:val="left" w:pos="397"/>
        <w:tab w:val="num" w:pos="511"/>
      </w:tabs>
    </w:pPr>
  </w:style>
  <w:style w:type="character" w:customStyle="1" w:styleId="Heading7Char">
    <w:name w:val="Heading 7 Char"/>
    <w:basedOn w:val="DefaultParagraphFont"/>
    <w:link w:val="Heading7"/>
    <w:uiPriority w:val="9"/>
    <w:rsid w:val="00E22F89"/>
    <w:rPr>
      <w:rFonts w:asciiTheme="majorHAnsi" w:eastAsiaTheme="majorEastAsia" w:hAnsiTheme="majorHAnsi" w:cstheme="majorBidi"/>
      <w:i/>
      <w:iCs/>
      <w:color w:val="1F3763" w:themeColor="accent1" w:themeShade="7F"/>
      <w:sz w:val="22"/>
    </w:rPr>
  </w:style>
  <w:style w:type="character" w:customStyle="1" w:styleId="Heading1Char">
    <w:name w:val="Heading 1 Char"/>
    <w:basedOn w:val="DefaultParagraphFont"/>
    <w:link w:val="Heading1"/>
    <w:uiPriority w:val="9"/>
    <w:rsid w:val="0072689D"/>
    <w:rPr>
      <w:rFonts w:ascii="Arial" w:eastAsia="Arial" w:hAnsi="Arial" w:cs="Arial"/>
      <w:b/>
      <w:bCs/>
      <w:sz w:val="28"/>
      <w:szCs w:val="28"/>
      <w:lang w:val="en-US"/>
    </w:rPr>
  </w:style>
  <w:style w:type="character" w:customStyle="1" w:styleId="Heading8Char">
    <w:name w:val="Heading 8 Char"/>
    <w:basedOn w:val="DefaultParagraphFont"/>
    <w:link w:val="Heading8"/>
    <w:uiPriority w:val="9"/>
    <w:semiHidden/>
    <w:rsid w:val="000C68FD"/>
    <w:rPr>
      <w:rFonts w:asciiTheme="majorHAnsi" w:eastAsiaTheme="majorEastAsia" w:hAnsiTheme="majorHAnsi" w:cstheme="majorBidi"/>
      <w:color w:val="272727" w:themeColor="text1" w:themeTint="D8"/>
      <w:sz w:val="21"/>
      <w:szCs w:val="21"/>
    </w:rPr>
  </w:style>
  <w:style w:type="table" w:customStyle="1" w:styleId="ListTable41">
    <w:name w:val="List Table 41"/>
    <w:basedOn w:val="TableNormal"/>
    <w:uiPriority w:val="49"/>
    <w:rsid w:val="000C68FD"/>
    <w:pPr>
      <w:spacing w:after="0" w:line="240" w:lineRule="auto"/>
    </w:pPr>
    <w:rPr>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436F3B"/>
    <w:pPr>
      <w:spacing w:after="0" w:line="240" w:lineRule="auto"/>
    </w:pPr>
    <w:rPr>
      <w:kern w:val="2"/>
      <w:sz w:val="24"/>
      <w:szCs w:val="24"/>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0B45A3"/>
    <w:rPr>
      <w:b/>
      <w:bCs/>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Cambria" w:hAnsi="Cambria"/>
      <w:sz w:val="22"/>
    </w:rPr>
  </w:style>
  <w:style w:type="character" w:styleId="CommentReference">
    <w:name w:val="annotation reference"/>
    <w:basedOn w:val="DefaultParagraphFont"/>
    <w:uiPriority w:val="99"/>
    <w:semiHidden/>
    <w:unhideWhenUsed/>
    <w:rPr>
      <w:sz w:val="21"/>
      <w:szCs w:val="21"/>
    </w:rPr>
  </w:style>
  <w:style w:type="paragraph" w:styleId="CommentSubject">
    <w:name w:val="annotation subject"/>
    <w:basedOn w:val="CommentText"/>
    <w:next w:val="CommentText"/>
    <w:link w:val="CommentSubjectChar"/>
    <w:uiPriority w:val="99"/>
    <w:semiHidden/>
    <w:unhideWhenUsed/>
    <w:rsid w:val="00775BAC"/>
    <w:rPr>
      <w:b/>
      <w:bCs/>
    </w:rPr>
  </w:style>
  <w:style w:type="character" w:customStyle="1" w:styleId="CommentSubjectChar">
    <w:name w:val="Comment Subject Char"/>
    <w:basedOn w:val="CommentTextChar"/>
    <w:link w:val="CommentSubject"/>
    <w:uiPriority w:val="99"/>
    <w:semiHidden/>
    <w:rsid w:val="00775BAC"/>
    <w:rPr>
      <w:rFonts w:ascii="Cambria" w:hAnsi="Cambria"/>
      <w:b/>
      <w:bCs/>
      <w:sz w:val="22"/>
    </w:rPr>
  </w:style>
  <w:style w:type="character" w:customStyle="1" w:styleId="CommentReference1">
    <w:name w:val="Comment Reference1"/>
    <w:basedOn w:val="DefaultParagraphFont"/>
    <w:uiPriority w:val="99"/>
    <w:semiHidden/>
    <w:unhideWhenUsed/>
    <w:rsid w:val="00D86CF3"/>
    <w:rPr>
      <w:sz w:val="16"/>
      <w:szCs w:val="16"/>
    </w:rPr>
  </w:style>
  <w:style w:type="paragraph" w:customStyle="1" w:styleId="CommentText1">
    <w:name w:val="Comment Text1"/>
    <w:basedOn w:val="Normal"/>
    <w:uiPriority w:val="99"/>
    <w:unhideWhenUsed/>
    <w:rsid w:val="00D86CF3"/>
    <w:pPr>
      <w:spacing w:line="240" w:lineRule="auto"/>
    </w:pPr>
  </w:style>
  <w:style w:type="paragraph" w:customStyle="1" w:styleId="CommentSubject1">
    <w:name w:val="Comment Subject1"/>
    <w:basedOn w:val="CommentText1"/>
    <w:next w:val="CommentText1"/>
    <w:uiPriority w:val="99"/>
    <w:semiHidden/>
    <w:unhideWhenUsed/>
    <w:rsid w:val="00D86CF3"/>
    <w:rPr>
      <w:b/>
      <w:bCs/>
    </w:rPr>
  </w:style>
  <w:style w:type="table" w:customStyle="1" w:styleId="1">
    <w:name w:val="网格型1"/>
    <w:basedOn w:val="TableNormal"/>
    <w:next w:val="TableGrid"/>
    <w:rsid w:val="00893203"/>
    <w:pPr>
      <w:spacing w:after="0" w:line="240" w:lineRule="auto"/>
    </w:pPr>
    <w:rPr>
      <w:rFonts w:ascii="Times New Roman" w:eastAsia="SimSu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15028">
      <w:bodyDiv w:val="1"/>
      <w:marLeft w:val="0"/>
      <w:marRight w:val="0"/>
      <w:marTop w:val="0"/>
      <w:marBottom w:val="0"/>
      <w:divBdr>
        <w:top w:val="none" w:sz="0" w:space="0" w:color="auto"/>
        <w:left w:val="none" w:sz="0" w:space="0" w:color="auto"/>
        <w:bottom w:val="none" w:sz="0" w:space="0" w:color="auto"/>
        <w:right w:val="none" w:sz="0" w:space="0" w:color="auto"/>
      </w:divBdr>
    </w:div>
    <w:div w:id="695735718">
      <w:bodyDiv w:val="1"/>
      <w:marLeft w:val="0"/>
      <w:marRight w:val="0"/>
      <w:marTop w:val="0"/>
      <w:marBottom w:val="0"/>
      <w:divBdr>
        <w:top w:val="none" w:sz="0" w:space="0" w:color="auto"/>
        <w:left w:val="none" w:sz="0" w:space="0" w:color="auto"/>
        <w:bottom w:val="none" w:sz="0" w:space="0" w:color="auto"/>
        <w:right w:val="none" w:sz="0" w:space="0" w:color="auto"/>
      </w:divBdr>
    </w:div>
    <w:div w:id="1293705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tga.gov.au/australian-public-assessment-report-auspar-guidance" TargetMode="External"/><Relationship Id="rId26" Type="http://schemas.openxmlformats.org/officeDocument/2006/relationships/image" Target="media/image6.png"/><Relationship Id="rId39" Type="http://schemas.openxmlformats.org/officeDocument/2006/relationships/hyperlink" Target="https://www.tga.gov.au/tgas-risk-management-approach" TargetMode="External"/><Relationship Id="rId21" Type="http://schemas.openxmlformats.org/officeDocument/2006/relationships/hyperlink" Target="https://www.tga.gov.au/products/medicines/find-information-about-medicine/prescribing-medicines-pregnancy-database" TargetMode="External"/><Relationship Id="rId34" Type="http://schemas.openxmlformats.org/officeDocument/2006/relationships/image" Target="media/image14.jpeg"/><Relationship Id="rId42" Type="http://schemas.openxmlformats.org/officeDocument/2006/relationships/image" Target="media/image18.png"/><Relationship Id="rId47" Type="http://schemas.openxmlformats.org/officeDocument/2006/relationships/footer" Target="footer4.xml"/><Relationship Id="rId50" Type="http://schemas.openxmlformats.org/officeDocument/2006/relationships/header" Target="head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9.png"/><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hyperlink" Target="https://www.tga.gov.au/resources/resource/guidance/risk-management-plans-medicines-and-biologicals/australia-specific-annex-eu-rmp" TargetMode="External"/><Relationship Id="rId45" Type="http://schemas.openxmlformats.org/officeDocument/2006/relationships/hyperlink" Target="https://www.ebs.tga.gov.au/"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tga.copyright@tga.gov.au" TargetMode="External"/><Relationship Id="rId31" Type="http://schemas.openxmlformats.org/officeDocument/2006/relationships/image" Target="media/image11.png"/><Relationship Id="rId44" Type="http://schemas.openxmlformats.org/officeDocument/2006/relationships/hyperlink" Target="https://www.tga.gov.au/committee/advisory-committee-medicines-acm"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tga.gov.au/obstetric-drug-information-services"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hyperlink" Target="https://clinicaltrials.gov/study/NCT06363994" TargetMode="External"/><Relationship Id="rId48" Type="http://schemas.openxmlformats.org/officeDocument/2006/relationships/hyperlink" Target="mailto:info@tga.gov.au" TargetMode="External"/><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tga.gov.au/" TargetMode="External"/><Relationship Id="rId25" Type="http://schemas.openxmlformats.org/officeDocument/2006/relationships/hyperlink" Target="https://www.tga.gov.au/provisional-approval-pathway-prescription-medicines" TargetMode="External"/><Relationship Id="rId33" Type="http://schemas.openxmlformats.org/officeDocument/2006/relationships/image" Target="media/image13.png"/><Relationship Id="rId38" Type="http://schemas.openxmlformats.org/officeDocument/2006/relationships/hyperlink" Target="https://www.tga.gov.au/publication/risk-management-plans-medicines-and-biologicals" TargetMode="External"/><Relationship Id="rId46" Type="http://schemas.openxmlformats.org/officeDocument/2006/relationships/header" Target="header4.xml"/><Relationship Id="rId20" Type="http://schemas.openxmlformats.org/officeDocument/2006/relationships/hyperlink" Target="https://www.tga.gov.au/black-triangle-scheme" TargetMode="External"/><Relationship Id="rId41" Type="http://schemas.openxmlformats.org/officeDocument/2006/relationships/hyperlink" Target="https://www.tga.gov.au/resources/resource/guidance/risk-management-plans-medicines-and-biologicals/australia-specific-annex-eu-rmp"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image" Target="media/image8.jpeg"/><Relationship Id="rId36" Type="http://schemas.openxmlformats.org/officeDocument/2006/relationships/image" Target="media/image16.png"/><Relationship Id="rId49" Type="http://schemas.openxmlformats.org/officeDocument/2006/relationships/hyperlink" Target="https://www.tga.gov.a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ema.europa.eu/docs/en_GB/document_library/Scientific_guideline/2009/09/WC500003067.pdf" TargetMode="External"/><Relationship Id="rId2" Type="http://schemas.openxmlformats.org/officeDocument/2006/relationships/hyperlink" Target="https://www.fda.gov/regulatory-information/search-fda-guidance-documents/populationpharmacokinetics" TargetMode="External"/><Relationship Id="rId1" Type="http://schemas.openxmlformats.org/officeDocument/2006/relationships/hyperlink" Target="https://www.fda.gov/regulatory-information/search-fda-guidance-documents/populationpharmacokinetics" TargetMode="External"/><Relationship Id="rId5" Type="http://schemas.openxmlformats.org/officeDocument/2006/relationships/hyperlink" Target="https://www.fda.gov/drugs/resources-information-approved-drugs/fda-approves-acalabrutinib-bendamustine-and-rituximab-previously-untreated-mantle-cell-lymphoma" TargetMode="External"/><Relationship Id="rId4" Type="http://schemas.openxmlformats.org/officeDocument/2006/relationships/hyperlink" Target="https://www.fda.gov/drugs/resources-information-approved-drugs/fda-approves-acalabrutinib-bendamustine-and-rituximab-previously-untreated-mantle-cell-lymphoma"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omment xmlns="da3639af-b6dd-4bd6-a862-ac073331bb0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文档" ma:contentTypeID="0x010100278A6C7610268E4F85A70EA96C7332D4" ma:contentTypeVersion="4" ma:contentTypeDescription="新建文档。" ma:contentTypeScope="" ma:versionID="05a5cb319ebad91c7c596cd1346da598">
  <xsd:schema xmlns:xsd="http://www.w3.org/2001/XMLSchema" xmlns:xs="http://www.w3.org/2001/XMLSchema" xmlns:p="http://schemas.microsoft.com/office/2006/metadata/properties" xmlns:ns2="9f5a3a86-2785-4e48-961c-4e88948e2580" xmlns:ns3="da3639af-b6dd-4bd6-a862-ac073331bb00" targetNamespace="http://schemas.microsoft.com/office/2006/metadata/properties" ma:root="true" ma:fieldsID="6efa170c86a634fa87e2e09ee741cb01" ns2:_="" ns3:_="">
    <xsd:import namespace="9f5a3a86-2785-4e48-961c-4e88948e2580"/>
    <xsd:import namespace="da3639af-b6dd-4bd6-a862-ac073331bb00"/>
    <xsd:element name="properties">
      <xsd:complexType>
        <xsd:sequence>
          <xsd:element name="documentManagement">
            <xsd:complexType>
              <xsd:all>
                <xsd:element ref="ns2:SharedWithUsers" minOccurs="0"/>
                <xsd:element ref="ns2:SharedWithDetails" minOccurs="0"/>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a3a86-2785-4e48-961c-4e88948e2580"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享对象详细信息"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3639af-b6dd-4bd6-a862-ac073331bb00" elementFormDefault="qualified">
    <xsd:import namespace="http://schemas.microsoft.com/office/2006/documentManagement/types"/>
    <xsd:import namespace="http://schemas.microsoft.com/office/infopath/2007/PartnerControls"/>
    <xsd:element name="Comment" ma:index="10" nillable="true" ma:displayName="Comment" ma:format="Dropdown"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4A70F4-72D8-4611-8E47-9210171810BD}">
  <ds:schemaRefs>
    <ds:schemaRef ds:uri="http://schemas.microsoft.com/sharepoint/v3/contenttype/forms"/>
  </ds:schemaRefs>
</ds:datastoreItem>
</file>

<file path=customXml/itemProps2.xml><?xml version="1.0" encoding="utf-8"?>
<ds:datastoreItem xmlns:ds="http://schemas.openxmlformats.org/officeDocument/2006/customXml" ds:itemID="{5911AE68-6449-47E6-9F10-0220946BAFE5}">
  <ds:schemaRefs>
    <ds:schemaRef ds:uri="http://schemas.openxmlformats.org/officeDocument/2006/bibliography"/>
  </ds:schemaRefs>
</ds:datastoreItem>
</file>

<file path=customXml/itemProps3.xml><?xml version="1.0" encoding="utf-8"?>
<ds:datastoreItem xmlns:ds="http://schemas.openxmlformats.org/officeDocument/2006/customXml" ds:itemID="{AB8462AC-15AA-4F58-B0A8-46BC38CA63CF}">
  <ds:schemaRefs>
    <ds:schemaRef ds:uri="http://schemas.microsoft.com/office/2006/metadata/properties"/>
    <ds:schemaRef ds:uri="http://schemas.microsoft.com/office/infopath/2007/PartnerControls"/>
    <ds:schemaRef ds:uri="da3639af-b6dd-4bd6-a862-ac073331bb00"/>
  </ds:schemaRefs>
</ds:datastoreItem>
</file>

<file path=customXml/itemProps4.xml><?xml version="1.0" encoding="utf-8"?>
<ds:datastoreItem xmlns:ds="http://schemas.openxmlformats.org/officeDocument/2006/customXml" ds:itemID="{5172A4E1-02A2-45C9-B7FA-79D3D5F8F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a3a86-2785-4e48-961c-4e88948e2580"/>
    <ds:schemaRef ds:uri="da3639af-b6dd-4bd6-a862-ac073331b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54</Pages>
  <Words>17709</Words>
  <Characters>100942</Characters>
  <Application>Microsoft Office Word</Application>
  <DocSecurity>0</DocSecurity>
  <Lines>841</Lines>
  <Paragraphs>236</Paragraphs>
  <ScaleCrop>false</ScaleCrop>
  <HeadingPairs>
    <vt:vector size="2" baseType="variant">
      <vt:variant>
        <vt:lpstr>Title</vt:lpstr>
      </vt:variant>
      <vt:variant>
        <vt:i4>1</vt:i4>
      </vt:variant>
    </vt:vector>
  </HeadingPairs>
  <TitlesOfParts>
    <vt:vector size="1" baseType="lpstr">
      <vt:lpstr>Australian public assessment report for</vt:lpstr>
    </vt:vector>
  </TitlesOfParts>
  <Company>Department of Health, Disability and Ageing</Company>
  <LinksUpToDate>false</LinksUpToDate>
  <CharactersWithSpaces>118415</CharactersWithSpaces>
  <SharedDoc>false</SharedDoc>
  <HLinks>
    <vt:vector size="306" baseType="variant">
      <vt:variant>
        <vt:i4>3473445</vt:i4>
      </vt:variant>
      <vt:variant>
        <vt:i4>237</vt:i4>
      </vt:variant>
      <vt:variant>
        <vt:i4>0</vt:i4>
      </vt:variant>
      <vt:variant>
        <vt:i4>5</vt:i4>
      </vt:variant>
      <vt:variant>
        <vt:lpwstr>https://www.tga.gov.au/</vt:lpwstr>
      </vt:variant>
      <vt:variant>
        <vt:lpwstr/>
      </vt:variant>
      <vt:variant>
        <vt:i4>5242926</vt:i4>
      </vt:variant>
      <vt:variant>
        <vt:i4>234</vt:i4>
      </vt:variant>
      <vt:variant>
        <vt:i4>0</vt:i4>
      </vt:variant>
      <vt:variant>
        <vt:i4>5</vt:i4>
      </vt:variant>
      <vt:variant>
        <vt:lpwstr>mailto:info@tga.gov.au</vt:lpwstr>
      </vt:variant>
      <vt:variant>
        <vt:lpwstr/>
      </vt:variant>
      <vt:variant>
        <vt:i4>7929907</vt:i4>
      </vt:variant>
      <vt:variant>
        <vt:i4>231</vt:i4>
      </vt:variant>
      <vt:variant>
        <vt:i4>0</vt:i4>
      </vt:variant>
      <vt:variant>
        <vt:i4>5</vt:i4>
      </vt:variant>
      <vt:variant>
        <vt:lpwstr>https://www.ebs.tga.gov.au/</vt:lpwstr>
      </vt:variant>
      <vt:variant>
        <vt:lpwstr/>
      </vt:variant>
      <vt:variant>
        <vt:i4>524365</vt:i4>
      </vt:variant>
      <vt:variant>
        <vt:i4>228</vt:i4>
      </vt:variant>
      <vt:variant>
        <vt:i4>0</vt:i4>
      </vt:variant>
      <vt:variant>
        <vt:i4>5</vt:i4>
      </vt:variant>
      <vt:variant>
        <vt:lpwstr>https://www.tga.gov.au/committee/advisory-committee-medicines-acm</vt:lpwstr>
      </vt:variant>
      <vt:variant>
        <vt:lpwstr/>
      </vt:variant>
      <vt:variant>
        <vt:i4>327688</vt:i4>
      </vt:variant>
      <vt:variant>
        <vt:i4>225</vt:i4>
      </vt:variant>
      <vt:variant>
        <vt:i4>0</vt:i4>
      </vt:variant>
      <vt:variant>
        <vt:i4>5</vt:i4>
      </vt:variant>
      <vt:variant>
        <vt:lpwstr>https://clinicaltrials.gov/study/NCT06363994</vt:lpwstr>
      </vt:variant>
      <vt:variant>
        <vt:lpwstr/>
      </vt:variant>
      <vt:variant>
        <vt:i4>2424877</vt:i4>
      </vt:variant>
      <vt:variant>
        <vt:i4>222</vt:i4>
      </vt:variant>
      <vt:variant>
        <vt:i4>0</vt:i4>
      </vt:variant>
      <vt:variant>
        <vt:i4>5</vt:i4>
      </vt:variant>
      <vt:variant>
        <vt:lpwstr>https://www.tga.gov.au/resources/resource/guidance/risk-management-plans-medicines-and-biologicals/australia-specific-annex-eu-rmp</vt:lpwstr>
      </vt:variant>
      <vt:variant>
        <vt:lpwstr/>
      </vt:variant>
      <vt:variant>
        <vt:i4>2424877</vt:i4>
      </vt:variant>
      <vt:variant>
        <vt:i4>219</vt:i4>
      </vt:variant>
      <vt:variant>
        <vt:i4>0</vt:i4>
      </vt:variant>
      <vt:variant>
        <vt:i4>5</vt:i4>
      </vt:variant>
      <vt:variant>
        <vt:lpwstr>https://www.tga.gov.au/resources/resource/guidance/risk-management-plans-medicines-and-biologicals/australia-specific-annex-eu-rmp</vt:lpwstr>
      </vt:variant>
      <vt:variant>
        <vt:lpwstr/>
      </vt:variant>
      <vt:variant>
        <vt:i4>5111899</vt:i4>
      </vt:variant>
      <vt:variant>
        <vt:i4>216</vt:i4>
      </vt:variant>
      <vt:variant>
        <vt:i4>0</vt:i4>
      </vt:variant>
      <vt:variant>
        <vt:i4>5</vt:i4>
      </vt:variant>
      <vt:variant>
        <vt:lpwstr>https://www.tga.gov.au/tgas-risk-management-approach</vt:lpwstr>
      </vt:variant>
      <vt:variant>
        <vt:lpwstr/>
      </vt:variant>
      <vt:variant>
        <vt:i4>7929888</vt:i4>
      </vt:variant>
      <vt:variant>
        <vt:i4>213</vt:i4>
      </vt:variant>
      <vt:variant>
        <vt:i4>0</vt:i4>
      </vt:variant>
      <vt:variant>
        <vt:i4>5</vt:i4>
      </vt:variant>
      <vt:variant>
        <vt:lpwstr>https://www.tga.gov.au/publication/risk-management-plans-medicines-and-biologicals</vt:lpwstr>
      </vt:variant>
      <vt:variant>
        <vt:lpwstr/>
      </vt:variant>
      <vt:variant>
        <vt:i4>2097233</vt:i4>
      </vt:variant>
      <vt:variant>
        <vt:i4>198</vt:i4>
      </vt:variant>
      <vt:variant>
        <vt:i4>0</vt:i4>
      </vt:variant>
      <vt:variant>
        <vt:i4>5</vt:i4>
      </vt:variant>
      <vt:variant>
        <vt:lpwstr/>
      </vt:variant>
      <vt:variant>
        <vt:lpwstr>_bookmark2</vt:lpwstr>
      </vt:variant>
      <vt:variant>
        <vt:i4>2228305</vt:i4>
      </vt:variant>
      <vt:variant>
        <vt:i4>195</vt:i4>
      </vt:variant>
      <vt:variant>
        <vt:i4>0</vt:i4>
      </vt:variant>
      <vt:variant>
        <vt:i4>5</vt:i4>
      </vt:variant>
      <vt:variant>
        <vt:lpwstr/>
      </vt:variant>
      <vt:variant>
        <vt:lpwstr>_bookmark0</vt:lpwstr>
      </vt:variant>
      <vt:variant>
        <vt:i4>2883685</vt:i4>
      </vt:variant>
      <vt:variant>
        <vt:i4>189</vt:i4>
      </vt:variant>
      <vt:variant>
        <vt:i4>0</vt:i4>
      </vt:variant>
      <vt:variant>
        <vt:i4>5</vt:i4>
      </vt:variant>
      <vt:variant>
        <vt:lpwstr>https://www.tga.gov.au/provisional-approval-pathway-prescription-medicines</vt:lpwstr>
      </vt:variant>
      <vt:variant>
        <vt:lpwstr/>
      </vt:variant>
      <vt:variant>
        <vt:i4>3670063</vt:i4>
      </vt:variant>
      <vt:variant>
        <vt:i4>186</vt:i4>
      </vt:variant>
      <vt:variant>
        <vt:i4>0</vt:i4>
      </vt:variant>
      <vt:variant>
        <vt:i4>5</vt:i4>
      </vt:variant>
      <vt:variant>
        <vt:lpwstr>https://www.tga.gov.au/obstetric-drug-information-services</vt:lpwstr>
      </vt:variant>
      <vt:variant>
        <vt:lpwstr/>
      </vt:variant>
      <vt:variant>
        <vt:i4>2949173</vt:i4>
      </vt:variant>
      <vt:variant>
        <vt:i4>183</vt:i4>
      </vt:variant>
      <vt:variant>
        <vt:i4>0</vt:i4>
      </vt:variant>
      <vt:variant>
        <vt:i4>5</vt:i4>
      </vt:variant>
      <vt:variant>
        <vt:lpwstr>https://www.tga.gov.au/products/medicines/find-information-about-medicine/prescribing-medicines-pregnancy-database</vt:lpwstr>
      </vt:variant>
      <vt:variant>
        <vt:lpwstr/>
      </vt:variant>
      <vt:variant>
        <vt:i4>786511</vt:i4>
      </vt:variant>
      <vt:variant>
        <vt:i4>180</vt:i4>
      </vt:variant>
      <vt:variant>
        <vt:i4>0</vt:i4>
      </vt:variant>
      <vt:variant>
        <vt:i4>5</vt:i4>
      </vt:variant>
      <vt:variant>
        <vt:lpwstr>https://www.tga.gov.au/black-triangle-scheme</vt:lpwstr>
      </vt:variant>
      <vt:variant>
        <vt:lpwstr/>
      </vt:variant>
      <vt:variant>
        <vt:i4>1441840</vt:i4>
      </vt:variant>
      <vt:variant>
        <vt:i4>173</vt:i4>
      </vt:variant>
      <vt:variant>
        <vt:i4>0</vt:i4>
      </vt:variant>
      <vt:variant>
        <vt:i4>5</vt:i4>
      </vt:variant>
      <vt:variant>
        <vt:lpwstr/>
      </vt:variant>
      <vt:variant>
        <vt:lpwstr>_Toc240530104</vt:lpwstr>
      </vt:variant>
      <vt:variant>
        <vt:i4>1441840</vt:i4>
      </vt:variant>
      <vt:variant>
        <vt:i4>167</vt:i4>
      </vt:variant>
      <vt:variant>
        <vt:i4>0</vt:i4>
      </vt:variant>
      <vt:variant>
        <vt:i4>5</vt:i4>
      </vt:variant>
      <vt:variant>
        <vt:lpwstr/>
      </vt:variant>
      <vt:variant>
        <vt:lpwstr>_Toc240530103</vt:lpwstr>
      </vt:variant>
      <vt:variant>
        <vt:i4>1441840</vt:i4>
      </vt:variant>
      <vt:variant>
        <vt:i4>161</vt:i4>
      </vt:variant>
      <vt:variant>
        <vt:i4>0</vt:i4>
      </vt:variant>
      <vt:variant>
        <vt:i4>5</vt:i4>
      </vt:variant>
      <vt:variant>
        <vt:lpwstr/>
      </vt:variant>
      <vt:variant>
        <vt:lpwstr>_Toc240530102</vt:lpwstr>
      </vt:variant>
      <vt:variant>
        <vt:i4>1441840</vt:i4>
      </vt:variant>
      <vt:variant>
        <vt:i4>155</vt:i4>
      </vt:variant>
      <vt:variant>
        <vt:i4>0</vt:i4>
      </vt:variant>
      <vt:variant>
        <vt:i4>5</vt:i4>
      </vt:variant>
      <vt:variant>
        <vt:lpwstr/>
      </vt:variant>
      <vt:variant>
        <vt:lpwstr>_Toc240530101</vt:lpwstr>
      </vt:variant>
      <vt:variant>
        <vt:i4>1441840</vt:i4>
      </vt:variant>
      <vt:variant>
        <vt:i4>149</vt:i4>
      </vt:variant>
      <vt:variant>
        <vt:i4>0</vt:i4>
      </vt:variant>
      <vt:variant>
        <vt:i4>5</vt:i4>
      </vt:variant>
      <vt:variant>
        <vt:lpwstr/>
      </vt:variant>
      <vt:variant>
        <vt:lpwstr>_Toc240530100</vt:lpwstr>
      </vt:variant>
      <vt:variant>
        <vt:i4>2031665</vt:i4>
      </vt:variant>
      <vt:variant>
        <vt:i4>143</vt:i4>
      </vt:variant>
      <vt:variant>
        <vt:i4>0</vt:i4>
      </vt:variant>
      <vt:variant>
        <vt:i4>5</vt:i4>
      </vt:variant>
      <vt:variant>
        <vt:lpwstr/>
      </vt:variant>
      <vt:variant>
        <vt:lpwstr>_Toc240530099</vt:lpwstr>
      </vt:variant>
      <vt:variant>
        <vt:i4>2031665</vt:i4>
      </vt:variant>
      <vt:variant>
        <vt:i4>137</vt:i4>
      </vt:variant>
      <vt:variant>
        <vt:i4>0</vt:i4>
      </vt:variant>
      <vt:variant>
        <vt:i4>5</vt:i4>
      </vt:variant>
      <vt:variant>
        <vt:lpwstr/>
      </vt:variant>
      <vt:variant>
        <vt:lpwstr>_Toc240530098</vt:lpwstr>
      </vt:variant>
      <vt:variant>
        <vt:i4>2031665</vt:i4>
      </vt:variant>
      <vt:variant>
        <vt:i4>131</vt:i4>
      </vt:variant>
      <vt:variant>
        <vt:i4>0</vt:i4>
      </vt:variant>
      <vt:variant>
        <vt:i4>5</vt:i4>
      </vt:variant>
      <vt:variant>
        <vt:lpwstr/>
      </vt:variant>
      <vt:variant>
        <vt:lpwstr>_Toc240530097</vt:lpwstr>
      </vt:variant>
      <vt:variant>
        <vt:i4>2031665</vt:i4>
      </vt:variant>
      <vt:variant>
        <vt:i4>125</vt:i4>
      </vt:variant>
      <vt:variant>
        <vt:i4>0</vt:i4>
      </vt:variant>
      <vt:variant>
        <vt:i4>5</vt:i4>
      </vt:variant>
      <vt:variant>
        <vt:lpwstr/>
      </vt:variant>
      <vt:variant>
        <vt:lpwstr>_Toc240530096</vt:lpwstr>
      </vt:variant>
      <vt:variant>
        <vt:i4>2031665</vt:i4>
      </vt:variant>
      <vt:variant>
        <vt:i4>119</vt:i4>
      </vt:variant>
      <vt:variant>
        <vt:i4>0</vt:i4>
      </vt:variant>
      <vt:variant>
        <vt:i4>5</vt:i4>
      </vt:variant>
      <vt:variant>
        <vt:lpwstr/>
      </vt:variant>
      <vt:variant>
        <vt:lpwstr>_Toc240530095</vt:lpwstr>
      </vt:variant>
      <vt:variant>
        <vt:i4>2031665</vt:i4>
      </vt:variant>
      <vt:variant>
        <vt:i4>113</vt:i4>
      </vt:variant>
      <vt:variant>
        <vt:i4>0</vt:i4>
      </vt:variant>
      <vt:variant>
        <vt:i4>5</vt:i4>
      </vt:variant>
      <vt:variant>
        <vt:lpwstr/>
      </vt:variant>
      <vt:variant>
        <vt:lpwstr>_Toc240530094</vt:lpwstr>
      </vt:variant>
      <vt:variant>
        <vt:i4>2031665</vt:i4>
      </vt:variant>
      <vt:variant>
        <vt:i4>107</vt:i4>
      </vt:variant>
      <vt:variant>
        <vt:i4>0</vt:i4>
      </vt:variant>
      <vt:variant>
        <vt:i4>5</vt:i4>
      </vt:variant>
      <vt:variant>
        <vt:lpwstr/>
      </vt:variant>
      <vt:variant>
        <vt:lpwstr>_Toc240530093</vt:lpwstr>
      </vt:variant>
      <vt:variant>
        <vt:i4>2031665</vt:i4>
      </vt:variant>
      <vt:variant>
        <vt:i4>101</vt:i4>
      </vt:variant>
      <vt:variant>
        <vt:i4>0</vt:i4>
      </vt:variant>
      <vt:variant>
        <vt:i4>5</vt:i4>
      </vt:variant>
      <vt:variant>
        <vt:lpwstr/>
      </vt:variant>
      <vt:variant>
        <vt:lpwstr>_Toc240530092</vt:lpwstr>
      </vt:variant>
      <vt:variant>
        <vt:i4>2031665</vt:i4>
      </vt:variant>
      <vt:variant>
        <vt:i4>95</vt:i4>
      </vt:variant>
      <vt:variant>
        <vt:i4>0</vt:i4>
      </vt:variant>
      <vt:variant>
        <vt:i4>5</vt:i4>
      </vt:variant>
      <vt:variant>
        <vt:lpwstr/>
      </vt:variant>
      <vt:variant>
        <vt:lpwstr>_Toc240530091</vt:lpwstr>
      </vt:variant>
      <vt:variant>
        <vt:i4>2031665</vt:i4>
      </vt:variant>
      <vt:variant>
        <vt:i4>89</vt:i4>
      </vt:variant>
      <vt:variant>
        <vt:i4>0</vt:i4>
      </vt:variant>
      <vt:variant>
        <vt:i4>5</vt:i4>
      </vt:variant>
      <vt:variant>
        <vt:lpwstr/>
      </vt:variant>
      <vt:variant>
        <vt:lpwstr>_Toc240530090</vt:lpwstr>
      </vt:variant>
      <vt:variant>
        <vt:i4>1966129</vt:i4>
      </vt:variant>
      <vt:variant>
        <vt:i4>83</vt:i4>
      </vt:variant>
      <vt:variant>
        <vt:i4>0</vt:i4>
      </vt:variant>
      <vt:variant>
        <vt:i4>5</vt:i4>
      </vt:variant>
      <vt:variant>
        <vt:lpwstr/>
      </vt:variant>
      <vt:variant>
        <vt:lpwstr>_Toc240530089</vt:lpwstr>
      </vt:variant>
      <vt:variant>
        <vt:i4>1966129</vt:i4>
      </vt:variant>
      <vt:variant>
        <vt:i4>77</vt:i4>
      </vt:variant>
      <vt:variant>
        <vt:i4>0</vt:i4>
      </vt:variant>
      <vt:variant>
        <vt:i4>5</vt:i4>
      </vt:variant>
      <vt:variant>
        <vt:lpwstr/>
      </vt:variant>
      <vt:variant>
        <vt:lpwstr>_Toc240530088</vt:lpwstr>
      </vt:variant>
      <vt:variant>
        <vt:i4>1966129</vt:i4>
      </vt:variant>
      <vt:variant>
        <vt:i4>71</vt:i4>
      </vt:variant>
      <vt:variant>
        <vt:i4>0</vt:i4>
      </vt:variant>
      <vt:variant>
        <vt:i4>5</vt:i4>
      </vt:variant>
      <vt:variant>
        <vt:lpwstr/>
      </vt:variant>
      <vt:variant>
        <vt:lpwstr>_Toc240530087</vt:lpwstr>
      </vt:variant>
      <vt:variant>
        <vt:i4>1966129</vt:i4>
      </vt:variant>
      <vt:variant>
        <vt:i4>65</vt:i4>
      </vt:variant>
      <vt:variant>
        <vt:i4>0</vt:i4>
      </vt:variant>
      <vt:variant>
        <vt:i4>5</vt:i4>
      </vt:variant>
      <vt:variant>
        <vt:lpwstr/>
      </vt:variant>
      <vt:variant>
        <vt:lpwstr>_Toc240530086</vt:lpwstr>
      </vt:variant>
      <vt:variant>
        <vt:i4>1966129</vt:i4>
      </vt:variant>
      <vt:variant>
        <vt:i4>59</vt:i4>
      </vt:variant>
      <vt:variant>
        <vt:i4>0</vt:i4>
      </vt:variant>
      <vt:variant>
        <vt:i4>5</vt:i4>
      </vt:variant>
      <vt:variant>
        <vt:lpwstr/>
      </vt:variant>
      <vt:variant>
        <vt:lpwstr>_Toc240530085</vt:lpwstr>
      </vt:variant>
      <vt:variant>
        <vt:i4>1966129</vt:i4>
      </vt:variant>
      <vt:variant>
        <vt:i4>53</vt:i4>
      </vt:variant>
      <vt:variant>
        <vt:i4>0</vt:i4>
      </vt:variant>
      <vt:variant>
        <vt:i4>5</vt:i4>
      </vt:variant>
      <vt:variant>
        <vt:lpwstr/>
      </vt:variant>
      <vt:variant>
        <vt:lpwstr>_Toc240530084</vt:lpwstr>
      </vt:variant>
      <vt:variant>
        <vt:i4>1966129</vt:i4>
      </vt:variant>
      <vt:variant>
        <vt:i4>47</vt:i4>
      </vt:variant>
      <vt:variant>
        <vt:i4>0</vt:i4>
      </vt:variant>
      <vt:variant>
        <vt:i4>5</vt:i4>
      </vt:variant>
      <vt:variant>
        <vt:lpwstr/>
      </vt:variant>
      <vt:variant>
        <vt:lpwstr>_Toc240530083</vt:lpwstr>
      </vt:variant>
      <vt:variant>
        <vt:i4>1966129</vt:i4>
      </vt:variant>
      <vt:variant>
        <vt:i4>41</vt:i4>
      </vt:variant>
      <vt:variant>
        <vt:i4>0</vt:i4>
      </vt:variant>
      <vt:variant>
        <vt:i4>5</vt:i4>
      </vt:variant>
      <vt:variant>
        <vt:lpwstr/>
      </vt:variant>
      <vt:variant>
        <vt:lpwstr>_Toc240530082</vt:lpwstr>
      </vt:variant>
      <vt:variant>
        <vt:i4>1966129</vt:i4>
      </vt:variant>
      <vt:variant>
        <vt:i4>35</vt:i4>
      </vt:variant>
      <vt:variant>
        <vt:i4>0</vt:i4>
      </vt:variant>
      <vt:variant>
        <vt:i4>5</vt:i4>
      </vt:variant>
      <vt:variant>
        <vt:lpwstr/>
      </vt:variant>
      <vt:variant>
        <vt:lpwstr>_Toc240530081</vt:lpwstr>
      </vt:variant>
      <vt:variant>
        <vt:i4>1966129</vt:i4>
      </vt:variant>
      <vt:variant>
        <vt:i4>29</vt:i4>
      </vt:variant>
      <vt:variant>
        <vt:i4>0</vt:i4>
      </vt:variant>
      <vt:variant>
        <vt:i4>5</vt:i4>
      </vt:variant>
      <vt:variant>
        <vt:lpwstr/>
      </vt:variant>
      <vt:variant>
        <vt:lpwstr>_Toc240530080</vt:lpwstr>
      </vt:variant>
      <vt:variant>
        <vt:i4>1114161</vt:i4>
      </vt:variant>
      <vt:variant>
        <vt:i4>23</vt:i4>
      </vt:variant>
      <vt:variant>
        <vt:i4>0</vt:i4>
      </vt:variant>
      <vt:variant>
        <vt:i4>5</vt:i4>
      </vt:variant>
      <vt:variant>
        <vt:lpwstr/>
      </vt:variant>
      <vt:variant>
        <vt:lpwstr>_Toc240530079</vt:lpwstr>
      </vt:variant>
      <vt:variant>
        <vt:i4>1114161</vt:i4>
      </vt:variant>
      <vt:variant>
        <vt:i4>17</vt:i4>
      </vt:variant>
      <vt:variant>
        <vt:i4>0</vt:i4>
      </vt:variant>
      <vt:variant>
        <vt:i4>5</vt:i4>
      </vt:variant>
      <vt:variant>
        <vt:lpwstr/>
      </vt:variant>
      <vt:variant>
        <vt:lpwstr>_Toc240530078</vt:lpwstr>
      </vt:variant>
      <vt:variant>
        <vt:i4>1114161</vt:i4>
      </vt:variant>
      <vt:variant>
        <vt:i4>11</vt:i4>
      </vt:variant>
      <vt:variant>
        <vt:i4>0</vt:i4>
      </vt:variant>
      <vt:variant>
        <vt:i4>5</vt:i4>
      </vt:variant>
      <vt:variant>
        <vt:lpwstr/>
      </vt:variant>
      <vt:variant>
        <vt:lpwstr>_Toc240530077</vt:lpwstr>
      </vt:variant>
      <vt:variant>
        <vt:i4>6291548</vt:i4>
      </vt:variant>
      <vt:variant>
        <vt:i4>6</vt:i4>
      </vt:variant>
      <vt:variant>
        <vt:i4>0</vt:i4>
      </vt:variant>
      <vt:variant>
        <vt:i4>5</vt:i4>
      </vt:variant>
      <vt:variant>
        <vt:lpwstr>mailto:tga.copyright@tga.gov.au</vt:lpwstr>
      </vt:variant>
      <vt:variant>
        <vt:lpwstr/>
      </vt:variant>
      <vt:variant>
        <vt:i4>7995497</vt:i4>
      </vt:variant>
      <vt:variant>
        <vt:i4>3</vt:i4>
      </vt:variant>
      <vt:variant>
        <vt:i4>0</vt:i4>
      </vt:variant>
      <vt:variant>
        <vt:i4>5</vt:i4>
      </vt:variant>
      <vt:variant>
        <vt:lpwstr>https://www.tga.gov.au/australian-public-assessment-report-auspar-guidance</vt:lpwstr>
      </vt:variant>
      <vt:variant>
        <vt:lpwstr/>
      </vt:variant>
      <vt:variant>
        <vt:i4>3473445</vt:i4>
      </vt:variant>
      <vt:variant>
        <vt:i4>0</vt:i4>
      </vt:variant>
      <vt:variant>
        <vt:i4>0</vt:i4>
      </vt:variant>
      <vt:variant>
        <vt:i4>5</vt:i4>
      </vt:variant>
      <vt:variant>
        <vt:lpwstr>https://www.tga.gov.au/</vt:lpwstr>
      </vt:variant>
      <vt:variant>
        <vt:lpwstr/>
      </vt:variant>
      <vt:variant>
        <vt:i4>2818157</vt:i4>
      </vt:variant>
      <vt:variant>
        <vt:i4>12</vt:i4>
      </vt:variant>
      <vt:variant>
        <vt:i4>0</vt:i4>
      </vt:variant>
      <vt:variant>
        <vt:i4>5</vt:i4>
      </vt:variant>
      <vt:variant>
        <vt:lpwstr>https://www.fda.gov/drugs/resources-information-approved-drugs/fda-approves-acalabrutinib-bendamustine-and-rituximab-previously-untreated-mantle-cell-lymphoma</vt:lpwstr>
      </vt:variant>
      <vt:variant>
        <vt:lpwstr/>
      </vt:variant>
      <vt:variant>
        <vt:i4>2818157</vt:i4>
      </vt:variant>
      <vt:variant>
        <vt:i4>9</vt:i4>
      </vt:variant>
      <vt:variant>
        <vt:i4>0</vt:i4>
      </vt:variant>
      <vt:variant>
        <vt:i4>5</vt:i4>
      </vt:variant>
      <vt:variant>
        <vt:lpwstr>https://www.fda.gov/drugs/resources-information-approved-drugs/fda-approves-acalabrutinib-bendamustine-and-rituximab-previously-untreated-mantle-cell-lymphoma</vt:lpwstr>
      </vt:variant>
      <vt:variant>
        <vt:lpwstr/>
      </vt:variant>
      <vt:variant>
        <vt:i4>2949194</vt:i4>
      </vt:variant>
      <vt:variant>
        <vt:i4>6</vt:i4>
      </vt:variant>
      <vt:variant>
        <vt:i4>0</vt:i4>
      </vt:variant>
      <vt:variant>
        <vt:i4>5</vt:i4>
      </vt:variant>
      <vt:variant>
        <vt:lpwstr>http://www.ema.europa.eu/docs/en_GB/document_library/Scientific_guideline/2009/09/WC500003067.pdf</vt:lpwstr>
      </vt:variant>
      <vt:variant>
        <vt:lpwstr/>
      </vt:variant>
      <vt:variant>
        <vt:i4>3932204</vt:i4>
      </vt:variant>
      <vt:variant>
        <vt:i4>3</vt:i4>
      </vt:variant>
      <vt:variant>
        <vt:i4>0</vt:i4>
      </vt:variant>
      <vt:variant>
        <vt:i4>5</vt:i4>
      </vt:variant>
      <vt:variant>
        <vt:lpwstr>https://www.fda.gov/regulatory-information/search-fda-guidance-documents/populationpharmacokinetics</vt:lpwstr>
      </vt:variant>
      <vt:variant>
        <vt:lpwstr/>
      </vt:variant>
      <vt:variant>
        <vt:i4>3932204</vt:i4>
      </vt:variant>
      <vt:variant>
        <vt:i4>0</vt:i4>
      </vt:variant>
      <vt:variant>
        <vt:i4>0</vt:i4>
      </vt:variant>
      <vt:variant>
        <vt:i4>5</vt:i4>
      </vt:variant>
      <vt:variant>
        <vt:lpwstr>https://www.fda.gov/regulatory-information/search-fda-guidance-documents/populationpharmacokinetics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public assessment report for Hibruka</dc:title>
  <dc:subject>Prescription medicines</dc:subject>
  <dc:creator>Therapeutic Goods Administration</dc:creator>
  <cp:keywords/>
  <dc:description/>
  <cp:lastModifiedBy>LACK, Janet</cp:lastModifiedBy>
  <cp:revision>3</cp:revision>
  <dcterms:created xsi:type="dcterms:W3CDTF">2026-10-14T00:17:00Z</dcterms:created>
  <dcterms:modified xsi:type="dcterms:W3CDTF">2026-10-14T00:34:00Z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48c0e39b,60f1b3bd,33dae6e1,7507f474,575bd30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7e282a4a,994c871,4c0439f0,615ee556,285eda09</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2026-02-24T05:09:39Z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e6c271ff-d1d0-47ed-8240-a1a1720452d2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0x010100278A6C7610268E4F85A70EA96C7332D4</vt:lpwstr>
  </property>
</Properties>
</file>