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6AAC2" w14:textId="1C419F64" w:rsidR="00375DF3" w:rsidRPr="00EB3788" w:rsidRDefault="00375DF3" w:rsidP="00446C37">
      <w:pPr>
        <w:tabs>
          <w:tab w:val="left" w:pos="284"/>
        </w:tabs>
        <w:spacing w:after="480" w:line="240" w:lineRule="auto"/>
        <w:rPr>
          <w:rFonts w:asciiTheme="majorHAnsi" w:hAnsiTheme="majorHAnsi"/>
        </w:rPr>
      </w:pPr>
      <w:r w:rsidRPr="004664E6">
        <w:rPr>
          <w:noProof/>
          <w:lang w:eastAsia="en-AU"/>
        </w:rPr>
        <mc:AlternateContent>
          <mc:Choice Requires="wps">
            <w:drawing>
              <wp:inline distT="0" distB="0" distL="0" distR="0" wp14:anchorId="2750C9C2" wp14:editId="6158D045">
                <wp:extent cx="252095" cy="252095"/>
                <wp:effectExtent l="0" t="0" r="0"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D3C3E4" w14:textId="77777777" w:rsidR="00375DF3" w:rsidRPr="00EB3788" w:rsidRDefault="00BE2A26" w:rsidP="00375DF3">
                            <w:pPr>
                              <w:spacing w:after="0"/>
                              <w:rPr>
                                <w:rFonts w:ascii="Wingdings 3" w:hAnsi="Wingdings 3" w:hint="eastAsia"/>
                                <w:sz w:val="24"/>
                              </w:rPr>
                            </w:pPr>
                            <w:r w:rsidRPr="00EB3788">
                              <w:rPr>
                                <w:rFonts w:ascii="SimSun" w:eastAsia="SimSun" w:hAnsi="SimSun" w:cs="Arial" w:hint="eastAsia"/>
                                <w:sz w:val="40"/>
                              </w:rPr>
                              <w:t>▼</w:t>
                            </w:r>
                          </w:p>
                        </w:txbxContent>
                      </wps:txbx>
                      <wps:bodyPr rot="0" vert="horz" wrap="square" lIns="0" tIns="0" rIns="0" bIns="0" anchor="t" anchorCtr="0" upright="1">
                        <a:noAutofit/>
                      </wps:bodyPr>
                    </wps:wsp>
                  </a:graphicData>
                </a:graphic>
              </wp:inline>
            </w:drawing>
          </mc:Choice>
          <mc:Fallback>
            <w:pict>
              <v:shapetype w14:anchorId="2750C9C2" id="_x0000_t202" coordsize="21600,21600" o:spt="202" path="m,l,21600r21600,l21600,xe">
                <v:stroke joinstyle="miter"/>
                <v:path gradientshapeok="t" o:connecttype="rect"/>
              </v:shapetype>
              <v:shape id="Text Box 1" o:spid="_x0000_s1026" type="#_x0000_t202" style="width:19.85pt;height:1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" stroked="f">
                <v:textbox inset="0,0,0,0">
                  <w:txbxContent>
                    <w:p w14:paraId="14D3C3E4" w14:textId="77777777" w:rsidR="00375DF3" w:rsidRPr="00EB3788" w:rsidRDefault="00BE2A26" w:rsidP="00375DF3">
                      <w:pPr>
                        <w:spacing w:after="0"/>
                        <w:rPr>
                          <w:rFonts w:ascii="Wingdings 3" w:hAnsi="Wingdings 3" w:hint="eastAsia"/>
                          <w:sz w:val="24"/>
                        </w:rPr>
                      </w:pPr>
                      <w:r w:rsidRPr="00EB3788">
                        <w:rPr>
                          <w:rFonts w:ascii="SimSun" w:eastAsia="SimSun" w:hAnsi="SimSun" w:cs="Arial" w:hint="eastAsia"/>
                          <w:sz w:val="40"/>
                        </w:rPr>
                        <w:t>▼</w:t>
                      </w:r>
                    </w:p>
                  </w:txbxContent>
                </v:textbox>
                <w10:anchorlock/>
              </v:shape>
            </w:pict>
          </mc:Fallback>
        </mc:AlternateContent>
      </w:r>
      <w:r w:rsidR="001A3992" w:rsidRPr="00EB3788">
        <w:rPr>
          <w:rFonts w:asciiTheme="majorHAnsi" w:hAnsiTheme="majorHAnsi"/>
        </w:rPr>
        <w:t xml:space="preserve">This medicinal product is subject to additional monitoring in Australia. This will allow quick identification of new safety information. Healthcare professionals are asked to report any suspected adverse events at </w:t>
      </w:r>
      <w:hyperlink r:id="rId11" w:history="1">
        <w:r w:rsidRPr="00EB3788">
          <w:rPr>
            <w:rStyle w:val="Hyperlink"/>
            <w:rFonts w:asciiTheme="majorHAnsi" w:hAnsiTheme="majorHAnsi"/>
          </w:rPr>
          <w:t>www.tga.gov.au/reporting-problems</w:t>
        </w:r>
      </w:hyperlink>
      <w:r w:rsidRPr="00EB3788">
        <w:rPr>
          <w:rFonts w:asciiTheme="majorHAnsi" w:hAnsiTheme="majorHAnsi"/>
        </w:rPr>
        <w:t>.</w:t>
      </w:r>
    </w:p>
    <w:p w14:paraId="12319B10" w14:textId="0F9135D1" w:rsidR="006018AE" w:rsidRPr="00EB3788" w:rsidRDefault="52CFF612" w:rsidP="00446C37">
      <w:pPr>
        <w:pStyle w:val="Heading1"/>
        <w:numPr>
          <w:ilvl w:val="0"/>
          <w:numId w:val="0"/>
        </w:numPr>
        <w:spacing w:after="240"/>
        <w:jc w:val="center"/>
        <w:rPr>
          <w:rFonts w:eastAsia="SimSun"/>
        </w:rPr>
      </w:pPr>
      <w:r w:rsidRPr="00EB3788">
        <w:rPr>
          <w:rFonts w:eastAsia="SimSun"/>
        </w:rPr>
        <w:t>Australian Product Information – fetroja (cefiderocol) powder for injection for infusion</w:t>
      </w:r>
    </w:p>
    <w:p w14:paraId="14166C56" w14:textId="77777777" w:rsidR="001A3992" w:rsidRPr="00EB3788" w:rsidRDefault="001A3992" w:rsidP="00446C37">
      <w:pPr>
        <w:pStyle w:val="Heading1"/>
        <w:spacing w:before="0" w:after="120"/>
      </w:pPr>
      <w:r w:rsidRPr="00EB3788">
        <w:t>Name of the medicine</w:t>
      </w:r>
    </w:p>
    <w:p w14:paraId="4CDEF531" w14:textId="2B916C8A" w:rsidR="00BD3C9A" w:rsidRPr="00EB3788" w:rsidRDefault="00BD3C9A" w:rsidP="00446C37">
      <w:pPr>
        <w:rPr>
          <w:rFonts w:asciiTheme="majorHAnsi" w:hAnsiTheme="majorHAnsi"/>
        </w:rPr>
      </w:pPr>
      <w:r w:rsidRPr="00EB3788">
        <w:rPr>
          <w:rFonts w:asciiTheme="majorHAnsi" w:hAnsiTheme="majorHAnsi"/>
        </w:rPr>
        <w:t>Cefiderocol</w:t>
      </w:r>
    </w:p>
    <w:p w14:paraId="3B46E992" w14:textId="77777777" w:rsidR="001A3992" w:rsidRPr="00EB3788" w:rsidRDefault="001A3992" w:rsidP="00446C37">
      <w:pPr>
        <w:pStyle w:val="Heading1"/>
        <w:spacing w:before="0" w:after="120"/>
      </w:pPr>
      <w:r w:rsidRPr="00EB3788">
        <w:t>Qualitative and quantitative composition</w:t>
      </w:r>
    </w:p>
    <w:p w14:paraId="242C6798" w14:textId="68A416BE" w:rsidR="009174CA" w:rsidRPr="00EB3788" w:rsidRDefault="00411D57" w:rsidP="00446C37">
      <w:pPr>
        <w:rPr>
          <w:rFonts w:asciiTheme="majorHAnsi" w:hAnsiTheme="majorHAnsi" w:cstheme="minorHAnsi"/>
        </w:rPr>
      </w:pPr>
      <w:r w:rsidRPr="00EB3788">
        <w:rPr>
          <w:rFonts w:asciiTheme="majorHAnsi" w:hAnsiTheme="majorHAnsi" w:cstheme="minorHAnsi"/>
        </w:rPr>
        <w:t xml:space="preserve">Each vial contains cefiderocol sulfate </w:t>
      </w:r>
      <w:proofErr w:type="spellStart"/>
      <w:r w:rsidRPr="00EB3788">
        <w:rPr>
          <w:rFonts w:asciiTheme="majorHAnsi" w:hAnsiTheme="majorHAnsi" w:cstheme="minorHAnsi"/>
        </w:rPr>
        <w:t>tos</w:t>
      </w:r>
      <w:r w:rsidR="00DF7BE5" w:rsidRPr="00EB3788">
        <w:rPr>
          <w:rFonts w:asciiTheme="majorHAnsi" w:hAnsiTheme="majorHAnsi" w:cstheme="minorHAnsi" w:hint="eastAsia"/>
          <w:lang w:eastAsia="ja-JP"/>
        </w:rPr>
        <w:t>i</w:t>
      </w:r>
      <w:r w:rsidRPr="00EB3788">
        <w:rPr>
          <w:rFonts w:asciiTheme="majorHAnsi" w:hAnsiTheme="majorHAnsi" w:cstheme="minorHAnsi"/>
        </w:rPr>
        <w:t>late</w:t>
      </w:r>
      <w:proofErr w:type="spellEnd"/>
      <w:r w:rsidRPr="00EB3788">
        <w:rPr>
          <w:rFonts w:asciiTheme="majorHAnsi" w:hAnsiTheme="majorHAnsi" w:cstheme="minorHAnsi"/>
        </w:rPr>
        <w:t xml:space="preserve"> equivalent to 1 g of cefiderocol. </w:t>
      </w:r>
    </w:p>
    <w:p w14:paraId="2A7B6713" w14:textId="535697EC" w:rsidR="005B2812" w:rsidRPr="00EB3788" w:rsidRDefault="005B2812" w:rsidP="00446C37">
      <w:pPr>
        <w:rPr>
          <w:rFonts w:asciiTheme="majorHAnsi" w:hAnsiTheme="majorHAnsi" w:cstheme="minorHAnsi"/>
        </w:rPr>
      </w:pPr>
      <w:r w:rsidRPr="00EB3788">
        <w:rPr>
          <w:rFonts w:asciiTheme="majorHAnsi" w:hAnsiTheme="majorHAnsi" w:cstheme="minorHAnsi"/>
        </w:rPr>
        <w:t xml:space="preserve">For the full list of excipients, see </w:t>
      </w:r>
      <w:hyperlink w:anchor="_List_of_excipients" w:history="1">
        <w:r w:rsidRPr="00EB3788">
          <w:rPr>
            <w:rStyle w:val="Hyperlink"/>
            <w:rFonts w:asciiTheme="majorHAnsi" w:hAnsiTheme="majorHAnsi" w:cstheme="minorHAnsi"/>
            <w:u w:val="none"/>
          </w:rPr>
          <w:t>Section 6.1 List of excipients</w:t>
        </w:r>
      </w:hyperlink>
      <w:r w:rsidRPr="00EB3788">
        <w:rPr>
          <w:rFonts w:asciiTheme="majorHAnsi" w:hAnsiTheme="majorHAnsi" w:cstheme="minorHAnsi"/>
        </w:rPr>
        <w:t xml:space="preserve">. </w:t>
      </w:r>
    </w:p>
    <w:p w14:paraId="5B2DFFFE" w14:textId="77777777" w:rsidR="001A3992" w:rsidRPr="00EB3788" w:rsidRDefault="001A3992" w:rsidP="00446C37">
      <w:pPr>
        <w:pStyle w:val="Heading1"/>
        <w:spacing w:before="0" w:after="120"/>
      </w:pPr>
      <w:r w:rsidRPr="00EB3788">
        <w:t>Pharmaceutical form</w:t>
      </w:r>
    </w:p>
    <w:p w14:paraId="7A63726D" w14:textId="69827B35" w:rsidR="0025106A" w:rsidRPr="00EB3788" w:rsidRDefault="2F1B0B77" w:rsidP="00446C37">
      <w:pPr>
        <w:rPr>
          <w:rFonts w:asciiTheme="majorHAnsi" w:hAnsiTheme="majorHAnsi"/>
        </w:rPr>
      </w:pPr>
      <w:r w:rsidRPr="00EB3788">
        <w:rPr>
          <w:rFonts w:asciiTheme="majorHAnsi" w:hAnsiTheme="majorHAnsi"/>
        </w:rPr>
        <w:t>Powder for injection for infusion.</w:t>
      </w:r>
    </w:p>
    <w:p w14:paraId="6BA86959" w14:textId="51F3C897" w:rsidR="00DF7281" w:rsidRPr="00EB3788" w:rsidRDefault="00DF7281" w:rsidP="00446C37">
      <w:pPr>
        <w:rPr>
          <w:rFonts w:asciiTheme="majorHAnsi" w:hAnsiTheme="majorHAnsi"/>
        </w:rPr>
      </w:pPr>
      <w:r w:rsidRPr="00EB3788">
        <w:rPr>
          <w:rFonts w:asciiTheme="majorHAnsi" w:hAnsiTheme="majorHAnsi"/>
        </w:rPr>
        <w:t>White to off-white powder.</w:t>
      </w:r>
    </w:p>
    <w:p w14:paraId="0EC2A70A" w14:textId="77777777" w:rsidR="001A3992" w:rsidRPr="00EB3788" w:rsidRDefault="001A3992" w:rsidP="00446C37">
      <w:pPr>
        <w:pStyle w:val="Heading1"/>
        <w:spacing w:before="0" w:after="120"/>
      </w:pPr>
      <w:r w:rsidRPr="00EB3788">
        <w:t>Clinical particulars</w:t>
      </w:r>
    </w:p>
    <w:p w14:paraId="5C8EF675" w14:textId="77777777" w:rsidR="001A3992" w:rsidRPr="00EB3788" w:rsidRDefault="001A3992" w:rsidP="00446C37">
      <w:pPr>
        <w:pStyle w:val="Heading2"/>
        <w:spacing w:before="0" w:after="120"/>
      </w:pPr>
      <w:r w:rsidRPr="00EB3788">
        <w:t xml:space="preserve">Therapeutic indications </w:t>
      </w:r>
    </w:p>
    <w:p w14:paraId="0E25E0DB" w14:textId="14A69354" w:rsidR="0004557C" w:rsidRPr="00EB3788" w:rsidRDefault="00F27734" w:rsidP="00446C37">
      <w:pPr>
        <w:rPr>
          <w:rFonts w:asciiTheme="majorHAnsi" w:hAnsiTheme="majorHAnsi" w:cs="Times New Roman"/>
        </w:rPr>
      </w:pPr>
      <w:bookmarkStart w:id="0" w:name="_Hlk169522089"/>
      <w:r w:rsidRPr="00EB3788">
        <w:rPr>
          <w:rFonts w:asciiTheme="majorHAnsi" w:hAnsiTheme="majorHAnsi" w:cs="Times New Roman"/>
        </w:rPr>
        <w:t xml:space="preserve">Fetroja is indicated for the treatment of infections due to </w:t>
      </w:r>
      <w:r w:rsidR="00A44521" w:rsidRPr="00BE77DE">
        <w:rPr>
          <w:rFonts w:asciiTheme="majorHAnsi" w:hAnsiTheme="majorHAnsi" w:cs="Times New Roman"/>
        </w:rPr>
        <w:t xml:space="preserve">proven or strongly suspected carbapenem-resistant </w:t>
      </w:r>
      <w:r w:rsidRPr="00EB3788">
        <w:rPr>
          <w:rFonts w:asciiTheme="majorHAnsi" w:hAnsiTheme="majorHAnsi" w:cs="Times New Roman"/>
        </w:rPr>
        <w:t>aerobic Gram-negative organisms in adults with limited treatment options</w:t>
      </w:r>
      <w:r w:rsidR="002E071D" w:rsidRPr="00EB3788">
        <w:rPr>
          <w:rFonts w:asciiTheme="majorHAnsi" w:hAnsiTheme="majorHAnsi" w:cs="Times New Roman"/>
        </w:rPr>
        <w:t>, noting the spectrum of activity of cefiderocol and clinical data</w:t>
      </w:r>
      <w:r w:rsidRPr="00EB3788">
        <w:rPr>
          <w:rFonts w:asciiTheme="majorHAnsi" w:hAnsiTheme="majorHAnsi" w:cs="Times New Roman"/>
        </w:rPr>
        <w:t xml:space="preserve"> </w:t>
      </w:r>
      <w:r w:rsidR="0035627C" w:rsidRPr="00EB3788">
        <w:rPr>
          <w:rFonts w:asciiTheme="majorHAnsi" w:hAnsiTheme="majorHAnsi" w:cs="Times New Roman"/>
        </w:rPr>
        <w:t>(</w:t>
      </w:r>
      <w:hyperlink w:anchor="_Pharmacodynamic_properties" w:history="1">
        <w:r w:rsidR="0035627C" w:rsidRPr="00EB3788">
          <w:rPr>
            <w:rStyle w:val="Hyperlink"/>
            <w:rFonts w:asciiTheme="majorHAnsi" w:hAnsiTheme="majorHAnsi"/>
            <w:u w:val="none"/>
          </w:rPr>
          <w:t>Section 5.1</w:t>
        </w:r>
      </w:hyperlink>
      <w:r w:rsidR="0035627C" w:rsidRPr="00EB3788">
        <w:rPr>
          <w:rFonts w:asciiTheme="majorHAnsi" w:hAnsiTheme="majorHAnsi" w:cs="Times New Roman"/>
          <w:color w:val="0000EE"/>
        </w:rPr>
        <w:t xml:space="preserve"> </w:t>
      </w:r>
      <w:r w:rsidR="0035627C" w:rsidRPr="00EB3788">
        <w:rPr>
          <w:rFonts w:asciiTheme="majorHAnsi" w:hAnsiTheme="majorHAnsi" w:cs="Times New Roman"/>
          <w:color w:val="0000EE"/>
        </w:rPr>
        <w:fldChar w:fldCharType="begin" w:fldLock="1"/>
      </w:r>
      <w:r w:rsidR="0035627C" w:rsidRPr="00EB3788">
        <w:rPr>
          <w:rFonts w:asciiTheme="majorHAnsi" w:hAnsiTheme="majorHAnsi" w:cs="Times New Roman"/>
          <w:color w:val="0000EE"/>
        </w:rPr>
        <w:instrText xml:space="preserve"> REF _Ref176175153 \h  \* MERGEFORMAT </w:instrText>
      </w:r>
      <w:r w:rsidR="0035627C" w:rsidRPr="00EB3788">
        <w:rPr>
          <w:rFonts w:asciiTheme="majorHAnsi" w:hAnsiTheme="majorHAnsi" w:cs="Times New Roman"/>
          <w:color w:val="0000EE"/>
        </w:rPr>
      </w:r>
      <w:r w:rsidR="0035627C" w:rsidRPr="00EB3788">
        <w:rPr>
          <w:rFonts w:asciiTheme="majorHAnsi" w:hAnsiTheme="majorHAnsi" w:cs="Times New Roman"/>
          <w:color w:val="0000EE"/>
        </w:rPr>
        <w:fldChar w:fldCharType="separate"/>
      </w:r>
      <w:r w:rsidR="0035627C" w:rsidRPr="00EB3788">
        <w:rPr>
          <w:rFonts w:asciiTheme="majorHAnsi" w:hAnsiTheme="majorHAnsi"/>
          <w:color w:val="0000EE"/>
        </w:rPr>
        <w:t>Pharmacodynamic properties</w:t>
      </w:r>
      <w:r w:rsidR="0035627C" w:rsidRPr="00EB3788">
        <w:rPr>
          <w:rFonts w:asciiTheme="majorHAnsi" w:hAnsiTheme="majorHAnsi" w:cs="Times New Roman"/>
          <w:color w:val="0000EE"/>
        </w:rPr>
        <w:fldChar w:fldCharType="end"/>
      </w:r>
      <w:r w:rsidR="0035627C" w:rsidRPr="004664E6">
        <w:rPr>
          <w:rFonts w:asciiTheme="majorHAnsi" w:hAnsiTheme="majorHAnsi" w:cs="Times New Roman"/>
          <w:color w:val="000000" w:themeColor="text1"/>
        </w:rPr>
        <w:t>)</w:t>
      </w:r>
      <w:r w:rsidR="0035627C" w:rsidRPr="00EB3788">
        <w:rPr>
          <w:rFonts w:asciiTheme="majorHAnsi" w:hAnsiTheme="majorHAnsi" w:cs="Times New Roman"/>
        </w:rPr>
        <w:t xml:space="preserve"> </w:t>
      </w:r>
      <w:r w:rsidR="007F13BF" w:rsidRPr="00EB3788">
        <w:rPr>
          <w:rFonts w:asciiTheme="majorHAnsi" w:hAnsiTheme="majorHAnsi" w:cs="Times New Roman"/>
        </w:rPr>
        <w:t xml:space="preserve">and special warnings </w:t>
      </w:r>
      <w:r w:rsidRPr="00EB3788">
        <w:rPr>
          <w:rFonts w:asciiTheme="majorHAnsi" w:hAnsiTheme="majorHAnsi" w:cs="Times New Roman"/>
        </w:rPr>
        <w:t>(</w:t>
      </w:r>
      <w:hyperlink w:anchor="_Special_warnings_and" w:history="1">
        <w:r w:rsidR="00C8163F" w:rsidRPr="00EB3788">
          <w:rPr>
            <w:rStyle w:val="Hyperlink"/>
            <w:rFonts w:asciiTheme="majorHAnsi" w:hAnsiTheme="majorHAnsi"/>
            <w:u w:val="none"/>
          </w:rPr>
          <w:t>Section</w:t>
        </w:r>
        <w:r w:rsidRPr="00EB3788">
          <w:rPr>
            <w:rStyle w:val="Hyperlink"/>
            <w:rFonts w:asciiTheme="majorHAnsi" w:hAnsiTheme="majorHAnsi"/>
            <w:u w:val="none"/>
          </w:rPr>
          <w:t xml:space="preserve"> 4.4</w:t>
        </w:r>
      </w:hyperlink>
      <w:r w:rsidR="00C8163F" w:rsidRPr="00EB3788">
        <w:rPr>
          <w:rFonts w:asciiTheme="majorHAnsi" w:hAnsiTheme="majorHAnsi" w:cs="Times New Roman"/>
          <w:color w:val="0000EE"/>
        </w:rPr>
        <w:t xml:space="preserve"> </w:t>
      </w:r>
      <w:r w:rsidR="00C8163F" w:rsidRPr="00EB3788">
        <w:rPr>
          <w:rFonts w:asciiTheme="majorHAnsi" w:hAnsiTheme="majorHAnsi" w:cs="Times New Roman"/>
          <w:color w:val="0000EE"/>
        </w:rPr>
        <w:fldChar w:fldCharType="begin" w:fldLock="1"/>
      </w:r>
      <w:r w:rsidR="00C8163F" w:rsidRPr="00EB3788">
        <w:rPr>
          <w:rFonts w:asciiTheme="majorHAnsi" w:hAnsiTheme="majorHAnsi" w:cs="Times New Roman"/>
          <w:color w:val="0000EE"/>
        </w:rPr>
        <w:instrText xml:space="preserve"> REF _Ref176175130 \h </w:instrText>
      </w:r>
      <w:r w:rsidR="00522E64" w:rsidRPr="00EB3788">
        <w:rPr>
          <w:rFonts w:asciiTheme="majorHAnsi" w:hAnsiTheme="majorHAnsi" w:cs="Times New Roman"/>
          <w:color w:val="0000EE"/>
        </w:rPr>
        <w:instrText xml:space="preserve"> \* MERGEFORMAT </w:instrText>
      </w:r>
      <w:r w:rsidR="00C8163F" w:rsidRPr="00EB3788">
        <w:rPr>
          <w:rFonts w:asciiTheme="majorHAnsi" w:hAnsiTheme="majorHAnsi" w:cs="Times New Roman"/>
          <w:color w:val="0000EE"/>
        </w:rPr>
      </w:r>
      <w:r w:rsidR="00C8163F" w:rsidRPr="00EB3788">
        <w:rPr>
          <w:rFonts w:asciiTheme="majorHAnsi" w:hAnsiTheme="majorHAnsi" w:cs="Times New Roman"/>
          <w:color w:val="0000EE"/>
        </w:rPr>
        <w:fldChar w:fldCharType="separate"/>
      </w:r>
      <w:r w:rsidR="00425866" w:rsidRPr="00EB3788">
        <w:rPr>
          <w:rFonts w:asciiTheme="majorHAnsi" w:hAnsiTheme="majorHAnsi"/>
          <w:color w:val="0000EE"/>
        </w:rPr>
        <w:t>Special warnings and precautions for use</w:t>
      </w:r>
      <w:r w:rsidR="00C8163F" w:rsidRPr="00EB3788">
        <w:rPr>
          <w:rFonts w:asciiTheme="majorHAnsi" w:hAnsiTheme="majorHAnsi" w:cs="Times New Roman"/>
          <w:color w:val="0000EE"/>
        </w:rPr>
        <w:fldChar w:fldCharType="end"/>
      </w:r>
      <w:r w:rsidRPr="00EB3788">
        <w:rPr>
          <w:rFonts w:asciiTheme="majorHAnsi" w:hAnsiTheme="majorHAnsi" w:cs="Times New Roman"/>
        </w:rPr>
        <w:t>)</w:t>
      </w:r>
      <w:r w:rsidR="008D0B85" w:rsidRPr="00EB3788">
        <w:rPr>
          <w:rFonts w:asciiTheme="majorHAnsi" w:hAnsiTheme="majorHAnsi" w:cs="Times New Roman"/>
        </w:rPr>
        <w:t>:</w:t>
      </w:r>
    </w:p>
    <w:p w14:paraId="1A7FE7FD" w14:textId="77777777" w:rsidR="00846AD2" w:rsidRPr="00EB3788" w:rsidRDefault="00846AD2" w:rsidP="00446C37">
      <w:pPr>
        <w:spacing w:after="0"/>
        <w:rPr>
          <w:rFonts w:asciiTheme="majorHAnsi" w:hAnsiTheme="majorHAnsi" w:cs="Times New Roman"/>
          <w:lang w:eastAsia="ja-JP"/>
        </w:rPr>
      </w:pPr>
      <w:r w:rsidRPr="00EB3788">
        <w:rPr>
          <w:rFonts w:asciiTheme="majorHAnsi" w:hAnsiTheme="majorHAnsi" w:cs="Times New Roman"/>
          <w:lang w:eastAsia="ja-JP"/>
        </w:rPr>
        <w:t>Complicated urinary tract infections (</w:t>
      </w:r>
      <w:proofErr w:type="spellStart"/>
      <w:r w:rsidRPr="00EB3788">
        <w:rPr>
          <w:rFonts w:asciiTheme="majorHAnsi" w:hAnsiTheme="majorHAnsi" w:cs="Times New Roman"/>
          <w:lang w:eastAsia="ja-JP"/>
        </w:rPr>
        <w:t>cUTIs</w:t>
      </w:r>
      <w:proofErr w:type="spellEnd"/>
      <w:r w:rsidRPr="00EB3788">
        <w:rPr>
          <w:rFonts w:asciiTheme="majorHAnsi" w:hAnsiTheme="majorHAnsi" w:cs="Times New Roman"/>
          <w:lang w:eastAsia="ja-JP"/>
        </w:rPr>
        <w:t>), including pyelonephritis</w:t>
      </w:r>
    </w:p>
    <w:p w14:paraId="5A0FFCC8" w14:textId="37F396EC" w:rsidR="008D0B85" w:rsidRPr="00EB3788" w:rsidRDefault="00846AD2" w:rsidP="00446C37">
      <w:pPr>
        <w:spacing w:after="0"/>
        <w:rPr>
          <w:rFonts w:asciiTheme="majorHAnsi" w:hAnsiTheme="majorHAnsi" w:cs="Times New Roman"/>
          <w:lang w:eastAsia="ja-JP"/>
        </w:rPr>
      </w:pPr>
      <w:r w:rsidRPr="00EB3788">
        <w:rPr>
          <w:rFonts w:asciiTheme="majorHAnsi" w:hAnsiTheme="majorHAnsi" w:cs="Times New Roman"/>
          <w:lang w:eastAsia="ja-JP"/>
        </w:rPr>
        <w:t>Hospital-acquired bacterial pneumonia and ventilator-associated bacterial pneumonia</w:t>
      </w:r>
    </w:p>
    <w:p w14:paraId="4C447F87" w14:textId="77777777" w:rsidR="00846AD2" w:rsidRPr="00EB3788" w:rsidRDefault="00846AD2" w:rsidP="00446C37">
      <w:pPr>
        <w:spacing w:after="0"/>
        <w:rPr>
          <w:rFonts w:asciiTheme="majorHAnsi" w:hAnsiTheme="majorHAnsi" w:cs="Times New Roman"/>
          <w:lang w:eastAsia="ja-JP"/>
        </w:rPr>
      </w:pPr>
    </w:p>
    <w:p w14:paraId="27756231" w14:textId="5B056203" w:rsidR="002938A1" w:rsidRPr="00EB3788" w:rsidRDefault="00F27734" w:rsidP="00446C37">
      <w:pPr>
        <w:rPr>
          <w:rFonts w:asciiTheme="majorHAnsi" w:hAnsiTheme="majorHAnsi" w:cs="Times New Roman"/>
          <w:lang w:eastAsia="ja-JP"/>
        </w:rPr>
      </w:pPr>
      <w:r w:rsidRPr="00EB3788">
        <w:rPr>
          <w:rFonts w:asciiTheme="majorHAnsi" w:hAnsiTheme="majorHAnsi" w:cs="Times New Roman"/>
        </w:rPr>
        <w:t xml:space="preserve">Consideration should be given to official guidance on the appropriate use of antibacterial agents. </w:t>
      </w:r>
      <w:bookmarkEnd w:id="0"/>
      <w:r w:rsidR="002938A1" w:rsidRPr="00EB3788">
        <w:rPr>
          <w:rFonts w:asciiTheme="majorHAnsi" w:hAnsiTheme="majorHAnsi" w:cs="Times New Roman"/>
          <w:lang w:eastAsia="ja-JP"/>
        </w:rPr>
        <w:t>It is recommended that Fetroja should be used after consultation with a physician with appropriate experience in the management of infectious diseases.</w:t>
      </w:r>
    </w:p>
    <w:p w14:paraId="7391DFCF" w14:textId="77777777" w:rsidR="001A3992" w:rsidRPr="00EB3788" w:rsidRDefault="7C288D4E" w:rsidP="00446C37">
      <w:pPr>
        <w:pStyle w:val="Heading2"/>
        <w:spacing w:before="0" w:after="120"/>
      </w:pPr>
      <w:bookmarkStart w:id="1" w:name="_Dose_and_method"/>
      <w:bookmarkStart w:id="2" w:name="_Ref171513418"/>
      <w:bookmarkEnd w:id="1"/>
      <w:r w:rsidRPr="00EB3788">
        <w:t>Dose and method of administration</w:t>
      </w:r>
      <w:bookmarkEnd w:id="2"/>
      <w:r w:rsidRPr="00EB3788">
        <w:t xml:space="preserve"> </w:t>
      </w:r>
    </w:p>
    <w:p w14:paraId="582CEF21" w14:textId="37AF11E0" w:rsidR="001320AC" w:rsidRPr="00EB3788" w:rsidRDefault="2ACD03BC" w:rsidP="00446C37">
      <w:pPr>
        <w:rPr>
          <w:rFonts w:asciiTheme="majorHAnsi" w:hAnsiTheme="majorHAnsi"/>
        </w:rPr>
      </w:pPr>
      <w:r w:rsidRPr="00EB3788">
        <w:rPr>
          <w:rFonts w:asciiTheme="majorHAnsi" w:hAnsiTheme="majorHAnsi"/>
        </w:rPr>
        <w:t>The recommended dosage for adults is 2 g of cefiderocol administered every 8 hours by intravenous (IV) infusion over a 3-hour period. The dosage may be adjusted according to the patient's renal function. The recommended duration of treatment is 7 to 14 days. The duration of therapy should be guided by the patient’s clinical status.</w:t>
      </w:r>
    </w:p>
    <w:p w14:paraId="39C939C2" w14:textId="7B42DEDB" w:rsidR="00C50496" w:rsidRPr="00EB3788" w:rsidRDefault="00505DB1" w:rsidP="00446C37">
      <w:pPr>
        <w:pStyle w:val="Heading3"/>
        <w:ind w:left="0"/>
      </w:pPr>
      <w:r w:rsidRPr="00EB3788">
        <w:lastRenderedPageBreak/>
        <w:t>Special populations</w:t>
      </w:r>
    </w:p>
    <w:p w14:paraId="107E2926" w14:textId="0084076A" w:rsidR="00ED343F" w:rsidRPr="00EB3788" w:rsidRDefault="52CFF612" w:rsidP="00446C37">
      <w:pPr>
        <w:pStyle w:val="Heading4"/>
        <w:numPr>
          <w:ilvl w:val="0"/>
          <w:numId w:val="0"/>
        </w:numPr>
        <w:ind w:left="864" w:hanging="864"/>
        <w:rPr>
          <w:color w:val="auto"/>
        </w:rPr>
      </w:pPr>
      <w:r w:rsidRPr="00EB3788">
        <w:rPr>
          <w:color w:val="auto"/>
        </w:rPr>
        <w:t xml:space="preserve">Renal </w:t>
      </w:r>
      <w:r w:rsidR="0070551A" w:rsidRPr="00EB3788">
        <w:rPr>
          <w:rFonts w:hint="eastAsia"/>
          <w:color w:val="auto"/>
          <w:lang w:eastAsia="ja-JP"/>
        </w:rPr>
        <w:t>i</w:t>
      </w:r>
      <w:r w:rsidRPr="00EB3788">
        <w:rPr>
          <w:color w:val="auto"/>
        </w:rPr>
        <w:t>mpairment</w:t>
      </w:r>
    </w:p>
    <w:p w14:paraId="68DC3868" w14:textId="2D91E5C9" w:rsidR="008B0595" w:rsidRPr="00EB3788" w:rsidRDefault="008B0595" w:rsidP="00446C37">
      <w:pPr>
        <w:spacing w:before="240"/>
        <w:rPr>
          <w:rFonts w:asciiTheme="majorHAnsi" w:hAnsiTheme="majorHAnsi"/>
          <w:lang w:bidi="en-US"/>
        </w:rPr>
      </w:pPr>
      <w:r w:rsidRPr="00EB3788">
        <w:rPr>
          <w:rFonts w:asciiTheme="majorHAnsi" w:hAnsiTheme="majorHAnsi"/>
          <w:lang w:bidi="en-US"/>
        </w:rPr>
        <w:t>Cefiderocol is renally excreted, and high plasma cefiderocol concentrations may be sustained in patients with renal impairment. Dose reduction or other modifications should be considered for patients with renal impairment (CrCl &lt;60 mL/min). In patients with haemodialysis, approximately 60% of cefiderocol in plasma was eliminated by a 3- to 4-hour haemodialysis session.</w:t>
      </w:r>
    </w:p>
    <w:p w14:paraId="2546ACDC" w14:textId="7C8B33A6" w:rsidR="000103F7" w:rsidRPr="00EB3788" w:rsidRDefault="006F6042" w:rsidP="00446C37">
      <w:pPr>
        <w:spacing w:before="240"/>
        <w:rPr>
          <w:rFonts w:asciiTheme="majorHAnsi" w:hAnsiTheme="majorHAnsi"/>
          <w:color w:val="0000EE"/>
        </w:rPr>
      </w:pPr>
      <w:r w:rsidRPr="00EB3788">
        <w:rPr>
          <w:rFonts w:asciiTheme="majorHAnsi" w:hAnsiTheme="majorHAnsi"/>
        </w:rPr>
        <w:t xml:space="preserve">For patients with renal impairment, the dosage and administration should be adjusted in accordance with the criteria described </w:t>
      </w:r>
      <w:r w:rsidR="000103F7" w:rsidRPr="00EB3788">
        <w:rPr>
          <w:rFonts w:asciiTheme="majorHAnsi" w:hAnsiTheme="majorHAnsi"/>
        </w:rPr>
        <w:t xml:space="preserve">in </w:t>
      </w:r>
      <w:r w:rsidR="000103F7" w:rsidRPr="00EB3788">
        <w:rPr>
          <w:rFonts w:asciiTheme="majorHAnsi" w:hAnsiTheme="majorHAnsi"/>
          <w:color w:val="0000EE"/>
        </w:rPr>
        <w:fldChar w:fldCharType="begin" w:fldLock="1"/>
      </w:r>
      <w:r w:rsidR="000103F7" w:rsidRPr="00EB3788">
        <w:rPr>
          <w:rFonts w:asciiTheme="majorHAnsi" w:hAnsiTheme="majorHAnsi"/>
          <w:color w:val="0000EE"/>
        </w:rPr>
        <w:instrText xml:space="preserve"> REF _Ref171080670 \h  \* MERGEFORMAT </w:instrText>
      </w:r>
      <w:r w:rsidR="000103F7" w:rsidRPr="00EB3788">
        <w:rPr>
          <w:rFonts w:asciiTheme="majorHAnsi" w:hAnsiTheme="majorHAnsi"/>
          <w:color w:val="0000EE"/>
        </w:rPr>
      </w:r>
      <w:r w:rsidR="000103F7" w:rsidRPr="00EB3788">
        <w:rPr>
          <w:rFonts w:asciiTheme="majorHAnsi" w:hAnsiTheme="majorHAnsi"/>
          <w:color w:val="0000EE"/>
        </w:rPr>
        <w:fldChar w:fldCharType="separate"/>
      </w:r>
      <w:r w:rsidR="00425866" w:rsidRPr="00EB3788">
        <w:rPr>
          <w:rFonts w:asciiTheme="majorHAnsi" w:hAnsiTheme="majorHAnsi"/>
          <w:color w:val="0000EE"/>
        </w:rPr>
        <w:t>Table 1</w:t>
      </w:r>
      <w:r w:rsidR="000103F7" w:rsidRPr="00EB3788">
        <w:rPr>
          <w:rFonts w:asciiTheme="majorHAnsi" w:hAnsiTheme="majorHAnsi"/>
          <w:color w:val="0000EE"/>
        </w:rPr>
        <w:fldChar w:fldCharType="end"/>
      </w:r>
      <w:r w:rsidR="00E50DA6" w:rsidRPr="00EB3788">
        <w:rPr>
          <w:rFonts w:asciiTheme="majorHAnsi" w:hAnsiTheme="majorHAnsi"/>
        </w:rPr>
        <w:t>,</w:t>
      </w:r>
      <w:r w:rsidR="00FE124F" w:rsidRPr="00EB3788">
        <w:rPr>
          <w:rFonts w:asciiTheme="majorHAnsi" w:hAnsiTheme="majorHAnsi"/>
        </w:rPr>
        <w:t xml:space="preserve"> </w:t>
      </w:r>
      <w:r w:rsidR="00321DBA" w:rsidRPr="00EB3788">
        <w:rPr>
          <w:rFonts w:asciiTheme="majorHAnsi" w:hAnsiTheme="majorHAnsi"/>
          <w:color w:val="0000EE"/>
        </w:rPr>
        <w:fldChar w:fldCharType="begin" w:fldLock="1"/>
      </w:r>
      <w:r w:rsidR="00321DBA" w:rsidRPr="00EB3788">
        <w:rPr>
          <w:rFonts w:asciiTheme="majorHAnsi" w:hAnsiTheme="majorHAnsi"/>
          <w:color w:val="0000EE"/>
        </w:rPr>
        <w:instrText xml:space="preserve"> REF _Ref197090003 \h  \* MERGEFORMAT </w:instrText>
      </w:r>
      <w:r w:rsidR="00321DBA" w:rsidRPr="00EB3788">
        <w:rPr>
          <w:rFonts w:asciiTheme="majorHAnsi" w:hAnsiTheme="majorHAnsi"/>
          <w:color w:val="0000EE"/>
        </w:rPr>
      </w:r>
      <w:r w:rsidR="00321DBA" w:rsidRPr="00EB3788">
        <w:rPr>
          <w:rFonts w:asciiTheme="majorHAnsi" w:hAnsiTheme="majorHAnsi"/>
          <w:color w:val="0000EE"/>
        </w:rPr>
        <w:fldChar w:fldCharType="separate"/>
      </w:r>
      <w:r w:rsidR="00321DBA" w:rsidRPr="00EB3788">
        <w:rPr>
          <w:rFonts w:asciiTheme="majorHAnsi" w:hAnsiTheme="majorHAnsi"/>
          <w:bCs/>
          <w:color w:val="0000EE"/>
        </w:rPr>
        <w:t xml:space="preserve">Table </w:t>
      </w:r>
      <w:r w:rsidR="00321DBA" w:rsidRPr="004664E6">
        <w:rPr>
          <w:rFonts w:asciiTheme="majorHAnsi" w:hAnsiTheme="majorHAnsi"/>
          <w:bCs/>
          <w:color w:val="0000EE"/>
        </w:rPr>
        <w:t>2</w:t>
      </w:r>
      <w:r w:rsidR="00321DBA" w:rsidRPr="00EB3788">
        <w:rPr>
          <w:rFonts w:asciiTheme="majorHAnsi" w:hAnsiTheme="majorHAnsi"/>
          <w:color w:val="0000EE"/>
        </w:rPr>
        <w:fldChar w:fldCharType="end"/>
      </w:r>
      <w:r w:rsidR="00321DBA" w:rsidRPr="00EB3788">
        <w:rPr>
          <w:rFonts w:asciiTheme="majorHAnsi" w:hAnsiTheme="majorHAnsi"/>
        </w:rPr>
        <w:t xml:space="preserve"> </w:t>
      </w:r>
      <w:r w:rsidR="00E50DA6" w:rsidRPr="00EB3788">
        <w:rPr>
          <w:rFonts w:asciiTheme="majorHAnsi" w:hAnsiTheme="majorHAnsi"/>
        </w:rPr>
        <w:t>and</w:t>
      </w:r>
      <w:r w:rsidR="00E50DA6" w:rsidRPr="00EB3788">
        <w:rPr>
          <w:rFonts w:asciiTheme="majorHAnsi" w:hAnsiTheme="majorHAnsi"/>
          <w:color w:val="0000EE"/>
        </w:rPr>
        <w:t xml:space="preserve"> </w:t>
      </w:r>
      <w:r w:rsidR="00E50DA6" w:rsidRPr="00EB3788">
        <w:rPr>
          <w:rFonts w:asciiTheme="majorHAnsi" w:hAnsiTheme="majorHAnsi"/>
          <w:color w:val="0000EE"/>
        </w:rPr>
        <w:fldChar w:fldCharType="begin" w:fldLock="1"/>
      </w:r>
      <w:r w:rsidR="00E50DA6" w:rsidRPr="00EB3788">
        <w:rPr>
          <w:rFonts w:asciiTheme="majorHAnsi" w:hAnsiTheme="majorHAnsi"/>
          <w:color w:val="0000EE"/>
        </w:rPr>
        <w:instrText xml:space="preserve"> REF _Ref171081381 \h </w:instrText>
      </w:r>
      <w:r w:rsidR="0077011A" w:rsidRPr="00EB3788">
        <w:rPr>
          <w:rFonts w:asciiTheme="majorHAnsi" w:hAnsiTheme="majorHAnsi"/>
          <w:color w:val="0000EE"/>
        </w:rPr>
        <w:instrText xml:space="preserve"> \* MERGEFORMAT </w:instrText>
      </w:r>
      <w:r w:rsidR="00E50DA6" w:rsidRPr="00EB3788">
        <w:rPr>
          <w:rFonts w:asciiTheme="majorHAnsi" w:hAnsiTheme="majorHAnsi"/>
          <w:color w:val="0000EE"/>
        </w:rPr>
      </w:r>
      <w:r w:rsidR="00E50DA6" w:rsidRPr="00EB3788">
        <w:rPr>
          <w:rFonts w:asciiTheme="majorHAnsi" w:hAnsiTheme="majorHAnsi"/>
          <w:color w:val="0000EE"/>
        </w:rPr>
        <w:fldChar w:fldCharType="separate"/>
      </w:r>
      <w:r w:rsidR="00425866" w:rsidRPr="00EB3788">
        <w:rPr>
          <w:rFonts w:asciiTheme="majorHAnsi" w:hAnsiTheme="majorHAnsi"/>
          <w:color w:val="0000EE"/>
        </w:rPr>
        <w:t>Table 3</w:t>
      </w:r>
      <w:r w:rsidR="00E50DA6" w:rsidRPr="00EB3788">
        <w:rPr>
          <w:rFonts w:asciiTheme="majorHAnsi" w:hAnsiTheme="majorHAnsi"/>
          <w:color w:val="0000EE"/>
        </w:rPr>
        <w:fldChar w:fldCharType="end"/>
      </w:r>
      <w:r w:rsidR="00E65B1F" w:rsidRPr="00EB3788">
        <w:rPr>
          <w:rFonts w:asciiTheme="majorHAnsi" w:hAnsiTheme="majorHAnsi"/>
        </w:rPr>
        <w:t>.</w:t>
      </w:r>
    </w:p>
    <w:p w14:paraId="179D7843" w14:textId="649B4D2B" w:rsidR="00437CD4" w:rsidRPr="00EB3788" w:rsidRDefault="52CFF612" w:rsidP="00446C37">
      <w:pPr>
        <w:rPr>
          <w:rFonts w:asciiTheme="majorHAnsi" w:hAnsiTheme="majorHAnsi"/>
          <w:bCs/>
        </w:rPr>
      </w:pPr>
      <w:bookmarkStart w:id="3" w:name="_Ref171080670"/>
      <w:r w:rsidRPr="00EB3788">
        <w:rPr>
          <w:rFonts w:asciiTheme="majorHAnsi" w:hAnsiTheme="majorHAnsi"/>
          <w:b/>
          <w:bCs/>
        </w:rPr>
        <w:t xml:space="preserve">Table </w:t>
      </w:r>
      <w:r w:rsidR="00B53B79" w:rsidRPr="00EB3788">
        <w:rPr>
          <w:rFonts w:asciiTheme="majorHAnsi" w:hAnsiTheme="majorHAnsi"/>
          <w:b/>
          <w:bCs/>
        </w:rPr>
        <w:fldChar w:fldCharType="begin"/>
      </w:r>
      <w:r w:rsidR="00B53B79" w:rsidRPr="00EB3788">
        <w:rPr>
          <w:rFonts w:asciiTheme="majorHAnsi" w:hAnsiTheme="majorHAnsi"/>
          <w:b/>
          <w:bCs/>
        </w:rPr>
        <w:instrText xml:space="preserve"> SEQ Table \* ARABIC </w:instrText>
      </w:r>
      <w:r w:rsidR="00B53B79" w:rsidRPr="00EB3788">
        <w:rPr>
          <w:rFonts w:asciiTheme="majorHAnsi" w:hAnsiTheme="majorHAnsi"/>
          <w:b/>
          <w:bCs/>
        </w:rPr>
        <w:fldChar w:fldCharType="separate"/>
      </w:r>
      <w:r w:rsidR="001E66F2" w:rsidRPr="004664E6">
        <w:rPr>
          <w:rFonts w:asciiTheme="majorHAnsi" w:hAnsiTheme="majorHAnsi"/>
          <w:b/>
          <w:bCs/>
        </w:rPr>
        <w:t>1</w:t>
      </w:r>
      <w:r w:rsidR="00B53B79" w:rsidRPr="00EB3788">
        <w:rPr>
          <w:rFonts w:asciiTheme="majorHAnsi" w:hAnsiTheme="majorHAnsi"/>
          <w:b/>
          <w:bCs/>
        </w:rPr>
        <w:fldChar w:fldCharType="end"/>
      </w:r>
      <w:bookmarkEnd w:id="3"/>
      <w:r w:rsidRPr="00EB3788">
        <w:rPr>
          <w:rFonts w:asciiTheme="majorHAnsi" w:hAnsiTheme="majorHAnsi"/>
          <w:b/>
          <w:bCs/>
        </w:rPr>
        <w:t xml:space="preserve"> Recommended dose of Fetroja for </w:t>
      </w:r>
      <w:r w:rsidR="0070551A" w:rsidRPr="00EB3788">
        <w:rPr>
          <w:rFonts w:asciiTheme="majorHAnsi" w:hAnsiTheme="majorHAnsi" w:hint="eastAsia"/>
          <w:b/>
          <w:bCs/>
          <w:lang w:eastAsia="ja-JP"/>
        </w:rPr>
        <w:t>p</w:t>
      </w:r>
      <w:r w:rsidRPr="00EB3788">
        <w:rPr>
          <w:rFonts w:asciiTheme="majorHAnsi" w:hAnsiTheme="majorHAnsi"/>
          <w:b/>
          <w:bCs/>
        </w:rPr>
        <w:t xml:space="preserve">atients with </w:t>
      </w:r>
      <w:r w:rsidR="0070551A" w:rsidRPr="00EB3788">
        <w:rPr>
          <w:rFonts w:asciiTheme="majorHAnsi" w:hAnsiTheme="majorHAnsi" w:hint="eastAsia"/>
          <w:b/>
          <w:bCs/>
          <w:lang w:eastAsia="ja-JP"/>
        </w:rPr>
        <w:t>r</w:t>
      </w:r>
      <w:r w:rsidRPr="00EB3788">
        <w:rPr>
          <w:rFonts w:asciiTheme="majorHAnsi" w:hAnsiTheme="majorHAnsi"/>
          <w:b/>
          <w:bCs/>
        </w:rPr>
        <w:t xml:space="preserve">enal </w:t>
      </w:r>
      <w:r w:rsidR="0070551A" w:rsidRPr="00EB3788">
        <w:rPr>
          <w:rFonts w:asciiTheme="majorHAnsi" w:hAnsiTheme="majorHAnsi" w:hint="eastAsia"/>
          <w:b/>
          <w:bCs/>
          <w:lang w:eastAsia="ja-JP"/>
        </w:rPr>
        <w:t>i</w:t>
      </w:r>
      <w:r w:rsidRPr="00EB3788">
        <w:rPr>
          <w:rFonts w:asciiTheme="majorHAnsi" w:hAnsiTheme="majorHAnsi"/>
          <w:b/>
          <w:bCs/>
        </w:rPr>
        <w:t xml:space="preserve">mpairment (CrCl &lt;60 mL/min) or </w:t>
      </w:r>
      <w:r w:rsidR="0070551A" w:rsidRPr="00EB3788">
        <w:rPr>
          <w:rFonts w:asciiTheme="majorHAnsi" w:hAnsiTheme="majorHAnsi" w:hint="eastAsia"/>
          <w:b/>
          <w:bCs/>
          <w:lang w:eastAsia="ja-JP"/>
        </w:rPr>
        <w:t>p</w:t>
      </w:r>
      <w:r w:rsidRPr="00EB3788">
        <w:rPr>
          <w:rFonts w:asciiTheme="majorHAnsi" w:hAnsiTheme="majorHAnsi"/>
          <w:b/>
          <w:bCs/>
        </w:rPr>
        <w:t xml:space="preserve">atients on </w:t>
      </w:r>
      <w:r w:rsidR="0070551A" w:rsidRPr="00EB3788">
        <w:rPr>
          <w:rFonts w:asciiTheme="majorHAnsi" w:hAnsiTheme="majorHAnsi" w:hint="eastAsia"/>
          <w:b/>
          <w:bCs/>
          <w:lang w:eastAsia="ja-JP"/>
        </w:rPr>
        <w:t>h</w:t>
      </w:r>
      <w:r w:rsidR="00E36012" w:rsidRPr="00EB3788">
        <w:rPr>
          <w:rFonts w:asciiTheme="majorHAnsi" w:hAnsiTheme="majorHAnsi"/>
          <w:b/>
          <w:bCs/>
        </w:rPr>
        <w:t>aemodialysis</w:t>
      </w:r>
      <w:r w:rsidRPr="00EB3788">
        <w:rPr>
          <w:rFonts w:asciiTheme="majorHAnsi" w:hAnsiTheme="majorHAnsi"/>
          <w:b/>
          <w:bCs/>
        </w:rPr>
        <w:t xml:space="preserve"> *</w:t>
      </w:r>
    </w:p>
    <w:tbl>
      <w:tblPr>
        <w:tblW w:w="906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2124"/>
        <w:gridCol w:w="1984"/>
        <w:gridCol w:w="3260"/>
        <w:gridCol w:w="1701"/>
      </w:tblGrid>
      <w:tr w:rsidR="00BA4565" w:rsidRPr="00EB3788" w14:paraId="1DC2A69D" w14:textId="77777777" w:rsidTr="00C103E2">
        <w:trPr>
          <w:trHeight w:val="397"/>
        </w:trPr>
        <w:tc>
          <w:tcPr>
            <w:tcW w:w="2124" w:type="dxa"/>
            <w:vAlign w:val="center"/>
          </w:tcPr>
          <w:p w14:paraId="215DFB5B" w14:textId="4D8041A9" w:rsidR="00BA4565" w:rsidRPr="004664E6" w:rsidRDefault="00BA4565" w:rsidP="00446C37">
            <w:pPr>
              <w:spacing w:after="0"/>
              <w:rPr>
                <w:rFonts w:asciiTheme="majorHAnsi" w:hAnsiTheme="majorHAnsi"/>
                <w:b/>
                <w:bCs/>
              </w:rPr>
            </w:pPr>
            <w:r w:rsidRPr="004664E6">
              <w:rPr>
                <w:rFonts w:asciiTheme="majorHAnsi" w:hAnsiTheme="majorHAnsi"/>
                <w:b/>
                <w:bCs/>
                <w:lang w:bidi="en-US"/>
              </w:rPr>
              <w:t>C</w:t>
            </w:r>
            <w:r w:rsidR="00A32CBD" w:rsidRPr="004664E6">
              <w:rPr>
                <w:rFonts w:asciiTheme="majorHAnsi" w:hAnsiTheme="majorHAnsi"/>
                <w:b/>
                <w:bCs/>
                <w:lang w:bidi="en-US"/>
              </w:rPr>
              <w:t>rCl</w:t>
            </w:r>
            <w:r w:rsidRPr="004664E6">
              <w:rPr>
                <w:rFonts w:asciiTheme="majorHAnsi" w:hAnsiTheme="majorHAnsi"/>
                <w:b/>
                <w:bCs/>
                <w:lang w:bidi="en-US"/>
              </w:rPr>
              <w:t xml:space="preserve"> (mL/min)/HD patients</w:t>
            </w:r>
          </w:p>
        </w:tc>
        <w:tc>
          <w:tcPr>
            <w:tcW w:w="1984" w:type="dxa"/>
            <w:vAlign w:val="center"/>
          </w:tcPr>
          <w:p w14:paraId="2D809412" w14:textId="77777777" w:rsidR="00BA4565" w:rsidRPr="00EB3788" w:rsidRDefault="00BA4565" w:rsidP="00446C37">
            <w:pPr>
              <w:spacing w:after="0"/>
              <w:rPr>
                <w:rFonts w:asciiTheme="majorHAnsi" w:hAnsiTheme="majorHAnsi"/>
                <w:b/>
                <w:bCs/>
              </w:rPr>
            </w:pPr>
            <w:r w:rsidRPr="00EB3788">
              <w:rPr>
                <w:rFonts w:asciiTheme="majorHAnsi" w:hAnsiTheme="majorHAnsi"/>
                <w:b/>
                <w:bCs/>
                <w:lang w:bidi="en-US"/>
              </w:rPr>
              <w:t>Dose per infusion</w:t>
            </w:r>
          </w:p>
        </w:tc>
        <w:tc>
          <w:tcPr>
            <w:tcW w:w="3260" w:type="dxa"/>
            <w:vAlign w:val="center"/>
          </w:tcPr>
          <w:p w14:paraId="38BD515A" w14:textId="77777777" w:rsidR="00BA4565" w:rsidRPr="00EB3788" w:rsidRDefault="00BA4565" w:rsidP="00446C37">
            <w:pPr>
              <w:spacing w:after="0"/>
              <w:rPr>
                <w:rFonts w:asciiTheme="majorHAnsi" w:hAnsiTheme="majorHAnsi"/>
                <w:b/>
                <w:bCs/>
              </w:rPr>
            </w:pPr>
            <w:r w:rsidRPr="00EB3788">
              <w:rPr>
                <w:rFonts w:asciiTheme="majorHAnsi" w:hAnsiTheme="majorHAnsi"/>
                <w:b/>
                <w:bCs/>
                <w:lang w:bidi="en-US"/>
              </w:rPr>
              <w:t>Dosing interval</w:t>
            </w:r>
          </w:p>
        </w:tc>
        <w:tc>
          <w:tcPr>
            <w:tcW w:w="1701" w:type="dxa"/>
            <w:vAlign w:val="center"/>
          </w:tcPr>
          <w:p w14:paraId="51E6C93A" w14:textId="77777777" w:rsidR="00BA4565" w:rsidRPr="00EB3788" w:rsidRDefault="00BA4565" w:rsidP="00446C37">
            <w:pPr>
              <w:spacing w:after="0"/>
              <w:rPr>
                <w:rFonts w:asciiTheme="majorHAnsi" w:hAnsiTheme="majorHAnsi"/>
                <w:b/>
                <w:bCs/>
              </w:rPr>
            </w:pPr>
            <w:r w:rsidRPr="00EB3788">
              <w:rPr>
                <w:rFonts w:asciiTheme="majorHAnsi" w:hAnsiTheme="majorHAnsi"/>
                <w:b/>
                <w:bCs/>
                <w:lang w:bidi="en-US"/>
              </w:rPr>
              <w:t>Infusion time</w:t>
            </w:r>
          </w:p>
        </w:tc>
      </w:tr>
      <w:tr w:rsidR="00BA4565" w:rsidRPr="00EB3788" w14:paraId="76917C5C" w14:textId="77777777" w:rsidTr="00C103E2">
        <w:trPr>
          <w:trHeight w:val="227"/>
        </w:trPr>
        <w:tc>
          <w:tcPr>
            <w:tcW w:w="2124" w:type="dxa"/>
            <w:vAlign w:val="center"/>
          </w:tcPr>
          <w:p w14:paraId="4F7EA821" w14:textId="3102E80A" w:rsidR="00BA4565" w:rsidRPr="00EB3788" w:rsidRDefault="00BA4565" w:rsidP="00446C37">
            <w:pPr>
              <w:spacing w:after="0"/>
              <w:rPr>
                <w:rFonts w:asciiTheme="majorHAnsi" w:hAnsiTheme="majorHAnsi"/>
              </w:rPr>
            </w:pPr>
            <w:r w:rsidRPr="00EB3788">
              <w:rPr>
                <w:rFonts w:asciiTheme="majorHAnsi" w:hAnsiTheme="majorHAnsi"/>
                <w:lang w:bidi="ja-JP"/>
              </w:rPr>
              <w:t>30≤C</w:t>
            </w:r>
            <w:r w:rsidR="00A565C6" w:rsidRPr="00EB3788">
              <w:rPr>
                <w:rFonts w:asciiTheme="majorHAnsi" w:hAnsiTheme="majorHAnsi"/>
                <w:lang w:bidi="ja-JP"/>
              </w:rPr>
              <w:t>rCl</w:t>
            </w:r>
            <w:r w:rsidRPr="00EB3788">
              <w:rPr>
                <w:rFonts w:asciiTheme="majorHAnsi" w:hAnsiTheme="majorHAnsi"/>
                <w:lang w:bidi="ja-JP"/>
              </w:rPr>
              <w:t>&lt;60</w:t>
            </w:r>
          </w:p>
        </w:tc>
        <w:tc>
          <w:tcPr>
            <w:tcW w:w="1984" w:type="dxa"/>
            <w:vAlign w:val="center"/>
          </w:tcPr>
          <w:p w14:paraId="4904E4B0" w14:textId="77777777" w:rsidR="00BA4565" w:rsidRPr="00EB3788" w:rsidRDefault="00BA4565" w:rsidP="00446C37">
            <w:pPr>
              <w:spacing w:after="0"/>
              <w:rPr>
                <w:rFonts w:asciiTheme="majorHAnsi" w:hAnsiTheme="majorHAnsi"/>
              </w:rPr>
            </w:pPr>
            <w:r w:rsidRPr="00EB3788">
              <w:rPr>
                <w:rFonts w:asciiTheme="majorHAnsi" w:hAnsiTheme="majorHAnsi"/>
                <w:lang w:bidi="ja-JP"/>
              </w:rPr>
              <w:t>1.5 g</w:t>
            </w:r>
          </w:p>
        </w:tc>
        <w:tc>
          <w:tcPr>
            <w:tcW w:w="3260" w:type="dxa"/>
            <w:vAlign w:val="center"/>
          </w:tcPr>
          <w:p w14:paraId="5BC60096" w14:textId="77777777" w:rsidR="00BA4565" w:rsidRPr="00EB3788" w:rsidRDefault="00BA4565" w:rsidP="00446C37">
            <w:pPr>
              <w:spacing w:after="0"/>
              <w:rPr>
                <w:rFonts w:asciiTheme="majorHAnsi" w:hAnsiTheme="majorHAnsi"/>
              </w:rPr>
            </w:pPr>
            <w:r w:rsidRPr="00EB3788">
              <w:rPr>
                <w:rFonts w:asciiTheme="majorHAnsi" w:hAnsiTheme="majorHAnsi"/>
                <w:lang w:bidi="en-US"/>
              </w:rPr>
              <w:t>Every 8 hours</w:t>
            </w:r>
          </w:p>
        </w:tc>
        <w:tc>
          <w:tcPr>
            <w:tcW w:w="1701" w:type="dxa"/>
            <w:vAlign w:val="center"/>
          </w:tcPr>
          <w:p w14:paraId="561173BA" w14:textId="77777777" w:rsidR="00BA4565" w:rsidRPr="00EB3788" w:rsidRDefault="00BA4565" w:rsidP="00446C37">
            <w:pPr>
              <w:spacing w:after="0"/>
              <w:rPr>
                <w:rFonts w:asciiTheme="majorHAnsi" w:hAnsiTheme="majorHAnsi"/>
              </w:rPr>
            </w:pPr>
            <w:r w:rsidRPr="00EB3788">
              <w:rPr>
                <w:rFonts w:asciiTheme="majorHAnsi" w:hAnsiTheme="majorHAnsi"/>
                <w:lang w:bidi="en-US"/>
              </w:rPr>
              <w:t>3 hours</w:t>
            </w:r>
          </w:p>
        </w:tc>
      </w:tr>
      <w:tr w:rsidR="00BA4565" w:rsidRPr="00EB3788" w14:paraId="272E9502" w14:textId="77777777" w:rsidTr="00C103E2">
        <w:trPr>
          <w:trHeight w:val="227"/>
        </w:trPr>
        <w:tc>
          <w:tcPr>
            <w:tcW w:w="2124" w:type="dxa"/>
            <w:vAlign w:val="center"/>
          </w:tcPr>
          <w:p w14:paraId="465CD4CD" w14:textId="11AC0D66" w:rsidR="00BA4565" w:rsidRPr="00EB3788" w:rsidRDefault="00BA4565" w:rsidP="00446C37">
            <w:pPr>
              <w:spacing w:after="0"/>
              <w:rPr>
                <w:rFonts w:asciiTheme="majorHAnsi" w:hAnsiTheme="majorHAnsi"/>
              </w:rPr>
            </w:pPr>
            <w:r w:rsidRPr="00EB3788">
              <w:rPr>
                <w:rFonts w:asciiTheme="majorHAnsi" w:hAnsiTheme="majorHAnsi"/>
                <w:lang w:bidi="ja-JP"/>
              </w:rPr>
              <w:t>15≤C</w:t>
            </w:r>
            <w:r w:rsidR="00A565C6" w:rsidRPr="00EB3788">
              <w:rPr>
                <w:rFonts w:asciiTheme="majorHAnsi" w:hAnsiTheme="majorHAnsi"/>
                <w:lang w:bidi="ja-JP"/>
              </w:rPr>
              <w:t>rCl</w:t>
            </w:r>
            <w:r w:rsidRPr="00EB3788">
              <w:rPr>
                <w:rFonts w:asciiTheme="majorHAnsi" w:hAnsiTheme="majorHAnsi"/>
                <w:lang w:bidi="ja-JP"/>
              </w:rPr>
              <w:t>&lt;30</w:t>
            </w:r>
          </w:p>
        </w:tc>
        <w:tc>
          <w:tcPr>
            <w:tcW w:w="1984" w:type="dxa"/>
            <w:vAlign w:val="center"/>
          </w:tcPr>
          <w:p w14:paraId="725C8E37" w14:textId="77777777" w:rsidR="00BA4565" w:rsidRPr="00EB3788" w:rsidRDefault="00BA4565" w:rsidP="00446C37">
            <w:pPr>
              <w:spacing w:after="0"/>
              <w:rPr>
                <w:rFonts w:asciiTheme="majorHAnsi" w:hAnsiTheme="majorHAnsi"/>
              </w:rPr>
            </w:pPr>
            <w:r w:rsidRPr="00EB3788">
              <w:rPr>
                <w:rFonts w:asciiTheme="majorHAnsi" w:hAnsiTheme="majorHAnsi"/>
                <w:lang w:bidi="ja-JP"/>
              </w:rPr>
              <w:t>1 g</w:t>
            </w:r>
          </w:p>
        </w:tc>
        <w:tc>
          <w:tcPr>
            <w:tcW w:w="3260" w:type="dxa"/>
            <w:vAlign w:val="center"/>
          </w:tcPr>
          <w:p w14:paraId="63C8DAB3" w14:textId="77777777" w:rsidR="00BA4565" w:rsidRPr="00EB3788" w:rsidRDefault="00BA4565" w:rsidP="00446C37">
            <w:pPr>
              <w:spacing w:after="0"/>
              <w:rPr>
                <w:rFonts w:asciiTheme="majorHAnsi" w:hAnsiTheme="majorHAnsi"/>
              </w:rPr>
            </w:pPr>
            <w:r w:rsidRPr="00EB3788">
              <w:rPr>
                <w:rFonts w:asciiTheme="majorHAnsi" w:hAnsiTheme="majorHAnsi"/>
                <w:lang w:bidi="en-US"/>
              </w:rPr>
              <w:t>Every 8 hours</w:t>
            </w:r>
          </w:p>
        </w:tc>
        <w:tc>
          <w:tcPr>
            <w:tcW w:w="1701" w:type="dxa"/>
            <w:vAlign w:val="center"/>
          </w:tcPr>
          <w:p w14:paraId="2B7AF5A5" w14:textId="77777777" w:rsidR="00BA4565" w:rsidRPr="00EB3788" w:rsidRDefault="00BA4565" w:rsidP="00446C37">
            <w:pPr>
              <w:spacing w:after="0"/>
              <w:rPr>
                <w:rFonts w:asciiTheme="majorHAnsi" w:hAnsiTheme="majorHAnsi"/>
              </w:rPr>
            </w:pPr>
            <w:r w:rsidRPr="00EB3788">
              <w:rPr>
                <w:rFonts w:asciiTheme="majorHAnsi" w:hAnsiTheme="majorHAnsi"/>
                <w:lang w:bidi="en-US"/>
              </w:rPr>
              <w:t>3 hours</w:t>
            </w:r>
          </w:p>
        </w:tc>
      </w:tr>
      <w:tr w:rsidR="00BA4565" w:rsidRPr="00EB3788" w14:paraId="19E15AE2" w14:textId="77777777" w:rsidTr="00C103E2">
        <w:trPr>
          <w:trHeight w:val="227"/>
        </w:trPr>
        <w:tc>
          <w:tcPr>
            <w:tcW w:w="2124" w:type="dxa"/>
            <w:vAlign w:val="center"/>
          </w:tcPr>
          <w:p w14:paraId="41172DF1" w14:textId="005FCC9A" w:rsidR="00BA4565" w:rsidRPr="00EB3788" w:rsidRDefault="00BA4565" w:rsidP="00446C37">
            <w:pPr>
              <w:spacing w:after="0"/>
              <w:rPr>
                <w:rFonts w:asciiTheme="majorHAnsi" w:hAnsiTheme="majorHAnsi"/>
              </w:rPr>
            </w:pPr>
            <w:proofErr w:type="spellStart"/>
            <w:r w:rsidRPr="00EB3788">
              <w:rPr>
                <w:rFonts w:asciiTheme="majorHAnsi" w:hAnsiTheme="majorHAnsi"/>
                <w:lang w:bidi="ja-JP"/>
              </w:rPr>
              <w:t>C</w:t>
            </w:r>
            <w:r w:rsidR="00A565C6" w:rsidRPr="00EB3788">
              <w:rPr>
                <w:rFonts w:asciiTheme="majorHAnsi" w:hAnsiTheme="majorHAnsi"/>
                <w:lang w:bidi="ja-JP"/>
              </w:rPr>
              <w:t>rC</w:t>
            </w:r>
            <w:r w:rsidRPr="00EB3788">
              <w:rPr>
                <w:rFonts w:asciiTheme="majorHAnsi" w:hAnsiTheme="majorHAnsi"/>
                <w:lang w:bidi="ja-JP"/>
              </w:rPr>
              <w:t>r</w:t>
            </w:r>
            <w:proofErr w:type="spellEnd"/>
            <w:r w:rsidRPr="00EB3788">
              <w:rPr>
                <w:rFonts w:asciiTheme="majorHAnsi" w:hAnsiTheme="majorHAnsi"/>
                <w:lang w:bidi="ja-JP"/>
              </w:rPr>
              <w:t>&lt;15</w:t>
            </w:r>
          </w:p>
        </w:tc>
        <w:tc>
          <w:tcPr>
            <w:tcW w:w="1984" w:type="dxa"/>
            <w:vAlign w:val="center"/>
          </w:tcPr>
          <w:p w14:paraId="314A4394" w14:textId="77777777" w:rsidR="00BA4565" w:rsidRPr="00EB3788" w:rsidRDefault="00BA4565" w:rsidP="00446C37">
            <w:pPr>
              <w:spacing w:after="0"/>
              <w:rPr>
                <w:rFonts w:asciiTheme="majorHAnsi" w:hAnsiTheme="majorHAnsi"/>
              </w:rPr>
            </w:pPr>
            <w:r w:rsidRPr="00EB3788">
              <w:rPr>
                <w:rFonts w:asciiTheme="majorHAnsi" w:hAnsiTheme="majorHAnsi"/>
                <w:lang w:bidi="ja-JP"/>
              </w:rPr>
              <w:t>0.75 g</w:t>
            </w:r>
          </w:p>
        </w:tc>
        <w:tc>
          <w:tcPr>
            <w:tcW w:w="3260" w:type="dxa"/>
            <w:vAlign w:val="center"/>
          </w:tcPr>
          <w:p w14:paraId="090F541E" w14:textId="77777777" w:rsidR="00BA4565" w:rsidRPr="00EB3788" w:rsidRDefault="00BA4565" w:rsidP="00446C37">
            <w:pPr>
              <w:spacing w:after="0"/>
              <w:rPr>
                <w:rFonts w:asciiTheme="majorHAnsi" w:hAnsiTheme="majorHAnsi"/>
              </w:rPr>
            </w:pPr>
            <w:r w:rsidRPr="00EB3788">
              <w:rPr>
                <w:rFonts w:asciiTheme="majorHAnsi" w:hAnsiTheme="majorHAnsi"/>
                <w:lang w:bidi="en-US"/>
              </w:rPr>
              <w:t>Every 12 hours</w:t>
            </w:r>
          </w:p>
        </w:tc>
        <w:tc>
          <w:tcPr>
            <w:tcW w:w="1701" w:type="dxa"/>
            <w:vAlign w:val="center"/>
          </w:tcPr>
          <w:p w14:paraId="2C1AC416" w14:textId="77777777" w:rsidR="00BA4565" w:rsidRPr="00EB3788" w:rsidRDefault="00BA4565" w:rsidP="00446C37">
            <w:pPr>
              <w:spacing w:after="0"/>
              <w:rPr>
                <w:rFonts w:asciiTheme="majorHAnsi" w:hAnsiTheme="majorHAnsi"/>
              </w:rPr>
            </w:pPr>
            <w:r w:rsidRPr="00EB3788">
              <w:rPr>
                <w:rFonts w:asciiTheme="majorHAnsi" w:hAnsiTheme="majorHAnsi"/>
                <w:lang w:bidi="en-US"/>
              </w:rPr>
              <w:t>3 hours</w:t>
            </w:r>
          </w:p>
        </w:tc>
      </w:tr>
      <w:tr w:rsidR="00BA4565" w:rsidRPr="00EB3788" w14:paraId="58989DC7" w14:textId="77777777" w:rsidTr="00C103E2">
        <w:trPr>
          <w:trHeight w:val="227"/>
        </w:trPr>
        <w:tc>
          <w:tcPr>
            <w:tcW w:w="2124" w:type="dxa"/>
            <w:vAlign w:val="center"/>
          </w:tcPr>
          <w:p w14:paraId="7568503D" w14:textId="77777777" w:rsidR="00BA4565" w:rsidRPr="00EB3788" w:rsidRDefault="00BA4565" w:rsidP="00446C37">
            <w:pPr>
              <w:spacing w:after="0"/>
              <w:rPr>
                <w:rFonts w:asciiTheme="majorHAnsi" w:hAnsiTheme="majorHAnsi"/>
              </w:rPr>
            </w:pPr>
            <w:r w:rsidRPr="00EB3788">
              <w:rPr>
                <w:rFonts w:asciiTheme="majorHAnsi" w:hAnsiTheme="majorHAnsi"/>
                <w:lang w:bidi="en-US"/>
              </w:rPr>
              <w:t>HD patients</w:t>
            </w:r>
          </w:p>
        </w:tc>
        <w:tc>
          <w:tcPr>
            <w:tcW w:w="1984" w:type="dxa"/>
            <w:vAlign w:val="center"/>
          </w:tcPr>
          <w:p w14:paraId="3DDB2095" w14:textId="77777777" w:rsidR="00BA4565" w:rsidRPr="00EB3788" w:rsidRDefault="00BA4565" w:rsidP="00446C37">
            <w:pPr>
              <w:spacing w:after="0"/>
              <w:rPr>
                <w:rFonts w:asciiTheme="majorHAnsi" w:hAnsiTheme="majorHAnsi"/>
              </w:rPr>
            </w:pPr>
            <w:r w:rsidRPr="00EB3788">
              <w:rPr>
                <w:rFonts w:asciiTheme="majorHAnsi" w:hAnsiTheme="majorHAnsi"/>
                <w:lang w:bidi="ja-JP"/>
              </w:rPr>
              <w:t>0.75 g</w:t>
            </w:r>
          </w:p>
        </w:tc>
        <w:tc>
          <w:tcPr>
            <w:tcW w:w="3260" w:type="dxa"/>
            <w:vAlign w:val="center"/>
          </w:tcPr>
          <w:p w14:paraId="1A7DC7AD" w14:textId="77777777" w:rsidR="00BA4565" w:rsidRPr="00EB3788" w:rsidRDefault="00BA4565" w:rsidP="00446C37">
            <w:pPr>
              <w:spacing w:after="0"/>
              <w:rPr>
                <w:rFonts w:asciiTheme="majorHAnsi" w:hAnsiTheme="majorHAnsi"/>
              </w:rPr>
            </w:pPr>
            <w:r w:rsidRPr="00EB3788">
              <w:rPr>
                <w:rFonts w:asciiTheme="majorHAnsi" w:hAnsiTheme="majorHAnsi"/>
                <w:lang w:bidi="en-US"/>
              </w:rPr>
              <w:t>Every 12 hours</w:t>
            </w:r>
          </w:p>
        </w:tc>
        <w:tc>
          <w:tcPr>
            <w:tcW w:w="1701" w:type="dxa"/>
            <w:vAlign w:val="center"/>
          </w:tcPr>
          <w:p w14:paraId="6661FFA0" w14:textId="77777777" w:rsidR="00BA4565" w:rsidRPr="00EB3788" w:rsidRDefault="00BA4565" w:rsidP="00446C37">
            <w:pPr>
              <w:spacing w:after="0"/>
              <w:rPr>
                <w:rFonts w:asciiTheme="majorHAnsi" w:hAnsiTheme="majorHAnsi"/>
              </w:rPr>
            </w:pPr>
            <w:r w:rsidRPr="00EB3788">
              <w:rPr>
                <w:rFonts w:asciiTheme="majorHAnsi" w:hAnsiTheme="majorHAnsi"/>
                <w:lang w:bidi="en-US"/>
              </w:rPr>
              <w:t>3 hours</w:t>
            </w:r>
          </w:p>
        </w:tc>
      </w:tr>
    </w:tbl>
    <w:p w14:paraId="71E9B069" w14:textId="2A014E25" w:rsidR="00BA4565" w:rsidRPr="00EB3788" w:rsidRDefault="00BA4565" w:rsidP="00446C37">
      <w:pPr>
        <w:spacing w:after="0"/>
        <w:rPr>
          <w:rFonts w:asciiTheme="majorHAnsi" w:hAnsiTheme="majorHAnsi"/>
          <w:sz w:val="18"/>
          <w:szCs w:val="18"/>
        </w:rPr>
      </w:pPr>
      <w:r w:rsidRPr="00EB3788">
        <w:rPr>
          <w:rFonts w:asciiTheme="majorHAnsi" w:hAnsiTheme="majorHAnsi"/>
          <w:sz w:val="18"/>
          <w:szCs w:val="18"/>
          <w:lang w:bidi="en-US"/>
        </w:rPr>
        <w:t>C</w:t>
      </w:r>
      <w:r w:rsidR="008D4900" w:rsidRPr="00EB3788">
        <w:rPr>
          <w:rFonts w:asciiTheme="majorHAnsi" w:hAnsiTheme="majorHAnsi" w:hint="eastAsia"/>
          <w:sz w:val="18"/>
          <w:szCs w:val="18"/>
          <w:lang w:eastAsia="ja-JP" w:bidi="en-US"/>
        </w:rPr>
        <w:t>rCl</w:t>
      </w:r>
      <w:r w:rsidRPr="00EB3788">
        <w:rPr>
          <w:rFonts w:asciiTheme="majorHAnsi" w:hAnsiTheme="majorHAnsi"/>
          <w:sz w:val="18"/>
          <w:szCs w:val="18"/>
          <w:lang w:bidi="en-US"/>
        </w:rPr>
        <w:t>: Creatinine clearance</w:t>
      </w:r>
    </w:p>
    <w:p w14:paraId="2D21932C" w14:textId="5F6B64B0" w:rsidR="00BA4565" w:rsidRPr="00EB3788" w:rsidRDefault="00BA4565" w:rsidP="00446C37">
      <w:pPr>
        <w:spacing w:after="0"/>
        <w:rPr>
          <w:rFonts w:asciiTheme="majorHAnsi" w:hAnsiTheme="majorHAnsi"/>
          <w:sz w:val="18"/>
          <w:szCs w:val="18"/>
          <w:lang w:bidi="en-US"/>
        </w:rPr>
      </w:pPr>
      <w:r w:rsidRPr="00EB3788">
        <w:rPr>
          <w:rFonts w:asciiTheme="majorHAnsi" w:hAnsiTheme="majorHAnsi"/>
          <w:sz w:val="18"/>
          <w:szCs w:val="18"/>
          <w:lang w:bidi="en-US"/>
        </w:rPr>
        <w:t>*:</w:t>
      </w:r>
      <w:r w:rsidR="00E91A81" w:rsidRPr="00EB3788">
        <w:rPr>
          <w:rFonts w:asciiTheme="majorHAnsi" w:hAnsiTheme="majorHAnsi" w:hint="eastAsia"/>
          <w:sz w:val="18"/>
          <w:szCs w:val="18"/>
          <w:lang w:eastAsia="ja-JP" w:bidi="en-US"/>
        </w:rPr>
        <w:t xml:space="preserve"> </w:t>
      </w:r>
      <w:r w:rsidRPr="00EB3788">
        <w:rPr>
          <w:rFonts w:asciiTheme="majorHAnsi" w:hAnsiTheme="majorHAnsi"/>
          <w:sz w:val="18"/>
          <w:szCs w:val="18"/>
          <w:lang w:bidi="en-US"/>
        </w:rPr>
        <w:t xml:space="preserve">For patients on </w:t>
      </w:r>
      <w:r w:rsidR="00ED0F57" w:rsidRPr="00EB3788">
        <w:rPr>
          <w:rFonts w:asciiTheme="majorHAnsi" w:hAnsiTheme="majorHAnsi"/>
          <w:sz w:val="18"/>
          <w:szCs w:val="18"/>
          <w:lang w:bidi="en-US"/>
        </w:rPr>
        <w:t>haemodialysis</w:t>
      </w:r>
      <w:r w:rsidRPr="00EB3788">
        <w:rPr>
          <w:rFonts w:asciiTheme="majorHAnsi" w:hAnsiTheme="majorHAnsi"/>
          <w:sz w:val="18"/>
          <w:szCs w:val="18"/>
          <w:lang w:bidi="en-US"/>
        </w:rPr>
        <w:t xml:space="preserve"> (HD patients), Fetroja should be administered as soon as possible after a </w:t>
      </w:r>
      <w:r w:rsidR="00ED0F57" w:rsidRPr="00EB3788">
        <w:rPr>
          <w:rFonts w:asciiTheme="majorHAnsi" w:hAnsiTheme="majorHAnsi"/>
          <w:sz w:val="18"/>
          <w:szCs w:val="18"/>
          <w:lang w:bidi="en-US"/>
        </w:rPr>
        <w:t>haemodialysis</w:t>
      </w:r>
      <w:r w:rsidRPr="00EB3788">
        <w:rPr>
          <w:rFonts w:asciiTheme="majorHAnsi" w:hAnsiTheme="majorHAnsi"/>
          <w:sz w:val="18"/>
          <w:szCs w:val="18"/>
          <w:lang w:bidi="en-US"/>
        </w:rPr>
        <w:t xml:space="preserve"> session.</w:t>
      </w:r>
    </w:p>
    <w:p w14:paraId="023F6A62" w14:textId="18B5FD57" w:rsidR="003705ED" w:rsidRPr="00EB3788" w:rsidRDefault="003705ED" w:rsidP="00446C37">
      <w:pPr>
        <w:spacing w:before="240"/>
        <w:rPr>
          <w:rFonts w:asciiTheme="majorHAnsi" w:hAnsiTheme="majorHAnsi"/>
          <w:lang w:bidi="en-US"/>
        </w:rPr>
      </w:pPr>
      <w:r w:rsidRPr="00EB3788">
        <w:rPr>
          <w:rFonts w:asciiTheme="majorHAnsi" w:hAnsiTheme="majorHAnsi"/>
          <w:lang w:bidi="en-US"/>
        </w:rPr>
        <w:t>The dosage and administration for patients receiving continuous renal replacement therapy (CRRT) should be adjusted with reference to the table below.</w:t>
      </w:r>
    </w:p>
    <w:p w14:paraId="599A89E0" w14:textId="4E6FE7DD" w:rsidR="003705ED" w:rsidRPr="00EB3788" w:rsidRDefault="003705ED" w:rsidP="00446C37">
      <w:pPr>
        <w:pStyle w:val="Caption"/>
        <w:rPr>
          <w:rFonts w:asciiTheme="majorHAnsi" w:hAnsiTheme="majorHAnsi"/>
          <w:bCs/>
          <w:lang w:bidi="en-US"/>
        </w:rPr>
      </w:pPr>
      <w:bookmarkStart w:id="4" w:name="_Ref197090003"/>
      <w:r w:rsidRPr="00EB3788">
        <w:rPr>
          <w:rFonts w:asciiTheme="majorHAnsi" w:hAnsiTheme="majorHAnsi"/>
          <w:bCs/>
          <w:szCs w:val="22"/>
        </w:rPr>
        <w:t xml:space="preserve">Table </w:t>
      </w:r>
      <w:r w:rsidR="00B53B79" w:rsidRPr="00EB3788">
        <w:rPr>
          <w:rFonts w:asciiTheme="majorHAnsi" w:hAnsiTheme="majorHAnsi"/>
          <w:bCs/>
          <w:szCs w:val="22"/>
        </w:rPr>
        <w:fldChar w:fldCharType="begin"/>
      </w:r>
      <w:r w:rsidR="00B53B79" w:rsidRPr="00EB3788">
        <w:rPr>
          <w:rFonts w:asciiTheme="majorHAnsi" w:hAnsiTheme="majorHAnsi"/>
          <w:bCs/>
          <w:szCs w:val="22"/>
        </w:rPr>
        <w:instrText xml:space="preserve"> SEQ Table \* ARABIC </w:instrText>
      </w:r>
      <w:r w:rsidR="00B53B79" w:rsidRPr="00EB3788">
        <w:rPr>
          <w:rFonts w:asciiTheme="majorHAnsi" w:hAnsiTheme="majorHAnsi"/>
          <w:bCs/>
          <w:szCs w:val="22"/>
        </w:rPr>
        <w:fldChar w:fldCharType="separate"/>
      </w:r>
      <w:r w:rsidR="001E66F2" w:rsidRPr="004664E6">
        <w:rPr>
          <w:rFonts w:asciiTheme="majorHAnsi" w:hAnsiTheme="majorHAnsi"/>
          <w:bCs/>
          <w:szCs w:val="22"/>
        </w:rPr>
        <w:t>2</w:t>
      </w:r>
      <w:r w:rsidR="00B53B79" w:rsidRPr="00EB3788">
        <w:rPr>
          <w:rFonts w:asciiTheme="majorHAnsi" w:hAnsiTheme="majorHAnsi"/>
          <w:bCs/>
          <w:szCs w:val="22"/>
        </w:rPr>
        <w:fldChar w:fldCharType="end"/>
      </w:r>
      <w:bookmarkEnd w:id="4"/>
      <w:r w:rsidRPr="00EB3788">
        <w:rPr>
          <w:rFonts w:asciiTheme="majorHAnsi" w:hAnsiTheme="majorHAnsi"/>
          <w:bCs/>
          <w:szCs w:val="22"/>
          <w:lang w:bidi="en-US"/>
        </w:rPr>
        <w:t xml:space="preserve"> Recommended dose of Fetroja for patients receiving CRRT</w:t>
      </w:r>
    </w:p>
    <w:tbl>
      <w:tblPr>
        <w:tblW w:w="90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241"/>
        <w:gridCol w:w="1555"/>
        <w:gridCol w:w="2168"/>
        <w:gridCol w:w="3046"/>
      </w:tblGrid>
      <w:tr w:rsidR="003705ED" w:rsidRPr="00EB3788" w14:paraId="40165EB1" w14:textId="77777777" w:rsidTr="008B0B3E">
        <w:trPr>
          <w:trHeight w:val="300"/>
        </w:trPr>
        <w:tc>
          <w:tcPr>
            <w:tcW w:w="2241" w:type="dxa"/>
            <w:hideMark/>
          </w:tcPr>
          <w:p w14:paraId="5470942B"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b/>
                <w:bCs/>
                <w:lang w:eastAsia="ja-JP"/>
              </w:rPr>
              <w:t xml:space="preserve">Effluent Flow </w:t>
            </w:r>
            <w:proofErr w:type="spellStart"/>
            <w:r w:rsidRPr="00EB3788">
              <w:rPr>
                <w:rFonts w:asciiTheme="majorHAnsi" w:eastAsia="MS PGothic" w:hAnsiTheme="majorHAnsi" w:cs="Times New Roman"/>
                <w:b/>
                <w:bCs/>
                <w:lang w:eastAsia="ja-JP"/>
              </w:rPr>
              <w:t>Rate</w:t>
            </w:r>
            <w:r w:rsidRPr="00EB3788">
              <w:rPr>
                <w:rFonts w:asciiTheme="majorHAnsi" w:eastAsia="MS PGothic" w:hAnsiTheme="majorHAnsi" w:cs="Times New Roman"/>
                <w:b/>
                <w:bCs/>
                <w:vertAlign w:val="superscript"/>
                <w:lang w:eastAsia="ja-JP"/>
              </w:rPr>
              <w:t>a</w:t>
            </w:r>
            <w:proofErr w:type="spellEnd"/>
            <w:r w:rsidRPr="00EB3788">
              <w:rPr>
                <w:rFonts w:asciiTheme="majorHAnsi" w:eastAsia="MS PGothic" w:hAnsiTheme="majorHAnsi" w:cs="Times New Roman"/>
                <w:lang w:eastAsia="ja-JP"/>
              </w:rPr>
              <w:t> </w:t>
            </w:r>
          </w:p>
        </w:tc>
        <w:tc>
          <w:tcPr>
            <w:tcW w:w="1555" w:type="dxa"/>
            <w:vAlign w:val="center"/>
            <w:hideMark/>
          </w:tcPr>
          <w:p w14:paraId="7DF105DE" w14:textId="48148198" w:rsidR="003705ED" w:rsidRPr="00EB3788" w:rsidRDefault="51E5EE45" w:rsidP="00446C37">
            <w:pPr>
              <w:spacing w:after="0" w:line="240" w:lineRule="auto"/>
              <w:textAlignment w:val="baseline"/>
              <w:rPr>
                <w:rFonts w:asciiTheme="majorHAnsi" w:hAnsiTheme="majorHAnsi"/>
                <w:b/>
                <w:bCs/>
                <w:lang w:eastAsia="ja-JP"/>
              </w:rPr>
            </w:pPr>
            <w:r w:rsidRPr="00EB3788">
              <w:rPr>
                <w:rFonts w:asciiTheme="majorHAnsi" w:eastAsia="MS PGothic" w:hAnsiTheme="majorHAnsi" w:cs="Times New Roman"/>
                <w:b/>
                <w:bCs/>
                <w:lang w:eastAsia="ja-JP"/>
              </w:rPr>
              <w:t xml:space="preserve">Dose </w:t>
            </w:r>
            <w:r w:rsidRPr="00EB3788">
              <w:rPr>
                <w:rFonts w:asciiTheme="majorHAnsi" w:hAnsiTheme="majorHAnsi"/>
                <w:b/>
                <w:bCs/>
                <w:lang w:bidi="en-US"/>
              </w:rPr>
              <w:t>per infusion</w:t>
            </w:r>
          </w:p>
        </w:tc>
        <w:tc>
          <w:tcPr>
            <w:tcW w:w="2168" w:type="dxa"/>
            <w:hideMark/>
          </w:tcPr>
          <w:p w14:paraId="227B0418" w14:textId="4209CC29" w:rsidR="003705ED" w:rsidRPr="00EB3788" w:rsidRDefault="7B4117F5"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b/>
                <w:bCs/>
                <w:lang w:eastAsia="ja-JP"/>
              </w:rPr>
              <w:t>Frequency</w:t>
            </w:r>
            <w:r w:rsidRPr="00EB3788">
              <w:rPr>
                <w:rFonts w:asciiTheme="majorHAnsi" w:eastAsia="MS PGothic" w:hAnsiTheme="majorHAnsi" w:cs="Times New Roman"/>
                <w:lang w:eastAsia="ja-JP"/>
              </w:rPr>
              <w:t> </w:t>
            </w:r>
          </w:p>
        </w:tc>
        <w:tc>
          <w:tcPr>
            <w:tcW w:w="3046" w:type="dxa"/>
            <w:hideMark/>
          </w:tcPr>
          <w:p w14:paraId="6458DCAA" w14:textId="12A8D021" w:rsidR="003705ED" w:rsidRPr="00EB3788" w:rsidRDefault="7B4117F5" w:rsidP="00446C37">
            <w:pPr>
              <w:spacing w:after="0" w:line="240" w:lineRule="auto"/>
              <w:textAlignment w:val="baseline"/>
              <w:rPr>
                <w:rFonts w:asciiTheme="majorHAnsi" w:eastAsia="MS PGothic" w:hAnsiTheme="majorHAnsi" w:cs="Times New Roman"/>
                <w:lang w:eastAsia="ja-JP"/>
              </w:rPr>
            </w:pPr>
            <w:r w:rsidRPr="00EB3788">
              <w:rPr>
                <w:rFonts w:asciiTheme="majorHAnsi" w:eastAsia="MS PGothic" w:hAnsiTheme="majorHAnsi" w:cs="Times New Roman"/>
                <w:b/>
                <w:bCs/>
                <w:lang w:eastAsia="ja-JP"/>
              </w:rPr>
              <w:t>Infusion Time</w:t>
            </w:r>
          </w:p>
        </w:tc>
      </w:tr>
      <w:tr w:rsidR="003705ED" w:rsidRPr="00EB3788" w14:paraId="796DA7D2" w14:textId="77777777" w:rsidTr="008B0B3E">
        <w:trPr>
          <w:trHeight w:val="300"/>
        </w:trPr>
        <w:tc>
          <w:tcPr>
            <w:tcW w:w="2241" w:type="dxa"/>
            <w:hideMark/>
          </w:tcPr>
          <w:p w14:paraId="353B8C96"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2 L/hr or less </w:t>
            </w:r>
          </w:p>
        </w:tc>
        <w:tc>
          <w:tcPr>
            <w:tcW w:w="1555" w:type="dxa"/>
            <w:hideMark/>
          </w:tcPr>
          <w:p w14:paraId="488D19A1"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1.5 g </w:t>
            </w:r>
          </w:p>
        </w:tc>
        <w:tc>
          <w:tcPr>
            <w:tcW w:w="2168" w:type="dxa"/>
            <w:hideMark/>
          </w:tcPr>
          <w:p w14:paraId="681D05BC"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Every 12 hours </w:t>
            </w:r>
          </w:p>
        </w:tc>
        <w:tc>
          <w:tcPr>
            <w:tcW w:w="3046" w:type="dxa"/>
            <w:hideMark/>
          </w:tcPr>
          <w:p w14:paraId="3C71EBBE"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3 hours </w:t>
            </w:r>
          </w:p>
        </w:tc>
      </w:tr>
      <w:tr w:rsidR="003705ED" w:rsidRPr="00EB3788" w14:paraId="60802EE6" w14:textId="77777777" w:rsidTr="008B0B3E">
        <w:trPr>
          <w:trHeight w:val="300"/>
        </w:trPr>
        <w:tc>
          <w:tcPr>
            <w:tcW w:w="2241" w:type="dxa"/>
            <w:hideMark/>
          </w:tcPr>
          <w:p w14:paraId="7ECC0E48"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2.1 to 3 L/hr </w:t>
            </w:r>
          </w:p>
        </w:tc>
        <w:tc>
          <w:tcPr>
            <w:tcW w:w="1555" w:type="dxa"/>
            <w:hideMark/>
          </w:tcPr>
          <w:p w14:paraId="754CEF0B"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2 g </w:t>
            </w:r>
          </w:p>
        </w:tc>
        <w:tc>
          <w:tcPr>
            <w:tcW w:w="2168" w:type="dxa"/>
            <w:hideMark/>
          </w:tcPr>
          <w:p w14:paraId="237B61D3"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Every 12 hours </w:t>
            </w:r>
          </w:p>
        </w:tc>
        <w:tc>
          <w:tcPr>
            <w:tcW w:w="3046" w:type="dxa"/>
            <w:hideMark/>
          </w:tcPr>
          <w:p w14:paraId="4F6493A0"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3 hours </w:t>
            </w:r>
          </w:p>
        </w:tc>
      </w:tr>
      <w:tr w:rsidR="003705ED" w:rsidRPr="00EB3788" w14:paraId="21F1DBBD" w14:textId="77777777" w:rsidTr="008B0B3E">
        <w:trPr>
          <w:trHeight w:val="300"/>
        </w:trPr>
        <w:tc>
          <w:tcPr>
            <w:tcW w:w="2241" w:type="dxa"/>
            <w:hideMark/>
          </w:tcPr>
          <w:p w14:paraId="30941C3A"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3.1 to 4 L/hr </w:t>
            </w:r>
          </w:p>
        </w:tc>
        <w:tc>
          <w:tcPr>
            <w:tcW w:w="1555" w:type="dxa"/>
            <w:hideMark/>
          </w:tcPr>
          <w:p w14:paraId="3D0B9B69"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1.5 g </w:t>
            </w:r>
          </w:p>
        </w:tc>
        <w:tc>
          <w:tcPr>
            <w:tcW w:w="2168" w:type="dxa"/>
            <w:hideMark/>
          </w:tcPr>
          <w:p w14:paraId="0155E9C8"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Every 8 hours </w:t>
            </w:r>
          </w:p>
        </w:tc>
        <w:tc>
          <w:tcPr>
            <w:tcW w:w="3046" w:type="dxa"/>
            <w:hideMark/>
          </w:tcPr>
          <w:p w14:paraId="57F660F1"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3 hours </w:t>
            </w:r>
          </w:p>
        </w:tc>
      </w:tr>
      <w:tr w:rsidR="003705ED" w:rsidRPr="00EB3788" w14:paraId="0BB1AC9E" w14:textId="77777777" w:rsidTr="008B0B3E">
        <w:trPr>
          <w:trHeight w:val="300"/>
        </w:trPr>
        <w:tc>
          <w:tcPr>
            <w:tcW w:w="2241" w:type="dxa"/>
            <w:hideMark/>
          </w:tcPr>
          <w:p w14:paraId="5687ACF6"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4.1 L/hr or greater </w:t>
            </w:r>
          </w:p>
        </w:tc>
        <w:tc>
          <w:tcPr>
            <w:tcW w:w="1555" w:type="dxa"/>
            <w:hideMark/>
          </w:tcPr>
          <w:p w14:paraId="2E034843"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2 g </w:t>
            </w:r>
          </w:p>
        </w:tc>
        <w:tc>
          <w:tcPr>
            <w:tcW w:w="2168" w:type="dxa"/>
            <w:hideMark/>
          </w:tcPr>
          <w:p w14:paraId="4EF80596"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Every 8 hours </w:t>
            </w:r>
          </w:p>
        </w:tc>
        <w:tc>
          <w:tcPr>
            <w:tcW w:w="3046" w:type="dxa"/>
            <w:hideMark/>
          </w:tcPr>
          <w:p w14:paraId="1BFB1DC4" w14:textId="77777777" w:rsidR="003705ED" w:rsidRPr="00EB3788" w:rsidRDefault="003705ED" w:rsidP="00446C37">
            <w:pPr>
              <w:spacing w:after="0" w:line="240" w:lineRule="auto"/>
              <w:textAlignment w:val="baseline"/>
              <w:rPr>
                <w:rFonts w:asciiTheme="majorHAnsi" w:eastAsia="MS PGothic" w:hAnsiTheme="majorHAnsi" w:cs="Segoe UI"/>
                <w:lang w:eastAsia="ja-JP"/>
              </w:rPr>
            </w:pPr>
            <w:r w:rsidRPr="00EB3788">
              <w:rPr>
                <w:rFonts w:asciiTheme="majorHAnsi" w:eastAsia="MS PGothic" w:hAnsiTheme="majorHAnsi" w:cs="Times New Roman"/>
                <w:lang w:eastAsia="ja-JP"/>
              </w:rPr>
              <w:t>3 hours </w:t>
            </w:r>
          </w:p>
        </w:tc>
      </w:tr>
    </w:tbl>
    <w:p w14:paraId="27EA0FD8" w14:textId="46504AF0" w:rsidR="003705ED" w:rsidRPr="004664E6" w:rsidRDefault="003705ED" w:rsidP="00446C37">
      <w:pPr>
        <w:spacing w:after="0"/>
        <w:rPr>
          <w:rFonts w:asciiTheme="majorHAnsi" w:hAnsiTheme="majorHAnsi"/>
          <w:sz w:val="18"/>
          <w:szCs w:val="18"/>
          <w:lang w:bidi="en-US"/>
        </w:rPr>
      </w:pPr>
      <w:r w:rsidRPr="004664E6">
        <w:rPr>
          <w:rFonts w:asciiTheme="majorHAnsi" w:hAnsiTheme="majorHAnsi"/>
          <w:sz w:val="18"/>
          <w:szCs w:val="18"/>
          <w:lang w:bidi="en-US"/>
        </w:rPr>
        <w:t xml:space="preserve">CVVH, continuous </w:t>
      </w:r>
      <w:proofErr w:type="spellStart"/>
      <w:r w:rsidRPr="004664E6">
        <w:rPr>
          <w:rFonts w:asciiTheme="majorHAnsi" w:hAnsiTheme="majorHAnsi"/>
          <w:sz w:val="18"/>
          <w:szCs w:val="18"/>
          <w:lang w:bidi="en-US"/>
        </w:rPr>
        <w:t>venovenous</w:t>
      </w:r>
      <w:proofErr w:type="spellEnd"/>
      <w:r w:rsidRPr="004664E6">
        <w:rPr>
          <w:rFonts w:asciiTheme="majorHAnsi" w:hAnsiTheme="majorHAnsi"/>
          <w:sz w:val="18"/>
          <w:szCs w:val="18"/>
          <w:lang w:bidi="en-US"/>
        </w:rPr>
        <w:t xml:space="preserve"> </w:t>
      </w:r>
      <w:proofErr w:type="spellStart"/>
      <w:r w:rsidRPr="004664E6">
        <w:rPr>
          <w:rFonts w:asciiTheme="majorHAnsi" w:hAnsiTheme="majorHAnsi"/>
          <w:sz w:val="18"/>
          <w:szCs w:val="18"/>
          <w:lang w:bidi="en-US"/>
        </w:rPr>
        <w:t>h</w:t>
      </w:r>
      <w:r w:rsidR="00FA4059" w:rsidRPr="004664E6">
        <w:rPr>
          <w:rFonts w:asciiTheme="majorHAnsi" w:hAnsiTheme="majorHAnsi"/>
          <w:sz w:val="18"/>
          <w:szCs w:val="18"/>
          <w:lang w:bidi="en-US"/>
        </w:rPr>
        <w:t>a</w:t>
      </w:r>
      <w:r w:rsidRPr="004664E6">
        <w:rPr>
          <w:rFonts w:asciiTheme="majorHAnsi" w:hAnsiTheme="majorHAnsi"/>
          <w:sz w:val="18"/>
          <w:szCs w:val="18"/>
          <w:lang w:bidi="en-US"/>
        </w:rPr>
        <w:t>emofiltration</w:t>
      </w:r>
      <w:proofErr w:type="spellEnd"/>
      <w:r w:rsidRPr="004664E6">
        <w:rPr>
          <w:rFonts w:asciiTheme="majorHAnsi" w:hAnsiTheme="majorHAnsi"/>
          <w:sz w:val="18"/>
          <w:szCs w:val="18"/>
          <w:lang w:bidi="en-US"/>
        </w:rPr>
        <w:t xml:space="preserve">; CVVHD, continuous </w:t>
      </w:r>
      <w:proofErr w:type="spellStart"/>
      <w:r w:rsidRPr="004664E6">
        <w:rPr>
          <w:rFonts w:asciiTheme="majorHAnsi" w:hAnsiTheme="majorHAnsi"/>
          <w:sz w:val="18"/>
          <w:szCs w:val="18"/>
          <w:lang w:bidi="en-US"/>
        </w:rPr>
        <w:t>venovenous</w:t>
      </w:r>
      <w:proofErr w:type="spellEnd"/>
      <w:r w:rsidRPr="004664E6">
        <w:rPr>
          <w:rFonts w:asciiTheme="majorHAnsi" w:hAnsiTheme="majorHAnsi"/>
          <w:sz w:val="18"/>
          <w:szCs w:val="18"/>
          <w:lang w:bidi="en-US"/>
        </w:rPr>
        <w:t xml:space="preserve"> </w:t>
      </w:r>
      <w:r w:rsidR="00FA4059" w:rsidRPr="004664E6">
        <w:rPr>
          <w:rFonts w:asciiTheme="majorHAnsi" w:hAnsiTheme="majorHAnsi"/>
          <w:sz w:val="18"/>
          <w:szCs w:val="18"/>
          <w:lang w:bidi="en-US"/>
        </w:rPr>
        <w:t>haemodialysis</w:t>
      </w:r>
      <w:r w:rsidRPr="004664E6">
        <w:rPr>
          <w:rFonts w:asciiTheme="majorHAnsi" w:hAnsiTheme="majorHAnsi"/>
          <w:sz w:val="18"/>
          <w:szCs w:val="18"/>
          <w:lang w:bidi="en-US"/>
        </w:rPr>
        <w:t xml:space="preserve">; CVVHDF, continuous </w:t>
      </w:r>
      <w:proofErr w:type="spellStart"/>
      <w:r w:rsidRPr="004664E6">
        <w:rPr>
          <w:rFonts w:asciiTheme="majorHAnsi" w:hAnsiTheme="majorHAnsi"/>
          <w:sz w:val="18"/>
          <w:szCs w:val="18"/>
          <w:lang w:bidi="en-US"/>
        </w:rPr>
        <w:t>venovenous</w:t>
      </w:r>
      <w:proofErr w:type="spellEnd"/>
      <w:r w:rsidRPr="004664E6">
        <w:rPr>
          <w:rFonts w:asciiTheme="majorHAnsi" w:hAnsiTheme="majorHAnsi"/>
          <w:sz w:val="18"/>
          <w:szCs w:val="18"/>
          <w:lang w:bidi="en-US"/>
        </w:rPr>
        <w:t xml:space="preserve"> </w:t>
      </w:r>
      <w:proofErr w:type="spellStart"/>
      <w:r w:rsidRPr="004664E6">
        <w:rPr>
          <w:rFonts w:asciiTheme="majorHAnsi" w:hAnsiTheme="majorHAnsi"/>
          <w:sz w:val="18"/>
          <w:szCs w:val="18"/>
          <w:lang w:bidi="en-US"/>
        </w:rPr>
        <w:t>h</w:t>
      </w:r>
      <w:r w:rsidR="00FA4059" w:rsidRPr="004664E6">
        <w:rPr>
          <w:rFonts w:asciiTheme="majorHAnsi" w:hAnsiTheme="majorHAnsi"/>
          <w:sz w:val="18"/>
          <w:szCs w:val="18"/>
          <w:lang w:bidi="en-US"/>
        </w:rPr>
        <w:t>a</w:t>
      </w:r>
      <w:r w:rsidRPr="004664E6">
        <w:rPr>
          <w:rFonts w:asciiTheme="majorHAnsi" w:hAnsiTheme="majorHAnsi"/>
          <w:sz w:val="18"/>
          <w:szCs w:val="18"/>
          <w:lang w:bidi="en-US"/>
        </w:rPr>
        <w:t>emodiafiltration</w:t>
      </w:r>
      <w:proofErr w:type="spellEnd"/>
      <w:r w:rsidRPr="004664E6">
        <w:rPr>
          <w:rFonts w:asciiTheme="majorHAnsi" w:hAnsiTheme="majorHAnsi"/>
          <w:sz w:val="18"/>
          <w:szCs w:val="18"/>
          <w:lang w:bidi="en-US"/>
        </w:rPr>
        <w:t xml:space="preserve"> </w:t>
      </w:r>
    </w:p>
    <w:p w14:paraId="2DD9910F" w14:textId="07F9A563" w:rsidR="003705ED" w:rsidRPr="00EB3788" w:rsidRDefault="003705ED" w:rsidP="00446C37">
      <w:pPr>
        <w:spacing w:after="0"/>
        <w:rPr>
          <w:rFonts w:asciiTheme="majorHAnsi" w:hAnsiTheme="majorHAnsi"/>
          <w:sz w:val="18"/>
          <w:szCs w:val="18"/>
          <w:lang w:bidi="en-US"/>
        </w:rPr>
      </w:pPr>
      <w:r w:rsidRPr="00EB3788">
        <w:rPr>
          <w:rFonts w:asciiTheme="majorHAnsi" w:hAnsiTheme="majorHAnsi"/>
          <w:sz w:val="18"/>
          <w:szCs w:val="18"/>
          <w:lang w:bidi="en-US"/>
        </w:rPr>
        <w:t>a</w:t>
      </w:r>
      <w:r w:rsidRPr="00EB3788">
        <w:rPr>
          <w:rFonts w:asciiTheme="majorHAnsi" w:hAnsiTheme="majorHAnsi"/>
          <w:sz w:val="18"/>
          <w:szCs w:val="18"/>
          <w:lang w:bidi="en-US"/>
        </w:rPr>
        <w:tab/>
        <w:t>Ultrafiltrate flow rate for CVVH, dialysis flow rate for CVVHD, ultrafiltrate flow rate plus dialysis flow rate for CVVHDF</w:t>
      </w:r>
    </w:p>
    <w:p w14:paraId="7C17CF87" w14:textId="1414EFC7" w:rsidR="00BA4565" w:rsidRPr="00EB3788" w:rsidRDefault="00BA4565" w:rsidP="00446C37">
      <w:pPr>
        <w:spacing w:before="240"/>
        <w:rPr>
          <w:rFonts w:asciiTheme="majorHAnsi" w:hAnsiTheme="majorHAnsi"/>
        </w:rPr>
      </w:pPr>
      <w:r w:rsidRPr="00EB3788">
        <w:rPr>
          <w:rFonts w:asciiTheme="majorHAnsi" w:hAnsiTheme="majorHAnsi"/>
          <w:lang w:bidi="en-US"/>
        </w:rPr>
        <w:t>The dosage and administration for patients with increased renal clearance should be adjusted with reference to the table below.</w:t>
      </w:r>
    </w:p>
    <w:p w14:paraId="4A1F48FF" w14:textId="4CF56FB3" w:rsidR="001F01E4" w:rsidRPr="00EB3788" w:rsidRDefault="001F01E4" w:rsidP="00446C37">
      <w:pPr>
        <w:pStyle w:val="Caption"/>
        <w:keepNext/>
        <w:rPr>
          <w:rFonts w:asciiTheme="majorHAnsi" w:hAnsiTheme="majorHAnsi"/>
          <w:b w:val="0"/>
          <w:bCs/>
          <w:i/>
          <w:iCs w:val="0"/>
          <w:szCs w:val="22"/>
        </w:rPr>
      </w:pPr>
      <w:bookmarkStart w:id="5" w:name="_Ref171081381"/>
      <w:r w:rsidRPr="00EB3788">
        <w:rPr>
          <w:rFonts w:asciiTheme="majorHAnsi" w:hAnsiTheme="majorHAnsi"/>
          <w:bCs/>
          <w:iCs w:val="0"/>
          <w:szCs w:val="22"/>
        </w:rPr>
        <w:t xml:space="preserve">Table </w:t>
      </w:r>
      <w:r w:rsidR="00B53B79" w:rsidRPr="00EB3788">
        <w:rPr>
          <w:rFonts w:asciiTheme="majorHAnsi" w:hAnsiTheme="majorHAnsi"/>
          <w:bCs/>
          <w:iCs w:val="0"/>
          <w:szCs w:val="22"/>
        </w:rPr>
        <w:fldChar w:fldCharType="begin"/>
      </w:r>
      <w:r w:rsidR="00B53B79" w:rsidRPr="00EB3788">
        <w:rPr>
          <w:rFonts w:asciiTheme="majorHAnsi" w:hAnsiTheme="majorHAnsi"/>
          <w:bCs/>
          <w:iCs w:val="0"/>
          <w:szCs w:val="22"/>
        </w:rPr>
        <w:instrText xml:space="preserve"> SEQ Table \* ARABIC </w:instrText>
      </w:r>
      <w:r w:rsidR="00B53B79" w:rsidRPr="00EB3788">
        <w:rPr>
          <w:rFonts w:asciiTheme="majorHAnsi" w:hAnsiTheme="majorHAnsi"/>
          <w:bCs/>
          <w:iCs w:val="0"/>
          <w:szCs w:val="22"/>
        </w:rPr>
        <w:fldChar w:fldCharType="separate"/>
      </w:r>
      <w:r w:rsidR="001E66F2" w:rsidRPr="004664E6">
        <w:rPr>
          <w:rFonts w:asciiTheme="majorHAnsi" w:hAnsiTheme="majorHAnsi"/>
          <w:bCs/>
          <w:iCs w:val="0"/>
          <w:szCs w:val="22"/>
        </w:rPr>
        <w:t>3</w:t>
      </w:r>
      <w:r w:rsidR="00B53B79" w:rsidRPr="00EB3788">
        <w:rPr>
          <w:rFonts w:asciiTheme="majorHAnsi" w:hAnsiTheme="majorHAnsi"/>
          <w:bCs/>
          <w:iCs w:val="0"/>
          <w:szCs w:val="22"/>
        </w:rPr>
        <w:fldChar w:fldCharType="end"/>
      </w:r>
      <w:bookmarkEnd w:id="5"/>
      <w:r w:rsidRPr="00EB3788">
        <w:rPr>
          <w:rFonts w:asciiTheme="majorHAnsi" w:hAnsiTheme="majorHAnsi"/>
          <w:bCs/>
          <w:iCs w:val="0"/>
          <w:szCs w:val="22"/>
        </w:rPr>
        <w:t xml:space="preserve"> Recommended dose of Fetroja for patients with increased renal clearance</w:t>
      </w:r>
    </w:p>
    <w:tbl>
      <w:tblPr>
        <w:tblW w:w="9069" w:type="dxa"/>
        <w:tblLayout w:type="fixed"/>
        <w:tblCellMar>
          <w:left w:w="28" w:type="dxa"/>
          <w:right w:w="28" w:type="dxa"/>
        </w:tblCellMar>
        <w:tblLook w:val="01E0" w:firstRow="1" w:lastRow="1" w:firstColumn="1" w:lastColumn="1" w:noHBand="0" w:noVBand="0"/>
      </w:tblPr>
      <w:tblGrid>
        <w:gridCol w:w="2124"/>
        <w:gridCol w:w="1984"/>
        <w:gridCol w:w="3260"/>
        <w:gridCol w:w="1701"/>
      </w:tblGrid>
      <w:tr w:rsidR="00BA4565" w:rsidRPr="00EB3788" w14:paraId="2A24DC5A" w14:textId="77777777" w:rsidTr="3FAC8474">
        <w:trPr>
          <w:trHeight w:val="227"/>
        </w:trPr>
        <w:tc>
          <w:tcPr>
            <w:tcW w:w="212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881785D" w14:textId="1498AEBA" w:rsidR="00BA4565" w:rsidRPr="00EB3788" w:rsidRDefault="6D42AC04" w:rsidP="00446C37">
            <w:pPr>
              <w:spacing w:after="0"/>
              <w:rPr>
                <w:rFonts w:asciiTheme="majorHAnsi" w:hAnsiTheme="majorHAnsi"/>
                <w:b/>
                <w:bCs/>
              </w:rPr>
            </w:pPr>
            <w:r w:rsidRPr="00EB3788">
              <w:rPr>
                <w:rFonts w:asciiTheme="majorHAnsi" w:hAnsiTheme="majorHAnsi"/>
                <w:b/>
                <w:bCs/>
                <w:lang w:bidi="ja-JP"/>
              </w:rPr>
              <w:t>CrCl (mL/min)</w:t>
            </w: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9F34740" w14:textId="77777777" w:rsidR="00BA4565" w:rsidRPr="00EB3788" w:rsidRDefault="00BA4565" w:rsidP="00446C37">
            <w:pPr>
              <w:spacing w:after="0"/>
              <w:rPr>
                <w:rFonts w:asciiTheme="majorHAnsi" w:hAnsiTheme="majorHAnsi"/>
                <w:b/>
                <w:bCs/>
              </w:rPr>
            </w:pPr>
            <w:r w:rsidRPr="00EB3788">
              <w:rPr>
                <w:rFonts w:asciiTheme="majorHAnsi" w:hAnsiTheme="majorHAnsi"/>
                <w:b/>
                <w:bCs/>
                <w:lang w:bidi="en-US"/>
              </w:rPr>
              <w:t>Dose per infusion</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5013651" w14:textId="77777777" w:rsidR="00BA4565" w:rsidRPr="00EB3788" w:rsidRDefault="00BA4565" w:rsidP="00446C37">
            <w:pPr>
              <w:spacing w:after="0"/>
              <w:rPr>
                <w:rFonts w:asciiTheme="majorHAnsi" w:hAnsiTheme="majorHAnsi"/>
                <w:b/>
                <w:bCs/>
              </w:rPr>
            </w:pPr>
            <w:r w:rsidRPr="00EB3788">
              <w:rPr>
                <w:rFonts w:asciiTheme="majorHAnsi" w:hAnsiTheme="majorHAnsi"/>
                <w:b/>
                <w:bCs/>
                <w:lang w:bidi="en-US"/>
              </w:rPr>
              <w:t>Dosing interval</w:t>
            </w:r>
          </w:p>
        </w:tc>
        <w:tc>
          <w:tcPr>
            <w:tcW w:w="170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A8DB9FB" w14:textId="77777777" w:rsidR="00BA4565" w:rsidRPr="00EB3788" w:rsidRDefault="00BA4565" w:rsidP="00446C37">
            <w:pPr>
              <w:spacing w:after="0"/>
              <w:rPr>
                <w:rFonts w:asciiTheme="majorHAnsi" w:hAnsiTheme="majorHAnsi"/>
                <w:b/>
                <w:bCs/>
              </w:rPr>
            </w:pPr>
            <w:r w:rsidRPr="00EB3788">
              <w:rPr>
                <w:rFonts w:asciiTheme="majorHAnsi" w:hAnsiTheme="majorHAnsi"/>
                <w:b/>
                <w:bCs/>
                <w:lang w:bidi="en-US"/>
              </w:rPr>
              <w:t>Infusion time</w:t>
            </w:r>
          </w:p>
        </w:tc>
      </w:tr>
      <w:tr w:rsidR="00BA4565" w:rsidRPr="00EB3788" w14:paraId="2B5E3137" w14:textId="77777777" w:rsidTr="3FAC8474">
        <w:trPr>
          <w:trHeight w:val="227"/>
        </w:trPr>
        <w:tc>
          <w:tcPr>
            <w:tcW w:w="212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326406F" w14:textId="32F20DF1" w:rsidR="00BA4565" w:rsidRPr="00EB3788" w:rsidRDefault="3FAC8474" w:rsidP="00446C37">
            <w:pPr>
              <w:spacing w:after="0"/>
              <w:rPr>
                <w:rFonts w:ascii="Cambria (Headings)" w:eastAsia="Cambria (Headings)" w:hAnsi="Cambria (Headings)" w:cs="Cambria (Headings)"/>
              </w:rPr>
            </w:pPr>
            <w:r w:rsidRPr="00EB3788">
              <w:rPr>
                <w:rFonts w:asciiTheme="majorHAnsi" w:eastAsiaTheme="majorEastAsia" w:hAnsiTheme="majorHAnsi" w:cstheme="majorBidi"/>
                <w:lang w:bidi="ja-JP"/>
              </w:rPr>
              <w:t>CrCl</w:t>
            </w:r>
            <w:r w:rsidRPr="00EB3788">
              <w:rPr>
                <w:rFonts w:asciiTheme="majorHAnsi" w:eastAsiaTheme="majorEastAsia" w:hAnsiTheme="majorHAnsi" w:cstheme="majorBidi"/>
                <w:color w:val="333333"/>
              </w:rPr>
              <w:t>≥120</w:t>
            </w:r>
          </w:p>
        </w:tc>
        <w:tc>
          <w:tcPr>
            <w:tcW w:w="19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D82D710" w14:textId="77777777" w:rsidR="00BA4565" w:rsidRPr="00EB3788" w:rsidRDefault="00BA4565" w:rsidP="00446C37">
            <w:pPr>
              <w:spacing w:after="0"/>
              <w:rPr>
                <w:rFonts w:asciiTheme="majorHAnsi" w:hAnsiTheme="majorHAnsi"/>
              </w:rPr>
            </w:pPr>
            <w:r w:rsidRPr="00EB3788">
              <w:rPr>
                <w:rFonts w:asciiTheme="majorHAnsi" w:hAnsiTheme="majorHAnsi"/>
                <w:lang w:bidi="ja-JP"/>
              </w:rPr>
              <w:t>2 g</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F815A81" w14:textId="77777777" w:rsidR="00BA4565" w:rsidRPr="00EB3788" w:rsidRDefault="00BA4565" w:rsidP="00446C37">
            <w:pPr>
              <w:spacing w:after="0"/>
              <w:rPr>
                <w:rFonts w:asciiTheme="majorHAnsi" w:hAnsiTheme="majorHAnsi"/>
              </w:rPr>
            </w:pPr>
            <w:r w:rsidRPr="00EB3788">
              <w:rPr>
                <w:rFonts w:asciiTheme="majorHAnsi" w:hAnsiTheme="majorHAnsi"/>
                <w:lang w:bidi="en-US"/>
              </w:rPr>
              <w:t>Every 6 hours</w:t>
            </w:r>
          </w:p>
        </w:tc>
        <w:tc>
          <w:tcPr>
            <w:tcW w:w="170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79CA9A" w14:textId="77777777" w:rsidR="00BA4565" w:rsidRPr="00EB3788" w:rsidRDefault="00BA4565" w:rsidP="00446C37">
            <w:pPr>
              <w:spacing w:after="0"/>
              <w:rPr>
                <w:rFonts w:asciiTheme="majorHAnsi" w:hAnsiTheme="majorHAnsi"/>
              </w:rPr>
            </w:pPr>
            <w:r w:rsidRPr="00EB3788">
              <w:rPr>
                <w:rFonts w:asciiTheme="majorHAnsi" w:hAnsiTheme="majorHAnsi"/>
                <w:lang w:bidi="en-US"/>
              </w:rPr>
              <w:t>3 hours</w:t>
            </w:r>
          </w:p>
        </w:tc>
      </w:tr>
    </w:tbl>
    <w:p w14:paraId="4209D3D3" w14:textId="4156F224" w:rsidR="00E65B1F" w:rsidRPr="00EB3788" w:rsidRDefault="00BA4565" w:rsidP="00446C37">
      <w:pPr>
        <w:spacing w:before="240"/>
        <w:rPr>
          <w:rFonts w:asciiTheme="majorHAnsi" w:hAnsiTheme="majorHAnsi"/>
          <w:lang w:bidi="en-US"/>
        </w:rPr>
      </w:pPr>
      <w:r w:rsidRPr="00EB3788">
        <w:rPr>
          <w:rFonts w:asciiTheme="majorHAnsi" w:hAnsiTheme="majorHAnsi"/>
          <w:lang w:bidi="en-US"/>
        </w:rPr>
        <w:lastRenderedPageBreak/>
        <w:t>Fetroja does not exhibit activity against Gram-positive and anaerobic bacteria; therefore, if superinfection with these bacterial species is evident, this drug should be administered in combination with antibacterial drugs with activity against these bacterial species.</w:t>
      </w:r>
    </w:p>
    <w:p w14:paraId="36299258" w14:textId="31D5C471" w:rsidR="00773169" w:rsidRPr="00EB3788" w:rsidRDefault="00B30521" w:rsidP="00446C37">
      <w:pPr>
        <w:pStyle w:val="Heading4"/>
        <w:numPr>
          <w:ilvl w:val="0"/>
          <w:numId w:val="0"/>
        </w:numPr>
        <w:ind w:left="864" w:hanging="864"/>
        <w:rPr>
          <w:color w:val="auto"/>
        </w:rPr>
      </w:pPr>
      <w:r w:rsidRPr="00EB3788">
        <w:rPr>
          <w:color w:val="auto"/>
        </w:rPr>
        <w:t>Hepatic impairment</w:t>
      </w:r>
    </w:p>
    <w:p w14:paraId="0A1BE56A" w14:textId="21FCC2BC" w:rsidR="00E17686" w:rsidRPr="00EB3788" w:rsidRDefault="00E17686" w:rsidP="00446C37">
      <w:pPr>
        <w:spacing w:before="240"/>
        <w:rPr>
          <w:rFonts w:asciiTheme="majorHAnsi" w:hAnsiTheme="majorHAnsi"/>
        </w:rPr>
      </w:pPr>
      <w:r w:rsidRPr="00EB3788">
        <w:rPr>
          <w:rFonts w:asciiTheme="majorHAnsi" w:hAnsiTheme="majorHAnsi"/>
        </w:rPr>
        <w:t>No dose adjustment is required in patients with hepatic impairment</w:t>
      </w:r>
      <w:r w:rsidR="00852735" w:rsidRPr="00EB3788">
        <w:rPr>
          <w:rFonts w:asciiTheme="majorHAnsi" w:hAnsiTheme="majorHAnsi"/>
        </w:rPr>
        <w:t>.</w:t>
      </w:r>
    </w:p>
    <w:p w14:paraId="0AC65BD9" w14:textId="58F072FE" w:rsidR="00B30521" w:rsidRPr="00EB3788" w:rsidRDefault="00415A3A" w:rsidP="00446C37">
      <w:pPr>
        <w:pStyle w:val="Heading4"/>
        <w:numPr>
          <w:ilvl w:val="0"/>
          <w:numId w:val="0"/>
        </w:numPr>
        <w:ind w:left="864" w:hanging="864"/>
        <w:rPr>
          <w:color w:val="auto"/>
        </w:rPr>
      </w:pPr>
      <w:r w:rsidRPr="00EB3788">
        <w:rPr>
          <w:color w:val="auto"/>
        </w:rPr>
        <w:t>Elderly population</w:t>
      </w:r>
    </w:p>
    <w:p w14:paraId="45E6A021" w14:textId="78C77C16" w:rsidR="00E17686" w:rsidRPr="00EB3788" w:rsidRDefault="00852735" w:rsidP="00446C37">
      <w:pPr>
        <w:spacing w:before="240"/>
        <w:rPr>
          <w:rFonts w:asciiTheme="majorHAnsi" w:hAnsiTheme="majorHAnsi"/>
        </w:rPr>
      </w:pPr>
      <w:r w:rsidRPr="00EB3788">
        <w:rPr>
          <w:rFonts w:asciiTheme="majorHAnsi" w:hAnsiTheme="majorHAnsi"/>
        </w:rPr>
        <w:t>No dosage adjustment is required.</w:t>
      </w:r>
    </w:p>
    <w:p w14:paraId="72D8075A" w14:textId="60E54AE2" w:rsidR="00415A3A" w:rsidRPr="00EB3788" w:rsidRDefault="00415A3A" w:rsidP="00446C37">
      <w:pPr>
        <w:pStyle w:val="Heading4"/>
        <w:numPr>
          <w:ilvl w:val="0"/>
          <w:numId w:val="0"/>
        </w:numPr>
        <w:ind w:left="864" w:hanging="864"/>
        <w:rPr>
          <w:color w:val="auto"/>
        </w:rPr>
      </w:pPr>
      <w:r w:rsidRPr="00EB3788">
        <w:rPr>
          <w:color w:val="auto"/>
        </w:rPr>
        <w:t>Paediatric population</w:t>
      </w:r>
    </w:p>
    <w:p w14:paraId="57AEFD0B" w14:textId="091B714F" w:rsidR="00EA02DF" w:rsidRPr="00EB3788" w:rsidRDefault="00EA02DF" w:rsidP="00446C37">
      <w:pPr>
        <w:spacing w:before="240"/>
        <w:rPr>
          <w:rFonts w:asciiTheme="majorHAnsi" w:hAnsiTheme="majorHAnsi"/>
        </w:rPr>
      </w:pPr>
      <w:r w:rsidRPr="00EB3788">
        <w:rPr>
          <w:rFonts w:asciiTheme="majorHAnsi" w:hAnsiTheme="majorHAnsi"/>
        </w:rPr>
        <w:t>The safety and efficacy of Fetroja in children below 18 years of age has not yet been established. No data are available.</w:t>
      </w:r>
    </w:p>
    <w:p w14:paraId="44E823E6" w14:textId="0F6D0888" w:rsidR="00852735" w:rsidRPr="00EB3788" w:rsidRDefault="52CFF612" w:rsidP="00446C37">
      <w:pPr>
        <w:pStyle w:val="Heading3"/>
        <w:spacing w:after="240"/>
        <w:ind w:left="0"/>
      </w:pPr>
      <w:bookmarkStart w:id="6" w:name="_Method_of_Administration"/>
      <w:bookmarkStart w:id="7" w:name="_Ref171513393"/>
      <w:bookmarkEnd w:id="6"/>
      <w:r w:rsidRPr="00EB3788">
        <w:t xml:space="preserve">Method of </w:t>
      </w:r>
      <w:r w:rsidR="0070551A" w:rsidRPr="00EB3788">
        <w:rPr>
          <w:rFonts w:hint="eastAsia"/>
          <w:lang w:eastAsia="ja-JP"/>
        </w:rPr>
        <w:t>a</w:t>
      </w:r>
      <w:r w:rsidRPr="00EB3788">
        <w:t>dministration</w:t>
      </w:r>
      <w:bookmarkEnd w:id="7"/>
    </w:p>
    <w:p w14:paraId="1B835752" w14:textId="77777777" w:rsidR="00051CFD" w:rsidRPr="00EB3788" w:rsidRDefault="00051CFD" w:rsidP="00446C37">
      <w:pPr>
        <w:spacing w:before="240" w:after="0"/>
        <w:rPr>
          <w:rFonts w:asciiTheme="majorHAnsi" w:hAnsiTheme="majorHAnsi"/>
        </w:rPr>
      </w:pPr>
      <w:r w:rsidRPr="00EB3788">
        <w:rPr>
          <w:rFonts w:asciiTheme="majorHAnsi" w:hAnsiTheme="majorHAnsi"/>
        </w:rPr>
        <w:t>Intravenous use.</w:t>
      </w:r>
    </w:p>
    <w:p w14:paraId="18B9B4C7" w14:textId="7CD68A49" w:rsidR="00051CFD" w:rsidRPr="00EB3788" w:rsidRDefault="00051CFD" w:rsidP="00446C37">
      <w:pPr>
        <w:spacing w:before="240" w:after="0"/>
        <w:rPr>
          <w:rFonts w:asciiTheme="majorHAnsi" w:hAnsiTheme="majorHAnsi"/>
        </w:rPr>
      </w:pPr>
      <w:r w:rsidRPr="00EB3788">
        <w:rPr>
          <w:rFonts w:asciiTheme="majorHAnsi" w:hAnsiTheme="majorHAnsi"/>
        </w:rPr>
        <w:t>Fetroja is administered by intravenous infusion over 3 hours.</w:t>
      </w:r>
    </w:p>
    <w:p w14:paraId="043CF880" w14:textId="77777777" w:rsidR="002A3A97" w:rsidRPr="00EB3788" w:rsidRDefault="002A3A97" w:rsidP="00446C37">
      <w:pPr>
        <w:spacing w:before="240" w:after="0"/>
        <w:rPr>
          <w:rFonts w:asciiTheme="majorHAnsi" w:hAnsiTheme="majorHAnsi"/>
        </w:rPr>
      </w:pPr>
      <w:r w:rsidRPr="00EB3788">
        <w:rPr>
          <w:rFonts w:asciiTheme="majorHAnsi" w:hAnsiTheme="majorHAnsi"/>
        </w:rPr>
        <w:t>Each vial is for single use only.</w:t>
      </w:r>
    </w:p>
    <w:p w14:paraId="65E8ED6E" w14:textId="4D840143" w:rsidR="002A3A97" w:rsidRPr="00EB3788" w:rsidRDefault="002A3A97" w:rsidP="00446C37">
      <w:pPr>
        <w:spacing w:before="240"/>
        <w:rPr>
          <w:rFonts w:asciiTheme="majorHAnsi" w:hAnsiTheme="majorHAnsi"/>
        </w:rPr>
      </w:pPr>
      <w:r w:rsidRPr="00EB3788">
        <w:rPr>
          <w:rFonts w:asciiTheme="majorHAnsi" w:hAnsiTheme="majorHAnsi"/>
        </w:rPr>
        <w:t>The powder should be reconstituted with 10 mL of either sodium chloride 9 mg/ml (0.9%) solution for</w:t>
      </w:r>
      <w:r w:rsidR="00E63067" w:rsidRPr="00EB3788">
        <w:rPr>
          <w:rFonts w:asciiTheme="majorHAnsi" w:hAnsiTheme="majorHAnsi"/>
        </w:rPr>
        <w:t xml:space="preserve"> </w:t>
      </w:r>
      <w:r w:rsidR="00BD2CCB" w:rsidRPr="00EB3788">
        <w:rPr>
          <w:rFonts w:asciiTheme="majorHAnsi" w:hAnsiTheme="majorHAnsi"/>
        </w:rPr>
        <w:t>injection,</w:t>
      </w:r>
      <w:r w:rsidRPr="00EB3788">
        <w:rPr>
          <w:rFonts w:asciiTheme="majorHAnsi" w:hAnsiTheme="majorHAnsi"/>
        </w:rPr>
        <w:t xml:space="preserve"> or 5% dextrose injection taken from the 100 mL bags that will be used to prepare the final</w:t>
      </w:r>
      <w:r w:rsidR="00E63067" w:rsidRPr="00EB3788">
        <w:rPr>
          <w:rFonts w:asciiTheme="majorHAnsi" w:hAnsiTheme="majorHAnsi"/>
        </w:rPr>
        <w:t xml:space="preserve"> </w:t>
      </w:r>
      <w:r w:rsidRPr="00EB3788">
        <w:rPr>
          <w:rFonts w:asciiTheme="majorHAnsi" w:hAnsiTheme="majorHAnsi"/>
        </w:rPr>
        <w:t>infusion solution and should be gently shaken to dissolve. The vial(s) should be allowed to stand until</w:t>
      </w:r>
      <w:r w:rsidR="00E63067" w:rsidRPr="00EB3788">
        <w:rPr>
          <w:rFonts w:asciiTheme="majorHAnsi" w:hAnsiTheme="majorHAnsi"/>
        </w:rPr>
        <w:t xml:space="preserve"> </w:t>
      </w:r>
      <w:r w:rsidRPr="00EB3788">
        <w:rPr>
          <w:rFonts w:asciiTheme="majorHAnsi" w:hAnsiTheme="majorHAnsi"/>
        </w:rPr>
        <w:t>the foaming generated on the surface has disappeared (typically within 2 minutes). The final volume</w:t>
      </w:r>
      <w:r w:rsidR="00E63067" w:rsidRPr="00EB3788">
        <w:rPr>
          <w:rFonts w:asciiTheme="majorHAnsi" w:hAnsiTheme="majorHAnsi"/>
        </w:rPr>
        <w:t xml:space="preserve"> </w:t>
      </w:r>
      <w:r w:rsidRPr="00EB3788">
        <w:rPr>
          <w:rFonts w:asciiTheme="majorHAnsi" w:hAnsiTheme="majorHAnsi"/>
        </w:rPr>
        <w:t>of the reconstituted solution in the vial will be</w:t>
      </w:r>
      <w:r w:rsidR="00A868E7" w:rsidRPr="00EB3788">
        <w:rPr>
          <w:rFonts w:asciiTheme="majorHAnsi" w:hAnsiTheme="majorHAnsi"/>
        </w:rPr>
        <w:t xml:space="preserve"> </w:t>
      </w:r>
      <w:r w:rsidRPr="00EB3788">
        <w:rPr>
          <w:rFonts w:asciiTheme="majorHAnsi" w:hAnsiTheme="majorHAnsi"/>
        </w:rPr>
        <w:t>approximately 11.2 mL (caution: the reconstituted</w:t>
      </w:r>
      <w:r w:rsidR="00E63067" w:rsidRPr="00EB3788">
        <w:rPr>
          <w:rFonts w:asciiTheme="majorHAnsi" w:hAnsiTheme="majorHAnsi"/>
        </w:rPr>
        <w:t xml:space="preserve"> </w:t>
      </w:r>
      <w:r w:rsidRPr="00EB3788">
        <w:rPr>
          <w:rFonts w:asciiTheme="majorHAnsi" w:hAnsiTheme="majorHAnsi"/>
        </w:rPr>
        <w:t>solution is not for direct injection).</w:t>
      </w:r>
    </w:p>
    <w:p w14:paraId="12C2881E" w14:textId="2695449B" w:rsidR="002A3A97" w:rsidRPr="00EB3788" w:rsidRDefault="002A3A97" w:rsidP="00446C37">
      <w:pPr>
        <w:rPr>
          <w:rFonts w:asciiTheme="majorHAnsi" w:hAnsiTheme="majorHAnsi"/>
        </w:rPr>
      </w:pPr>
      <w:r w:rsidRPr="00EB3788">
        <w:rPr>
          <w:rFonts w:asciiTheme="majorHAnsi" w:hAnsiTheme="majorHAnsi"/>
        </w:rPr>
        <w:t>To prepare the required doses, the appropriate volume of reconstituted solution should be withdrawn</w:t>
      </w:r>
      <w:r w:rsidR="00705F8B" w:rsidRPr="00EB3788">
        <w:rPr>
          <w:rFonts w:asciiTheme="majorHAnsi" w:hAnsiTheme="majorHAnsi"/>
        </w:rPr>
        <w:t xml:space="preserve"> </w:t>
      </w:r>
      <w:r w:rsidRPr="00EB3788">
        <w:rPr>
          <w:rFonts w:asciiTheme="majorHAnsi" w:hAnsiTheme="majorHAnsi"/>
        </w:rPr>
        <w:t xml:space="preserve">from the vial according to </w:t>
      </w:r>
      <w:r w:rsidR="00B57E69" w:rsidRPr="00EB3788">
        <w:rPr>
          <w:rFonts w:asciiTheme="majorHAnsi" w:hAnsiTheme="majorHAnsi"/>
        </w:rPr>
        <w:fldChar w:fldCharType="begin" w:fldLock="1"/>
      </w:r>
      <w:r w:rsidR="00B57E69" w:rsidRPr="00EB3788">
        <w:rPr>
          <w:rFonts w:asciiTheme="majorHAnsi" w:hAnsiTheme="majorHAnsi"/>
        </w:rPr>
        <w:instrText xml:space="preserve"> REF _Ref171086692 \h  \* MERGEFORMAT </w:instrText>
      </w:r>
      <w:r w:rsidR="00B57E69" w:rsidRPr="00EB3788">
        <w:rPr>
          <w:rFonts w:asciiTheme="majorHAnsi" w:hAnsiTheme="majorHAnsi"/>
        </w:rPr>
      </w:r>
      <w:r w:rsidR="00B57E69" w:rsidRPr="00EB3788">
        <w:rPr>
          <w:rFonts w:asciiTheme="majorHAnsi" w:hAnsiTheme="majorHAnsi"/>
        </w:rPr>
        <w:fldChar w:fldCharType="separate"/>
      </w:r>
      <w:r w:rsidR="00425866" w:rsidRPr="00EB3788">
        <w:rPr>
          <w:rFonts w:asciiTheme="majorHAnsi" w:hAnsiTheme="majorHAnsi"/>
          <w:color w:val="0000EE"/>
        </w:rPr>
        <w:t xml:space="preserve">Table </w:t>
      </w:r>
      <w:r w:rsidR="00425866" w:rsidRPr="00EB3788">
        <w:rPr>
          <w:color w:val="0000EE"/>
        </w:rPr>
        <w:t>4</w:t>
      </w:r>
      <w:r w:rsidR="00B57E69" w:rsidRPr="00EB3788">
        <w:rPr>
          <w:rFonts w:asciiTheme="majorHAnsi" w:hAnsiTheme="majorHAnsi"/>
        </w:rPr>
        <w:fldChar w:fldCharType="end"/>
      </w:r>
      <w:r w:rsidRPr="00EB3788">
        <w:rPr>
          <w:rFonts w:asciiTheme="majorHAnsi" w:hAnsiTheme="majorHAnsi"/>
        </w:rPr>
        <w:t>. Add the withdrawn volume to the infusion bag containing the</w:t>
      </w:r>
      <w:r w:rsidR="00B12EC9" w:rsidRPr="00EB3788">
        <w:rPr>
          <w:rFonts w:asciiTheme="majorHAnsi" w:hAnsiTheme="majorHAnsi"/>
        </w:rPr>
        <w:t xml:space="preserve"> </w:t>
      </w:r>
      <w:r w:rsidRPr="00EB3788">
        <w:rPr>
          <w:rFonts w:asciiTheme="majorHAnsi" w:hAnsiTheme="majorHAnsi"/>
        </w:rPr>
        <w:t>remainder of the 100 mL of sodium chloride 9 mg/ml (0.9%) solution for injection, or 5% dextrose</w:t>
      </w:r>
      <w:r w:rsidR="00705F8B" w:rsidRPr="00EB3788">
        <w:rPr>
          <w:rFonts w:asciiTheme="majorHAnsi" w:hAnsiTheme="majorHAnsi"/>
        </w:rPr>
        <w:t xml:space="preserve"> </w:t>
      </w:r>
      <w:r w:rsidRPr="00EB3788">
        <w:rPr>
          <w:rFonts w:asciiTheme="majorHAnsi" w:hAnsiTheme="majorHAnsi"/>
        </w:rPr>
        <w:t>injection, inspect the resulting diluted drug product solution in the infusion bag visually for particulate</w:t>
      </w:r>
      <w:r w:rsidR="00B12EC9" w:rsidRPr="00EB3788">
        <w:rPr>
          <w:rFonts w:asciiTheme="majorHAnsi" w:hAnsiTheme="majorHAnsi"/>
        </w:rPr>
        <w:t xml:space="preserve"> </w:t>
      </w:r>
      <w:r w:rsidRPr="00EB3788">
        <w:rPr>
          <w:rFonts w:asciiTheme="majorHAnsi" w:hAnsiTheme="majorHAnsi"/>
        </w:rPr>
        <w:t>matter and discoloration prior to use. Do not use</w:t>
      </w:r>
      <w:r w:rsidR="00B12EC9" w:rsidRPr="00EB3788">
        <w:rPr>
          <w:rFonts w:asciiTheme="majorHAnsi" w:hAnsiTheme="majorHAnsi"/>
        </w:rPr>
        <w:t xml:space="preserve"> </w:t>
      </w:r>
      <w:r w:rsidRPr="00EB3788">
        <w:rPr>
          <w:rFonts w:asciiTheme="majorHAnsi" w:hAnsiTheme="majorHAnsi"/>
        </w:rPr>
        <w:t>discoloured solutions or solutions with visible</w:t>
      </w:r>
      <w:r w:rsidR="00B12EC9" w:rsidRPr="00EB3788">
        <w:rPr>
          <w:rFonts w:asciiTheme="majorHAnsi" w:hAnsiTheme="majorHAnsi"/>
        </w:rPr>
        <w:t xml:space="preserve"> </w:t>
      </w:r>
      <w:r w:rsidRPr="00EB3788">
        <w:rPr>
          <w:rFonts w:asciiTheme="majorHAnsi" w:hAnsiTheme="majorHAnsi"/>
        </w:rPr>
        <w:t>particles.</w:t>
      </w:r>
    </w:p>
    <w:p w14:paraId="08141C26" w14:textId="35D151FF" w:rsidR="002B77DF" w:rsidRPr="00EB3788" w:rsidRDefault="002B77DF" w:rsidP="00446C37">
      <w:pPr>
        <w:pStyle w:val="Caption"/>
        <w:keepNext/>
        <w:rPr>
          <w:rFonts w:asciiTheme="majorHAnsi" w:hAnsiTheme="majorHAnsi"/>
          <w:b w:val="0"/>
          <w:bCs/>
          <w:i/>
          <w:iCs w:val="0"/>
          <w:szCs w:val="22"/>
        </w:rPr>
      </w:pPr>
      <w:bookmarkStart w:id="8" w:name="_Ref171086692"/>
      <w:r w:rsidRPr="00EB3788">
        <w:rPr>
          <w:rFonts w:asciiTheme="majorHAnsi" w:hAnsiTheme="majorHAnsi"/>
          <w:bCs/>
          <w:iCs w:val="0"/>
          <w:szCs w:val="22"/>
        </w:rPr>
        <w:t xml:space="preserve">Table </w:t>
      </w:r>
      <w:r w:rsidR="00B53B79" w:rsidRPr="00EB3788">
        <w:rPr>
          <w:rFonts w:asciiTheme="majorHAnsi" w:hAnsiTheme="majorHAnsi"/>
          <w:bCs/>
          <w:iCs w:val="0"/>
          <w:szCs w:val="22"/>
        </w:rPr>
        <w:fldChar w:fldCharType="begin"/>
      </w:r>
      <w:r w:rsidR="00B53B79" w:rsidRPr="00EB3788">
        <w:rPr>
          <w:rFonts w:asciiTheme="majorHAnsi" w:hAnsiTheme="majorHAnsi"/>
          <w:bCs/>
          <w:iCs w:val="0"/>
          <w:szCs w:val="22"/>
        </w:rPr>
        <w:instrText xml:space="preserve"> SEQ Table \* ARABIC </w:instrText>
      </w:r>
      <w:r w:rsidR="00B53B79" w:rsidRPr="00EB3788">
        <w:rPr>
          <w:rFonts w:asciiTheme="majorHAnsi" w:hAnsiTheme="majorHAnsi"/>
          <w:bCs/>
          <w:iCs w:val="0"/>
          <w:szCs w:val="22"/>
        </w:rPr>
        <w:fldChar w:fldCharType="separate"/>
      </w:r>
      <w:r w:rsidR="001E66F2" w:rsidRPr="004664E6">
        <w:rPr>
          <w:rFonts w:asciiTheme="majorHAnsi" w:hAnsiTheme="majorHAnsi"/>
          <w:bCs/>
          <w:iCs w:val="0"/>
          <w:szCs w:val="22"/>
        </w:rPr>
        <w:t>4</w:t>
      </w:r>
      <w:r w:rsidR="00B53B79" w:rsidRPr="00EB3788">
        <w:rPr>
          <w:rFonts w:asciiTheme="majorHAnsi" w:hAnsiTheme="majorHAnsi"/>
          <w:bCs/>
          <w:iCs w:val="0"/>
          <w:szCs w:val="22"/>
        </w:rPr>
        <w:fldChar w:fldCharType="end"/>
      </w:r>
      <w:bookmarkEnd w:id="8"/>
      <w:r w:rsidR="005A5C36" w:rsidRPr="00EB3788">
        <w:rPr>
          <w:rFonts w:asciiTheme="majorHAnsi" w:hAnsiTheme="majorHAnsi"/>
          <w:bCs/>
          <w:iCs w:val="0"/>
          <w:szCs w:val="22"/>
        </w:rPr>
        <w:t xml:space="preserve"> </w:t>
      </w:r>
      <w:r w:rsidR="00DB4928" w:rsidRPr="00EB3788">
        <w:rPr>
          <w:rFonts w:asciiTheme="majorHAnsi" w:hAnsiTheme="majorHAnsi"/>
          <w:bCs/>
          <w:iCs w:val="0"/>
          <w:szCs w:val="22"/>
        </w:rPr>
        <w:t xml:space="preserve">Preparation of </w:t>
      </w:r>
      <w:r w:rsidR="00CA399B" w:rsidRPr="00EB3788">
        <w:rPr>
          <w:rFonts w:asciiTheme="majorHAnsi" w:hAnsiTheme="majorHAnsi"/>
          <w:bCs/>
          <w:iCs w:val="0"/>
          <w:szCs w:val="22"/>
        </w:rPr>
        <w:t xml:space="preserve">Fetroja </w:t>
      </w:r>
      <w:r w:rsidR="00DB4928" w:rsidRPr="00EB3788">
        <w:rPr>
          <w:rFonts w:asciiTheme="majorHAnsi" w:hAnsiTheme="majorHAnsi"/>
          <w:bCs/>
          <w:iCs w:val="0"/>
          <w:szCs w:val="22"/>
        </w:rPr>
        <w:t>doses</w:t>
      </w:r>
    </w:p>
    <w:tbl>
      <w:tblPr>
        <w:tblW w:w="906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1130"/>
        <w:gridCol w:w="1427"/>
        <w:gridCol w:w="2832"/>
        <w:gridCol w:w="3680"/>
      </w:tblGrid>
      <w:tr w:rsidR="00755A65" w:rsidRPr="00EB3788" w14:paraId="21EBE0F5" w14:textId="77777777" w:rsidTr="00446C37">
        <w:trPr>
          <w:tblHeader/>
        </w:trPr>
        <w:tc>
          <w:tcPr>
            <w:tcW w:w="1131" w:type="dxa"/>
            <w:vAlign w:val="center"/>
          </w:tcPr>
          <w:p w14:paraId="3F671503" w14:textId="1E1D2B95" w:rsidR="00DB6D5D" w:rsidRPr="00EB3788" w:rsidRDefault="00CA399B" w:rsidP="00446C37">
            <w:pPr>
              <w:spacing w:after="0"/>
              <w:rPr>
                <w:rFonts w:asciiTheme="majorHAnsi" w:hAnsiTheme="majorHAnsi"/>
                <w:b/>
                <w:bCs/>
              </w:rPr>
            </w:pPr>
            <w:r w:rsidRPr="00EB3788">
              <w:rPr>
                <w:rFonts w:asciiTheme="majorHAnsi" w:hAnsiTheme="majorHAnsi"/>
                <w:b/>
                <w:bCs/>
              </w:rPr>
              <w:t>Fetroja</w:t>
            </w:r>
            <w:r w:rsidR="00591F55" w:rsidRPr="00EB3788">
              <w:rPr>
                <w:rFonts w:asciiTheme="majorHAnsi" w:hAnsiTheme="majorHAnsi"/>
                <w:b/>
                <w:bCs/>
              </w:rPr>
              <w:t xml:space="preserve"> dose</w:t>
            </w:r>
          </w:p>
        </w:tc>
        <w:tc>
          <w:tcPr>
            <w:tcW w:w="1418" w:type="dxa"/>
            <w:vAlign w:val="center"/>
          </w:tcPr>
          <w:p w14:paraId="709DE203" w14:textId="247EF31D" w:rsidR="00DB6D5D" w:rsidRPr="00EB3788" w:rsidRDefault="00C40F2B" w:rsidP="00446C37">
            <w:pPr>
              <w:spacing w:after="0"/>
              <w:rPr>
                <w:rFonts w:asciiTheme="majorHAnsi" w:hAnsiTheme="majorHAnsi"/>
                <w:b/>
                <w:bCs/>
              </w:rPr>
            </w:pPr>
            <w:r w:rsidRPr="00EB3788">
              <w:rPr>
                <w:rFonts w:asciiTheme="majorHAnsi" w:hAnsiTheme="majorHAnsi"/>
                <w:b/>
                <w:bCs/>
              </w:rPr>
              <w:t>Number of 1 g</w:t>
            </w:r>
            <w:r w:rsidR="00E91A81" w:rsidRPr="00EB3788">
              <w:rPr>
                <w:rFonts w:asciiTheme="majorHAnsi" w:hAnsiTheme="majorHAnsi" w:hint="eastAsia"/>
                <w:b/>
                <w:bCs/>
                <w:lang w:eastAsia="ja-JP"/>
              </w:rPr>
              <w:t xml:space="preserve"> </w:t>
            </w:r>
            <w:r w:rsidRPr="00EB3788">
              <w:rPr>
                <w:rFonts w:asciiTheme="majorHAnsi" w:hAnsiTheme="majorHAnsi"/>
                <w:b/>
                <w:bCs/>
              </w:rPr>
              <w:t>cefiderocol vials to be</w:t>
            </w:r>
            <w:r w:rsidR="00E91A81" w:rsidRPr="00EB3788">
              <w:rPr>
                <w:rFonts w:asciiTheme="majorHAnsi" w:hAnsiTheme="majorHAnsi" w:hint="eastAsia"/>
                <w:b/>
                <w:bCs/>
                <w:lang w:eastAsia="ja-JP"/>
              </w:rPr>
              <w:t xml:space="preserve"> </w:t>
            </w:r>
            <w:r w:rsidRPr="00EB3788">
              <w:rPr>
                <w:rFonts w:asciiTheme="majorHAnsi" w:hAnsiTheme="majorHAnsi"/>
                <w:b/>
                <w:bCs/>
              </w:rPr>
              <w:t>reconstituted</w:t>
            </w:r>
          </w:p>
        </w:tc>
        <w:tc>
          <w:tcPr>
            <w:tcW w:w="2835" w:type="dxa"/>
            <w:vAlign w:val="center"/>
          </w:tcPr>
          <w:p w14:paraId="73F489B1" w14:textId="3E194D47" w:rsidR="00DB6D5D" w:rsidRPr="00EB3788" w:rsidRDefault="00755A65" w:rsidP="00446C37">
            <w:pPr>
              <w:spacing w:after="0"/>
              <w:rPr>
                <w:rFonts w:asciiTheme="majorHAnsi" w:hAnsiTheme="majorHAnsi"/>
                <w:b/>
                <w:bCs/>
              </w:rPr>
            </w:pPr>
            <w:r w:rsidRPr="00EB3788">
              <w:rPr>
                <w:rFonts w:asciiTheme="majorHAnsi" w:hAnsiTheme="majorHAnsi"/>
                <w:b/>
                <w:bCs/>
              </w:rPr>
              <w:t>Volume to withdraw</w:t>
            </w:r>
            <w:r w:rsidR="00E91A81" w:rsidRPr="00EB3788">
              <w:rPr>
                <w:rFonts w:asciiTheme="majorHAnsi" w:hAnsiTheme="majorHAnsi" w:hint="eastAsia"/>
                <w:b/>
                <w:bCs/>
                <w:lang w:eastAsia="ja-JP"/>
              </w:rPr>
              <w:t xml:space="preserve"> </w:t>
            </w:r>
            <w:r w:rsidRPr="00EB3788">
              <w:rPr>
                <w:rFonts w:asciiTheme="majorHAnsi" w:hAnsiTheme="majorHAnsi"/>
                <w:b/>
                <w:bCs/>
              </w:rPr>
              <w:t>from reconstituted</w:t>
            </w:r>
            <w:r w:rsidR="00E91A81" w:rsidRPr="00EB3788">
              <w:rPr>
                <w:rFonts w:asciiTheme="majorHAnsi" w:hAnsiTheme="majorHAnsi" w:hint="eastAsia"/>
                <w:b/>
                <w:bCs/>
                <w:lang w:eastAsia="ja-JP"/>
              </w:rPr>
              <w:t xml:space="preserve"> </w:t>
            </w:r>
            <w:r w:rsidRPr="00EB3788">
              <w:rPr>
                <w:rFonts w:asciiTheme="majorHAnsi" w:hAnsiTheme="majorHAnsi"/>
                <w:b/>
                <w:bCs/>
              </w:rPr>
              <w:t>vial(s)</w:t>
            </w:r>
          </w:p>
        </w:tc>
        <w:tc>
          <w:tcPr>
            <w:tcW w:w="3685" w:type="dxa"/>
            <w:vAlign w:val="center"/>
          </w:tcPr>
          <w:p w14:paraId="07534E34" w14:textId="513551EF" w:rsidR="00DB6D5D" w:rsidRPr="00EB3788" w:rsidRDefault="00755A65" w:rsidP="00446C37">
            <w:pPr>
              <w:spacing w:after="0"/>
              <w:rPr>
                <w:rFonts w:asciiTheme="majorHAnsi" w:hAnsiTheme="majorHAnsi"/>
                <w:b/>
                <w:bCs/>
              </w:rPr>
            </w:pPr>
            <w:r w:rsidRPr="00EB3788">
              <w:rPr>
                <w:rFonts w:asciiTheme="majorHAnsi" w:hAnsiTheme="majorHAnsi"/>
                <w:b/>
                <w:bCs/>
              </w:rPr>
              <w:t>Total volume of cefiderocol</w:t>
            </w:r>
            <w:r w:rsidR="00041A37" w:rsidRPr="00EB3788">
              <w:rPr>
                <w:rFonts w:asciiTheme="majorHAnsi" w:hAnsiTheme="majorHAnsi"/>
                <w:b/>
                <w:bCs/>
              </w:rPr>
              <w:t xml:space="preserve"> </w:t>
            </w:r>
            <w:r w:rsidRPr="00EB3788">
              <w:rPr>
                <w:rFonts w:asciiTheme="majorHAnsi" w:hAnsiTheme="majorHAnsi"/>
                <w:b/>
                <w:bCs/>
              </w:rPr>
              <w:t>solution required for further</w:t>
            </w:r>
            <w:r w:rsidR="00041A37" w:rsidRPr="00EB3788">
              <w:rPr>
                <w:rFonts w:asciiTheme="majorHAnsi" w:hAnsiTheme="majorHAnsi"/>
                <w:b/>
                <w:bCs/>
              </w:rPr>
              <w:t xml:space="preserve"> </w:t>
            </w:r>
            <w:r w:rsidRPr="00EB3788">
              <w:rPr>
                <w:rFonts w:asciiTheme="majorHAnsi" w:hAnsiTheme="majorHAnsi"/>
                <w:b/>
                <w:bCs/>
              </w:rPr>
              <w:t>dilution in at least 100 mL of</w:t>
            </w:r>
            <w:r w:rsidR="00041A37" w:rsidRPr="00EB3788">
              <w:rPr>
                <w:rFonts w:asciiTheme="majorHAnsi" w:hAnsiTheme="majorHAnsi"/>
                <w:b/>
                <w:bCs/>
              </w:rPr>
              <w:t xml:space="preserve"> </w:t>
            </w:r>
            <w:r w:rsidRPr="00EB3788">
              <w:rPr>
                <w:rFonts w:asciiTheme="majorHAnsi" w:hAnsiTheme="majorHAnsi"/>
                <w:b/>
                <w:bCs/>
              </w:rPr>
              <w:t>0.9% sodium chloride</w:t>
            </w:r>
            <w:r w:rsidR="00041A37" w:rsidRPr="00EB3788">
              <w:rPr>
                <w:rFonts w:asciiTheme="majorHAnsi" w:hAnsiTheme="majorHAnsi"/>
                <w:b/>
                <w:bCs/>
              </w:rPr>
              <w:t xml:space="preserve"> </w:t>
            </w:r>
            <w:r w:rsidRPr="00EB3788">
              <w:rPr>
                <w:rFonts w:asciiTheme="majorHAnsi" w:hAnsiTheme="majorHAnsi"/>
                <w:b/>
                <w:bCs/>
              </w:rPr>
              <w:t>injection or 5% dextrose</w:t>
            </w:r>
            <w:r w:rsidR="00041A37" w:rsidRPr="00EB3788">
              <w:rPr>
                <w:rFonts w:asciiTheme="majorHAnsi" w:hAnsiTheme="majorHAnsi"/>
                <w:b/>
                <w:bCs/>
              </w:rPr>
              <w:t xml:space="preserve"> </w:t>
            </w:r>
            <w:r w:rsidRPr="00EB3788">
              <w:rPr>
                <w:rFonts w:asciiTheme="majorHAnsi" w:hAnsiTheme="majorHAnsi"/>
                <w:b/>
                <w:bCs/>
              </w:rPr>
              <w:t>injection</w:t>
            </w:r>
          </w:p>
        </w:tc>
      </w:tr>
      <w:tr w:rsidR="00755A65" w:rsidRPr="00EB3788" w14:paraId="1BEAEA34" w14:textId="77777777" w:rsidTr="00710FB2">
        <w:tc>
          <w:tcPr>
            <w:tcW w:w="1131" w:type="dxa"/>
            <w:vAlign w:val="center"/>
          </w:tcPr>
          <w:p w14:paraId="7121D617" w14:textId="77777777" w:rsidR="00DB6D5D" w:rsidRPr="00EB3788" w:rsidRDefault="00DB6D5D" w:rsidP="00446C37">
            <w:pPr>
              <w:spacing w:after="0"/>
              <w:rPr>
                <w:rFonts w:asciiTheme="majorHAnsi" w:hAnsiTheme="majorHAnsi"/>
              </w:rPr>
            </w:pPr>
            <w:r w:rsidRPr="00EB3788">
              <w:rPr>
                <w:rFonts w:asciiTheme="majorHAnsi" w:hAnsiTheme="majorHAnsi"/>
                <w:lang w:bidi="ja-JP"/>
              </w:rPr>
              <w:t>2 g</w:t>
            </w:r>
          </w:p>
        </w:tc>
        <w:tc>
          <w:tcPr>
            <w:tcW w:w="1418" w:type="dxa"/>
            <w:vAlign w:val="center"/>
          </w:tcPr>
          <w:p w14:paraId="3A1F2E50" w14:textId="77777777" w:rsidR="00DB6D5D" w:rsidRPr="00EB3788" w:rsidRDefault="00DB6D5D" w:rsidP="00446C37">
            <w:pPr>
              <w:spacing w:after="0"/>
              <w:rPr>
                <w:rFonts w:asciiTheme="majorHAnsi" w:hAnsiTheme="majorHAnsi"/>
              </w:rPr>
            </w:pPr>
            <w:r w:rsidRPr="00EB3788">
              <w:rPr>
                <w:rFonts w:asciiTheme="majorHAnsi" w:hAnsiTheme="majorHAnsi"/>
                <w:lang w:bidi="en-US"/>
              </w:rPr>
              <w:t>2 vials</w:t>
            </w:r>
          </w:p>
        </w:tc>
        <w:tc>
          <w:tcPr>
            <w:tcW w:w="2835" w:type="dxa"/>
            <w:vAlign w:val="center"/>
          </w:tcPr>
          <w:p w14:paraId="59407393" w14:textId="0595277A" w:rsidR="00DB6D5D" w:rsidRPr="00EB3788" w:rsidRDefault="00DB6D5D" w:rsidP="00446C37">
            <w:pPr>
              <w:spacing w:after="0"/>
              <w:rPr>
                <w:rFonts w:asciiTheme="majorHAnsi" w:hAnsiTheme="majorHAnsi"/>
              </w:rPr>
            </w:pPr>
          </w:p>
        </w:tc>
        <w:tc>
          <w:tcPr>
            <w:tcW w:w="3685" w:type="dxa"/>
            <w:vAlign w:val="center"/>
          </w:tcPr>
          <w:p w14:paraId="189EB74E" w14:textId="77777777" w:rsidR="00DB6D5D" w:rsidRPr="00EB3788" w:rsidRDefault="00DB6D5D" w:rsidP="00446C37">
            <w:pPr>
              <w:spacing w:after="0"/>
              <w:rPr>
                <w:rFonts w:asciiTheme="majorHAnsi" w:hAnsiTheme="majorHAnsi"/>
              </w:rPr>
            </w:pPr>
            <w:r w:rsidRPr="00EB3788">
              <w:rPr>
                <w:rFonts w:asciiTheme="majorHAnsi" w:hAnsiTheme="majorHAnsi"/>
                <w:lang w:bidi="ja-JP"/>
              </w:rPr>
              <w:t>22.4 mL</w:t>
            </w:r>
          </w:p>
        </w:tc>
      </w:tr>
      <w:tr w:rsidR="00755A65" w:rsidRPr="00EB3788" w14:paraId="6F84B558" w14:textId="77777777" w:rsidTr="00710FB2">
        <w:tc>
          <w:tcPr>
            <w:tcW w:w="1131" w:type="dxa"/>
            <w:vAlign w:val="center"/>
          </w:tcPr>
          <w:p w14:paraId="1E278F94" w14:textId="77777777" w:rsidR="00DB6D5D" w:rsidRPr="00EB3788" w:rsidRDefault="00DB6D5D" w:rsidP="00446C37">
            <w:pPr>
              <w:spacing w:after="0"/>
              <w:rPr>
                <w:rFonts w:asciiTheme="majorHAnsi" w:hAnsiTheme="majorHAnsi"/>
              </w:rPr>
            </w:pPr>
            <w:r w:rsidRPr="00EB3788">
              <w:rPr>
                <w:rFonts w:asciiTheme="majorHAnsi" w:hAnsiTheme="majorHAnsi"/>
                <w:lang w:bidi="ja-JP"/>
              </w:rPr>
              <w:lastRenderedPageBreak/>
              <w:t>1.5 g</w:t>
            </w:r>
          </w:p>
        </w:tc>
        <w:tc>
          <w:tcPr>
            <w:tcW w:w="1418" w:type="dxa"/>
            <w:vAlign w:val="center"/>
          </w:tcPr>
          <w:p w14:paraId="6EBBED91" w14:textId="77777777" w:rsidR="00DB6D5D" w:rsidRPr="00EB3788" w:rsidRDefault="00DB6D5D" w:rsidP="00446C37">
            <w:pPr>
              <w:spacing w:after="0"/>
              <w:rPr>
                <w:rFonts w:asciiTheme="majorHAnsi" w:hAnsiTheme="majorHAnsi"/>
              </w:rPr>
            </w:pPr>
            <w:r w:rsidRPr="00EB3788">
              <w:rPr>
                <w:rFonts w:asciiTheme="majorHAnsi" w:hAnsiTheme="majorHAnsi"/>
                <w:lang w:bidi="en-US"/>
              </w:rPr>
              <w:t>2 vials</w:t>
            </w:r>
          </w:p>
        </w:tc>
        <w:tc>
          <w:tcPr>
            <w:tcW w:w="2835" w:type="dxa"/>
            <w:vAlign w:val="center"/>
          </w:tcPr>
          <w:p w14:paraId="3A95B47C" w14:textId="7A008AA8" w:rsidR="00DB6D5D" w:rsidRPr="00EB3788" w:rsidRDefault="00933226" w:rsidP="00446C37">
            <w:pPr>
              <w:spacing w:after="0"/>
              <w:rPr>
                <w:rFonts w:asciiTheme="majorHAnsi" w:hAnsiTheme="majorHAnsi"/>
              </w:rPr>
            </w:pPr>
            <w:r w:rsidRPr="00EB3788">
              <w:rPr>
                <w:rFonts w:asciiTheme="majorHAnsi" w:hAnsiTheme="majorHAnsi"/>
              </w:rPr>
              <w:t>11.2 mL (entire</w:t>
            </w:r>
            <w:r w:rsidR="00E91A81" w:rsidRPr="00EB3788">
              <w:rPr>
                <w:rFonts w:asciiTheme="majorHAnsi" w:hAnsiTheme="majorHAnsi" w:hint="eastAsia"/>
                <w:lang w:eastAsia="ja-JP"/>
              </w:rPr>
              <w:t xml:space="preserve"> </w:t>
            </w:r>
            <w:r w:rsidRPr="00EB3788">
              <w:rPr>
                <w:rFonts w:asciiTheme="majorHAnsi" w:hAnsiTheme="majorHAnsi"/>
              </w:rPr>
              <w:t>contents) from first vial</w:t>
            </w:r>
            <w:r w:rsidR="00E91A81" w:rsidRPr="00EB3788">
              <w:rPr>
                <w:rFonts w:asciiTheme="majorHAnsi" w:hAnsiTheme="majorHAnsi" w:hint="eastAsia"/>
                <w:lang w:eastAsia="ja-JP"/>
              </w:rPr>
              <w:t xml:space="preserve"> </w:t>
            </w:r>
            <w:r w:rsidRPr="00EB3788">
              <w:rPr>
                <w:rFonts w:asciiTheme="majorHAnsi" w:hAnsiTheme="majorHAnsi"/>
              </w:rPr>
              <w:t>AND 5.6 mL from</w:t>
            </w:r>
            <w:r w:rsidR="00E91A81" w:rsidRPr="00EB3788">
              <w:rPr>
                <w:rFonts w:asciiTheme="majorHAnsi" w:hAnsiTheme="majorHAnsi" w:hint="eastAsia"/>
                <w:lang w:eastAsia="ja-JP"/>
              </w:rPr>
              <w:t xml:space="preserve"> </w:t>
            </w:r>
            <w:r w:rsidRPr="00EB3788">
              <w:rPr>
                <w:rFonts w:asciiTheme="majorHAnsi" w:hAnsiTheme="majorHAnsi"/>
              </w:rPr>
              <w:t>second vial</w:t>
            </w:r>
          </w:p>
        </w:tc>
        <w:tc>
          <w:tcPr>
            <w:tcW w:w="3685" w:type="dxa"/>
            <w:vAlign w:val="center"/>
          </w:tcPr>
          <w:p w14:paraId="1C39C69A" w14:textId="77777777" w:rsidR="00DB6D5D" w:rsidRPr="00EB3788" w:rsidRDefault="00DB6D5D" w:rsidP="00446C37">
            <w:pPr>
              <w:spacing w:after="0"/>
              <w:rPr>
                <w:rFonts w:asciiTheme="majorHAnsi" w:hAnsiTheme="majorHAnsi"/>
              </w:rPr>
            </w:pPr>
            <w:r w:rsidRPr="00EB3788">
              <w:rPr>
                <w:rFonts w:asciiTheme="majorHAnsi" w:hAnsiTheme="majorHAnsi"/>
                <w:lang w:bidi="ja-JP"/>
              </w:rPr>
              <w:t>16.8 mL</w:t>
            </w:r>
          </w:p>
        </w:tc>
      </w:tr>
      <w:tr w:rsidR="00755A65" w:rsidRPr="00EB3788" w14:paraId="06C1474A" w14:textId="77777777" w:rsidTr="00710FB2">
        <w:tc>
          <w:tcPr>
            <w:tcW w:w="1131" w:type="dxa"/>
            <w:vAlign w:val="center"/>
          </w:tcPr>
          <w:p w14:paraId="512DE209" w14:textId="77777777" w:rsidR="00DB6D5D" w:rsidRPr="00EB3788" w:rsidRDefault="00DB6D5D" w:rsidP="00446C37">
            <w:pPr>
              <w:spacing w:after="0"/>
              <w:rPr>
                <w:rFonts w:asciiTheme="majorHAnsi" w:hAnsiTheme="majorHAnsi"/>
              </w:rPr>
            </w:pPr>
            <w:r w:rsidRPr="00EB3788">
              <w:rPr>
                <w:rFonts w:asciiTheme="majorHAnsi" w:hAnsiTheme="majorHAnsi"/>
                <w:lang w:bidi="ja-JP"/>
              </w:rPr>
              <w:t>1 g</w:t>
            </w:r>
          </w:p>
        </w:tc>
        <w:tc>
          <w:tcPr>
            <w:tcW w:w="1418" w:type="dxa"/>
            <w:vAlign w:val="center"/>
          </w:tcPr>
          <w:p w14:paraId="684550DA" w14:textId="77777777" w:rsidR="00DB6D5D" w:rsidRPr="00EB3788" w:rsidRDefault="00DB6D5D" w:rsidP="00446C37">
            <w:pPr>
              <w:spacing w:after="0"/>
              <w:rPr>
                <w:rFonts w:asciiTheme="majorHAnsi" w:hAnsiTheme="majorHAnsi"/>
              </w:rPr>
            </w:pPr>
            <w:r w:rsidRPr="00EB3788">
              <w:rPr>
                <w:rFonts w:asciiTheme="majorHAnsi" w:hAnsiTheme="majorHAnsi"/>
                <w:lang w:bidi="en-US"/>
              </w:rPr>
              <w:t>1 vial</w:t>
            </w:r>
          </w:p>
        </w:tc>
        <w:tc>
          <w:tcPr>
            <w:tcW w:w="2835" w:type="dxa"/>
            <w:vAlign w:val="center"/>
          </w:tcPr>
          <w:p w14:paraId="463BB661" w14:textId="05AF1225" w:rsidR="00DB6D5D" w:rsidRPr="00EB3788" w:rsidRDefault="00933226" w:rsidP="00446C37">
            <w:pPr>
              <w:spacing w:after="0"/>
              <w:rPr>
                <w:rFonts w:asciiTheme="majorHAnsi" w:hAnsiTheme="majorHAnsi"/>
              </w:rPr>
            </w:pPr>
            <w:r w:rsidRPr="00EB3788">
              <w:rPr>
                <w:rFonts w:asciiTheme="majorHAnsi" w:hAnsiTheme="majorHAnsi"/>
              </w:rPr>
              <w:t>11.2 mL (entire contents)</w:t>
            </w:r>
          </w:p>
        </w:tc>
        <w:tc>
          <w:tcPr>
            <w:tcW w:w="3685" w:type="dxa"/>
            <w:vAlign w:val="center"/>
          </w:tcPr>
          <w:p w14:paraId="7BD07263" w14:textId="77777777" w:rsidR="00DB6D5D" w:rsidRPr="00EB3788" w:rsidRDefault="00DB6D5D" w:rsidP="00446C37">
            <w:pPr>
              <w:spacing w:after="0"/>
              <w:rPr>
                <w:rFonts w:asciiTheme="majorHAnsi" w:hAnsiTheme="majorHAnsi"/>
              </w:rPr>
            </w:pPr>
            <w:r w:rsidRPr="00EB3788">
              <w:rPr>
                <w:rFonts w:asciiTheme="majorHAnsi" w:hAnsiTheme="majorHAnsi"/>
                <w:lang w:bidi="ja-JP"/>
              </w:rPr>
              <w:t>11.2 mL</w:t>
            </w:r>
          </w:p>
        </w:tc>
      </w:tr>
      <w:tr w:rsidR="00755A65" w:rsidRPr="00EB3788" w14:paraId="7CD5539B" w14:textId="77777777" w:rsidTr="00710FB2">
        <w:tc>
          <w:tcPr>
            <w:tcW w:w="1131" w:type="dxa"/>
            <w:vAlign w:val="center"/>
          </w:tcPr>
          <w:p w14:paraId="3FD89728" w14:textId="77777777" w:rsidR="00DB6D5D" w:rsidRPr="00EB3788" w:rsidRDefault="00DB6D5D" w:rsidP="00446C37">
            <w:pPr>
              <w:spacing w:after="0"/>
              <w:rPr>
                <w:rFonts w:asciiTheme="majorHAnsi" w:hAnsiTheme="majorHAnsi"/>
              </w:rPr>
            </w:pPr>
            <w:r w:rsidRPr="00EB3788">
              <w:rPr>
                <w:rFonts w:asciiTheme="majorHAnsi" w:hAnsiTheme="majorHAnsi"/>
                <w:lang w:bidi="ja-JP"/>
              </w:rPr>
              <w:t>0.75 g</w:t>
            </w:r>
          </w:p>
        </w:tc>
        <w:tc>
          <w:tcPr>
            <w:tcW w:w="1418" w:type="dxa"/>
            <w:vAlign w:val="center"/>
          </w:tcPr>
          <w:p w14:paraId="732BB8FD" w14:textId="77777777" w:rsidR="00DB6D5D" w:rsidRPr="00EB3788" w:rsidRDefault="00DB6D5D" w:rsidP="00446C37">
            <w:pPr>
              <w:spacing w:after="0"/>
              <w:rPr>
                <w:rFonts w:asciiTheme="majorHAnsi" w:hAnsiTheme="majorHAnsi"/>
              </w:rPr>
            </w:pPr>
            <w:r w:rsidRPr="00EB3788">
              <w:rPr>
                <w:rFonts w:asciiTheme="majorHAnsi" w:hAnsiTheme="majorHAnsi"/>
                <w:lang w:bidi="en-US"/>
              </w:rPr>
              <w:t>1 vial</w:t>
            </w:r>
          </w:p>
        </w:tc>
        <w:tc>
          <w:tcPr>
            <w:tcW w:w="2835" w:type="dxa"/>
            <w:vAlign w:val="center"/>
          </w:tcPr>
          <w:p w14:paraId="6F64AB7B" w14:textId="77777777" w:rsidR="00DB6D5D" w:rsidRPr="00EB3788" w:rsidRDefault="00DB6D5D" w:rsidP="00446C37">
            <w:pPr>
              <w:spacing w:after="0"/>
              <w:rPr>
                <w:rFonts w:asciiTheme="majorHAnsi" w:hAnsiTheme="majorHAnsi"/>
              </w:rPr>
            </w:pPr>
            <w:r w:rsidRPr="00EB3788">
              <w:rPr>
                <w:rFonts w:asciiTheme="majorHAnsi" w:hAnsiTheme="majorHAnsi"/>
                <w:lang w:bidi="ja-JP"/>
              </w:rPr>
              <w:t>8.4 mL</w:t>
            </w:r>
          </w:p>
        </w:tc>
        <w:tc>
          <w:tcPr>
            <w:tcW w:w="3685" w:type="dxa"/>
            <w:vAlign w:val="center"/>
          </w:tcPr>
          <w:p w14:paraId="04138B58" w14:textId="77777777" w:rsidR="00DB6D5D" w:rsidRPr="00EB3788" w:rsidRDefault="00DB6D5D" w:rsidP="00446C37">
            <w:pPr>
              <w:spacing w:after="0"/>
              <w:rPr>
                <w:rFonts w:asciiTheme="majorHAnsi" w:hAnsiTheme="majorHAnsi"/>
              </w:rPr>
            </w:pPr>
            <w:r w:rsidRPr="00EB3788">
              <w:rPr>
                <w:rFonts w:asciiTheme="majorHAnsi" w:hAnsiTheme="majorHAnsi"/>
                <w:lang w:bidi="ja-JP"/>
              </w:rPr>
              <w:t>8.4 mL</w:t>
            </w:r>
          </w:p>
        </w:tc>
      </w:tr>
    </w:tbl>
    <w:p w14:paraId="3DD5BF32" w14:textId="7729B744" w:rsidR="003206C2" w:rsidRPr="00EB3788" w:rsidRDefault="00E4593F" w:rsidP="00446C37">
      <w:pPr>
        <w:spacing w:before="240"/>
        <w:rPr>
          <w:rFonts w:asciiTheme="majorHAnsi" w:hAnsiTheme="majorHAnsi"/>
        </w:rPr>
      </w:pPr>
      <w:r w:rsidRPr="00EB3788">
        <w:rPr>
          <w:rFonts w:asciiTheme="majorHAnsi" w:hAnsiTheme="majorHAnsi"/>
        </w:rPr>
        <w:t>Standard aseptic techniques should be used for solution preparation and administration.</w:t>
      </w:r>
    </w:p>
    <w:p w14:paraId="12A8F735" w14:textId="7295CF77" w:rsidR="009D13BF" w:rsidRPr="00EB3788" w:rsidRDefault="00831F1A" w:rsidP="00446C37">
      <w:pPr>
        <w:spacing w:before="240"/>
        <w:ind w:rightChars="-20" w:right="-44"/>
        <w:rPr>
          <w:rFonts w:asciiTheme="majorHAnsi" w:hAnsiTheme="majorHAnsi"/>
        </w:rPr>
      </w:pPr>
      <w:r w:rsidRPr="00EB3788">
        <w:rPr>
          <w:rFonts w:asciiTheme="majorHAnsi" w:hAnsiTheme="majorHAnsi"/>
        </w:rPr>
        <w:t>If treatment with a combination of another medicinal product and Fetroja is unavoidable,</w:t>
      </w:r>
      <w:r w:rsidR="00303C49" w:rsidRPr="00EB3788">
        <w:rPr>
          <w:rFonts w:asciiTheme="majorHAnsi" w:hAnsiTheme="majorHAnsi"/>
        </w:rPr>
        <w:t xml:space="preserve"> </w:t>
      </w:r>
      <w:r w:rsidRPr="00EB3788">
        <w:rPr>
          <w:rFonts w:asciiTheme="majorHAnsi" w:hAnsiTheme="majorHAnsi"/>
        </w:rPr>
        <w:t>administration should not occur in the same syringe or in the same infusion solution. It is</w:t>
      </w:r>
      <w:r w:rsidR="00303C49" w:rsidRPr="00EB3788">
        <w:rPr>
          <w:rFonts w:asciiTheme="majorHAnsi" w:hAnsiTheme="majorHAnsi"/>
        </w:rPr>
        <w:t xml:space="preserve"> </w:t>
      </w:r>
      <w:r w:rsidRPr="00EB3788">
        <w:rPr>
          <w:rFonts w:asciiTheme="majorHAnsi" w:hAnsiTheme="majorHAnsi"/>
        </w:rPr>
        <w:t>recommended to adequately flush intravenous lines between administration of different medicinal</w:t>
      </w:r>
      <w:r w:rsidR="00303C49" w:rsidRPr="00EB3788">
        <w:rPr>
          <w:rFonts w:asciiTheme="majorHAnsi" w:hAnsiTheme="majorHAnsi"/>
        </w:rPr>
        <w:t xml:space="preserve"> </w:t>
      </w:r>
      <w:r w:rsidRPr="00EB3788">
        <w:rPr>
          <w:rFonts w:asciiTheme="majorHAnsi" w:hAnsiTheme="majorHAnsi"/>
        </w:rPr>
        <w:t>products.</w:t>
      </w:r>
    </w:p>
    <w:p w14:paraId="3E440B53" w14:textId="77777777" w:rsidR="001A3992" w:rsidRPr="00EB3788" w:rsidRDefault="001A3992" w:rsidP="00446C37">
      <w:pPr>
        <w:pStyle w:val="Heading2"/>
        <w:spacing w:before="0" w:after="120"/>
      </w:pPr>
      <w:bookmarkStart w:id="9" w:name="_Contraindications"/>
      <w:bookmarkStart w:id="10" w:name="_Ref172556227"/>
      <w:bookmarkEnd w:id="9"/>
      <w:r w:rsidRPr="00EB3788">
        <w:t>Contraindications</w:t>
      </w:r>
      <w:bookmarkEnd w:id="10"/>
    </w:p>
    <w:p w14:paraId="346C8AC5" w14:textId="3E7AEEDD" w:rsidR="00FD7B39" w:rsidRPr="00EB3788" w:rsidRDefault="7A53BCB5" w:rsidP="00446C37">
      <w:pPr>
        <w:rPr>
          <w:rFonts w:asciiTheme="majorHAnsi" w:hAnsiTheme="majorHAnsi"/>
        </w:rPr>
      </w:pPr>
      <w:r w:rsidRPr="00EB3788">
        <w:rPr>
          <w:rFonts w:asciiTheme="majorHAnsi" w:hAnsiTheme="majorHAnsi"/>
        </w:rPr>
        <w:t xml:space="preserve">Severe </w:t>
      </w:r>
      <w:r w:rsidR="000C5ED3" w:rsidRPr="00EB3788">
        <w:rPr>
          <w:rFonts w:asciiTheme="majorHAnsi" w:hAnsiTheme="majorHAnsi"/>
        </w:rPr>
        <w:t>h</w:t>
      </w:r>
      <w:r w:rsidRPr="00EB3788">
        <w:rPr>
          <w:rFonts w:asciiTheme="majorHAnsi" w:hAnsiTheme="majorHAnsi"/>
        </w:rPr>
        <w:t xml:space="preserve">ypersensitivity to the active substance or to any of the excipients listed in </w:t>
      </w:r>
      <w:hyperlink w:anchor="_List_of_excipients" w:history="1">
        <w:r w:rsidR="000C5ED3" w:rsidRPr="00EB3788">
          <w:rPr>
            <w:rStyle w:val="Hyperlink"/>
            <w:rFonts w:asciiTheme="majorHAnsi" w:hAnsiTheme="majorHAnsi"/>
            <w:u w:val="none"/>
          </w:rPr>
          <w:t>S</w:t>
        </w:r>
        <w:r w:rsidRPr="00EB3788">
          <w:rPr>
            <w:rStyle w:val="Hyperlink"/>
            <w:rFonts w:asciiTheme="majorHAnsi" w:hAnsiTheme="majorHAnsi"/>
            <w:u w:val="none"/>
          </w:rPr>
          <w:t>ection 6.1</w:t>
        </w:r>
      </w:hyperlink>
      <w:r w:rsidRPr="00EB3788">
        <w:rPr>
          <w:rFonts w:asciiTheme="majorHAnsi" w:hAnsiTheme="majorHAnsi"/>
          <w:color w:val="0000EE"/>
        </w:rPr>
        <w:t>.</w:t>
      </w:r>
      <w:r w:rsidR="00475241" w:rsidRPr="00EB3788">
        <w:rPr>
          <w:rFonts w:asciiTheme="majorHAnsi" w:hAnsiTheme="majorHAnsi"/>
          <w:color w:val="0000EE"/>
        </w:rPr>
        <w:t xml:space="preserve"> </w:t>
      </w:r>
      <w:r w:rsidR="00475241" w:rsidRPr="00EB3788">
        <w:rPr>
          <w:rFonts w:asciiTheme="majorHAnsi" w:hAnsiTheme="majorHAnsi"/>
          <w:color w:val="0000EE"/>
        </w:rPr>
        <w:fldChar w:fldCharType="begin" w:fldLock="1"/>
      </w:r>
      <w:r w:rsidR="00475241" w:rsidRPr="00EB3788">
        <w:rPr>
          <w:rFonts w:asciiTheme="majorHAnsi" w:hAnsiTheme="majorHAnsi"/>
          <w:color w:val="0000EE"/>
        </w:rPr>
        <w:instrText xml:space="preserve"> REF _Ref172556131 \h  \* MERGEFORMAT </w:instrText>
      </w:r>
      <w:r w:rsidR="00475241" w:rsidRPr="00EB3788">
        <w:rPr>
          <w:rFonts w:asciiTheme="majorHAnsi" w:hAnsiTheme="majorHAnsi"/>
          <w:color w:val="0000EE"/>
        </w:rPr>
      </w:r>
      <w:r w:rsidR="00475241" w:rsidRPr="00EB3788">
        <w:rPr>
          <w:rFonts w:asciiTheme="majorHAnsi" w:hAnsiTheme="majorHAnsi"/>
          <w:color w:val="0000EE"/>
        </w:rPr>
        <w:fldChar w:fldCharType="separate"/>
      </w:r>
      <w:r w:rsidR="00425866" w:rsidRPr="00EB3788">
        <w:rPr>
          <w:rFonts w:asciiTheme="majorHAnsi" w:hAnsiTheme="majorHAnsi" w:cstheme="minorHAnsi"/>
          <w:color w:val="0000EE"/>
        </w:rPr>
        <w:t>List of excipients</w:t>
      </w:r>
      <w:r w:rsidR="00475241" w:rsidRPr="00EB3788">
        <w:rPr>
          <w:rFonts w:asciiTheme="majorHAnsi" w:hAnsiTheme="majorHAnsi"/>
          <w:color w:val="0000EE"/>
        </w:rPr>
        <w:fldChar w:fldCharType="end"/>
      </w:r>
      <w:r w:rsidR="00475241" w:rsidRPr="00EB3788">
        <w:rPr>
          <w:rFonts w:asciiTheme="majorHAnsi" w:hAnsiTheme="majorHAnsi"/>
        </w:rPr>
        <w:t>.</w:t>
      </w:r>
    </w:p>
    <w:p w14:paraId="35D30DC2" w14:textId="164367FB" w:rsidR="00FD7B39" w:rsidRPr="00EB3788" w:rsidRDefault="249C3041" w:rsidP="00446C37">
      <w:pPr>
        <w:rPr>
          <w:rFonts w:asciiTheme="majorHAnsi" w:hAnsiTheme="majorHAnsi"/>
        </w:rPr>
      </w:pPr>
      <w:r w:rsidRPr="00EB3788">
        <w:rPr>
          <w:rFonts w:asciiTheme="majorHAnsi" w:hAnsiTheme="majorHAnsi"/>
        </w:rPr>
        <w:t xml:space="preserve">Severe hypersensitivity (severe systemic allergic reactions such as anaphylaxis occurring) to any other type of </w:t>
      </w:r>
      <w:proofErr w:type="spellStart"/>
      <w:r w:rsidRPr="00EB3788">
        <w:rPr>
          <w:rFonts w:asciiTheme="majorHAnsi" w:hAnsiTheme="majorHAnsi"/>
        </w:rPr>
        <w:t>betalactam</w:t>
      </w:r>
      <w:proofErr w:type="spellEnd"/>
      <w:r w:rsidRPr="00EB3788">
        <w:rPr>
          <w:rFonts w:asciiTheme="majorHAnsi" w:hAnsiTheme="majorHAnsi"/>
        </w:rPr>
        <w:t xml:space="preserve"> antibacterial agent</w:t>
      </w:r>
      <w:r w:rsidR="00020EAD" w:rsidRPr="00EB3788">
        <w:rPr>
          <w:rFonts w:asciiTheme="majorHAnsi" w:hAnsiTheme="majorHAnsi"/>
        </w:rPr>
        <w:t>.</w:t>
      </w:r>
      <w:r w:rsidRPr="00EB3788">
        <w:rPr>
          <w:rFonts w:asciiTheme="majorHAnsi" w:hAnsiTheme="majorHAnsi"/>
        </w:rPr>
        <w:t xml:space="preserve"> </w:t>
      </w:r>
    </w:p>
    <w:p w14:paraId="53734432" w14:textId="2C1E1101" w:rsidR="001A3992" w:rsidRPr="00EB3788" w:rsidRDefault="0A8CC45E" w:rsidP="00446C37">
      <w:pPr>
        <w:pStyle w:val="Heading2"/>
        <w:spacing w:before="0" w:after="120"/>
      </w:pPr>
      <w:bookmarkStart w:id="11" w:name="_Special_warnings_and"/>
      <w:bookmarkStart w:id="12" w:name="_Ref176175130"/>
      <w:bookmarkEnd w:id="11"/>
      <w:r w:rsidRPr="00EB3788">
        <w:t>Special warnings and precautions for use</w:t>
      </w:r>
      <w:bookmarkEnd w:id="12"/>
    </w:p>
    <w:p w14:paraId="62D35B4E" w14:textId="190E370C" w:rsidR="00BE739E" w:rsidRPr="00EB3788" w:rsidRDefault="00B80184" w:rsidP="00446C37">
      <w:pPr>
        <w:pStyle w:val="Heading3"/>
        <w:spacing w:before="0" w:after="120"/>
        <w:ind w:left="0"/>
      </w:pPr>
      <w:r w:rsidRPr="004664E6">
        <w:t xml:space="preserve">Development of </w:t>
      </w:r>
      <w:proofErr w:type="gramStart"/>
      <w:r w:rsidR="0070551A" w:rsidRPr="004664E6">
        <w:rPr>
          <w:lang w:eastAsia="ja-JP"/>
        </w:rPr>
        <w:t>d</w:t>
      </w:r>
      <w:r w:rsidRPr="004664E6">
        <w:t xml:space="preserve">rug </w:t>
      </w:r>
      <w:r w:rsidR="0070551A" w:rsidRPr="004664E6">
        <w:rPr>
          <w:lang w:eastAsia="ja-JP"/>
        </w:rPr>
        <w:t>r</w:t>
      </w:r>
      <w:r w:rsidRPr="004664E6">
        <w:t>esistant</w:t>
      </w:r>
      <w:proofErr w:type="gramEnd"/>
      <w:r w:rsidRPr="004664E6">
        <w:t xml:space="preserve"> </w:t>
      </w:r>
      <w:r w:rsidR="0070551A" w:rsidRPr="004664E6">
        <w:rPr>
          <w:lang w:eastAsia="ja-JP"/>
        </w:rPr>
        <w:t>b</w:t>
      </w:r>
      <w:r w:rsidRPr="004664E6">
        <w:t>acteria</w:t>
      </w:r>
    </w:p>
    <w:p w14:paraId="18CB850B" w14:textId="55629B9F" w:rsidR="00B80184" w:rsidRPr="004664E6" w:rsidRDefault="00B80184" w:rsidP="00446C37">
      <w:pPr>
        <w:spacing w:before="100" w:beforeAutospacing="1" w:after="100" w:afterAutospacing="1"/>
        <w:rPr>
          <w:rFonts w:asciiTheme="majorHAnsi" w:hAnsiTheme="majorHAnsi" w:cs="Times New Roman"/>
          <w:lang w:eastAsia="ja-JP"/>
        </w:rPr>
      </w:pPr>
      <w:r w:rsidRPr="004664E6">
        <w:rPr>
          <w:rFonts w:asciiTheme="majorHAnsi" w:eastAsia="Times New Roman" w:hAnsiTheme="majorHAnsi" w:cs="Times New Roman"/>
          <w:lang w:eastAsia="en-AU"/>
        </w:rPr>
        <w:t xml:space="preserve">Prescribing </w:t>
      </w:r>
      <w:r w:rsidR="00104773" w:rsidRPr="004664E6">
        <w:rPr>
          <w:rFonts w:asciiTheme="majorHAnsi" w:eastAsia="Times New Roman" w:hAnsiTheme="majorHAnsi" w:cs="Times New Roman"/>
          <w:lang w:eastAsia="en-AU"/>
        </w:rPr>
        <w:t xml:space="preserve">Fetroja </w:t>
      </w:r>
      <w:r w:rsidRPr="004664E6">
        <w:rPr>
          <w:rFonts w:asciiTheme="majorHAnsi" w:eastAsia="Times New Roman" w:hAnsiTheme="majorHAnsi" w:cs="Times New Roman"/>
          <w:lang w:eastAsia="en-AU"/>
        </w:rPr>
        <w:t>in the absence of a proven or strongly suspected bacterial infection is unlikely to provide benefit to the patient and risks the development of drug-resistant bacteria.</w:t>
      </w:r>
    </w:p>
    <w:p w14:paraId="2C7A2351" w14:textId="3D2DC8FD" w:rsidR="7FC69272" w:rsidRPr="00EB3788" w:rsidRDefault="00D01B2F" w:rsidP="00446C37">
      <w:pPr>
        <w:pStyle w:val="Heading3"/>
        <w:spacing w:after="240"/>
        <w:ind w:left="0"/>
      </w:pPr>
      <w:r w:rsidRPr="00EB3788">
        <w:t xml:space="preserve">Hypersensitivity </w:t>
      </w:r>
      <w:r w:rsidR="004756AE" w:rsidRPr="00EB3788">
        <w:t>reactions</w:t>
      </w:r>
    </w:p>
    <w:p w14:paraId="600687AC" w14:textId="3445379A" w:rsidR="7FC69272" w:rsidRPr="00EB3788" w:rsidRDefault="6F26C39E" w:rsidP="00446C37">
      <w:pPr>
        <w:spacing w:after="240"/>
        <w:rPr>
          <w:rFonts w:asciiTheme="majorHAnsi" w:hAnsiTheme="majorHAnsi"/>
        </w:rPr>
      </w:pPr>
      <w:r w:rsidRPr="00EB3788">
        <w:rPr>
          <w:rFonts w:asciiTheme="majorHAnsi" w:hAnsiTheme="majorHAnsi"/>
        </w:rPr>
        <w:t xml:space="preserve">Hypersensitivity has been reported with </w:t>
      </w:r>
      <w:r w:rsidR="00016FD9" w:rsidRPr="00EB3788">
        <w:rPr>
          <w:rFonts w:asciiTheme="majorHAnsi" w:hAnsiTheme="majorHAnsi"/>
        </w:rPr>
        <w:t>cefiderocol</w:t>
      </w:r>
      <w:r w:rsidRPr="00EB3788">
        <w:rPr>
          <w:rFonts w:asciiTheme="majorHAnsi" w:hAnsiTheme="majorHAnsi"/>
        </w:rPr>
        <w:t>.</w:t>
      </w:r>
    </w:p>
    <w:p w14:paraId="7DC005F0" w14:textId="2EE3DDE7" w:rsidR="7FC69272" w:rsidRPr="00EB3788" w:rsidRDefault="3E403999" w:rsidP="00446C37">
      <w:pPr>
        <w:rPr>
          <w:rFonts w:asciiTheme="majorHAnsi" w:hAnsiTheme="majorHAnsi"/>
        </w:rPr>
      </w:pPr>
      <w:r w:rsidRPr="00EB3788">
        <w:rPr>
          <w:rFonts w:asciiTheme="majorHAnsi" w:hAnsiTheme="majorHAnsi"/>
        </w:rPr>
        <w:t xml:space="preserve">Patients who have a history of hypersensitivity to carbapenems, penicillins or other beta-lactam antibacterial medicinal products may also be hypersensitive to </w:t>
      </w:r>
      <w:r w:rsidR="001E6D61" w:rsidRPr="00EB3788">
        <w:rPr>
          <w:rFonts w:asciiTheme="majorHAnsi" w:hAnsiTheme="majorHAnsi"/>
        </w:rPr>
        <w:t>cefiderocol</w:t>
      </w:r>
      <w:r w:rsidRPr="00EB3788">
        <w:rPr>
          <w:rFonts w:asciiTheme="majorHAnsi" w:hAnsiTheme="majorHAnsi"/>
        </w:rPr>
        <w:t xml:space="preserve">. Before initiating therapy with Fetroja, careful inquiry should be made concerning previous hypersensitivity reactions to beta-lactam antibiotics (see </w:t>
      </w:r>
      <w:hyperlink w:anchor="_Contraindications" w:history="1">
        <w:r w:rsidR="00020EAD" w:rsidRPr="00EB3788">
          <w:rPr>
            <w:rStyle w:val="Hyperlink"/>
            <w:rFonts w:asciiTheme="majorHAnsi" w:hAnsiTheme="majorHAnsi"/>
            <w:color w:val="0000EE"/>
            <w:u w:val="none"/>
          </w:rPr>
          <w:t>S</w:t>
        </w:r>
        <w:r w:rsidRPr="00EB3788">
          <w:rPr>
            <w:rStyle w:val="Hyperlink"/>
            <w:rFonts w:asciiTheme="majorHAnsi" w:hAnsiTheme="majorHAnsi"/>
            <w:color w:val="0000EE"/>
            <w:u w:val="none"/>
          </w:rPr>
          <w:t>ection 4.3</w:t>
        </w:r>
        <w:r w:rsidR="00D541C5" w:rsidRPr="00EB3788">
          <w:rPr>
            <w:rStyle w:val="Hyperlink"/>
            <w:rFonts w:asciiTheme="majorHAnsi" w:hAnsiTheme="majorHAnsi"/>
            <w:color w:val="0000EE"/>
            <w:u w:val="none"/>
          </w:rPr>
          <w:t xml:space="preserve"> </w:t>
        </w:r>
        <w:r w:rsidR="00D541C5" w:rsidRPr="00EB3788">
          <w:rPr>
            <w:rStyle w:val="Hyperlink"/>
            <w:rFonts w:asciiTheme="majorHAnsi" w:hAnsiTheme="majorHAnsi"/>
            <w:color w:val="0000EE"/>
            <w:u w:val="none"/>
          </w:rPr>
          <w:fldChar w:fldCharType="begin" w:fldLock="1"/>
        </w:r>
        <w:r w:rsidR="00D541C5" w:rsidRPr="00EB3788">
          <w:rPr>
            <w:rStyle w:val="Hyperlink"/>
            <w:rFonts w:asciiTheme="majorHAnsi" w:hAnsiTheme="majorHAnsi"/>
            <w:color w:val="0000EE"/>
            <w:u w:val="none"/>
          </w:rPr>
          <w:instrText xml:space="preserve"> REF _Ref172556227 \h  \* MERGEFORMAT </w:instrText>
        </w:r>
        <w:r w:rsidR="00D541C5" w:rsidRPr="00EB3788">
          <w:rPr>
            <w:rStyle w:val="Hyperlink"/>
            <w:rFonts w:asciiTheme="majorHAnsi" w:hAnsiTheme="majorHAnsi"/>
            <w:color w:val="0000EE"/>
            <w:u w:val="none"/>
          </w:rPr>
        </w:r>
        <w:r w:rsidR="00D541C5" w:rsidRPr="00EB3788">
          <w:rPr>
            <w:rStyle w:val="Hyperlink"/>
            <w:rFonts w:asciiTheme="majorHAnsi" w:hAnsiTheme="majorHAnsi"/>
            <w:color w:val="0000EE"/>
            <w:u w:val="none"/>
          </w:rPr>
          <w:fldChar w:fldCharType="separate"/>
        </w:r>
        <w:r w:rsidR="00425866" w:rsidRPr="00EB3788">
          <w:rPr>
            <w:rFonts w:asciiTheme="majorHAnsi" w:hAnsiTheme="majorHAnsi"/>
            <w:color w:val="0000EE"/>
          </w:rPr>
          <w:t>Contraindications</w:t>
        </w:r>
        <w:r w:rsidR="00D541C5" w:rsidRPr="00EB3788">
          <w:rPr>
            <w:rStyle w:val="Hyperlink"/>
            <w:rFonts w:asciiTheme="majorHAnsi" w:hAnsiTheme="majorHAnsi"/>
            <w:color w:val="0000EE"/>
            <w:u w:val="none"/>
          </w:rPr>
          <w:fldChar w:fldCharType="end"/>
        </w:r>
      </w:hyperlink>
      <w:r w:rsidRPr="00EB3788">
        <w:rPr>
          <w:rFonts w:asciiTheme="majorHAnsi" w:hAnsiTheme="majorHAnsi"/>
        </w:rPr>
        <w:t>).</w:t>
      </w:r>
    </w:p>
    <w:p w14:paraId="5699EBD7" w14:textId="12EF99E6" w:rsidR="7FC69272" w:rsidRPr="00EB3788" w:rsidRDefault="7FC69272" w:rsidP="00446C37">
      <w:pPr>
        <w:rPr>
          <w:rFonts w:asciiTheme="majorHAnsi" w:hAnsiTheme="majorHAnsi"/>
        </w:rPr>
      </w:pPr>
      <w:r w:rsidRPr="00EB3788">
        <w:rPr>
          <w:rFonts w:asciiTheme="majorHAnsi" w:hAnsiTheme="majorHAnsi"/>
        </w:rPr>
        <w:t>If a severe allergic reaction occurs, treatment with Fetroja must be discontinued immediately and adequate emergency measures must be initiated.</w:t>
      </w:r>
    </w:p>
    <w:p w14:paraId="3C6DF69F" w14:textId="05D5DF80" w:rsidR="429AC0CF" w:rsidRPr="00EB3788" w:rsidRDefault="0126DD32" w:rsidP="00446C37">
      <w:pPr>
        <w:pStyle w:val="Heading3"/>
        <w:spacing w:before="0" w:after="200"/>
        <w:ind w:left="0"/>
      </w:pPr>
      <w:r w:rsidRPr="00EB3788">
        <w:t>Clostridioides difficile-associated diarrhoea</w:t>
      </w:r>
    </w:p>
    <w:p w14:paraId="4734DB72" w14:textId="2E378568" w:rsidR="429AC0CF" w:rsidRPr="00EB3788" w:rsidRDefault="702B6C1E" w:rsidP="00446C37">
      <w:pPr>
        <w:rPr>
          <w:rFonts w:ascii="Cambria" w:hAnsi="Cambria"/>
        </w:rPr>
      </w:pPr>
      <w:r w:rsidRPr="00EB3788">
        <w:rPr>
          <w:rFonts w:ascii="Cambria" w:hAnsi="Cambria"/>
        </w:rPr>
        <w:t xml:space="preserve">Clostridioides difficile-associated diarrhoea (CDAD) has been reported with </w:t>
      </w:r>
      <w:r w:rsidR="00A84956" w:rsidRPr="00EB3788">
        <w:rPr>
          <w:rFonts w:ascii="Cambria" w:hAnsi="Cambria"/>
        </w:rPr>
        <w:t>cefiderocol</w:t>
      </w:r>
      <w:r w:rsidRPr="00EB3788">
        <w:rPr>
          <w:rFonts w:ascii="Cambria" w:hAnsi="Cambria"/>
        </w:rPr>
        <w:t xml:space="preserve">. The condition can range in severity from mild diarrhoea to fatal colitis and should be considered in </w:t>
      </w:r>
      <w:r w:rsidRPr="00EB3788">
        <w:rPr>
          <w:rFonts w:ascii="Cambria" w:hAnsi="Cambria"/>
        </w:rPr>
        <w:lastRenderedPageBreak/>
        <w:t xml:space="preserve">patients who present with diarrhoea during or </w:t>
      </w:r>
      <w:proofErr w:type="gramStart"/>
      <w:r w:rsidRPr="00EB3788">
        <w:rPr>
          <w:rFonts w:ascii="Cambria" w:hAnsi="Cambria"/>
        </w:rPr>
        <w:t>subsequent to</w:t>
      </w:r>
      <w:proofErr w:type="gramEnd"/>
      <w:r w:rsidRPr="00EB3788">
        <w:rPr>
          <w:rFonts w:ascii="Cambria" w:hAnsi="Cambria"/>
        </w:rPr>
        <w:t xml:space="preserve"> the administration of Fetroja. Discontinuation of therapy with Fetroja and the use of supportive measures together with the administration of specific treatment for Clostridioides difficile should be considered. </w:t>
      </w:r>
    </w:p>
    <w:p w14:paraId="1E700A7F" w14:textId="649296A3" w:rsidR="0F63855F" w:rsidRPr="00EB3788" w:rsidRDefault="0F63855F" w:rsidP="00446C37">
      <w:pPr>
        <w:pStyle w:val="Heading3"/>
        <w:spacing w:before="0" w:after="200"/>
        <w:ind w:left="0"/>
      </w:pPr>
      <w:r w:rsidRPr="00EB3788">
        <w:t>Seizures</w:t>
      </w:r>
    </w:p>
    <w:p w14:paraId="23410699" w14:textId="73F8B198" w:rsidR="0F63855F" w:rsidRPr="00EB3788" w:rsidRDefault="429AC0CF" w:rsidP="00446C37">
      <w:r w:rsidRPr="00EB3788">
        <w:rPr>
          <w:rFonts w:asciiTheme="majorHAnsi" w:hAnsiTheme="majorHAnsi"/>
        </w:rPr>
        <w:t xml:space="preserve">Cephalosporins have been implicated in triggering seizures. Patients with known seizure disorders should continue anticonvulsant therapy. Patients who develop focal tremors, myoclonus, or seizures should be evaluated neurologically and placed on anticonvulsant therapy if not already instituted. If necessary, the dose of Fetroja should be adjusted based on renal function (see </w:t>
      </w:r>
      <w:hyperlink w:anchor="_Dose_and_method" w:history="1">
        <w:r w:rsidR="004569D3" w:rsidRPr="00EB3788">
          <w:rPr>
            <w:rStyle w:val="Hyperlink"/>
            <w:rFonts w:asciiTheme="majorHAnsi" w:hAnsiTheme="majorHAnsi"/>
            <w:color w:val="0000EE"/>
            <w:u w:val="none"/>
          </w:rPr>
          <w:t>S</w:t>
        </w:r>
        <w:r w:rsidRPr="00EB3788">
          <w:rPr>
            <w:rStyle w:val="Hyperlink"/>
            <w:rFonts w:asciiTheme="majorHAnsi" w:hAnsiTheme="majorHAnsi"/>
            <w:color w:val="0000EE"/>
            <w:u w:val="none"/>
          </w:rPr>
          <w:t xml:space="preserve">ection </w:t>
        </w:r>
        <w:r w:rsidR="004569D3" w:rsidRPr="00EB3788">
          <w:rPr>
            <w:rStyle w:val="Hyperlink"/>
            <w:rFonts w:asciiTheme="majorHAnsi" w:hAnsiTheme="majorHAnsi"/>
            <w:color w:val="0000EE"/>
            <w:u w:val="none"/>
          </w:rPr>
          <w:t>4</w:t>
        </w:r>
        <w:r w:rsidRPr="00EB3788">
          <w:rPr>
            <w:rStyle w:val="Hyperlink"/>
            <w:rFonts w:asciiTheme="majorHAnsi" w:hAnsiTheme="majorHAnsi"/>
            <w:color w:val="0000EE"/>
            <w:u w:val="none"/>
          </w:rPr>
          <w:t>.2</w:t>
        </w:r>
      </w:hyperlink>
      <w:r w:rsidR="004569D3" w:rsidRPr="00EB3788">
        <w:rPr>
          <w:rFonts w:asciiTheme="majorHAnsi" w:hAnsiTheme="majorHAnsi"/>
          <w:color w:val="0000EE"/>
        </w:rPr>
        <w:t xml:space="preserve"> </w:t>
      </w:r>
      <w:r w:rsidR="006C5D04" w:rsidRPr="00EB3788">
        <w:rPr>
          <w:rFonts w:asciiTheme="majorHAnsi" w:hAnsiTheme="majorHAnsi"/>
          <w:color w:val="0000EE"/>
        </w:rPr>
        <w:fldChar w:fldCharType="begin" w:fldLock="1"/>
      </w:r>
      <w:r w:rsidR="006C5D04" w:rsidRPr="00EB3788">
        <w:rPr>
          <w:rFonts w:asciiTheme="majorHAnsi" w:hAnsiTheme="majorHAnsi"/>
          <w:color w:val="0000EE"/>
        </w:rPr>
        <w:instrText xml:space="preserve"> REF _Ref171513418 \h  \* MERGEFORMAT </w:instrText>
      </w:r>
      <w:r w:rsidR="006C5D04" w:rsidRPr="00EB3788">
        <w:rPr>
          <w:rFonts w:asciiTheme="majorHAnsi" w:hAnsiTheme="majorHAnsi"/>
          <w:color w:val="0000EE"/>
        </w:rPr>
      </w:r>
      <w:r w:rsidR="006C5D04" w:rsidRPr="00EB3788">
        <w:rPr>
          <w:rFonts w:asciiTheme="majorHAnsi" w:hAnsiTheme="majorHAnsi"/>
          <w:color w:val="0000EE"/>
        </w:rPr>
        <w:fldChar w:fldCharType="separate"/>
      </w:r>
      <w:r w:rsidR="00425866" w:rsidRPr="00EB3788">
        <w:rPr>
          <w:rFonts w:asciiTheme="majorHAnsi" w:hAnsiTheme="majorHAnsi"/>
          <w:color w:val="0000EE"/>
        </w:rPr>
        <w:t>Dose and method of administration</w:t>
      </w:r>
      <w:r w:rsidR="006C5D04" w:rsidRPr="00EB3788">
        <w:rPr>
          <w:rFonts w:asciiTheme="majorHAnsi" w:hAnsiTheme="majorHAnsi"/>
          <w:color w:val="0000EE"/>
        </w:rPr>
        <w:fldChar w:fldCharType="end"/>
      </w:r>
      <w:r w:rsidRPr="00EB3788">
        <w:rPr>
          <w:rFonts w:asciiTheme="majorHAnsi" w:hAnsiTheme="majorHAnsi"/>
        </w:rPr>
        <w:t>). Alternatively, Fetroja should be discontinued</w:t>
      </w:r>
      <w:r w:rsidR="0032482B" w:rsidRPr="00EB3788">
        <w:rPr>
          <w:rFonts w:asciiTheme="majorHAnsi" w:hAnsiTheme="majorHAnsi"/>
        </w:rPr>
        <w:t>.</w:t>
      </w:r>
    </w:p>
    <w:p w14:paraId="24109CD5" w14:textId="69D76857" w:rsidR="004540C8" w:rsidRPr="00EB3788" w:rsidRDefault="5B8107BA" w:rsidP="00446C37">
      <w:pPr>
        <w:pStyle w:val="Heading3"/>
        <w:spacing w:after="240"/>
        <w:ind w:left="0"/>
      </w:pPr>
      <w:r w:rsidRPr="00EB3788">
        <w:t>Limitations of clinical data</w:t>
      </w:r>
    </w:p>
    <w:p w14:paraId="52A55839" w14:textId="58CFEA79" w:rsidR="004540C8" w:rsidRPr="00EB3788" w:rsidRDefault="1618971A" w:rsidP="00446C37">
      <w:pPr>
        <w:spacing w:after="240"/>
        <w:rPr>
          <w:rFonts w:asciiTheme="majorHAnsi" w:hAnsiTheme="majorHAnsi"/>
        </w:rPr>
      </w:pPr>
      <w:r w:rsidRPr="00EB3788">
        <w:rPr>
          <w:rFonts w:asciiTheme="majorHAnsi" w:hAnsiTheme="majorHAnsi"/>
        </w:rPr>
        <w:t>In clinical trials,</w:t>
      </w:r>
      <w:r w:rsidR="00EA3923" w:rsidRPr="00EB3788">
        <w:rPr>
          <w:rFonts w:asciiTheme="majorHAnsi" w:hAnsiTheme="majorHAnsi"/>
        </w:rPr>
        <w:t xml:space="preserve"> Fetroja</w:t>
      </w:r>
      <w:r w:rsidRPr="00EB3788">
        <w:rPr>
          <w:rFonts w:asciiTheme="majorHAnsi" w:hAnsiTheme="majorHAnsi"/>
        </w:rPr>
        <w:t xml:space="preserve"> has only been used to treat patients with the following types of infection: complicated urinary tract infections (</w:t>
      </w:r>
      <w:proofErr w:type="spellStart"/>
      <w:r w:rsidRPr="00EB3788">
        <w:rPr>
          <w:rFonts w:asciiTheme="majorHAnsi" w:hAnsiTheme="majorHAnsi"/>
        </w:rPr>
        <w:t>cUTI</w:t>
      </w:r>
      <w:proofErr w:type="spellEnd"/>
      <w:r w:rsidRPr="00EB3788">
        <w:rPr>
          <w:rFonts w:asciiTheme="majorHAnsi" w:hAnsiTheme="majorHAnsi"/>
        </w:rPr>
        <w:t xml:space="preserve">); hospital-acquired pneumonia (HAP), ventilator-associated pneumonia (VAP), healthcare-associated pneumonia (HCAP); sepsis and patients with bacteraemia (some with no identified primary focus of infection). </w:t>
      </w:r>
    </w:p>
    <w:p w14:paraId="54288F3F" w14:textId="7A08E353" w:rsidR="004540C8" w:rsidRPr="00EB3788" w:rsidRDefault="1618971A" w:rsidP="00446C37">
      <w:pPr>
        <w:spacing w:after="240"/>
        <w:rPr>
          <w:rFonts w:asciiTheme="majorHAnsi" w:eastAsiaTheme="majorEastAsia" w:hAnsiTheme="majorHAnsi" w:cstheme="majorBidi"/>
        </w:rPr>
      </w:pPr>
      <w:r w:rsidRPr="00EB3788">
        <w:rPr>
          <w:rFonts w:asciiTheme="majorHAnsi" w:hAnsiTheme="majorHAnsi"/>
        </w:rPr>
        <w:t xml:space="preserve">The use of </w:t>
      </w:r>
      <w:r w:rsidR="00EA3923" w:rsidRPr="00EB3788">
        <w:rPr>
          <w:rFonts w:asciiTheme="majorHAnsi" w:hAnsiTheme="majorHAnsi"/>
        </w:rPr>
        <w:t xml:space="preserve">Fetroja </w:t>
      </w:r>
      <w:r w:rsidRPr="00EB3788">
        <w:rPr>
          <w:rFonts w:asciiTheme="majorHAnsi" w:hAnsiTheme="majorHAnsi"/>
        </w:rPr>
        <w:t xml:space="preserve">to treat patients with infections due to Gram-negative aerobic pathogens who have limited treatment options is based on pharmacokinetic-pharmacodynamic analyses for cefiderocol and on limited clinical data from a randomised clinical trial in which 80 patients were treated with </w:t>
      </w:r>
      <w:r w:rsidR="00EA3923" w:rsidRPr="00EB3788">
        <w:rPr>
          <w:rFonts w:asciiTheme="majorHAnsi" w:hAnsiTheme="majorHAnsi"/>
        </w:rPr>
        <w:t xml:space="preserve">Fetroja </w:t>
      </w:r>
      <w:r w:rsidRPr="00EB3788">
        <w:rPr>
          <w:rFonts w:asciiTheme="majorHAnsi" w:hAnsiTheme="majorHAnsi"/>
        </w:rPr>
        <w:t>and 38 patients were treated with best available therapy for infections caused by carbapenem-resistant organisms</w:t>
      </w:r>
      <w:r w:rsidRPr="00EB3788">
        <w:rPr>
          <w:rFonts w:asciiTheme="majorHAnsi" w:eastAsiaTheme="majorEastAsia" w:hAnsiTheme="majorHAnsi" w:cstheme="majorBidi"/>
        </w:rPr>
        <w:t>. No clinical studies have been conducted in patients with central nervous system infections or infections requiring medication for more than 3 weeks (e.g., bone/joint infections, endocarditis).</w:t>
      </w:r>
    </w:p>
    <w:p w14:paraId="184F18A1" w14:textId="47FBCA36" w:rsidR="004540C8" w:rsidRPr="00EB3788" w:rsidRDefault="7C288D4E" w:rsidP="00446C37">
      <w:pPr>
        <w:pStyle w:val="Heading3"/>
        <w:spacing w:after="240"/>
        <w:ind w:left="0"/>
      </w:pPr>
      <w:bookmarkStart w:id="13" w:name="_Hlk171336988"/>
      <w:r w:rsidRPr="00EB3788">
        <w:t>All-cause mortality in patients with infections due to carbapenem-resistant Gram-negative bacteria</w:t>
      </w:r>
    </w:p>
    <w:bookmarkEnd w:id="13"/>
    <w:p w14:paraId="1B587481" w14:textId="6629D862" w:rsidR="006912E1" w:rsidRPr="00EB3788" w:rsidRDefault="00C122FD" w:rsidP="00446C37">
      <w:pPr>
        <w:rPr>
          <w:rFonts w:asciiTheme="majorHAnsi" w:hAnsiTheme="majorHAnsi"/>
          <w:lang w:bidi="en-US"/>
        </w:rPr>
      </w:pPr>
      <w:r w:rsidRPr="00EB3788">
        <w:rPr>
          <w:rFonts w:asciiTheme="majorHAnsi" w:hAnsiTheme="majorHAnsi"/>
          <w:lang w:bidi="en-US"/>
        </w:rPr>
        <w:t>An increase</w:t>
      </w:r>
      <w:r w:rsidR="002E14CB" w:rsidRPr="00EB3788">
        <w:rPr>
          <w:rFonts w:asciiTheme="majorHAnsi" w:hAnsiTheme="majorHAnsi"/>
          <w:lang w:bidi="en-US"/>
        </w:rPr>
        <w:t xml:space="preserve"> </w:t>
      </w:r>
      <w:r w:rsidRPr="00EB3788">
        <w:rPr>
          <w:rFonts w:asciiTheme="majorHAnsi" w:hAnsiTheme="majorHAnsi"/>
          <w:lang w:bidi="en-US"/>
        </w:rPr>
        <w:t xml:space="preserve">in all-cause mortality was </w:t>
      </w:r>
      <w:r w:rsidR="002E14CB" w:rsidRPr="00EB3788">
        <w:rPr>
          <w:rFonts w:asciiTheme="majorHAnsi" w:hAnsiTheme="majorHAnsi"/>
          <w:lang w:bidi="en-US"/>
        </w:rPr>
        <w:t xml:space="preserve">observed in patients treated with cefiderocol </w:t>
      </w:r>
      <w:r w:rsidR="00AB0CA6" w:rsidRPr="00EB3788">
        <w:rPr>
          <w:rFonts w:asciiTheme="majorHAnsi" w:hAnsiTheme="majorHAnsi"/>
          <w:lang w:bidi="en-US"/>
        </w:rPr>
        <w:t xml:space="preserve">as compared to best available therapy (BAT) in a </w:t>
      </w:r>
      <w:r w:rsidR="00FB744D" w:rsidRPr="00EB3788">
        <w:rPr>
          <w:rFonts w:ascii="Cambria" w:eastAsia="Cambria" w:hAnsi="Cambria" w:cs="Cambria"/>
        </w:rPr>
        <w:t xml:space="preserve">multinational, </w:t>
      </w:r>
      <w:r w:rsidR="5B8107BA" w:rsidRPr="00EB3788">
        <w:rPr>
          <w:rFonts w:ascii="Cambria" w:eastAsia="Cambria" w:hAnsi="Cambria" w:cs="Cambria"/>
        </w:rPr>
        <w:t xml:space="preserve">randomised, open-label trial in </w:t>
      </w:r>
      <w:proofErr w:type="gramStart"/>
      <w:r w:rsidR="5B8107BA" w:rsidRPr="00EB3788">
        <w:rPr>
          <w:rFonts w:ascii="Cambria" w:eastAsia="Cambria" w:hAnsi="Cambria" w:cs="Cambria"/>
        </w:rPr>
        <w:t>critically-ill</w:t>
      </w:r>
      <w:proofErr w:type="gramEnd"/>
      <w:r w:rsidR="5B8107BA" w:rsidRPr="00EB3788">
        <w:rPr>
          <w:rFonts w:ascii="Cambria" w:eastAsia="Cambria" w:hAnsi="Cambria" w:cs="Cambria"/>
        </w:rPr>
        <w:t xml:space="preserve"> patients with carbapenem-resistant Gram-negative bacteria</w:t>
      </w:r>
      <w:r w:rsidR="002E7CD2" w:rsidRPr="00EB3788">
        <w:rPr>
          <w:rFonts w:ascii="Cambria" w:eastAsia="Cambria" w:hAnsi="Cambria" w:cs="Cambria"/>
        </w:rPr>
        <w:t>l infections</w:t>
      </w:r>
      <w:r w:rsidR="00AB0CA6" w:rsidRPr="00EB3788">
        <w:rPr>
          <w:rFonts w:asciiTheme="majorHAnsi" w:hAnsiTheme="majorHAnsi"/>
          <w:lang w:bidi="en-US"/>
        </w:rPr>
        <w:t>.</w:t>
      </w:r>
      <w:r w:rsidR="002E7CD2" w:rsidRPr="00EB3788">
        <w:rPr>
          <w:rFonts w:asciiTheme="majorHAnsi" w:hAnsiTheme="majorHAnsi"/>
          <w:lang w:bidi="en-US"/>
        </w:rPr>
        <w:t xml:space="preserve"> Patients with </w:t>
      </w:r>
      <w:r w:rsidR="00017C4F" w:rsidRPr="00EB3788">
        <w:rPr>
          <w:rFonts w:asciiTheme="majorHAnsi" w:hAnsiTheme="majorHAnsi"/>
          <w:lang w:bidi="en-US"/>
        </w:rPr>
        <w:t>nosocomial</w:t>
      </w:r>
      <w:r w:rsidR="002E7CD2" w:rsidRPr="00EB3788">
        <w:rPr>
          <w:rFonts w:asciiTheme="majorHAnsi" w:hAnsiTheme="majorHAnsi"/>
          <w:lang w:bidi="en-US"/>
        </w:rPr>
        <w:t xml:space="preserve"> pneu</w:t>
      </w:r>
      <w:r w:rsidR="003F36BC" w:rsidRPr="00EB3788">
        <w:rPr>
          <w:rFonts w:asciiTheme="majorHAnsi" w:hAnsiTheme="majorHAnsi"/>
          <w:lang w:bidi="en-US"/>
        </w:rPr>
        <w:t xml:space="preserve">monia, bloodstream infections, sepsis, or </w:t>
      </w:r>
      <w:proofErr w:type="spellStart"/>
      <w:r w:rsidR="003F36BC" w:rsidRPr="00EB3788">
        <w:rPr>
          <w:rFonts w:asciiTheme="majorHAnsi" w:hAnsiTheme="majorHAnsi"/>
          <w:lang w:bidi="en-US"/>
        </w:rPr>
        <w:t>cUTI</w:t>
      </w:r>
      <w:proofErr w:type="spellEnd"/>
      <w:r w:rsidR="003F36BC" w:rsidRPr="00EB3788">
        <w:rPr>
          <w:rFonts w:asciiTheme="majorHAnsi" w:hAnsiTheme="majorHAnsi"/>
          <w:lang w:bidi="en-US"/>
        </w:rPr>
        <w:t xml:space="preserve"> were included in </w:t>
      </w:r>
      <w:r w:rsidR="006A49D3" w:rsidRPr="00EB3788">
        <w:rPr>
          <w:rFonts w:asciiTheme="majorHAnsi" w:hAnsiTheme="majorHAnsi"/>
          <w:lang w:bidi="en-US"/>
        </w:rPr>
        <w:t xml:space="preserve">the trial. BAT regimens varied according to local practises and consisted of 1 to 3 antibacterial drugs with activity against Gram-negative bacteria. Most of the BAT regimens contained colistin. </w:t>
      </w:r>
      <w:r w:rsidR="00D449A8" w:rsidRPr="00EB3788">
        <w:rPr>
          <w:rFonts w:asciiTheme="majorHAnsi" w:hAnsiTheme="majorHAnsi"/>
          <w:lang w:bidi="en-US"/>
        </w:rPr>
        <w:t xml:space="preserve"> </w:t>
      </w:r>
    </w:p>
    <w:p w14:paraId="5683C08B" w14:textId="77777777" w:rsidR="00446C37" w:rsidRDefault="00D449A8" w:rsidP="00446C37">
      <w:pPr>
        <w:rPr>
          <w:rFonts w:asciiTheme="majorHAnsi" w:hAnsiTheme="majorHAnsi"/>
          <w:lang w:bidi="en-US"/>
        </w:rPr>
      </w:pPr>
      <w:r w:rsidRPr="00EB3788">
        <w:rPr>
          <w:rFonts w:asciiTheme="majorHAnsi" w:hAnsiTheme="majorHAnsi"/>
          <w:lang w:bidi="en-US"/>
        </w:rPr>
        <w:t>The</w:t>
      </w:r>
      <w:r w:rsidR="00B02AC0" w:rsidRPr="00EB3788">
        <w:rPr>
          <w:rFonts w:asciiTheme="majorHAnsi" w:hAnsiTheme="majorHAnsi"/>
          <w:lang w:bidi="en-US"/>
        </w:rPr>
        <w:t xml:space="preserve"> increase in all-cause mortality occurred in patients treated for </w:t>
      </w:r>
      <w:r w:rsidR="00E72561" w:rsidRPr="00EB3788">
        <w:rPr>
          <w:rFonts w:asciiTheme="majorHAnsi" w:hAnsiTheme="majorHAnsi"/>
          <w:lang w:bidi="en-US"/>
        </w:rPr>
        <w:t xml:space="preserve">nosocomial pneumonia, </w:t>
      </w:r>
      <w:r w:rsidR="007E36AD" w:rsidRPr="00EB3788">
        <w:rPr>
          <w:rFonts w:asciiTheme="majorHAnsi" w:hAnsiTheme="majorHAnsi"/>
          <w:lang w:bidi="en-US"/>
        </w:rPr>
        <w:t>bloodstream infections or sepsis. The 28-Day all-cause mortality was higher</w:t>
      </w:r>
      <w:r w:rsidR="002E1738" w:rsidRPr="00EB3788">
        <w:rPr>
          <w:rFonts w:asciiTheme="majorHAnsi" w:hAnsiTheme="majorHAnsi"/>
          <w:lang w:bidi="en-US"/>
        </w:rPr>
        <w:t xml:space="preserve"> in patients treated with cefiderocol than in pa</w:t>
      </w:r>
      <w:r w:rsidR="001138DD" w:rsidRPr="00EB3788">
        <w:rPr>
          <w:rFonts w:asciiTheme="majorHAnsi" w:hAnsiTheme="majorHAnsi"/>
          <w:lang w:bidi="en-US"/>
        </w:rPr>
        <w:t xml:space="preserve">tients treated with BAT </w:t>
      </w:r>
      <w:r w:rsidR="00D11F7E" w:rsidRPr="00EB3788">
        <w:rPr>
          <w:rFonts w:asciiTheme="majorHAnsi" w:hAnsiTheme="majorHAnsi"/>
          <w:lang w:bidi="en-US"/>
        </w:rPr>
        <w:t>[25/101 (24.8%) vs. 9/49 (18.4%)</w:t>
      </w:r>
      <w:r w:rsidR="001138DD" w:rsidRPr="00EB3788">
        <w:rPr>
          <w:rFonts w:asciiTheme="majorHAnsi" w:hAnsiTheme="majorHAnsi"/>
          <w:lang w:bidi="en-US"/>
        </w:rPr>
        <w:t xml:space="preserve">, treatment </w:t>
      </w:r>
      <w:r w:rsidR="00D11F7E" w:rsidRPr="00EB3788">
        <w:rPr>
          <w:rFonts w:asciiTheme="majorHAnsi" w:hAnsiTheme="majorHAnsi"/>
          <w:lang w:bidi="en-US"/>
        </w:rPr>
        <w:t>difference 6.4%</w:t>
      </w:r>
      <w:r w:rsidR="00797EAA" w:rsidRPr="00EB3788">
        <w:rPr>
          <w:rFonts w:asciiTheme="majorHAnsi" w:hAnsiTheme="majorHAnsi"/>
          <w:lang w:bidi="en-US"/>
        </w:rPr>
        <w:t xml:space="preserve">, 95% CI (-8.6, 19.2)]. All-cause mortality remained higher in patients treated with cefiderocol </w:t>
      </w:r>
      <w:r w:rsidR="004176AE" w:rsidRPr="00EB3788">
        <w:rPr>
          <w:rFonts w:asciiTheme="majorHAnsi" w:hAnsiTheme="majorHAnsi"/>
          <w:lang w:bidi="en-US"/>
        </w:rPr>
        <w:t xml:space="preserve">than in patients treated with BAT </w:t>
      </w:r>
      <w:r w:rsidR="00797EAA" w:rsidRPr="00EB3788">
        <w:rPr>
          <w:rFonts w:asciiTheme="majorHAnsi" w:hAnsiTheme="majorHAnsi"/>
          <w:lang w:bidi="en-US"/>
        </w:rPr>
        <w:t xml:space="preserve">through </w:t>
      </w:r>
      <w:r w:rsidR="00E62378" w:rsidRPr="00EB3788">
        <w:rPr>
          <w:rFonts w:asciiTheme="majorHAnsi" w:hAnsiTheme="majorHAnsi"/>
          <w:lang w:bidi="en-US"/>
        </w:rPr>
        <w:t>Day 49</w:t>
      </w:r>
      <w:r w:rsidR="00797EAA" w:rsidRPr="00EB3788">
        <w:rPr>
          <w:rFonts w:asciiTheme="majorHAnsi" w:hAnsiTheme="majorHAnsi"/>
          <w:lang w:bidi="en-US"/>
        </w:rPr>
        <w:t xml:space="preserve"> [34/101 (33.7%) vs. </w:t>
      </w:r>
      <w:r w:rsidR="00E62378" w:rsidRPr="00EB3788">
        <w:rPr>
          <w:rFonts w:asciiTheme="majorHAnsi" w:hAnsiTheme="majorHAnsi"/>
          <w:lang w:bidi="en-US"/>
        </w:rPr>
        <w:t>10</w:t>
      </w:r>
      <w:r w:rsidR="00797EAA" w:rsidRPr="00EB3788">
        <w:rPr>
          <w:rFonts w:asciiTheme="majorHAnsi" w:hAnsiTheme="majorHAnsi"/>
          <w:lang w:bidi="en-US"/>
        </w:rPr>
        <w:t>/49</w:t>
      </w:r>
      <w:r w:rsidR="00A9680F" w:rsidRPr="00EB3788">
        <w:rPr>
          <w:rFonts w:asciiTheme="majorHAnsi" w:hAnsiTheme="majorHAnsi"/>
          <w:lang w:bidi="en-US"/>
        </w:rPr>
        <w:t xml:space="preserve"> (</w:t>
      </w:r>
      <w:r w:rsidR="00E62378" w:rsidRPr="00EB3788">
        <w:rPr>
          <w:rFonts w:asciiTheme="majorHAnsi" w:hAnsiTheme="majorHAnsi"/>
          <w:lang w:bidi="en-US"/>
        </w:rPr>
        <w:t>20</w:t>
      </w:r>
      <w:r w:rsidR="00A9680F" w:rsidRPr="00EB3788">
        <w:rPr>
          <w:rFonts w:asciiTheme="majorHAnsi" w:hAnsiTheme="majorHAnsi"/>
          <w:lang w:bidi="en-US"/>
        </w:rPr>
        <w:t>.4%)</w:t>
      </w:r>
      <w:r w:rsidR="00B43E3B" w:rsidRPr="00EB3788">
        <w:rPr>
          <w:rFonts w:asciiTheme="majorHAnsi" w:hAnsiTheme="majorHAnsi"/>
          <w:lang w:bidi="en-US"/>
        </w:rPr>
        <w:t xml:space="preserve">, </w:t>
      </w:r>
      <w:r w:rsidR="00A9680F" w:rsidRPr="00EB3788">
        <w:rPr>
          <w:rFonts w:asciiTheme="majorHAnsi" w:hAnsiTheme="majorHAnsi"/>
          <w:lang w:bidi="en-US"/>
        </w:rPr>
        <w:t>treatment difference 1</w:t>
      </w:r>
      <w:r w:rsidR="00B43E3B" w:rsidRPr="00EB3788">
        <w:rPr>
          <w:rFonts w:asciiTheme="majorHAnsi" w:hAnsiTheme="majorHAnsi"/>
          <w:lang w:bidi="en-US"/>
        </w:rPr>
        <w:t>3</w:t>
      </w:r>
      <w:r w:rsidR="00A9680F" w:rsidRPr="00EB3788">
        <w:rPr>
          <w:rFonts w:asciiTheme="majorHAnsi" w:hAnsiTheme="majorHAnsi"/>
          <w:lang w:bidi="en-US"/>
        </w:rPr>
        <w:t>.3%, 95% CI (-</w:t>
      </w:r>
      <w:r w:rsidR="00B43E3B" w:rsidRPr="00EB3788">
        <w:rPr>
          <w:rFonts w:asciiTheme="majorHAnsi" w:hAnsiTheme="majorHAnsi"/>
          <w:lang w:bidi="en-US"/>
        </w:rPr>
        <w:t>2.5</w:t>
      </w:r>
      <w:r w:rsidR="00A9680F" w:rsidRPr="00EB3788">
        <w:rPr>
          <w:rFonts w:asciiTheme="majorHAnsi" w:hAnsiTheme="majorHAnsi"/>
          <w:lang w:bidi="en-US"/>
        </w:rPr>
        <w:t>, 2</w:t>
      </w:r>
      <w:r w:rsidR="00B43E3B" w:rsidRPr="00EB3788">
        <w:rPr>
          <w:rFonts w:asciiTheme="majorHAnsi" w:hAnsiTheme="majorHAnsi"/>
          <w:lang w:bidi="en-US"/>
        </w:rPr>
        <w:t>6</w:t>
      </w:r>
      <w:r w:rsidR="00A9680F" w:rsidRPr="00EB3788">
        <w:rPr>
          <w:rFonts w:asciiTheme="majorHAnsi" w:hAnsiTheme="majorHAnsi"/>
          <w:lang w:bidi="en-US"/>
        </w:rPr>
        <w:t>.</w:t>
      </w:r>
      <w:r w:rsidR="00B43E3B" w:rsidRPr="00EB3788">
        <w:rPr>
          <w:rFonts w:asciiTheme="majorHAnsi" w:hAnsiTheme="majorHAnsi"/>
          <w:lang w:bidi="en-US"/>
        </w:rPr>
        <w:t>9</w:t>
      </w:r>
      <w:r w:rsidR="00A9680F" w:rsidRPr="00EB3788">
        <w:rPr>
          <w:rFonts w:asciiTheme="majorHAnsi" w:hAnsiTheme="majorHAnsi"/>
          <w:lang w:bidi="en-US"/>
        </w:rPr>
        <w:t>)</w:t>
      </w:r>
      <w:r w:rsidR="005A652C" w:rsidRPr="00EB3788">
        <w:rPr>
          <w:rFonts w:asciiTheme="majorHAnsi" w:hAnsiTheme="majorHAnsi"/>
          <w:lang w:bidi="en-US"/>
        </w:rPr>
        <w:t xml:space="preserve">]. </w:t>
      </w:r>
    </w:p>
    <w:p w14:paraId="68AF0729" w14:textId="77777777" w:rsidR="00446C37" w:rsidRDefault="00446C37" w:rsidP="00446C37">
      <w:pPr>
        <w:rPr>
          <w:rFonts w:asciiTheme="majorHAnsi" w:hAnsiTheme="majorHAnsi"/>
          <w:lang w:bidi="en-US"/>
        </w:rPr>
      </w:pPr>
    </w:p>
    <w:p w14:paraId="199061A6" w14:textId="177E7083" w:rsidR="00412D7C" w:rsidRPr="00EB3788" w:rsidRDefault="00B43E3B" w:rsidP="00446C37">
      <w:pPr>
        <w:rPr>
          <w:rFonts w:asciiTheme="majorHAnsi" w:hAnsiTheme="majorHAnsi"/>
          <w:lang w:bidi="en-US"/>
        </w:rPr>
      </w:pPr>
      <w:r w:rsidRPr="00EB3788">
        <w:rPr>
          <w:rFonts w:asciiTheme="majorHAnsi" w:hAnsiTheme="majorHAnsi"/>
          <w:lang w:bidi="en-US"/>
        </w:rPr>
        <w:lastRenderedPageBreak/>
        <w:t xml:space="preserve">Generally, deaths were in patients </w:t>
      </w:r>
      <w:r w:rsidR="00D75CC9" w:rsidRPr="00EB3788">
        <w:rPr>
          <w:rFonts w:asciiTheme="majorHAnsi" w:hAnsiTheme="majorHAnsi"/>
          <w:lang w:bidi="en-US"/>
        </w:rPr>
        <w:t xml:space="preserve">with infections caused by Gram-negative organisms, including non-fermenters such as </w:t>
      </w:r>
      <w:r w:rsidR="5B8107BA" w:rsidRPr="00EB3788">
        <w:rPr>
          <w:rFonts w:asciiTheme="majorHAnsi" w:hAnsiTheme="majorHAnsi"/>
          <w:i/>
          <w:iCs/>
          <w:lang w:bidi="en-US"/>
        </w:rPr>
        <w:t>Acinetobacter</w:t>
      </w:r>
      <w:r w:rsidR="003F49DC" w:rsidRPr="00EB3788">
        <w:rPr>
          <w:rFonts w:asciiTheme="majorHAnsi" w:hAnsiTheme="majorHAnsi"/>
          <w:i/>
          <w:iCs/>
          <w:lang w:bidi="en-US"/>
        </w:rPr>
        <w:t xml:space="preserve"> baumannii </w:t>
      </w:r>
      <w:r w:rsidR="003F49DC" w:rsidRPr="00EB3788">
        <w:rPr>
          <w:rFonts w:asciiTheme="majorHAnsi" w:hAnsiTheme="majorHAnsi"/>
          <w:lang w:bidi="en-US"/>
        </w:rPr>
        <w:t xml:space="preserve">complex, </w:t>
      </w:r>
      <w:r w:rsidR="003F49DC" w:rsidRPr="00EB3788">
        <w:rPr>
          <w:rFonts w:asciiTheme="majorHAnsi" w:hAnsiTheme="majorHAnsi"/>
          <w:i/>
          <w:iCs/>
          <w:lang w:bidi="en-US"/>
        </w:rPr>
        <w:t>Stenotrophomonas maltophilia</w:t>
      </w:r>
      <w:r w:rsidR="003F49DC" w:rsidRPr="00EB3788">
        <w:rPr>
          <w:rFonts w:asciiTheme="majorHAnsi" w:hAnsiTheme="majorHAnsi"/>
          <w:lang w:bidi="en-US"/>
        </w:rPr>
        <w:t xml:space="preserve">, and </w:t>
      </w:r>
      <w:r w:rsidR="003F49DC" w:rsidRPr="00EB3788">
        <w:rPr>
          <w:rFonts w:asciiTheme="majorHAnsi" w:hAnsiTheme="majorHAnsi"/>
          <w:i/>
          <w:iCs/>
          <w:lang w:bidi="en-US"/>
        </w:rPr>
        <w:t>Pseudomonas aeruginosa</w:t>
      </w:r>
      <w:r w:rsidR="00EC499D" w:rsidRPr="00EB3788">
        <w:rPr>
          <w:rFonts w:asciiTheme="majorHAnsi" w:hAnsiTheme="majorHAnsi"/>
          <w:lang w:bidi="en-US"/>
        </w:rPr>
        <w:t xml:space="preserve">, and were the result of worsening or complications of infection, or underlying comorbidities. </w:t>
      </w:r>
      <w:r w:rsidR="009C28CA" w:rsidRPr="00EB3788">
        <w:rPr>
          <w:rFonts w:asciiTheme="majorHAnsi" w:hAnsiTheme="majorHAnsi"/>
          <w:lang w:bidi="en-US"/>
        </w:rPr>
        <w:t>The cause of the increase in mortality has not been established</w:t>
      </w:r>
      <w:r w:rsidR="5B8107BA" w:rsidRPr="00EB3788">
        <w:rPr>
          <w:rFonts w:asciiTheme="majorHAnsi" w:hAnsiTheme="majorHAnsi"/>
          <w:lang w:bidi="en-US"/>
        </w:rPr>
        <w:t xml:space="preserve">. </w:t>
      </w:r>
    </w:p>
    <w:p w14:paraId="512C4626" w14:textId="75AA97DA" w:rsidR="00D965FC" w:rsidRPr="00EB3788" w:rsidRDefault="5B8107BA" w:rsidP="00446C37">
      <w:pPr>
        <w:rPr>
          <w:rFonts w:asciiTheme="majorHAnsi" w:hAnsiTheme="majorHAnsi"/>
          <w:lang w:bidi="en-US"/>
        </w:rPr>
      </w:pPr>
      <w:r w:rsidRPr="00EB3788">
        <w:rPr>
          <w:rFonts w:asciiTheme="majorHAnsi" w:hAnsiTheme="majorHAnsi"/>
          <w:lang w:bidi="en-US"/>
        </w:rPr>
        <w:t xml:space="preserve">Prior to Fetroja administration, consideration should be given to other treatment methods, and if this drug is administered, the patient's condition should be closely monitored </w:t>
      </w:r>
      <w:r w:rsidR="00207F9E" w:rsidRPr="00EB3788">
        <w:rPr>
          <w:rFonts w:asciiTheme="majorHAnsi" w:hAnsiTheme="majorHAnsi" w:hint="eastAsia"/>
          <w:lang w:eastAsia="ja-JP" w:bidi="en-US"/>
        </w:rPr>
        <w:t>(</w:t>
      </w:r>
      <w:r w:rsidR="00207F9E" w:rsidRPr="00EB3788">
        <w:rPr>
          <w:rFonts w:asciiTheme="majorHAnsi" w:hAnsiTheme="majorHAnsi"/>
          <w:lang w:bidi="en-US"/>
        </w:rPr>
        <w:t xml:space="preserve">See </w:t>
      </w:r>
      <w:hyperlink w:anchor="_Pharmacodynamic_properties" w:tgtFrame="_blank" w:history="1">
        <w:r w:rsidR="00207F9E" w:rsidRPr="00EB3788">
          <w:rPr>
            <w:rStyle w:val="Hyperlink"/>
            <w:rFonts w:asciiTheme="majorHAnsi" w:hAnsiTheme="majorHAnsi"/>
            <w:u w:val="none"/>
            <w:lang w:bidi="en-US"/>
          </w:rPr>
          <w:t>Section 5.1 Pharmacodynamic Properties</w:t>
        </w:r>
      </w:hyperlink>
      <w:r w:rsidR="00207F9E" w:rsidRPr="00EB3788">
        <w:rPr>
          <w:rFonts w:asciiTheme="majorHAnsi" w:hAnsiTheme="majorHAnsi" w:hint="eastAsia"/>
          <w:lang w:eastAsia="ja-JP" w:bidi="en-US"/>
        </w:rPr>
        <w:t>)</w:t>
      </w:r>
      <w:r w:rsidR="00207F9E" w:rsidRPr="00EB3788">
        <w:rPr>
          <w:rFonts w:asciiTheme="majorHAnsi" w:hAnsiTheme="majorHAnsi"/>
          <w:lang w:bidi="en-US"/>
        </w:rPr>
        <w:t>.</w:t>
      </w:r>
    </w:p>
    <w:p w14:paraId="77C975FF" w14:textId="70668CC7" w:rsidR="00956EA8" w:rsidRPr="004664E6" w:rsidRDefault="00DE3161" w:rsidP="00446C37">
      <w:pPr>
        <w:pStyle w:val="Heading3"/>
        <w:spacing w:after="120"/>
        <w:ind w:left="0"/>
        <w:rPr>
          <w:rFonts w:ascii="Cambria" w:eastAsia="Cambria" w:hAnsi="Cambria" w:cs="Cambria"/>
        </w:rPr>
      </w:pPr>
      <w:r w:rsidRPr="004664E6">
        <w:rPr>
          <w:rFonts w:ascii="Cambria" w:eastAsia="Cambria" w:hAnsi="Cambria" w:cs="Cambria"/>
        </w:rPr>
        <w:t>Spectrum of activity of cefiderocol</w:t>
      </w:r>
    </w:p>
    <w:p w14:paraId="662E5A57" w14:textId="0E0586BD" w:rsidR="00956EA8" w:rsidRPr="00EB3788" w:rsidRDefault="00DE3161" w:rsidP="00446C37">
      <w:pPr>
        <w:rPr>
          <w:rFonts w:asciiTheme="majorHAnsi" w:hAnsiTheme="majorHAnsi"/>
          <w:lang w:bidi="en-US"/>
        </w:rPr>
      </w:pPr>
      <w:r w:rsidRPr="004664E6">
        <w:rPr>
          <w:rFonts w:ascii="Cambria" w:eastAsia="Cambria" w:hAnsi="Cambria" w:cs="Cambria"/>
        </w:rPr>
        <w:t xml:space="preserve">Cefiderocol has little or no activity </w:t>
      </w:r>
      <w:r w:rsidR="003C0A8C" w:rsidRPr="004664E6">
        <w:rPr>
          <w:rFonts w:ascii="Cambria" w:eastAsia="Cambria" w:hAnsi="Cambria" w:cs="Cambria"/>
        </w:rPr>
        <w:t xml:space="preserve">against </w:t>
      </w:r>
      <w:proofErr w:type="gramStart"/>
      <w:r w:rsidR="003C0A8C" w:rsidRPr="004664E6">
        <w:rPr>
          <w:rFonts w:ascii="Cambria" w:eastAsia="Cambria" w:hAnsi="Cambria" w:cs="Cambria"/>
        </w:rPr>
        <w:t>the majority of</w:t>
      </w:r>
      <w:proofErr w:type="gramEnd"/>
      <w:r w:rsidR="003C0A8C" w:rsidRPr="004664E6">
        <w:rPr>
          <w:rFonts w:ascii="Cambria" w:eastAsia="Cambria" w:hAnsi="Cambria" w:cs="Cambria"/>
        </w:rPr>
        <w:t xml:space="preserve"> Gram-positive organisms and anaerobes </w:t>
      </w:r>
      <w:r w:rsidR="003C0A8C" w:rsidRPr="00EB3788">
        <w:rPr>
          <w:rFonts w:asciiTheme="majorHAnsi" w:hAnsiTheme="majorHAnsi" w:hint="eastAsia"/>
          <w:lang w:eastAsia="ja-JP" w:bidi="en-US"/>
        </w:rPr>
        <w:t>(</w:t>
      </w:r>
      <w:r w:rsidR="003C0A8C" w:rsidRPr="00EB3788">
        <w:rPr>
          <w:rFonts w:asciiTheme="majorHAnsi" w:hAnsiTheme="majorHAnsi"/>
          <w:lang w:bidi="en-US"/>
        </w:rPr>
        <w:t xml:space="preserve">See </w:t>
      </w:r>
      <w:hyperlink w:anchor="_Pharmacodynamic_properties" w:tgtFrame="_blank" w:history="1">
        <w:r w:rsidR="003C0A8C" w:rsidRPr="00EB3788">
          <w:rPr>
            <w:rStyle w:val="Hyperlink"/>
            <w:rFonts w:asciiTheme="majorHAnsi" w:hAnsiTheme="majorHAnsi"/>
            <w:u w:val="none"/>
            <w:lang w:bidi="en-US"/>
          </w:rPr>
          <w:t>Section 5.1 Pharmacodynamic Properties</w:t>
        </w:r>
      </w:hyperlink>
      <w:r w:rsidR="003C0A8C" w:rsidRPr="00EB3788">
        <w:rPr>
          <w:rFonts w:asciiTheme="majorHAnsi" w:hAnsiTheme="majorHAnsi" w:hint="eastAsia"/>
          <w:lang w:eastAsia="ja-JP" w:bidi="en-US"/>
        </w:rPr>
        <w:t>)</w:t>
      </w:r>
      <w:r w:rsidR="003C0A8C" w:rsidRPr="00EB3788">
        <w:rPr>
          <w:rFonts w:asciiTheme="majorHAnsi" w:hAnsiTheme="majorHAnsi"/>
          <w:lang w:eastAsia="ja-JP" w:bidi="en-US"/>
        </w:rPr>
        <w:t xml:space="preserve">. Additional </w:t>
      </w:r>
      <w:r w:rsidR="00752034" w:rsidRPr="00EB3788">
        <w:rPr>
          <w:rFonts w:asciiTheme="majorHAnsi" w:hAnsiTheme="majorHAnsi"/>
          <w:lang w:eastAsia="ja-JP" w:bidi="en-US"/>
        </w:rPr>
        <w:t xml:space="preserve">antibacterial medicinal products should be used </w:t>
      </w:r>
      <w:r w:rsidR="00E63B43" w:rsidRPr="00EB3788">
        <w:rPr>
          <w:rFonts w:asciiTheme="majorHAnsi" w:hAnsiTheme="majorHAnsi"/>
          <w:lang w:eastAsia="ja-JP" w:bidi="en-US"/>
        </w:rPr>
        <w:t>when these pathogens are identified</w:t>
      </w:r>
      <w:r w:rsidR="00752034" w:rsidRPr="00EB3788">
        <w:rPr>
          <w:rFonts w:asciiTheme="majorHAnsi" w:hAnsiTheme="majorHAnsi"/>
          <w:lang w:eastAsia="ja-JP" w:bidi="en-US"/>
        </w:rPr>
        <w:t xml:space="preserve"> or suspected to be contributing to the infectious process. </w:t>
      </w:r>
    </w:p>
    <w:p w14:paraId="02D2B096" w14:textId="1BFBBB09" w:rsidR="0D31D0EE" w:rsidRPr="004664E6" w:rsidRDefault="0D31D0EE" w:rsidP="00446C37">
      <w:pPr>
        <w:pStyle w:val="Heading3"/>
        <w:spacing w:after="120"/>
        <w:ind w:left="0"/>
        <w:rPr>
          <w:rFonts w:ascii="Cambria" w:eastAsia="Cambria" w:hAnsi="Cambria" w:cs="Cambria"/>
        </w:rPr>
      </w:pPr>
      <w:r w:rsidRPr="004664E6">
        <w:rPr>
          <w:rFonts w:ascii="Cambria" w:eastAsia="Cambria" w:hAnsi="Cambria" w:cs="Cambria"/>
        </w:rPr>
        <w:t>Use in renal impairment</w:t>
      </w:r>
    </w:p>
    <w:p w14:paraId="202D836B" w14:textId="4C4C6BC2" w:rsidR="0D31D0EE" w:rsidRPr="004664E6" w:rsidRDefault="0D31D0EE" w:rsidP="00446C37">
      <w:pPr>
        <w:rPr>
          <w:rFonts w:ascii="Cambria" w:eastAsia="Cambria" w:hAnsi="Cambria" w:cs="Cambria"/>
        </w:rPr>
      </w:pPr>
      <w:r w:rsidRPr="004664E6">
        <w:rPr>
          <w:rFonts w:ascii="Cambria" w:eastAsia="Cambria" w:hAnsi="Cambria" w:cs="Cambria"/>
        </w:rPr>
        <w:t xml:space="preserve">The recommended dose adjustments in </w:t>
      </w:r>
      <w:r w:rsidR="41B59B73" w:rsidRPr="004664E6">
        <w:rPr>
          <w:rFonts w:ascii="Cambria" w:eastAsia="Cambria" w:hAnsi="Cambria" w:cs="Cambria"/>
        </w:rPr>
        <w:t>patients</w:t>
      </w:r>
      <w:r w:rsidRPr="004664E6">
        <w:rPr>
          <w:rFonts w:ascii="Cambria" w:eastAsia="Cambria" w:hAnsi="Cambria" w:cs="Cambria"/>
        </w:rPr>
        <w:t xml:space="preserve"> with varying degrees of renal impairment are expected to provide comparable exposures to </w:t>
      </w:r>
      <w:r w:rsidR="04278893" w:rsidRPr="004664E6">
        <w:rPr>
          <w:rFonts w:ascii="Cambria" w:eastAsia="Cambria" w:hAnsi="Cambria" w:cs="Cambria"/>
        </w:rPr>
        <w:t>patients</w:t>
      </w:r>
      <w:r w:rsidRPr="004664E6">
        <w:rPr>
          <w:rFonts w:ascii="Cambria" w:eastAsia="Cambria" w:hAnsi="Cambria" w:cs="Cambria"/>
        </w:rPr>
        <w:t xml:space="preserve"> with normal renal function or mild renal </w:t>
      </w:r>
      <w:r w:rsidRPr="004664E6">
        <w:rPr>
          <w:rFonts w:asciiTheme="majorHAnsi" w:eastAsia="Cambria" w:hAnsiTheme="majorHAnsi" w:cs="Cambria"/>
        </w:rPr>
        <w:t xml:space="preserve">impairment (see </w:t>
      </w:r>
      <w:r w:rsidR="00870EEC" w:rsidRPr="004664E6">
        <w:rPr>
          <w:rFonts w:asciiTheme="majorHAnsi" w:eastAsia="Cambria" w:hAnsiTheme="majorHAnsi" w:cs="Cambria"/>
          <w:color w:val="0000EE"/>
        </w:rPr>
        <w:t>Section</w:t>
      </w:r>
      <w:r w:rsidR="0004289F" w:rsidRPr="004664E6">
        <w:rPr>
          <w:rFonts w:asciiTheme="majorHAnsi" w:eastAsia="Cambria" w:hAnsiTheme="majorHAnsi" w:cs="Cambria"/>
          <w:color w:val="0000EE"/>
        </w:rPr>
        <w:t xml:space="preserve"> </w:t>
      </w:r>
      <w:r w:rsidR="00870EEC" w:rsidRPr="004664E6">
        <w:rPr>
          <w:rFonts w:asciiTheme="majorHAnsi" w:eastAsia="Cambria" w:hAnsiTheme="majorHAnsi" w:cs="Cambria"/>
          <w:color w:val="0000EE"/>
        </w:rPr>
        <w:fldChar w:fldCharType="begin" w:fldLock="1"/>
      </w:r>
      <w:r w:rsidR="00870EEC" w:rsidRPr="004664E6">
        <w:rPr>
          <w:rFonts w:asciiTheme="majorHAnsi" w:eastAsia="Cambria" w:hAnsiTheme="majorHAnsi" w:cs="Cambria"/>
          <w:color w:val="0000EE"/>
        </w:rPr>
        <w:instrText xml:space="preserve"> REF _Ref171513418 \r \h  \* MERGEFORMAT </w:instrText>
      </w:r>
      <w:r w:rsidR="00870EEC" w:rsidRPr="004664E6">
        <w:rPr>
          <w:rFonts w:asciiTheme="majorHAnsi" w:eastAsia="Cambria" w:hAnsiTheme="majorHAnsi" w:cs="Cambria"/>
          <w:color w:val="0000EE"/>
        </w:rPr>
      </w:r>
      <w:r w:rsidR="00870EEC" w:rsidRPr="004664E6">
        <w:rPr>
          <w:rFonts w:asciiTheme="majorHAnsi" w:eastAsia="Cambria" w:hAnsiTheme="majorHAnsi" w:cs="Cambria"/>
          <w:color w:val="0000EE"/>
        </w:rPr>
        <w:fldChar w:fldCharType="separate"/>
      </w:r>
      <w:r w:rsidR="00870EEC" w:rsidRPr="004664E6">
        <w:rPr>
          <w:rFonts w:asciiTheme="majorHAnsi" w:eastAsia="Cambria" w:hAnsiTheme="majorHAnsi" w:cs="Cambria"/>
          <w:color w:val="0000EE"/>
        </w:rPr>
        <w:t>4.2</w:t>
      </w:r>
      <w:r w:rsidR="00870EEC" w:rsidRPr="004664E6">
        <w:rPr>
          <w:rFonts w:asciiTheme="majorHAnsi" w:eastAsia="Cambria" w:hAnsiTheme="majorHAnsi" w:cs="Cambria"/>
          <w:color w:val="0000EE"/>
        </w:rPr>
        <w:fldChar w:fldCharType="end"/>
      </w:r>
      <w:r w:rsidR="00870EEC" w:rsidRPr="004664E6">
        <w:rPr>
          <w:rFonts w:asciiTheme="majorHAnsi" w:eastAsia="Cambria" w:hAnsiTheme="majorHAnsi" w:cs="Cambria"/>
          <w:color w:val="0000EE"/>
        </w:rPr>
        <w:t xml:space="preserve"> </w:t>
      </w:r>
      <w:r w:rsidR="00870EEC" w:rsidRPr="004664E6">
        <w:rPr>
          <w:rFonts w:asciiTheme="majorHAnsi" w:eastAsia="Cambria" w:hAnsiTheme="majorHAnsi" w:cs="Cambria"/>
          <w:color w:val="0000EE"/>
        </w:rPr>
        <w:fldChar w:fldCharType="begin" w:fldLock="1"/>
      </w:r>
      <w:r w:rsidR="00870EEC" w:rsidRPr="004664E6">
        <w:rPr>
          <w:rFonts w:asciiTheme="majorHAnsi" w:eastAsia="Cambria" w:hAnsiTheme="majorHAnsi" w:cs="Cambria"/>
          <w:color w:val="0000EE"/>
        </w:rPr>
        <w:instrText xml:space="preserve"> REF _Ref171513418 \h  \* MERGEFORMAT </w:instrText>
      </w:r>
      <w:r w:rsidR="00870EEC" w:rsidRPr="004664E6">
        <w:rPr>
          <w:rFonts w:asciiTheme="majorHAnsi" w:eastAsia="Cambria" w:hAnsiTheme="majorHAnsi" w:cs="Cambria"/>
          <w:color w:val="0000EE"/>
        </w:rPr>
      </w:r>
      <w:r w:rsidR="00870EEC" w:rsidRPr="004664E6">
        <w:rPr>
          <w:rFonts w:asciiTheme="majorHAnsi" w:eastAsia="Cambria" w:hAnsiTheme="majorHAnsi" w:cs="Cambria"/>
          <w:color w:val="0000EE"/>
        </w:rPr>
        <w:fldChar w:fldCharType="separate"/>
      </w:r>
      <w:r w:rsidR="00870EEC" w:rsidRPr="00EB3788">
        <w:rPr>
          <w:rFonts w:asciiTheme="majorHAnsi" w:hAnsiTheme="majorHAnsi"/>
          <w:color w:val="0000EE"/>
        </w:rPr>
        <w:t>Dose and method of administration</w:t>
      </w:r>
      <w:r w:rsidR="00870EEC" w:rsidRPr="004664E6">
        <w:rPr>
          <w:rFonts w:asciiTheme="majorHAnsi" w:eastAsia="Cambria" w:hAnsiTheme="majorHAnsi" w:cs="Cambria"/>
          <w:color w:val="0000EE"/>
        </w:rPr>
        <w:fldChar w:fldCharType="end"/>
      </w:r>
      <w:r w:rsidRPr="004664E6">
        <w:rPr>
          <w:rFonts w:asciiTheme="majorHAnsi" w:eastAsia="Cambria" w:hAnsiTheme="majorHAnsi" w:cs="Cambria"/>
        </w:rPr>
        <w:t>).</w:t>
      </w:r>
      <w:r w:rsidRPr="004664E6">
        <w:rPr>
          <w:rFonts w:ascii="Cambria" w:eastAsia="Cambria" w:hAnsi="Cambria" w:cs="Cambria"/>
        </w:rPr>
        <w:t xml:space="preserve"> Because the exposure of cefiderocol is dependent on renal function, monitor CrCL and adjust the dose of cefiderocol accordingly for patients with changing renal function.</w:t>
      </w:r>
    </w:p>
    <w:p w14:paraId="6A5B4072" w14:textId="727A4CFE" w:rsidR="001A3992" w:rsidRPr="00EB3788" w:rsidRDefault="458AF451" w:rsidP="00446C37">
      <w:pPr>
        <w:pStyle w:val="Heading3"/>
        <w:spacing w:after="120"/>
        <w:ind w:left="0"/>
      </w:pPr>
      <w:r w:rsidRPr="00EB3788">
        <w:t>Use in the elderly</w:t>
      </w:r>
    </w:p>
    <w:p w14:paraId="3600667A" w14:textId="0A469C48" w:rsidR="00933AEB" w:rsidRPr="00EB3788" w:rsidRDefault="00933AEB" w:rsidP="00446C37">
      <w:pPr>
        <w:rPr>
          <w:rFonts w:ascii="Cambria" w:hAnsi="Cambria"/>
          <w:u w:val="single"/>
        </w:rPr>
      </w:pPr>
      <w:proofErr w:type="spellStart"/>
      <w:r w:rsidRPr="00EB3788">
        <w:rPr>
          <w:rFonts w:ascii="Cambria" w:hAnsi="Cambria"/>
          <w:u w:val="single"/>
        </w:rPr>
        <w:t>cUTI</w:t>
      </w:r>
      <w:proofErr w:type="spellEnd"/>
    </w:p>
    <w:p w14:paraId="6F70E4B3" w14:textId="563CE8BA" w:rsidR="00933AEB" w:rsidRPr="00EB3788" w:rsidRDefault="007F022E" w:rsidP="00446C37">
      <w:pPr>
        <w:spacing w:afterLines="100" w:after="240"/>
        <w:rPr>
          <w:rFonts w:ascii="Cambria" w:hAnsi="Cambria"/>
        </w:rPr>
      </w:pPr>
      <w:r w:rsidRPr="00EB3788">
        <w:rPr>
          <w:rFonts w:ascii="Cambria" w:hAnsi="Cambria"/>
        </w:rPr>
        <w:t xml:space="preserve">Of the 300 patients treated with FETROJA in the </w:t>
      </w:r>
      <w:proofErr w:type="spellStart"/>
      <w:r w:rsidRPr="00EB3788">
        <w:rPr>
          <w:rFonts w:ascii="Cambria" w:hAnsi="Cambria"/>
        </w:rPr>
        <w:t>cUTI</w:t>
      </w:r>
      <w:proofErr w:type="spellEnd"/>
      <w:r w:rsidRPr="00EB3788">
        <w:rPr>
          <w:rFonts w:ascii="Cambria" w:hAnsi="Cambria"/>
        </w:rPr>
        <w:t xml:space="preserve"> trial, 158 (52.7%) were 65 years of age and older, and 67 (22.3%) were 75 years of age and older. No overall differences in safety or efficacy were observed between these patients and younger patients.</w:t>
      </w:r>
    </w:p>
    <w:p w14:paraId="6E354599" w14:textId="51E6382B" w:rsidR="00933AEB" w:rsidRPr="00EB3788" w:rsidRDefault="006C5A62" w:rsidP="00446C37">
      <w:pPr>
        <w:spacing w:after="120"/>
        <w:rPr>
          <w:rFonts w:ascii="Cambria" w:hAnsi="Cambria"/>
          <w:u w:val="single"/>
        </w:rPr>
      </w:pPr>
      <w:r w:rsidRPr="00EB3788">
        <w:rPr>
          <w:rFonts w:ascii="Cambria" w:hAnsi="Cambria" w:hint="eastAsia"/>
          <w:u w:val="single"/>
          <w:lang w:eastAsia="ja-JP"/>
        </w:rPr>
        <w:t>H</w:t>
      </w:r>
      <w:r w:rsidRPr="00EB3788">
        <w:rPr>
          <w:rFonts w:ascii="Cambria" w:hAnsi="Cambria"/>
          <w:u w:val="single"/>
        </w:rPr>
        <w:t>ospital-acquired pneumonia (HABP)/</w:t>
      </w:r>
      <w:r w:rsidRPr="00EB3788">
        <w:rPr>
          <w:rFonts w:ascii="Cambria" w:hAnsi="Cambria" w:hint="eastAsia"/>
          <w:u w:val="single"/>
          <w:lang w:eastAsia="ja-JP"/>
        </w:rPr>
        <w:t>V</w:t>
      </w:r>
      <w:r w:rsidRPr="00EB3788">
        <w:rPr>
          <w:rFonts w:ascii="Cambria" w:hAnsi="Cambria"/>
          <w:u w:val="single"/>
        </w:rPr>
        <w:t>entilator-associated bacterial pneumonia (VABP)</w:t>
      </w:r>
    </w:p>
    <w:p w14:paraId="5514B976" w14:textId="6065945C" w:rsidR="001B5F19" w:rsidRPr="00EB3788" w:rsidRDefault="001B5F19" w:rsidP="00446C37">
      <w:pPr>
        <w:spacing w:after="120"/>
        <w:rPr>
          <w:rFonts w:ascii="Cambria" w:hAnsi="Cambria"/>
        </w:rPr>
      </w:pPr>
      <w:r w:rsidRPr="00EB3788">
        <w:rPr>
          <w:rFonts w:ascii="Cambria" w:hAnsi="Cambria"/>
        </w:rPr>
        <w:t>Of the 148 patients treated with FETROJA in the HABP/VABP trial, 83 (56.1%) were 65 years of age and older, and 40 (27</w:t>
      </w:r>
      <w:r w:rsidR="00752DCA" w:rsidRPr="00EB3788">
        <w:rPr>
          <w:rFonts w:ascii="Cambria" w:hAnsi="Cambria" w:hint="eastAsia"/>
          <w:lang w:eastAsia="ja-JP"/>
        </w:rPr>
        <w:t>.0</w:t>
      </w:r>
      <w:r w:rsidRPr="00EB3788">
        <w:rPr>
          <w:rFonts w:ascii="Cambria" w:hAnsi="Cambria"/>
        </w:rPr>
        <w:t xml:space="preserve">%) were 75 years of age and older. </w:t>
      </w:r>
    </w:p>
    <w:p w14:paraId="4EDB79C6" w14:textId="5B8215DB" w:rsidR="001B5F19" w:rsidRPr="00EB3788" w:rsidRDefault="001B5F19" w:rsidP="00446C37">
      <w:pPr>
        <w:spacing w:after="120"/>
        <w:rPr>
          <w:rFonts w:ascii="Cambria" w:hAnsi="Cambria"/>
        </w:rPr>
      </w:pPr>
      <w:r w:rsidRPr="00EB3788">
        <w:rPr>
          <w:rFonts w:ascii="Cambria" w:hAnsi="Cambria"/>
        </w:rPr>
        <w:t xml:space="preserve">The incidence of adverse </w:t>
      </w:r>
      <w:r w:rsidR="005645E9" w:rsidRPr="00EB3788">
        <w:rPr>
          <w:rFonts w:ascii="Cambria" w:hAnsi="Cambria" w:hint="eastAsia"/>
          <w:lang w:eastAsia="ja-JP"/>
        </w:rPr>
        <w:t>event</w:t>
      </w:r>
      <w:r w:rsidR="005645E9" w:rsidRPr="00EB3788">
        <w:rPr>
          <w:rFonts w:ascii="Cambria" w:hAnsi="Cambria"/>
        </w:rPr>
        <w:t>s</w:t>
      </w:r>
      <w:r w:rsidRPr="00EB3788">
        <w:rPr>
          <w:rFonts w:ascii="Cambria" w:hAnsi="Cambria"/>
        </w:rPr>
        <w:t xml:space="preserve"> in patients treated with FETROJA was similar in patients </w:t>
      </w:r>
      <w:r w:rsidR="00752DCA" w:rsidRPr="00EB3788">
        <w:rPr>
          <w:rFonts w:ascii="Cambria" w:hAnsi="Cambria"/>
        </w:rPr>
        <w:t>younger than</w:t>
      </w:r>
      <w:r w:rsidRPr="00EB3788">
        <w:rPr>
          <w:rFonts w:ascii="Cambria" w:hAnsi="Cambria"/>
        </w:rPr>
        <w:t xml:space="preserve"> 65 years of age as compared to older patients (65 years of age and older and 75 years of age and older). The incidence of adverse reactions in older patients (65 years of age and older and 75 years of age and older) was also similar between </w:t>
      </w:r>
      <w:r w:rsidR="00CD5DD6" w:rsidRPr="00EB3788">
        <w:rPr>
          <w:rFonts w:ascii="Cambria" w:hAnsi="Cambria" w:hint="eastAsia"/>
          <w:lang w:eastAsia="ja-JP"/>
        </w:rPr>
        <w:t xml:space="preserve">the </w:t>
      </w:r>
      <w:r w:rsidRPr="00EB3788">
        <w:rPr>
          <w:rFonts w:ascii="Cambria" w:hAnsi="Cambria"/>
        </w:rPr>
        <w:t xml:space="preserve">treatment groups. </w:t>
      </w:r>
    </w:p>
    <w:p w14:paraId="6A5FA928" w14:textId="77777777" w:rsidR="00446C37" w:rsidRDefault="001B5F19" w:rsidP="00446C37">
      <w:pPr>
        <w:spacing w:afterLines="100" w:after="240"/>
        <w:rPr>
          <w:rFonts w:ascii="Cambria" w:hAnsi="Cambria"/>
        </w:rPr>
      </w:pPr>
      <w:r w:rsidRPr="00EB3788">
        <w:rPr>
          <w:rFonts w:ascii="Cambria" w:hAnsi="Cambria"/>
        </w:rPr>
        <w:t>Clinical cure rates at the Test-of-Cure visit (TOC) in FETROJA-treated adult patients younger than 65 years of age, 65 years of age to younger than 75 years of age, and 75 years of age and older were 60</w:t>
      </w:r>
      <w:r w:rsidR="00752DCA" w:rsidRPr="00EB3788">
        <w:rPr>
          <w:rFonts w:ascii="Cambria" w:hAnsi="Cambria" w:hint="eastAsia"/>
          <w:lang w:eastAsia="ja-JP"/>
        </w:rPr>
        <w:t>.0</w:t>
      </w:r>
      <w:r w:rsidRPr="00EB3788">
        <w:rPr>
          <w:rFonts w:ascii="Cambria" w:hAnsi="Cambria"/>
        </w:rPr>
        <w:t>%, 77.5%, and 60</w:t>
      </w:r>
      <w:r w:rsidR="00752DCA" w:rsidRPr="00EB3788">
        <w:rPr>
          <w:rFonts w:ascii="Cambria" w:hAnsi="Cambria" w:hint="eastAsia"/>
          <w:lang w:eastAsia="ja-JP"/>
        </w:rPr>
        <w:t>.0</w:t>
      </w:r>
      <w:r w:rsidRPr="00EB3788">
        <w:rPr>
          <w:rFonts w:ascii="Cambria" w:hAnsi="Cambria"/>
        </w:rPr>
        <w:t xml:space="preserve">%, respectively. In comparison, the clinical cure rates at TOC in the meropenem-treated patients for each of these subgroups were 65.5%, 64.4%, and 70.5%, respectively. The observed all-cause mortality rates at Day 14 in the FETROJA-treated patients for each of these subgroups were 12.3%, 7.5%, and 17.5%, respectively. </w:t>
      </w:r>
    </w:p>
    <w:p w14:paraId="7200F77E" w14:textId="1DB2AB3B" w:rsidR="00933AEB" w:rsidRPr="00EB3788" w:rsidRDefault="001B5F19" w:rsidP="00446C37">
      <w:pPr>
        <w:spacing w:afterLines="100" w:after="240"/>
        <w:rPr>
          <w:rFonts w:ascii="Cambria" w:hAnsi="Cambria"/>
        </w:rPr>
      </w:pPr>
      <w:r w:rsidRPr="00EB3788">
        <w:rPr>
          <w:rFonts w:ascii="Cambria" w:hAnsi="Cambria"/>
        </w:rPr>
        <w:lastRenderedPageBreak/>
        <w:t>In comparison, in the meropenem-treated patients for each of these subgroups, they were 10.3%, 17.8%, and 9.1%, respectively.</w:t>
      </w:r>
    </w:p>
    <w:p w14:paraId="0C3B89AB" w14:textId="669E5FB4" w:rsidR="00745A7F" w:rsidRPr="00EB3788" w:rsidRDefault="00745A7F" w:rsidP="00446C37">
      <w:pPr>
        <w:spacing w:after="120"/>
        <w:rPr>
          <w:rFonts w:ascii="Cambria" w:hAnsi="Cambria"/>
          <w:lang w:eastAsia="ja-JP"/>
        </w:rPr>
      </w:pPr>
      <w:r w:rsidRPr="00EB3788">
        <w:rPr>
          <w:rFonts w:ascii="Cambria" w:hAnsi="Cambria" w:hint="eastAsia"/>
          <w:u w:val="single"/>
          <w:lang w:eastAsia="ja-JP"/>
        </w:rPr>
        <w:t>CREDIBLE-CR</w:t>
      </w:r>
    </w:p>
    <w:p w14:paraId="51E1A384" w14:textId="2C045708" w:rsidR="00745A7F" w:rsidRPr="00EB3788" w:rsidRDefault="00745A7F" w:rsidP="00446C37">
      <w:pPr>
        <w:spacing w:afterLines="50" w:after="120"/>
        <w:rPr>
          <w:rFonts w:ascii="Cambria" w:hAnsi="Cambria"/>
        </w:rPr>
      </w:pPr>
      <w:r w:rsidRPr="00EB3788">
        <w:rPr>
          <w:rFonts w:ascii="Cambria" w:hAnsi="Cambria"/>
        </w:rPr>
        <w:t xml:space="preserve">Of the 101 patients treated with FETROJA in the CREDIBLE-CR trial, 64 (63.4%) were 65 years of age and older. </w:t>
      </w:r>
    </w:p>
    <w:p w14:paraId="3EDA234A" w14:textId="00079E20" w:rsidR="00745A7F" w:rsidRPr="00EB3788" w:rsidRDefault="00745A7F" w:rsidP="00446C37">
      <w:pPr>
        <w:rPr>
          <w:rFonts w:ascii="Cambria" w:hAnsi="Cambria"/>
        </w:rPr>
      </w:pPr>
      <w:r w:rsidRPr="00EB3788">
        <w:rPr>
          <w:rFonts w:ascii="Cambria" w:hAnsi="Cambria"/>
        </w:rPr>
        <w:t>There were no important differences in the incidence of adverse events between these patients and younger patients.</w:t>
      </w:r>
    </w:p>
    <w:p w14:paraId="5B5451D6" w14:textId="6D114E7B" w:rsidR="008276C7" w:rsidRPr="00EB3788" w:rsidRDefault="00745A7F" w:rsidP="00446C37">
      <w:pPr>
        <w:spacing w:afterLines="100" w:after="240"/>
        <w:rPr>
          <w:rFonts w:ascii="Cambria" w:hAnsi="Cambria"/>
        </w:rPr>
      </w:pPr>
      <w:r w:rsidRPr="00EB3788">
        <w:rPr>
          <w:rFonts w:ascii="Cambria" w:hAnsi="Cambria"/>
        </w:rPr>
        <w:t xml:space="preserve">Clinical cure rates at TOC in FETROJA-treated adult patients younger than 65 years of age and 65 years of age and older were 50.0% and 54.0%, respectively. In comparison, the clinical cure rates at TOC in the BAT patients for each of these subgroups were 61.9% and 35.3%, respectively. </w:t>
      </w:r>
    </w:p>
    <w:p w14:paraId="48E24E3B" w14:textId="77777777" w:rsidR="00CA4C11" w:rsidRPr="00EB3788" w:rsidRDefault="00745A7F" w:rsidP="00446C37">
      <w:pPr>
        <w:spacing w:after="120"/>
        <w:rPr>
          <w:rFonts w:ascii="Cambria" w:hAnsi="Cambria"/>
        </w:rPr>
      </w:pPr>
      <w:r w:rsidRPr="00EB3788">
        <w:rPr>
          <w:rFonts w:ascii="Cambria" w:hAnsi="Cambria"/>
        </w:rPr>
        <w:t>The microbiological eradication rates at TOC in FETROJA-treated adult patients younger than 65 years of age and 65 years of age and older were 30.0% and 32.0%, respectively. In comparison, the microbiological eradication rates at TOC visit in the BAT patients for each of these subgroups were 38.1% and 5.9%, respectively.</w:t>
      </w:r>
    </w:p>
    <w:p w14:paraId="6705D88D" w14:textId="7539E3BA" w:rsidR="00933AEB" w:rsidRPr="00EB3788" w:rsidRDefault="00933AEB" w:rsidP="00446C37">
      <w:pPr>
        <w:spacing w:after="120"/>
        <w:rPr>
          <w:rFonts w:ascii="Cambria" w:hAnsi="Cambria"/>
          <w:u w:val="single"/>
        </w:rPr>
      </w:pPr>
      <w:proofErr w:type="spellStart"/>
      <w:r w:rsidRPr="00EB3788">
        <w:rPr>
          <w:rFonts w:ascii="Cambria" w:hAnsi="Cambria"/>
          <w:u w:val="single"/>
        </w:rPr>
        <w:t>cUTI</w:t>
      </w:r>
      <w:proofErr w:type="spellEnd"/>
      <w:r w:rsidR="000C3044" w:rsidRPr="00EB3788">
        <w:rPr>
          <w:rFonts w:ascii="Cambria" w:hAnsi="Cambria"/>
          <w:u w:val="single"/>
        </w:rPr>
        <w:t xml:space="preserve"> and HABP/VABP</w:t>
      </w:r>
    </w:p>
    <w:p w14:paraId="11EE8C11" w14:textId="77777777" w:rsidR="000C3044" w:rsidRPr="00EB3788" w:rsidRDefault="000C3044" w:rsidP="00446C37">
      <w:pPr>
        <w:spacing w:afterLines="100" w:after="240"/>
        <w:rPr>
          <w:rFonts w:ascii="Cambria" w:hAnsi="Cambria"/>
        </w:rPr>
      </w:pPr>
      <w:r w:rsidRPr="00EB3788">
        <w:rPr>
          <w:rFonts w:ascii="Cambria" w:hAnsi="Cambria"/>
        </w:rPr>
        <w:t xml:space="preserve">FETROJA is known to be substantially excreted by the kidney, and the risk of adverse reactions to this drug may be greater in patients with impaired renal function. Because elderly patients are more likely to have decreased renal function, care should be taken in dose selection, and it may be useful to monitor renal function. </w:t>
      </w:r>
    </w:p>
    <w:p w14:paraId="26819F8D" w14:textId="127E5E38" w:rsidR="00933AEB" w:rsidRPr="00EB3788" w:rsidRDefault="000C3044" w:rsidP="00446C37">
      <w:pPr>
        <w:spacing w:afterLines="50" w:after="120"/>
        <w:rPr>
          <w:rFonts w:ascii="Cambria" w:hAnsi="Cambria"/>
        </w:rPr>
      </w:pPr>
      <w:r w:rsidRPr="00EB3788">
        <w:rPr>
          <w:rFonts w:ascii="Cambria" w:hAnsi="Cambria"/>
        </w:rPr>
        <w:t xml:space="preserve">No dosage adjustment is required based on age. Dosage adjustment for elderly patients should be based on renal function </w:t>
      </w:r>
      <w:r w:rsidR="00D078C5" w:rsidRPr="004664E6">
        <w:rPr>
          <w:rFonts w:asciiTheme="majorHAnsi" w:eastAsia="Cambria" w:hAnsiTheme="majorHAnsi" w:cs="Cambria"/>
        </w:rPr>
        <w:t xml:space="preserve">(see </w:t>
      </w:r>
      <w:r w:rsidR="00D078C5" w:rsidRPr="004664E6">
        <w:rPr>
          <w:rFonts w:asciiTheme="majorHAnsi" w:eastAsia="Cambria" w:hAnsiTheme="majorHAnsi" w:cs="Cambria"/>
          <w:color w:val="0000EE"/>
        </w:rPr>
        <w:t xml:space="preserve">Section </w:t>
      </w:r>
      <w:r w:rsidR="00D078C5" w:rsidRPr="004664E6">
        <w:rPr>
          <w:rFonts w:asciiTheme="majorHAnsi" w:eastAsia="Cambria" w:hAnsiTheme="majorHAnsi" w:cs="Cambria"/>
          <w:color w:val="0000EE"/>
        </w:rPr>
        <w:fldChar w:fldCharType="begin" w:fldLock="1"/>
      </w:r>
      <w:r w:rsidR="00D078C5" w:rsidRPr="004664E6">
        <w:rPr>
          <w:rFonts w:asciiTheme="majorHAnsi" w:eastAsia="Cambria" w:hAnsiTheme="majorHAnsi" w:cs="Cambria"/>
          <w:color w:val="0000EE"/>
        </w:rPr>
        <w:instrText xml:space="preserve"> REF _Ref171513418 \r \h  \* MERGEFORMAT </w:instrText>
      </w:r>
      <w:r w:rsidR="00D078C5" w:rsidRPr="004664E6">
        <w:rPr>
          <w:rFonts w:asciiTheme="majorHAnsi" w:eastAsia="Cambria" w:hAnsiTheme="majorHAnsi" w:cs="Cambria"/>
          <w:color w:val="0000EE"/>
        </w:rPr>
      </w:r>
      <w:r w:rsidR="00D078C5" w:rsidRPr="004664E6">
        <w:rPr>
          <w:rFonts w:asciiTheme="majorHAnsi" w:eastAsia="Cambria" w:hAnsiTheme="majorHAnsi" w:cs="Cambria"/>
          <w:color w:val="0000EE"/>
        </w:rPr>
        <w:fldChar w:fldCharType="separate"/>
      </w:r>
      <w:r w:rsidR="00D078C5" w:rsidRPr="004664E6">
        <w:rPr>
          <w:rFonts w:asciiTheme="majorHAnsi" w:eastAsia="Cambria" w:hAnsiTheme="majorHAnsi" w:cs="Cambria"/>
          <w:color w:val="0000EE"/>
        </w:rPr>
        <w:t>4.2</w:t>
      </w:r>
      <w:r w:rsidR="00D078C5" w:rsidRPr="004664E6">
        <w:rPr>
          <w:rFonts w:asciiTheme="majorHAnsi" w:eastAsia="Cambria" w:hAnsiTheme="majorHAnsi" w:cs="Cambria"/>
          <w:color w:val="0000EE"/>
        </w:rPr>
        <w:fldChar w:fldCharType="end"/>
      </w:r>
      <w:r w:rsidR="00D078C5" w:rsidRPr="004664E6">
        <w:rPr>
          <w:rFonts w:asciiTheme="majorHAnsi" w:eastAsia="Cambria" w:hAnsiTheme="majorHAnsi" w:cs="Cambria"/>
          <w:color w:val="0000EE"/>
        </w:rPr>
        <w:t xml:space="preserve"> </w:t>
      </w:r>
      <w:r w:rsidR="00D078C5" w:rsidRPr="004664E6">
        <w:rPr>
          <w:rFonts w:asciiTheme="majorHAnsi" w:eastAsia="Cambria" w:hAnsiTheme="majorHAnsi" w:cs="Cambria"/>
          <w:color w:val="0000EE"/>
        </w:rPr>
        <w:fldChar w:fldCharType="begin" w:fldLock="1"/>
      </w:r>
      <w:r w:rsidR="00D078C5" w:rsidRPr="004664E6">
        <w:rPr>
          <w:rFonts w:asciiTheme="majorHAnsi" w:eastAsia="Cambria" w:hAnsiTheme="majorHAnsi" w:cs="Cambria"/>
          <w:color w:val="0000EE"/>
        </w:rPr>
        <w:instrText xml:space="preserve"> REF _Ref171513418 \h  \* MERGEFORMAT </w:instrText>
      </w:r>
      <w:r w:rsidR="00D078C5" w:rsidRPr="004664E6">
        <w:rPr>
          <w:rFonts w:asciiTheme="majorHAnsi" w:eastAsia="Cambria" w:hAnsiTheme="majorHAnsi" w:cs="Cambria"/>
          <w:color w:val="0000EE"/>
        </w:rPr>
      </w:r>
      <w:r w:rsidR="00D078C5" w:rsidRPr="004664E6">
        <w:rPr>
          <w:rFonts w:asciiTheme="majorHAnsi" w:eastAsia="Cambria" w:hAnsiTheme="majorHAnsi" w:cs="Cambria"/>
          <w:color w:val="0000EE"/>
        </w:rPr>
        <w:fldChar w:fldCharType="separate"/>
      </w:r>
      <w:r w:rsidR="00D078C5" w:rsidRPr="00EB3788">
        <w:rPr>
          <w:rFonts w:asciiTheme="majorHAnsi" w:hAnsiTheme="majorHAnsi"/>
          <w:color w:val="0000EE"/>
        </w:rPr>
        <w:t>Dose and method of administration</w:t>
      </w:r>
      <w:r w:rsidR="00D078C5" w:rsidRPr="004664E6">
        <w:rPr>
          <w:rFonts w:asciiTheme="majorHAnsi" w:eastAsia="Cambria" w:hAnsiTheme="majorHAnsi" w:cs="Cambria"/>
          <w:color w:val="0000EE"/>
        </w:rPr>
        <w:fldChar w:fldCharType="end"/>
      </w:r>
      <w:r w:rsidR="00E9798D" w:rsidRPr="004664E6">
        <w:rPr>
          <w:rFonts w:asciiTheme="majorHAnsi" w:eastAsia="Cambria" w:hAnsiTheme="majorHAnsi" w:cs="Cambria"/>
        </w:rPr>
        <w:t xml:space="preserve"> and </w:t>
      </w:r>
      <w:r w:rsidR="00E9798D" w:rsidRPr="004664E6">
        <w:rPr>
          <w:rFonts w:asciiTheme="majorHAnsi" w:eastAsia="Cambria" w:hAnsiTheme="majorHAnsi" w:cs="Cambria"/>
          <w:color w:val="0000FF"/>
        </w:rPr>
        <w:fldChar w:fldCharType="begin"/>
      </w:r>
      <w:r w:rsidR="00E9798D" w:rsidRPr="004664E6">
        <w:rPr>
          <w:rFonts w:asciiTheme="majorHAnsi" w:eastAsia="Cambria" w:hAnsiTheme="majorHAnsi" w:cs="Cambria"/>
          <w:color w:val="0000FF"/>
        </w:rPr>
        <w:instrText xml:space="preserve"> REF _Ref205820469 \w \h  \* MERGEFORMAT </w:instrText>
      </w:r>
      <w:r w:rsidR="00E9798D" w:rsidRPr="004664E6">
        <w:rPr>
          <w:rFonts w:asciiTheme="majorHAnsi" w:eastAsia="Cambria" w:hAnsiTheme="majorHAnsi" w:cs="Cambria"/>
          <w:color w:val="0000FF"/>
        </w:rPr>
      </w:r>
      <w:r w:rsidR="00E9798D" w:rsidRPr="004664E6">
        <w:rPr>
          <w:rFonts w:asciiTheme="majorHAnsi" w:eastAsia="Cambria" w:hAnsiTheme="majorHAnsi" w:cs="Cambria"/>
          <w:color w:val="0000FF"/>
        </w:rPr>
        <w:fldChar w:fldCharType="separate"/>
      </w:r>
      <w:r w:rsidR="001E66F2" w:rsidRPr="004664E6">
        <w:rPr>
          <w:rFonts w:asciiTheme="majorHAnsi" w:eastAsia="Cambria" w:hAnsiTheme="majorHAnsi" w:cs="Cambria"/>
          <w:color w:val="0000FF"/>
        </w:rPr>
        <w:t>5.2</w:t>
      </w:r>
      <w:r w:rsidR="00E9798D" w:rsidRPr="004664E6">
        <w:rPr>
          <w:rFonts w:asciiTheme="majorHAnsi" w:eastAsia="Cambria" w:hAnsiTheme="majorHAnsi" w:cs="Cambria"/>
          <w:color w:val="0000FF"/>
        </w:rPr>
        <w:fldChar w:fldCharType="end"/>
      </w:r>
      <w:r w:rsidR="00E9798D" w:rsidRPr="004664E6">
        <w:rPr>
          <w:rFonts w:asciiTheme="majorHAnsi" w:eastAsia="Cambria" w:hAnsiTheme="majorHAnsi" w:cs="Cambria"/>
          <w:color w:val="0000FF"/>
        </w:rPr>
        <w:t xml:space="preserve"> </w:t>
      </w:r>
      <w:r w:rsidR="00E9798D" w:rsidRPr="004664E6">
        <w:rPr>
          <w:rFonts w:asciiTheme="majorHAnsi" w:eastAsia="Cambria" w:hAnsiTheme="majorHAnsi" w:cs="Cambria"/>
          <w:color w:val="0000FF"/>
        </w:rPr>
        <w:fldChar w:fldCharType="begin"/>
      </w:r>
      <w:r w:rsidR="00E9798D" w:rsidRPr="004664E6">
        <w:rPr>
          <w:rFonts w:asciiTheme="majorHAnsi" w:eastAsia="Cambria" w:hAnsiTheme="majorHAnsi" w:cs="Cambria"/>
          <w:color w:val="0000FF"/>
        </w:rPr>
        <w:instrText xml:space="preserve"> REF _Ref205820469 \h  \* MERGEFORMAT </w:instrText>
      </w:r>
      <w:r w:rsidR="00E9798D" w:rsidRPr="004664E6">
        <w:rPr>
          <w:rFonts w:asciiTheme="majorHAnsi" w:eastAsia="Cambria" w:hAnsiTheme="majorHAnsi" w:cs="Cambria"/>
          <w:color w:val="0000FF"/>
        </w:rPr>
      </w:r>
      <w:r w:rsidR="00E9798D" w:rsidRPr="004664E6">
        <w:rPr>
          <w:rFonts w:asciiTheme="majorHAnsi" w:eastAsia="Cambria" w:hAnsiTheme="majorHAnsi" w:cs="Cambria"/>
          <w:color w:val="0000FF"/>
        </w:rPr>
        <w:fldChar w:fldCharType="separate"/>
      </w:r>
      <w:r w:rsidR="001E66F2" w:rsidRPr="00EB3788">
        <w:rPr>
          <w:rFonts w:asciiTheme="majorHAnsi" w:hAnsiTheme="majorHAnsi"/>
          <w:color w:val="0000FF"/>
        </w:rPr>
        <w:t>Pharmacokinetic properties</w:t>
      </w:r>
      <w:r w:rsidR="00E9798D" w:rsidRPr="004664E6">
        <w:rPr>
          <w:rFonts w:asciiTheme="majorHAnsi" w:eastAsia="Cambria" w:hAnsiTheme="majorHAnsi" w:cs="Cambria"/>
          <w:color w:val="0000FF"/>
        </w:rPr>
        <w:fldChar w:fldCharType="end"/>
      </w:r>
      <w:r w:rsidR="00E9798D" w:rsidRPr="004664E6">
        <w:rPr>
          <w:rFonts w:asciiTheme="majorHAnsi" w:eastAsia="Cambria" w:hAnsiTheme="majorHAnsi" w:cs="Cambria"/>
        </w:rPr>
        <w:t>).</w:t>
      </w:r>
    </w:p>
    <w:p w14:paraId="49C45624" w14:textId="77777777" w:rsidR="001A3992" w:rsidRPr="00EB3788" w:rsidRDefault="458AF451" w:rsidP="00446C37">
      <w:pPr>
        <w:pStyle w:val="Heading3"/>
        <w:spacing w:before="0" w:after="120"/>
        <w:ind w:left="0"/>
      </w:pPr>
      <w:r w:rsidRPr="00EB3788">
        <w:t>Paediatric use</w:t>
      </w:r>
    </w:p>
    <w:p w14:paraId="299C7032" w14:textId="0E01166D" w:rsidR="00AA187B" w:rsidRPr="00EB3788" w:rsidRDefault="458AF451" w:rsidP="00446C37">
      <w:pPr>
        <w:rPr>
          <w:rFonts w:asciiTheme="majorHAnsi" w:hAnsiTheme="majorHAnsi"/>
          <w:lang w:eastAsia="ja-JP"/>
        </w:rPr>
      </w:pPr>
      <w:r w:rsidRPr="00EB3788">
        <w:rPr>
          <w:rFonts w:asciiTheme="majorHAnsi" w:hAnsiTheme="majorHAnsi"/>
        </w:rPr>
        <w:t xml:space="preserve">The efficacy and safety of </w:t>
      </w:r>
      <w:r w:rsidR="00FF2915" w:rsidRPr="00EB3788">
        <w:rPr>
          <w:rFonts w:asciiTheme="majorHAnsi" w:hAnsiTheme="majorHAnsi"/>
        </w:rPr>
        <w:t>Fetroja</w:t>
      </w:r>
      <w:r w:rsidRPr="00EB3788">
        <w:rPr>
          <w:rFonts w:asciiTheme="majorHAnsi" w:hAnsiTheme="majorHAnsi"/>
        </w:rPr>
        <w:t xml:space="preserve"> in </w:t>
      </w:r>
      <w:r w:rsidR="00FF7C76" w:rsidRPr="00EB3788">
        <w:rPr>
          <w:rFonts w:asciiTheme="majorHAnsi" w:hAnsiTheme="majorHAnsi"/>
        </w:rPr>
        <w:t>paediatric</w:t>
      </w:r>
      <w:r w:rsidRPr="00EB3788">
        <w:rPr>
          <w:rFonts w:asciiTheme="majorHAnsi" w:hAnsiTheme="majorHAnsi"/>
        </w:rPr>
        <w:t xml:space="preserve"> patients </w:t>
      </w:r>
      <w:r w:rsidR="001D3B44" w:rsidRPr="00EB3788">
        <w:rPr>
          <w:rFonts w:asciiTheme="majorHAnsi" w:hAnsiTheme="majorHAnsi"/>
        </w:rPr>
        <w:t>have</w:t>
      </w:r>
      <w:r w:rsidRPr="00EB3788">
        <w:rPr>
          <w:rFonts w:asciiTheme="majorHAnsi" w:hAnsiTheme="majorHAnsi"/>
        </w:rPr>
        <w:t xml:space="preserve"> not been established</w:t>
      </w:r>
      <w:r w:rsidR="00CE44C0" w:rsidRPr="00EB3788">
        <w:rPr>
          <w:rFonts w:asciiTheme="majorHAnsi" w:hAnsiTheme="majorHAnsi" w:hint="eastAsia"/>
          <w:lang w:eastAsia="ja-JP"/>
        </w:rPr>
        <w:t>.</w:t>
      </w:r>
    </w:p>
    <w:p w14:paraId="0C297F2B" w14:textId="77777777" w:rsidR="001A3992" w:rsidRPr="00EB3788" w:rsidRDefault="001A3992" w:rsidP="00446C37">
      <w:pPr>
        <w:pStyle w:val="Heading3"/>
        <w:spacing w:before="0" w:after="120"/>
        <w:ind w:left="0"/>
      </w:pPr>
      <w:r w:rsidRPr="00EB3788">
        <w:t>Effects on laboratory tests</w:t>
      </w:r>
    </w:p>
    <w:p w14:paraId="54C65FC8" w14:textId="77777777" w:rsidR="006B43DE" w:rsidRPr="00EB3788" w:rsidRDefault="006B43DE" w:rsidP="00446C37">
      <w:pPr>
        <w:rPr>
          <w:rFonts w:asciiTheme="majorHAnsi" w:hAnsiTheme="majorHAnsi"/>
          <w:lang w:bidi="en-US"/>
        </w:rPr>
      </w:pPr>
      <w:r w:rsidRPr="00EB3788">
        <w:rPr>
          <w:rFonts w:asciiTheme="majorHAnsi" w:hAnsiTheme="majorHAnsi"/>
          <w:lang w:bidi="en-US"/>
        </w:rPr>
        <w:t>Cefiderocol may show false-positive results in dipstick tests for urine protein, urine ketone bodies, and urine occult blood.</w:t>
      </w:r>
    </w:p>
    <w:p w14:paraId="2F00512A" w14:textId="6E935BD7" w:rsidR="001A3992" w:rsidRPr="00EB3788" w:rsidRDefault="245611FF" w:rsidP="00446C37">
      <w:pPr>
        <w:pStyle w:val="Heading2"/>
        <w:keepNext/>
        <w:keepLines/>
        <w:spacing w:before="0" w:after="120"/>
      </w:pPr>
      <w:r w:rsidRPr="00EB3788">
        <w:t>Interactions with other medicines and other forms of interactions</w:t>
      </w:r>
    </w:p>
    <w:p w14:paraId="5E56D6F7" w14:textId="341ABC34" w:rsidR="002652C3" w:rsidRPr="00EB3788" w:rsidRDefault="000666A1" w:rsidP="00446C37">
      <w:pPr>
        <w:autoSpaceDE w:val="0"/>
        <w:autoSpaceDN w:val="0"/>
        <w:adjustRightInd w:val="0"/>
        <w:snapToGrid w:val="0"/>
        <w:spacing w:after="0"/>
        <w:rPr>
          <w:rFonts w:asciiTheme="majorHAnsi" w:hAnsiTheme="majorHAnsi" w:cs="Times New Roman"/>
          <w:snapToGrid w:val="0"/>
          <w:lang w:bidi="en-US"/>
        </w:rPr>
      </w:pPr>
      <w:r w:rsidRPr="00EB3788">
        <w:rPr>
          <w:rFonts w:asciiTheme="majorHAnsi" w:hAnsiTheme="majorHAnsi" w:cs="Times New Roman"/>
          <w:i/>
          <w:iCs/>
          <w:snapToGrid w:val="0"/>
          <w:lang w:bidi="en-US"/>
        </w:rPr>
        <w:t>I</w:t>
      </w:r>
      <w:r w:rsidR="004740D9" w:rsidRPr="00EB3788">
        <w:rPr>
          <w:rFonts w:asciiTheme="majorHAnsi" w:hAnsiTheme="majorHAnsi" w:cs="Times New Roman"/>
          <w:i/>
          <w:iCs/>
          <w:snapToGrid w:val="0"/>
          <w:lang w:bidi="en-US"/>
        </w:rPr>
        <w:t>n vitro</w:t>
      </w:r>
      <w:r w:rsidR="004740D9" w:rsidRPr="00EB3788">
        <w:rPr>
          <w:rFonts w:asciiTheme="majorHAnsi" w:hAnsiTheme="majorHAnsi" w:cs="Times New Roman"/>
          <w:snapToGrid w:val="0"/>
          <w:lang w:bidi="en-US"/>
        </w:rPr>
        <w:t xml:space="preserve"> studies </w:t>
      </w:r>
      <w:r w:rsidR="00CF6EF7" w:rsidRPr="00EB3788">
        <w:rPr>
          <w:rFonts w:asciiTheme="majorHAnsi" w:hAnsiTheme="majorHAnsi" w:cs="Times New Roman"/>
          <w:snapToGrid w:val="0"/>
          <w:lang w:bidi="en-US"/>
        </w:rPr>
        <w:t>suggest potential for cefiderocol su</w:t>
      </w:r>
      <w:r w:rsidR="0030065F" w:rsidRPr="00EB3788">
        <w:rPr>
          <w:rFonts w:asciiTheme="majorHAnsi" w:hAnsiTheme="majorHAnsi" w:cs="Times New Roman"/>
          <w:snapToGrid w:val="0"/>
          <w:lang w:bidi="en-US"/>
        </w:rPr>
        <w:t xml:space="preserve">lfate </w:t>
      </w:r>
      <w:proofErr w:type="spellStart"/>
      <w:r w:rsidR="0030065F" w:rsidRPr="00EB3788">
        <w:rPr>
          <w:rFonts w:asciiTheme="majorHAnsi" w:hAnsiTheme="majorHAnsi" w:cs="Times New Roman"/>
          <w:snapToGrid w:val="0"/>
          <w:lang w:bidi="en-US"/>
        </w:rPr>
        <w:t>tosilate</w:t>
      </w:r>
      <w:proofErr w:type="spellEnd"/>
      <w:r w:rsidR="0030065F" w:rsidRPr="00EB3788">
        <w:rPr>
          <w:rFonts w:asciiTheme="majorHAnsi" w:hAnsiTheme="majorHAnsi" w:cs="Times New Roman"/>
          <w:snapToGrid w:val="0"/>
          <w:lang w:bidi="en-US"/>
        </w:rPr>
        <w:t xml:space="preserve"> to inhibit CYP450 enzymes CYP1A2, CYP2B6, </w:t>
      </w:r>
      <w:r w:rsidR="00081021" w:rsidRPr="00EB3788">
        <w:rPr>
          <w:rFonts w:asciiTheme="majorHAnsi" w:hAnsiTheme="majorHAnsi" w:cs="Times New Roman" w:hint="eastAsia"/>
          <w:snapToGrid w:val="0"/>
          <w:lang w:eastAsia="ja-JP" w:bidi="en-US"/>
        </w:rPr>
        <w:t xml:space="preserve">CYP2C8, </w:t>
      </w:r>
      <w:r w:rsidR="0030065F" w:rsidRPr="00EB3788">
        <w:rPr>
          <w:rFonts w:asciiTheme="majorHAnsi" w:hAnsiTheme="majorHAnsi" w:cs="Times New Roman"/>
          <w:snapToGrid w:val="0"/>
          <w:lang w:bidi="en-US"/>
        </w:rPr>
        <w:t xml:space="preserve">CYP2C9, </w:t>
      </w:r>
      <w:r w:rsidR="004E03C2" w:rsidRPr="00EB3788">
        <w:rPr>
          <w:rFonts w:asciiTheme="majorHAnsi" w:hAnsiTheme="majorHAnsi" w:cs="Times New Roman"/>
          <w:snapToGrid w:val="0"/>
          <w:lang w:bidi="en-US"/>
        </w:rPr>
        <w:t>CYP2C19</w:t>
      </w:r>
      <w:r w:rsidR="001416AF" w:rsidRPr="00EB3788">
        <w:rPr>
          <w:rFonts w:asciiTheme="majorHAnsi" w:hAnsiTheme="majorHAnsi" w:cs="Times New Roman"/>
          <w:snapToGrid w:val="0"/>
          <w:lang w:bidi="en-US"/>
        </w:rPr>
        <w:t xml:space="preserve">, </w:t>
      </w:r>
      <w:r w:rsidR="0030065F" w:rsidRPr="00EB3788">
        <w:rPr>
          <w:rFonts w:asciiTheme="majorHAnsi" w:hAnsiTheme="majorHAnsi" w:cs="Times New Roman"/>
          <w:snapToGrid w:val="0"/>
          <w:lang w:bidi="en-US"/>
        </w:rPr>
        <w:t>CYP2D6</w:t>
      </w:r>
      <w:r w:rsidR="00081021" w:rsidRPr="00EB3788">
        <w:rPr>
          <w:rFonts w:asciiTheme="majorHAnsi" w:hAnsiTheme="majorHAnsi" w:cs="Times New Roman" w:hint="eastAsia"/>
          <w:snapToGrid w:val="0"/>
          <w:lang w:eastAsia="ja-JP" w:bidi="en-US"/>
        </w:rPr>
        <w:t>,</w:t>
      </w:r>
      <w:r w:rsidR="0030065F" w:rsidRPr="00EB3788">
        <w:rPr>
          <w:rFonts w:asciiTheme="majorHAnsi" w:hAnsiTheme="majorHAnsi" w:cs="Times New Roman"/>
          <w:snapToGrid w:val="0"/>
          <w:lang w:bidi="en-US"/>
        </w:rPr>
        <w:t xml:space="preserve"> CYP</w:t>
      </w:r>
      <w:r w:rsidR="006607D0" w:rsidRPr="00EB3788">
        <w:rPr>
          <w:rFonts w:asciiTheme="majorHAnsi" w:hAnsiTheme="majorHAnsi" w:cs="Times New Roman"/>
          <w:snapToGrid w:val="0"/>
          <w:lang w:bidi="en-US"/>
        </w:rPr>
        <w:t>2</w:t>
      </w:r>
      <w:r w:rsidR="0030065F" w:rsidRPr="00EB3788">
        <w:rPr>
          <w:rFonts w:asciiTheme="majorHAnsi" w:hAnsiTheme="majorHAnsi" w:cs="Times New Roman"/>
          <w:snapToGrid w:val="0"/>
          <w:lang w:bidi="en-US"/>
        </w:rPr>
        <w:t>E1</w:t>
      </w:r>
      <w:r w:rsidR="00081021" w:rsidRPr="00EB3788">
        <w:rPr>
          <w:rFonts w:asciiTheme="majorHAnsi" w:hAnsiTheme="majorHAnsi" w:cs="Times New Roman" w:hint="eastAsia"/>
          <w:snapToGrid w:val="0"/>
          <w:lang w:eastAsia="ja-JP" w:bidi="en-US"/>
        </w:rPr>
        <w:t>, or CYP</w:t>
      </w:r>
      <w:r w:rsidR="00081021" w:rsidRPr="00EB3788">
        <w:rPr>
          <w:rFonts w:asciiTheme="majorHAnsi" w:hAnsiTheme="majorHAnsi" w:cs="Times New Roman"/>
          <w:snapToGrid w:val="0"/>
          <w:lang w:eastAsia="ja-JP" w:bidi="en-US"/>
        </w:rPr>
        <w:t>3A4</w:t>
      </w:r>
      <w:r w:rsidR="0030065F" w:rsidRPr="00EB3788">
        <w:rPr>
          <w:rFonts w:asciiTheme="majorHAnsi" w:hAnsiTheme="majorHAnsi" w:cs="Times New Roman"/>
          <w:snapToGrid w:val="0"/>
          <w:lang w:bidi="en-US"/>
        </w:rPr>
        <w:t xml:space="preserve"> </w:t>
      </w:r>
      <w:r w:rsidR="001416AF" w:rsidRPr="00EB3788">
        <w:rPr>
          <w:rFonts w:asciiTheme="majorHAnsi" w:hAnsiTheme="majorHAnsi" w:cs="Times New Roman"/>
          <w:snapToGrid w:val="0"/>
          <w:lang w:bidi="en-US"/>
        </w:rPr>
        <w:t>at clinically relevant concentrations (IC</w:t>
      </w:r>
      <w:r w:rsidR="001416AF" w:rsidRPr="00EB3788">
        <w:rPr>
          <w:rFonts w:asciiTheme="majorHAnsi" w:hAnsiTheme="majorHAnsi" w:cs="Times New Roman"/>
          <w:snapToGrid w:val="0"/>
          <w:vertAlign w:val="subscript"/>
          <w:lang w:bidi="en-US"/>
        </w:rPr>
        <w:t xml:space="preserve">50 </w:t>
      </w:r>
      <w:r w:rsidR="001416AF" w:rsidRPr="00EB3788">
        <w:rPr>
          <w:rFonts w:asciiTheme="majorHAnsi" w:hAnsiTheme="majorHAnsi" w:cs="Times New Roman"/>
          <w:snapToGrid w:val="0"/>
          <w:lang w:bidi="en-US"/>
        </w:rPr>
        <w:t>values &gt;1330 µM</w:t>
      </w:r>
      <w:r w:rsidR="00081021" w:rsidRPr="00EB3788">
        <w:rPr>
          <w:rFonts w:asciiTheme="majorHAnsi" w:hAnsiTheme="majorHAnsi" w:cs="Times New Roman" w:hint="eastAsia"/>
          <w:snapToGrid w:val="0"/>
          <w:lang w:eastAsia="ja-JP" w:bidi="en-US"/>
        </w:rPr>
        <w:t xml:space="preserve"> [</w:t>
      </w:r>
      <w:r w:rsidR="00081021" w:rsidRPr="00EB3788">
        <w:rPr>
          <w:rFonts w:asciiTheme="majorHAnsi" w:hAnsiTheme="majorHAnsi" w:cs="Times New Roman"/>
          <w:snapToGrid w:val="0"/>
          <w:lang w:bidi="en-US"/>
        </w:rPr>
        <w:t>&gt;5320 µM</w:t>
      </w:r>
      <w:r w:rsidR="00081021" w:rsidRPr="00EB3788">
        <w:rPr>
          <w:rFonts w:asciiTheme="majorHAnsi" w:hAnsiTheme="majorHAnsi" w:cs="Times New Roman" w:hint="eastAsia"/>
          <w:snapToGrid w:val="0"/>
          <w:lang w:eastAsia="ja-JP" w:bidi="en-US"/>
        </w:rPr>
        <w:t xml:space="preserve"> for CYP2C8]</w:t>
      </w:r>
      <w:r w:rsidR="001416AF" w:rsidRPr="00EB3788">
        <w:rPr>
          <w:rFonts w:asciiTheme="majorHAnsi" w:hAnsiTheme="majorHAnsi" w:cs="Times New Roman"/>
          <w:snapToGrid w:val="0"/>
          <w:lang w:bidi="en-US"/>
        </w:rPr>
        <w:t xml:space="preserve">). However, in </w:t>
      </w:r>
      <w:r w:rsidR="004740D9" w:rsidRPr="00EB3788">
        <w:rPr>
          <w:rFonts w:asciiTheme="majorHAnsi" w:hAnsiTheme="majorHAnsi" w:cs="Times New Roman"/>
          <w:snapToGrid w:val="0"/>
          <w:lang w:bidi="en-US"/>
        </w:rPr>
        <w:t>two phase 1 clinical studies</w:t>
      </w:r>
      <w:r w:rsidR="00DB6E76" w:rsidRPr="00EB3788">
        <w:rPr>
          <w:rFonts w:asciiTheme="majorHAnsi" w:hAnsiTheme="majorHAnsi" w:cs="Times New Roman"/>
          <w:snapToGrid w:val="0"/>
          <w:lang w:eastAsia="ja-JP" w:bidi="en-US"/>
        </w:rPr>
        <w:t>,</w:t>
      </w:r>
      <w:r w:rsidR="004740D9" w:rsidRPr="00EB3788">
        <w:rPr>
          <w:rFonts w:asciiTheme="majorHAnsi" w:hAnsiTheme="majorHAnsi" w:cs="Times New Roman"/>
          <w:snapToGrid w:val="0"/>
          <w:lang w:bidi="en-US"/>
        </w:rPr>
        <w:t xml:space="preserve"> no significant drug-drug interactions </w:t>
      </w:r>
      <w:r w:rsidR="0055562C" w:rsidRPr="00EB3788">
        <w:rPr>
          <w:rFonts w:asciiTheme="majorHAnsi" w:hAnsiTheme="majorHAnsi" w:cs="Times New Roman"/>
          <w:snapToGrid w:val="0"/>
          <w:lang w:bidi="en-US"/>
        </w:rPr>
        <w:t xml:space="preserve">were noted </w:t>
      </w:r>
      <w:r w:rsidR="004740D9" w:rsidRPr="00EB3788">
        <w:rPr>
          <w:rFonts w:asciiTheme="majorHAnsi" w:hAnsiTheme="majorHAnsi" w:cs="Times New Roman"/>
          <w:snapToGrid w:val="0"/>
          <w:lang w:bidi="en-US"/>
        </w:rPr>
        <w:t>between cefiderocol and substrates of cytochrome P450 enzymes</w:t>
      </w:r>
      <w:r w:rsidR="0055562C" w:rsidRPr="00EB3788">
        <w:rPr>
          <w:rFonts w:asciiTheme="majorHAnsi" w:hAnsiTheme="majorHAnsi" w:cs="Times New Roman"/>
          <w:snapToGrid w:val="0"/>
          <w:lang w:bidi="en-US"/>
        </w:rPr>
        <w:t xml:space="preserve">. </w:t>
      </w:r>
    </w:p>
    <w:p w14:paraId="2A638CD7" w14:textId="77777777" w:rsidR="007C000C" w:rsidRDefault="007C000C" w:rsidP="00446C37">
      <w:pPr>
        <w:autoSpaceDE w:val="0"/>
        <w:autoSpaceDN w:val="0"/>
        <w:adjustRightInd w:val="0"/>
        <w:snapToGrid w:val="0"/>
        <w:spacing w:after="0"/>
        <w:rPr>
          <w:rFonts w:asciiTheme="majorHAnsi" w:hAnsiTheme="majorHAnsi" w:cs="Times New Roman"/>
          <w:snapToGrid w:val="0"/>
          <w:lang w:bidi="en-US"/>
        </w:rPr>
      </w:pPr>
    </w:p>
    <w:p w14:paraId="7E78D6E8" w14:textId="77777777" w:rsidR="00446C37" w:rsidRPr="00EB3788" w:rsidRDefault="00446C37" w:rsidP="00446C37">
      <w:pPr>
        <w:autoSpaceDE w:val="0"/>
        <w:autoSpaceDN w:val="0"/>
        <w:adjustRightInd w:val="0"/>
        <w:snapToGrid w:val="0"/>
        <w:spacing w:after="0"/>
        <w:rPr>
          <w:rFonts w:asciiTheme="majorHAnsi" w:hAnsiTheme="majorHAnsi" w:cs="Times New Roman"/>
          <w:snapToGrid w:val="0"/>
          <w:lang w:bidi="en-US"/>
        </w:rPr>
      </w:pPr>
    </w:p>
    <w:p w14:paraId="5E202AEC" w14:textId="093828E3" w:rsidR="006B538C" w:rsidRPr="00EB3788" w:rsidRDefault="006B538C" w:rsidP="00446C37">
      <w:pPr>
        <w:autoSpaceDE w:val="0"/>
        <w:autoSpaceDN w:val="0"/>
        <w:adjustRightInd w:val="0"/>
        <w:snapToGrid w:val="0"/>
        <w:spacing w:after="0"/>
        <w:rPr>
          <w:rFonts w:asciiTheme="majorHAnsi" w:hAnsiTheme="majorHAnsi" w:cs="Times New Roman"/>
          <w:snapToGrid w:val="0"/>
          <w:lang w:bidi="en-US"/>
        </w:rPr>
      </w:pPr>
      <w:r w:rsidRPr="00EB3788">
        <w:rPr>
          <w:rFonts w:asciiTheme="majorHAnsi" w:hAnsiTheme="majorHAnsi" w:cs="Times New Roman"/>
          <w:snapToGrid w:val="0"/>
          <w:lang w:bidi="en-US"/>
        </w:rPr>
        <w:lastRenderedPageBreak/>
        <w:t xml:space="preserve">Similarly, </w:t>
      </w:r>
      <w:r w:rsidRPr="00EB3788">
        <w:rPr>
          <w:rFonts w:asciiTheme="majorHAnsi" w:hAnsiTheme="majorHAnsi" w:cs="Times New Roman"/>
          <w:i/>
          <w:iCs/>
          <w:snapToGrid w:val="0"/>
          <w:lang w:bidi="en-US"/>
        </w:rPr>
        <w:t>in vitro</w:t>
      </w:r>
      <w:r w:rsidRPr="00EB3788">
        <w:rPr>
          <w:rFonts w:asciiTheme="majorHAnsi" w:hAnsiTheme="majorHAnsi" w:cs="Times New Roman"/>
          <w:snapToGrid w:val="0"/>
          <w:lang w:bidi="en-US"/>
        </w:rPr>
        <w:t xml:space="preserve">, cefiderocol also exhibited </w:t>
      </w:r>
      <w:r w:rsidR="00215642" w:rsidRPr="00EB3788">
        <w:rPr>
          <w:rFonts w:asciiTheme="majorHAnsi" w:hAnsiTheme="majorHAnsi" w:cs="Times New Roman"/>
          <w:snapToGrid w:val="0"/>
          <w:lang w:bidi="en-US"/>
        </w:rPr>
        <w:t>inhibitory activity against the renal transporters OAT1 and OAT3 (IC</w:t>
      </w:r>
      <w:r w:rsidR="00215642" w:rsidRPr="00EB3788">
        <w:rPr>
          <w:rFonts w:asciiTheme="majorHAnsi" w:hAnsiTheme="majorHAnsi" w:cs="Times New Roman"/>
          <w:snapToGrid w:val="0"/>
          <w:vertAlign w:val="subscript"/>
          <w:lang w:bidi="en-US"/>
        </w:rPr>
        <w:t xml:space="preserve">50 </w:t>
      </w:r>
      <w:r w:rsidR="00215642" w:rsidRPr="00EB3788">
        <w:rPr>
          <w:rFonts w:asciiTheme="majorHAnsi" w:hAnsiTheme="majorHAnsi" w:cs="Times New Roman"/>
          <w:snapToGrid w:val="0"/>
          <w:lang w:bidi="en-US"/>
        </w:rPr>
        <w:t>value ranging 141 -</w:t>
      </w:r>
      <w:r w:rsidR="006607D0" w:rsidRPr="00EB3788">
        <w:rPr>
          <w:rFonts w:asciiTheme="majorHAnsi" w:hAnsiTheme="majorHAnsi" w:cs="Times New Roman"/>
          <w:snapToGrid w:val="0"/>
          <w:lang w:bidi="en-US"/>
        </w:rPr>
        <w:t xml:space="preserve"> </w:t>
      </w:r>
      <w:r w:rsidR="00215642" w:rsidRPr="00EB3788">
        <w:rPr>
          <w:rFonts w:asciiTheme="majorHAnsi" w:hAnsiTheme="majorHAnsi" w:cs="Times New Roman"/>
          <w:snapToGrid w:val="0"/>
          <w:lang w:bidi="en-US"/>
        </w:rPr>
        <w:t>292 µM</w:t>
      </w:r>
      <w:r w:rsidR="008B7C75" w:rsidRPr="00EB3788">
        <w:rPr>
          <w:rFonts w:asciiTheme="majorHAnsi" w:hAnsiTheme="majorHAnsi" w:cs="Times New Roman"/>
          <w:snapToGrid w:val="0"/>
          <w:lang w:bidi="en-US"/>
        </w:rPr>
        <w:t xml:space="preserve">) indicating potential for clinically relevant interactions. However, no significant drug-drug interactions were noted between cefiderocol and </w:t>
      </w:r>
      <w:r w:rsidR="00EB07BF" w:rsidRPr="00EB3788">
        <w:rPr>
          <w:rFonts w:asciiTheme="majorHAnsi" w:hAnsiTheme="majorHAnsi" w:cs="Times New Roman"/>
          <w:snapToGrid w:val="0"/>
          <w:lang w:bidi="en-US"/>
        </w:rPr>
        <w:t xml:space="preserve">substrates </w:t>
      </w:r>
      <w:r w:rsidR="00EB07BF" w:rsidRPr="00EB3788">
        <w:rPr>
          <w:rFonts w:asciiTheme="majorHAnsi" w:hAnsiTheme="majorHAnsi" w:cs="Times New Roman" w:hint="eastAsia"/>
          <w:snapToGrid w:val="0"/>
          <w:lang w:eastAsia="ja-JP" w:bidi="en-US"/>
        </w:rPr>
        <w:t>of</w:t>
      </w:r>
      <w:r w:rsidR="008B7C75" w:rsidRPr="00EB3788">
        <w:rPr>
          <w:rFonts w:asciiTheme="majorHAnsi" w:hAnsiTheme="majorHAnsi" w:cs="Times New Roman"/>
          <w:snapToGrid w:val="0"/>
          <w:lang w:bidi="en-US"/>
        </w:rPr>
        <w:t xml:space="preserve"> transporters in two phase I clinical studies. </w:t>
      </w:r>
    </w:p>
    <w:p w14:paraId="09611DA5" w14:textId="77777777" w:rsidR="008B7C75" w:rsidRPr="00EB3788" w:rsidRDefault="008B7C75" w:rsidP="00446C37">
      <w:pPr>
        <w:autoSpaceDE w:val="0"/>
        <w:autoSpaceDN w:val="0"/>
        <w:adjustRightInd w:val="0"/>
        <w:snapToGrid w:val="0"/>
        <w:spacing w:after="0"/>
        <w:rPr>
          <w:rFonts w:asciiTheme="majorHAnsi" w:hAnsiTheme="majorHAnsi" w:cs="Times New Roman"/>
          <w:snapToGrid w:val="0"/>
          <w:lang w:bidi="en-US"/>
        </w:rPr>
      </w:pPr>
    </w:p>
    <w:p w14:paraId="3A36891B" w14:textId="77777777" w:rsidR="001A3992" w:rsidRPr="00EB3788" w:rsidRDefault="001A3992" w:rsidP="00446C37">
      <w:pPr>
        <w:pStyle w:val="Heading2"/>
        <w:spacing w:before="0" w:after="120"/>
      </w:pPr>
      <w:r w:rsidRPr="00EB3788">
        <w:t xml:space="preserve">Fertility, pregnancy and lactation </w:t>
      </w:r>
    </w:p>
    <w:p w14:paraId="5936AA46" w14:textId="77777777" w:rsidR="001A3992" w:rsidRPr="00EB3788" w:rsidRDefault="001A3992" w:rsidP="00446C37">
      <w:pPr>
        <w:pStyle w:val="Heading3"/>
        <w:spacing w:before="0" w:after="120"/>
        <w:ind w:left="0"/>
      </w:pPr>
      <w:r w:rsidRPr="00EB3788">
        <w:t>Effects on fertility</w:t>
      </w:r>
    </w:p>
    <w:p w14:paraId="0CB3EA87" w14:textId="07D2B6D3" w:rsidR="00BC6188" w:rsidRPr="004664E6" w:rsidRDefault="00BC6188" w:rsidP="00446C37">
      <w:pPr>
        <w:autoSpaceDE w:val="0"/>
        <w:autoSpaceDN w:val="0"/>
        <w:adjustRightInd w:val="0"/>
        <w:snapToGrid w:val="0"/>
        <w:rPr>
          <w:rFonts w:asciiTheme="majorHAnsi" w:eastAsia="Times New Roman" w:hAnsiTheme="majorHAnsi" w:cs="TimesNewRoman"/>
          <w:color w:val="000000"/>
          <w:szCs w:val="24"/>
        </w:rPr>
      </w:pPr>
      <w:r w:rsidRPr="00EB3788">
        <w:rPr>
          <w:rFonts w:asciiTheme="majorHAnsi" w:eastAsia="Times New Roman" w:hAnsiTheme="majorHAnsi" w:cs="TimesNewRoman"/>
          <w:color w:val="000000"/>
          <w:szCs w:val="24"/>
        </w:rPr>
        <w:t xml:space="preserve">The effect of cefiderocol on fertility in humans has not been studied. Based on </w:t>
      </w:r>
      <w:r w:rsidR="006C2B53" w:rsidRPr="00EB3788">
        <w:rPr>
          <w:rFonts w:asciiTheme="majorHAnsi" w:hAnsiTheme="majorHAnsi" w:cs="TimesNewRoman" w:hint="eastAsia"/>
          <w:color w:val="000000"/>
          <w:szCs w:val="24"/>
          <w:lang w:eastAsia="ja-JP"/>
        </w:rPr>
        <w:t xml:space="preserve">a </w:t>
      </w:r>
      <w:r w:rsidR="00E519BC" w:rsidRPr="004664E6">
        <w:rPr>
          <w:rFonts w:asciiTheme="majorHAnsi" w:eastAsia="Times New Roman" w:hAnsiTheme="majorHAnsi" w:cs="TimesNewRoman"/>
          <w:color w:val="000000"/>
          <w:szCs w:val="24"/>
        </w:rPr>
        <w:t xml:space="preserve">rat fertility study, cefiderocol, administered intravenously at doses up to 1000 mg/kg/day (exposure </w:t>
      </w:r>
      <w:proofErr w:type="gramStart"/>
      <w:r w:rsidR="00E519BC" w:rsidRPr="004664E6">
        <w:rPr>
          <w:rFonts w:asciiTheme="majorHAnsi" w:eastAsia="Times New Roman" w:hAnsiTheme="majorHAnsi" w:cs="TimesNewRoman"/>
          <w:color w:val="000000"/>
          <w:szCs w:val="24"/>
        </w:rPr>
        <w:t>similar to</w:t>
      </w:r>
      <w:proofErr w:type="gramEnd"/>
      <w:r w:rsidR="00E519BC" w:rsidRPr="004664E6">
        <w:rPr>
          <w:rFonts w:asciiTheme="majorHAnsi" w:eastAsia="Times New Roman" w:hAnsiTheme="majorHAnsi" w:cs="TimesNewRoman"/>
          <w:color w:val="000000"/>
          <w:szCs w:val="24"/>
        </w:rPr>
        <w:t xml:space="preserve"> the clinical AUC, approximately ER</w:t>
      </w:r>
      <w:r w:rsidR="00E519BC" w:rsidRPr="004664E6">
        <w:rPr>
          <w:rFonts w:asciiTheme="majorHAnsi" w:eastAsia="Times New Roman" w:hAnsiTheme="majorHAnsi" w:cs="TimesNewRoman"/>
          <w:color w:val="000000"/>
          <w:szCs w:val="24"/>
          <w:vertAlign w:val="subscript"/>
        </w:rPr>
        <w:t>AUC</w:t>
      </w:r>
      <w:r w:rsidR="00E519BC" w:rsidRPr="004664E6">
        <w:rPr>
          <w:rFonts w:asciiTheme="majorHAnsi" w:eastAsia="Times New Roman" w:hAnsiTheme="majorHAnsi" w:cs="TimesNewRoman"/>
          <w:color w:val="000000"/>
          <w:szCs w:val="24"/>
        </w:rPr>
        <w:t xml:space="preserve"> of 1.1)</w:t>
      </w:r>
      <w:r w:rsidRPr="00EB3788">
        <w:rPr>
          <w:rFonts w:asciiTheme="majorHAnsi" w:eastAsia="Times New Roman" w:hAnsiTheme="majorHAnsi" w:cs="TimesNewRoman"/>
          <w:color w:val="000000"/>
          <w:szCs w:val="24"/>
        </w:rPr>
        <w:t xml:space="preserve">, </w:t>
      </w:r>
      <w:r w:rsidR="00E42A5A" w:rsidRPr="00EB3788">
        <w:rPr>
          <w:rFonts w:asciiTheme="majorHAnsi" w:eastAsia="Times New Roman" w:hAnsiTheme="majorHAnsi" w:cs="TimesNewRoman"/>
          <w:color w:val="000000"/>
          <w:szCs w:val="24"/>
        </w:rPr>
        <w:t>had no</w:t>
      </w:r>
      <w:r w:rsidRPr="00EB3788">
        <w:rPr>
          <w:rFonts w:asciiTheme="majorHAnsi" w:eastAsia="Times New Roman" w:hAnsiTheme="majorHAnsi" w:cs="TimesNewRoman"/>
          <w:color w:val="000000"/>
          <w:szCs w:val="24"/>
        </w:rPr>
        <w:t xml:space="preserve"> effect on male or female fertility.</w:t>
      </w:r>
    </w:p>
    <w:p w14:paraId="212F14A0" w14:textId="3B35A631" w:rsidR="001A3992" w:rsidRPr="00EB3788" w:rsidRDefault="001A3992" w:rsidP="00446C37">
      <w:pPr>
        <w:pStyle w:val="Heading3"/>
        <w:spacing w:before="0" w:after="120"/>
        <w:ind w:left="0"/>
        <w:rPr>
          <w:rFonts w:cstheme="minorHAnsi"/>
        </w:rPr>
      </w:pPr>
      <w:r w:rsidRPr="00EB3788">
        <w:t xml:space="preserve">Use in pregnancy </w:t>
      </w:r>
      <w:r w:rsidR="005B2812" w:rsidRPr="00EB3788">
        <w:rPr>
          <w:rFonts w:cstheme="minorHAnsi"/>
        </w:rPr>
        <w:t>– Pregnancy Category B1</w:t>
      </w:r>
    </w:p>
    <w:p w14:paraId="3D253B2D" w14:textId="77777777" w:rsidR="00446C37" w:rsidRDefault="61BC0A79" w:rsidP="00446C37">
      <w:pPr>
        <w:rPr>
          <w:rFonts w:asciiTheme="majorHAnsi" w:eastAsiaTheme="majorEastAsia" w:hAnsiTheme="majorHAnsi" w:cstheme="majorBidi"/>
          <w:lang w:bidi="en-US"/>
        </w:rPr>
      </w:pPr>
      <w:r w:rsidRPr="00EB3788">
        <w:rPr>
          <w:rFonts w:asciiTheme="majorHAnsi" w:eastAsiaTheme="majorEastAsia" w:hAnsiTheme="majorHAnsi" w:cstheme="majorBidi"/>
          <w:lang w:bidi="en-US"/>
        </w:rPr>
        <w:t xml:space="preserve">Fetroja should be administered to women who are or may be pregnant only if the expected therapeutic benefits outweigh the possible risks associated with this treatment. </w:t>
      </w:r>
      <w:r w:rsidRPr="004664E6">
        <w:rPr>
          <w:rFonts w:asciiTheme="majorHAnsi" w:eastAsiaTheme="majorEastAsia" w:hAnsiTheme="majorHAnsi" w:cstheme="majorBidi"/>
          <w:lang w:bidi="en-US"/>
        </w:rPr>
        <w:t xml:space="preserve">In embryofetal development studies conducted with rats and mice, cefiderocol, administered intravenously or subcutaneously at doses up to 1000 mg/kg/day (exposure </w:t>
      </w:r>
      <w:proofErr w:type="gramStart"/>
      <w:r w:rsidRPr="004664E6">
        <w:rPr>
          <w:rFonts w:asciiTheme="majorHAnsi" w:eastAsiaTheme="majorEastAsia" w:hAnsiTheme="majorHAnsi" w:cstheme="majorBidi"/>
          <w:lang w:bidi="en-US"/>
        </w:rPr>
        <w:t>similar to</w:t>
      </w:r>
      <w:proofErr w:type="gramEnd"/>
      <w:r w:rsidRPr="004664E6">
        <w:rPr>
          <w:rFonts w:asciiTheme="majorHAnsi" w:eastAsiaTheme="majorEastAsia" w:hAnsiTheme="majorHAnsi" w:cstheme="majorBidi"/>
          <w:lang w:bidi="en-US"/>
        </w:rPr>
        <w:t xml:space="preserve"> the clinical AUC) and 2000 mg/kg/day (1.6-fold exposure relative to clinical AUC), respectively, no effect on embryofetal development was observed. </w:t>
      </w:r>
    </w:p>
    <w:p w14:paraId="3903EEDB" w14:textId="7CD97332" w:rsidR="002A16BC" w:rsidRPr="004664E6" w:rsidRDefault="61BC0A79" w:rsidP="00446C37">
      <w:pPr>
        <w:rPr>
          <w:rFonts w:asciiTheme="majorHAnsi" w:eastAsiaTheme="majorEastAsia" w:hAnsiTheme="majorHAnsi" w:cstheme="majorBidi"/>
          <w:lang w:bidi="en-US"/>
        </w:rPr>
      </w:pPr>
      <w:r w:rsidRPr="004664E6">
        <w:rPr>
          <w:rFonts w:asciiTheme="majorHAnsi" w:eastAsiaTheme="majorEastAsia" w:hAnsiTheme="majorHAnsi" w:cstheme="majorBidi"/>
          <w:lang w:bidi="en-US"/>
        </w:rPr>
        <w:t xml:space="preserve">In a pre-/post-natal development study in rats, cefiderocol, administered intravenously at doses up to 1000 mg/kg/day (exposure </w:t>
      </w:r>
      <w:proofErr w:type="gramStart"/>
      <w:r w:rsidRPr="004664E6">
        <w:rPr>
          <w:rFonts w:asciiTheme="majorHAnsi" w:eastAsiaTheme="majorEastAsia" w:hAnsiTheme="majorHAnsi" w:cstheme="majorBidi"/>
          <w:lang w:bidi="en-US"/>
        </w:rPr>
        <w:t>similar to</w:t>
      </w:r>
      <w:proofErr w:type="gramEnd"/>
      <w:r w:rsidRPr="004664E6">
        <w:rPr>
          <w:rFonts w:asciiTheme="majorHAnsi" w:eastAsiaTheme="majorEastAsia" w:hAnsiTheme="majorHAnsi" w:cstheme="majorBidi"/>
          <w:lang w:bidi="en-US"/>
        </w:rPr>
        <w:t xml:space="preserve"> the clinical AUC), yielded no pre/postnatal developmental concerns. Based on a distribution study in rats,</w:t>
      </w:r>
      <w:r w:rsidRPr="00EB3788">
        <w:rPr>
          <w:rFonts w:asciiTheme="majorHAnsi" w:eastAsiaTheme="majorEastAsia" w:hAnsiTheme="majorHAnsi" w:cstheme="majorBidi"/>
          <w:lang w:bidi="en-US"/>
        </w:rPr>
        <w:t xml:space="preserve"> placental transfer</w:t>
      </w:r>
      <w:r w:rsidR="00AF2F24">
        <w:rPr>
          <w:rFonts w:asciiTheme="majorHAnsi" w:eastAsiaTheme="majorEastAsia" w:hAnsiTheme="majorHAnsi" w:cstheme="majorBidi"/>
          <w:lang w:bidi="en-US"/>
        </w:rPr>
        <w:t xml:space="preserve"> </w:t>
      </w:r>
      <w:r w:rsidRPr="004664E6">
        <w:rPr>
          <w:rFonts w:asciiTheme="majorHAnsi" w:eastAsiaTheme="majorEastAsia" w:hAnsiTheme="majorHAnsi" w:cstheme="majorBidi"/>
          <w:lang w:bidi="en-US"/>
        </w:rPr>
        <w:t>of cefiderocol was confirmed</w:t>
      </w:r>
      <w:r w:rsidRPr="00EB3788">
        <w:rPr>
          <w:rFonts w:asciiTheme="majorHAnsi" w:eastAsiaTheme="majorEastAsia" w:hAnsiTheme="majorHAnsi" w:cstheme="majorBidi"/>
          <w:lang w:bidi="en-US"/>
        </w:rPr>
        <w:t>.</w:t>
      </w:r>
    </w:p>
    <w:p w14:paraId="263705C2" w14:textId="77777777" w:rsidR="001A3992" w:rsidRPr="00EB3788" w:rsidRDefault="001A3992" w:rsidP="00446C37">
      <w:pPr>
        <w:pStyle w:val="Heading3"/>
        <w:spacing w:before="0" w:after="120"/>
        <w:ind w:left="0"/>
      </w:pPr>
      <w:r w:rsidRPr="00EB3788">
        <w:t xml:space="preserve">Use in lactation. </w:t>
      </w:r>
    </w:p>
    <w:p w14:paraId="3C5380F0" w14:textId="62744BD5" w:rsidR="002A16BC" w:rsidRPr="00EB3788" w:rsidRDefault="002A16BC" w:rsidP="00446C37">
      <w:pPr>
        <w:rPr>
          <w:rFonts w:asciiTheme="majorHAnsi" w:hAnsiTheme="majorHAnsi"/>
        </w:rPr>
      </w:pPr>
      <w:r w:rsidRPr="00EB3788">
        <w:rPr>
          <w:rFonts w:asciiTheme="majorHAnsi" w:hAnsiTheme="majorHAnsi"/>
          <w:lang w:bidi="en-US"/>
        </w:rPr>
        <w:t>For breast-feeding women, continuation or discontinuation of breast-feeding should be considered in view of the therapeutic benefits of Fetroja and the benefits of breast-feeding. Cefiderocol has been reported to be excreted in milk in animal studies (in rats).</w:t>
      </w:r>
    </w:p>
    <w:p w14:paraId="27E4AFD5" w14:textId="77777777" w:rsidR="001A3992" w:rsidRPr="00EB3788" w:rsidRDefault="001A3992" w:rsidP="00446C37">
      <w:pPr>
        <w:pStyle w:val="Heading2"/>
        <w:spacing w:before="0" w:after="120"/>
      </w:pPr>
      <w:r w:rsidRPr="00EB3788">
        <w:t xml:space="preserve">Effects on ability to drive and use machines </w:t>
      </w:r>
    </w:p>
    <w:p w14:paraId="0B3A3561" w14:textId="546E8E23" w:rsidR="00350B64" w:rsidRPr="00EB3788" w:rsidRDefault="00050A62" w:rsidP="00446C37">
      <w:pPr>
        <w:rPr>
          <w:rFonts w:asciiTheme="majorHAnsi" w:hAnsiTheme="majorHAnsi" w:cstheme="minorHAnsi"/>
        </w:rPr>
      </w:pPr>
      <w:r w:rsidRPr="00EB3788">
        <w:rPr>
          <w:rFonts w:asciiTheme="majorHAnsi" w:hAnsiTheme="majorHAnsi" w:cstheme="minorHAnsi"/>
        </w:rPr>
        <w:t>Fetroja has no or negligible influence on the ability to drive and use machines.</w:t>
      </w:r>
    </w:p>
    <w:p w14:paraId="531E8A27" w14:textId="77777777" w:rsidR="001A3992" w:rsidRPr="00EB3788" w:rsidRDefault="001A3992" w:rsidP="00446C37">
      <w:pPr>
        <w:pStyle w:val="Heading2"/>
        <w:keepNext/>
        <w:keepLines/>
        <w:spacing w:before="0" w:after="120"/>
      </w:pPr>
      <w:r w:rsidRPr="00EB3788">
        <w:t>Adverse effects (Undesirable effects)</w:t>
      </w:r>
    </w:p>
    <w:p w14:paraId="202EE94D" w14:textId="5C6B34EE" w:rsidR="00B210B0" w:rsidRPr="00EB3788" w:rsidRDefault="1812A268" w:rsidP="00446C37">
      <w:pPr>
        <w:pStyle w:val="Heading3"/>
        <w:spacing w:after="240"/>
        <w:ind w:left="0"/>
      </w:pPr>
      <w:r w:rsidRPr="00EB3788">
        <w:t>Summary of the safety profile in clinical studies</w:t>
      </w:r>
    </w:p>
    <w:p w14:paraId="55790A18" w14:textId="67905BE9" w:rsidR="00CD1588" w:rsidRPr="00EB3788" w:rsidRDefault="00D840DB" w:rsidP="00446C37">
      <w:pPr>
        <w:rPr>
          <w:rFonts w:asciiTheme="majorHAnsi" w:hAnsiTheme="majorHAnsi"/>
        </w:rPr>
      </w:pPr>
      <w:r w:rsidRPr="00EB3788">
        <w:rPr>
          <w:rFonts w:asciiTheme="majorHAnsi" w:hAnsiTheme="majorHAnsi"/>
        </w:rPr>
        <w:t xml:space="preserve">The safety of Fetroja was evaluated in a total of </w:t>
      </w:r>
      <w:r w:rsidR="0088790C" w:rsidRPr="00EB3788">
        <w:rPr>
          <w:rFonts w:asciiTheme="majorHAnsi" w:hAnsiTheme="majorHAnsi"/>
        </w:rPr>
        <w:t>5</w:t>
      </w:r>
      <w:r w:rsidR="00D5655D" w:rsidRPr="00EB3788">
        <w:rPr>
          <w:rFonts w:asciiTheme="majorHAnsi" w:hAnsiTheme="majorHAnsi"/>
        </w:rPr>
        <w:t>49</w:t>
      </w:r>
      <w:r w:rsidRPr="00EB3788">
        <w:rPr>
          <w:rFonts w:asciiTheme="majorHAnsi" w:hAnsiTheme="majorHAnsi"/>
        </w:rPr>
        <w:t xml:space="preserve"> </w:t>
      </w:r>
      <w:r w:rsidR="09F64F71" w:rsidRPr="00EB3788">
        <w:rPr>
          <w:rFonts w:asciiTheme="majorHAnsi" w:hAnsiTheme="majorHAnsi"/>
        </w:rPr>
        <w:t>subjects</w:t>
      </w:r>
      <w:r w:rsidRPr="00EB3788">
        <w:rPr>
          <w:rFonts w:asciiTheme="majorHAnsi" w:hAnsiTheme="majorHAnsi"/>
        </w:rPr>
        <w:t xml:space="preserve"> who participated in </w:t>
      </w:r>
      <w:r w:rsidR="00AE6FC1" w:rsidRPr="00EB3788">
        <w:rPr>
          <w:rFonts w:asciiTheme="majorHAnsi" w:hAnsiTheme="majorHAnsi"/>
        </w:rPr>
        <w:t xml:space="preserve">one </w:t>
      </w:r>
      <w:proofErr w:type="gramStart"/>
      <w:r w:rsidR="00AE6FC1" w:rsidRPr="00EB3788">
        <w:rPr>
          <w:rFonts w:asciiTheme="majorHAnsi" w:hAnsiTheme="majorHAnsi"/>
        </w:rPr>
        <w:t>Phase</w:t>
      </w:r>
      <w:proofErr w:type="gramEnd"/>
      <w:r w:rsidR="00AE6FC1" w:rsidRPr="00EB3788">
        <w:rPr>
          <w:rFonts w:asciiTheme="majorHAnsi" w:hAnsiTheme="majorHAnsi"/>
        </w:rPr>
        <w:t xml:space="preserve"> 2 and </w:t>
      </w:r>
      <w:r w:rsidRPr="00EB3788">
        <w:rPr>
          <w:rFonts w:asciiTheme="majorHAnsi" w:hAnsiTheme="majorHAnsi"/>
        </w:rPr>
        <w:t xml:space="preserve">two Phase 3 clinical efficacy and safety studies. </w:t>
      </w:r>
    </w:p>
    <w:p w14:paraId="253D6CF7" w14:textId="67AABFEA" w:rsidR="00F910A7" w:rsidRPr="00EB3788" w:rsidRDefault="007738CA" w:rsidP="00446C37">
      <w:pPr>
        <w:rPr>
          <w:rFonts w:asciiTheme="majorHAnsi" w:hAnsiTheme="majorHAnsi"/>
        </w:rPr>
      </w:pPr>
      <w:r w:rsidRPr="00EB3788">
        <w:rPr>
          <w:rFonts w:asciiTheme="majorHAnsi" w:hAnsiTheme="majorHAnsi"/>
        </w:rPr>
        <w:t xml:space="preserve">In the phase 2 study </w:t>
      </w:r>
      <w:r w:rsidR="00A96DE4" w:rsidRPr="00EB3788">
        <w:rPr>
          <w:rFonts w:asciiTheme="majorHAnsi" w:hAnsiTheme="majorHAnsi"/>
        </w:rPr>
        <w:t>(</w:t>
      </w:r>
      <w:r w:rsidRPr="00EB3788">
        <w:rPr>
          <w:rFonts w:asciiTheme="majorHAnsi" w:hAnsiTheme="majorHAnsi"/>
        </w:rPr>
        <w:t>APEKS-</w:t>
      </w:r>
      <w:proofErr w:type="spellStart"/>
      <w:r w:rsidRPr="00EB3788">
        <w:rPr>
          <w:rFonts w:asciiTheme="majorHAnsi" w:hAnsiTheme="majorHAnsi"/>
        </w:rPr>
        <w:t>cUTI</w:t>
      </w:r>
      <w:proofErr w:type="spellEnd"/>
      <w:r w:rsidRPr="00EB3788">
        <w:rPr>
          <w:rFonts w:asciiTheme="majorHAnsi" w:hAnsiTheme="majorHAnsi"/>
        </w:rPr>
        <w:t>)</w:t>
      </w:r>
      <w:r w:rsidR="00F859C4" w:rsidRPr="00EB3788">
        <w:rPr>
          <w:rFonts w:asciiTheme="majorHAnsi" w:hAnsiTheme="majorHAnsi"/>
        </w:rPr>
        <w:t xml:space="preserve">, 300 </w:t>
      </w:r>
      <w:r w:rsidR="5E909077" w:rsidRPr="00EB3788">
        <w:rPr>
          <w:rFonts w:asciiTheme="majorHAnsi" w:hAnsiTheme="majorHAnsi"/>
        </w:rPr>
        <w:t>subjects</w:t>
      </w:r>
      <w:r w:rsidR="00F859C4" w:rsidRPr="00EB3788">
        <w:rPr>
          <w:rFonts w:asciiTheme="majorHAnsi" w:hAnsiTheme="majorHAnsi"/>
        </w:rPr>
        <w:t xml:space="preserve"> received </w:t>
      </w:r>
      <w:r w:rsidR="00BA2D18" w:rsidRPr="00EB3788">
        <w:rPr>
          <w:rFonts w:asciiTheme="majorHAnsi" w:hAnsiTheme="majorHAnsi"/>
        </w:rPr>
        <w:t xml:space="preserve">Fetroja </w:t>
      </w:r>
      <w:r w:rsidR="00F859C4" w:rsidRPr="00EB3788">
        <w:rPr>
          <w:rFonts w:asciiTheme="majorHAnsi" w:hAnsiTheme="majorHAnsi"/>
        </w:rPr>
        <w:t>2 g</w:t>
      </w:r>
      <w:r w:rsidR="00425E40" w:rsidRPr="00EB3788">
        <w:rPr>
          <w:rFonts w:asciiTheme="majorHAnsi" w:hAnsiTheme="majorHAnsi"/>
        </w:rPr>
        <w:t xml:space="preserve"> </w:t>
      </w:r>
      <w:r w:rsidR="00F859C4" w:rsidRPr="00EB3788">
        <w:rPr>
          <w:rFonts w:asciiTheme="majorHAnsi" w:hAnsiTheme="majorHAnsi"/>
        </w:rPr>
        <w:t xml:space="preserve">every 8 hours infused over 1 hour (or a renally-adjusted dose), and 148 </w:t>
      </w:r>
      <w:r w:rsidR="520D6E1D" w:rsidRPr="00EB3788">
        <w:rPr>
          <w:rFonts w:asciiTheme="majorHAnsi" w:hAnsiTheme="majorHAnsi"/>
        </w:rPr>
        <w:t>subjects</w:t>
      </w:r>
      <w:r w:rsidR="00F859C4" w:rsidRPr="00EB3788">
        <w:rPr>
          <w:rFonts w:asciiTheme="majorHAnsi" w:hAnsiTheme="majorHAnsi"/>
        </w:rPr>
        <w:t xml:space="preserve"> were treated with imipenem/</w:t>
      </w:r>
      <w:proofErr w:type="spellStart"/>
      <w:r w:rsidR="00F859C4" w:rsidRPr="00EB3788">
        <w:rPr>
          <w:rFonts w:asciiTheme="majorHAnsi" w:hAnsiTheme="majorHAnsi"/>
        </w:rPr>
        <w:t>cilastatin</w:t>
      </w:r>
      <w:proofErr w:type="spellEnd"/>
      <w:r w:rsidR="00F859C4" w:rsidRPr="00EB3788">
        <w:rPr>
          <w:rFonts w:asciiTheme="majorHAnsi" w:hAnsiTheme="majorHAnsi"/>
        </w:rPr>
        <w:t xml:space="preserve"> 1g/1g every 8 hours infused over 1 hour (or a renally-adjusted dose).</w:t>
      </w:r>
      <w:r w:rsidR="005C674B" w:rsidRPr="00EB3788">
        <w:rPr>
          <w:rFonts w:asciiTheme="majorHAnsi" w:hAnsiTheme="majorHAnsi"/>
        </w:rPr>
        <w:t xml:space="preserve"> The incidence rate of adverse events was </w:t>
      </w:r>
      <w:r w:rsidR="009C1044" w:rsidRPr="00EB3788">
        <w:rPr>
          <w:rFonts w:asciiTheme="majorHAnsi" w:hAnsiTheme="majorHAnsi"/>
        </w:rPr>
        <w:t>40.7</w:t>
      </w:r>
      <w:r w:rsidR="005C674B" w:rsidRPr="00EB3788">
        <w:rPr>
          <w:rFonts w:asciiTheme="majorHAnsi" w:hAnsiTheme="majorHAnsi"/>
        </w:rPr>
        <w:t>% (</w:t>
      </w:r>
      <w:r w:rsidR="009C1044" w:rsidRPr="00EB3788">
        <w:rPr>
          <w:rFonts w:asciiTheme="majorHAnsi" w:hAnsiTheme="majorHAnsi"/>
        </w:rPr>
        <w:t>122</w:t>
      </w:r>
      <w:r w:rsidR="005C674B" w:rsidRPr="00EB3788">
        <w:rPr>
          <w:rFonts w:asciiTheme="majorHAnsi" w:hAnsiTheme="majorHAnsi"/>
        </w:rPr>
        <w:t>/</w:t>
      </w:r>
      <w:r w:rsidR="009C1044" w:rsidRPr="00EB3788">
        <w:rPr>
          <w:rFonts w:asciiTheme="majorHAnsi" w:hAnsiTheme="majorHAnsi"/>
        </w:rPr>
        <w:t>300</w:t>
      </w:r>
      <w:r w:rsidR="005C674B" w:rsidRPr="00EB3788">
        <w:rPr>
          <w:rFonts w:asciiTheme="majorHAnsi" w:hAnsiTheme="majorHAnsi"/>
        </w:rPr>
        <w:t xml:space="preserve">) </w:t>
      </w:r>
      <w:r w:rsidR="1CB3F96E" w:rsidRPr="00EB3788">
        <w:rPr>
          <w:rFonts w:asciiTheme="majorHAnsi" w:hAnsiTheme="majorHAnsi"/>
        </w:rPr>
        <w:t>subjects</w:t>
      </w:r>
      <w:r w:rsidR="005C674B" w:rsidRPr="00EB3788">
        <w:rPr>
          <w:rFonts w:asciiTheme="majorHAnsi" w:hAnsiTheme="majorHAnsi"/>
        </w:rPr>
        <w:t xml:space="preserve"> in the cefiderocol group, with the most common adverse events including diarrhoea </w:t>
      </w:r>
      <w:r w:rsidR="00BB0D1B" w:rsidRPr="00EB3788">
        <w:rPr>
          <w:rFonts w:asciiTheme="majorHAnsi" w:hAnsiTheme="majorHAnsi"/>
        </w:rPr>
        <w:t>4.3</w:t>
      </w:r>
      <w:r w:rsidR="005C674B" w:rsidRPr="00EB3788">
        <w:rPr>
          <w:rFonts w:asciiTheme="majorHAnsi" w:hAnsiTheme="majorHAnsi"/>
        </w:rPr>
        <w:t>%,</w:t>
      </w:r>
      <w:r w:rsidR="00861FCB" w:rsidRPr="00EB3788">
        <w:rPr>
          <w:rFonts w:asciiTheme="majorHAnsi" w:hAnsiTheme="majorHAnsi"/>
        </w:rPr>
        <w:t xml:space="preserve"> and hypertension </w:t>
      </w:r>
      <w:r w:rsidR="008D38E1" w:rsidRPr="00EB3788">
        <w:rPr>
          <w:rFonts w:asciiTheme="majorHAnsi" w:hAnsiTheme="majorHAnsi"/>
        </w:rPr>
        <w:t>4.3%.</w:t>
      </w:r>
    </w:p>
    <w:p w14:paraId="0E027984" w14:textId="2C373995" w:rsidR="008C3A28" w:rsidRPr="00EB3788" w:rsidRDefault="008C3A28" w:rsidP="00446C37">
      <w:pPr>
        <w:rPr>
          <w:rFonts w:asciiTheme="majorHAnsi" w:hAnsiTheme="majorHAnsi"/>
        </w:rPr>
      </w:pPr>
      <w:r w:rsidRPr="00EB3788">
        <w:rPr>
          <w:rFonts w:asciiTheme="majorHAnsi" w:hAnsiTheme="majorHAnsi"/>
        </w:rPr>
        <w:lastRenderedPageBreak/>
        <w:t xml:space="preserve">A total of 148 </w:t>
      </w:r>
      <w:r w:rsidR="3B54E4A0" w:rsidRPr="00EB3788">
        <w:rPr>
          <w:rFonts w:asciiTheme="majorHAnsi" w:hAnsiTheme="majorHAnsi"/>
        </w:rPr>
        <w:t>subjects</w:t>
      </w:r>
      <w:r w:rsidRPr="00EB3788">
        <w:rPr>
          <w:rFonts w:asciiTheme="majorHAnsi" w:hAnsiTheme="majorHAnsi"/>
        </w:rPr>
        <w:t xml:space="preserve"> entered the second phase 3 study</w:t>
      </w:r>
      <w:r w:rsidR="00365465" w:rsidRPr="00EB3788">
        <w:rPr>
          <w:rFonts w:asciiTheme="majorHAnsi" w:hAnsiTheme="majorHAnsi"/>
        </w:rPr>
        <w:t xml:space="preserve"> (APEKS-NP). They</w:t>
      </w:r>
      <w:r w:rsidR="00365465" w:rsidRPr="00EB3788">
        <w:t xml:space="preserve"> </w:t>
      </w:r>
      <w:r w:rsidR="00365465" w:rsidRPr="00EB3788">
        <w:rPr>
          <w:rFonts w:asciiTheme="majorHAnsi" w:hAnsiTheme="majorHAnsi"/>
        </w:rPr>
        <w:t>received</w:t>
      </w:r>
      <w:r w:rsidR="00BA2D18" w:rsidRPr="00EB3788">
        <w:rPr>
          <w:rFonts w:asciiTheme="majorHAnsi" w:hAnsiTheme="majorHAnsi"/>
        </w:rPr>
        <w:t xml:space="preserve"> Fetroja</w:t>
      </w:r>
      <w:r w:rsidR="00365465" w:rsidRPr="00EB3788">
        <w:rPr>
          <w:rFonts w:asciiTheme="majorHAnsi" w:hAnsiTheme="majorHAnsi"/>
        </w:rPr>
        <w:t xml:space="preserve"> 2 g every 8 hours, for 7 to 15 days</w:t>
      </w:r>
      <w:r w:rsidRPr="00EB3788">
        <w:rPr>
          <w:rFonts w:asciiTheme="majorHAnsi" w:hAnsiTheme="majorHAnsi"/>
        </w:rPr>
        <w:t xml:space="preserve">. The incidence rate of adverse events was 87.8 %, with the most common adverse events including urinary </w:t>
      </w:r>
      <w:r w:rsidR="00E21134" w:rsidRPr="00EB3788">
        <w:rPr>
          <w:rFonts w:asciiTheme="majorHAnsi" w:hAnsiTheme="majorHAnsi"/>
        </w:rPr>
        <w:t>tract</w:t>
      </w:r>
      <w:r w:rsidRPr="00EB3788">
        <w:rPr>
          <w:rFonts w:asciiTheme="majorHAnsi" w:hAnsiTheme="majorHAnsi"/>
        </w:rPr>
        <w:t xml:space="preserve"> infection 15.5%, </w:t>
      </w:r>
      <w:r w:rsidR="00E21134" w:rsidRPr="00EB3788">
        <w:rPr>
          <w:rFonts w:asciiTheme="majorHAnsi" w:hAnsiTheme="majorHAnsi"/>
        </w:rPr>
        <w:t>and hypokalaemia 10.8 %.</w:t>
      </w:r>
    </w:p>
    <w:p w14:paraId="4CB2E799" w14:textId="77777777" w:rsidR="00C87BBE" w:rsidRPr="00EB3788" w:rsidRDefault="00C87BBE" w:rsidP="00446C37">
      <w:pPr>
        <w:rPr>
          <w:rFonts w:asciiTheme="majorHAnsi" w:hAnsiTheme="majorHAnsi"/>
        </w:rPr>
      </w:pPr>
      <w:r w:rsidRPr="00EB3788">
        <w:rPr>
          <w:rFonts w:asciiTheme="majorHAnsi" w:hAnsiTheme="majorHAnsi"/>
        </w:rPr>
        <w:t>In the first phase 3 comparative study (CREDIBLE-CR), a total of 101 received Fetroja 2 g every 8 hours, for 7 to 14 days and up to 21 days in some cases. The incidence rate of adverse events was 91.1% (92/101) subjects in the cefiderocol group, with the most common adverse events including diarrhoea 18.8%, pyrexia 13.9 %, septic shock 12.9% and vomiting 12.9%.</w:t>
      </w:r>
    </w:p>
    <w:p w14:paraId="61F203C4" w14:textId="0D16EB0D" w:rsidR="00400C1C" w:rsidRPr="00EB3788" w:rsidRDefault="00E21134" w:rsidP="00446C37">
      <w:pPr>
        <w:rPr>
          <w:rFonts w:asciiTheme="majorHAnsi" w:hAnsiTheme="majorHAnsi"/>
          <w:color w:val="0000EE"/>
        </w:rPr>
      </w:pPr>
      <w:r w:rsidRPr="00EB3788">
        <w:rPr>
          <w:rFonts w:asciiTheme="majorHAnsi" w:hAnsiTheme="majorHAnsi"/>
        </w:rPr>
        <w:t>Adverse events reported</w:t>
      </w:r>
      <w:r w:rsidR="0091437B" w:rsidRPr="00EB3788">
        <w:rPr>
          <w:rFonts w:asciiTheme="majorHAnsi" w:hAnsiTheme="majorHAnsi"/>
        </w:rPr>
        <w:t xml:space="preserve"> in ≥ 2%</w:t>
      </w:r>
      <w:r w:rsidR="00B87474" w:rsidRPr="00EB3788">
        <w:rPr>
          <w:rFonts w:asciiTheme="majorHAnsi" w:hAnsiTheme="majorHAnsi"/>
        </w:rPr>
        <w:t xml:space="preserve"> of subjects in the phase 2 study and</w:t>
      </w:r>
      <w:r w:rsidRPr="00EB3788">
        <w:rPr>
          <w:rFonts w:asciiTheme="majorHAnsi" w:hAnsiTheme="majorHAnsi"/>
        </w:rPr>
        <w:t xml:space="preserve"> </w:t>
      </w:r>
      <w:r w:rsidR="003D1689" w:rsidRPr="00EB3788">
        <w:rPr>
          <w:rFonts w:asciiTheme="majorHAnsi" w:hAnsiTheme="majorHAnsi"/>
        </w:rPr>
        <w:t xml:space="preserve">≥ 5% of subjects </w:t>
      </w:r>
      <w:r w:rsidRPr="00EB3788">
        <w:rPr>
          <w:rFonts w:asciiTheme="majorHAnsi" w:hAnsiTheme="majorHAnsi"/>
        </w:rPr>
        <w:t>in the phase 3 studies are summarised in</w:t>
      </w:r>
      <w:r w:rsidR="00B87474" w:rsidRPr="00EB3788">
        <w:rPr>
          <w:rFonts w:asciiTheme="majorHAnsi" w:hAnsiTheme="majorHAnsi"/>
        </w:rPr>
        <w:t xml:space="preserve"> </w:t>
      </w:r>
      <w:r w:rsidR="009678FF" w:rsidRPr="00EB3788">
        <w:rPr>
          <w:rFonts w:asciiTheme="majorHAnsi" w:hAnsiTheme="majorHAnsi"/>
          <w:color w:val="0000EE"/>
        </w:rPr>
        <w:fldChar w:fldCharType="begin" w:fldLock="1"/>
      </w:r>
      <w:r w:rsidR="009678FF" w:rsidRPr="00EB3788">
        <w:rPr>
          <w:rFonts w:asciiTheme="majorHAnsi" w:hAnsiTheme="majorHAnsi"/>
          <w:color w:val="0000EE"/>
        </w:rPr>
        <w:instrText xml:space="preserve"> REF _Ref179204837 \h </w:instrText>
      </w:r>
      <w:r w:rsidR="001E7490" w:rsidRPr="00EB3788">
        <w:rPr>
          <w:rFonts w:asciiTheme="majorHAnsi" w:hAnsiTheme="majorHAnsi"/>
          <w:color w:val="0000EE"/>
        </w:rPr>
        <w:instrText xml:space="preserve"> \* MERGEFORMAT </w:instrText>
      </w:r>
      <w:r w:rsidR="009678FF" w:rsidRPr="00EB3788">
        <w:rPr>
          <w:rFonts w:asciiTheme="majorHAnsi" w:hAnsiTheme="majorHAnsi"/>
          <w:color w:val="0000EE"/>
        </w:rPr>
      </w:r>
      <w:r w:rsidR="009678FF" w:rsidRPr="00EB3788">
        <w:rPr>
          <w:rFonts w:asciiTheme="majorHAnsi" w:hAnsiTheme="majorHAnsi"/>
          <w:color w:val="0000EE"/>
        </w:rPr>
        <w:fldChar w:fldCharType="separate"/>
      </w:r>
      <w:r w:rsidR="00425866" w:rsidRPr="00EB3788">
        <w:rPr>
          <w:rFonts w:asciiTheme="majorHAnsi" w:hAnsiTheme="majorHAnsi"/>
          <w:color w:val="0000EE"/>
        </w:rPr>
        <w:t xml:space="preserve">Table </w:t>
      </w:r>
      <w:r w:rsidR="00425866" w:rsidRPr="004664E6">
        <w:rPr>
          <w:rFonts w:asciiTheme="majorHAnsi" w:hAnsiTheme="majorHAnsi"/>
          <w:color w:val="0000EE"/>
        </w:rPr>
        <w:t>5</w:t>
      </w:r>
      <w:r w:rsidR="009678FF" w:rsidRPr="00EB3788">
        <w:rPr>
          <w:rFonts w:asciiTheme="majorHAnsi" w:hAnsiTheme="majorHAnsi"/>
          <w:color w:val="0000EE"/>
        </w:rPr>
        <w:fldChar w:fldCharType="end"/>
      </w:r>
      <w:r w:rsidR="0056118A" w:rsidRPr="00EB3788">
        <w:rPr>
          <w:rFonts w:asciiTheme="majorHAnsi" w:hAnsiTheme="majorHAnsi"/>
        </w:rPr>
        <w:t>,</w:t>
      </w:r>
      <w:r w:rsidR="004F6FBE" w:rsidRPr="00EB3788">
        <w:rPr>
          <w:rFonts w:asciiTheme="majorHAnsi" w:hAnsiTheme="majorHAnsi"/>
          <w:color w:val="0000EE"/>
        </w:rPr>
        <w:t xml:space="preserve"> </w:t>
      </w:r>
      <w:r w:rsidR="001238F9" w:rsidRPr="00EB3788">
        <w:rPr>
          <w:rFonts w:asciiTheme="majorHAnsi" w:hAnsiTheme="majorHAnsi"/>
          <w:color w:val="0000EE"/>
        </w:rPr>
        <w:fldChar w:fldCharType="begin"/>
      </w:r>
      <w:r w:rsidR="001238F9" w:rsidRPr="00EB3788">
        <w:rPr>
          <w:rFonts w:asciiTheme="majorHAnsi" w:hAnsiTheme="majorHAnsi"/>
          <w:color w:val="0000EE"/>
        </w:rPr>
        <w:instrText xml:space="preserve"> REF _Ref179205598 \h </w:instrText>
      </w:r>
      <w:r w:rsidR="00931A44" w:rsidRPr="00EB3788">
        <w:rPr>
          <w:rFonts w:asciiTheme="majorHAnsi" w:hAnsiTheme="majorHAnsi"/>
          <w:color w:val="0000EE"/>
        </w:rPr>
        <w:instrText xml:space="preserve"> \* MERGEFORMAT </w:instrText>
      </w:r>
      <w:r w:rsidR="001238F9" w:rsidRPr="00EB3788">
        <w:rPr>
          <w:rFonts w:asciiTheme="majorHAnsi" w:hAnsiTheme="majorHAnsi"/>
          <w:color w:val="0000EE"/>
        </w:rPr>
      </w:r>
      <w:r w:rsidR="001238F9" w:rsidRPr="00EB3788">
        <w:rPr>
          <w:rFonts w:asciiTheme="majorHAnsi" w:hAnsiTheme="majorHAnsi"/>
          <w:color w:val="0000EE"/>
        </w:rPr>
        <w:fldChar w:fldCharType="separate"/>
      </w:r>
      <w:r w:rsidR="001E66F2" w:rsidRPr="00EB3788">
        <w:rPr>
          <w:rFonts w:asciiTheme="majorHAnsi" w:hAnsiTheme="majorHAnsi"/>
          <w:color w:val="0000EE"/>
        </w:rPr>
        <w:t xml:space="preserve">Table </w:t>
      </w:r>
      <w:r w:rsidR="001E66F2" w:rsidRPr="004664E6">
        <w:rPr>
          <w:rFonts w:asciiTheme="majorHAnsi" w:hAnsiTheme="majorHAnsi"/>
          <w:color w:val="0000EE"/>
        </w:rPr>
        <w:t>6</w:t>
      </w:r>
      <w:r w:rsidR="001238F9" w:rsidRPr="00EB3788">
        <w:rPr>
          <w:rFonts w:asciiTheme="majorHAnsi" w:hAnsiTheme="majorHAnsi"/>
          <w:color w:val="0000EE"/>
        </w:rPr>
        <w:fldChar w:fldCharType="end"/>
      </w:r>
      <w:r w:rsidR="001238F9" w:rsidRPr="00EB3788">
        <w:rPr>
          <w:rFonts w:asciiTheme="majorHAnsi" w:hAnsiTheme="majorHAnsi" w:hint="eastAsia"/>
          <w:color w:val="0000EE"/>
          <w:lang w:eastAsia="ja-JP"/>
        </w:rPr>
        <w:t xml:space="preserve"> </w:t>
      </w:r>
      <w:r w:rsidRPr="00EB3788">
        <w:rPr>
          <w:rFonts w:asciiTheme="majorHAnsi" w:hAnsiTheme="majorHAnsi"/>
        </w:rPr>
        <w:t>and</w:t>
      </w:r>
      <w:r w:rsidR="00F10B6B" w:rsidRPr="00EB3788">
        <w:rPr>
          <w:rFonts w:asciiTheme="majorHAnsi" w:hAnsiTheme="majorHAnsi"/>
        </w:rPr>
        <w:t xml:space="preserve"> </w:t>
      </w:r>
      <w:r w:rsidR="001238F9" w:rsidRPr="00EB3788">
        <w:rPr>
          <w:rFonts w:asciiTheme="majorHAnsi" w:hAnsiTheme="majorHAnsi"/>
          <w:color w:val="0000EE"/>
        </w:rPr>
        <w:fldChar w:fldCharType="begin"/>
      </w:r>
      <w:r w:rsidR="001238F9" w:rsidRPr="00EB3788">
        <w:rPr>
          <w:rFonts w:asciiTheme="majorHAnsi" w:hAnsiTheme="majorHAnsi"/>
          <w:color w:val="0000EE"/>
        </w:rPr>
        <w:instrText xml:space="preserve"> REF _Ref179206140 \h </w:instrText>
      </w:r>
      <w:r w:rsidR="00931A44" w:rsidRPr="00EB3788">
        <w:rPr>
          <w:rFonts w:asciiTheme="majorHAnsi" w:hAnsiTheme="majorHAnsi"/>
          <w:color w:val="0000EE"/>
        </w:rPr>
        <w:instrText xml:space="preserve"> \* MERGEFORMAT </w:instrText>
      </w:r>
      <w:r w:rsidR="001238F9" w:rsidRPr="00EB3788">
        <w:rPr>
          <w:rFonts w:asciiTheme="majorHAnsi" w:hAnsiTheme="majorHAnsi"/>
          <w:color w:val="0000EE"/>
        </w:rPr>
      </w:r>
      <w:r w:rsidR="001238F9" w:rsidRPr="00EB3788">
        <w:rPr>
          <w:rFonts w:asciiTheme="majorHAnsi" w:hAnsiTheme="majorHAnsi"/>
          <w:color w:val="0000EE"/>
        </w:rPr>
        <w:fldChar w:fldCharType="separate"/>
      </w:r>
      <w:r w:rsidR="001E66F2" w:rsidRPr="00EB3788">
        <w:rPr>
          <w:rFonts w:asciiTheme="majorHAnsi" w:hAnsiTheme="majorHAnsi"/>
          <w:color w:val="0000EE"/>
        </w:rPr>
        <w:t xml:space="preserve">Table </w:t>
      </w:r>
      <w:r w:rsidR="001E66F2" w:rsidRPr="004664E6">
        <w:rPr>
          <w:rFonts w:asciiTheme="majorHAnsi" w:hAnsiTheme="majorHAnsi"/>
          <w:color w:val="0000EE"/>
        </w:rPr>
        <w:t>7</w:t>
      </w:r>
      <w:r w:rsidR="001238F9" w:rsidRPr="00EB3788">
        <w:rPr>
          <w:rFonts w:asciiTheme="majorHAnsi" w:hAnsiTheme="majorHAnsi"/>
          <w:color w:val="0000EE"/>
        </w:rPr>
        <w:fldChar w:fldCharType="end"/>
      </w:r>
      <w:r w:rsidR="00F75757" w:rsidRPr="00EB3788">
        <w:rPr>
          <w:rFonts w:asciiTheme="majorHAnsi" w:hAnsiTheme="majorHAnsi"/>
        </w:rPr>
        <w:t>below.</w:t>
      </w:r>
    </w:p>
    <w:p w14:paraId="6A0108EB" w14:textId="66F163EB" w:rsidR="00113CA4" w:rsidRPr="00EB3788" w:rsidRDefault="00113CA4" w:rsidP="00446C37">
      <w:pPr>
        <w:pStyle w:val="Caption"/>
        <w:keepNext/>
      </w:pPr>
      <w:bookmarkStart w:id="14" w:name="_Ref179204837"/>
      <w:r w:rsidRPr="00EB3788">
        <w:t xml:space="preserve">Table </w:t>
      </w:r>
      <w:r w:rsidRPr="00EB3788">
        <w:fldChar w:fldCharType="begin"/>
      </w:r>
      <w:r w:rsidRPr="00EB3788">
        <w:instrText>SEQ Table \* ARABIC</w:instrText>
      </w:r>
      <w:r w:rsidRPr="00EB3788">
        <w:fldChar w:fldCharType="separate"/>
      </w:r>
      <w:r w:rsidR="001E66F2" w:rsidRPr="004664E6">
        <w:t>5</w:t>
      </w:r>
      <w:r w:rsidRPr="00EB3788">
        <w:fldChar w:fldCharType="end"/>
      </w:r>
      <w:bookmarkEnd w:id="14"/>
      <w:r w:rsidRPr="00EB3788">
        <w:t xml:space="preserve"> Adverse </w:t>
      </w:r>
      <w:r w:rsidR="0070551A" w:rsidRPr="00EB3788">
        <w:rPr>
          <w:rFonts w:hint="eastAsia"/>
          <w:lang w:eastAsia="ja-JP"/>
        </w:rPr>
        <w:t>e</w:t>
      </w:r>
      <w:r w:rsidR="0070551A" w:rsidRPr="00EB3788">
        <w:t xml:space="preserve">vents </w:t>
      </w:r>
      <w:r w:rsidR="0070551A" w:rsidRPr="00EB3788">
        <w:rPr>
          <w:rFonts w:hint="eastAsia"/>
          <w:lang w:eastAsia="ja-JP"/>
        </w:rPr>
        <w:t>o</w:t>
      </w:r>
      <w:r w:rsidR="0070551A" w:rsidRPr="00EB3788">
        <w:t xml:space="preserve">ccurring </w:t>
      </w:r>
      <w:r w:rsidRPr="00EB3788">
        <w:t xml:space="preserve">in ≥ 2% of </w:t>
      </w:r>
      <w:r w:rsidR="0070551A" w:rsidRPr="00EB3788">
        <w:rPr>
          <w:rFonts w:hint="eastAsia"/>
          <w:lang w:eastAsia="ja-JP"/>
        </w:rPr>
        <w:t>s</w:t>
      </w:r>
      <w:r w:rsidR="0070551A" w:rsidRPr="00EB3788">
        <w:t xml:space="preserve">ubjects </w:t>
      </w:r>
      <w:r w:rsidRPr="00EB3788">
        <w:t xml:space="preserve">in </w:t>
      </w:r>
      <w:r w:rsidR="0070551A" w:rsidRPr="00EB3788">
        <w:rPr>
          <w:rFonts w:hint="eastAsia"/>
          <w:lang w:eastAsia="ja-JP"/>
        </w:rPr>
        <w:t>e</w:t>
      </w:r>
      <w:r w:rsidR="0070551A" w:rsidRPr="00EB3788">
        <w:t xml:space="preserve">ither </w:t>
      </w:r>
      <w:r w:rsidR="0070551A" w:rsidRPr="00EB3788">
        <w:rPr>
          <w:rFonts w:hint="eastAsia"/>
          <w:lang w:eastAsia="ja-JP"/>
        </w:rPr>
        <w:t>t</w:t>
      </w:r>
      <w:r w:rsidR="0070551A" w:rsidRPr="00EB3788">
        <w:t xml:space="preserve">reatment </w:t>
      </w:r>
      <w:r w:rsidR="0070551A" w:rsidRPr="00EB3788">
        <w:rPr>
          <w:rFonts w:hint="eastAsia"/>
          <w:lang w:eastAsia="ja-JP"/>
        </w:rPr>
        <w:t>g</w:t>
      </w:r>
      <w:r w:rsidR="0070551A" w:rsidRPr="00EB3788">
        <w:t xml:space="preserve">roup </w:t>
      </w:r>
      <w:r w:rsidRPr="00EB3788">
        <w:t>(APEKS-</w:t>
      </w:r>
      <w:proofErr w:type="spellStart"/>
      <w:r w:rsidRPr="00EB3788">
        <w:t>cUTI</w:t>
      </w:r>
      <w:proofErr w:type="spellEnd"/>
      <w:r w:rsidRPr="00EB3788">
        <w:t>)</w:t>
      </w:r>
    </w:p>
    <w:tbl>
      <w:tblPr>
        <w:tblW w:w="0" w:type="auto"/>
        <w:tblLayout w:type="fixed"/>
        <w:tblCellMar>
          <w:left w:w="0" w:type="dxa"/>
          <w:right w:w="0" w:type="dxa"/>
        </w:tblCellMar>
        <w:tblLook w:val="04A0" w:firstRow="1" w:lastRow="0" w:firstColumn="1" w:lastColumn="0" w:noHBand="0" w:noVBand="1"/>
      </w:tblPr>
      <w:tblGrid>
        <w:gridCol w:w="3402"/>
        <w:gridCol w:w="3114"/>
        <w:gridCol w:w="2273"/>
      </w:tblGrid>
      <w:tr w:rsidR="005F2ABC" w:rsidRPr="00EB3788" w14:paraId="12514592" w14:textId="77777777">
        <w:trPr>
          <w:trHeight w:hRule="exact" w:val="292"/>
          <w:tblHeader/>
        </w:trPr>
        <w:tc>
          <w:tcPr>
            <w:tcW w:w="3402" w:type="dxa"/>
            <w:tcBorders>
              <w:top w:val="single" w:sz="4" w:space="0" w:color="auto"/>
            </w:tcBorders>
          </w:tcPr>
          <w:p w14:paraId="07D5F780" w14:textId="77777777" w:rsidR="005F2ABC" w:rsidRPr="00EB3788" w:rsidRDefault="005F2ABC" w:rsidP="00446C37">
            <w:pPr>
              <w:textAlignment w:val="baseline"/>
              <w:rPr>
                <w:rFonts w:asciiTheme="majorHAnsi" w:eastAsia="Times New Roman" w:hAnsiTheme="majorHAnsi"/>
                <w:color w:val="000000"/>
                <w:sz w:val="18"/>
                <w:szCs w:val="18"/>
              </w:rPr>
            </w:pPr>
            <w:bookmarkStart w:id="15" w:name="_Hlk172792003"/>
          </w:p>
        </w:tc>
        <w:tc>
          <w:tcPr>
            <w:tcW w:w="3114" w:type="dxa"/>
            <w:tcBorders>
              <w:top w:val="single" w:sz="4" w:space="0" w:color="auto"/>
            </w:tcBorders>
            <w:vAlign w:val="center"/>
          </w:tcPr>
          <w:p w14:paraId="36849B54" w14:textId="18A42247" w:rsidR="005F2ABC" w:rsidRPr="00EB3788" w:rsidRDefault="000B624F" w:rsidP="00446C37">
            <w:pPr>
              <w:spacing w:before="62" w:line="225" w:lineRule="exact"/>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Fetroja (c</w:t>
            </w:r>
            <w:r w:rsidR="005F2ABC" w:rsidRPr="00EB3788">
              <w:rPr>
                <w:rFonts w:asciiTheme="majorHAnsi" w:eastAsia="Times New Roman" w:hAnsiTheme="majorHAnsi"/>
                <w:b/>
                <w:color w:val="000000"/>
                <w:sz w:val="18"/>
                <w:szCs w:val="18"/>
              </w:rPr>
              <w:t>efiderocol</w:t>
            </w:r>
            <w:r w:rsidRPr="00EB3788">
              <w:rPr>
                <w:rFonts w:asciiTheme="majorHAnsi" w:eastAsia="Times New Roman" w:hAnsiTheme="majorHAnsi"/>
                <w:b/>
                <w:color w:val="000000"/>
                <w:sz w:val="18"/>
                <w:szCs w:val="18"/>
              </w:rPr>
              <w:t>)</w:t>
            </w:r>
          </w:p>
        </w:tc>
        <w:tc>
          <w:tcPr>
            <w:tcW w:w="2273" w:type="dxa"/>
            <w:tcBorders>
              <w:top w:val="single" w:sz="4" w:space="0" w:color="auto"/>
            </w:tcBorders>
            <w:vAlign w:val="center"/>
          </w:tcPr>
          <w:p w14:paraId="1847B757" w14:textId="37B4DB02" w:rsidR="005F2ABC" w:rsidRPr="00EB3788" w:rsidRDefault="00901560" w:rsidP="00446C37">
            <w:pPr>
              <w:spacing w:before="84" w:line="230" w:lineRule="exact"/>
              <w:ind w:right="28"/>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Imipenem/</w:t>
            </w:r>
            <w:proofErr w:type="spellStart"/>
            <w:r w:rsidRPr="00EB3788">
              <w:rPr>
                <w:rFonts w:asciiTheme="majorHAnsi" w:eastAsia="Times New Roman" w:hAnsiTheme="majorHAnsi"/>
                <w:b/>
                <w:color w:val="000000"/>
                <w:sz w:val="18"/>
                <w:szCs w:val="18"/>
              </w:rPr>
              <w:t>Cilastatin</w:t>
            </w:r>
            <w:proofErr w:type="spellEnd"/>
          </w:p>
        </w:tc>
      </w:tr>
      <w:tr w:rsidR="005F2ABC" w:rsidRPr="00EB3788" w14:paraId="706AF942" w14:textId="77777777">
        <w:trPr>
          <w:trHeight w:hRule="exact" w:val="231"/>
          <w:tblHeader/>
        </w:trPr>
        <w:tc>
          <w:tcPr>
            <w:tcW w:w="3402" w:type="dxa"/>
            <w:vAlign w:val="center"/>
          </w:tcPr>
          <w:p w14:paraId="52E6B805" w14:textId="77777777" w:rsidR="005F2ABC" w:rsidRPr="00EB3788" w:rsidRDefault="005F2ABC" w:rsidP="00446C37">
            <w:pPr>
              <w:spacing w:line="225" w:lineRule="exact"/>
              <w:ind w:left="29"/>
              <w:textAlignment w:val="baseline"/>
              <w:rPr>
                <w:rFonts w:asciiTheme="majorHAnsi" w:eastAsia="Times New Roman" w:hAnsiTheme="majorHAnsi"/>
                <w:b/>
                <w:color w:val="000000"/>
                <w:sz w:val="18"/>
                <w:szCs w:val="18"/>
              </w:rPr>
            </w:pPr>
          </w:p>
        </w:tc>
        <w:tc>
          <w:tcPr>
            <w:tcW w:w="3114" w:type="dxa"/>
            <w:vAlign w:val="center"/>
          </w:tcPr>
          <w:p w14:paraId="782E8AAE" w14:textId="7AEF525D" w:rsidR="005F2ABC" w:rsidRPr="00EB3788" w:rsidRDefault="005F2ABC" w:rsidP="00446C37">
            <w:pPr>
              <w:spacing w:line="225" w:lineRule="exact"/>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(N = 300)</w:t>
            </w:r>
          </w:p>
        </w:tc>
        <w:tc>
          <w:tcPr>
            <w:tcW w:w="2273" w:type="dxa"/>
            <w:vAlign w:val="center"/>
          </w:tcPr>
          <w:p w14:paraId="2C8B2082" w14:textId="7469DF95" w:rsidR="005F2ABC" w:rsidRPr="00EB3788" w:rsidRDefault="005F2ABC" w:rsidP="00446C37">
            <w:pPr>
              <w:spacing w:line="225" w:lineRule="exact"/>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(N = 1</w:t>
            </w:r>
            <w:r w:rsidR="00901560" w:rsidRPr="00EB3788">
              <w:rPr>
                <w:rFonts w:asciiTheme="majorHAnsi" w:eastAsia="Times New Roman" w:hAnsiTheme="majorHAnsi"/>
                <w:b/>
                <w:color w:val="000000"/>
                <w:sz w:val="18"/>
                <w:szCs w:val="18"/>
              </w:rPr>
              <w:t>48</w:t>
            </w:r>
            <w:r w:rsidRPr="00EB3788">
              <w:rPr>
                <w:rFonts w:asciiTheme="majorHAnsi" w:eastAsia="Times New Roman" w:hAnsiTheme="majorHAnsi"/>
                <w:b/>
                <w:color w:val="000000"/>
                <w:sz w:val="18"/>
                <w:szCs w:val="18"/>
              </w:rPr>
              <w:t>)</w:t>
            </w:r>
          </w:p>
        </w:tc>
      </w:tr>
      <w:tr w:rsidR="005F2ABC" w:rsidRPr="00EB3788" w14:paraId="029C2907" w14:textId="77777777">
        <w:trPr>
          <w:trHeight w:hRule="exact" w:val="240"/>
          <w:tblHeader/>
        </w:trPr>
        <w:tc>
          <w:tcPr>
            <w:tcW w:w="3402" w:type="dxa"/>
            <w:tcBorders>
              <w:bottom w:val="single" w:sz="4" w:space="0" w:color="auto"/>
            </w:tcBorders>
            <w:vAlign w:val="center"/>
          </w:tcPr>
          <w:p w14:paraId="52E9579B" w14:textId="77777777" w:rsidR="005F2ABC" w:rsidRPr="00EB3788" w:rsidRDefault="005F2ABC" w:rsidP="00446C37">
            <w:pPr>
              <w:spacing w:after="2" w:line="230" w:lineRule="exact"/>
              <w:ind w:left="119"/>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Preferred Term</w:t>
            </w:r>
          </w:p>
        </w:tc>
        <w:tc>
          <w:tcPr>
            <w:tcW w:w="3114" w:type="dxa"/>
            <w:tcBorders>
              <w:bottom w:val="single" w:sz="4" w:space="0" w:color="auto"/>
            </w:tcBorders>
            <w:vAlign w:val="center"/>
          </w:tcPr>
          <w:p w14:paraId="5CD2AE3F" w14:textId="77777777" w:rsidR="005F2ABC" w:rsidRPr="00EB3788" w:rsidRDefault="005F2ABC" w:rsidP="00446C37">
            <w:pPr>
              <w:spacing w:after="2" w:line="230" w:lineRule="exact"/>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n (%)</w:t>
            </w:r>
          </w:p>
        </w:tc>
        <w:tc>
          <w:tcPr>
            <w:tcW w:w="2273" w:type="dxa"/>
            <w:tcBorders>
              <w:bottom w:val="single" w:sz="4" w:space="0" w:color="auto"/>
            </w:tcBorders>
            <w:vAlign w:val="center"/>
          </w:tcPr>
          <w:p w14:paraId="19739808" w14:textId="77777777" w:rsidR="005F2ABC" w:rsidRPr="00EB3788" w:rsidRDefault="005F2ABC" w:rsidP="00446C37">
            <w:pPr>
              <w:spacing w:after="2" w:line="230" w:lineRule="exact"/>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n (%)</w:t>
            </w:r>
          </w:p>
        </w:tc>
      </w:tr>
      <w:tr w:rsidR="005F2ABC" w:rsidRPr="00EB3788" w14:paraId="6FEC7966" w14:textId="77777777">
        <w:trPr>
          <w:trHeight w:hRule="exact" w:val="326"/>
        </w:trPr>
        <w:tc>
          <w:tcPr>
            <w:tcW w:w="3402" w:type="dxa"/>
            <w:tcBorders>
              <w:top w:val="single" w:sz="4" w:space="0" w:color="auto"/>
            </w:tcBorders>
            <w:vAlign w:val="center"/>
          </w:tcPr>
          <w:p w14:paraId="3BDE94E9" w14:textId="5A71FF02" w:rsidR="005F2ABC" w:rsidRPr="00EB3788" w:rsidRDefault="005F2ABC" w:rsidP="00446C37">
            <w:pPr>
              <w:spacing w:before="76" w:after="16" w:line="224" w:lineRule="exact"/>
              <w:ind w:left="29"/>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themeColor="text1"/>
                <w:sz w:val="18"/>
                <w:szCs w:val="18"/>
              </w:rPr>
              <w:t>Subjects with AEs</w:t>
            </w:r>
          </w:p>
        </w:tc>
        <w:tc>
          <w:tcPr>
            <w:tcW w:w="3114" w:type="dxa"/>
            <w:tcBorders>
              <w:top w:val="single" w:sz="4" w:space="0" w:color="auto"/>
            </w:tcBorders>
            <w:vAlign w:val="center"/>
          </w:tcPr>
          <w:p w14:paraId="65037E4B" w14:textId="4D44B6AF" w:rsidR="005F2ABC" w:rsidRPr="00EB3788" w:rsidRDefault="00250039"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122</w:t>
            </w:r>
            <w:r w:rsidR="005F2ABC" w:rsidRPr="00EB3788">
              <w:rPr>
                <w:rFonts w:asciiTheme="majorHAnsi" w:eastAsia="Times New Roman" w:hAnsiTheme="majorHAnsi"/>
                <w:color w:val="000000"/>
                <w:sz w:val="18"/>
                <w:szCs w:val="18"/>
              </w:rPr>
              <w:t xml:space="preserve"> (</w:t>
            </w:r>
            <w:r w:rsidR="001F5ACC" w:rsidRPr="00EB3788">
              <w:rPr>
                <w:rFonts w:asciiTheme="majorHAnsi" w:eastAsia="Times New Roman" w:hAnsiTheme="majorHAnsi"/>
                <w:color w:val="000000"/>
                <w:sz w:val="18"/>
                <w:szCs w:val="18"/>
              </w:rPr>
              <w:t>40.7</w:t>
            </w:r>
            <w:r w:rsidR="005F2ABC" w:rsidRPr="00EB3788">
              <w:rPr>
                <w:rFonts w:asciiTheme="majorHAnsi" w:eastAsia="Times New Roman" w:hAnsiTheme="majorHAnsi"/>
                <w:color w:val="000000"/>
                <w:sz w:val="18"/>
                <w:szCs w:val="18"/>
              </w:rPr>
              <w:t>)</w:t>
            </w:r>
          </w:p>
        </w:tc>
        <w:tc>
          <w:tcPr>
            <w:tcW w:w="2273" w:type="dxa"/>
            <w:tcBorders>
              <w:top w:val="single" w:sz="4" w:space="0" w:color="auto"/>
            </w:tcBorders>
            <w:vAlign w:val="center"/>
          </w:tcPr>
          <w:p w14:paraId="5210F74F" w14:textId="479D41C6" w:rsidR="005F2ABC" w:rsidRPr="00EB3788" w:rsidRDefault="000B7D4C"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76 (51.4)</w:t>
            </w:r>
          </w:p>
        </w:tc>
      </w:tr>
      <w:tr w:rsidR="00062BFA" w:rsidRPr="00EB3788" w14:paraId="7E5EAD83" w14:textId="77777777" w:rsidTr="00F436BD">
        <w:trPr>
          <w:trHeight w:hRule="exact" w:val="326"/>
        </w:trPr>
        <w:tc>
          <w:tcPr>
            <w:tcW w:w="3402" w:type="dxa"/>
            <w:vAlign w:val="center"/>
          </w:tcPr>
          <w:p w14:paraId="5DFA26E1" w14:textId="53BEFA98" w:rsidR="00062BFA" w:rsidRPr="00EB3788" w:rsidRDefault="00062BF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Diarrhoea</w:t>
            </w:r>
          </w:p>
        </w:tc>
        <w:tc>
          <w:tcPr>
            <w:tcW w:w="3114" w:type="dxa"/>
            <w:vAlign w:val="center"/>
          </w:tcPr>
          <w:p w14:paraId="4C7386CA" w14:textId="34DA71A0"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13 (4.3)</w:t>
            </w:r>
          </w:p>
          <w:p w14:paraId="0706C0A3"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13 (</w:t>
            </w:r>
            <w:r w:rsidRPr="00EB3788">
              <w:rPr>
                <w:rFonts w:asciiTheme="majorHAnsi" w:eastAsia="Times New Roman" w:hAnsiTheme="majorHAnsi"/>
                <w:color w:val="000000"/>
                <w:sz w:val="18"/>
                <w:szCs w:val="18"/>
              </w:rPr>
              <w:tab/>
              <w:t>4.3)</w:t>
            </w:r>
          </w:p>
          <w:p w14:paraId="2918EB1B"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10 (</w:t>
            </w:r>
            <w:r w:rsidRPr="00EB3788">
              <w:rPr>
                <w:rFonts w:asciiTheme="majorHAnsi" w:eastAsia="Times New Roman" w:hAnsiTheme="majorHAnsi"/>
                <w:color w:val="000000"/>
                <w:sz w:val="18"/>
                <w:szCs w:val="18"/>
              </w:rPr>
              <w:tab/>
              <w:t>3.3)</w:t>
            </w:r>
          </w:p>
          <w:p w14:paraId="3C0045FF"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9 (</w:t>
            </w:r>
            <w:r w:rsidRPr="00EB3788">
              <w:rPr>
                <w:rFonts w:asciiTheme="majorHAnsi" w:eastAsia="Times New Roman" w:hAnsiTheme="majorHAnsi"/>
                <w:color w:val="000000"/>
                <w:sz w:val="18"/>
                <w:szCs w:val="18"/>
              </w:rPr>
              <w:tab/>
              <w:t>3.0)</w:t>
            </w:r>
          </w:p>
          <w:p w14:paraId="718A23A5"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7 (</w:t>
            </w:r>
            <w:r w:rsidRPr="00EB3788">
              <w:rPr>
                <w:rFonts w:asciiTheme="majorHAnsi" w:eastAsia="Times New Roman" w:hAnsiTheme="majorHAnsi"/>
                <w:color w:val="000000"/>
                <w:sz w:val="18"/>
                <w:szCs w:val="18"/>
              </w:rPr>
              <w:tab/>
              <w:t>2.3)</w:t>
            </w:r>
          </w:p>
          <w:p w14:paraId="5B86733E"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7 (</w:t>
            </w:r>
            <w:r w:rsidRPr="00EB3788">
              <w:rPr>
                <w:rFonts w:asciiTheme="majorHAnsi" w:eastAsia="Times New Roman" w:hAnsiTheme="majorHAnsi"/>
                <w:color w:val="000000"/>
                <w:sz w:val="18"/>
                <w:szCs w:val="18"/>
              </w:rPr>
              <w:tab/>
              <w:t>2.3)</w:t>
            </w:r>
          </w:p>
          <w:p w14:paraId="4FFFE691"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7 (</w:t>
            </w:r>
            <w:r w:rsidRPr="00EB3788">
              <w:rPr>
                <w:rFonts w:asciiTheme="majorHAnsi" w:eastAsia="Times New Roman" w:hAnsiTheme="majorHAnsi"/>
                <w:color w:val="000000"/>
                <w:sz w:val="18"/>
                <w:szCs w:val="18"/>
              </w:rPr>
              <w:tab/>
              <w:t>2.3)</w:t>
            </w:r>
          </w:p>
          <w:p w14:paraId="273D28BC"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6 (</w:t>
            </w:r>
            <w:r w:rsidRPr="00EB3788">
              <w:rPr>
                <w:rFonts w:asciiTheme="majorHAnsi" w:eastAsia="Times New Roman" w:hAnsiTheme="majorHAnsi"/>
                <w:color w:val="000000"/>
                <w:sz w:val="18"/>
                <w:szCs w:val="18"/>
              </w:rPr>
              <w:tab/>
              <w:t>2.0)</w:t>
            </w:r>
          </w:p>
          <w:p w14:paraId="705088E3"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5 (</w:t>
            </w:r>
            <w:r w:rsidRPr="00EB3788">
              <w:rPr>
                <w:rFonts w:asciiTheme="majorHAnsi" w:eastAsia="Times New Roman" w:hAnsiTheme="majorHAnsi"/>
                <w:color w:val="000000"/>
                <w:sz w:val="18"/>
                <w:szCs w:val="18"/>
              </w:rPr>
              <w:tab/>
              <w:t>1.7)</w:t>
            </w:r>
          </w:p>
          <w:p w14:paraId="5CA06F70"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4 (</w:t>
            </w:r>
            <w:r w:rsidRPr="00EB3788">
              <w:rPr>
                <w:rFonts w:asciiTheme="majorHAnsi" w:eastAsia="Times New Roman" w:hAnsiTheme="majorHAnsi"/>
                <w:color w:val="000000"/>
                <w:sz w:val="18"/>
                <w:szCs w:val="18"/>
              </w:rPr>
              <w:tab/>
              <w:t>1.3)</w:t>
            </w:r>
          </w:p>
          <w:p w14:paraId="11E00903"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4 (</w:t>
            </w:r>
            <w:r w:rsidRPr="00EB3788">
              <w:rPr>
                <w:rFonts w:asciiTheme="majorHAnsi" w:eastAsia="Times New Roman" w:hAnsiTheme="majorHAnsi"/>
                <w:color w:val="000000"/>
                <w:sz w:val="18"/>
                <w:szCs w:val="18"/>
              </w:rPr>
              <w:tab/>
              <w:t>1.3)</w:t>
            </w:r>
          </w:p>
          <w:p w14:paraId="5AC66C17"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3 (</w:t>
            </w:r>
            <w:r w:rsidRPr="00EB3788">
              <w:rPr>
                <w:rFonts w:asciiTheme="majorHAnsi" w:eastAsia="Times New Roman" w:hAnsiTheme="majorHAnsi"/>
                <w:color w:val="000000"/>
                <w:sz w:val="18"/>
                <w:szCs w:val="18"/>
              </w:rPr>
              <w:tab/>
              <w:t>1.0)</w:t>
            </w:r>
          </w:p>
          <w:p w14:paraId="092D8A72"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2 (</w:t>
            </w:r>
            <w:r w:rsidRPr="00EB3788">
              <w:rPr>
                <w:rFonts w:asciiTheme="majorHAnsi" w:eastAsia="Times New Roman" w:hAnsiTheme="majorHAnsi"/>
                <w:color w:val="000000"/>
                <w:sz w:val="18"/>
                <w:szCs w:val="18"/>
              </w:rPr>
              <w:tab/>
              <w:t>0.7)</w:t>
            </w:r>
          </w:p>
          <w:p w14:paraId="3324F3F5"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2 (</w:t>
            </w:r>
            <w:r w:rsidRPr="00EB3788">
              <w:rPr>
                <w:rFonts w:asciiTheme="majorHAnsi" w:eastAsia="Times New Roman" w:hAnsiTheme="majorHAnsi"/>
                <w:color w:val="000000"/>
                <w:sz w:val="18"/>
                <w:szCs w:val="18"/>
              </w:rPr>
              <w:tab/>
              <w:t>0.7)</w:t>
            </w:r>
          </w:p>
          <w:p w14:paraId="2BAFCEDA" w14:textId="77777777" w:rsidR="0068654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 (</w:t>
            </w:r>
            <w:r w:rsidRPr="00EB3788">
              <w:rPr>
                <w:rFonts w:asciiTheme="majorHAnsi" w:eastAsia="Times New Roman" w:hAnsiTheme="majorHAnsi"/>
                <w:color w:val="000000"/>
                <w:sz w:val="18"/>
                <w:szCs w:val="18"/>
              </w:rPr>
              <w:tab/>
              <w:t>0.3)</w:t>
            </w:r>
          </w:p>
          <w:p w14:paraId="60B26412" w14:textId="129F5AAA" w:rsidR="00062BFA" w:rsidRPr="00EB3788" w:rsidRDefault="0068654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 (</w:t>
            </w:r>
            <w:r w:rsidRPr="00EB3788">
              <w:rPr>
                <w:rFonts w:asciiTheme="majorHAnsi" w:eastAsia="Times New Roman" w:hAnsiTheme="majorHAnsi"/>
                <w:color w:val="000000"/>
                <w:sz w:val="18"/>
                <w:szCs w:val="18"/>
              </w:rPr>
              <w:tab/>
              <w:t>0.3)</w:t>
            </w:r>
          </w:p>
        </w:tc>
        <w:tc>
          <w:tcPr>
            <w:tcW w:w="2273" w:type="dxa"/>
            <w:vAlign w:val="center"/>
          </w:tcPr>
          <w:p w14:paraId="36B5FAAE" w14:textId="7EA87DB3" w:rsidR="00062BFA" w:rsidRPr="00EB3788" w:rsidRDefault="0053171B"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9 (6.1)</w:t>
            </w:r>
          </w:p>
        </w:tc>
      </w:tr>
      <w:tr w:rsidR="00062BFA" w:rsidRPr="00EB3788" w14:paraId="7BA7A6F7" w14:textId="77777777" w:rsidTr="00F436BD">
        <w:trPr>
          <w:trHeight w:hRule="exact" w:val="326"/>
        </w:trPr>
        <w:tc>
          <w:tcPr>
            <w:tcW w:w="3402" w:type="dxa"/>
            <w:vAlign w:val="center"/>
          </w:tcPr>
          <w:p w14:paraId="113385A9" w14:textId="60A08CD5" w:rsidR="00062BFA" w:rsidRPr="00EB3788" w:rsidRDefault="00062BF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Hypertension</w:t>
            </w:r>
          </w:p>
        </w:tc>
        <w:tc>
          <w:tcPr>
            <w:tcW w:w="3114" w:type="dxa"/>
            <w:vAlign w:val="center"/>
          </w:tcPr>
          <w:p w14:paraId="009B5CAB" w14:textId="1E93FACE" w:rsidR="00062BFA" w:rsidRPr="00EB3788" w:rsidRDefault="000C0A72"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13 (4.3)</w:t>
            </w:r>
          </w:p>
        </w:tc>
        <w:tc>
          <w:tcPr>
            <w:tcW w:w="2273" w:type="dxa"/>
            <w:vAlign w:val="center"/>
          </w:tcPr>
          <w:p w14:paraId="633ECF68" w14:textId="26C3BC2D" w:rsidR="00062BFA" w:rsidRPr="00EB3788" w:rsidRDefault="00BE25BC"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8 (5.4)</w:t>
            </w:r>
          </w:p>
        </w:tc>
      </w:tr>
      <w:tr w:rsidR="00062BFA" w:rsidRPr="00EB3788" w14:paraId="79512FD2" w14:textId="77777777">
        <w:trPr>
          <w:trHeight w:hRule="exact" w:val="326"/>
        </w:trPr>
        <w:tc>
          <w:tcPr>
            <w:tcW w:w="3402" w:type="dxa"/>
            <w:vAlign w:val="center"/>
          </w:tcPr>
          <w:p w14:paraId="69BD4365" w14:textId="0A47ABA3" w:rsidR="00062BFA" w:rsidRPr="00EB3788" w:rsidRDefault="00062BFA"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Constipation</w:t>
            </w:r>
          </w:p>
        </w:tc>
        <w:tc>
          <w:tcPr>
            <w:tcW w:w="3114" w:type="dxa"/>
            <w:vAlign w:val="center"/>
          </w:tcPr>
          <w:p w14:paraId="1CCF68AA" w14:textId="2023626D" w:rsidR="00062BFA" w:rsidRPr="00EB3788" w:rsidRDefault="00D21094"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10 (3.3)</w:t>
            </w:r>
          </w:p>
        </w:tc>
        <w:tc>
          <w:tcPr>
            <w:tcW w:w="2273" w:type="dxa"/>
            <w:vAlign w:val="center"/>
          </w:tcPr>
          <w:p w14:paraId="5BEEF59B" w14:textId="7282865A" w:rsidR="00062BFA" w:rsidRPr="00EB3788" w:rsidRDefault="00675633"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6 (4.1)</w:t>
            </w:r>
          </w:p>
        </w:tc>
      </w:tr>
      <w:tr w:rsidR="00062BFA" w:rsidRPr="00EB3788" w14:paraId="27012FDE" w14:textId="77777777">
        <w:trPr>
          <w:trHeight w:hRule="exact" w:val="288"/>
        </w:trPr>
        <w:tc>
          <w:tcPr>
            <w:tcW w:w="3402" w:type="dxa"/>
            <w:vAlign w:val="center"/>
          </w:tcPr>
          <w:p w14:paraId="3AA47670" w14:textId="7A904109" w:rsidR="00062BFA" w:rsidRPr="00EB3788" w:rsidRDefault="00062BFA"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Infusion site pain</w:t>
            </w:r>
          </w:p>
        </w:tc>
        <w:tc>
          <w:tcPr>
            <w:tcW w:w="3114" w:type="dxa"/>
            <w:vAlign w:val="center"/>
          </w:tcPr>
          <w:p w14:paraId="526076EF" w14:textId="3376F241" w:rsidR="00062BFA" w:rsidRPr="00EB3788" w:rsidRDefault="00AF3B8A"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9 (3.0)</w:t>
            </w:r>
          </w:p>
        </w:tc>
        <w:tc>
          <w:tcPr>
            <w:tcW w:w="2273" w:type="dxa"/>
            <w:vAlign w:val="center"/>
          </w:tcPr>
          <w:p w14:paraId="59BF9D44" w14:textId="35805264" w:rsidR="00062BFA" w:rsidRPr="00EB3788" w:rsidRDefault="0049168B"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5 (3.4)</w:t>
            </w:r>
          </w:p>
        </w:tc>
      </w:tr>
      <w:tr w:rsidR="00062BFA" w:rsidRPr="00EB3788" w14:paraId="6F731187" w14:textId="77777777" w:rsidTr="00F436BD">
        <w:trPr>
          <w:trHeight w:hRule="exact" w:val="288"/>
        </w:trPr>
        <w:tc>
          <w:tcPr>
            <w:tcW w:w="3402" w:type="dxa"/>
            <w:vAlign w:val="center"/>
          </w:tcPr>
          <w:p w14:paraId="73961C48" w14:textId="0B1BF8A6" w:rsidR="00062BFA" w:rsidRPr="00EB3788" w:rsidRDefault="00062BFA"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Headache</w:t>
            </w:r>
          </w:p>
        </w:tc>
        <w:tc>
          <w:tcPr>
            <w:tcW w:w="3114" w:type="dxa"/>
            <w:vAlign w:val="center"/>
          </w:tcPr>
          <w:p w14:paraId="60C7DEAE" w14:textId="4CFA66A2" w:rsidR="00062BFA" w:rsidRPr="00EB3788" w:rsidRDefault="00C3048C"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7 (2.3)</w:t>
            </w:r>
          </w:p>
        </w:tc>
        <w:tc>
          <w:tcPr>
            <w:tcW w:w="2273" w:type="dxa"/>
            <w:vAlign w:val="center"/>
          </w:tcPr>
          <w:p w14:paraId="6EB6A208" w14:textId="2FF96BF3" w:rsidR="00062BFA" w:rsidRPr="00EB3788" w:rsidRDefault="00766A89"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8 (5.4)</w:t>
            </w:r>
          </w:p>
        </w:tc>
      </w:tr>
      <w:tr w:rsidR="00062BFA" w:rsidRPr="00EB3788" w14:paraId="34F8F3A0" w14:textId="77777777" w:rsidTr="00F436BD">
        <w:trPr>
          <w:trHeight w:hRule="exact" w:val="288"/>
        </w:trPr>
        <w:tc>
          <w:tcPr>
            <w:tcW w:w="3402" w:type="dxa"/>
            <w:vAlign w:val="center"/>
          </w:tcPr>
          <w:p w14:paraId="2C74555D" w14:textId="4B1EADE1" w:rsidR="00062BFA" w:rsidRPr="00EB3788" w:rsidRDefault="00062BFA"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Nausea</w:t>
            </w:r>
          </w:p>
        </w:tc>
        <w:tc>
          <w:tcPr>
            <w:tcW w:w="3114" w:type="dxa"/>
            <w:vAlign w:val="center"/>
          </w:tcPr>
          <w:p w14:paraId="05FBAB3A" w14:textId="788DF05A" w:rsidR="00062BFA" w:rsidRPr="00EB3788" w:rsidRDefault="00EF3D16"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7 (2.3)</w:t>
            </w:r>
          </w:p>
        </w:tc>
        <w:tc>
          <w:tcPr>
            <w:tcW w:w="2273" w:type="dxa"/>
            <w:vAlign w:val="center"/>
          </w:tcPr>
          <w:p w14:paraId="22E48CC4" w14:textId="150659E7" w:rsidR="00062BFA" w:rsidRPr="00EB3788" w:rsidRDefault="007B3A5E"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6 (4.1)</w:t>
            </w:r>
          </w:p>
        </w:tc>
      </w:tr>
      <w:tr w:rsidR="00062BFA" w:rsidRPr="00EB3788" w14:paraId="39CEB31B" w14:textId="77777777" w:rsidTr="00F436BD">
        <w:trPr>
          <w:trHeight w:hRule="exact" w:val="288"/>
        </w:trPr>
        <w:tc>
          <w:tcPr>
            <w:tcW w:w="3402" w:type="dxa"/>
            <w:vAlign w:val="center"/>
          </w:tcPr>
          <w:p w14:paraId="4DA71259" w14:textId="730165B4" w:rsidR="00062BFA" w:rsidRPr="00EB3788" w:rsidRDefault="00062BFA"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Cough</w:t>
            </w:r>
          </w:p>
        </w:tc>
        <w:tc>
          <w:tcPr>
            <w:tcW w:w="3114" w:type="dxa"/>
            <w:vAlign w:val="center"/>
          </w:tcPr>
          <w:p w14:paraId="1D77B647" w14:textId="68D64B8D" w:rsidR="00062BFA" w:rsidRPr="00EB3788" w:rsidRDefault="004C268F"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7 (2.3)</w:t>
            </w:r>
          </w:p>
        </w:tc>
        <w:tc>
          <w:tcPr>
            <w:tcW w:w="2273" w:type="dxa"/>
            <w:vAlign w:val="center"/>
          </w:tcPr>
          <w:p w14:paraId="14988262" w14:textId="2CCDD510" w:rsidR="00062BFA" w:rsidRPr="00EB3788" w:rsidRDefault="00E1295F"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 (0.7)</w:t>
            </w:r>
          </w:p>
        </w:tc>
      </w:tr>
      <w:tr w:rsidR="00062BFA" w:rsidRPr="00EB3788" w14:paraId="1C6CEEAA" w14:textId="77777777">
        <w:trPr>
          <w:trHeight w:hRule="exact" w:val="288"/>
        </w:trPr>
        <w:tc>
          <w:tcPr>
            <w:tcW w:w="3402" w:type="dxa"/>
            <w:vAlign w:val="center"/>
          </w:tcPr>
          <w:p w14:paraId="49B9F3EA" w14:textId="17A7A9D9" w:rsidR="00062BFA" w:rsidRPr="00EB3788" w:rsidRDefault="00062BFA"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Vomiting</w:t>
            </w:r>
          </w:p>
        </w:tc>
        <w:tc>
          <w:tcPr>
            <w:tcW w:w="3114" w:type="dxa"/>
            <w:vAlign w:val="center"/>
          </w:tcPr>
          <w:p w14:paraId="7DCF416E" w14:textId="69B5E202" w:rsidR="00062BFA" w:rsidRPr="00EB3788" w:rsidRDefault="00902669"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6 (2.0)</w:t>
            </w:r>
          </w:p>
        </w:tc>
        <w:tc>
          <w:tcPr>
            <w:tcW w:w="2273" w:type="dxa"/>
            <w:vAlign w:val="center"/>
          </w:tcPr>
          <w:p w14:paraId="130E089B" w14:textId="18D07707" w:rsidR="00062BFA" w:rsidRPr="00EB3788" w:rsidRDefault="0067136B"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2 (1.4)</w:t>
            </w:r>
          </w:p>
        </w:tc>
      </w:tr>
      <w:tr w:rsidR="00062BFA" w:rsidRPr="00EB3788" w14:paraId="2D6A054E" w14:textId="77777777" w:rsidTr="00F436BD">
        <w:trPr>
          <w:trHeight w:hRule="exact" w:val="288"/>
        </w:trPr>
        <w:tc>
          <w:tcPr>
            <w:tcW w:w="3402" w:type="dxa"/>
            <w:vAlign w:val="center"/>
          </w:tcPr>
          <w:p w14:paraId="1A0CA6C2" w14:textId="162B9C43" w:rsidR="00062BFA" w:rsidRPr="00EB3788" w:rsidRDefault="00062BFA"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Hypokalaemia</w:t>
            </w:r>
          </w:p>
        </w:tc>
        <w:tc>
          <w:tcPr>
            <w:tcW w:w="3114" w:type="dxa"/>
            <w:vAlign w:val="center"/>
          </w:tcPr>
          <w:p w14:paraId="72662063" w14:textId="324428D0" w:rsidR="00062BFA" w:rsidRPr="00EB3788" w:rsidRDefault="001613AA"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5 (1.7)</w:t>
            </w:r>
          </w:p>
        </w:tc>
        <w:tc>
          <w:tcPr>
            <w:tcW w:w="2273" w:type="dxa"/>
            <w:vAlign w:val="center"/>
          </w:tcPr>
          <w:p w14:paraId="52F573D8" w14:textId="3FFCF738" w:rsidR="00062BFA" w:rsidRPr="00EB3788" w:rsidRDefault="00F33A48"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4 (2.7)</w:t>
            </w:r>
          </w:p>
        </w:tc>
      </w:tr>
      <w:tr w:rsidR="00062BFA" w:rsidRPr="00EB3788" w14:paraId="6539D4B6" w14:textId="77777777">
        <w:trPr>
          <w:trHeight w:hRule="exact" w:val="293"/>
        </w:trPr>
        <w:tc>
          <w:tcPr>
            <w:tcW w:w="3402" w:type="dxa"/>
            <w:vAlign w:val="center"/>
          </w:tcPr>
          <w:p w14:paraId="575A4106" w14:textId="2216732F" w:rsidR="00062BFA" w:rsidRPr="00EB3788" w:rsidRDefault="00062BFA" w:rsidP="00446C37">
            <w:pPr>
              <w:spacing w:before="42" w:after="12"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Renal cyst</w:t>
            </w:r>
          </w:p>
        </w:tc>
        <w:tc>
          <w:tcPr>
            <w:tcW w:w="3114" w:type="dxa"/>
            <w:vAlign w:val="center"/>
          </w:tcPr>
          <w:p w14:paraId="3C7D6C28" w14:textId="06FF0D67" w:rsidR="00062BFA" w:rsidRPr="00EB3788" w:rsidRDefault="006901EC" w:rsidP="00446C37">
            <w:pPr>
              <w:spacing w:before="42" w:after="12"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4 (1.3)</w:t>
            </w:r>
          </w:p>
        </w:tc>
        <w:tc>
          <w:tcPr>
            <w:tcW w:w="2273" w:type="dxa"/>
            <w:vAlign w:val="center"/>
          </w:tcPr>
          <w:p w14:paraId="32AB005E" w14:textId="4742D194" w:rsidR="00062BFA" w:rsidRPr="00EB3788" w:rsidRDefault="00EE03AE" w:rsidP="00446C37">
            <w:pPr>
              <w:spacing w:before="42" w:after="12"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5 (3.4)</w:t>
            </w:r>
          </w:p>
        </w:tc>
      </w:tr>
      <w:tr w:rsidR="00062BFA" w:rsidRPr="00EB3788" w14:paraId="5DA0ACCE" w14:textId="77777777" w:rsidTr="00F436BD">
        <w:trPr>
          <w:trHeight w:hRule="exact" w:val="288"/>
        </w:trPr>
        <w:tc>
          <w:tcPr>
            <w:tcW w:w="3402" w:type="dxa"/>
            <w:vAlign w:val="center"/>
          </w:tcPr>
          <w:p w14:paraId="76A23DA7" w14:textId="524D986E" w:rsidR="00062BFA" w:rsidRPr="00EB3788" w:rsidRDefault="00062BFA" w:rsidP="00446C37">
            <w:pPr>
              <w:spacing w:before="38" w:after="21"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Insomnia</w:t>
            </w:r>
          </w:p>
        </w:tc>
        <w:tc>
          <w:tcPr>
            <w:tcW w:w="3114" w:type="dxa"/>
            <w:vAlign w:val="center"/>
          </w:tcPr>
          <w:p w14:paraId="49243351" w14:textId="447ECFDF" w:rsidR="00062BFA" w:rsidRPr="00EB3788" w:rsidRDefault="00CC70DE" w:rsidP="00446C37">
            <w:pPr>
              <w:spacing w:before="38" w:after="21"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4 (1.3)</w:t>
            </w:r>
          </w:p>
        </w:tc>
        <w:tc>
          <w:tcPr>
            <w:tcW w:w="2273" w:type="dxa"/>
            <w:vAlign w:val="center"/>
          </w:tcPr>
          <w:p w14:paraId="0CD189D0" w14:textId="354B2001" w:rsidR="00062BFA" w:rsidRPr="00EB3788" w:rsidRDefault="00886FAC" w:rsidP="00446C37">
            <w:pPr>
              <w:spacing w:before="38" w:after="21"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3 (2.0)</w:t>
            </w:r>
          </w:p>
        </w:tc>
      </w:tr>
      <w:tr w:rsidR="00062BFA" w:rsidRPr="00EB3788" w14:paraId="30426EDA" w14:textId="77777777">
        <w:trPr>
          <w:trHeight w:hRule="exact" w:val="273"/>
        </w:trPr>
        <w:tc>
          <w:tcPr>
            <w:tcW w:w="3402" w:type="dxa"/>
            <w:vAlign w:val="center"/>
          </w:tcPr>
          <w:p w14:paraId="7812362C" w14:textId="05DDA34F" w:rsidR="00062BFA" w:rsidRPr="00EB3788" w:rsidRDefault="00062BFA" w:rsidP="00446C37">
            <w:pPr>
              <w:spacing w:after="27"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Infusion site erythema</w:t>
            </w:r>
          </w:p>
        </w:tc>
        <w:tc>
          <w:tcPr>
            <w:tcW w:w="3114" w:type="dxa"/>
            <w:vAlign w:val="center"/>
          </w:tcPr>
          <w:p w14:paraId="6DB51FEE" w14:textId="629A0BDC" w:rsidR="00062BFA" w:rsidRPr="00EB3788" w:rsidRDefault="006807CE" w:rsidP="00446C37">
            <w:pPr>
              <w:spacing w:after="27"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3 (1.0)</w:t>
            </w:r>
          </w:p>
        </w:tc>
        <w:tc>
          <w:tcPr>
            <w:tcW w:w="2273" w:type="dxa"/>
            <w:vAlign w:val="center"/>
          </w:tcPr>
          <w:p w14:paraId="5896E7AB" w14:textId="385A8F00" w:rsidR="00062BFA" w:rsidRPr="00EB3788" w:rsidRDefault="00753C83" w:rsidP="00446C37">
            <w:pPr>
              <w:spacing w:after="27"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3 (2.0)</w:t>
            </w:r>
          </w:p>
        </w:tc>
      </w:tr>
      <w:tr w:rsidR="00062BFA" w:rsidRPr="00EB3788" w14:paraId="51D9A21C" w14:textId="77777777">
        <w:trPr>
          <w:trHeight w:hRule="exact" w:val="293"/>
        </w:trPr>
        <w:tc>
          <w:tcPr>
            <w:tcW w:w="3402" w:type="dxa"/>
            <w:vAlign w:val="center"/>
          </w:tcPr>
          <w:p w14:paraId="7FA371F7" w14:textId="22CEBE08" w:rsidR="00062BFA" w:rsidRPr="00EB3788" w:rsidRDefault="00062BFA" w:rsidP="00446C37">
            <w:pPr>
              <w:spacing w:before="42" w:after="17"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Abdominal pain upper</w:t>
            </w:r>
          </w:p>
        </w:tc>
        <w:tc>
          <w:tcPr>
            <w:tcW w:w="3114" w:type="dxa"/>
            <w:vAlign w:val="center"/>
          </w:tcPr>
          <w:p w14:paraId="3C580997" w14:textId="47E17260" w:rsidR="00062BFA" w:rsidRPr="00EB3788" w:rsidRDefault="006C47C5" w:rsidP="00446C37">
            <w:pPr>
              <w:spacing w:before="42" w:after="17"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2 (0.7)</w:t>
            </w:r>
          </w:p>
        </w:tc>
        <w:tc>
          <w:tcPr>
            <w:tcW w:w="2273" w:type="dxa"/>
            <w:vAlign w:val="center"/>
          </w:tcPr>
          <w:p w14:paraId="1874BF3F" w14:textId="70BADAE4" w:rsidR="00062BFA" w:rsidRPr="00EB3788" w:rsidRDefault="000F4A9D" w:rsidP="00446C37">
            <w:pPr>
              <w:spacing w:before="42" w:after="17"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5 (3.4)</w:t>
            </w:r>
          </w:p>
        </w:tc>
      </w:tr>
      <w:tr w:rsidR="00062BFA" w:rsidRPr="00EB3788" w14:paraId="08CE935C" w14:textId="77777777">
        <w:trPr>
          <w:trHeight w:hRule="exact" w:val="255"/>
        </w:trPr>
        <w:tc>
          <w:tcPr>
            <w:tcW w:w="3402" w:type="dxa"/>
            <w:vAlign w:val="center"/>
          </w:tcPr>
          <w:p w14:paraId="252CFE4A" w14:textId="705CF273" w:rsidR="00062BFA" w:rsidRPr="00EB3788" w:rsidRDefault="00062BFA"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color w:val="000000"/>
                <w:sz w:val="18"/>
                <w:szCs w:val="18"/>
              </w:rPr>
              <w:t>Cardiac failure</w:t>
            </w:r>
          </w:p>
        </w:tc>
        <w:tc>
          <w:tcPr>
            <w:tcW w:w="3114" w:type="dxa"/>
            <w:vAlign w:val="center"/>
          </w:tcPr>
          <w:p w14:paraId="4A2428DC" w14:textId="27DA81F5" w:rsidR="00062BFA" w:rsidRPr="00EB3788" w:rsidRDefault="00D01D8C"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bCs/>
                <w:color w:val="000000"/>
                <w:sz w:val="18"/>
                <w:szCs w:val="18"/>
              </w:rPr>
              <w:t>2 (0.7)</w:t>
            </w:r>
          </w:p>
        </w:tc>
        <w:tc>
          <w:tcPr>
            <w:tcW w:w="2273" w:type="dxa"/>
            <w:vAlign w:val="center"/>
          </w:tcPr>
          <w:p w14:paraId="684060CD" w14:textId="22C964F3" w:rsidR="00062BFA" w:rsidRPr="00EB3788" w:rsidRDefault="00593600"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bCs/>
                <w:color w:val="000000"/>
                <w:sz w:val="18"/>
                <w:szCs w:val="18"/>
              </w:rPr>
              <w:t>3 (2.0)</w:t>
            </w:r>
          </w:p>
        </w:tc>
      </w:tr>
      <w:tr w:rsidR="00062BFA" w:rsidRPr="00EB3788" w14:paraId="3DF6938E" w14:textId="77777777">
        <w:trPr>
          <w:trHeight w:hRule="exact" w:val="255"/>
        </w:trPr>
        <w:tc>
          <w:tcPr>
            <w:tcW w:w="3402" w:type="dxa"/>
            <w:vAlign w:val="center"/>
          </w:tcPr>
          <w:p w14:paraId="77F7DFB3" w14:textId="38CE12CC" w:rsidR="00062BFA" w:rsidRPr="00EB3788" w:rsidRDefault="00062BFA"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color w:val="000000"/>
                <w:sz w:val="18"/>
                <w:szCs w:val="18"/>
              </w:rPr>
              <w:t>Clostridium difficile colitis</w:t>
            </w:r>
          </w:p>
        </w:tc>
        <w:tc>
          <w:tcPr>
            <w:tcW w:w="3114" w:type="dxa"/>
            <w:vAlign w:val="center"/>
          </w:tcPr>
          <w:p w14:paraId="7B4DC777" w14:textId="67A844DF" w:rsidR="00062BFA" w:rsidRPr="00EB3788" w:rsidRDefault="00B35E22"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bCs/>
                <w:color w:val="000000"/>
                <w:sz w:val="18"/>
                <w:szCs w:val="18"/>
              </w:rPr>
              <w:t>1 (0.3)</w:t>
            </w:r>
          </w:p>
        </w:tc>
        <w:tc>
          <w:tcPr>
            <w:tcW w:w="2273" w:type="dxa"/>
            <w:vAlign w:val="center"/>
          </w:tcPr>
          <w:p w14:paraId="71EA20BB" w14:textId="2534AD09" w:rsidR="00062BFA" w:rsidRPr="00EB3788" w:rsidRDefault="0062371D"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bCs/>
                <w:color w:val="000000"/>
                <w:sz w:val="18"/>
                <w:szCs w:val="18"/>
              </w:rPr>
              <w:t>4 (2.7)</w:t>
            </w:r>
          </w:p>
        </w:tc>
      </w:tr>
      <w:tr w:rsidR="00387AAF" w:rsidRPr="00EB3788" w14:paraId="74C35220" w14:textId="77777777">
        <w:trPr>
          <w:trHeight w:hRule="exact" w:val="255"/>
        </w:trPr>
        <w:tc>
          <w:tcPr>
            <w:tcW w:w="3402" w:type="dxa"/>
            <w:vAlign w:val="center"/>
          </w:tcPr>
          <w:p w14:paraId="40088763" w14:textId="2C225802" w:rsidR="00387AAF" w:rsidRPr="00EB3788" w:rsidRDefault="00387AAF" w:rsidP="00446C37">
            <w:pPr>
              <w:spacing w:line="230"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Vaginal infection</w:t>
            </w:r>
          </w:p>
        </w:tc>
        <w:tc>
          <w:tcPr>
            <w:tcW w:w="3114" w:type="dxa"/>
            <w:vAlign w:val="center"/>
          </w:tcPr>
          <w:p w14:paraId="223EB44A" w14:textId="58D71EF6" w:rsidR="00387AAF" w:rsidRPr="00EB3788" w:rsidRDefault="00B950BB"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bCs/>
                <w:color w:val="000000"/>
                <w:sz w:val="18"/>
                <w:szCs w:val="18"/>
              </w:rPr>
              <w:t>1 (0.3)</w:t>
            </w:r>
          </w:p>
        </w:tc>
        <w:tc>
          <w:tcPr>
            <w:tcW w:w="2273" w:type="dxa"/>
            <w:vAlign w:val="center"/>
          </w:tcPr>
          <w:p w14:paraId="5A972DC2" w14:textId="639A25DE" w:rsidR="00387AAF" w:rsidRPr="00EB3788" w:rsidRDefault="00C56B67"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bCs/>
                <w:color w:val="000000"/>
                <w:sz w:val="18"/>
                <w:szCs w:val="18"/>
              </w:rPr>
              <w:t>3 (2.0)</w:t>
            </w:r>
          </w:p>
        </w:tc>
      </w:tr>
    </w:tbl>
    <w:p w14:paraId="4136F5D5" w14:textId="2B53D1B2" w:rsidR="00E86C4D" w:rsidRPr="00EB3788" w:rsidRDefault="528D482C" w:rsidP="00446C37">
      <w:pPr>
        <w:pStyle w:val="Caption"/>
        <w:keepNext/>
        <w:spacing w:before="240" w:line="276" w:lineRule="auto"/>
        <w:rPr>
          <w:rFonts w:asciiTheme="majorHAnsi" w:hAnsiTheme="majorHAnsi"/>
          <w:b w:val="0"/>
          <w:i/>
        </w:rPr>
      </w:pPr>
      <w:bookmarkStart w:id="16" w:name="_Ref171430057"/>
      <w:bookmarkStart w:id="17" w:name="_Ref179205598"/>
      <w:bookmarkEnd w:id="15"/>
      <w:r w:rsidRPr="00EB3788">
        <w:rPr>
          <w:rFonts w:asciiTheme="majorHAnsi" w:hAnsiTheme="majorHAnsi"/>
        </w:rPr>
        <w:t xml:space="preserve">Table </w:t>
      </w:r>
      <w:r w:rsidR="00B53B79" w:rsidRPr="00EB3788">
        <w:rPr>
          <w:rFonts w:asciiTheme="majorHAnsi" w:hAnsiTheme="majorHAnsi"/>
        </w:rPr>
        <w:fldChar w:fldCharType="begin"/>
      </w:r>
      <w:r w:rsidR="00B53B79" w:rsidRPr="00EB3788">
        <w:rPr>
          <w:rFonts w:asciiTheme="majorHAnsi" w:hAnsiTheme="majorHAnsi"/>
        </w:rPr>
        <w:instrText xml:space="preserve"> SEQ Table \* ARABIC </w:instrText>
      </w:r>
      <w:r w:rsidR="00B53B79" w:rsidRPr="00EB3788">
        <w:rPr>
          <w:rFonts w:asciiTheme="majorHAnsi" w:hAnsiTheme="majorHAnsi"/>
        </w:rPr>
        <w:fldChar w:fldCharType="separate"/>
      </w:r>
      <w:r w:rsidR="001E66F2" w:rsidRPr="004664E6">
        <w:rPr>
          <w:rFonts w:asciiTheme="majorHAnsi" w:hAnsiTheme="majorHAnsi"/>
        </w:rPr>
        <w:t>6</w:t>
      </w:r>
      <w:r w:rsidR="00B53B79" w:rsidRPr="00EB3788">
        <w:rPr>
          <w:rFonts w:asciiTheme="majorHAnsi" w:hAnsiTheme="majorHAnsi"/>
        </w:rPr>
        <w:fldChar w:fldCharType="end"/>
      </w:r>
      <w:bookmarkEnd w:id="16"/>
      <w:bookmarkEnd w:id="17"/>
      <w:r w:rsidRPr="00EB3788">
        <w:rPr>
          <w:rFonts w:asciiTheme="majorHAnsi" w:hAnsiTheme="majorHAnsi"/>
        </w:rPr>
        <w:t xml:space="preserve"> Adverse </w:t>
      </w:r>
      <w:r w:rsidR="0070551A" w:rsidRPr="00EB3788">
        <w:rPr>
          <w:rFonts w:asciiTheme="majorHAnsi" w:hAnsiTheme="majorHAnsi"/>
        </w:rPr>
        <w:t>events occurring in ≥ 5% of subjects in either treatment group</w:t>
      </w:r>
      <w:r w:rsidRPr="00EB3788">
        <w:rPr>
          <w:rFonts w:asciiTheme="majorHAnsi" w:hAnsiTheme="majorHAnsi"/>
        </w:rPr>
        <w:t xml:space="preserve"> (APEKS-NP)</w:t>
      </w:r>
    </w:p>
    <w:tbl>
      <w:tblPr>
        <w:tblW w:w="0" w:type="auto"/>
        <w:tblLayout w:type="fixed"/>
        <w:tblCellMar>
          <w:left w:w="0" w:type="dxa"/>
          <w:right w:w="0" w:type="dxa"/>
        </w:tblCellMar>
        <w:tblLook w:val="04A0" w:firstRow="1" w:lastRow="0" w:firstColumn="1" w:lastColumn="0" w:noHBand="0" w:noVBand="1"/>
      </w:tblPr>
      <w:tblGrid>
        <w:gridCol w:w="3402"/>
        <w:gridCol w:w="3114"/>
        <w:gridCol w:w="2273"/>
      </w:tblGrid>
      <w:tr w:rsidR="00E86C4D" w:rsidRPr="00EB3788" w14:paraId="2AB150DD" w14:textId="77777777" w:rsidTr="2D01C3BC">
        <w:trPr>
          <w:trHeight w:hRule="exact" w:val="292"/>
          <w:tblHeader/>
        </w:trPr>
        <w:tc>
          <w:tcPr>
            <w:tcW w:w="3402" w:type="dxa"/>
            <w:tcBorders>
              <w:top w:val="single" w:sz="4" w:space="0" w:color="auto"/>
            </w:tcBorders>
          </w:tcPr>
          <w:p w14:paraId="01150712" w14:textId="7080680D" w:rsidR="00E86C4D" w:rsidRPr="00EB3788" w:rsidRDefault="00E86C4D" w:rsidP="00446C37">
            <w:pPr>
              <w:textAlignment w:val="baseline"/>
              <w:rPr>
                <w:rFonts w:asciiTheme="majorHAnsi" w:eastAsia="Times New Roman" w:hAnsiTheme="majorHAnsi"/>
                <w:color w:val="000000"/>
                <w:sz w:val="18"/>
                <w:szCs w:val="18"/>
              </w:rPr>
            </w:pPr>
          </w:p>
        </w:tc>
        <w:tc>
          <w:tcPr>
            <w:tcW w:w="3114" w:type="dxa"/>
            <w:tcBorders>
              <w:top w:val="single" w:sz="4" w:space="0" w:color="auto"/>
            </w:tcBorders>
            <w:vAlign w:val="center"/>
          </w:tcPr>
          <w:p w14:paraId="1EBCF86F" w14:textId="0B0F007B" w:rsidR="00E86C4D" w:rsidRPr="00EB3788" w:rsidRDefault="00031857" w:rsidP="00446C37">
            <w:pPr>
              <w:spacing w:before="62" w:line="225" w:lineRule="exact"/>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Fetroja (c</w:t>
            </w:r>
            <w:r w:rsidR="00E86C4D" w:rsidRPr="00EB3788">
              <w:rPr>
                <w:rFonts w:asciiTheme="majorHAnsi" w:eastAsia="Times New Roman" w:hAnsiTheme="majorHAnsi"/>
                <w:b/>
                <w:color w:val="000000"/>
                <w:sz w:val="18"/>
                <w:szCs w:val="18"/>
              </w:rPr>
              <w:t>efiderocol</w:t>
            </w:r>
            <w:r w:rsidRPr="00EB3788">
              <w:rPr>
                <w:rFonts w:asciiTheme="majorHAnsi" w:eastAsia="Times New Roman" w:hAnsiTheme="majorHAnsi"/>
                <w:b/>
                <w:color w:val="000000"/>
                <w:sz w:val="18"/>
                <w:szCs w:val="18"/>
              </w:rPr>
              <w:t>)</w:t>
            </w:r>
          </w:p>
        </w:tc>
        <w:tc>
          <w:tcPr>
            <w:tcW w:w="2273" w:type="dxa"/>
            <w:tcBorders>
              <w:top w:val="single" w:sz="4" w:space="0" w:color="auto"/>
            </w:tcBorders>
            <w:vAlign w:val="center"/>
          </w:tcPr>
          <w:p w14:paraId="52938B52" w14:textId="77777777" w:rsidR="00E86C4D" w:rsidRPr="00EB3788" w:rsidRDefault="00E86C4D" w:rsidP="00446C37">
            <w:pPr>
              <w:spacing w:before="62" w:line="225" w:lineRule="exact"/>
              <w:ind w:left="252"/>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Meropenem</w:t>
            </w:r>
          </w:p>
        </w:tc>
      </w:tr>
      <w:tr w:rsidR="00E86C4D" w:rsidRPr="00EB3788" w14:paraId="7AADF83F" w14:textId="77777777" w:rsidTr="2D01C3BC">
        <w:trPr>
          <w:trHeight w:hRule="exact" w:val="231"/>
          <w:tblHeader/>
        </w:trPr>
        <w:tc>
          <w:tcPr>
            <w:tcW w:w="3402" w:type="dxa"/>
            <w:vAlign w:val="center"/>
          </w:tcPr>
          <w:p w14:paraId="6F7806C6" w14:textId="5CA2088F" w:rsidR="00E86C4D" w:rsidRPr="00EB3788" w:rsidRDefault="00E86C4D" w:rsidP="00446C37">
            <w:pPr>
              <w:spacing w:line="225" w:lineRule="exact"/>
              <w:ind w:left="29"/>
              <w:textAlignment w:val="baseline"/>
              <w:rPr>
                <w:rFonts w:asciiTheme="majorHAnsi" w:eastAsia="Times New Roman" w:hAnsiTheme="majorHAnsi"/>
                <w:b/>
                <w:color w:val="000000"/>
                <w:sz w:val="18"/>
                <w:szCs w:val="18"/>
              </w:rPr>
            </w:pPr>
          </w:p>
        </w:tc>
        <w:tc>
          <w:tcPr>
            <w:tcW w:w="3114" w:type="dxa"/>
            <w:vAlign w:val="center"/>
          </w:tcPr>
          <w:p w14:paraId="6AA8D320" w14:textId="77777777" w:rsidR="00E86C4D" w:rsidRPr="00EB3788" w:rsidRDefault="00E86C4D" w:rsidP="00446C37">
            <w:pPr>
              <w:spacing w:line="225" w:lineRule="exact"/>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(N = 148)</w:t>
            </w:r>
          </w:p>
        </w:tc>
        <w:tc>
          <w:tcPr>
            <w:tcW w:w="2273" w:type="dxa"/>
            <w:vAlign w:val="center"/>
          </w:tcPr>
          <w:p w14:paraId="69B85827" w14:textId="77777777" w:rsidR="00E86C4D" w:rsidRPr="00EB3788" w:rsidRDefault="00E86C4D" w:rsidP="00446C37">
            <w:pPr>
              <w:spacing w:line="225" w:lineRule="exact"/>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(N = 150)</w:t>
            </w:r>
          </w:p>
        </w:tc>
      </w:tr>
      <w:tr w:rsidR="00E86C4D" w:rsidRPr="00EB3788" w14:paraId="5BFAF610" w14:textId="77777777" w:rsidTr="2D01C3BC">
        <w:trPr>
          <w:trHeight w:hRule="exact" w:val="240"/>
          <w:tblHeader/>
        </w:trPr>
        <w:tc>
          <w:tcPr>
            <w:tcW w:w="3402" w:type="dxa"/>
            <w:tcBorders>
              <w:bottom w:val="single" w:sz="4" w:space="0" w:color="auto"/>
            </w:tcBorders>
            <w:vAlign w:val="center"/>
          </w:tcPr>
          <w:p w14:paraId="7F19918D" w14:textId="77777777" w:rsidR="00E86C4D" w:rsidRPr="00EB3788" w:rsidRDefault="00E86C4D" w:rsidP="00446C37">
            <w:pPr>
              <w:spacing w:after="2" w:line="230" w:lineRule="exact"/>
              <w:ind w:left="119"/>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Preferred Term</w:t>
            </w:r>
          </w:p>
        </w:tc>
        <w:tc>
          <w:tcPr>
            <w:tcW w:w="3114" w:type="dxa"/>
            <w:tcBorders>
              <w:bottom w:val="single" w:sz="4" w:space="0" w:color="auto"/>
            </w:tcBorders>
            <w:vAlign w:val="center"/>
          </w:tcPr>
          <w:p w14:paraId="12F1DA6B" w14:textId="77777777" w:rsidR="00E86C4D" w:rsidRPr="00EB3788" w:rsidRDefault="00E86C4D" w:rsidP="00446C37">
            <w:pPr>
              <w:spacing w:after="2" w:line="230" w:lineRule="exact"/>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n (%)</w:t>
            </w:r>
          </w:p>
        </w:tc>
        <w:tc>
          <w:tcPr>
            <w:tcW w:w="2273" w:type="dxa"/>
            <w:tcBorders>
              <w:bottom w:val="single" w:sz="4" w:space="0" w:color="auto"/>
            </w:tcBorders>
            <w:vAlign w:val="center"/>
          </w:tcPr>
          <w:p w14:paraId="6354E8A7" w14:textId="77777777" w:rsidR="00E86C4D" w:rsidRPr="00EB3788" w:rsidRDefault="00E86C4D" w:rsidP="00446C37">
            <w:pPr>
              <w:spacing w:after="2" w:line="230" w:lineRule="exact"/>
              <w:textAlignment w:val="baseline"/>
              <w:rPr>
                <w:rFonts w:asciiTheme="majorHAnsi" w:eastAsia="Times New Roman" w:hAnsiTheme="majorHAnsi"/>
                <w:b/>
                <w:color w:val="000000"/>
                <w:sz w:val="18"/>
                <w:szCs w:val="18"/>
              </w:rPr>
            </w:pPr>
            <w:r w:rsidRPr="00EB3788">
              <w:rPr>
                <w:rFonts w:asciiTheme="majorHAnsi" w:eastAsia="Times New Roman" w:hAnsiTheme="majorHAnsi"/>
                <w:b/>
                <w:color w:val="000000"/>
                <w:sz w:val="18"/>
                <w:szCs w:val="18"/>
              </w:rPr>
              <w:t>n (%)</w:t>
            </w:r>
          </w:p>
        </w:tc>
      </w:tr>
      <w:tr w:rsidR="00E86C4D" w:rsidRPr="00EB3788" w14:paraId="5A4DDB8D" w14:textId="77777777" w:rsidTr="2D01C3BC">
        <w:trPr>
          <w:trHeight w:hRule="exact" w:val="326"/>
        </w:trPr>
        <w:tc>
          <w:tcPr>
            <w:tcW w:w="3402" w:type="dxa"/>
            <w:tcBorders>
              <w:top w:val="single" w:sz="4" w:space="0" w:color="auto"/>
            </w:tcBorders>
            <w:vAlign w:val="center"/>
          </w:tcPr>
          <w:p w14:paraId="45BE9BEE" w14:textId="7EA5ED76" w:rsidR="00E86C4D" w:rsidRPr="00EB3788" w:rsidRDefault="00E86C4D" w:rsidP="00446C37">
            <w:pPr>
              <w:spacing w:before="76" w:after="16" w:line="224" w:lineRule="exact"/>
              <w:ind w:left="29"/>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themeColor="text1"/>
                <w:sz w:val="18"/>
                <w:szCs w:val="18"/>
              </w:rPr>
              <w:t>Subjects with AEs</w:t>
            </w:r>
          </w:p>
        </w:tc>
        <w:tc>
          <w:tcPr>
            <w:tcW w:w="3114" w:type="dxa"/>
            <w:tcBorders>
              <w:top w:val="single" w:sz="4" w:space="0" w:color="auto"/>
            </w:tcBorders>
            <w:vAlign w:val="center"/>
          </w:tcPr>
          <w:p w14:paraId="3C70C451" w14:textId="77777777" w:rsidR="00E86C4D" w:rsidRPr="00EB3788" w:rsidRDefault="00E86C4D"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130 (87.8)</w:t>
            </w:r>
          </w:p>
        </w:tc>
        <w:tc>
          <w:tcPr>
            <w:tcW w:w="2273" w:type="dxa"/>
            <w:tcBorders>
              <w:top w:val="single" w:sz="4" w:space="0" w:color="auto"/>
            </w:tcBorders>
            <w:vAlign w:val="center"/>
          </w:tcPr>
          <w:p w14:paraId="4D281C82" w14:textId="77777777" w:rsidR="00E86C4D" w:rsidRPr="00EB3788" w:rsidRDefault="00E86C4D"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129 (86.0)</w:t>
            </w:r>
          </w:p>
        </w:tc>
      </w:tr>
      <w:tr w:rsidR="00991466" w:rsidRPr="00EB3788" w14:paraId="713DC42F" w14:textId="77777777" w:rsidTr="00F436BD">
        <w:trPr>
          <w:trHeight w:hRule="exact" w:val="326"/>
        </w:trPr>
        <w:tc>
          <w:tcPr>
            <w:tcW w:w="3402" w:type="dxa"/>
            <w:vAlign w:val="center"/>
          </w:tcPr>
          <w:p w14:paraId="377B7765" w14:textId="11F11F89" w:rsidR="00991466" w:rsidRPr="00EB3788" w:rsidRDefault="00991466" w:rsidP="00446C37">
            <w:pPr>
              <w:spacing w:before="76" w:after="16" w:line="224" w:lineRule="exact"/>
              <w:ind w:left="29"/>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Urinary tract infection</w:t>
            </w:r>
          </w:p>
        </w:tc>
        <w:tc>
          <w:tcPr>
            <w:tcW w:w="3114" w:type="dxa"/>
            <w:vAlign w:val="center"/>
          </w:tcPr>
          <w:p w14:paraId="16A0367C" w14:textId="6A5387D5" w:rsidR="00991466" w:rsidRPr="00EB3788" w:rsidRDefault="00991466"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23 (15.5)</w:t>
            </w:r>
          </w:p>
        </w:tc>
        <w:tc>
          <w:tcPr>
            <w:tcW w:w="2273" w:type="dxa"/>
            <w:vAlign w:val="center"/>
          </w:tcPr>
          <w:p w14:paraId="1B56EFE4" w14:textId="218EF802" w:rsidR="00991466" w:rsidRPr="00EB3788" w:rsidRDefault="00991466"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16 (10.7)</w:t>
            </w:r>
          </w:p>
        </w:tc>
      </w:tr>
      <w:tr w:rsidR="007770DD" w:rsidRPr="00EB3788" w14:paraId="16ABCDCE" w14:textId="77777777" w:rsidTr="2D01C3BC">
        <w:trPr>
          <w:trHeight w:hRule="exact" w:val="326"/>
        </w:trPr>
        <w:tc>
          <w:tcPr>
            <w:tcW w:w="3402" w:type="dxa"/>
            <w:vAlign w:val="center"/>
          </w:tcPr>
          <w:p w14:paraId="718ADA9E" w14:textId="5406C525" w:rsidR="007770DD" w:rsidRPr="00EB3788" w:rsidRDefault="007770DD"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Hypokalaemia</w:t>
            </w:r>
          </w:p>
        </w:tc>
        <w:tc>
          <w:tcPr>
            <w:tcW w:w="3114" w:type="dxa"/>
            <w:vAlign w:val="center"/>
          </w:tcPr>
          <w:p w14:paraId="76F1C0CD" w14:textId="22C60DE3" w:rsidR="007770DD" w:rsidRPr="00EB3788" w:rsidRDefault="007770DD"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16 (10.8)</w:t>
            </w:r>
          </w:p>
        </w:tc>
        <w:tc>
          <w:tcPr>
            <w:tcW w:w="2273" w:type="dxa"/>
            <w:vAlign w:val="center"/>
          </w:tcPr>
          <w:p w14:paraId="337E7DC5" w14:textId="230F7118" w:rsidR="007770DD" w:rsidRPr="00EB3788" w:rsidRDefault="007770DD"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23 (15.3)</w:t>
            </w:r>
          </w:p>
        </w:tc>
      </w:tr>
      <w:tr w:rsidR="00301915" w:rsidRPr="00EB3788" w14:paraId="4C16FFFF" w14:textId="77777777" w:rsidTr="00F436BD">
        <w:trPr>
          <w:trHeight w:hRule="exact" w:val="326"/>
        </w:trPr>
        <w:tc>
          <w:tcPr>
            <w:tcW w:w="3402" w:type="dxa"/>
            <w:vAlign w:val="center"/>
          </w:tcPr>
          <w:p w14:paraId="4C007E2A" w14:textId="4A65F233" w:rsidR="00301915" w:rsidRPr="00EB3788" w:rsidRDefault="00301915"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Diarrhoea</w:t>
            </w:r>
          </w:p>
        </w:tc>
        <w:tc>
          <w:tcPr>
            <w:tcW w:w="3114" w:type="dxa"/>
            <w:vAlign w:val="center"/>
          </w:tcPr>
          <w:p w14:paraId="49F50000" w14:textId="44095E67" w:rsidR="00301915" w:rsidRPr="00EB3788" w:rsidRDefault="00301915"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13 (8.8)</w:t>
            </w:r>
          </w:p>
        </w:tc>
        <w:tc>
          <w:tcPr>
            <w:tcW w:w="2273" w:type="dxa"/>
            <w:vAlign w:val="center"/>
          </w:tcPr>
          <w:p w14:paraId="570DEBAC" w14:textId="36776106" w:rsidR="00301915" w:rsidRPr="00EB3788" w:rsidRDefault="00301915" w:rsidP="00446C37">
            <w:pPr>
              <w:spacing w:before="76"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13 (8.7)</w:t>
            </w:r>
          </w:p>
        </w:tc>
      </w:tr>
      <w:tr w:rsidR="00301915" w:rsidRPr="00EB3788" w14:paraId="46983DCD" w14:textId="77777777" w:rsidTr="2D01C3BC">
        <w:trPr>
          <w:trHeight w:hRule="exact" w:val="288"/>
        </w:trPr>
        <w:tc>
          <w:tcPr>
            <w:tcW w:w="3402" w:type="dxa"/>
            <w:vAlign w:val="center"/>
          </w:tcPr>
          <w:p w14:paraId="649B1AAC" w14:textId="1BFAF631" w:rsidR="00301915" w:rsidRPr="00EB3788" w:rsidRDefault="00301915"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Anaemia</w:t>
            </w:r>
          </w:p>
        </w:tc>
        <w:tc>
          <w:tcPr>
            <w:tcW w:w="3114" w:type="dxa"/>
            <w:vAlign w:val="center"/>
          </w:tcPr>
          <w:p w14:paraId="2D5B11CD" w14:textId="77777777" w:rsidR="00301915" w:rsidRPr="00EB3788" w:rsidRDefault="00301915"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12 (8.1)</w:t>
            </w:r>
          </w:p>
        </w:tc>
        <w:tc>
          <w:tcPr>
            <w:tcW w:w="2273" w:type="dxa"/>
            <w:vAlign w:val="center"/>
          </w:tcPr>
          <w:p w14:paraId="19C6ACBB" w14:textId="77777777" w:rsidR="00301915" w:rsidRPr="00EB3788" w:rsidRDefault="00301915"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12 (8.0)</w:t>
            </w:r>
          </w:p>
        </w:tc>
      </w:tr>
      <w:tr w:rsidR="00DA3DC4" w:rsidRPr="00EB3788" w14:paraId="22F9AF55" w14:textId="77777777" w:rsidTr="00F436BD">
        <w:trPr>
          <w:trHeight w:hRule="exact" w:val="288"/>
        </w:trPr>
        <w:tc>
          <w:tcPr>
            <w:tcW w:w="3402" w:type="dxa"/>
            <w:vAlign w:val="center"/>
          </w:tcPr>
          <w:p w14:paraId="335238A3" w14:textId="421CBB10" w:rsidR="75B3DB24" w:rsidRPr="004664E6" w:rsidRDefault="07D4FA1B" w:rsidP="00446C37">
            <w:pPr>
              <w:spacing w:after="0"/>
              <w:rPr>
                <w:rFonts w:ascii="Times New Roman" w:eastAsia="Times New Roman" w:hAnsi="Times New Roman" w:cs="Times New Roman"/>
                <w:sz w:val="18"/>
                <w:szCs w:val="18"/>
              </w:rPr>
            </w:pPr>
            <w:r w:rsidRPr="004664E6">
              <w:rPr>
                <w:rFonts w:ascii="Times New Roman" w:eastAsia="Times New Roman" w:hAnsi="Times New Roman" w:cs="Times New Roman"/>
                <w:sz w:val="18"/>
                <w:szCs w:val="18"/>
              </w:rPr>
              <w:t>Pleural effusion</w:t>
            </w:r>
          </w:p>
        </w:tc>
        <w:tc>
          <w:tcPr>
            <w:tcW w:w="3114" w:type="dxa"/>
            <w:vAlign w:val="center"/>
          </w:tcPr>
          <w:p w14:paraId="5E73F028" w14:textId="270225D6" w:rsidR="75B3DB24" w:rsidRPr="004664E6" w:rsidRDefault="75B3DB24" w:rsidP="00446C37">
            <w:pPr>
              <w:spacing w:after="0"/>
              <w:rPr>
                <w:rFonts w:ascii="Times New Roman" w:eastAsia="Times New Roman" w:hAnsi="Times New Roman" w:cs="Times New Roman"/>
                <w:sz w:val="18"/>
                <w:szCs w:val="18"/>
              </w:rPr>
            </w:pPr>
            <w:r w:rsidRPr="004664E6">
              <w:rPr>
                <w:rFonts w:ascii="Times New Roman" w:eastAsia="Times New Roman" w:hAnsi="Times New Roman" w:cs="Times New Roman"/>
                <w:sz w:val="18"/>
                <w:szCs w:val="18"/>
              </w:rPr>
              <w:t>10 (6.8)</w:t>
            </w:r>
          </w:p>
        </w:tc>
        <w:tc>
          <w:tcPr>
            <w:tcW w:w="2273" w:type="dxa"/>
            <w:vAlign w:val="center"/>
          </w:tcPr>
          <w:p w14:paraId="6B6B653D" w14:textId="61612F47" w:rsidR="75B3DB24" w:rsidRPr="004664E6" w:rsidRDefault="75B3DB24" w:rsidP="00446C37">
            <w:pPr>
              <w:spacing w:after="0"/>
              <w:rPr>
                <w:rFonts w:ascii="Times New Roman" w:eastAsia="Times New Roman" w:hAnsi="Times New Roman" w:cs="Times New Roman"/>
                <w:sz w:val="18"/>
                <w:szCs w:val="18"/>
              </w:rPr>
            </w:pPr>
            <w:r w:rsidRPr="004664E6">
              <w:rPr>
                <w:rFonts w:ascii="Times New Roman" w:eastAsia="Times New Roman" w:hAnsi="Times New Roman" w:cs="Times New Roman"/>
                <w:sz w:val="18"/>
                <w:szCs w:val="18"/>
              </w:rPr>
              <w:t>6 (4.0)</w:t>
            </w:r>
          </w:p>
        </w:tc>
      </w:tr>
      <w:tr w:rsidR="008C6056" w:rsidRPr="00EB3788" w14:paraId="7913A8A5" w14:textId="77777777" w:rsidTr="2D01C3BC">
        <w:trPr>
          <w:trHeight w:hRule="exact" w:val="288"/>
        </w:trPr>
        <w:tc>
          <w:tcPr>
            <w:tcW w:w="3402" w:type="dxa"/>
            <w:vAlign w:val="center"/>
          </w:tcPr>
          <w:p w14:paraId="1ABCDB4D" w14:textId="1C5250F0" w:rsidR="008C6056" w:rsidRPr="00EB3788" w:rsidRDefault="008C6056"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lastRenderedPageBreak/>
              <w:t>Aspartate aminotransferase increased</w:t>
            </w:r>
          </w:p>
        </w:tc>
        <w:tc>
          <w:tcPr>
            <w:tcW w:w="3114" w:type="dxa"/>
            <w:vAlign w:val="center"/>
          </w:tcPr>
          <w:p w14:paraId="5A35E0AE" w14:textId="1CF7D56A" w:rsidR="008C6056" w:rsidRPr="00EB3788" w:rsidRDefault="008C6056"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10 (6.8)</w:t>
            </w:r>
          </w:p>
        </w:tc>
        <w:tc>
          <w:tcPr>
            <w:tcW w:w="2273" w:type="dxa"/>
            <w:vAlign w:val="center"/>
          </w:tcPr>
          <w:p w14:paraId="5FF94688" w14:textId="6AC30F42" w:rsidR="008C6056" w:rsidRPr="00EB3788" w:rsidRDefault="008C6056"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6 (4.0)</w:t>
            </w:r>
          </w:p>
        </w:tc>
      </w:tr>
      <w:tr w:rsidR="00460627" w:rsidRPr="00EB3788" w14:paraId="22545F23" w14:textId="77777777" w:rsidTr="2D01C3BC">
        <w:trPr>
          <w:trHeight w:hRule="exact" w:val="288"/>
        </w:trPr>
        <w:tc>
          <w:tcPr>
            <w:tcW w:w="3402" w:type="dxa"/>
            <w:vAlign w:val="center"/>
          </w:tcPr>
          <w:p w14:paraId="2F1BD6DE" w14:textId="21C48871" w:rsidR="00460627" w:rsidRPr="00EB3788" w:rsidRDefault="00460627"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Alanine aminotransferase increased</w:t>
            </w:r>
          </w:p>
        </w:tc>
        <w:tc>
          <w:tcPr>
            <w:tcW w:w="3114" w:type="dxa"/>
            <w:vAlign w:val="center"/>
          </w:tcPr>
          <w:p w14:paraId="5A0EC9E7" w14:textId="0BB31F23" w:rsidR="00460627" w:rsidRPr="00EB3788" w:rsidRDefault="00460627"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9 (6.1)</w:t>
            </w:r>
          </w:p>
        </w:tc>
        <w:tc>
          <w:tcPr>
            <w:tcW w:w="2273" w:type="dxa"/>
            <w:vAlign w:val="center"/>
          </w:tcPr>
          <w:p w14:paraId="04649929" w14:textId="71BE2B26" w:rsidR="00460627" w:rsidRPr="00EB3788" w:rsidRDefault="00460627"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6 (4.0)</w:t>
            </w:r>
          </w:p>
        </w:tc>
      </w:tr>
      <w:tr w:rsidR="00460627" w:rsidRPr="00EB3788" w14:paraId="05205319" w14:textId="77777777" w:rsidTr="00F436BD">
        <w:trPr>
          <w:trHeight w:hRule="exact" w:val="288"/>
        </w:trPr>
        <w:tc>
          <w:tcPr>
            <w:tcW w:w="3402" w:type="dxa"/>
            <w:vAlign w:val="center"/>
          </w:tcPr>
          <w:p w14:paraId="7DF7846C" w14:textId="29F1DAD7" w:rsidR="00460627" w:rsidRPr="00EB3788" w:rsidRDefault="00460627"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Hypomagnesaemia</w:t>
            </w:r>
          </w:p>
        </w:tc>
        <w:tc>
          <w:tcPr>
            <w:tcW w:w="3114" w:type="dxa"/>
            <w:vAlign w:val="center"/>
          </w:tcPr>
          <w:p w14:paraId="1BA014AE" w14:textId="3E652A8B" w:rsidR="00460627" w:rsidRPr="00EB3788" w:rsidRDefault="00460627"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8 (5.4)</w:t>
            </w:r>
          </w:p>
        </w:tc>
        <w:tc>
          <w:tcPr>
            <w:tcW w:w="2273" w:type="dxa"/>
            <w:vAlign w:val="center"/>
          </w:tcPr>
          <w:p w14:paraId="67460AFC" w14:textId="4A1DF86D" w:rsidR="00460627" w:rsidRPr="00EB3788" w:rsidRDefault="00460627"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 (0.7)</w:t>
            </w:r>
          </w:p>
        </w:tc>
      </w:tr>
      <w:tr w:rsidR="00460627" w:rsidRPr="00EB3788" w14:paraId="54DD010B" w14:textId="77777777" w:rsidTr="00F436BD">
        <w:trPr>
          <w:trHeight w:hRule="exact" w:val="288"/>
        </w:trPr>
        <w:tc>
          <w:tcPr>
            <w:tcW w:w="3402" w:type="dxa"/>
            <w:vAlign w:val="center"/>
          </w:tcPr>
          <w:p w14:paraId="2976056D" w14:textId="132AD99E" w:rsidR="00460627" w:rsidRPr="00EB3788" w:rsidRDefault="14096020" w:rsidP="00446C37">
            <w:pPr>
              <w:spacing w:before="38" w:after="16" w:line="224" w:lineRule="exact"/>
              <w:textAlignment w:val="baseline"/>
              <w:rPr>
                <w:rFonts w:asciiTheme="majorHAnsi" w:eastAsia="Times New Roman" w:hAnsiTheme="majorHAnsi"/>
                <w:color w:val="000000"/>
                <w:sz w:val="18"/>
                <w:szCs w:val="18"/>
              </w:rPr>
            </w:pPr>
            <w:proofErr w:type="spellStart"/>
            <w:r w:rsidRPr="00EB3788">
              <w:rPr>
                <w:rFonts w:asciiTheme="majorHAnsi" w:eastAsia="Times New Roman" w:hAnsiTheme="majorHAnsi"/>
                <w:color w:val="000000" w:themeColor="text1"/>
                <w:sz w:val="18"/>
                <w:szCs w:val="18"/>
              </w:rPr>
              <w:t>Hypoalbuminaemia</w:t>
            </w:r>
            <w:proofErr w:type="spellEnd"/>
          </w:p>
        </w:tc>
        <w:tc>
          <w:tcPr>
            <w:tcW w:w="3114" w:type="dxa"/>
            <w:vAlign w:val="center"/>
          </w:tcPr>
          <w:p w14:paraId="2FBAFC2B" w14:textId="2033F48E" w:rsidR="00460627" w:rsidRPr="00EB3788" w:rsidRDefault="00460627"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5 (3.4)</w:t>
            </w:r>
          </w:p>
        </w:tc>
        <w:tc>
          <w:tcPr>
            <w:tcW w:w="2273" w:type="dxa"/>
            <w:vAlign w:val="center"/>
          </w:tcPr>
          <w:p w14:paraId="3368C1BB" w14:textId="0439A044" w:rsidR="00460627" w:rsidRPr="00EB3788" w:rsidRDefault="00460627" w:rsidP="00446C37">
            <w:pPr>
              <w:spacing w:before="38" w:after="16"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8 (5.3)</w:t>
            </w:r>
          </w:p>
        </w:tc>
      </w:tr>
      <w:tr w:rsidR="00460627" w:rsidRPr="00EB3788" w14:paraId="5E77DD0F" w14:textId="77777777" w:rsidTr="2D01C3BC">
        <w:trPr>
          <w:trHeight w:hRule="exact" w:val="288"/>
        </w:trPr>
        <w:tc>
          <w:tcPr>
            <w:tcW w:w="3402" w:type="dxa"/>
            <w:vAlign w:val="center"/>
          </w:tcPr>
          <w:p w14:paraId="216BFA41" w14:textId="77777777" w:rsidR="00460627" w:rsidRPr="00EB3788" w:rsidRDefault="00460627" w:rsidP="00446C37">
            <w:pPr>
              <w:spacing w:before="38" w:after="21"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Hepatic enzyme increased</w:t>
            </w:r>
          </w:p>
        </w:tc>
        <w:tc>
          <w:tcPr>
            <w:tcW w:w="3114" w:type="dxa"/>
            <w:vAlign w:val="center"/>
          </w:tcPr>
          <w:p w14:paraId="466C5E70" w14:textId="77777777" w:rsidR="00460627" w:rsidRPr="00EB3788" w:rsidRDefault="00460627" w:rsidP="00446C37">
            <w:pPr>
              <w:spacing w:before="38" w:after="21"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4 (2.7)</w:t>
            </w:r>
          </w:p>
        </w:tc>
        <w:tc>
          <w:tcPr>
            <w:tcW w:w="2273" w:type="dxa"/>
            <w:vAlign w:val="center"/>
          </w:tcPr>
          <w:p w14:paraId="466FCBD3" w14:textId="77777777" w:rsidR="00460627" w:rsidRPr="00EB3788" w:rsidRDefault="00460627" w:rsidP="00446C37">
            <w:pPr>
              <w:spacing w:before="38" w:after="21"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10 (6.7)</w:t>
            </w:r>
          </w:p>
        </w:tc>
      </w:tr>
      <w:tr w:rsidR="00460627" w:rsidRPr="00EB3788" w14:paraId="23AE75EA" w14:textId="77777777" w:rsidTr="2D01C3BC">
        <w:trPr>
          <w:trHeight w:hRule="exact" w:val="273"/>
        </w:trPr>
        <w:tc>
          <w:tcPr>
            <w:tcW w:w="3402" w:type="dxa"/>
            <w:vAlign w:val="center"/>
          </w:tcPr>
          <w:p w14:paraId="6FF1E8CD" w14:textId="77777777" w:rsidR="00460627" w:rsidRPr="00EB3788" w:rsidRDefault="00460627" w:rsidP="00446C37">
            <w:pPr>
              <w:spacing w:after="27"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Hyponatraemia</w:t>
            </w:r>
          </w:p>
        </w:tc>
        <w:tc>
          <w:tcPr>
            <w:tcW w:w="3114" w:type="dxa"/>
            <w:vAlign w:val="center"/>
          </w:tcPr>
          <w:p w14:paraId="2E7D04CC" w14:textId="77777777" w:rsidR="00460627" w:rsidRPr="00EB3788" w:rsidRDefault="00460627" w:rsidP="00446C37">
            <w:pPr>
              <w:spacing w:after="27"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4 (2.7)</w:t>
            </w:r>
          </w:p>
        </w:tc>
        <w:tc>
          <w:tcPr>
            <w:tcW w:w="2273" w:type="dxa"/>
            <w:vAlign w:val="center"/>
          </w:tcPr>
          <w:p w14:paraId="0D2DD78F" w14:textId="77777777" w:rsidR="00460627" w:rsidRPr="00EB3788" w:rsidRDefault="00460627" w:rsidP="00446C37">
            <w:pPr>
              <w:spacing w:after="27"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10 (6.7)</w:t>
            </w:r>
          </w:p>
        </w:tc>
      </w:tr>
      <w:tr w:rsidR="00460627" w:rsidRPr="00EB3788" w14:paraId="7EB61D8A" w14:textId="77777777" w:rsidTr="2D01C3BC">
        <w:trPr>
          <w:trHeight w:hRule="exact" w:val="293"/>
        </w:trPr>
        <w:tc>
          <w:tcPr>
            <w:tcW w:w="3402" w:type="dxa"/>
            <w:vAlign w:val="center"/>
          </w:tcPr>
          <w:p w14:paraId="0F53FEC6" w14:textId="77777777" w:rsidR="00460627" w:rsidRPr="00EB3788" w:rsidRDefault="00460627" w:rsidP="00446C37">
            <w:pPr>
              <w:spacing w:before="42" w:after="17"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Decubitus ulcer</w:t>
            </w:r>
          </w:p>
        </w:tc>
        <w:tc>
          <w:tcPr>
            <w:tcW w:w="3114" w:type="dxa"/>
            <w:vAlign w:val="center"/>
          </w:tcPr>
          <w:p w14:paraId="2461ADE0" w14:textId="77777777" w:rsidR="00460627" w:rsidRPr="00EB3788" w:rsidRDefault="00460627" w:rsidP="00446C37">
            <w:pPr>
              <w:spacing w:before="42" w:after="17"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4 (2.7)</w:t>
            </w:r>
          </w:p>
        </w:tc>
        <w:tc>
          <w:tcPr>
            <w:tcW w:w="2273" w:type="dxa"/>
            <w:vAlign w:val="center"/>
          </w:tcPr>
          <w:p w14:paraId="525829D7" w14:textId="77777777" w:rsidR="00460627" w:rsidRPr="00EB3788" w:rsidRDefault="00460627" w:rsidP="00446C37">
            <w:pPr>
              <w:spacing w:before="42" w:after="17" w:line="224" w:lineRule="exact"/>
              <w:textAlignment w:val="baseline"/>
              <w:rPr>
                <w:rFonts w:asciiTheme="majorHAnsi" w:eastAsia="Times New Roman" w:hAnsiTheme="majorHAnsi"/>
                <w:color w:val="000000"/>
                <w:sz w:val="18"/>
                <w:szCs w:val="18"/>
              </w:rPr>
            </w:pPr>
            <w:r w:rsidRPr="00EB3788">
              <w:rPr>
                <w:rFonts w:asciiTheme="majorHAnsi" w:eastAsia="Times New Roman" w:hAnsiTheme="majorHAnsi"/>
                <w:color w:val="000000"/>
                <w:sz w:val="18"/>
                <w:szCs w:val="18"/>
              </w:rPr>
              <w:t>10 (6.7)</w:t>
            </w:r>
          </w:p>
        </w:tc>
      </w:tr>
      <w:tr w:rsidR="00460627" w:rsidRPr="00EB3788" w14:paraId="00AFA4E7" w14:textId="77777777" w:rsidTr="2D01C3BC">
        <w:trPr>
          <w:trHeight w:hRule="exact" w:val="255"/>
        </w:trPr>
        <w:tc>
          <w:tcPr>
            <w:tcW w:w="3402" w:type="dxa"/>
            <w:vAlign w:val="center"/>
          </w:tcPr>
          <w:p w14:paraId="117F1A2E" w14:textId="77777777" w:rsidR="00460627" w:rsidRPr="00EB3788" w:rsidRDefault="00460627"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bCs/>
                <w:color w:val="000000"/>
                <w:sz w:val="18"/>
                <w:szCs w:val="18"/>
              </w:rPr>
              <w:t>Hypotension</w:t>
            </w:r>
          </w:p>
        </w:tc>
        <w:tc>
          <w:tcPr>
            <w:tcW w:w="3114" w:type="dxa"/>
            <w:vAlign w:val="center"/>
          </w:tcPr>
          <w:p w14:paraId="541C2430" w14:textId="77777777" w:rsidR="00460627" w:rsidRPr="00EB3788" w:rsidRDefault="00460627"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bCs/>
                <w:color w:val="000000"/>
                <w:sz w:val="18"/>
                <w:szCs w:val="18"/>
              </w:rPr>
              <w:t>2 (1.4)</w:t>
            </w:r>
          </w:p>
        </w:tc>
        <w:tc>
          <w:tcPr>
            <w:tcW w:w="2273" w:type="dxa"/>
            <w:vAlign w:val="center"/>
          </w:tcPr>
          <w:p w14:paraId="56A5183B" w14:textId="77777777" w:rsidR="00460627" w:rsidRPr="00EB3788" w:rsidRDefault="00460627"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bCs/>
                <w:color w:val="000000"/>
                <w:sz w:val="18"/>
                <w:szCs w:val="18"/>
              </w:rPr>
              <w:t>10 (6.7)</w:t>
            </w:r>
          </w:p>
        </w:tc>
      </w:tr>
      <w:tr w:rsidR="00460627" w:rsidRPr="00EB3788" w14:paraId="564D93FF" w14:textId="77777777" w:rsidTr="2D01C3BC">
        <w:trPr>
          <w:trHeight w:hRule="exact" w:val="255"/>
        </w:trPr>
        <w:tc>
          <w:tcPr>
            <w:tcW w:w="3402" w:type="dxa"/>
            <w:vAlign w:val="center"/>
          </w:tcPr>
          <w:p w14:paraId="290E245A" w14:textId="7A313981" w:rsidR="00460627" w:rsidRPr="00EB3788" w:rsidRDefault="00460627"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color w:val="000000"/>
                <w:sz w:val="18"/>
                <w:szCs w:val="18"/>
              </w:rPr>
              <w:t>Thrombocytopenia</w:t>
            </w:r>
          </w:p>
        </w:tc>
        <w:tc>
          <w:tcPr>
            <w:tcW w:w="3114" w:type="dxa"/>
            <w:vAlign w:val="center"/>
          </w:tcPr>
          <w:p w14:paraId="1E955C73" w14:textId="4D780FAF" w:rsidR="00460627" w:rsidRPr="00EB3788" w:rsidRDefault="00460627"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color w:val="000000"/>
                <w:sz w:val="18"/>
                <w:szCs w:val="18"/>
              </w:rPr>
              <w:t>2 (1.4)</w:t>
            </w:r>
          </w:p>
        </w:tc>
        <w:tc>
          <w:tcPr>
            <w:tcW w:w="2273" w:type="dxa"/>
            <w:vAlign w:val="center"/>
          </w:tcPr>
          <w:p w14:paraId="630873C1" w14:textId="11FE964D" w:rsidR="00460627" w:rsidRPr="00EB3788" w:rsidRDefault="00460627" w:rsidP="00446C37">
            <w:pPr>
              <w:spacing w:line="230" w:lineRule="exact"/>
              <w:textAlignment w:val="baseline"/>
              <w:rPr>
                <w:rFonts w:asciiTheme="majorHAnsi" w:eastAsia="Times New Roman" w:hAnsiTheme="majorHAnsi"/>
                <w:bCs/>
                <w:color w:val="000000"/>
                <w:sz w:val="18"/>
                <w:szCs w:val="18"/>
              </w:rPr>
            </w:pPr>
            <w:r w:rsidRPr="00EB3788">
              <w:rPr>
                <w:rFonts w:asciiTheme="majorHAnsi" w:eastAsia="Times New Roman" w:hAnsiTheme="majorHAnsi"/>
                <w:color w:val="000000"/>
                <w:sz w:val="18"/>
                <w:szCs w:val="18"/>
              </w:rPr>
              <w:t>8 (5.3)</w:t>
            </w:r>
          </w:p>
        </w:tc>
      </w:tr>
    </w:tbl>
    <w:p w14:paraId="0B7BAB0A" w14:textId="06F87541" w:rsidR="00C87BBE" w:rsidRPr="00EB3788" w:rsidRDefault="00C87BBE" w:rsidP="00446C37">
      <w:pPr>
        <w:rPr>
          <w:rFonts w:asciiTheme="majorHAnsi" w:hAnsiTheme="majorHAnsi"/>
          <w:sz w:val="16"/>
          <w:szCs w:val="16"/>
          <w:lang w:eastAsia="ja-JP"/>
        </w:rPr>
      </w:pPr>
    </w:p>
    <w:p w14:paraId="04B6F205" w14:textId="77777777" w:rsidR="00C87BBE" w:rsidRPr="00EB3788" w:rsidRDefault="00C87BBE" w:rsidP="00446C37">
      <w:pPr>
        <w:rPr>
          <w:rFonts w:asciiTheme="majorHAnsi" w:hAnsiTheme="majorHAnsi"/>
          <w:sz w:val="16"/>
          <w:szCs w:val="16"/>
          <w:lang w:eastAsia="ja-JP"/>
        </w:rPr>
      </w:pPr>
      <w:r w:rsidRPr="00EB3788">
        <w:rPr>
          <w:rFonts w:asciiTheme="majorHAnsi" w:hAnsiTheme="majorHAnsi"/>
          <w:sz w:val="16"/>
          <w:szCs w:val="16"/>
          <w:lang w:eastAsia="ja-JP"/>
        </w:rPr>
        <w:br w:type="page"/>
      </w:r>
    </w:p>
    <w:p w14:paraId="25A0054F" w14:textId="77777777" w:rsidR="00E86C4D" w:rsidRPr="00EB3788" w:rsidRDefault="00E86C4D" w:rsidP="00446C37">
      <w:pPr>
        <w:rPr>
          <w:rFonts w:asciiTheme="majorHAnsi" w:hAnsiTheme="majorHAnsi"/>
          <w:sz w:val="16"/>
          <w:szCs w:val="16"/>
          <w:lang w:eastAsia="ja-JP"/>
        </w:rPr>
      </w:pPr>
    </w:p>
    <w:p w14:paraId="6EFC8EEC" w14:textId="77C7EECD" w:rsidR="00C87BBE" w:rsidRPr="00EB3788" w:rsidRDefault="00C87BBE" w:rsidP="00446C37">
      <w:pPr>
        <w:pStyle w:val="Caption"/>
        <w:keepNext/>
        <w:spacing w:after="0"/>
        <w:rPr>
          <w:rFonts w:asciiTheme="majorHAnsi" w:hAnsiTheme="majorHAnsi"/>
        </w:rPr>
      </w:pPr>
      <w:bookmarkStart w:id="18" w:name="_Ref179206140"/>
      <w:r w:rsidRPr="00EB3788">
        <w:rPr>
          <w:rFonts w:asciiTheme="majorHAnsi" w:hAnsiTheme="majorHAnsi"/>
        </w:rPr>
        <w:t xml:space="preserve">Table </w:t>
      </w:r>
      <w:r w:rsidRPr="00EB3788">
        <w:rPr>
          <w:rFonts w:asciiTheme="majorHAnsi" w:hAnsiTheme="majorHAnsi"/>
        </w:rPr>
        <w:fldChar w:fldCharType="begin"/>
      </w:r>
      <w:r w:rsidRPr="00EB3788">
        <w:rPr>
          <w:rFonts w:asciiTheme="majorHAnsi" w:hAnsiTheme="majorHAnsi"/>
        </w:rPr>
        <w:instrText xml:space="preserve"> SEQ Table \* ARABIC </w:instrText>
      </w:r>
      <w:r w:rsidRPr="00EB3788">
        <w:rPr>
          <w:rFonts w:asciiTheme="majorHAnsi" w:hAnsiTheme="majorHAnsi"/>
        </w:rPr>
        <w:fldChar w:fldCharType="separate"/>
      </w:r>
      <w:r w:rsidR="001E66F2" w:rsidRPr="004664E6">
        <w:rPr>
          <w:rFonts w:asciiTheme="majorHAnsi" w:hAnsiTheme="majorHAnsi"/>
        </w:rPr>
        <w:t>7</w:t>
      </w:r>
      <w:r w:rsidRPr="00EB3788">
        <w:rPr>
          <w:rFonts w:asciiTheme="majorHAnsi" w:hAnsiTheme="majorHAnsi"/>
        </w:rPr>
        <w:fldChar w:fldCharType="end"/>
      </w:r>
      <w:bookmarkEnd w:id="18"/>
      <w:r w:rsidRPr="00EB3788">
        <w:rPr>
          <w:rFonts w:asciiTheme="majorHAnsi" w:hAnsiTheme="majorHAnsi"/>
        </w:rPr>
        <w:t xml:space="preserve"> Adverse </w:t>
      </w:r>
      <w:r w:rsidRPr="00EB3788">
        <w:rPr>
          <w:rFonts w:asciiTheme="majorHAnsi" w:hAnsiTheme="majorHAnsi" w:hint="eastAsia"/>
          <w:lang w:eastAsia="ja-JP"/>
        </w:rPr>
        <w:t>e</w:t>
      </w:r>
      <w:r w:rsidRPr="00EB3788">
        <w:rPr>
          <w:rFonts w:asciiTheme="majorHAnsi" w:hAnsiTheme="majorHAnsi"/>
        </w:rPr>
        <w:t xml:space="preserve">vents </w:t>
      </w:r>
      <w:r w:rsidRPr="00EB3788">
        <w:rPr>
          <w:rFonts w:asciiTheme="majorHAnsi" w:hAnsiTheme="majorHAnsi" w:hint="eastAsia"/>
          <w:lang w:eastAsia="ja-JP"/>
        </w:rPr>
        <w:t>o</w:t>
      </w:r>
      <w:r w:rsidRPr="00EB3788">
        <w:rPr>
          <w:rFonts w:asciiTheme="majorHAnsi" w:hAnsiTheme="majorHAnsi"/>
        </w:rPr>
        <w:t xml:space="preserve">ccurring in ≥ 5% of </w:t>
      </w:r>
      <w:r w:rsidRPr="00EB3788">
        <w:rPr>
          <w:rFonts w:asciiTheme="majorHAnsi" w:hAnsiTheme="majorHAnsi" w:hint="eastAsia"/>
          <w:lang w:eastAsia="ja-JP"/>
        </w:rPr>
        <w:t>s</w:t>
      </w:r>
      <w:r w:rsidRPr="00EB3788">
        <w:rPr>
          <w:rFonts w:asciiTheme="majorHAnsi" w:hAnsiTheme="majorHAnsi"/>
        </w:rPr>
        <w:t xml:space="preserve">ubjects in </w:t>
      </w:r>
      <w:r w:rsidRPr="00EB3788">
        <w:rPr>
          <w:rFonts w:asciiTheme="majorHAnsi" w:hAnsiTheme="majorHAnsi" w:hint="eastAsia"/>
          <w:lang w:eastAsia="ja-JP"/>
        </w:rPr>
        <w:t>e</w:t>
      </w:r>
      <w:r w:rsidRPr="00EB3788">
        <w:rPr>
          <w:rFonts w:asciiTheme="majorHAnsi" w:hAnsiTheme="majorHAnsi"/>
        </w:rPr>
        <w:t xml:space="preserve">ither </w:t>
      </w:r>
      <w:r w:rsidRPr="00EB3788">
        <w:rPr>
          <w:rFonts w:asciiTheme="majorHAnsi" w:hAnsiTheme="majorHAnsi" w:hint="eastAsia"/>
          <w:lang w:eastAsia="ja-JP"/>
        </w:rPr>
        <w:t>t</w:t>
      </w:r>
      <w:r w:rsidRPr="00EB3788">
        <w:rPr>
          <w:rFonts w:asciiTheme="majorHAnsi" w:hAnsiTheme="majorHAnsi"/>
        </w:rPr>
        <w:t xml:space="preserve">reatment </w:t>
      </w:r>
      <w:r w:rsidRPr="00EB3788">
        <w:rPr>
          <w:rFonts w:asciiTheme="majorHAnsi" w:hAnsiTheme="majorHAnsi" w:hint="eastAsia"/>
          <w:lang w:eastAsia="ja-JP"/>
        </w:rPr>
        <w:t>g</w:t>
      </w:r>
      <w:r w:rsidRPr="00EB3788">
        <w:rPr>
          <w:rFonts w:asciiTheme="majorHAnsi" w:hAnsiTheme="majorHAnsi"/>
        </w:rPr>
        <w:t>roup (CREDIBLE-CR)</w:t>
      </w:r>
    </w:p>
    <w:tbl>
      <w:tblPr>
        <w:tblpPr w:leftFromText="180" w:rightFromText="180" w:vertAnchor="text" w:tblpY="284"/>
        <w:tblW w:w="0" w:type="auto"/>
        <w:tblLayout w:type="fixed"/>
        <w:tblCellMar>
          <w:left w:w="0" w:type="dxa"/>
          <w:right w:w="0" w:type="dxa"/>
        </w:tblCellMar>
        <w:tblLook w:val="04A0" w:firstRow="1" w:lastRow="0" w:firstColumn="1" w:lastColumn="0" w:noHBand="0" w:noVBand="1"/>
      </w:tblPr>
      <w:tblGrid>
        <w:gridCol w:w="4190"/>
        <w:gridCol w:w="1095"/>
        <w:gridCol w:w="1272"/>
        <w:gridCol w:w="811"/>
        <w:gridCol w:w="1335"/>
      </w:tblGrid>
      <w:tr w:rsidR="00C87BBE" w:rsidRPr="00EB3788" w14:paraId="020DEBE7" w14:textId="77777777" w:rsidTr="00E37645">
        <w:trPr>
          <w:trHeight w:hRule="exact" w:val="769"/>
          <w:tblHeader/>
        </w:trPr>
        <w:tc>
          <w:tcPr>
            <w:tcW w:w="4190" w:type="dxa"/>
            <w:tcBorders>
              <w:top w:val="single" w:sz="4" w:space="0" w:color="auto"/>
              <w:bottom w:val="single" w:sz="4" w:space="0" w:color="auto"/>
            </w:tcBorders>
            <w:vAlign w:val="bottom"/>
          </w:tcPr>
          <w:p w14:paraId="6A03E0D4" w14:textId="77777777" w:rsidR="00C87BBE" w:rsidRPr="00EB3788" w:rsidRDefault="00C87BBE" w:rsidP="00446C37">
            <w:pPr>
              <w:spacing w:before="537" w:after="2" w:line="230" w:lineRule="exact"/>
              <w:ind w:right="2567"/>
              <w:textAlignment w:val="baseline"/>
              <w:rPr>
                <w:rFonts w:asciiTheme="majorHAnsi" w:eastAsia="Times New Roman" w:hAnsiTheme="majorHAnsi" w:cs="Times New Roman"/>
                <w:b/>
                <w:color w:val="000000"/>
                <w:sz w:val="18"/>
                <w:szCs w:val="18"/>
              </w:rPr>
            </w:pPr>
            <w:r w:rsidRPr="00EB3788">
              <w:rPr>
                <w:rFonts w:asciiTheme="majorHAnsi" w:eastAsia="Times New Roman" w:hAnsiTheme="majorHAnsi" w:cs="Times New Roman"/>
                <w:b/>
                <w:color w:val="000000"/>
                <w:sz w:val="18"/>
                <w:szCs w:val="18"/>
              </w:rPr>
              <w:t>Preferred Term</w:t>
            </w:r>
          </w:p>
        </w:tc>
        <w:tc>
          <w:tcPr>
            <w:tcW w:w="2367" w:type="dxa"/>
            <w:gridSpan w:val="2"/>
            <w:tcBorders>
              <w:top w:val="single" w:sz="4" w:space="0" w:color="auto"/>
              <w:bottom w:val="single" w:sz="4" w:space="0" w:color="auto"/>
            </w:tcBorders>
          </w:tcPr>
          <w:p w14:paraId="31D51F3A" w14:textId="77777777" w:rsidR="00C87BBE" w:rsidRPr="00EB3788" w:rsidRDefault="00C87BBE" w:rsidP="00446C37">
            <w:pPr>
              <w:spacing w:before="77" w:after="0" w:line="230" w:lineRule="exact"/>
              <w:textAlignment w:val="baseline"/>
              <w:rPr>
                <w:rFonts w:asciiTheme="majorHAnsi" w:eastAsia="Times New Roman" w:hAnsiTheme="majorHAnsi" w:cs="Times New Roman"/>
                <w:b/>
                <w:color w:val="000000"/>
                <w:sz w:val="18"/>
                <w:szCs w:val="18"/>
              </w:rPr>
            </w:pPr>
            <w:r w:rsidRPr="00EB3788">
              <w:rPr>
                <w:rFonts w:asciiTheme="majorHAnsi" w:eastAsia="Times New Roman" w:hAnsiTheme="majorHAnsi" w:cs="Times New Roman"/>
                <w:b/>
                <w:color w:val="000000"/>
                <w:sz w:val="18"/>
                <w:szCs w:val="18"/>
              </w:rPr>
              <w:t xml:space="preserve">Fetroja (cefiderocol)  </w:t>
            </w:r>
            <w:r w:rsidRPr="00EB3788">
              <w:rPr>
                <w:rFonts w:asciiTheme="majorHAnsi" w:eastAsia="Times New Roman" w:hAnsiTheme="majorHAnsi" w:cs="Times New Roman"/>
                <w:b/>
                <w:color w:val="000000"/>
                <w:sz w:val="18"/>
                <w:szCs w:val="18"/>
              </w:rPr>
              <w:br/>
              <w:t>(N = 101)</w:t>
            </w:r>
          </w:p>
          <w:p w14:paraId="581BB15C" w14:textId="77777777" w:rsidR="00C87BBE" w:rsidRPr="00EB3788" w:rsidRDefault="00C87BBE" w:rsidP="00446C37">
            <w:pPr>
              <w:spacing w:after="2" w:line="230" w:lineRule="exact"/>
              <w:ind w:right="815"/>
              <w:textAlignment w:val="baseline"/>
              <w:rPr>
                <w:rFonts w:asciiTheme="majorHAnsi" w:eastAsia="Times New Roman" w:hAnsiTheme="majorHAnsi" w:cs="Times New Roman"/>
                <w:b/>
                <w:color w:val="000000"/>
                <w:sz w:val="18"/>
                <w:szCs w:val="18"/>
              </w:rPr>
            </w:pPr>
            <w:r w:rsidRPr="00EB3788">
              <w:rPr>
                <w:rFonts w:asciiTheme="majorHAnsi" w:eastAsia="Times New Roman" w:hAnsiTheme="majorHAnsi" w:cs="Times New Roman"/>
                <w:b/>
                <w:color w:val="000000"/>
                <w:sz w:val="18"/>
                <w:szCs w:val="18"/>
              </w:rPr>
              <w:t>n (%)</w:t>
            </w:r>
          </w:p>
        </w:tc>
        <w:tc>
          <w:tcPr>
            <w:tcW w:w="2146" w:type="dxa"/>
            <w:gridSpan w:val="2"/>
            <w:tcBorders>
              <w:top w:val="single" w:sz="4" w:space="0" w:color="auto"/>
              <w:bottom w:val="single" w:sz="4" w:space="0" w:color="auto"/>
            </w:tcBorders>
          </w:tcPr>
          <w:p w14:paraId="39700697" w14:textId="77777777" w:rsidR="00C87BBE" w:rsidRPr="00EB3788" w:rsidRDefault="00C87BBE" w:rsidP="00446C37">
            <w:pPr>
              <w:spacing w:before="77" w:after="0" w:line="230" w:lineRule="exact"/>
              <w:textAlignment w:val="baseline"/>
              <w:rPr>
                <w:rFonts w:asciiTheme="majorHAnsi" w:eastAsia="Times New Roman" w:hAnsiTheme="majorHAnsi" w:cs="Times New Roman"/>
                <w:b/>
                <w:color w:val="000000"/>
                <w:sz w:val="18"/>
                <w:szCs w:val="18"/>
              </w:rPr>
            </w:pPr>
            <w:r w:rsidRPr="00EB3788">
              <w:rPr>
                <w:rFonts w:asciiTheme="majorHAnsi" w:eastAsia="Times New Roman" w:hAnsiTheme="majorHAnsi" w:cs="Times New Roman"/>
                <w:b/>
                <w:color w:val="000000"/>
                <w:sz w:val="18"/>
                <w:szCs w:val="18"/>
              </w:rPr>
              <w:t xml:space="preserve">BAT </w:t>
            </w:r>
            <w:r w:rsidRPr="00EB3788">
              <w:rPr>
                <w:rFonts w:asciiTheme="majorHAnsi" w:eastAsia="Times New Roman" w:hAnsiTheme="majorHAnsi" w:cs="Times New Roman"/>
                <w:b/>
                <w:color w:val="000000"/>
                <w:sz w:val="18"/>
                <w:szCs w:val="18"/>
              </w:rPr>
              <w:br/>
              <w:t>(N = 49)</w:t>
            </w:r>
          </w:p>
          <w:p w14:paraId="19B9A57A" w14:textId="77777777" w:rsidR="00C87BBE" w:rsidRPr="00EB3788" w:rsidRDefault="00C87BBE" w:rsidP="00446C37">
            <w:pPr>
              <w:spacing w:after="2" w:line="230" w:lineRule="exact"/>
              <w:ind w:right="810"/>
              <w:textAlignment w:val="baseline"/>
              <w:rPr>
                <w:rFonts w:asciiTheme="majorHAnsi" w:eastAsia="Times New Roman" w:hAnsiTheme="majorHAnsi" w:cs="Times New Roman"/>
                <w:b/>
                <w:color w:val="000000"/>
                <w:sz w:val="18"/>
                <w:szCs w:val="18"/>
              </w:rPr>
            </w:pPr>
            <w:r w:rsidRPr="00EB3788">
              <w:rPr>
                <w:rFonts w:asciiTheme="majorHAnsi" w:eastAsia="Times New Roman" w:hAnsiTheme="majorHAnsi" w:cs="Times New Roman"/>
                <w:b/>
                <w:color w:val="000000"/>
                <w:sz w:val="18"/>
                <w:szCs w:val="18"/>
              </w:rPr>
              <w:t>n (%)</w:t>
            </w:r>
          </w:p>
        </w:tc>
      </w:tr>
      <w:tr w:rsidR="00C87BBE" w:rsidRPr="00EB3788" w14:paraId="751C148F" w14:textId="77777777" w:rsidTr="00E37645">
        <w:trPr>
          <w:trHeight w:hRule="exact" w:val="298"/>
        </w:trPr>
        <w:tc>
          <w:tcPr>
            <w:tcW w:w="4190" w:type="dxa"/>
            <w:tcBorders>
              <w:top w:val="single" w:sz="4" w:space="0" w:color="auto"/>
            </w:tcBorders>
            <w:vAlign w:val="center"/>
          </w:tcPr>
          <w:p w14:paraId="6B1FA155" w14:textId="77777777" w:rsidR="00C87BBE" w:rsidRPr="00EB3788" w:rsidRDefault="00C87BBE" w:rsidP="00446C37">
            <w:pPr>
              <w:spacing w:before="71" w:after="0" w:line="217" w:lineRule="exact"/>
              <w:ind w:right="184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themeColor="text1"/>
                <w:sz w:val="18"/>
                <w:szCs w:val="18"/>
              </w:rPr>
              <w:t>Subjects with adverse events</w:t>
            </w:r>
          </w:p>
        </w:tc>
        <w:tc>
          <w:tcPr>
            <w:tcW w:w="1095" w:type="dxa"/>
            <w:tcBorders>
              <w:top w:val="single" w:sz="4" w:space="0" w:color="auto"/>
            </w:tcBorders>
            <w:vAlign w:val="center"/>
          </w:tcPr>
          <w:p w14:paraId="377D1E5C" w14:textId="77777777" w:rsidR="00C87BBE" w:rsidRPr="00EB3788" w:rsidRDefault="00C87BBE" w:rsidP="00446C37">
            <w:pPr>
              <w:spacing w:before="71" w:after="0" w:line="217"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92</w:t>
            </w:r>
          </w:p>
        </w:tc>
        <w:tc>
          <w:tcPr>
            <w:tcW w:w="1272" w:type="dxa"/>
            <w:tcBorders>
              <w:top w:val="single" w:sz="4" w:space="0" w:color="auto"/>
            </w:tcBorders>
            <w:vAlign w:val="center"/>
          </w:tcPr>
          <w:p w14:paraId="56029027" w14:textId="77777777" w:rsidR="00C87BBE" w:rsidRPr="00EB3788" w:rsidRDefault="00C87BBE" w:rsidP="00446C37">
            <w:pPr>
              <w:spacing w:before="71" w:after="0" w:line="217"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(91.1)</w:t>
            </w:r>
          </w:p>
        </w:tc>
        <w:tc>
          <w:tcPr>
            <w:tcW w:w="811" w:type="dxa"/>
            <w:tcBorders>
              <w:top w:val="single" w:sz="4" w:space="0" w:color="auto"/>
            </w:tcBorders>
            <w:vAlign w:val="center"/>
          </w:tcPr>
          <w:p w14:paraId="3B61151D" w14:textId="77777777" w:rsidR="00C87BBE" w:rsidRPr="00EB3788" w:rsidRDefault="00C87BBE" w:rsidP="00446C37">
            <w:pPr>
              <w:spacing w:before="71" w:after="0" w:line="217"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47</w:t>
            </w:r>
          </w:p>
        </w:tc>
        <w:tc>
          <w:tcPr>
            <w:tcW w:w="1335" w:type="dxa"/>
            <w:tcBorders>
              <w:top w:val="single" w:sz="4" w:space="0" w:color="auto"/>
            </w:tcBorders>
            <w:vAlign w:val="center"/>
          </w:tcPr>
          <w:p w14:paraId="1673D76C" w14:textId="77777777" w:rsidR="00C87BBE" w:rsidRPr="00EB3788" w:rsidRDefault="00C87BBE" w:rsidP="00446C37">
            <w:pPr>
              <w:spacing w:before="71" w:after="0" w:line="217"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(95.9)</w:t>
            </w:r>
          </w:p>
        </w:tc>
      </w:tr>
      <w:tr w:rsidR="00C87BBE" w:rsidRPr="00EB3788" w14:paraId="5B9A757F" w14:textId="77777777" w:rsidTr="00E37645">
        <w:trPr>
          <w:trHeight w:hRule="exact" w:val="317"/>
        </w:trPr>
        <w:tc>
          <w:tcPr>
            <w:tcW w:w="4190" w:type="dxa"/>
            <w:vAlign w:val="center"/>
          </w:tcPr>
          <w:p w14:paraId="514DB958" w14:textId="77777777" w:rsidR="00C87BBE" w:rsidRPr="00EB3788" w:rsidRDefault="00C87BBE" w:rsidP="00446C37">
            <w:pPr>
              <w:spacing w:before="65" w:after="11" w:line="230"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themeColor="text1"/>
                <w:sz w:val="18"/>
                <w:szCs w:val="18"/>
              </w:rPr>
              <w:t>Diarrhoea</w:t>
            </w:r>
          </w:p>
        </w:tc>
        <w:tc>
          <w:tcPr>
            <w:tcW w:w="1095" w:type="dxa"/>
            <w:vAlign w:val="center"/>
          </w:tcPr>
          <w:p w14:paraId="2DCC4780" w14:textId="77777777" w:rsidR="00C87BBE" w:rsidRPr="00EB3788" w:rsidRDefault="00C87BBE" w:rsidP="00446C37">
            <w:pPr>
              <w:spacing w:before="65" w:after="11" w:line="230"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19</w:t>
            </w:r>
          </w:p>
        </w:tc>
        <w:tc>
          <w:tcPr>
            <w:tcW w:w="1272" w:type="dxa"/>
            <w:vAlign w:val="center"/>
          </w:tcPr>
          <w:p w14:paraId="10DFCDDF" w14:textId="77777777" w:rsidR="00C87BBE" w:rsidRPr="00EB3788" w:rsidRDefault="00C87BBE" w:rsidP="00446C37">
            <w:pPr>
              <w:spacing w:before="65" w:after="11" w:line="230"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(18.8)</w:t>
            </w:r>
          </w:p>
        </w:tc>
        <w:tc>
          <w:tcPr>
            <w:tcW w:w="811" w:type="dxa"/>
            <w:vAlign w:val="center"/>
          </w:tcPr>
          <w:p w14:paraId="74E9ABB7" w14:textId="77777777" w:rsidR="00C87BBE" w:rsidRPr="00EB3788" w:rsidRDefault="00C87BBE" w:rsidP="00446C37">
            <w:pPr>
              <w:spacing w:before="65" w:after="11" w:line="230"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w:t>
            </w:r>
          </w:p>
        </w:tc>
        <w:tc>
          <w:tcPr>
            <w:tcW w:w="1335" w:type="dxa"/>
            <w:vAlign w:val="center"/>
          </w:tcPr>
          <w:p w14:paraId="436D852A" w14:textId="77777777" w:rsidR="00C87BBE" w:rsidRPr="00EB3788" w:rsidRDefault="00C87BBE" w:rsidP="00446C37">
            <w:pPr>
              <w:spacing w:before="65" w:after="11" w:line="230"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(12.2)</w:t>
            </w:r>
          </w:p>
        </w:tc>
      </w:tr>
      <w:tr w:rsidR="00C87BBE" w:rsidRPr="00EB3788" w14:paraId="0C33DF75" w14:textId="77777777" w:rsidTr="00E37645">
        <w:trPr>
          <w:trHeight w:hRule="exact" w:val="288"/>
        </w:trPr>
        <w:tc>
          <w:tcPr>
            <w:tcW w:w="4190" w:type="dxa"/>
            <w:vAlign w:val="center"/>
          </w:tcPr>
          <w:p w14:paraId="4F9A6FCA" w14:textId="77777777" w:rsidR="00C87BBE" w:rsidRPr="00EB3788" w:rsidRDefault="00C87BBE" w:rsidP="00446C37">
            <w:pPr>
              <w:spacing w:before="37" w:after="15"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Pyrexia</w:t>
            </w:r>
          </w:p>
        </w:tc>
        <w:tc>
          <w:tcPr>
            <w:tcW w:w="1095" w:type="dxa"/>
            <w:vAlign w:val="center"/>
          </w:tcPr>
          <w:p w14:paraId="72BF6C60" w14:textId="77777777" w:rsidR="00C87BBE" w:rsidRPr="00EB3788" w:rsidRDefault="00C87BBE" w:rsidP="00446C37">
            <w:pPr>
              <w:spacing w:before="37" w:after="15"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14</w:t>
            </w:r>
          </w:p>
        </w:tc>
        <w:tc>
          <w:tcPr>
            <w:tcW w:w="1272" w:type="dxa"/>
            <w:vAlign w:val="center"/>
          </w:tcPr>
          <w:p w14:paraId="34AD9078" w14:textId="77777777" w:rsidR="00C87BBE" w:rsidRPr="00EB3788" w:rsidRDefault="00C87BBE" w:rsidP="00446C37">
            <w:pPr>
              <w:spacing w:before="37" w:after="15"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(13.9)</w:t>
            </w:r>
          </w:p>
        </w:tc>
        <w:tc>
          <w:tcPr>
            <w:tcW w:w="811" w:type="dxa"/>
            <w:vAlign w:val="center"/>
          </w:tcPr>
          <w:p w14:paraId="018C0D29" w14:textId="77777777" w:rsidR="00C87BBE" w:rsidRPr="00EB3788" w:rsidRDefault="00C87BBE" w:rsidP="00446C37">
            <w:pPr>
              <w:spacing w:before="37" w:after="15"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w:t>
            </w:r>
          </w:p>
        </w:tc>
        <w:tc>
          <w:tcPr>
            <w:tcW w:w="1335" w:type="dxa"/>
            <w:vAlign w:val="center"/>
          </w:tcPr>
          <w:p w14:paraId="74E18EE5" w14:textId="77777777" w:rsidR="00C87BBE" w:rsidRPr="00EB3788" w:rsidRDefault="00C87BBE" w:rsidP="00446C37">
            <w:pPr>
              <w:spacing w:before="37" w:after="15"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(12.2)</w:t>
            </w:r>
          </w:p>
        </w:tc>
      </w:tr>
      <w:tr w:rsidR="00C87BBE" w:rsidRPr="00EB3788" w14:paraId="1BB2A33D" w14:textId="77777777" w:rsidTr="00E37645">
        <w:trPr>
          <w:trHeight w:hRule="exact" w:val="288"/>
        </w:trPr>
        <w:tc>
          <w:tcPr>
            <w:tcW w:w="4190" w:type="dxa"/>
            <w:vAlign w:val="center"/>
          </w:tcPr>
          <w:p w14:paraId="3D1038B0" w14:textId="77777777" w:rsidR="00C87BBE" w:rsidRPr="00EB3788" w:rsidRDefault="00C87BBE" w:rsidP="00446C37">
            <w:pPr>
              <w:spacing w:before="37" w:after="15"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Septic shock</w:t>
            </w:r>
          </w:p>
        </w:tc>
        <w:tc>
          <w:tcPr>
            <w:tcW w:w="1095" w:type="dxa"/>
            <w:vAlign w:val="center"/>
          </w:tcPr>
          <w:p w14:paraId="325B7FB8" w14:textId="77777777" w:rsidR="00C87BBE" w:rsidRPr="00EB3788" w:rsidRDefault="00C87BBE" w:rsidP="00446C37">
            <w:pPr>
              <w:spacing w:before="37" w:after="15"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13</w:t>
            </w:r>
          </w:p>
        </w:tc>
        <w:tc>
          <w:tcPr>
            <w:tcW w:w="1272" w:type="dxa"/>
            <w:vAlign w:val="center"/>
          </w:tcPr>
          <w:p w14:paraId="7B3F9021" w14:textId="77777777" w:rsidR="00C87BBE" w:rsidRPr="00EB3788" w:rsidRDefault="00C87BBE" w:rsidP="00446C37">
            <w:pPr>
              <w:spacing w:before="37" w:after="15"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(12.9)</w:t>
            </w:r>
          </w:p>
        </w:tc>
        <w:tc>
          <w:tcPr>
            <w:tcW w:w="811" w:type="dxa"/>
            <w:vAlign w:val="center"/>
          </w:tcPr>
          <w:p w14:paraId="50893D78" w14:textId="77777777" w:rsidR="00C87BBE" w:rsidRPr="00EB3788" w:rsidRDefault="00C87BBE" w:rsidP="00446C37">
            <w:pPr>
              <w:spacing w:before="37" w:after="15"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w:t>
            </w:r>
          </w:p>
        </w:tc>
        <w:tc>
          <w:tcPr>
            <w:tcW w:w="1335" w:type="dxa"/>
            <w:vAlign w:val="center"/>
          </w:tcPr>
          <w:p w14:paraId="3C080B9F" w14:textId="77777777" w:rsidR="00C87BBE" w:rsidRPr="00EB3788" w:rsidRDefault="00C87BBE" w:rsidP="00446C37">
            <w:pPr>
              <w:spacing w:before="37" w:after="15"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(14.3)</w:t>
            </w:r>
          </w:p>
        </w:tc>
      </w:tr>
      <w:tr w:rsidR="00C87BBE" w:rsidRPr="00EB3788" w14:paraId="45A999DE" w14:textId="77777777" w:rsidTr="00E37645">
        <w:trPr>
          <w:trHeight w:hRule="exact" w:val="264"/>
        </w:trPr>
        <w:tc>
          <w:tcPr>
            <w:tcW w:w="4190" w:type="dxa"/>
            <w:vAlign w:val="center"/>
          </w:tcPr>
          <w:p w14:paraId="2F2D11C9" w14:textId="77777777" w:rsidR="00C87BBE" w:rsidRPr="00EB3788" w:rsidRDefault="00C87BBE" w:rsidP="00446C37">
            <w:pPr>
              <w:spacing w:before="41" w:after="0" w:line="222"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Vomiting</w:t>
            </w:r>
          </w:p>
        </w:tc>
        <w:tc>
          <w:tcPr>
            <w:tcW w:w="1095" w:type="dxa"/>
            <w:vAlign w:val="center"/>
          </w:tcPr>
          <w:p w14:paraId="6F100F74" w14:textId="77777777" w:rsidR="00C87BBE" w:rsidRPr="00EB3788" w:rsidRDefault="00C87BBE" w:rsidP="00446C37">
            <w:pPr>
              <w:spacing w:before="41" w:after="0" w:line="222"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13</w:t>
            </w:r>
          </w:p>
        </w:tc>
        <w:tc>
          <w:tcPr>
            <w:tcW w:w="1272" w:type="dxa"/>
            <w:vAlign w:val="center"/>
          </w:tcPr>
          <w:p w14:paraId="562DC143" w14:textId="77777777" w:rsidR="00C87BBE" w:rsidRPr="00EB3788" w:rsidRDefault="00C87BBE" w:rsidP="00446C37">
            <w:pPr>
              <w:spacing w:before="41" w:after="0" w:line="222"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(12.9)</w:t>
            </w:r>
          </w:p>
        </w:tc>
        <w:tc>
          <w:tcPr>
            <w:tcW w:w="811" w:type="dxa"/>
            <w:vAlign w:val="center"/>
          </w:tcPr>
          <w:p w14:paraId="345C0560" w14:textId="77777777" w:rsidR="00C87BBE" w:rsidRPr="00EB3788" w:rsidRDefault="00C87BBE" w:rsidP="00446C37">
            <w:pPr>
              <w:spacing w:before="41" w:after="0" w:line="222"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w:t>
            </w:r>
          </w:p>
        </w:tc>
        <w:tc>
          <w:tcPr>
            <w:tcW w:w="1335" w:type="dxa"/>
            <w:vAlign w:val="center"/>
          </w:tcPr>
          <w:p w14:paraId="49470C24" w14:textId="77777777" w:rsidR="00C87BBE" w:rsidRPr="00EB3788" w:rsidRDefault="00C87BBE" w:rsidP="00446C37">
            <w:pPr>
              <w:spacing w:before="41" w:after="0" w:line="222"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(14.3)</w:t>
            </w:r>
          </w:p>
        </w:tc>
      </w:tr>
      <w:tr w:rsidR="00C87BBE" w:rsidRPr="00EB3788" w14:paraId="4C369708" w14:textId="77777777" w:rsidTr="00E37645">
        <w:trPr>
          <w:trHeight w:hRule="exact" w:val="293"/>
        </w:trPr>
        <w:tc>
          <w:tcPr>
            <w:tcW w:w="4190" w:type="dxa"/>
            <w:vAlign w:val="center"/>
          </w:tcPr>
          <w:p w14:paraId="1680BCDB" w14:textId="77777777" w:rsidR="00C87BBE" w:rsidRPr="00EB3788" w:rsidRDefault="00C87BBE" w:rsidP="00446C37">
            <w:pPr>
              <w:spacing w:before="70" w:after="0" w:line="217"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Decubitus ulcer</w:t>
            </w:r>
          </w:p>
        </w:tc>
        <w:tc>
          <w:tcPr>
            <w:tcW w:w="1095" w:type="dxa"/>
            <w:vAlign w:val="center"/>
          </w:tcPr>
          <w:p w14:paraId="63D9E3EA" w14:textId="77777777" w:rsidR="00C87BBE" w:rsidRPr="00EB3788" w:rsidRDefault="00C87BBE" w:rsidP="00446C37">
            <w:pPr>
              <w:spacing w:before="70" w:after="0" w:line="217"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10</w:t>
            </w:r>
          </w:p>
        </w:tc>
        <w:tc>
          <w:tcPr>
            <w:tcW w:w="1272" w:type="dxa"/>
            <w:vAlign w:val="center"/>
          </w:tcPr>
          <w:p w14:paraId="3909775A" w14:textId="77777777" w:rsidR="00C87BBE" w:rsidRPr="00EB3788" w:rsidRDefault="00C87BBE" w:rsidP="00446C37">
            <w:pPr>
              <w:spacing w:before="70" w:after="0" w:line="217"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(9.9)</w:t>
            </w:r>
          </w:p>
        </w:tc>
        <w:tc>
          <w:tcPr>
            <w:tcW w:w="811" w:type="dxa"/>
            <w:vAlign w:val="center"/>
          </w:tcPr>
          <w:p w14:paraId="3B348E63" w14:textId="77777777" w:rsidR="00C87BBE" w:rsidRPr="00EB3788" w:rsidRDefault="00C87BBE" w:rsidP="00446C37">
            <w:pPr>
              <w:spacing w:before="70" w:after="0" w:line="217"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w:t>
            </w:r>
          </w:p>
        </w:tc>
        <w:tc>
          <w:tcPr>
            <w:tcW w:w="1335" w:type="dxa"/>
            <w:vAlign w:val="center"/>
          </w:tcPr>
          <w:p w14:paraId="6A474BDF" w14:textId="77777777" w:rsidR="00C87BBE" w:rsidRPr="00EB3788" w:rsidRDefault="00C87BBE" w:rsidP="00446C37">
            <w:pPr>
              <w:spacing w:before="70" w:after="0" w:line="217"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(8.2)</w:t>
            </w:r>
          </w:p>
        </w:tc>
      </w:tr>
      <w:tr w:rsidR="00C87BBE" w:rsidRPr="00EB3788" w14:paraId="35493014" w14:textId="77777777" w:rsidTr="00E37645">
        <w:trPr>
          <w:trHeight w:hRule="exact" w:val="288"/>
        </w:trPr>
        <w:tc>
          <w:tcPr>
            <w:tcW w:w="4190" w:type="dxa"/>
            <w:vAlign w:val="center"/>
          </w:tcPr>
          <w:p w14:paraId="654CF2C2" w14:textId="77777777" w:rsidR="00C87BBE" w:rsidRPr="00EB3788" w:rsidRDefault="00C87BBE" w:rsidP="00446C37">
            <w:pPr>
              <w:spacing w:before="65" w:after="0" w:line="217"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Hypokalaemia</w:t>
            </w:r>
          </w:p>
        </w:tc>
        <w:tc>
          <w:tcPr>
            <w:tcW w:w="1095" w:type="dxa"/>
            <w:vAlign w:val="center"/>
          </w:tcPr>
          <w:p w14:paraId="5409E90C" w14:textId="77777777" w:rsidR="00C87BBE" w:rsidRPr="00EB3788" w:rsidRDefault="00C87BBE" w:rsidP="00446C37">
            <w:pPr>
              <w:spacing w:before="65" w:after="0" w:line="217"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9</w:t>
            </w:r>
          </w:p>
        </w:tc>
        <w:tc>
          <w:tcPr>
            <w:tcW w:w="1272" w:type="dxa"/>
            <w:vAlign w:val="center"/>
          </w:tcPr>
          <w:p w14:paraId="1B3E52C5" w14:textId="77777777" w:rsidR="00C87BBE" w:rsidRPr="00EB3788" w:rsidRDefault="00C87BBE" w:rsidP="00446C37">
            <w:pPr>
              <w:spacing w:before="65" w:after="0" w:line="217"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(8.9)</w:t>
            </w:r>
          </w:p>
        </w:tc>
        <w:tc>
          <w:tcPr>
            <w:tcW w:w="811" w:type="dxa"/>
            <w:vAlign w:val="center"/>
          </w:tcPr>
          <w:p w14:paraId="40FA0823" w14:textId="77777777" w:rsidR="00C87BBE" w:rsidRPr="00EB3788" w:rsidRDefault="00C87BBE" w:rsidP="00446C37">
            <w:pPr>
              <w:spacing w:before="65" w:after="0" w:line="217"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w:t>
            </w:r>
          </w:p>
        </w:tc>
        <w:tc>
          <w:tcPr>
            <w:tcW w:w="1335" w:type="dxa"/>
            <w:vAlign w:val="center"/>
          </w:tcPr>
          <w:p w14:paraId="531705DF" w14:textId="77777777" w:rsidR="00C87BBE" w:rsidRPr="00EB3788" w:rsidRDefault="00C87BBE" w:rsidP="00446C37">
            <w:pPr>
              <w:spacing w:before="65" w:after="0" w:line="217"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(14.3)</w:t>
            </w:r>
          </w:p>
        </w:tc>
      </w:tr>
      <w:tr w:rsidR="00C87BBE" w:rsidRPr="00EB3788" w14:paraId="76E4D45F" w14:textId="77777777" w:rsidTr="00E37645">
        <w:trPr>
          <w:trHeight w:hRule="exact" w:val="321"/>
        </w:trPr>
        <w:tc>
          <w:tcPr>
            <w:tcW w:w="4190" w:type="dxa"/>
            <w:vAlign w:val="center"/>
          </w:tcPr>
          <w:p w14:paraId="53C6309A" w14:textId="77777777" w:rsidR="00C87BBE" w:rsidRPr="00EB3788" w:rsidRDefault="00C87BBE" w:rsidP="00446C37">
            <w:pPr>
              <w:spacing w:before="70" w:after="16"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Liver function test abnormal</w:t>
            </w:r>
          </w:p>
        </w:tc>
        <w:tc>
          <w:tcPr>
            <w:tcW w:w="1095" w:type="dxa"/>
            <w:vAlign w:val="center"/>
          </w:tcPr>
          <w:p w14:paraId="75436CC4" w14:textId="77777777" w:rsidR="00C87BBE" w:rsidRPr="00EB3788" w:rsidRDefault="00C87BBE" w:rsidP="00446C37">
            <w:pPr>
              <w:spacing w:before="70" w:after="16"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8</w:t>
            </w:r>
          </w:p>
        </w:tc>
        <w:tc>
          <w:tcPr>
            <w:tcW w:w="1272" w:type="dxa"/>
            <w:vAlign w:val="center"/>
          </w:tcPr>
          <w:p w14:paraId="36B09FD4" w14:textId="77777777" w:rsidR="00C87BBE" w:rsidRPr="00EB3788" w:rsidRDefault="00C87BBE" w:rsidP="00446C37">
            <w:pPr>
              <w:spacing w:before="70" w:after="16"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(7.9)</w:t>
            </w:r>
          </w:p>
        </w:tc>
        <w:tc>
          <w:tcPr>
            <w:tcW w:w="811" w:type="dxa"/>
            <w:vAlign w:val="center"/>
          </w:tcPr>
          <w:p w14:paraId="30F04EF9" w14:textId="77777777" w:rsidR="00C87BBE" w:rsidRPr="00EB3788" w:rsidRDefault="00C87BBE" w:rsidP="00446C37">
            <w:pPr>
              <w:spacing w:before="70" w:after="16"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w:t>
            </w:r>
          </w:p>
        </w:tc>
        <w:tc>
          <w:tcPr>
            <w:tcW w:w="1335" w:type="dxa"/>
            <w:vAlign w:val="center"/>
          </w:tcPr>
          <w:p w14:paraId="0E1280D3" w14:textId="77777777" w:rsidR="00C87BBE" w:rsidRPr="00EB3788" w:rsidRDefault="00C87BBE" w:rsidP="00446C37">
            <w:pPr>
              <w:spacing w:before="70" w:after="16"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(8.2)</w:t>
            </w:r>
          </w:p>
        </w:tc>
      </w:tr>
      <w:tr w:rsidR="00C87BBE" w:rsidRPr="00EB3788" w14:paraId="7306B608" w14:textId="77777777" w:rsidTr="00E37645">
        <w:trPr>
          <w:trHeight w:hRule="exact" w:val="298"/>
        </w:trPr>
        <w:tc>
          <w:tcPr>
            <w:tcW w:w="4190" w:type="dxa"/>
            <w:vAlign w:val="center"/>
          </w:tcPr>
          <w:p w14:paraId="43B449C8" w14:textId="77777777" w:rsidR="00C87BBE" w:rsidRPr="00EB3788" w:rsidRDefault="00C87BBE" w:rsidP="00446C37">
            <w:pPr>
              <w:spacing w:before="37" w:after="30"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Constipation</w:t>
            </w:r>
          </w:p>
        </w:tc>
        <w:tc>
          <w:tcPr>
            <w:tcW w:w="1095" w:type="dxa"/>
            <w:vAlign w:val="center"/>
          </w:tcPr>
          <w:p w14:paraId="767F4E80" w14:textId="77777777" w:rsidR="00C87BBE" w:rsidRPr="00EB3788" w:rsidRDefault="00C87BBE" w:rsidP="00446C37">
            <w:pPr>
              <w:spacing w:before="37" w:after="30"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8</w:t>
            </w:r>
          </w:p>
        </w:tc>
        <w:tc>
          <w:tcPr>
            <w:tcW w:w="1272" w:type="dxa"/>
            <w:vAlign w:val="center"/>
          </w:tcPr>
          <w:p w14:paraId="0CF38455" w14:textId="77777777" w:rsidR="00C87BBE" w:rsidRPr="00EB3788" w:rsidRDefault="00C87BBE" w:rsidP="00446C37">
            <w:pPr>
              <w:spacing w:before="37" w:after="30"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(7.9)</w:t>
            </w:r>
          </w:p>
        </w:tc>
        <w:tc>
          <w:tcPr>
            <w:tcW w:w="811" w:type="dxa"/>
            <w:vAlign w:val="center"/>
          </w:tcPr>
          <w:p w14:paraId="75285FDB" w14:textId="77777777" w:rsidR="00C87BBE" w:rsidRPr="00EB3788" w:rsidRDefault="00C87BBE" w:rsidP="00446C37">
            <w:pPr>
              <w:spacing w:before="37" w:after="30"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3</w:t>
            </w:r>
          </w:p>
        </w:tc>
        <w:tc>
          <w:tcPr>
            <w:tcW w:w="1335" w:type="dxa"/>
            <w:vAlign w:val="center"/>
          </w:tcPr>
          <w:p w14:paraId="28F2507E" w14:textId="77777777" w:rsidR="00C87BBE" w:rsidRPr="00EB3788" w:rsidRDefault="00C87BBE" w:rsidP="00446C37">
            <w:pPr>
              <w:spacing w:before="37" w:after="30"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(6.1)</w:t>
            </w:r>
          </w:p>
        </w:tc>
      </w:tr>
      <w:tr w:rsidR="00C87BBE" w:rsidRPr="00EB3788" w14:paraId="6766FCD4" w14:textId="77777777" w:rsidTr="00E37645">
        <w:trPr>
          <w:trHeight w:hRule="exact" w:val="297"/>
        </w:trPr>
        <w:tc>
          <w:tcPr>
            <w:tcW w:w="4190" w:type="dxa"/>
            <w:vAlign w:val="center"/>
          </w:tcPr>
          <w:p w14:paraId="63823CF3" w14:textId="77777777" w:rsidR="00C87BBE" w:rsidRPr="00EB3788" w:rsidRDefault="00C87BBE" w:rsidP="00446C37">
            <w:pPr>
              <w:spacing w:after="45"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Hypotension</w:t>
            </w:r>
          </w:p>
        </w:tc>
        <w:tc>
          <w:tcPr>
            <w:tcW w:w="1095" w:type="dxa"/>
            <w:vAlign w:val="center"/>
          </w:tcPr>
          <w:p w14:paraId="166933C9" w14:textId="77777777" w:rsidR="00C87BBE" w:rsidRPr="00EB3788" w:rsidRDefault="00C87BBE" w:rsidP="00446C37">
            <w:pPr>
              <w:spacing w:after="45"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8</w:t>
            </w:r>
          </w:p>
        </w:tc>
        <w:tc>
          <w:tcPr>
            <w:tcW w:w="1272" w:type="dxa"/>
            <w:vAlign w:val="center"/>
          </w:tcPr>
          <w:p w14:paraId="5CF46302" w14:textId="77777777" w:rsidR="00C87BBE" w:rsidRPr="00EB3788" w:rsidRDefault="00C87BBE" w:rsidP="00446C37">
            <w:pPr>
              <w:spacing w:after="45"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(7.9)</w:t>
            </w:r>
          </w:p>
        </w:tc>
        <w:tc>
          <w:tcPr>
            <w:tcW w:w="811" w:type="dxa"/>
            <w:vAlign w:val="center"/>
          </w:tcPr>
          <w:p w14:paraId="26873E63" w14:textId="77777777" w:rsidR="00C87BBE" w:rsidRPr="00EB3788" w:rsidRDefault="00C87BBE" w:rsidP="00446C37">
            <w:pPr>
              <w:spacing w:after="45"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3</w:t>
            </w:r>
          </w:p>
        </w:tc>
        <w:tc>
          <w:tcPr>
            <w:tcW w:w="1335" w:type="dxa"/>
            <w:vAlign w:val="center"/>
          </w:tcPr>
          <w:p w14:paraId="2D711CB4" w14:textId="77777777" w:rsidR="00C87BBE" w:rsidRPr="00EB3788" w:rsidRDefault="00C87BBE" w:rsidP="00446C37">
            <w:pPr>
              <w:spacing w:after="45"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(6.1)</w:t>
            </w:r>
          </w:p>
        </w:tc>
      </w:tr>
      <w:tr w:rsidR="00C87BBE" w:rsidRPr="00EB3788" w14:paraId="329D3045" w14:textId="77777777" w:rsidTr="00E37645">
        <w:trPr>
          <w:trHeight w:hRule="exact" w:val="274"/>
        </w:trPr>
        <w:tc>
          <w:tcPr>
            <w:tcW w:w="4190" w:type="dxa"/>
            <w:vAlign w:val="center"/>
          </w:tcPr>
          <w:p w14:paraId="74FE503E" w14:textId="77777777" w:rsidR="00C87BBE" w:rsidRPr="00EB3788" w:rsidRDefault="00C87BBE" w:rsidP="00446C37">
            <w:pPr>
              <w:spacing w:after="25"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Anaemia</w:t>
            </w:r>
          </w:p>
        </w:tc>
        <w:tc>
          <w:tcPr>
            <w:tcW w:w="1095" w:type="dxa"/>
            <w:vAlign w:val="center"/>
          </w:tcPr>
          <w:p w14:paraId="5B5944B2" w14:textId="77777777" w:rsidR="00C87BBE" w:rsidRPr="00EB3788" w:rsidRDefault="00C87BBE" w:rsidP="00446C37">
            <w:pPr>
              <w:spacing w:after="25"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8</w:t>
            </w:r>
          </w:p>
        </w:tc>
        <w:tc>
          <w:tcPr>
            <w:tcW w:w="1272" w:type="dxa"/>
            <w:vAlign w:val="center"/>
          </w:tcPr>
          <w:p w14:paraId="0AAD4958" w14:textId="77777777" w:rsidR="00C87BBE" w:rsidRPr="00EB3788" w:rsidRDefault="00C87BBE" w:rsidP="00446C37">
            <w:pPr>
              <w:spacing w:after="25"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(7.9)</w:t>
            </w:r>
          </w:p>
        </w:tc>
        <w:tc>
          <w:tcPr>
            <w:tcW w:w="811" w:type="dxa"/>
            <w:vAlign w:val="center"/>
          </w:tcPr>
          <w:p w14:paraId="34E35EEE" w14:textId="77777777" w:rsidR="00C87BBE" w:rsidRPr="00EB3788" w:rsidRDefault="00C87BBE" w:rsidP="00446C37">
            <w:pPr>
              <w:spacing w:after="25"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2</w:t>
            </w:r>
          </w:p>
        </w:tc>
        <w:tc>
          <w:tcPr>
            <w:tcW w:w="1335" w:type="dxa"/>
            <w:vAlign w:val="center"/>
          </w:tcPr>
          <w:p w14:paraId="11BD9F83" w14:textId="77777777" w:rsidR="00C87BBE" w:rsidRPr="00EB3788" w:rsidRDefault="00C87BBE" w:rsidP="00446C37">
            <w:pPr>
              <w:spacing w:after="25"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(4.1)</w:t>
            </w:r>
          </w:p>
        </w:tc>
      </w:tr>
      <w:tr w:rsidR="00C87BBE" w:rsidRPr="00EB3788" w14:paraId="07020DB1" w14:textId="77777777" w:rsidTr="00E37645">
        <w:trPr>
          <w:trHeight w:hRule="exact" w:val="293"/>
        </w:trPr>
        <w:tc>
          <w:tcPr>
            <w:tcW w:w="4190" w:type="dxa"/>
            <w:vAlign w:val="center"/>
          </w:tcPr>
          <w:p w14:paraId="53518C13" w14:textId="77777777" w:rsidR="00C87BBE" w:rsidRPr="00EB3788" w:rsidRDefault="00C87BBE" w:rsidP="00446C37">
            <w:pPr>
              <w:spacing w:before="37" w:after="20" w:line="230"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Aspartate aminotransferase increased</w:t>
            </w:r>
          </w:p>
        </w:tc>
        <w:tc>
          <w:tcPr>
            <w:tcW w:w="1095" w:type="dxa"/>
            <w:vAlign w:val="center"/>
          </w:tcPr>
          <w:p w14:paraId="7A7799E7" w14:textId="77777777" w:rsidR="00C87BBE" w:rsidRPr="00EB3788" w:rsidRDefault="00C87BBE" w:rsidP="00446C37">
            <w:pPr>
              <w:spacing w:before="37" w:after="20" w:line="230"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8</w:t>
            </w:r>
          </w:p>
        </w:tc>
        <w:tc>
          <w:tcPr>
            <w:tcW w:w="1272" w:type="dxa"/>
            <w:vAlign w:val="center"/>
          </w:tcPr>
          <w:p w14:paraId="59582D6D" w14:textId="77777777" w:rsidR="00C87BBE" w:rsidRPr="00EB3788" w:rsidRDefault="00C87BBE" w:rsidP="00446C37">
            <w:pPr>
              <w:spacing w:before="37" w:after="20" w:line="230"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(7.9)</w:t>
            </w:r>
          </w:p>
        </w:tc>
        <w:tc>
          <w:tcPr>
            <w:tcW w:w="811" w:type="dxa"/>
            <w:vAlign w:val="center"/>
          </w:tcPr>
          <w:p w14:paraId="26D387D7" w14:textId="77777777" w:rsidR="00C87BBE" w:rsidRPr="00EB3788" w:rsidRDefault="00C87BBE" w:rsidP="00446C37">
            <w:pPr>
              <w:spacing w:before="37" w:after="20" w:line="230"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w:t>
            </w:r>
          </w:p>
        </w:tc>
        <w:tc>
          <w:tcPr>
            <w:tcW w:w="1335" w:type="dxa"/>
            <w:vAlign w:val="center"/>
          </w:tcPr>
          <w:p w14:paraId="1C0F0365" w14:textId="77777777" w:rsidR="00C87BBE" w:rsidRPr="00EB3788" w:rsidRDefault="00C87BBE" w:rsidP="00446C37">
            <w:pPr>
              <w:spacing w:before="37" w:after="20" w:line="230"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(2.0)</w:t>
            </w:r>
          </w:p>
        </w:tc>
      </w:tr>
      <w:tr w:rsidR="00C87BBE" w:rsidRPr="00EB3788" w14:paraId="01CD9E94" w14:textId="77777777" w:rsidTr="00E37645">
        <w:trPr>
          <w:trHeight w:hRule="exact" w:val="259"/>
        </w:trPr>
        <w:tc>
          <w:tcPr>
            <w:tcW w:w="4190" w:type="dxa"/>
            <w:vAlign w:val="center"/>
          </w:tcPr>
          <w:p w14:paraId="74D3E42A" w14:textId="77777777" w:rsidR="00C87BBE" w:rsidRPr="00EB3788" w:rsidRDefault="00C87BBE" w:rsidP="00446C37">
            <w:pPr>
              <w:spacing w:after="0" w:line="224"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Pleural effusion</w:t>
            </w:r>
          </w:p>
        </w:tc>
        <w:tc>
          <w:tcPr>
            <w:tcW w:w="1095" w:type="dxa"/>
            <w:vAlign w:val="center"/>
          </w:tcPr>
          <w:p w14:paraId="7FE5072E" w14:textId="77777777" w:rsidR="00C87BBE" w:rsidRPr="00EB3788" w:rsidRDefault="00C87BBE" w:rsidP="00446C37">
            <w:pPr>
              <w:spacing w:after="0" w:line="224"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8</w:t>
            </w:r>
          </w:p>
        </w:tc>
        <w:tc>
          <w:tcPr>
            <w:tcW w:w="1272" w:type="dxa"/>
            <w:vAlign w:val="center"/>
          </w:tcPr>
          <w:p w14:paraId="10516D85" w14:textId="77777777" w:rsidR="00C87BBE" w:rsidRPr="00EB3788" w:rsidRDefault="00C87BBE" w:rsidP="00446C37">
            <w:pPr>
              <w:spacing w:after="0" w:line="224"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(7.9)</w:t>
            </w:r>
          </w:p>
        </w:tc>
        <w:tc>
          <w:tcPr>
            <w:tcW w:w="811" w:type="dxa"/>
            <w:vAlign w:val="center"/>
          </w:tcPr>
          <w:p w14:paraId="1EE339E5" w14:textId="77777777" w:rsidR="00C87BBE" w:rsidRPr="00EB3788" w:rsidRDefault="00C87BBE" w:rsidP="00446C37">
            <w:pPr>
              <w:spacing w:after="0" w:line="224"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w:t>
            </w:r>
          </w:p>
        </w:tc>
        <w:tc>
          <w:tcPr>
            <w:tcW w:w="1335" w:type="dxa"/>
            <w:vAlign w:val="center"/>
          </w:tcPr>
          <w:p w14:paraId="0E30D0F9" w14:textId="77777777" w:rsidR="00C87BBE" w:rsidRPr="00EB3788" w:rsidRDefault="00C87BBE" w:rsidP="00446C37">
            <w:pPr>
              <w:spacing w:after="0" w:line="224"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(2.0)</w:t>
            </w:r>
          </w:p>
        </w:tc>
      </w:tr>
      <w:tr w:rsidR="00C87BBE" w:rsidRPr="00EB3788" w14:paraId="6A4A6EC4" w14:textId="77777777" w:rsidTr="00E37645">
        <w:trPr>
          <w:trHeight w:hRule="exact" w:val="288"/>
        </w:trPr>
        <w:tc>
          <w:tcPr>
            <w:tcW w:w="4190" w:type="dxa"/>
            <w:vAlign w:val="center"/>
          </w:tcPr>
          <w:p w14:paraId="48493722" w14:textId="77777777" w:rsidR="00C87BBE" w:rsidRPr="00EB3788" w:rsidRDefault="00C87BBE" w:rsidP="00446C37">
            <w:pPr>
              <w:spacing w:before="66" w:after="0" w:line="216"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Acute kidney injury</w:t>
            </w:r>
          </w:p>
        </w:tc>
        <w:tc>
          <w:tcPr>
            <w:tcW w:w="1095" w:type="dxa"/>
            <w:vAlign w:val="center"/>
          </w:tcPr>
          <w:p w14:paraId="3BD4E301" w14:textId="77777777" w:rsidR="00C87BBE" w:rsidRPr="00EB3788" w:rsidRDefault="00C87BBE" w:rsidP="00446C37">
            <w:pPr>
              <w:spacing w:before="66" w:after="0" w:line="216"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w:t>
            </w:r>
          </w:p>
        </w:tc>
        <w:tc>
          <w:tcPr>
            <w:tcW w:w="1272" w:type="dxa"/>
            <w:vAlign w:val="center"/>
          </w:tcPr>
          <w:p w14:paraId="71156B10" w14:textId="77777777" w:rsidR="00C87BBE" w:rsidRPr="00EB3788" w:rsidRDefault="00C87BBE" w:rsidP="00446C37">
            <w:pPr>
              <w:spacing w:before="66" w:after="0" w:line="216"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(6.9)</w:t>
            </w:r>
          </w:p>
        </w:tc>
        <w:tc>
          <w:tcPr>
            <w:tcW w:w="811" w:type="dxa"/>
            <w:vAlign w:val="center"/>
          </w:tcPr>
          <w:p w14:paraId="5DB92C83" w14:textId="77777777" w:rsidR="00C87BBE" w:rsidRPr="00EB3788" w:rsidRDefault="00C87BBE" w:rsidP="00446C37">
            <w:pPr>
              <w:spacing w:before="66" w:after="0" w:line="216"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5</w:t>
            </w:r>
          </w:p>
        </w:tc>
        <w:tc>
          <w:tcPr>
            <w:tcW w:w="1335" w:type="dxa"/>
            <w:vAlign w:val="center"/>
          </w:tcPr>
          <w:p w14:paraId="23ED866B" w14:textId="77777777" w:rsidR="00C87BBE" w:rsidRPr="00EB3788" w:rsidRDefault="00C87BBE" w:rsidP="00446C37">
            <w:pPr>
              <w:spacing w:before="66" w:after="0" w:line="216"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(10.2)</w:t>
            </w:r>
          </w:p>
        </w:tc>
      </w:tr>
      <w:tr w:rsidR="00C87BBE" w:rsidRPr="00EB3788" w14:paraId="0D85040E" w14:textId="77777777" w:rsidTr="00E37645">
        <w:trPr>
          <w:trHeight w:hRule="exact" w:val="317"/>
        </w:trPr>
        <w:tc>
          <w:tcPr>
            <w:tcW w:w="4190" w:type="dxa"/>
            <w:vAlign w:val="center"/>
          </w:tcPr>
          <w:p w14:paraId="44884260" w14:textId="77777777" w:rsidR="00C87BBE" w:rsidRPr="00EB3788" w:rsidRDefault="00C87BBE" w:rsidP="00446C37">
            <w:pPr>
              <w:spacing w:before="66" w:after="20"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Dyspnoea</w:t>
            </w:r>
          </w:p>
        </w:tc>
        <w:tc>
          <w:tcPr>
            <w:tcW w:w="1095" w:type="dxa"/>
            <w:vAlign w:val="center"/>
          </w:tcPr>
          <w:p w14:paraId="3A67294D" w14:textId="77777777" w:rsidR="00C87BBE" w:rsidRPr="00EB3788" w:rsidRDefault="00C87BBE" w:rsidP="00446C37">
            <w:pPr>
              <w:spacing w:before="66" w:after="20"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w:t>
            </w:r>
          </w:p>
        </w:tc>
        <w:tc>
          <w:tcPr>
            <w:tcW w:w="1272" w:type="dxa"/>
            <w:vAlign w:val="center"/>
          </w:tcPr>
          <w:p w14:paraId="22A8534E" w14:textId="77777777" w:rsidR="00C87BBE" w:rsidRPr="00EB3788" w:rsidRDefault="00C87BBE" w:rsidP="00446C37">
            <w:pPr>
              <w:spacing w:before="66" w:after="20"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(6.9)</w:t>
            </w:r>
          </w:p>
        </w:tc>
        <w:tc>
          <w:tcPr>
            <w:tcW w:w="811" w:type="dxa"/>
            <w:vAlign w:val="center"/>
          </w:tcPr>
          <w:p w14:paraId="2E909321" w14:textId="77777777" w:rsidR="00C87BBE" w:rsidRPr="00EB3788" w:rsidRDefault="00C87BBE" w:rsidP="00446C37">
            <w:pPr>
              <w:spacing w:before="66" w:after="20"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2</w:t>
            </w:r>
          </w:p>
        </w:tc>
        <w:tc>
          <w:tcPr>
            <w:tcW w:w="1335" w:type="dxa"/>
            <w:vAlign w:val="center"/>
          </w:tcPr>
          <w:p w14:paraId="7B6930E0" w14:textId="77777777" w:rsidR="00C87BBE" w:rsidRPr="00EB3788" w:rsidRDefault="00C87BBE" w:rsidP="00446C37">
            <w:pPr>
              <w:spacing w:before="66" w:after="20"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(4.1)</w:t>
            </w:r>
          </w:p>
        </w:tc>
      </w:tr>
      <w:tr w:rsidR="00C87BBE" w:rsidRPr="00EB3788" w14:paraId="1CEF9EB0" w14:textId="77777777" w:rsidTr="00E37645">
        <w:trPr>
          <w:trHeight w:hRule="exact" w:val="288"/>
        </w:trPr>
        <w:tc>
          <w:tcPr>
            <w:tcW w:w="4190" w:type="dxa"/>
            <w:vAlign w:val="center"/>
          </w:tcPr>
          <w:p w14:paraId="42F9382B" w14:textId="77777777" w:rsidR="00C87BBE" w:rsidRPr="00EB3788" w:rsidRDefault="00C87BBE" w:rsidP="00446C37">
            <w:pPr>
              <w:spacing w:before="41" w:after="16"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Nausea</w:t>
            </w:r>
          </w:p>
        </w:tc>
        <w:tc>
          <w:tcPr>
            <w:tcW w:w="1095" w:type="dxa"/>
            <w:vAlign w:val="center"/>
          </w:tcPr>
          <w:p w14:paraId="6DECB477" w14:textId="77777777" w:rsidR="00C87BBE" w:rsidRPr="00EB3788" w:rsidRDefault="00C87BBE" w:rsidP="00446C37">
            <w:pPr>
              <w:spacing w:before="41" w:after="16"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w:t>
            </w:r>
          </w:p>
        </w:tc>
        <w:tc>
          <w:tcPr>
            <w:tcW w:w="1272" w:type="dxa"/>
            <w:vAlign w:val="center"/>
          </w:tcPr>
          <w:p w14:paraId="2CD43A2F" w14:textId="77777777" w:rsidR="00C87BBE" w:rsidRPr="00EB3788" w:rsidRDefault="00C87BBE" w:rsidP="00446C37">
            <w:pPr>
              <w:spacing w:before="41" w:after="16"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(6.9)</w:t>
            </w:r>
          </w:p>
        </w:tc>
        <w:tc>
          <w:tcPr>
            <w:tcW w:w="811" w:type="dxa"/>
            <w:vAlign w:val="center"/>
          </w:tcPr>
          <w:p w14:paraId="64C8E7C7" w14:textId="77777777" w:rsidR="00C87BBE" w:rsidRPr="00EB3788" w:rsidRDefault="00C87BBE" w:rsidP="00446C37">
            <w:pPr>
              <w:spacing w:before="41" w:after="16"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2</w:t>
            </w:r>
          </w:p>
        </w:tc>
        <w:tc>
          <w:tcPr>
            <w:tcW w:w="1335" w:type="dxa"/>
            <w:vAlign w:val="center"/>
          </w:tcPr>
          <w:p w14:paraId="0A709ACF" w14:textId="77777777" w:rsidR="00C87BBE" w:rsidRPr="00EB3788" w:rsidRDefault="00C87BBE" w:rsidP="00446C37">
            <w:pPr>
              <w:spacing w:before="41" w:after="16"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(4.1)</w:t>
            </w:r>
          </w:p>
        </w:tc>
      </w:tr>
      <w:tr w:rsidR="00C87BBE" w:rsidRPr="00EB3788" w14:paraId="54D02A93" w14:textId="77777777" w:rsidTr="00E37645">
        <w:trPr>
          <w:trHeight w:hRule="exact" w:val="293"/>
        </w:trPr>
        <w:tc>
          <w:tcPr>
            <w:tcW w:w="4190" w:type="dxa"/>
            <w:vAlign w:val="center"/>
          </w:tcPr>
          <w:p w14:paraId="2FA79537" w14:textId="77777777" w:rsidR="00C87BBE" w:rsidRPr="00EB3788" w:rsidRDefault="00C87BBE" w:rsidP="00446C37">
            <w:pPr>
              <w:spacing w:before="41" w:after="16"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Pneumonia</w:t>
            </w:r>
          </w:p>
        </w:tc>
        <w:tc>
          <w:tcPr>
            <w:tcW w:w="1095" w:type="dxa"/>
            <w:vAlign w:val="center"/>
          </w:tcPr>
          <w:p w14:paraId="4B141933" w14:textId="77777777" w:rsidR="00C87BBE" w:rsidRPr="00EB3788" w:rsidRDefault="00C87BBE" w:rsidP="00446C37">
            <w:pPr>
              <w:spacing w:before="41" w:after="16"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w:t>
            </w:r>
          </w:p>
        </w:tc>
        <w:tc>
          <w:tcPr>
            <w:tcW w:w="1272" w:type="dxa"/>
            <w:vAlign w:val="center"/>
          </w:tcPr>
          <w:p w14:paraId="5D179889" w14:textId="77777777" w:rsidR="00C87BBE" w:rsidRPr="00EB3788" w:rsidRDefault="00C87BBE" w:rsidP="00446C37">
            <w:pPr>
              <w:spacing w:before="41" w:after="16"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(6.9)</w:t>
            </w:r>
          </w:p>
        </w:tc>
        <w:tc>
          <w:tcPr>
            <w:tcW w:w="811" w:type="dxa"/>
            <w:vAlign w:val="center"/>
          </w:tcPr>
          <w:p w14:paraId="6D43A5E5" w14:textId="77777777" w:rsidR="00C87BBE" w:rsidRPr="00EB3788" w:rsidRDefault="00C87BBE" w:rsidP="00446C37">
            <w:pPr>
              <w:spacing w:before="41" w:after="16"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w:t>
            </w:r>
          </w:p>
        </w:tc>
        <w:tc>
          <w:tcPr>
            <w:tcW w:w="1335" w:type="dxa"/>
            <w:vAlign w:val="center"/>
          </w:tcPr>
          <w:p w14:paraId="57403222" w14:textId="77777777" w:rsidR="00C87BBE" w:rsidRPr="00EB3788" w:rsidRDefault="00C87BBE" w:rsidP="00446C37">
            <w:pPr>
              <w:spacing w:before="41" w:after="16"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(2.0)</w:t>
            </w:r>
          </w:p>
        </w:tc>
      </w:tr>
      <w:tr w:rsidR="00C87BBE" w:rsidRPr="00EB3788" w14:paraId="0C12B6B1" w14:textId="77777777" w:rsidTr="007B0C3B">
        <w:trPr>
          <w:trHeight w:hRule="exact" w:val="292"/>
        </w:trPr>
        <w:tc>
          <w:tcPr>
            <w:tcW w:w="4190" w:type="dxa"/>
            <w:vAlign w:val="center"/>
          </w:tcPr>
          <w:p w14:paraId="50FE3CA4" w14:textId="77777777" w:rsidR="00C87BBE" w:rsidRPr="00EB3788" w:rsidRDefault="00C87BBE" w:rsidP="00446C37">
            <w:pPr>
              <w:spacing w:before="36" w:after="26" w:line="230"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Alanine aminotransferase increased</w:t>
            </w:r>
          </w:p>
        </w:tc>
        <w:tc>
          <w:tcPr>
            <w:tcW w:w="1095" w:type="dxa"/>
            <w:vAlign w:val="center"/>
          </w:tcPr>
          <w:p w14:paraId="4469475B" w14:textId="77777777" w:rsidR="00C87BBE" w:rsidRPr="00EB3788" w:rsidRDefault="00C87BBE" w:rsidP="00446C37">
            <w:pPr>
              <w:spacing w:before="36" w:after="26" w:line="230"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7</w:t>
            </w:r>
          </w:p>
        </w:tc>
        <w:tc>
          <w:tcPr>
            <w:tcW w:w="1272" w:type="dxa"/>
            <w:vAlign w:val="center"/>
          </w:tcPr>
          <w:p w14:paraId="15E3377E" w14:textId="77777777" w:rsidR="00C87BBE" w:rsidRPr="00EB3788" w:rsidRDefault="00C87BBE" w:rsidP="00446C37">
            <w:pPr>
              <w:spacing w:before="36" w:after="26" w:line="230"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(6.9)</w:t>
            </w:r>
          </w:p>
        </w:tc>
        <w:tc>
          <w:tcPr>
            <w:tcW w:w="811" w:type="dxa"/>
            <w:vAlign w:val="center"/>
          </w:tcPr>
          <w:p w14:paraId="48D4908C" w14:textId="6F0B474D" w:rsidR="00C87BBE" w:rsidRPr="00EB3788" w:rsidRDefault="007B0C3B" w:rsidP="00446C37">
            <w:pPr>
              <w:spacing w:after="0" w:line="240" w:lineRule="auto"/>
              <w:textAlignment w:val="baseline"/>
              <w:rPr>
                <w:rFonts w:asciiTheme="majorHAnsi" w:hAnsiTheme="majorHAnsi" w:cs="Times New Roman"/>
                <w:color w:val="000000"/>
                <w:sz w:val="18"/>
                <w:szCs w:val="18"/>
                <w:lang w:eastAsia="ja-JP"/>
              </w:rPr>
            </w:pPr>
            <w:r w:rsidRPr="00EB3788">
              <w:rPr>
                <w:rFonts w:asciiTheme="majorHAnsi" w:hAnsiTheme="majorHAnsi" w:cs="Times New Roman" w:hint="eastAsia"/>
                <w:color w:val="000000"/>
                <w:sz w:val="18"/>
                <w:szCs w:val="18"/>
                <w:lang w:eastAsia="ja-JP"/>
              </w:rPr>
              <w:t>0</w:t>
            </w:r>
          </w:p>
        </w:tc>
        <w:tc>
          <w:tcPr>
            <w:tcW w:w="1335" w:type="dxa"/>
            <w:vAlign w:val="center"/>
          </w:tcPr>
          <w:p w14:paraId="1DBA3868" w14:textId="1EBB407F" w:rsidR="00C87BBE" w:rsidRPr="00EB3788" w:rsidRDefault="00C87BBE" w:rsidP="00446C37">
            <w:pPr>
              <w:spacing w:before="36" w:after="26" w:line="230" w:lineRule="exact"/>
              <w:ind w:right="787"/>
              <w:textAlignment w:val="baseline"/>
              <w:rPr>
                <w:rFonts w:asciiTheme="majorHAnsi" w:eastAsia="Times New Roman" w:hAnsiTheme="majorHAnsi" w:cs="Times New Roman"/>
                <w:color w:val="000000"/>
                <w:sz w:val="18"/>
                <w:szCs w:val="18"/>
              </w:rPr>
            </w:pPr>
          </w:p>
        </w:tc>
      </w:tr>
      <w:tr w:rsidR="00C87BBE" w:rsidRPr="00EB3788" w14:paraId="5D2313DD" w14:textId="77777777" w:rsidTr="00E37645">
        <w:trPr>
          <w:trHeight w:hRule="exact" w:val="298"/>
        </w:trPr>
        <w:tc>
          <w:tcPr>
            <w:tcW w:w="4190" w:type="dxa"/>
            <w:vAlign w:val="center"/>
          </w:tcPr>
          <w:p w14:paraId="44F74DA9" w14:textId="77777777" w:rsidR="00C87BBE" w:rsidRPr="00EB3788" w:rsidRDefault="00C87BBE" w:rsidP="00446C37">
            <w:pPr>
              <w:spacing w:before="37" w:after="26"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Abdominal pain</w:t>
            </w:r>
          </w:p>
        </w:tc>
        <w:tc>
          <w:tcPr>
            <w:tcW w:w="1095" w:type="dxa"/>
            <w:vAlign w:val="center"/>
          </w:tcPr>
          <w:p w14:paraId="5E6B306C" w14:textId="77777777" w:rsidR="00C87BBE" w:rsidRPr="00EB3788" w:rsidRDefault="00C87BBE" w:rsidP="00446C37">
            <w:pPr>
              <w:spacing w:before="37" w:after="26"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w:t>
            </w:r>
          </w:p>
        </w:tc>
        <w:tc>
          <w:tcPr>
            <w:tcW w:w="1272" w:type="dxa"/>
            <w:vAlign w:val="center"/>
          </w:tcPr>
          <w:p w14:paraId="512D8BE1" w14:textId="77777777" w:rsidR="00C87BBE" w:rsidRPr="00EB3788" w:rsidRDefault="00C87BBE" w:rsidP="00446C37">
            <w:pPr>
              <w:spacing w:before="37" w:after="26"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(5.9)</w:t>
            </w:r>
          </w:p>
        </w:tc>
        <w:tc>
          <w:tcPr>
            <w:tcW w:w="811" w:type="dxa"/>
            <w:vAlign w:val="center"/>
          </w:tcPr>
          <w:p w14:paraId="5B5C1F1D" w14:textId="77777777" w:rsidR="00C87BBE" w:rsidRPr="00EB3788" w:rsidRDefault="00C87BBE" w:rsidP="00446C37">
            <w:pPr>
              <w:spacing w:before="37" w:after="26"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w:t>
            </w:r>
          </w:p>
        </w:tc>
        <w:tc>
          <w:tcPr>
            <w:tcW w:w="1335" w:type="dxa"/>
            <w:vAlign w:val="center"/>
          </w:tcPr>
          <w:p w14:paraId="78227658" w14:textId="77777777" w:rsidR="00C87BBE" w:rsidRPr="00EB3788" w:rsidRDefault="00C87BBE" w:rsidP="00446C37">
            <w:pPr>
              <w:spacing w:before="37" w:after="26"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(8.2)</w:t>
            </w:r>
          </w:p>
        </w:tc>
      </w:tr>
      <w:tr w:rsidR="00C87BBE" w:rsidRPr="00EB3788" w14:paraId="7F2E792F" w14:textId="77777777" w:rsidTr="00E37645">
        <w:trPr>
          <w:trHeight w:hRule="exact" w:val="298"/>
        </w:trPr>
        <w:tc>
          <w:tcPr>
            <w:tcW w:w="4190" w:type="dxa"/>
            <w:vAlign w:val="center"/>
          </w:tcPr>
          <w:p w14:paraId="25BDF5E8" w14:textId="77777777" w:rsidR="00C87BBE" w:rsidRPr="00EB3788" w:rsidRDefault="00C87BBE" w:rsidP="00446C37">
            <w:pPr>
              <w:spacing w:after="40"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Hypomagnesaemia</w:t>
            </w:r>
          </w:p>
        </w:tc>
        <w:tc>
          <w:tcPr>
            <w:tcW w:w="1095" w:type="dxa"/>
            <w:vAlign w:val="center"/>
          </w:tcPr>
          <w:p w14:paraId="038F78FC" w14:textId="77777777" w:rsidR="00C87BBE" w:rsidRPr="00EB3788" w:rsidRDefault="00C87BBE" w:rsidP="00446C37">
            <w:pPr>
              <w:spacing w:after="40"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w:t>
            </w:r>
          </w:p>
        </w:tc>
        <w:tc>
          <w:tcPr>
            <w:tcW w:w="1272" w:type="dxa"/>
            <w:vAlign w:val="center"/>
          </w:tcPr>
          <w:p w14:paraId="32211BC3" w14:textId="77777777" w:rsidR="00C87BBE" w:rsidRPr="00EB3788" w:rsidRDefault="00C87BBE" w:rsidP="00446C37">
            <w:pPr>
              <w:spacing w:after="40"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(5.9)</w:t>
            </w:r>
          </w:p>
        </w:tc>
        <w:tc>
          <w:tcPr>
            <w:tcW w:w="811" w:type="dxa"/>
            <w:vAlign w:val="center"/>
          </w:tcPr>
          <w:p w14:paraId="3B32D4DE" w14:textId="77777777" w:rsidR="00C87BBE" w:rsidRPr="00EB3788" w:rsidRDefault="00C87BBE" w:rsidP="00446C37">
            <w:pPr>
              <w:spacing w:after="40"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w:t>
            </w:r>
          </w:p>
        </w:tc>
        <w:tc>
          <w:tcPr>
            <w:tcW w:w="1335" w:type="dxa"/>
            <w:vAlign w:val="center"/>
          </w:tcPr>
          <w:p w14:paraId="281D1800" w14:textId="77777777" w:rsidR="00C87BBE" w:rsidRPr="00EB3788" w:rsidRDefault="00C87BBE" w:rsidP="00446C37">
            <w:pPr>
              <w:spacing w:after="40"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(8.2)</w:t>
            </w:r>
          </w:p>
        </w:tc>
      </w:tr>
      <w:tr w:rsidR="00C87BBE" w:rsidRPr="00EB3788" w14:paraId="5F86DACB" w14:textId="77777777" w:rsidTr="00E37645">
        <w:trPr>
          <w:trHeight w:hRule="exact" w:val="273"/>
        </w:trPr>
        <w:tc>
          <w:tcPr>
            <w:tcW w:w="4190" w:type="dxa"/>
            <w:vAlign w:val="center"/>
          </w:tcPr>
          <w:p w14:paraId="34EC0154" w14:textId="77777777" w:rsidR="00C87BBE" w:rsidRPr="00EB3788" w:rsidRDefault="00C87BBE" w:rsidP="00446C37">
            <w:pPr>
              <w:spacing w:after="21"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Thrombocytopenia</w:t>
            </w:r>
          </w:p>
        </w:tc>
        <w:tc>
          <w:tcPr>
            <w:tcW w:w="1095" w:type="dxa"/>
            <w:vAlign w:val="center"/>
          </w:tcPr>
          <w:p w14:paraId="5CFBB3BA" w14:textId="77777777" w:rsidR="00C87BBE" w:rsidRPr="00EB3788" w:rsidRDefault="00C87BBE" w:rsidP="00446C37">
            <w:pPr>
              <w:spacing w:after="21"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w:t>
            </w:r>
          </w:p>
        </w:tc>
        <w:tc>
          <w:tcPr>
            <w:tcW w:w="1272" w:type="dxa"/>
            <w:vAlign w:val="center"/>
          </w:tcPr>
          <w:p w14:paraId="3F2AD9F6" w14:textId="77777777" w:rsidR="00C87BBE" w:rsidRPr="00EB3788" w:rsidRDefault="00C87BBE" w:rsidP="00446C37">
            <w:pPr>
              <w:spacing w:after="21"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(5.9)</w:t>
            </w:r>
          </w:p>
        </w:tc>
        <w:tc>
          <w:tcPr>
            <w:tcW w:w="811" w:type="dxa"/>
            <w:vAlign w:val="center"/>
          </w:tcPr>
          <w:p w14:paraId="69F881B7" w14:textId="77777777" w:rsidR="00C87BBE" w:rsidRPr="00EB3788" w:rsidRDefault="00C87BBE" w:rsidP="00446C37">
            <w:pPr>
              <w:spacing w:after="21"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w:t>
            </w:r>
          </w:p>
        </w:tc>
        <w:tc>
          <w:tcPr>
            <w:tcW w:w="1335" w:type="dxa"/>
            <w:vAlign w:val="center"/>
          </w:tcPr>
          <w:p w14:paraId="7D953107" w14:textId="77777777" w:rsidR="00C87BBE" w:rsidRPr="00EB3788" w:rsidRDefault="00C87BBE" w:rsidP="00446C37">
            <w:pPr>
              <w:spacing w:after="21"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(8.2)</w:t>
            </w:r>
          </w:p>
        </w:tc>
      </w:tr>
      <w:tr w:rsidR="007B0C3B" w:rsidRPr="00EB3788" w14:paraId="68AD40F7" w14:textId="77777777" w:rsidTr="007B0C3B">
        <w:trPr>
          <w:trHeight w:hRule="exact" w:val="259"/>
        </w:trPr>
        <w:tc>
          <w:tcPr>
            <w:tcW w:w="4190" w:type="dxa"/>
            <w:vAlign w:val="center"/>
          </w:tcPr>
          <w:p w14:paraId="53848452" w14:textId="77777777" w:rsidR="007B0C3B" w:rsidRPr="00EB3788" w:rsidRDefault="007B0C3B" w:rsidP="00446C37">
            <w:pPr>
              <w:spacing w:after="0"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Chest pain</w:t>
            </w:r>
          </w:p>
        </w:tc>
        <w:tc>
          <w:tcPr>
            <w:tcW w:w="1095" w:type="dxa"/>
            <w:vAlign w:val="center"/>
          </w:tcPr>
          <w:p w14:paraId="1DD5312E" w14:textId="77777777" w:rsidR="007B0C3B" w:rsidRPr="00EB3788" w:rsidRDefault="007B0C3B" w:rsidP="00446C37">
            <w:pPr>
              <w:spacing w:after="0"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w:t>
            </w:r>
          </w:p>
        </w:tc>
        <w:tc>
          <w:tcPr>
            <w:tcW w:w="1272" w:type="dxa"/>
            <w:vAlign w:val="center"/>
          </w:tcPr>
          <w:p w14:paraId="16CC8110" w14:textId="77777777" w:rsidR="007B0C3B" w:rsidRPr="00EB3788" w:rsidRDefault="007B0C3B" w:rsidP="00446C37">
            <w:pPr>
              <w:spacing w:after="0"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(5.9)</w:t>
            </w:r>
          </w:p>
        </w:tc>
        <w:tc>
          <w:tcPr>
            <w:tcW w:w="811" w:type="dxa"/>
            <w:vAlign w:val="center"/>
          </w:tcPr>
          <w:p w14:paraId="3E800400" w14:textId="154422D8" w:rsidR="007B0C3B" w:rsidRPr="00EB3788" w:rsidRDefault="007B0C3B" w:rsidP="00446C37">
            <w:pPr>
              <w:spacing w:after="0" w:line="240" w:lineRule="auto"/>
              <w:textAlignment w:val="baseline"/>
              <w:rPr>
                <w:rFonts w:asciiTheme="majorHAnsi" w:eastAsia="Times New Roman" w:hAnsiTheme="majorHAnsi" w:cs="Times New Roman"/>
                <w:color w:val="000000"/>
                <w:sz w:val="18"/>
                <w:szCs w:val="18"/>
              </w:rPr>
            </w:pPr>
            <w:r w:rsidRPr="00EB3788">
              <w:rPr>
                <w:rFonts w:asciiTheme="majorHAnsi" w:hAnsiTheme="majorHAnsi" w:cs="Times New Roman" w:hint="eastAsia"/>
                <w:color w:val="000000"/>
                <w:sz w:val="18"/>
                <w:szCs w:val="18"/>
                <w:lang w:eastAsia="ja-JP"/>
              </w:rPr>
              <w:t>0</w:t>
            </w:r>
          </w:p>
        </w:tc>
        <w:tc>
          <w:tcPr>
            <w:tcW w:w="1335" w:type="dxa"/>
            <w:vAlign w:val="center"/>
          </w:tcPr>
          <w:p w14:paraId="50264EE3" w14:textId="71F97934" w:rsidR="007B0C3B" w:rsidRPr="00EB3788" w:rsidRDefault="007B0C3B" w:rsidP="00446C37">
            <w:pPr>
              <w:spacing w:after="0" w:line="225" w:lineRule="exact"/>
              <w:ind w:right="787"/>
              <w:textAlignment w:val="baseline"/>
              <w:rPr>
                <w:rFonts w:asciiTheme="majorHAnsi" w:eastAsia="Times New Roman" w:hAnsiTheme="majorHAnsi" w:cs="Times New Roman"/>
                <w:color w:val="000000"/>
                <w:sz w:val="18"/>
                <w:szCs w:val="18"/>
              </w:rPr>
            </w:pPr>
          </w:p>
        </w:tc>
      </w:tr>
      <w:tr w:rsidR="00C87BBE" w:rsidRPr="00EB3788" w14:paraId="34755DF8" w14:textId="77777777" w:rsidTr="00E37645">
        <w:trPr>
          <w:trHeight w:hRule="exact" w:val="293"/>
        </w:trPr>
        <w:tc>
          <w:tcPr>
            <w:tcW w:w="4190" w:type="dxa"/>
            <w:vAlign w:val="center"/>
          </w:tcPr>
          <w:p w14:paraId="59A23027" w14:textId="77777777" w:rsidR="00C87BBE" w:rsidRPr="00EB3788" w:rsidRDefault="00C87BBE" w:rsidP="00446C37">
            <w:pPr>
              <w:spacing w:before="66" w:after="0" w:line="217"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Hyperkalaemia</w:t>
            </w:r>
          </w:p>
        </w:tc>
        <w:tc>
          <w:tcPr>
            <w:tcW w:w="1095" w:type="dxa"/>
            <w:vAlign w:val="center"/>
          </w:tcPr>
          <w:p w14:paraId="3E1E1BA3" w14:textId="77777777" w:rsidR="00C87BBE" w:rsidRPr="00EB3788" w:rsidRDefault="00C87BBE" w:rsidP="00446C37">
            <w:pPr>
              <w:spacing w:before="66" w:after="0" w:line="217"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5</w:t>
            </w:r>
          </w:p>
        </w:tc>
        <w:tc>
          <w:tcPr>
            <w:tcW w:w="1272" w:type="dxa"/>
            <w:vAlign w:val="center"/>
          </w:tcPr>
          <w:p w14:paraId="24172365" w14:textId="77777777" w:rsidR="00C87BBE" w:rsidRPr="00EB3788" w:rsidRDefault="00C87BBE" w:rsidP="00446C37">
            <w:pPr>
              <w:spacing w:before="66" w:after="0" w:line="217"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(5.0)</w:t>
            </w:r>
          </w:p>
        </w:tc>
        <w:tc>
          <w:tcPr>
            <w:tcW w:w="811" w:type="dxa"/>
            <w:vAlign w:val="center"/>
          </w:tcPr>
          <w:p w14:paraId="26B591BD" w14:textId="77777777" w:rsidR="00C87BBE" w:rsidRPr="00EB3788" w:rsidRDefault="00C87BBE" w:rsidP="00446C37">
            <w:pPr>
              <w:spacing w:before="66" w:after="0" w:line="217"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w:t>
            </w:r>
          </w:p>
        </w:tc>
        <w:tc>
          <w:tcPr>
            <w:tcW w:w="1335" w:type="dxa"/>
            <w:vAlign w:val="center"/>
          </w:tcPr>
          <w:p w14:paraId="1EA4D468" w14:textId="77777777" w:rsidR="00C87BBE" w:rsidRPr="00EB3788" w:rsidRDefault="00C87BBE" w:rsidP="00446C37">
            <w:pPr>
              <w:spacing w:before="66" w:after="0" w:line="217"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(12.2)</w:t>
            </w:r>
          </w:p>
        </w:tc>
      </w:tr>
      <w:tr w:rsidR="00C87BBE" w:rsidRPr="00EB3788" w14:paraId="0C6A9623" w14:textId="77777777" w:rsidTr="00E37645">
        <w:trPr>
          <w:trHeight w:hRule="exact" w:val="317"/>
        </w:trPr>
        <w:tc>
          <w:tcPr>
            <w:tcW w:w="4190" w:type="dxa"/>
            <w:vAlign w:val="center"/>
          </w:tcPr>
          <w:p w14:paraId="15A2B1D0" w14:textId="77777777" w:rsidR="00C87BBE" w:rsidRPr="00EB3788" w:rsidRDefault="00C87BBE" w:rsidP="00446C37">
            <w:pPr>
              <w:spacing w:before="66" w:after="16"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Agitation</w:t>
            </w:r>
          </w:p>
        </w:tc>
        <w:tc>
          <w:tcPr>
            <w:tcW w:w="1095" w:type="dxa"/>
            <w:vAlign w:val="center"/>
          </w:tcPr>
          <w:p w14:paraId="1D8C2D50" w14:textId="77777777" w:rsidR="00C87BBE" w:rsidRPr="00EB3788" w:rsidRDefault="00C87BBE" w:rsidP="00446C37">
            <w:pPr>
              <w:spacing w:before="66" w:after="16"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5</w:t>
            </w:r>
          </w:p>
        </w:tc>
        <w:tc>
          <w:tcPr>
            <w:tcW w:w="1272" w:type="dxa"/>
            <w:vAlign w:val="center"/>
          </w:tcPr>
          <w:p w14:paraId="25B32B1C" w14:textId="77777777" w:rsidR="00C87BBE" w:rsidRPr="00EB3788" w:rsidRDefault="00C87BBE" w:rsidP="00446C37">
            <w:pPr>
              <w:spacing w:before="66" w:after="16"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(5.0)</w:t>
            </w:r>
          </w:p>
        </w:tc>
        <w:tc>
          <w:tcPr>
            <w:tcW w:w="811" w:type="dxa"/>
            <w:vAlign w:val="center"/>
          </w:tcPr>
          <w:p w14:paraId="65898ADD" w14:textId="77777777" w:rsidR="00C87BBE" w:rsidRPr="00EB3788" w:rsidRDefault="00C87BBE" w:rsidP="00446C37">
            <w:pPr>
              <w:spacing w:before="66" w:after="16"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2</w:t>
            </w:r>
          </w:p>
        </w:tc>
        <w:tc>
          <w:tcPr>
            <w:tcW w:w="1335" w:type="dxa"/>
            <w:vAlign w:val="center"/>
          </w:tcPr>
          <w:p w14:paraId="68A13B3E" w14:textId="77777777" w:rsidR="00C87BBE" w:rsidRPr="00EB3788" w:rsidRDefault="00C87BBE" w:rsidP="00446C37">
            <w:pPr>
              <w:spacing w:before="66" w:after="16"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(4.1)</w:t>
            </w:r>
          </w:p>
        </w:tc>
      </w:tr>
      <w:tr w:rsidR="00C87BBE" w:rsidRPr="00EB3788" w14:paraId="6426CC7D" w14:textId="77777777" w:rsidTr="00E37645">
        <w:trPr>
          <w:trHeight w:hRule="exact" w:val="288"/>
        </w:trPr>
        <w:tc>
          <w:tcPr>
            <w:tcW w:w="4190" w:type="dxa"/>
            <w:vAlign w:val="center"/>
          </w:tcPr>
          <w:p w14:paraId="700E83AB" w14:textId="77777777" w:rsidR="00C87BBE" w:rsidRPr="00EB3788" w:rsidRDefault="00C87BBE" w:rsidP="00446C37">
            <w:pPr>
              <w:spacing w:before="37" w:after="16"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Oedema peripheral</w:t>
            </w:r>
          </w:p>
        </w:tc>
        <w:tc>
          <w:tcPr>
            <w:tcW w:w="1095" w:type="dxa"/>
            <w:vAlign w:val="center"/>
          </w:tcPr>
          <w:p w14:paraId="77DE37D8" w14:textId="77777777" w:rsidR="00C87BBE" w:rsidRPr="00EB3788" w:rsidRDefault="00C87BBE" w:rsidP="00446C37">
            <w:pPr>
              <w:spacing w:before="37" w:after="16"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5</w:t>
            </w:r>
          </w:p>
        </w:tc>
        <w:tc>
          <w:tcPr>
            <w:tcW w:w="1272" w:type="dxa"/>
            <w:vAlign w:val="center"/>
          </w:tcPr>
          <w:p w14:paraId="23115C12" w14:textId="77777777" w:rsidR="00C87BBE" w:rsidRPr="00EB3788" w:rsidRDefault="00C87BBE" w:rsidP="00446C37">
            <w:pPr>
              <w:spacing w:before="37" w:after="16"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(5.0)</w:t>
            </w:r>
          </w:p>
        </w:tc>
        <w:tc>
          <w:tcPr>
            <w:tcW w:w="811" w:type="dxa"/>
            <w:vAlign w:val="center"/>
          </w:tcPr>
          <w:p w14:paraId="6C05E917" w14:textId="77777777" w:rsidR="00C87BBE" w:rsidRPr="00EB3788" w:rsidRDefault="00C87BBE" w:rsidP="00446C37">
            <w:pPr>
              <w:spacing w:before="37" w:after="16"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2</w:t>
            </w:r>
          </w:p>
        </w:tc>
        <w:tc>
          <w:tcPr>
            <w:tcW w:w="1335" w:type="dxa"/>
            <w:vAlign w:val="center"/>
          </w:tcPr>
          <w:p w14:paraId="39CC0D4B" w14:textId="77777777" w:rsidR="00C87BBE" w:rsidRPr="00EB3788" w:rsidRDefault="00C87BBE" w:rsidP="00446C37">
            <w:pPr>
              <w:spacing w:before="37" w:after="16"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(4.1)</w:t>
            </w:r>
          </w:p>
        </w:tc>
      </w:tr>
      <w:tr w:rsidR="00C87BBE" w:rsidRPr="00EB3788" w14:paraId="0C3932FC" w14:textId="77777777" w:rsidTr="00E37645">
        <w:trPr>
          <w:trHeight w:hRule="exact" w:val="293"/>
        </w:trPr>
        <w:tc>
          <w:tcPr>
            <w:tcW w:w="4190" w:type="dxa"/>
            <w:vAlign w:val="center"/>
          </w:tcPr>
          <w:p w14:paraId="3F7FB3DF" w14:textId="77777777" w:rsidR="00C87BBE" w:rsidRPr="00EB3788" w:rsidRDefault="00C87BBE" w:rsidP="00446C37">
            <w:pPr>
              <w:spacing w:before="42" w:after="25"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Sepsis</w:t>
            </w:r>
          </w:p>
        </w:tc>
        <w:tc>
          <w:tcPr>
            <w:tcW w:w="1095" w:type="dxa"/>
            <w:vAlign w:val="center"/>
          </w:tcPr>
          <w:p w14:paraId="21245166" w14:textId="77777777" w:rsidR="00C87BBE" w:rsidRPr="00EB3788" w:rsidRDefault="00C87BBE" w:rsidP="00446C37">
            <w:pPr>
              <w:spacing w:before="42" w:after="25"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w:t>
            </w:r>
          </w:p>
        </w:tc>
        <w:tc>
          <w:tcPr>
            <w:tcW w:w="1272" w:type="dxa"/>
            <w:vAlign w:val="center"/>
          </w:tcPr>
          <w:p w14:paraId="0953724D" w14:textId="77777777" w:rsidR="00C87BBE" w:rsidRPr="00EB3788" w:rsidRDefault="00C87BBE" w:rsidP="00446C37">
            <w:pPr>
              <w:spacing w:before="42" w:after="25"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(4.0)</w:t>
            </w:r>
          </w:p>
        </w:tc>
        <w:tc>
          <w:tcPr>
            <w:tcW w:w="811" w:type="dxa"/>
            <w:vAlign w:val="center"/>
          </w:tcPr>
          <w:p w14:paraId="6154A8F2" w14:textId="77777777" w:rsidR="00C87BBE" w:rsidRPr="00EB3788" w:rsidRDefault="00C87BBE" w:rsidP="00446C37">
            <w:pPr>
              <w:spacing w:before="42" w:after="25"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3</w:t>
            </w:r>
          </w:p>
        </w:tc>
        <w:tc>
          <w:tcPr>
            <w:tcW w:w="1335" w:type="dxa"/>
            <w:vAlign w:val="center"/>
          </w:tcPr>
          <w:p w14:paraId="07E235DE" w14:textId="77777777" w:rsidR="00C87BBE" w:rsidRPr="00EB3788" w:rsidRDefault="00C87BBE" w:rsidP="00446C37">
            <w:pPr>
              <w:spacing w:before="42" w:after="25"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(6.1)</w:t>
            </w:r>
          </w:p>
        </w:tc>
      </w:tr>
      <w:tr w:rsidR="00C87BBE" w:rsidRPr="00EB3788" w14:paraId="1CCE0FB5" w14:textId="77777777" w:rsidTr="00E37645">
        <w:trPr>
          <w:trHeight w:hRule="exact" w:val="288"/>
        </w:trPr>
        <w:tc>
          <w:tcPr>
            <w:tcW w:w="4190" w:type="dxa"/>
            <w:vAlign w:val="center"/>
          </w:tcPr>
          <w:p w14:paraId="09659CE8" w14:textId="77777777" w:rsidR="00C87BBE" w:rsidRPr="00EB3788" w:rsidRDefault="00C87BBE" w:rsidP="00446C37">
            <w:pPr>
              <w:spacing w:before="37" w:after="25"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Rash</w:t>
            </w:r>
          </w:p>
        </w:tc>
        <w:tc>
          <w:tcPr>
            <w:tcW w:w="1095" w:type="dxa"/>
            <w:vAlign w:val="center"/>
          </w:tcPr>
          <w:p w14:paraId="1A411BF8" w14:textId="77777777" w:rsidR="00C87BBE" w:rsidRPr="00EB3788" w:rsidRDefault="00C87BBE" w:rsidP="00446C37">
            <w:pPr>
              <w:spacing w:before="37" w:after="25"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3</w:t>
            </w:r>
          </w:p>
        </w:tc>
        <w:tc>
          <w:tcPr>
            <w:tcW w:w="1272" w:type="dxa"/>
            <w:vAlign w:val="center"/>
          </w:tcPr>
          <w:p w14:paraId="4EDAA899" w14:textId="77777777" w:rsidR="00C87BBE" w:rsidRPr="00EB3788" w:rsidRDefault="00C87BBE" w:rsidP="00446C37">
            <w:pPr>
              <w:spacing w:before="37" w:after="25"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(3.0)</w:t>
            </w:r>
          </w:p>
        </w:tc>
        <w:tc>
          <w:tcPr>
            <w:tcW w:w="811" w:type="dxa"/>
            <w:vAlign w:val="center"/>
          </w:tcPr>
          <w:p w14:paraId="3582D591" w14:textId="77777777" w:rsidR="00C87BBE" w:rsidRPr="00EB3788" w:rsidRDefault="00C87BBE" w:rsidP="00446C37">
            <w:pPr>
              <w:spacing w:before="37" w:after="25"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4</w:t>
            </w:r>
          </w:p>
        </w:tc>
        <w:tc>
          <w:tcPr>
            <w:tcW w:w="1335" w:type="dxa"/>
            <w:vAlign w:val="center"/>
          </w:tcPr>
          <w:p w14:paraId="7747E94C" w14:textId="77777777" w:rsidR="00C87BBE" w:rsidRPr="00EB3788" w:rsidRDefault="00C87BBE" w:rsidP="00446C37">
            <w:pPr>
              <w:spacing w:before="37" w:after="25"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(8.2)</w:t>
            </w:r>
          </w:p>
        </w:tc>
      </w:tr>
      <w:tr w:rsidR="00C87BBE" w:rsidRPr="00EB3788" w14:paraId="3B0635C0" w14:textId="77777777" w:rsidTr="00E37645">
        <w:trPr>
          <w:trHeight w:hRule="exact" w:val="293"/>
        </w:trPr>
        <w:tc>
          <w:tcPr>
            <w:tcW w:w="4190" w:type="dxa"/>
            <w:vAlign w:val="center"/>
          </w:tcPr>
          <w:p w14:paraId="283D596A" w14:textId="77777777" w:rsidR="00C87BBE" w:rsidRPr="00EB3788" w:rsidRDefault="00C87BBE" w:rsidP="00446C37">
            <w:pPr>
              <w:spacing w:before="41" w:after="21"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Bradycardia</w:t>
            </w:r>
          </w:p>
        </w:tc>
        <w:tc>
          <w:tcPr>
            <w:tcW w:w="1095" w:type="dxa"/>
            <w:vAlign w:val="center"/>
          </w:tcPr>
          <w:p w14:paraId="549BF5FF" w14:textId="77777777" w:rsidR="00C87BBE" w:rsidRPr="00EB3788" w:rsidRDefault="00C87BBE" w:rsidP="00446C37">
            <w:pPr>
              <w:spacing w:before="41" w:after="21"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3</w:t>
            </w:r>
          </w:p>
        </w:tc>
        <w:tc>
          <w:tcPr>
            <w:tcW w:w="1272" w:type="dxa"/>
            <w:vAlign w:val="center"/>
          </w:tcPr>
          <w:p w14:paraId="7E392434" w14:textId="77777777" w:rsidR="00C87BBE" w:rsidRPr="00EB3788" w:rsidRDefault="00C87BBE" w:rsidP="00446C37">
            <w:pPr>
              <w:spacing w:before="41" w:after="21"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(3.0)</w:t>
            </w:r>
          </w:p>
        </w:tc>
        <w:tc>
          <w:tcPr>
            <w:tcW w:w="811" w:type="dxa"/>
            <w:vAlign w:val="center"/>
          </w:tcPr>
          <w:p w14:paraId="712EE6A8" w14:textId="77777777" w:rsidR="00C87BBE" w:rsidRPr="00EB3788" w:rsidRDefault="00C87BBE" w:rsidP="00446C37">
            <w:pPr>
              <w:spacing w:before="41" w:after="21"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3</w:t>
            </w:r>
          </w:p>
        </w:tc>
        <w:tc>
          <w:tcPr>
            <w:tcW w:w="1335" w:type="dxa"/>
            <w:vAlign w:val="center"/>
          </w:tcPr>
          <w:p w14:paraId="2F53C054" w14:textId="77777777" w:rsidR="00C87BBE" w:rsidRPr="00EB3788" w:rsidRDefault="00C87BBE" w:rsidP="00446C37">
            <w:pPr>
              <w:spacing w:before="41" w:after="21"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(6.1)</w:t>
            </w:r>
          </w:p>
        </w:tc>
      </w:tr>
      <w:tr w:rsidR="00C87BBE" w:rsidRPr="00EB3788" w14:paraId="3B210C88" w14:textId="77777777" w:rsidTr="00E37645">
        <w:trPr>
          <w:trHeight w:hRule="exact" w:val="283"/>
        </w:trPr>
        <w:tc>
          <w:tcPr>
            <w:tcW w:w="4190" w:type="dxa"/>
            <w:vAlign w:val="center"/>
          </w:tcPr>
          <w:p w14:paraId="7848DB6A" w14:textId="77777777" w:rsidR="00C87BBE" w:rsidRPr="00EB3788" w:rsidRDefault="00C87BBE" w:rsidP="00446C37">
            <w:pPr>
              <w:spacing w:before="36" w:after="21"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Metabolic acidosis</w:t>
            </w:r>
          </w:p>
        </w:tc>
        <w:tc>
          <w:tcPr>
            <w:tcW w:w="1095" w:type="dxa"/>
            <w:vAlign w:val="center"/>
          </w:tcPr>
          <w:p w14:paraId="1E167B74" w14:textId="77777777" w:rsidR="00C87BBE" w:rsidRPr="00EB3788" w:rsidRDefault="00C87BBE" w:rsidP="00446C37">
            <w:pPr>
              <w:spacing w:before="36" w:after="21"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3</w:t>
            </w:r>
          </w:p>
        </w:tc>
        <w:tc>
          <w:tcPr>
            <w:tcW w:w="1272" w:type="dxa"/>
            <w:vAlign w:val="center"/>
          </w:tcPr>
          <w:p w14:paraId="5F8AD40D" w14:textId="77777777" w:rsidR="00C87BBE" w:rsidRPr="00EB3788" w:rsidRDefault="00C87BBE" w:rsidP="00446C37">
            <w:pPr>
              <w:spacing w:before="36" w:after="21"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(3.0)</w:t>
            </w:r>
          </w:p>
        </w:tc>
        <w:tc>
          <w:tcPr>
            <w:tcW w:w="811" w:type="dxa"/>
            <w:vAlign w:val="center"/>
          </w:tcPr>
          <w:p w14:paraId="6BF5D86D" w14:textId="77777777" w:rsidR="00C87BBE" w:rsidRPr="00EB3788" w:rsidRDefault="00C87BBE" w:rsidP="00446C37">
            <w:pPr>
              <w:spacing w:before="36" w:after="21"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3</w:t>
            </w:r>
          </w:p>
        </w:tc>
        <w:tc>
          <w:tcPr>
            <w:tcW w:w="1335" w:type="dxa"/>
            <w:vAlign w:val="center"/>
          </w:tcPr>
          <w:p w14:paraId="517CC868" w14:textId="77777777" w:rsidR="00C87BBE" w:rsidRPr="00EB3788" w:rsidRDefault="00C87BBE" w:rsidP="00446C37">
            <w:pPr>
              <w:spacing w:before="36" w:after="21"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(6.1)</w:t>
            </w:r>
          </w:p>
        </w:tc>
      </w:tr>
      <w:tr w:rsidR="00C87BBE" w:rsidRPr="00EB3788" w14:paraId="2A27C01E" w14:textId="77777777" w:rsidTr="00E37645">
        <w:trPr>
          <w:trHeight w:hRule="exact" w:val="293"/>
        </w:trPr>
        <w:tc>
          <w:tcPr>
            <w:tcW w:w="4190" w:type="dxa"/>
            <w:vAlign w:val="center"/>
          </w:tcPr>
          <w:p w14:paraId="7DEA9392" w14:textId="77777777" w:rsidR="00C87BBE" w:rsidRPr="00EB3788" w:rsidRDefault="00C87BBE" w:rsidP="00446C37">
            <w:pPr>
              <w:spacing w:before="41" w:after="21"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Insomnia</w:t>
            </w:r>
          </w:p>
        </w:tc>
        <w:tc>
          <w:tcPr>
            <w:tcW w:w="1095" w:type="dxa"/>
            <w:vAlign w:val="center"/>
          </w:tcPr>
          <w:p w14:paraId="2B2C43E6" w14:textId="77777777" w:rsidR="00C87BBE" w:rsidRPr="00EB3788" w:rsidRDefault="00C87BBE" w:rsidP="00446C37">
            <w:pPr>
              <w:spacing w:before="41" w:after="21" w:line="225" w:lineRule="exact"/>
              <w:ind w:right="5"/>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2</w:t>
            </w:r>
          </w:p>
        </w:tc>
        <w:tc>
          <w:tcPr>
            <w:tcW w:w="1272" w:type="dxa"/>
            <w:vAlign w:val="center"/>
          </w:tcPr>
          <w:p w14:paraId="5C358BC5" w14:textId="77777777" w:rsidR="00C87BBE" w:rsidRPr="00EB3788" w:rsidRDefault="00C87BBE" w:rsidP="00446C37">
            <w:pPr>
              <w:spacing w:before="41" w:after="21" w:line="225" w:lineRule="exact"/>
              <w:ind w:right="724"/>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(2.0)</w:t>
            </w:r>
          </w:p>
        </w:tc>
        <w:tc>
          <w:tcPr>
            <w:tcW w:w="811" w:type="dxa"/>
            <w:vAlign w:val="center"/>
          </w:tcPr>
          <w:p w14:paraId="0D3FEDC5" w14:textId="77777777" w:rsidR="00C87BBE" w:rsidRPr="00EB3788" w:rsidRDefault="00C87BBE" w:rsidP="00446C37">
            <w:pPr>
              <w:spacing w:before="41" w:after="21"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3</w:t>
            </w:r>
          </w:p>
        </w:tc>
        <w:tc>
          <w:tcPr>
            <w:tcW w:w="1335" w:type="dxa"/>
            <w:vAlign w:val="center"/>
          </w:tcPr>
          <w:p w14:paraId="689152F0" w14:textId="77777777" w:rsidR="00C87BBE" w:rsidRPr="00EB3788" w:rsidRDefault="00C87BBE" w:rsidP="00446C37">
            <w:pPr>
              <w:spacing w:before="41" w:after="21"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(6.1)</w:t>
            </w:r>
          </w:p>
        </w:tc>
      </w:tr>
      <w:tr w:rsidR="007B0C3B" w:rsidRPr="00EB3788" w14:paraId="13696863" w14:textId="77777777" w:rsidTr="007B0C3B">
        <w:trPr>
          <w:trHeight w:hRule="exact" w:val="268"/>
        </w:trPr>
        <w:tc>
          <w:tcPr>
            <w:tcW w:w="4190" w:type="dxa"/>
            <w:vAlign w:val="center"/>
          </w:tcPr>
          <w:p w14:paraId="52020D33" w14:textId="77777777" w:rsidR="007B0C3B" w:rsidRPr="00EB3788" w:rsidRDefault="007B0C3B" w:rsidP="00446C37">
            <w:pPr>
              <w:spacing w:before="41" w:after="2" w:line="225" w:lineRule="exact"/>
              <w:ind w:left="129"/>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Depression</w:t>
            </w:r>
          </w:p>
        </w:tc>
        <w:tc>
          <w:tcPr>
            <w:tcW w:w="1095" w:type="dxa"/>
            <w:vAlign w:val="center"/>
          </w:tcPr>
          <w:p w14:paraId="33C13040" w14:textId="1F6A877E" w:rsidR="007B0C3B" w:rsidRPr="00EB3788" w:rsidRDefault="007B0C3B" w:rsidP="00446C37">
            <w:pPr>
              <w:spacing w:after="0" w:line="240" w:lineRule="auto"/>
              <w:textAlignment w:val="baseline"/>
              <w:rPr>
                <w:rFonts w:asciiTheme="majorHAnsi" w:eastAsia="Times New Roman" w:hAnsiTheme="majorHAnsi" w:cs="Times New Roman"/>
                <w:color w:val="000000"/>
                <w:sz w:val="18"/>
                <w:szCs w:val="18"/>
              </w:rPr>
            </w:pPr>
            <w:r w:rsidRPr="00EB3788">
              <w:rPr>
                <w:rFonts w:asciiTheme="majorHAnsi" w:hAnsiTheme="majorHAnsi" w:cs="Times New Roman" w:hint="eastAsia"/>
                <w:color w:val="000000"/>
                <w:sz w:val="18"/>
                <w:szCs w:val="18"/>
                <w:lang w:eastAsia="ja-JP"/>
              </w:rPr>
              <w:t>0</w:t>
            </w:r>
          </w:p>
        </w:tc>
        <w:tc>
          <w:tcPr>
            <w:tcW w:w="1272" w:type="dxa"/>
            <w:vAlign w:val="center"/>
          </w:tcPr>
          <w:p w14:paraId="1564CF1C" w14:textId="54DCBA53" w:rsidR="007B0C3B" w:rsidRPr="00EB3788" w:rsidRDefault="007B0C3B" w:rsidP="00446C37">
            <w:pPr>
              <w:spacing w:before="41" w:after="2" w:line="225" w:lineRule="exact"/>
              <w:ind w:right="724"/>
              <w:textAlignment w:val="baseline"/>
              <w:rPr>
                <w:rFonts w:asciiTheme="majorHAnsi" w:eastAsia="Times New Roman" w:hAnsiTheme="majorHAnsi" w:cs="Times New Roman"/>
                <w:color w:val="000000"/>
                <w:sz w:val="18"/>
                <w:szCs w:val="18"/>
              </w:rPr>
            </w:pPr>
          </w:p>
        </w:tc>
        <w:tc>
          <w:tcPr>
            <w:tcW w:w="811" w:type="dxa"/>
            <w:vAlign w:val="center"/>
          </w:tcPr>
          <w:p w14:paraId="576A2010" w14:textId="77777777" w:rsidR="007B0C3B" w:rsidRPr="00EB3788" w:rsidRDefault="007B0C3B" w:rsidP="00446C37">
            <w:pPr>
              <w:spacing w:before="41" w:after="2" w:line="225" w:lineRule="exact"/>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3</w:t>
            </w:r>
          </w:p>
        </w:tc>
        <w:tc>
          <w:tcPr>
            <w:tcW w:w="1335" w:type="dxa"/>
            <w:vAlign w:val="center"/>
          </w:tcPr>
          <w:p w14:paraId="1D5CFD2D" w14:textId="77777777" w:rsidR="007B0C3B" w:rsidRPr="00EB3788" w:rsidRDefault="007B0C3B" w:rsidP="00446C37">
            <w:pPr>
              <w:spacing w:before="41" w:after="2" w:line="225" w:lineRule="exact"/>
              <w:ind w:right="787"/>
              <w:textAlignment w:val="baseline"/>
              <w:rPr>
                <w:rFonts w:asciiTheme="majorHAnsi" w:eastAsia="Times New Roman" w:hAnsiTheme="majorHAnsi" w:cs="Times New Roman"/>
                <w:color w:val="000000"/>
                <w:sz w:val="18"/>
                <w:szCs w:val="18"/>
              </w:rPr>
            </w:pPr>
            <w:r w:rsidRPr="00EB3788">
              <w:rPr>
                <w:rFonts w:asciiTheme="majorHAnsi" w:eastAsia="Times New Roman" w:hAnsiTheme="majorHAnsi" w:cs="Times New Roman"/>
                <w:color w:val="000000"/>
                <w:sz w:val="18"/>
                <w:szCs w:val="18"/>
              </w:rPr>
              <w:t>(6.1)</w:t>
            </w:r>
          </w:p>
        </w:tc>
      </w:tr>
    </w:tbl>
    <w:p w14:paraId="4DD66AEA" w14:textId="77777777" w:rsidR="00C87BBE" w:rsidRPr="00EB3788" w:rsidRDefault="00C87BBE" w:rsidP="00446C37"/>
    <w:p w14:paraId="35D081C1" w14:textId="77777777" w:rsidR="00C87BBE" w:rsidRPr="00EB3788" w:rsidRDefault="00C87BBE" w:rsidP="00446C37">
      <w:pPr>
        <w:rPr>
          <w:rFonts w:asciiTheme="majorHAnsi" w:hAnsiTheme="majorHAnsi"/>
          <w:bCs/>
          <w:iCs/>
          <w:sz w:val="16"/>
          <w:szCs w:val="16"/>
        </w:rPr>
      </w:pPr>
      <w:r w:rsidRPr="00EB3788">
        <w:rPr>
          <w:rFonts w:asciiTheme="majorHAnsi" w:hAnsiTheme="majorHAnsi"/>
          <w:bCs/>
          <w:iCs/>
          <w:sz w:val="16"/>
          <w:szCs w:val="16"/>
        </w:rPr>
        <w:t>BAT= Best Available Therapy</w:t>
      </w:r>
    </w:p>
    <w:p w14:paraId="1B0E8E6D" w14:textId="77777777" w:rsidR="00C87BBE" w:rsidRPr="00EB3788" w:rsidRDefault="00C87BBE" w:rsidP="00446C37">
      <w:pPr>
        <w:rPr>
          <w:rFonts w:asciiTheme="majorHAnsi" w:hAnsiTheme="majorHAnsi"/>
          <w:b/>
          <w:bCs/>
        </w:rPr>
      </w:pPr>
      <w:r w:rsidRPr="00EB3788">
        <w:rPr>
          <w:rFonts w:asciiTheme="majorHAnsi" w:hAnsiTheme="majorHAnsi"/>
          <w:bCs/>
          <w:iCs/>
        </w:rPr>
        <w:br w:type="page"/>
      </w:r>
    </w:p>
    <w:p w14:paraId="3E04BE66" w14:textId="77777777" w:rsidR="00C87BBE" w:rsidRPr="00EB3788" w:rsidRDefault="00C87BBE" w:rsidP="00446C37">
      <w:pPr>
        <w:rPr>
          <w:rFonts w:asciiTheme="majorHAnsi" w:hAnsiTheme="majorHAnsi"/>
          <w:sz w:val="16"/>
          <w:szCs w:val="16"/>
          <w:lang w:eastAsia="ja-JP"/>
        </w:rPr>
      </w:pPr>
    </w:p>
    <w:p w14:paraId="3C0A49B1" w14:textId="1A07EAF7" w:rsidR="00885981" w:rsidRPr="00EB3788" w:rsidRDefault="00426574" w:rsidP="00446C37">
      <w:pPr>
        <w:pStyle w:val="Heading3"/>
        <w:ind w:left="0"/>
      </w:pPr>
      <w:r w:rsidRPr="00EB3788">
        <w:t>Tabulated list of adverse reactions</w:t>
      </w:r>
    </w:p>
    <w:p w14:paraId="26CDA022" w14:textId="7182706D" w:rsidR="00426574" w:rsidRPr="00EB3788" w:rsidRDefault="00426574" w:rsidP="00446C37">
      <w:pPr>
        <w:autoSpaceDE w:val="0"/>
        <w:autoSpaceDN w:val="0"/>
        <w:adjustRightInd w:val="0"/>
        <w:snapToGrid w:val="0"/>
        <w:spacing w:before="240"/>
        <w:rPr>
          <w:rFonts w:asciiTheme="majorHAnsi" w:eastAsia="Times New Roman" w:hAnsiTheme="majorHAnsi" w:cs="TimesNewRoman"/>
          <w:color w:val="000000"/>
          <w:szCs w:val="24"/>
        </w:rPr>
      </w:pPr>
      <w:r w:rsidRPr="00EB3788">
        <w:rPr>
          <w:rFonts w:asciiTheme="majorHAnsi" w:eastAsia="Times New Roman" w:hAnsiTheme="majorHAnsi" w:cs="TimesNewRoman"/>
          <w:color w:val="000000"/>
          <w:szCs w:val="24"/>
        </w:rPr>
        <w:t>Adverse reactions are classified according to frequency and System Organ Class (SOC). Frequency categories are defined as: very common (≥1/10); common (≥1/100 to &lt;1/10); uncommon (≥1/1,000 to &lt;1/100); rare (≥1/10,000 to &lt;1/1000); very rare (&lt;1/10,000); not known (cannot be estimated from the available data). Within each System Organ Class, undesirable effects are presented in order of decreasing seriousness.</w:t>
      </w:r>
      <w:r w:rsidR="00862B8B" w:rsidRPr="00EB3788">
        <w:rPr>
          <w:rFonts w:asciiTheme="majorHAnsi" w:eastAsia="Times New Roman" w:hAnsiTheme="majorHAnsi" w:cs="TimesNewRoman"/>
          <w:color w:val="000000"/>
          <w:szCs w:val="24"/>
        </w:rPr>
        <w:t xml:space="preserve"> </w:t>
      </w:r>
      <w:r w:rsidR="00862B8B" w:rsidRPr="00EB3788">
        <w:rPr>
          <w:rFonts w:asciiTheme="majorHAnsi" w:eastAsia="Times New Roman" w:hAnsiTheme="majorHAnsi" w:cs="TimesNewRoman"/>
          <w:color w:val="0000EE"/>
          <w:szCs w:val="24"/>
        </w:rPr>
        <w:fldChar w:fldCharType="begin" w:fldLock="1"/>
      </w:r>
      <w:r w:rsidR="00862B8B" w:rsidRPr="00EB3788">
        <w:rPr>
          <w:rFonts w:asciiTheme="majorHAnsi" w:eastAsia="Times New Roman" w:hAnsiTheme="majorHAnsi" w:cs="TimesNewRoman"/>
          <w:color w:val="0000EE"/>
          <w:szCs w:val="24"/>
        </w:rPr>
        <w:instrText xml:space="preserve"> REF _Ref171433801 \h </w:instrText>
      </w:r>
      <w:r w:rsidR="00446AC8" w:rsidRPr="00EB3788">
        <w:rPr>
          <w:rFonts w:asciiTheme="majorHAnsi" w:eastAsia="Times New Roman" w:hAnsiTheme="majorHAnsi" w:cs="TimesNewRoman"/>
          <w:color w:val="0000EE"/>
          <w:szCs w:val="24"/>
        </w:rPr>
        <w:instrText xml:space="preserve"> \* MERGEFORMAT </w:instrText>
      </w:r>
      <w:r w:rsidR="00862B8B" w:rsidRPr="00EB3788">
        <w:rPr>
          <w:rFonts w:asciiTheme="majorHAnsi" w:eastAsia="Times New Roman" w:hAnsiTheme="majorHAnsi" w:cs="TimesNewRoman"/>
          <w:color w:val="0000EE"/>
          <w:szCs w:val="24"/>
        </w:rPr>
      </w:r>
      <w:r w:rsidR="00862B8B" w:rsidRPr="00EB3788">
        <w:rPr>
          <w:rFonts w:asciiTheme="majorHAnsi" w:eastAsia="Times New Roman" w:hAnsiTheme="majorHAnsi" w:cs="TimesNewRoman"/>
          <w:color w:val="0000EE"/>
          <w:szCs w:val="24"/>
        </w:rPr>
        <w:fldChar w:fldCharType="separate"/>
      </w:r>
      <w:r w:rsidR="00425866" w:rsidRPr="00EB3788">
        <w:rPr>
          <w:rFonts w:asciiTheme="majorHAnsi" w:hAnsiTheme="majorHAnsi"/>
          <w:color w:val="0000EE"/>
        </w:rPr>
        <w:t>Table 8</w:t>
      </w:r>
      <w:r w:rsidR="00862B8B" w:rsidRPr="00EB3788">
        <w:rPr>
          <w:rFonts w:asciiTheme="majorHAnsi" w:eastAsia="Times New Roman" w:hAnsiTheme="majorHAnsi" w:cs="TimesNewRoman"/>
          <w:color w:val="0000EE"/>
          <w:szCs w:val="24"/>
        </w:rPr>
        <w:fldChar w:fldCharType="end"/>
      </w:r>
      <w:r w:rsidR="00862B8B" w:rsidRPr="00EB3788">
        <w:rPr>
          <w:rFonts w:asciiTheme="majorHAnsi" w:eastAsia="Times New Roman" w:hAnsiTheme="majorHAnsi" w:cs="TimesNewRoman"/>
          <w:color w:val="000000"/>
          <w:szCs w:val="24"/>
        </w:rPr>
        <w:t xml:space="preserve"> shows </w:t>
      </w:r>
      <w:r w:rsidR="006668AB" w:rsidRPr="00EB3788">
        <w:rPr>
          <w:rFonts w:asciiTheme="majorHAnsi" w:hAnsiTheme="majorHAnsi" w:cs="TimesNewRoman" w:hint="eastAsia"/>
          <w:color w:val="000000"/>
          <w:szCs w:val="24"/>
          <w:lang w:eastAsia="ja-JP"/>
        </w:rPr>
        <w:t>the tabulated list of</w:t>
      </w:r>
      <w:r w:rsidR="00862B8B" w:rsidRPr="00EB3788">
        <w:rPr>
          <w:rFonts w:asciiTheme="majorHAnsi" w:eastAsia="Times New Roman" w:hAnsiTheme="majorHAnsi" w:cs="TimesNewRoman"/>
          <w:color w:val="000000"/>
          <w:szCs w:val="24"/>
        </w:rPr>
        <w:t xml:space="preserve"> </w:t>
      </w:r>
      <w:r w:rsidR="00601589" w:rsidRPr="00EB3788">
        <w:rPr>
          <w:rFonts w:asciiTheme="majorHAnsi" w:hAnsiTheme="majorHAnsi" w:cs="TimesNewRoman"/>
          <w:color w:val="000000" w:themeColor="text1"/>
          <w:lang w:eastAsia="ja-JP"/>
        </w:rPr>
        <w:t>common</w:t>
      </w:r>
      <w:r w:rsidR="00601589" w:rsidRPr="00EB3788">
        <w:rPr>
          <w:rFonts w:asciiTheme="majorHAnsi" w:hAnsiTheme="majorHAnsi" w:cs="TimesNewRoman" w:hint="eastAsia"/>
          <w:color w:val="000000" w:themeColor="text1"/>
          <w:lang w:eastAsia="ja-JP"/>
        </w:rPr>
        <w:t xml:space="preserve"> </w:t>
      </w:r>
      <w:r w:rsidR="00862B8B" w:rsidRPr="00EB3788">
        <w:rPr>
          <w:rFonts w:asciiTheme="majorHAnsi" w:eastAsia="Times New Roman" w:hAnsiTheme="majorHAnsi" w:cs="TimesNewRoman"/>
          <w:color w:val="000000"/>
          <w:szCs w:val="24"/>
        </w:rPr>
        <w:t xml:space="preserve">adverse reactions </w:t>
      </w:r>
      <w:r w:rsidR="00446AC8" w:rsidRPr="00EB3788">
        <w:rPr>
          <w:rFonts w:asciiTheme="majorHAnsi" w:eastAsia="Times New Roman" w:hAnsiTheme="majorHAnsi" w:cs="TimesNewRoman"/>
          <w:color w:val="000000"/>
          <w:szCs w:val="24"/>
        </w:rPr>
        <w:t xml:space="preserve">reported with </w:t>
      </w:r>
      <w:r w:rsidR="00D10118" w:rsidRPr="00EB3788">
        <w:rPr>
          <w:rFonts w:asciiTheme="majorHAnsi" w:eastAsia="Times New Roman" w:hAnsiTheme="majorHAnsi" w:cs="TimesNewRoman"/>
          <w:color w:val="000000"/>
          <w:szCs w:val="24"/>
        </w:rPr>
        <w:t>Fetroja</w:t>
      </w:r>
      <w:r w:rsidR="00601589" w:rsidRPr="00EB3788">
        <w:rPr>
          <w:rFonts w:asciiTheme="majorHAnsi" w:eastAsia="Times New Roman" w:hAnsiTheme="majorHAnsi" w:cs="TimesNewRoman"/>
          <w:color w:val="000000"/>
          <w:szCs w:val="24"/>
        </w:rPr>
        <w:t xml:space="preserve"> </w:t>
      </w:r>
      <w:r w:rsidR="00601589" w:rsidRPr="004664E6">
        <w:rPr>
          <w:rFonts w:asciiTheme="majorHAnsi" w:eastAsia="Times New Roman" w:hAnsiTheme="majorHAnsi" w:cs="TimesNewRoman"/>
          <w:color w:val="000000"/>
          <w:szCs w:val="24"/>
        </w:rPr>
        <w:t>in the Phase 2 and 3 studies (i.e. APEKS-</w:t>
      </w:r>
      <w:proofErr w:type="spellStart"/>
      <w:r w:rsidR="00601589" w:rsidRPr="004664E6">
        <w:rPr>
          <w:rFonts w:asciiTheme="majorHAnsi" w:eastAsia="Times New Roman" w:hAnsiTheme="majorHAnsi" w:cs="TimesNewRoman"/>
          <w:color w:val="000000"/>
          <w:szCs w:val="24"/>
        </w:rPr>
        <w:t>cUTI</w:t>
      </w:r>
      <w:proofErr w:type="spellEnd"/>
      <w:r w:rsidR="00601589" w:rsidRPr="004664E6">
        <w:rPr>
          <w:rFonts w:asciiTheme="majorHAnsi" w:eastAsia="Times New Roman" w:hAnsiTheme="majorHAnsi" w:cs="TimesNewRoman"/>
          <w:color w:val="000000"/>
          <w:szCs w:val="24"/>
        </w:rPr>
        <w:t>, CREDIBLE-CR and APEKS-NP study)</w:t>
      </w:r>
      <w:r w:rsidR="00514812" w:rsidRPr="00EB3788">
        <w:rPr>
          <w:rFonts w:asciiTheme="majorHAnsi" w:eastAsia="Times New Roman" w:hAnsiTheme="majorHAnsi" w:cs="TimesNewRoman"/>
          <w:color w:val="000000"/>
          <w:szCs w:val="24"/>
        </w:rPr>
        <w:t>.</w:t>
      </w:r>
    </w:p>
    <w:p w14:paraId="63FB81AC" w14:textId="79193597" w:rsidR="00B66385" w:rsidRPr="00EB3788" w:rsidRDefault="47A4AF2C" w:rsidP="00446C37">
      <w:pPr>
        <w:pStyle w:val="Caption"/>
        <w:keepNext/>
        <w:rPr>
          <w:rFonts w:asciiTheme="majorHAnsi" w:hAnsiTheme="majorHAnsi"/>
          <w:b w:val="0"/>
          <w:i/>
        </w:rPr>
      </w:pPr>
      <w:bookmarkStart w:id="19" w:name="_Ref171433801"/>
      <w:r w:rsidRPr="00EB3788">
        <w:rPr>
          <w:rFonts w:asciiTheme="majorHAnsi" w:hAnsiTheme="majorHAnsi"/>
        </w:rPr>
        <w:t xml:space="preserve">Table </w:t>
      </w:r>
      <w:r w:rsidR="263F0FC2" w:rsidRPr="00EB3788">
        <w:rPr>
          <w:rFonts w:asciiTheme="majorHAnsi" w:hAnsiTheme="majorHAnsi"/>
        </w:rPr>
        <w:fldChar w:fldCharType="begin"/>
      </w:r>
      <w:r w:rsidR="263F0FC2" w:rsidRPr="00EB3788">
        <w:rPr>
          <w:rFonts w:asciiTheme="majorHAnsi" w:hAnsiTheme="majorHAnsi"/>
        </w:rPr>
        <w:instrText xml:space="preserve"> SEQ Table \* ARABIC </w:instrText>
      </w:r>
      <w:r w:rsidR="263F0FC2" w:rsidRPr="00EB3788">
        <w:rPr>
          <w:rFonts w:asciiTheme="majorHAnsi" w:hAnsiTheme="majorHAnsi"/>
        </w:rPr>
        <w:fldChar w:fldCharType="separate"/>
      </w:r>
      <w:r w:rsidR="001E66F2" w:rsidRPr="004664E6">
        <w:rPr>
          <w:rFonts w:asciiTheme="majorHAnsi" w:hAnsiTheme="majorHAnsi"/>
        </w:rPr>
        <w:t>8</w:t>
      </w:r>
      <w:r w:rsidR="263F0FC2" w:rsidRPr="00EB3788">
        <w:rPr>
          <w:rFonts w:asciiTheme="majorHAnsi" w:hAnsiTheme="majorHAnsi"/>
        </w:rPr>
        <w:fldChar w:fldCharType="end"/>
      </w:r>
      <w:bookmarkEnd w:id="19"/>
      <w:r w:rsidRPr="00EB3788">
        <w:rPr>
          <w:rFonts w:asciiTheme="majorHAnsi" w:hAnsiTheme="majorHAnsi"/>
        </w:rPr>
        <w:t xml:space="preserve"> Tabulated list of adverse reactions</w:t>
      </w:r>
      <w:r w:rsidR="00601589" w:rsidRPr="00EB3788">
        <w:rPr>
          <w:rFonts w:asciiTheme="majorHAnsi" w:hAnsiTheme="majorHAnsi"/>
        </w:rPr>
        <w:t xml:space="preserve"> occurring in 1% or greater </w:t>
      </w:r>
      <w:r w:rsidR="00601589" w:rsidRPr="00EB3788">
        <w:t>in the Phase 2 and 3 studies</w:t>
      </w:r>
    </w:p>
    <w:tbl>
      <w:tblPr>
        <w:tblStyle w:val="TableNormal1"/>
        <w:tblW w:w="0" w:type="auto"/>
        <w:tblLayout w:type="fixed"/>
        <w:tblCellMar>
          <w:left w:w="28" w:type="dxa"/>
          <w:right w:w="28" w:type="dxa"/>
        </w:tblCellMar>
        <w:tblLook w:val="01E0" w:firstRow="1" w:lastRow="1" w:firstColumn="1" w:lastColumn="1" w:noHBand="0" w:noVBand="0"/>
      </w:tblPr>
      <w:tblGrid>
        <w:gridCol w:w="2407"/>
        <w:gridCol w:w="6521"/>
      </w:tblGrid>
      <w:tr w:rsidR="00601589" w:rsidRPr="00EB3788" w14:paraId="4C32CD6F" w14:textId="77777777" w:rsidTr="00601589">
        <w:trPr>
          <w:tblHeader/>
        </w:trPr>
        <w:tc>
          <w:tcPr>
            <w:tcW w:w="240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77F0872" w14:textId="0C8C1D03" w:rsidR="00601589" w:rsidRPr="00EB3788" w:rsidRDefault="00601589" w:rsidP="00446C37">
            <w:pPr>
              <w:pStyle w:val="TableParagraph"/>
              <w:adjustRightInd w:val="0"/>
              <w:jc w:val="left"/>
              <w:rPr>
                <w:rFonts w:asciiTheme="majorHAnsi" w:hAnsiTheme="majorHAnsi" w:cs="Times New Roman"/>
                <w:b/>
                <w:bCs/>
                <w:snapToGrid w:val="0"/>
                <w:sz w:val="22"/>
                <w:lang w:val="en-AU" w:eastAsia="ja-JP"/>
              </w:rPr>
            </w:pPr>
            <w:r w:rsidRPr="00EB3788">
              <w:rPr>
                <w:rFonts w:asciiTheme="majorHAnsi" w:hAnsiTheme="majorHAnsi" w:cs="Times New Roman"/>
                <w:b/>
                <w:bCs/>
                <w:snapToGrid w:val="0"/>
                <w:sz w:val="22"/>
                <w:lang w:val="en-AU" w:bidi="en-US"/>
              </w:rPr>
              <w:t>System organ class</w:t>
            </w:r>
          </w:p>
        </w:tc>
        <w:tc>
          <w:tcPr>
            <w:tcW w:w="652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F73C7AA" w14:textId="0E888237" w:rsidR="00601589" w:rsidRPr="00EB3788" w:rsidRDefault="00601589" w:rsidP="00446C37">
            <w:pPr>
              <w:pStyle w:val="TableParagraph"/>
              <w:adjustRightInd w:val="0"/>
              <w:jc w:val="left"/>
              <w:rPr>
                <w:rFonts w:asciiTheme="majorHAnsi" w:hAnsiTheme="majorHAnsi" w:cs="Times New Roman"/>
                <w:b/>
                <w:bCs/>
                <w:snapToGrid w:val="0"/>
                <w:sz w:val="22"/>
                <w:lang w:val="en-AU" w:eastAsia="ja-JP"/>
              </w:rPr>
            </w:pPr>
            <w:r w:rsidRPr="00EB3788" w:rsidDel="007302CF">
              <w:rPr>
                <w:rFonts w:asciiTheme="majorHAnsi" w:hAnsiTheme="majorHAnsi" w:cs="Times New Roman"/>
                <w:b/>
                <w:bCs/>
                <w:snapToGrid w:val="0"/>
                <w:sz w:val="22"/>
                <w:lang w:val="en-AU" w:eastAsia="ja-JP"/>
              </w:rPr>
              <w:t>Common (≥1/100 to &lt;1/10)</w:t>
            </w:r>
          </w:p>
        </w:tc>
      </w:tr>
      <w:tr w:rsidR="00601589" w:rsidRPr="00EB3788" w14:paraId="22CBC6AA" w14:textId="77777777" w:rsidTr="00601589">
        <w:trPr>
          <w:cantSplit/>
        </w:trPr>
        <w:tc>
          <w:tcPr>
            <w:tcW w:w="240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40008CB" w14:textId="16155E6C" w:rsidR="00601589" w:rsidRPr="00EB3788" w:rsidRDefault="00601589" w:rsidP="00446C37">
            <w:pPr>
              <w:rPr>
                <w:rFonts w:asciiTheme="majorHAnsi" w:hAnsiTheme="majorHAnsi" w:cs="Times New Roman"/>
                <w:snapToGrid w:val="0"/>
                <w:lang w:val="en-AU" w:eastAsia="ja-JP"/>
              </w:rPr>
            </w:pPr>
            <w:r w:rsidRPr="00EB3788">
              <w:rPr>
                <w:rFonts w:asciiTheme="majorHAnsi" w:eastAsia="MS Mincho" w:hAnsiTheme="majorHAnsi" w:cs="Times New Roman"/>
                <w:snapToGrid w:val="0"/>
                <w:lang w:bidi="en-US"/>
              </w:rPr>
              <w:t>Skin and</w:t>
            </w:r>
            <w:r w:rsidRPr="00EB3788">
              <w:rPr>
                <w:rFonts w:asciiTheme="majorHAnsi" w:eastAsia="MS Mincho" w:hAnsiTheme="majorHAnsi" w:cs="Times New Roman"/>
                <w:snapToGrid w:val="0"/>
                <w:lang w:eastAsia="ja-JP" w:bidi="en-US"/>
              </w:rPr>
              <w:t xml:space="preserve"> </w:t>
            </w:r>
            <w:r w:rsidRPr="00EB3788">
              <w:rPr>
                <w:rFonts w:asciiTheme="majorHAnsi" w:eastAsia="MS Mincho" w:hAnsiTheme="majorHAnsi" w:cs="Times New Roman"/>
                <w:snapToGrid w:val="0"/>
                <w:lang w:bidi="en-US"/>
              </w:rPr>
              <w:t>subcutaneous tissue</w:t>
            </w:r>
            <w:r w:rsidRPr="00EB3788">
              <w:rPr>
                <w:rFonts w:asciiTheme="majorHAnsi" w:eastAsia="MS Mincho" w:hAnsiTheme="majorHAnsi" w:cs="Times New Roman"/>
                <w:snapToGrid w:val="0"/>
                <w:lang w:eastAsia="ja-JP" w:bidi="en-US"/>
              </w:rPr>
              <w:t xml:space="preserve"> </w:t>
            </w:r>
            <w:r w:rsidRPr="00EB3788">
              <w:rPr>
                <w:rFonts w:asciiTheme="majorHAnsi" w:hAnsiTheme="majorHAnsi" w:cs="Times New Roman"/>
                <w:snapToGrid w:val="0"/>
                <w:lang w:val="en-AU" w:bidi="en-US"/>
              </w:rPr>
              <w:t>disorders</w:t>
            </w:r>
            <w:r w:rsidRPr="00EB3788" w:rsidDel="00BC671B">
              <w:rPr>
                <w:rFonts w:asciiTheme="majorHAnsi" w:hAnsiTheme="majorHAnsi" w:cs="Times New Roman"/>
                <w:snapToGrid w:val="0"/>
                <w:lang w:val="en-AU" w:bidi="en-US"/>
              </w:rPr>
              <w:t xml:space="preserve"> </w:t>
            </w:r>
          </w:p>
        </w:tc>
        <w:tc>
          <w:tcPr>
            <w:tcW w:w="652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05E3C0C" w14:textId="485AEC2C" w:rsidR="00601589" w:rsidRPr="00EB3788" w:rsidRDefault="00601589" w:rsidP="00446C37">
            <w:pPr>
              <w:adjustRightInd w:val="0"/>
              <w:rPr>
                <w:rFonts w:asciiTheme="majorHAnsi" w:hAnsiTheme="majorHAnsi" w:cs="Times New Roman"/>
                <w:snapToGrid w:val="0"/>
                <w:lang w:val="en-AU" w:eastAsia="ja-JP"/>
              </w:rPr>
            </w:pPr>
            <w:r w:rsidRPr="00EB3788" w:rsidDel="007302CF">
              <w:rPr>
                <w:rFonts w:asciiTheme="majorHAnsi" w:hAnsiTheme="majorHAnsi" w:cs="Times New Roman"/>
                <w:snapToGrid w:val="0"/>
                <w:lang w:val="en-AU" w:eastAsia="ja-JP"/>
              </w:rPr>
              <w:t>Rash, rash macular, rash maculo-papular, rash erythematous and drug eruption</w:t>
            </w:r>
          </w:p>
        </w:tc>
      </w:tr>
      <w:tr w:rsidR="00601589" w:rsidRPr="00EB3788" w14:paraId="0F31A8A3" w14:textId="77777777" w:rsidTr="00601589">
        <w:trPr>
          <w:cantSplit/>
        </w:trPr>
        <w:tc>
          <w:tcPr>
            <w:tcW w:w="240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E913E5F" w14:textId="60F856CF" w:rsidR="00601589" w:rsidRPr="00EB3788" w:rsidRDefault="00601589" w:rsidP="00446C37">
            <w:pPr>
              <w:pStyle w:val="TableParagraph"/>
              <w:adjustRightInd w:val="0"/>
              <w:jc w:val="left"/>
              <w:rPr>
                <w:rFonts w:asciiTheme="majorHAnsi" w:hAnsiTheme="majorHAnsi" w:cs="Times New Roman"/>
                <w:snapToGrid w:val="0"/>
                <w:sz w:val="22"/>
                <w:lang w:val="en-AU" w:bidi="en-US"/>
              </w:rPr>
            </w:pPr>
            <w:r w:rsidRPr="00EB3788">
              <w:rPr>
                <w:rFonts w:asciiTheme="majorHAnsi" w:hAnsiTheme="majorHAnsi" w:cs="Times New Roman"/>
                <w:snapToGrid w:val="0"/>
                <w:sz w:val="22"/>
                <w:lang w:val="en-AU" w:bidi="en-US"/>
              </w:rPr>
              <w:t>Respiratory, thoracic and mediastinal</w:t>
            </w:r>
            <w:r w:rsidRPr="00EB3788">
              <w:rPr>
                <w:rFonts w:asciiTheme="majorHAnsi" w:hAnsiTheme="majorHAnsi" w:cs="Times New Roman" w:hint="eastAsia"/>
                <w:snapToGrid w:val="0"/>
                <w:sz w:val="22"/>
                <w:lang w:val="en-AU" w:eastAsia="ja-JP" w:bidi="en-US"/>
              </w:rPr>
              <w:t xml:space="preserve"> </w:t>
            </w:r>
            <w:r w:rsidRPr="00EB3788">
              <w:rPr>
                <w:rFonts w:asciiTheme="majorHAnsi" w:hAnsiTheme="majorHAnsi" w:cs="Times New Roman"/>
                <w:snapToGrid w:val="0"/>
                <w:sz w:val="22"/>
                <w:lang w:val="en-AU" w:bidi="en-US"/>
              </w:rPr>
              <w:t>disorders</w:t>
            </w:r>
          </w:p>
        </w:tc>
        <w:tc>
          <w:tcPr>
            <w:tcW w:w="652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512C1D1" w14:textId="63232F18" w:rsidR="00601589" w:rsidRPr="00EB3788" w:rsidRDefault="00601589" w:rsidP="00446C37">
            <w:pPr>
              <w:adjustRightInd w:val="0"/>
              <w:rPr>
                <w:rFonts w:asciiTheme="majorHAnsi" w:hAnsiTheme="majorHAnsi" w:cs="Times New Roman"/>
                <w:snapToGrid w:val="0"/>
                <w:lang w:val="en-AU" w:eastAsia="ja-JP"/>
              </w:rPr>
            </w:pPr>
            <w:r w:rsidRPr="00EB3788" w:rsidDel="007302CF">
              <w:rPr>
                <w:rFonts w:asciiTheme="majorHAnsi" w:hAnsiTheme="majorHAnsi" w:cs="Times New Roman"/>
                <w:snapToGrid w:val="0"/>
                <w:lang w:val="en-AU" w:eastAsia="ja-JP"/>
              </w:rPr>
              <w:t>Cough</w:t>
            </w:r>
          </w:p>
        </w:tc>
      </w:tr>
      <w:tr w:rsidR="00601589" w:rsidRPr="00EB3788" w14:paraId="1B166062" w14:textId="77777777" w:rsidTr="00601589">
        <w:trPr>
          <w:cantSplit/>
        </w:trPr>
        <w:tc>
          <w:tcPr>
            <w:tcW w:w="240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F1F1EF2" w14:textId="56ED01BE" w:rsidR="00601589" w:rsidRPr="00EB3788" w:rsidRDefault="00601589" w:rsidP="00446C37">
            <w:pPr>
              <w:pStyle w:val="TableParagraph"/>
              <w:adjustRightInd w:val="0"/>
              <w:jc w:val="left"/>
              <w:rPr>
                <w:rFonts w:asciiTheme="majorHAnsi" w:hAnsiTheme="majorHAnsi" w:cs="Times New Roman"/>
                <w:snapToGrid w:val="0"/>
                <w:sz w:val="22"/>
                <w:lang w:val="en-AU" w:eastAsia="ja-JP"/>
              </w:rPr>
            </w:pPr>
            <w:r w:rsidRPr="00EB3788">
              <w:rPr>
                <w:rFonts w:asciiTheme="majorHAnsi" w:hAnsiTheme="majorHAnsi" w:cs="Times New Roman"/>
                <w:snapToGrid w:val="0"/>
                <w:sz w:val="22"/>
                <w:lang w:val="en-AU" w:bidi="en-US"/>
              </w:rPr>
              <w:t>Investigations</w:t>
            </w:r>
          </w:p>
        </w:tc>
        <w:tc>
          <w:tcPr>
            <w:tcW w:w="652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F330C8" w14:textId="3899A1C2" w:rsidR="00601589" w:rsidRPr="00EB3788" w:rsidRDefault="00601589" w:rsidP="00446C37">
            <w:pPr>
              <w:pStyle w:val="TableParagraph"/>
              <w:adjustRightInd w:val="0"/>
              <w:jc w:val="left"/>
              <w:rPr>
                <w:rFonts w:asciiTheme="majorHAnsi" w:hAnsiTheme="majorHAnsi" w:cs="Times New Roman"/>
                <w:snapToGrid w:val="0"/>
                <w:sz w:val="22"/>
                <w:lang w:val="en-AU" w:bidi="en-US"/>
              </w:rPr>
            </w:pPr>
            <w:r w:rsidRPr="00EB3788" w:rsidDel="007302CF">
              <w:rPr>
                <w:rFonts w:asciiTheme="majorHAnsi" w:hAnsiTheme="majorHAnsi" w:cs="Times New Roman"/>
                <w:snapToGrid w:val="0"/>
                <w:sz w:val="22"/>
                <w:lang w:val="en-AU" w:bidi="en-US"/>
              </w:rPr>
              <w:t>Alanine aminotransferase</w:t>
            </w:r>
            <w:r w:rsidRPr="00EB3788" w:rsidDel="007302CF">
              <w:rPr>
                <w:rFonts w:asciiTheme="majorHAnsi" w:hAnsiTheme="majorHAnsi" w:cs="Times New Roman"/>
                <w:snapToGrid w:val="0"/>
                <w:sz w:val="22"/>
                <w:lang w:val="en-AU" w:eastAsia="ja-JP" w:bidi="en-US"/>
              </w:rPr>
              <w:t xml:space="preserve"> </w:t>
            </w:r>
            <w:r w:rsidRPr="00EB3788" w:rsidDel="007302CF">
              <w:rPr>
                <w:rFonts w:asciiTheme="majorHAnsi" w:hAnsiTheme="majorHAnsi" w:cs="Times New Roman"/>
                <w:snapToGrid w:val="0"/>
                <w:sz w:val="22"/>
                <w:lang w:val="en-AU" w:bidi="en-US"/>
              </w:rPr>
              <w:t>(ALT) increased, Aspartate aminotransferase (AST) increased, Gamma- glutamyltransferase (GGT) increased, Hepatic function abnormal, liver function test increased, hepatic enzyme increased, transaminases</w:t>
            </w:r>
            <w:r w:rsidRPr="00EB3788" w:rsidDel="007302CF">
              <w:rPr>
                <w:rFonts w:asciiTheme="majorHAnsi" w:hAnsiTheme="majorHAnsi" w:cs="Times New Roman"/>
                <w:snapToGrid w:val="0"/>
                <w:sz w:val="22"/>
                <w:lang w:val="en-AU" w:eastAsia="ja-JP" w:bidi="en-US"/>
              </w:rPr>
              <w:t xml:space="preserve"> </w:t>
            </w:r>
            <w:r w:rsidRPr="00EB3788" w:rsidDel="007302CF">
              <w:rPr>
                <w:rFonts w:asciiTheme="majorHAnsi" w:hAnsiTheme="majorHAnsi" w:cs="Times New Roman"/>
                <w:snapToGrid w:val="0"/>
                <w:sz w:val="22"/>
                <w:lang w:val="en-AU" w:bidi="en-US"/>
              </w:rPr>
              <w:t xml:space="preserve">increased and liver function test abnormal </w:t>
            </w:r>
          </w:p>
        </w:tc>
      </w:tr>
      <w:tr w:rsidR="00601589" w:rsidRPr="00EB3788" w14:paraId="4907FB30" w14:textId="77777777" w:rsidTr="00601589">
        <w:trPr>
          <w:cantSplit/>
        </w:trPr>
        <w:tc>
          <w:tcPr>
            <w:tcW w:w="240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47C62C6" w14:textId="59AFBD92" w:rsidR="00601589" w:rsidRPr="00EB3788" w:rsidRDefault="00601589" w:rsidP="00446C37">
            <w:pPr>
              <w:pStyle w:val="TableParagraph"/>
              <w:adjustRightInd w:val="0"/>
              <w:jc w:val="left"/>
              <w:rPr>
                <w:rFonts w:asciiTheme="majorHAnsi" w:hAnsiTheme="majorHAnsi" w:cs="Times New Roman"/>
                <w:snapToGrid w:val="0"/>
                <w:sz w:val="22"/>
                <w:lang w:val="en-AU" w:eastAsia="ja-JP"/>
              </w:rPr>
            </w:pPr>
            <w:r w:rsidRPr="00EB3788">
              <w:rPr>
                <w:rFonts w:asciiTheme="majorHAnsi" w:hAnsiTheme="majorHAnsi" w:cs="Times New Roman"/>
                <w:snapToGrid w:val="0"/>
                <w:sz w:val="22"/>
                <w:lang w:val="en-AU" w:bidi="en-US"/>
              </w:rPr>
              <w:t>Gastrointestinal disorders</w:t>
            </w:r>
          </w:p>
        </w:tc>
        <w:tc>
          <w:tcPr>
            <w:tcW w:w="652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2E6113B" w14:textId="78DF55D5" w:rsidR="00601589" w:rsidRPr="00EB3788" w:rsidRDefault="00601589" w:rsidP="00446C37">
            <w:pPr>
              <w:pStyle w:val="TableParagraph"/>
              <w:adjustRightInd w:val="0"/>
              <w:jc w:val="left"/>
              <w:rPr>
                <w:rFonts w:asciiTheme="majorHAnsi" w:hAnsiTheme="majorHAnsi" w:cs="Times New Roman"/>
                <w:snapToGrid w:val="0"/>
                <w:sz w:val="22"/>
                <w:lang w:val="en-AU" w:eastAsia="ja-JP"/>
              </w:rPr>
            </w:pPr>
            <w:r w:rsidRPr="00EB3788" w:rsidDel="007302CF">
              <w:rPr>
                <w:rFonts w:asciiTheme="majorHAnsi" w:hAnsiTheme="majorHAnsi" w:cs="Times New Roman"/>
                <w:snapToGrid w:val="0"/>
                <w:sz w:val="22"/>
                <w:lang w:val="en-AU" w:bidi="en-US"/>
              </w:rPr>
              <w:t>Diarrhoea, Nausea, vomiting</w:t>
            </w:r>
          </w:p>
        </w:tc>
      </w:tr>
      <w:tr w:rsidR="00601589" w:rsidRPr="00EB3788" w14:paraId="1AB0ECD1" w14:textId="77777777" w:rsidTr="00601589">
        <w:trPr>
          <w:cantSplit/>
        </w:trPr>
        <w:tc>
          <w:tcPr>
            <w:tcW w:w="240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23C2BE4" w14:textId="29521F0D" w:rsidR="00601589" w:rsidRPr="00EB3788" w:rsidRDefault="00601589" w:rsidP="00446C37">
            <w:pPr>
              <w:pStyle w:val="TableParagraph"/>
              <w:adjustRightInd w:val="0"/>
              <w:jc w:val="left"/>
              <w:rPr>
                <w:rFonts w:asciiTheme="majorHAnsi" w:hAnsiTheme="majorHAnsi" w:cs="Times New Roman"/>
                <w:snapToGrid w:val="0"/>
                <w:sz w:val="22"/>
                <w:lang w:val="en-AU" w:eastAsia="ja-JP"/>
              </w:rPr>
            </w:pPr>
            <w:r w:rsidRPr="00EB3788">
              <w:rPr>
                <w:rFonts w:asciiTheme="majorHAnsi" w:hAnsiTheme="majorHAnsi" w:cs="Times New Roman"/>
                <w:snapToGrid w:val="0"/>
                <w:sz w:val="22"/>
                <w:lang w:val="en-AU" w:eastAsia="ja-JP"/>
              </w:rPr>
              <w:t>Infections and</w:t>
            </w:r>
            <w:r w:rsidRPr="00EB3788">
              <w:rPr>
                <w:rFonts w:asciiTheme="majorHAnsi" w:hAnsiTheme="majorHAnsi" w:cs="Times New Roman" w:hint="eastAsia"/>
                <w:snapToGrid w:val="0"/>
                <w:sz w:val="22"/>
                <w:lang w:val="en-AU" w:eastAsia="ja-JP"/>
              </w:rPr>
              <w:t xml:space="preserve"> </w:t>
            </w:r>
            <w:r w:rsidRPr="00EB3788">
              <w:rPr>
                <w:rFonts w:asciiTheme="majorHAnsi" w:hAnsiTheme="majorHAnsi" w:cs="Times New Roman"/>
                <w:snapToGrid w:val="0"/>
                <w:sz w:val="22"/>
                <w:lang w:val="en-AU" w:eastAsia="ja-JP"/>
              </w:rPr>
              <w:t>infestations</w:t>
            </w:r>
          </w:p>
        </w:tc>
        <w:tc>
          <w:tcPr>
            <w:tcW w:w="652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96CA04B" w14:textId="126DCA70" w:rsidR="00601589" w:rsidRPr="00EB3788" w:rsidRDefault="00601589" w:rsidP="00446C37">
            <w:pPr>
              <w:adjustRightInd w:val="0"/>
              <w:rPr>
                <w:rFonts w:asciiTheme="majorHAnsi" w:hAnsiTheme="majorHAnsi" w:cs="Times New Roman"/>
                <w:snapToGrid w:val="0"/>
                <w:lang w:val="en-AU" w:eastAsia="ja-JP"/>
              </w:rPr>
            </w:pPr>
            <w:r w:rsidRPr="00EB3788" w:rsidDel="007302CF">
              <w:rPr>
                <w:rFonts w:asciiTheme="majorHAnsi" w:hAnsiTheme="majorHAnsi" w:cs="Times New Roman"/>
                <w:snapToGrid w:val="0"/>
                <w:lang w:val="en-AU" w:eastAsia="ja-JP"/>
              </w:rPr>
              <w:t xml:space="preserve">Candida infection, oral candidiasis, vulvovaginal candidiasis, </w:t>
            </w:r>
            <w:proofErr w:type="spellStart"/>
            <w:r w:rsidRPr="00EB3788" w:rsidDel="007302CF">
              <w:rPr>
                <w:rFonts w:asciiTheme="majorHAnsi" w:hAnsiTheme="majorHAnsi" w:cs="Times New Roman"/>
                <w:snapToGrid w:val="0"/>
                <w:lang w:val="en-AU" w:eastAsia="ja-JP"/>
              </w:rPr>
              <w:t>candiduria</w:t>
            </w:r>
            <w:proofErr w:type="spellEnd"/>
            <w:r w:rsidRPr="00EB3788" w:rsidDel="007302CF">
              <w:rPr>
                <w:rFonts w:asciiTheme="majorHAnsi" w:hAnsiTheme="majorHAnsi" w:cs="Times New Roman"/>
                <w:snapToGrid w:val="0"/>
                <w:lang w:val="en-AU" w:eastAsia="ja-JP"/>
              </w:rPr>
              <w:t xml:space="preserve">, </w:t>
            </w:r>
            <w:r w:rsidRPr="00EB3788" w:rsidDel="007302CF">
              <w:rPr>
                <w:rFonts w:asciiTheme="majorHAnsi" w:hAnsiTheme="majorHAnsi" w:cs="Times New Roman"/>
                <w:i/>
                <w:iCs/>
                <w:snapToGrid w:val="0"/>
                <w:lang w:eastAsia="ja-JP"/>
              </w:rPr>
              <w:t>Clostridium difficile</w:t>
            </w:r>
            <w:r w:rsidRPr="00EB3788" w:rsidDel="007302CF">
              <w:rPr>
                <w:rFonts w:asciiTheme="majorHAnsi" w:hAnsiTheme="majorHAnsi" w:cs="Times New Roman"/>
                <w:snapToGrid w:val="0"/>
                <w:lang w:val="en-AU" w:eastAsia="ja-JP"/>
              </w:rPr>
              <w:t xml:space="preserve"> colitis, pseudomembranous colitis and </w:t>
            </w:r>
            <w:r w:rsidRPr="00EB3788" w:rsidDel="007302CF">
              <w:rPr>
                <w:rFonts w:asciiTheme="majorHAnsi" w:hAnsiTheme="majorHAnsi" w:cs="Times New Roman"/>
                <w:i/>
                <w:iCs/>
                <w:snapToGrid w:val="0"/>
                <w:lang w:eastAsia="ja-JP"/>
              </w:rPr>
              <w:t>Clostridium difficile</w:t>
            </w:r>
            <w:r w:rsidRPr="00EB3788" w:rsidDel="007302CF">
              <w:rPr>
                <w:rFonts w:asciiTheme="majorHAnsi" w:hAnsiTheme="majorHAnsi" w:cs="Times New Roman"/>
                <w:snapToGrid w:val="0"/>
                <w:lang w:val="en-AU" w:eastAsia="ja-JP"/>
              </w:rPr>
              <w:t xml:space="preserve"> infection</w:t>
            </w:r>
          </w:p>
        </w:tc>
      </w:tr>
      <w:tr w:rsidR="00601589" w:rsidRPr="00EB3788" w14:paraId="38949611" w14:textId="77777777" w:rsidTr="00601589">
        <w:trPr>
          <w:cantSplit/>
        </w:trPr>
        <w:tc>
          <w:tcPr>
            <w:tcW w:w="240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79DEB4" w14:textId="61B1924B" w:rsidR="00601589" w:rsidRPr="00EB3788" w:rsidRDefault="00601589" w:rsidP="00446C37">
            <w:pPr>
              <w:pStyle w:val="TableParagraph"/>
              <w:adjustRightInd w:val="0"/>
              <w:jc w:val="left"/>
              <w:rPr>
                <w:rFonts w:asciiTheme="majorHAnsi" w:hAnsiTheme="majorHAnsi" w:cs="Times New Roman"/>
                <w:snapToGrid w:val="0"/>
                <w:sz w:val="22"/>
                <w:lang w:val="en-AU" w:eastAsia="ja-JP"/>
              </w:rPr>
            </w:pPr>
            <w:r w:rsidRPr="00EB3788">
              <w:rPr>
                <w:rFonts w:asciiTheme="majorHAnsi" w:hAnsiTheme="majorHAnsi" w:cs="Times New Roman"/>
                <w:snapToGrid w:val="0"/>
                <w:sz w:val="22"/>
                <w:lang w:val="en-AU" w:eastAsia="ja-JP"/>
              </w:rPr>
              <w:t>General disorders and administration site conditions</w:t>
            </w:r>
          </w:p>
        </w:tc>
        <w:tc>
          <w:tcPr>
            <w:tcW w:w="652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E614B86" w14:textId="18FBF432" w:rsidR="00601589" w:rsidRPr="00EB3788" w:rsidRDefault="00601589" w:rsidP="00446C37">
            <w:pPr>
              <w:adjustRightInd w:val="0"/>
              <w:rPr>
                <w:rFonts w:asciiTheme="majorHAnsi" w:hAnsiTheme="majorHAnsi" w:cs="Times New Roman"/>
                <w:snapToGrid w:val="0"/>
                <w:lang w:val="en-AU" w:eastAsia="ja-JP"/>
              </w:rPr>
            </w:pPr>
            <w:r w:rsidRPr="00EB3788" w:rsidDel="007302CF">
              <w:rPr>
                <w:rFonts w:asciiTheme="majorHAnsi" w:hAnsiTheme="majorHAnsi" w:cs="Times New Roman"/>
                <w:snapToGrid w:val="0"/>
                <w:lang w:val="en-AU" w:eastAsia="ja-JP"/>
              </w:rPr>
              <w:t>Infusion site reaction, infusion site pain, injection site pain, infusion site erythema and injection site phlebitis</w:t>
            </w:r>
          </w:p>
        </w:tc>
      </w:tr>
    </w:tbl>
    <w:p w14:paraId="6263C37B" w14:textId="77777777" w:rsidR="00601589" w:rsidRPr="00EB3788" w:rsidRDefault="00601589" w:rsidP="00446C37">
      <w:pPr>
        <w:pStyle w:val="Heading3"/>
        <w:spacing w:after="240"/>
        <w:ind w:left="0"/>
      </w:pPr>
      <w:r w:rsidRPr="00EB3788">
        <w:t>Less common adverse reactions in the Phase 2 and 3 studies</w:t>
      </w:r>
    </w:p>
    <w:p w14:paraId="284F321B" w14:textId="77777777" w:rsidR="00601589" w:rsidRPr="00EB3788" w:rsidRDefault="00601589" w:rsidP="00446C37">
      <w:pPr>
        <w:spacing w:after="0"/>
        <w:rPr>
          <w:rFonts w:asciiTheme="majorHAnsi" w:hAnsiTheme="majorHAnsi"/>
        </w:rPr>
      </w:pPr>
      <w:r w:rsidRPr="00EB3788">
        <w:rPr>
          <w:rFonts w:asciiTheme="majorHAnsi" w:hAnsiTheme="majorHAnsi"/>
        </w:rPr>
        <w:t xml:space="preserve">The following adverse reactions were reported </w:t>
      </w:r>
      <w:r w:rsidRPr="00EB3788">
        <w:rPr>
          <w:rFonts w:asciiTheme="majorHAnsi" w:hAnsiTheme="majorHAnsi"/>
          <w:lang w:eastAsia="ja-JP"/>
        </w:rPr>
        <w:t>with</w:t>
      </w:r>
      <w:r w:rsidRPr="00EB3788">
        <w:rPr>
          <w:rFonts w:asciiTheme="majorHAnsi" w:hAnsiTheme="majorHAnsi"/>
        </w:rPr>
        <w:t xml:space="preserve"> </w:t>
      </w:r>
      <w:r w:rsidRPr="00EB3788">
        <w:rPr>
          <w:rFonts w:asciiTheme="majorHAnsi" w:eastAsia="Times New Roman" w:hAnsiTheme="majorHAnsi" w:cs="TimesNewRoman"/>
          <w:color w:val="000000" w:themeColor="text1"/>
        </w:rPr>
        <w:t>Fetroja</w:t>
      </w:r>
      <w:r w:rsidRPr="00EB3788">
        <w:rPr>
          <w:rFonts w:ascii="MS Mincho" w:eastAsia="MS Mincho" w:hAnsi="MS Mincho" w:cs="MS Mincho" w:hint="eastAsia"/>
          <w:color w:val="000000" w:themeColor="text1"/>
          <w:lang w:eastAsia="ja-JP"/>
        </w:rPr>
        <w:t xml:space="preserve"> </w:t>
      </w:r>
      <w:r w:rsidRPr="00EB3788">
        <w:rPr>
          <w:rFonts w:asciiTheme="majorHAnsi" w:hAnsiTheme="majorHAnsi"/>
        </w:rPr>
        <w:t>at a rate of less than 1%</w:t>
      </w:r>
      <w:r w:rsidRPr="00EB3788">
        <w:rPr>
          <w:rFonts w:asciiTheme="majorHAnsi" w:hAnsiTheme="majorHAnsi" w:hint="eastAsia"/>
          <w:lang w:eastAsia="ja-JP"/>
        </w:rPr>
        <w:t xml:space="preserve"> </w:t>
      </w:r>
      <w:r w:rsidRPr="004664E6">
        <w:rPr>
          <w:rFonts w:asciiTheme="majorHAnsi" w:hAnsiTheme="majorHAnsi" w:cs="TimesNewRoman"/>
          <w:color w:val="000000" w:themeColor="text1"/>
          <w:lang w:eastAsia="ja-JP"/>
        </w:rPr>
        <w:t>in the Phase 2 and 3 studies</w:t>
      </w:r>
      <w:r w:rsidRPr="00EB3788">
        <w:rPr>
          <w:rFonts w:asciiTheme="majorHAnsi" w:hAnsiTheme="majorHAnsi"/>
        </w:rPr>
        <w:t>:</w:t>
      </w:r>
    </w:p>
    <w:p w14:paraId="01420948" w14:textId="77777777" w:rsidR="00601589" w:rsidRPr="00EB3788" w:rsidRDefault="00601589" w:rsidP="00446C37">
      <w:pPr>
        <w:spacing w:after="0"/>
        <w:rPr>
          <w:rFonts w:asciiTheme="majorHAnsi" w:hAnsiTheme="majorHAnsi"/>
          <w:lang w:eastAsia="ja-JP"/>
        </w:rPr>
      </w:pPr>
    </w:p>
    <w:p w14:paraId="124B875D" w14:textId="3A4C5D43" w:rsidR="00601589" w:rsidRPr="00EB3788" w:rsidRDefault="00601589" w:rsidP="00446C37">
      <w:pPr>
        <w:spacing w:after="0"/>
      </w:pPr>
      <w:r w:rsidRPr="00EB3788">
        <w:rPr>
          <w:rFonts w:asciiTheme="majorHAnsi" w:eastAsia="MS Mincho" w:hAnsiTheme="majorHAnsi" w:cs="Times New Roman"/>
          <w:i/>
          <w:iCs/>
          <w:snapToGrid w:val="0"/>
          <w:lang w:bidi="en-US"/>
        </w:rPr>
        <w:t>Skin and</w:t>
      </w:r>
      <w:r w:rsidRPr="00EB3788">
        <w:rPr>
          <w:rFonts w:asciiTheme="majorHAnsi" w:eastAsia="MS Mincho" w:hAnsiTheme="majorHAnsi" w:cs="Times New Roman"/>
          <w:i/>
          <w:iCs/>
          <w:snapToGrid w:val="0"/>
          <w:lang w:eastAsia="ja-JP" w:bidi="en-US"/>
        </w:rPr>
        <w:t xml:space="preserve"> </w:t>
      </w:r>
      <w:r w:rsidRPr="00EB3788">
        <w:rPr>
          <w:rFonts w:asciiTheme="majorHAnsi" w:eastAsia="MS Mincho" w:hAnsiTheme="majorHAnsi" w:cs="Times New Roman"/>
          <w:i/>
          <w:iCs/>
          <w:snapToGrid w:val="0"/>
          <w:lang w:bidi="en-US"/>
        </w:rPr>
        <w:t>subcutaneous tissue</w:t>
      </w:r>
      <w:r w:rsidRPr="00EB3788">
        <w:rPr>
          <w:rFonts w:asciiTheme="majorHAnsi" w:eastAsia="MS Mincho" w:hAnsiTheme="majorHAnsi" w:cs="Times New Roman"/>
          <w:i/>
          <w:iCs/>
          <w:snapToGrid w:val="0"/>
          <w:lang w:eastAsia="ja-JP" w:bidi="en-US"/>
        </w:rPr>
        <w:t xml:space="preserve"> </w:t>
      </w:r>
      <w:r w:rsidRPr="00EB3788">
        <w:rPr>
          <w:rFonts w:asciiTheme="majorHAnsi" w:hAnsiTheme="majorHAnsi" w:cs="Times New Roman"/>
          <w:i/>
          <w:iCs/>
          <w:snapToGrid w:val="0"/>
          <w:lang w:bidi="en-US"/>
        </w:rPr>
        <w:t>disorders</w:t>
      </w:r>
      <w:r w:rsidRPr="004664E6">
        <w:rPr>
          <w:rFonts w:asciiTheme="majorHAnsi" w:hAnsiTheme="majorHAnsi"/>
          <w:i/>
          <w:iCs/>
          <w:lang w:eastAsia="ja-JP"/>
        </w:rPr>
        <w:t xml:space="preserve">: </w:t>
      </w:r>
      <w:r w:rsidRPr="00EB3788">
        <w:rPr>
          <w:rFonts w:asciiTheme="majorHAnsi" w:hAnsiTheme="majorHAnsi" w:cs="Times New Roman"/>
          <w:snapToGrid w:val="0"/>
          <w:lang w:bidi="en-US"/>
        </w:rPr>
        <w:t>Pruritu</w:t>
      </w:r>
      <w:r w:rsidRPr="00EB3788">
        <w:rPr>
          <w:rFonts w:asciiTheme="majorHAnsi" w:hAnsiTheme="majorHAnsi" w:cs="Times New Roman" w:hint="eastAsia"/>
          <w:snapToGrid w:val="0"/>
          <w:lang w:eastAsia="ja-JP" w:bidi="en-US"/>
        </w:rPr>
        <w:t>s</w:t>
      </w:r>
    </w:p>
    <w:p w14:paraId="1734462A" w14:textId="55B4C08B" w:rsidR="17653FE4" w:rsidRPr="00EB3788" w:rsidRDefault="64194738" w:rsidP="00446C37">
      <w:pPr>
        <w:pStyle w:val="Heading3"/>
        <w:spacing w:after="240"/>
        <w:ind w:left="0"/>
      </w:pPr>
      <w:r w:rsidRPr="00EB3788">
        <w:t xml:space="preserve">Post </w:t>
      </w:r>
      <w:r w:rsidR="0070551A" w:rsidRPr="00EB3788">
        <w:t>marketing experience</w:t>
      </w:r>
    </w:p>
    <w:p w14:paraId="4849932A" w14:textId="59482997" w:rsidR="64194738" w:rsidRPr="00EB3788" w:rsidRDefault="64194738" w:rsidP="00446C37">
      <w:pPr>
        <w:spacing w:after="0"/>
      </w:pPr>
      <w:r w:rsidRPr="00EB3788">
        <w:rPr>
          <w:rFonts w:asciiTheme="majorHAnsi" w:hAnsiTheme="majorHAnsi"/>
        </w:rPr>
        <w:t>The following adverse reactions have been identified during post approval use of the</w:t>
      </w:r>
    </w:p>
    <w:p w14:paraId="594F5584" w14:textId="1EF2F54A" w:rsidR="64194738" w:rsidRPr="00EB3788" w:rsidRDefault="64194738" w:rsidP="00446C37">
      <w:pPr>
        <w:spacing w:after="0"/>
        <w:rPr>
          <w:rFonts w:asciiTheme="majorHAnsi" w:hAnsiTheme="majorHAnsi"/>
        </w:rPr>
      </w:pPr>
      <w:r w:rsidRPr="00EB3788">
        <w:rPr>
          <w:rFonts w:asciiTheme="majorHAnsi" w:hAnsiTheme="majorHAnsi"/>
        </w:rPr>
        <w:t>medicinal product. Because these reactions are reported voluntarily from a population</w:t>
      </w:r>
    </w:p>
    <w:p w14:paraId="11E89A25" w14:textId="628C3E2C" w:rsidR="64194738" w:rsidRPr="00EB3788" w:rsidRDefault="64194738" w:rsidP="00446C37">
      <w:pPr>
        <w:spacing w:after="0"/>
        <w:rPr>
          <w:rFonts w:asciiTheme="majorHAnsi" w:hAnsiTheme="majorHAnsi"/>
        </w:rPr>
      </w:pPr>
      <w:r w:rsidRPr="00EB3788">
        <w:rPr>
          <w:rFonts w:asciiTheme="majorHAnsi" w:hAnsiTheme="majorHAnsi"/>
        </w:rPr>
        <w:t>of uncertain size, it is not always possible to reliably estimate their frequencies or</w:t>
      </w:r>
    </w:p>
    <w:p w14:paraId="41550D4C" w14:textId="36A6CD95" w:rsidR="64194738" w:rsidRPr="00EB3788" w:rsidRDefault="64194738" w:rsidP="00446C37">
      <w:pPr>
        <w:spacing w:after="0"/>
        <w:rPr>
          <w:rFonts w:asciiTheme="majorHAnsi" w:hAnsiTheme="majorHAnsi"/>
        </w:rPr>
      </w:pPr>
      <w:r w:rsidRPr="00EB3788">
        <w:rPr>
          <w:rFonts w:asciiTheme="majorHAnsi" w:hAnsiTheme="majorHAnsi"/>
        </w:rPr>
        <w:t>establish a causal relationship to drug exposure.</w:t>
      </w:r>
    </w:p>
    <w:p w14:paraId="144D317A" w14:textId="0CB0B470" w:rsidR="64194738" w:rsidRPr="00EB3788" w:rsidRDefault="64194738" w:rsidP="00446C37">
      <w:pPr>
        <w:spacing w:after="0"/>
        <w:rPr>
          <w:rFonts w:asciiTheme="majorHAnsi" w:hAnsiTheme="majorHAnsi"/>
        </w:rPr>
      </w:pPr>
    </w:p>
    <w:p w14:paraId="3BE3B6E3" w14:textId="0E1C235E" w:rsidR="64194738" w:rsidRPr="00EB3788" w:rsidRDefault="47A4AF2C" w:rsidP="00446C37">
      <w:pPr>
        <w:spacing w:after="0"/>
        <w:rPr>
          <w:rFonts w:asciiTheme="majorHAnsi" w:hAnsiTheme="majorHAnsi"/>
        </w:rPr>
      </w:pPr>
      <w:r w:rsidRPr="00EB3788">
        <w:rPr>
          <w:rFonts w:asciiTheme="majorHAnsi" w:hAnsiTheme="majorHAnsi"/>
          <w:i/>
          <w:iCs/>
        </w:rPr>
        <w:t>Blood and lymphatic system disorders:</w:t>
      </w:r>
      <w:r w:rsidRPr="00EB3788">
        <w:rPr>
          <w:rFonts w:asciiTheme="majorHAnsi" w:hAnsiTheme="majorHAnsi"/>
        </w:rPr>
        <w:t xml:space="preserve"> Neutropenia</w:t>
      </w:r>
      <w:r w:rsidR="00E17205">
        <w:rPr>
          <w:rFonts w:asciiTheme="majorHAnsi" w:hAnsiTheme="majorHAnsi"/>
        </w:rPr>
        <w:t>, Eosinophilia</w:t>
      </w:r>
    </w:p>
    <w:p w14:paraId="5A4E96A8" w14:textId="278AE3DA" w:rsidR="64194738" w:rsidRPr="00EB3788" w:rsidRDefault="47A4AF2C" w:rsidP="00446C37">
      <w:pPr>
        <w:rPr>
          <w:rFonts w:asciiTheme="majorHAnsi" w:hAnsiTheme="majorHAnsi"/>
        </w:rPr>
      </w:pPr>
      <w:r w:rsidRPr="00EB3788">
        <w:rPr>
          <w:rFonts w:asciiTheme="majorHAnsi" w:hAnsiTheme="majorHAnsi"/>
          <w:i/>
          <w:iCs/>
        </w:rPr>
        <w:lastRenderedPageBreak/>
        <w:t>Renal and urinary disorders:</w:t>
      </w:r>
      <w:r w:rsidRPr="00EB3788">
        <w:rPr>
          <w:rFonts w:asciiTheme="majorHAnsi" w:hAnsiTheme="majorHAnsi"/>
        </w:rPr>
        <w:t xml:space="preserve"> Chromaturia</w:t>
      </w:r>
    </w:p>
    <w:p w14:paraId="55A6D1AF" w14:textId="77777777" w:rsidR="0021200F" w:rsidRPr="00EB3788" w:rsidRDefault="0021200F" w:rsidP="00446C37">
      <w:pPr>
        <w:pStyle w:val="Heading3"/>
        <w:spacing w:after="240"/>
        <w:ind w:left="0"/>
      </w:pPr>
      <w:r w:rsidRPr="00EB3788">
        <w:t>Reporting suspected adverse effects</w:t>
      </w:r>
    </w:p>
    <w:p w14:paraId="7BC70667" w14:textId="330879F0" w:rsidR="005B2812" w:rsidRPr="00EB3788" w:rsidRDefault="005B2812" w:rsidP="00446C37">
      <w:r w:rsidRPr="00EB3788">
        <w:rPr>
          <w:rFonts w:asciiTheme="majorHAnsi" w:hAnsiTheme="majorHAnsi" w:cstheme="minorHAnsi"/>
        </w:rPr>
        <w:t xml:space="preserve">Reporting suspected adverse reactions after registration of the medicinal product is important. It allows continued monitoring of the benefit-risk balance of the medicinal product. Healthcare professionals are asked to report any suspected adverse reactions at </w:t>
      </w:r>
      <w:hyperlink r:id="rId12" w:history="1">
        <w:r w:rsidRPr="00EB3788">
          <w:rPr>
            <w:rStyle w:val="Hyperlink"/>
            <w:rFonts w:asciiTheme="majorHAnsi" w:hAnsiTheme="majorHAnsi" w:cstheme="minorHAnsi"/>
          </w:rPr>
          <w:t>www.tga.gov.au/reporting-problems</w:t>
        </w:r>
      </w:hyperlink>
      <w:r w:rsidRPr="00EB3788">
        <w:rPr>
          <w:rFonts w:asciiTheme="majorHAnsi" w:hAnsiTheme="majorHAnsi" w:cstheme="minorHAnsi"/>
        </w:rPr>
        <w:t>.</w:t>
      </w:r>
    </w:p>
    <w:p w14:paraId="1D4DA9D6" w14:textId="77777777" w:rsidR="001A3992" w:rsidRPr="00EB3788" w:rsidRDefault="001A3992" w:rsidP="00446C37">
      <w:pPr>
        <w:pStyle w:val="Heading2"/>
        <w:keepNext/>
        <w:keepLines/>
        <w:spacing w:before="0" w:after="120"/>
      </w:pPr>
      <w:r w:rsidRPr="00EB3788">
        <w:t>Overdose</w:t>
      </w:r>
    </w:p>
    <w:p w14:paraId="123E191F" w14:textId="77777777" w:rsidR="00AC2EA2" w:rsidRPr="00EB3788" w:rsidRDefault="00AC2EA2" w:rsidP="00446C37">
      <w:pPr>
        <w:rPr>
          <w:rFonts w:asciiTheme="majorHAnsi" w:hAnsiTheme="majorHAnsi" w:cstheme="minorHAnsi"/>
        </w:rPr>
      </w:pPr>
      <w:r w:rsidRPr="00EB3788">
        <w:rPr>
          <w:rFonts w:asciiTheme="majorHAnsi" w:hAnsiTheme="majorHAnsi" w:cstheme="minorHAnsi"/>
        </w:rPr>
        <w:t>There is no information on clinical signs and symptoms associated with an overdose of cefiderocol.</w:t>
      </w:r>
    </w:p>
    <w:p w14:paraId="5627188C" w14:textId="038D3C41" w:rsidR="00AC2EA2" w:rsidRPr="00EB3788" w:rsidRDefault="00AC2EA2" w:rsidP="00446C37">
      <w:pPr>
        <w:rPr>
          <w:rFonts w:asciiTheme="majorHAnsi" w:hAnsiTheme="majorHAnsi" w:cstheme="minorHAnsi"/>
        </w:rPr>
      </w:pPr>
      <w:r w:rsidRPr="00EB3788">
        <w:rPr>
          <w:rFonts w:asciiTheme="majorHAnsi" w:hAnsiTheme="majorHAnsi" w:cstheme="minorHAnsi"/>
        </w:rPr>
        <w:t xml:space="preserve">In the event of overdose, patients should be </w:t>
      </w:r>
      <w:r w:rsidR="0063751E" w:rsidRPr="00EB3788">
        <w:rPr>
          <w:rFonts w:asciiTheme="majorHAnsi" w:hAnsiTheme="majorHAnsi" w:cstheme="minorHAnsi"/>
        </w:rPr>
        <w:t>monitored,</w:t>
      </w:r>
      <w:r w:rsidRPr="00EB3788">
        <w:rPr>
          <w:rFonts w:asciiTheme="majorHAnsi" w:hAnsiTheme="majorHAnsi" w:cstheme="minorHAnsi"/>
        </w:rPr>
        <w:t xml:space="preserve"> and treatment discontinuation and general supportive treatment should be considered.</w:t>
      </w:r>
    </w:p>
    <w:p w14:paraId="2F3BD8BF" w14:textId="34E58D4C" w:rsidR="00AC2EA2" w:rsidRPr="00EB3788" w:rsidRDefault="00AC2EA2" w:rsidP="00446C37">
      <w:pPr>
        <w:rPr>
          <w:rFonts w:asciiTheme="majorHAnsi" w:hAnsiTheme="majorHAnsi" w:cstheme="minorHAnsi"/>
        </w:rPr>
      </w:pPr>
      <w:r w:rsidRPr="00EB3788">
        <w:rPr>
          <w:rFonts w:asciiTheme="majorHAnsi" w:hAnsiTheme="majorHAnsi" w:cstheme="minorHAnsi"/>
        </w:rPr>
        <w:t>Approximately 60% of cefiderocol is removed by a 3- to 4-hour haemodialysis session.</w:t>
      </w:r>
    </w:p>
    <w:p w14:paraId="47793981" w14:textId="2EB34A73" w:rsidR="005B2812" w:rsidRPr="00EB3788" w:rsidRDefault="005B2812" w:rsidP="00446C37">
      <w:r w:rsidRPr="00EB3788">
        <w:rPr>
          <w:rFonts w:asciiTheme="majorHAnsi" w:hAnsiTheme="majorHAnsi" w:cstheme="minorHAnsi"/>
        </w:rPr>
        <w:t>For information on the management of overdose, contact the Poisons Information Centre on 13 11 26 (Australia).</w:t>
      </w:r>
    </w:p>
    <w:p w14:paraId="109FDDA3" w14:textId="77777777" w:rsidR="001A3992" w:rsidRPr="00EB3788" w:rsidRDefault="001A3992" w:rsidP="00446C37">
      <w:pPr>
        <w:pStyle w:val="Heading1"/>
        <w:spacing w:before="0" w:after="120"/>
      </w:pPr>
      <w:r w:rsidRPr="00EB3788">
        <w:t>Pharmacological properties</w:t>
      </w:r>
    </w:p>
    <w:p w14:paraId="60066C89" w14:textId="77777777" w:rsidR="001A3992" w:rsidRPr="00EB3788" w:rsidRDefault="001A3992" w:rsidP="00446C37">
      <w:pPr>
        <w:pStyle w:val="Heading2"/>
        <w:spacing w:before="0" w:after="120"/>
      </w:pPr>
      <w:bookmarkStart w:id="20" w:name="_Pharmacodynamic_properties"/>
      <w:bookmarkStart w:id="21" w:name="_Hlk175666273"/>
      <w:bookmarkStart w:id="22" w:name="_Ref176175153"/>
      <w:bookmarkEnd w:id="20"/>
      <w:r w:rsidRPr="00EB3788">
        <w:t>Pharmacodynamic properties</w:t>
      </w:r>
      <w:bookmarkEnd w:id="21"/>
      <w:bookmarkEnd w:id="22"/>
      <w:r w:rsidRPr="00EB3788">
        <w:t xml:space="preserve"> </w:t>
      </w:r>
    </w:p>
    <w:p w14:paraId="2C8CC74D" w14:textId="2B3C4297" w:rsidR="0063751E" w:rsidRPr="00EB3788" w:rsidRDefault="0063751E" w:rsidP="00446C37">
      <w:pPr>
        <w:rPr>
          <w:rFonts w:asciiTheme="majorHAnsi" w:hAnsiTheme="majorHAnsi"/>
        </w:rPr>
      </w:pPr>
      <w:r w:rsidRPr="00EB3788">
        <w:rPr>
          <w:rFonts w:asciiTheme="majorHAnsi" w:hAnsiTheme="majorHAnsi"/>
        </w:rPr>
        <w:t>Pharmacotherapeutic group: Antibacterials for systemic use. ATC code: J01DI04</w:t>
      </w:r>
      <w:r w:rsidR="00F56A48" w:rsidRPr="00EB3788">
        <w:rPr>
          <w:rFonts w:asciiTheme="majorHAnsi" w:hAnsiTheme="majorHAnsi"/>
        </w:rPr>
        <w:t>.</w:t>
      </w:r>
    </w:p>
    <w:p w14:paraId="717EB80E" w14:textId="77777777" w:rsidR="001A3992" w:rsidRPr="00EB3788" w:rsidRDefault="001A3992" w:rsidP="00446C37">
      <w:pPr>
        <w:pStyle w:val="Heading3"/>
        <w:spacing w:before="0" w:after="120"/>
        <w:ind w:left="0"/>
      </w:pPr>
      <w:r w:rsidRPr="00EB3788">
        <w:t>Mechanism of action</w:t>
      </w:r>
    </w:p>
    <w:p w14:paraId="2567797A" w14:textId="3EDEA6DC" w:rsidR="00011682" w:rsidRPr="00EB3788" w:rsidRDefault="2EBEA2C0" w:rsidP="00446C37">
      <w:pPr>
        <w:autoSpaceDE w:val="0"/>
        <w:autoSpaceDN w:val="0"/>
        <w:adjustRightInd w:val="0"/>
        <w:snapToGrid w:val="0"/>
        <w:rPr>
          <w:rFonts w:asciiTheme="majorHAnsi" w:eastAsia="Times New Roman" w:hAnsiTheme="majorHAnsi" w:cs="TimesNewRoman"/>
          <w:color w:val="000000" w:themeColor="text1"/>
        </w:rPr>
      </w:pPr>
      <w:r w:rsidRPr="00EB3788">
        <w:rPr>
          <w:rFonts w:asciiTheme="majorHAnsi" w:eastAsia="Times New Roman" w:hAnsiTheme="majorHAnsi" w:cs="TimesNewRoman"/>
          <w:color w:val="000000" w:themeColor="text1"/>
        </w:rPr>
        <w:t xml:space="preserve">Cefiderocol is a siderophore cephalosporin. In addition to passive diffusion through outer membrane porin channels, cefiderocol </w:t>
      </w:r>
      <w:proofErr w:type="gramStart"/>
      <w:r w:rsidRPr="00EB3788">
        <w:rPr>
          <w:rFonts w:asciiTheme="majorHAnsi" w:eastAsia="Times New Roman" w:hAnsiTheme="majorHAnsi" w:cs="TimesNewRoman"/>
          <w:color w:val="000000" w:themeColor="text1"/>
        </w:rPr>
        <w:t>is able to</w:t>
      </w:r>
      <w:proofErr w:type="gramEnd"/>
      <w:r w:rsidRPr="00EB3788">
        <w:rPr>
          <w:rFonts w:asciiTheme="majorHAnsi" w:eastAsia="Times New Roman" w:hAnsiTheme="majorHAnsi" w:cs="TimesNewRoman"/>
          <w:color w:val="000000" w:themeColor="text1"/>
        </w:rPr>
        <w:t xml:space="preserve"> bind to extracellular free iron via its siderophore side chain, allowing active transport into the periplasmic space of Gram-negative bacteria through siderophore uptake systems. Cefiderocol subsequently binds to penicillin binding proteins (PBPs), inhibiting bacterial peptidoglycan cell wall synthesis which leads to cell lysis.</w:t>
      </w:r>
    </w:p>
    <w:p w14:paraId="75604398" w14:textId="19F9A00B" w:rsidR="00BE7EDD" w:rsidRPr="00EB3788" w:rsidRDefault="00BE7EDD" w:rsidP="00446C37">
      <w:pPr>
        <w:pStyle w:val="Heading3"/>
        <w:spacing w:before="0" w:after="120"/>
        <w:ind w:left="0"/>
      </w:pPr>
      <w:r w:rsidRPr="00EB3788">
        <w:t>Resistance</w:t>
      </w:r>
    </w:p>
    <w:p w14:paraId="5EB9396F" w14:textId="0D666784" w:rsidR="00BE7EDD" w:rsidRPr="004664E6" w:rsidRDefault="00BE7EDD" w:rsidP="00446C37">
      <w:pPr>
        <w:autoSpaceDE w:val="0"/>
        <w:autoSpaceDN w:val="0"/>
        <w:adjustRightInd w:val="0"/>
        <w:snapToGrid w:val="0"/>
        <w:rPr>
          <w:rFonts w:asciiTheme="majorHAnsi" w:hAnsiTheme="majorHAnsi" w:cs="TimesNewRoman"/>
          <w:color w:val="000000" w:themeColor="text1"/>
          <w:lang w:eastAsia="ja-JP"/>
        </w:rPr>
      </w:pPr>
      <w:r w:rsidRPr="004664E6">
        <w:rPr>
          <w:rFonts w:asciiTheme="majorHAnsi" w:eastAsia="Times New Roman" w:hAnsiTheme="majorHAnsi" w:cs="TimesNewRoman"/>
          <w:color w:val="000000" w:themeColor="text1"/>
        </w:rPr>
        <w:t xml:space="preserve">Mechanisms of bacterial resistance that may lead to resistance to cefiderocol include </w:t>
      </w:r>
      <w:r w:rsidR="00216C71" w:rsidRPr="004664E6">
        <w:rPr>
          <w:rFonts w:asciiTheme="majorHAnsi" w:hAnsiTheme="majorHAnsi" w:cs="TimesNewRoman"/>
          <w:color w:val="000000" w:themeColor="text1"/>
          <w:lang w:eastAsia="ja-JP"/>
        </w:rPr>
        <w:t>mutation of</w:t>
      </w:r>
      <w:r w:rsidRPr="004664E6">
        <w:rPr>
          <w:rFonts w:asciiTheme="majorHAnsi" w:eastAsia="Times New Roman" w:hAnsiTheme="majorHAnsi" w:cs="TimesNewRoman"/>
          <w:color w:val="000000" w:themeColor="text1"/>
        </w:rPr>
        <w:t xml:space="preserve"> PBPs; beta-lactamase enzymes with ability to hydrolyse cefiderocol; mutations affecting regulation of bacterial iron uptake; mutations in siderophore transport proteins; overexpression of native bacterial siderophores.</w:t>
      </w:r>
    </w:p>
    <w:p w14:paraId="53BE3BD7" w14:textId="39CFB1CC" w:rsidR="00EA0856" w:rsidRPr="004664E6" w:rsidRDefault="00BE7EDD" w:rsidP="00446C37">
      <w:pPr>
        <w:autoSpaceDE w:val="0"/>
        <w:autoSpaceDN w:val="0"/>
        <w:adjustRightInd w:val="0"/>
        <w:snapToGrid w:val="0"/>
        <w:rPr>
          <w:rFonts w:asciiTheme="majorHAnsi" w:hAnsiTheme="majorHAnsi" w:cs="TimesNewRoman"/>
          <w:color w:val="000000" w:themeColor="text1"/>
          <w:lang w:eastAsia="ja-JP"/>
        </w:rPr>
      </w:pPr>
      <w:r w:rsidRPr="004664E6">
        <w:rPr>
          <w:rFonts w:asciiTheme="majorHAnsi" w:eastAsia="Times New Roman" w:hAnsiTheme="majorHAnsi" w:cs="TimesNewRoman"/>
          <w:color w:val="000000" w:themeColor="text1"/>
        </w:rPr>
        <w:t xml:space="preserve">The </w:t>
      </w:r>
      <w:r w:rsidRPr="004664E6">
        <w:rPr>
          <w:rFonts w:asciiTheme="majorHAnsi" w:eastAsia="Times New Roman" w:hAnsiTheme="majorHAnsi" w:cs="TimesNewRoman"/>
          <w:i/>
          <w:color w:val="000000" w:themeColor="text1"/>
        </w:rPr>
        <w:t>in vitro</w:t>
      </w:r>
      <w:r w:rsidRPr="004664E6">
        <w:rPr>
          <w:rFonts w:asciiTheme="majorHAnsi" w:eastAsia="Times New Roman" w:hAnsiTheme="majorHAnsi" w:cs="TimesNewRoman"/>
          <w:color w:val="000000" w:themeColor="text1"/>
        </w:rPr>
        <w:t xml:space="preserve"> antibacterial activity of cefiderocol is not affected by </w:t>
      </w:r>
      <w:proofErr w:type="gramStart"/>
      <w:r w:rsidRPr="004664E6">
        <w:rPr>
          <w:rFonts w:asciiTheme="majorHAnsi" w:eastAsia="Times New Roman" w:hAnsiTheme="majorHAnsi" w:cs="TimesNewRoman"/>
          <w:color w:val="000000" w:themeColor="text1"/>
        </w:rPr>
        <w:t>the majority of</w:t>
      </w:r>
      <w:proofErr w:type="gramEnd"/>
      <w:r w:rsidRPr="004664E6">
        <w:rPr>
          <w:rFonts w:asciiTheme="majorHAnsi" w:eastAsia="Times New Roman" w:hAnsiTheme="majorHAnsi" w:cs="TimesNewRoman"/>
          <w:color w:val="000000" w:themeColor="text1"/>
        </w:rPr>
        <w:t xml:space="preserve"> beta-lactamases, including </w:t>
      </w:r>
      <w:proofErr w:type="spellStart"/>
      <w:r w:rsidRPr="004664E6">
        <w:rPr>
          <w:rFonts w:asciiTheme="majorHAnsi" w:eastAsia="Times New Roman" w:hAnsiTheme="majorHAnsi" w:cs="TimesNewRoman"/>
          <w:color w:val="000000" w:themeColor="text1"/>
        </w:rPr>
        <w:t>metallo</w:t>
      </w:r>
      <w:proofErr w:type="spellEnd"/>
      <w:r w:rsidRPr="004664E6">
        <w:rPr>
          <w:rFonts w:asciiTheme="majorHAnsi" w:eastAsia="Times New Roman" w:hAnsiTheme="majorHAnsi" w:cs="TimesNewRoman"/>
          <w:color w:val="000000" w:themeColor="text1"/>
        </w:rPr>
        <w:t xml:space="preserve">-enzymes. Due to the siderophore-mediated mode of cell entry, the </w:t>
      </w:r>
      <w:r w:rsidRPr="004664E6">
        <w:rPr>
          <w:rFonts w:asciiTheme="majorHAnsi" w:eastAsia="Times New Roman" w:hAnsiTheme="majorHAnsi" w:cs="TimesNewRoman"/>
          <w:i/>
          <w:color w:val="000000" w:themeColor="text1"/>
        </w:rPr>
        <w:t>in vitro</w:t>
      </w:r>
      <w:r w:rsidRPr="004664E6">
        <w:rPr>
          <w:rFonts w:asciiTheme="majorHAnsi" w:eastAsia="Times New Roman" w:hAnsiTheme="majorHAnsi" w:cs="TimesNewRoman"/>
          <w:color w:val="000000" w:themeColor="text1"/>
        </w:rPr>
        <w:t xml:space="preserve"> activity of cefiderocol activity is generally less affected by porin loss or efflux-mediated resistance compared to many other beta-lactam agents.</w:t>
      </w:r>
    </w:p>
    <w:p w14:paraId="1390DF34" w14:textId="2B85AE9E" w:rsidR="00846F63" w:rsidRDefault="00BE7EDD" w:rsidP="00446C37">
      <w:pPr>
        <w:autoSpaceDE w:val="0"/>
        <w:autoSpaceDN w:val="0"/>
        <w:adjustRightInd w:val="0"/>
        <w:snapToGrid w:val="0"/>
        <w:rPr>
          <w:rFonts w:asciiTheme="majorHAnsi" w:eastAsia="Times New Roman" w:hAnsiTheme="majorHAnsi" w:cs="TimesNewRoman"/>
          <w:color w:val="000000" w:themeColor="text1"/>
        </w:rPr>
      </w:pPr>
      <w:r w:rsidRPr="004664E6">
        <w:rPr>
          <w:rFonts w:asciiTheme="majorHAnsi" w:eastAsia="Times New Roman" w:hAnsiTheme="majorHAnsi" w:cs="TimesNewRoman"/>
          <w:color w:val="000000" w:themeColor="text1"/>
        </w:rPr>
        <w:t>Cefiderocol has little or no activity against Gram-positive or anaerobic bacteria due to intrinsic resistance.</w:t>
      </w:r>
    </w:p>
    <w:p w14:paraId="7D396EB5" w14:textId="77777777" w:rsidR="00846F63" w:rsidRPr="004664E6" w:rsidRDefault="00846F63" w:rsidP="00446C37">
      <w:pPr>
        <w:autoSpaceDE w:val="0"/>
        <w:autoSpaceDN w:val="0"/>
        <w:adjustRightInd w:val="0"/>
        <w:snapToGrid w:val="0"/>
        <w:rPr>
          <w:rFonts w:asciiTheme="majorHAnsi" w:hAnsiTheme="majorHAnsi" w:cs="TimesNewRoman"/>
          <w:i/>
          <w:color w:val="000000" w:themeColor="text1"/>
          <w:lang w:eastAsia="ja-JP"/>
        </w:rPr>
      </w:pPr>
      <w:r w:rsidRPr="004664E6">
        <w:rPr>
          <w:rFonts w:asciiTheme="majorHAnsi" w:hAnsiTheme="majorHAnsi" w:cs="TimesNewRoman"/>
          <w:i/>
          <w:color w:val="000000" w:themeColor="text1"/>
          <w:lang w:eastAsia="ja-JP"/>
        </w:rPr>
        <w:lastRenderedPageBreak/>
        <w:t>Interaction with Other Antimicrobials:</w:t>
      </w:r>
    </w:p>
    <w:p w14:paraId="38C01D56" w14:textId="0C6D355E" w:rsidR="00846F63" w:rsidRPr="004664E6" w:rsidRDefault="00846F63" w:rsidP="00446C37">
      <w:pPr>
        <w:autoSpaceDE w:val="0"/>
        <w:autoSpaceDN w:val="0"/>
        <w:adjustRightInd w:val="0"/>
        <w:snapToGrid w:val="0"/>
        <w:rPr>
          <w:rFonts w:asciiTheme="majorHAnsi" w:hAnsiTheme="majorHAnsi" w:cs="TimesNewRoman"/>
          <w:color w:val="000000" w:themeColor="text1"/>
          <w:lang w:eastAsia="ja-JP"/>
        </w:rPr>
      </w:pPr>
      <w:r w:rsidRPr="004664E6">
        <w:rPr>
          <w:rFonts w:asciiTheme="majorHAnsi" w:hAnsiTheme="majorHAnsi" w:cs="TimesNewRoman"/>
          <w:color w:val="000000" w:themeColor="text1"/>
          <w:lang w:eastAsia="ja-JP"/>
        </w:rPr>
        <w:t>In vitro studies showed no antagonism between cefiderocol and amikacin,</w:t>
      </w:r>
      <w:r w:rsidR="003B0D14" w:rsidRPr="004664E6">
        <w:rPr>
          <w:rFonts w:asciiTheme="majorHAnsi" w:hAnsiTheme="majorHAnsi" w:cs="TimesNewRoman"/>
          <w:color w:val="000000" w:themeColor="text1"/>
          <w:lang w:eastAsia="ja-JP"/>
        </w:rPr>
        <w:t xml:space="preserve"> </w:t>
      </w:r>
      <w:r w:rsidRPr="004664E6">
        <w:rPr>
          <w:rFonts w:asciiTheme="majorHAnsi" w:hAnsiTheme="majorHAnsi" w:cs="TimesNewRoman"/>
          <w:color w:val="000000" w:themeColor="text1"/>
          <w:lang w:eastAsia="ja-JP"/>
        </w:rPr>
        <w:t xml:space="preserve">ceftazidime/avibactam, </w:t>
      </w:r>
      <w:proofErr w:type="spellStart"/>
      <w:r w:rsidRPr="004664E6">
        <w:rPr>
          <w:rFonts w:asciiTheme="majorHAnsi" w:hAnsiTheme="majorHAnsi" w:cs="TimesNewRoman"/>
          <w:color w:val="000000" w:themeColor="text1"/>
          <w:lang w:eastAsia="ja-JP"/>
        </w:rPr>
        <w:t>ceftolozane</w:t>
      </w:r>
      <w:proofErr w:type="spellEnd"/>
      <w:r w:rsidRPr="004664E6">
        <w:rPr>
          <w:rFonts w:asciiTheme="majorHAnsi" w:hAnsiTheme="majorHAnsi" w:cs="TimesNewRoman"/>
          <w:color w:val="000000" w:themeColor="text1"/>
          <w:lang w:eastAsia="ja-JP"/>
        </w:rPr>
        <w:t>/tazobactam, ciprofloxacin, clindamycin, colistin, daptomycin, linezolid, meropenem, metronidazole, tigecycline, or vancomycin.</w:t>
      </w:r>
    </w:p>
    <w:p w14:paraId="2B953DDB" w14:textId="05174C25" w:rsidR="00BC63A2" w:rsidRPr="00EB3788" w:rsidRDefault="00846F63" w:rsidP="00446C37">
      <w:pPr>
        <w:autoSpaceDE w:val="0"/>
        <w:autoSpaceDN w:val="0"/>
        <w:adjustRightInd w:val="0"/>
        <w:snapToGrid w:val="0"/>
        <w:rPr>
          <w:rFonts w:asciiTheme="majorHAnsi" w:hAnsiTheme="majorHAnsi" w:cs="Times New Roman"/>
          <w:snapToGrid w:val="0"/>
          <w:lang w:bidi="en-US"/>
        </w:rPr>
      </w:pPr>
      <w:r w:rsidRPr="004664E6">
        <w:rPr>
          <w:rFonts w:asciiTheme="majorHAnsi" w:hAnsiTheme="majorHAnsi" w:cs="TimesNewRoman"/>
          <w:color w:val="000000" w:themeColor="text1"/>
          <w:lang w:eastAsia="ja-JP"/>
        </w:rPr>
        <w:t xml:space="preserve">In vitro studies have demonstrated additive or synergist effects against strains of </w:t>
      </w:r>
      <w:proofErr w:type="spellStart"/>
      <w:r w:rsidRPr="004664E6">
        <w:rPr>
          <w:rFonts w:asciiTheme="majorHAnsi" w:hAnsiTheme="majorHAnsi" w:cs="TimesNewRoman"/>
          <w:color w:val="000000" w:themeColor="text1"/>
          <w:lang w:eastAsia="ja-JP"/>
        </w:rPr>
        <w:t>Enterobacterales</w:t>
      </w:r>
      <w:proofErr w:type="spellEnd"/>
      <w:r w:rsidRPr="004664E6">
        <w:rPr>
          <w:rFonts w:asciiTheme="majorHAnsi" w:hAnsiTheme="majorHAnsi" w:cs="TimesNewRoman"/>
          <w:color w:val="000000" w:themeColor="text1"/>
          <w:lang w:eastAsia="ja-JP"/>
        </w:rPr>
        <w:t xml:space="preserve">, </w:t>
      </w:r>
      <w:r w:rsidRPr="004664E6">
        <w:rPr>
          <w:rFonts w:asciiTheme="majorHAnsi" w:hAnsiTheme="majorHAnsi" w:cs="TimesNewRoman"/>
          <w:i/>
          <w:color w:val="000000" w:themeColor="text1"/>
          <w:lang w:eastAsia="ja-JP"/>
        </w:rPr>
        <w:t xml:space="preserve">Pseudomonas aeruginosa </w:t>
      </w:r>
      <w:r w:rsidRPr="004664E6">
        <w:rPr>
          <w:rFonts w:asciiTheme="majorHAnsi" w:hAnsiTheme="majorHAnsi" w:cs="TimesNewRoman"/>
          <w:color w:val="000000" w:themeColor="text1"/>
          <w:lang w:eastAsia="ja-JP"/>
        </w:rPr>
        <w:t xml:space="preserve">and </w:t>
      </w:r>
      <w:r w:rsidRPr="004664E6">
        <w:rPr>
          <w:rFonts w:asciiTheme="majorHAnsi" w:hAnsiTheme="majorHAnsi" w:cs="TimesNewRoman"/>
          <w:i/>
          <w:color w:val="000000" w:themeColor="text1"/>
          <w:lang w:eastAsia="ja-JP"/>
        </w:rPr>
        <w:t>Acinetobacter baumannii</w:t>
      </w:r>
      <w:r w:rsidRPr="004664E6">
        <w:rPr>
          <w:rFonts w:asciiTheme="majorHAnsi" w:hAnsiTheme="majorHAnsi" w:cs="TimesNewRoman"/>
          <w:color w:val="000000" w:themeColor="text1"/>
          <w:lang w:eastAsia="ja-JP"/>
        </w:rPr>
        <w:t>, including multi-</w:t>
      </w:r>
      <w:proofErr w:type="gramStart"/>
      <w:r w:rsidRPr="004664E6">
        <w:rPr>
          <w:rFonts w:asciiTheme="majorHAnsi" w:hAnsiTheme="majorHAnsi" w:cs="TimesNewRoman"/>
          <w:color w:val="000000" w:themeColor="text1"/>
          <w:lang w:eastAsia="ja-JP"/>
        </w:rPr>
        <w:t>drug resistant</w:t>
      </w:r>
      <w:proofErr w:type="gramEnd"/>
      <w:r w:rsidRPr="004664E6">
        <w:rPr>
          <w:rFonts w:asciiTheme="majorHAnsi" w:hAnsiTheme="majorHAnsi" w:cs="TimesNewRoman"/>
          <w:color w:val="000000" w:themeColor="text1"/>
          <w:lang w:eastAsia="ja-JP"/>
        </w:rPr>
        <w:t xml:space="preserve"> strains, when cefiderocol was combined with amikacin,</w:t>
      </w:r>
      <w:r w:rsidR="000D1E9C">
        <w:rPr>
          <w:rFonts w:asciiTheme="majorHAnsi" w:hAnsiTheme="majorHAnsi" w:cs="TimesNewRoman"/>
          <w:color w:val="000000" w:themeColor="text1"/>
          <w:lang w:eastAsia="ja-JP"/>
        </w:rPr>
        <w:t xml:space="preserve"> </w:t>
      </w:r>
      <w:r w:rsidRPr="004664E6">
        <w:rPr>
          <w:rFonts w:asciiTheme="majorHAnsi" w:hAnsiTheme="majorHAnsi" w:cs="TimesNewRoman"/>
          <w:color w:val="000000" w:themeColor="text1"/>
          <w:lang w:eastAsia="ja-JP"/>
        </w:rPr>
        <w:t xml:space="preserve">ceftazidime/avibactam, </w:t>
      </w:r>
      <w:proofErr w:type="spellStart"/>
      <w:r w:rsidRPr="004664E6">
        <w:rPr>
          <w:rFonts w:asciiTheme="majorHAnsi" w:hAnsiTheme="majorHAnsi" w:cs="TimesNewRoman"/>
          <w:color w:val="000000" w:themeColor="text1"/>
          <w:lang w:eastAsia="ja-JP"/>
        </w:rPr>
        <w:t>ceftolozane</w:t>
      </w:r>
      <w:proofErr w:type="spellEnd"/>
      <w:r w:rsidRPr="004664E6">
        <w:rPr>
          <w:rFonts w:asciiTheme="majorHAnsi" w:hAnsiTheme="majorHAnsi" w:cs="TimesNewRoman"/>
          <w:color w:val="000000" w:themeColor="text1"/>
          <w:lang w:eastAsia="ja-JP"/>
        </w:rPr>
        <w:t>/tazobactam, meropenem, ciprofloxacin or colistin.</w:t>
      </w:r>
    </w:p>
    <w:p w14:paraId="0A66445C" w14:textId="485892C3" w:rsidR="00630C76" w:rsidRPr="00EB3788" w:rsidRDefault="00630C76" w:rsidP="00446C37">
      <w:pPr>
        <w:pStyle w:val="Heading3"/>
        <w:spacing w:before="0" w:after="120"/>
        <w:ind w:left="0"/>
      </w:pPr>
      <w:r w:rsidRPr="00EB3788">
        <w:t xml:space="preserve">List of </w:t>
      </w:r>
      <w:r w:rsidR="0070551A" w:rsidRPr="00EB3788">
        <w:t>micro</w:t>
      </w:r>
      <w:r w:rsidRPr="00EB3788">
        <w:t>organisms</w:t>
      </w:r>
    </w:p>
    <w:p w14:paraId="3B9B5337" w14:textId="2792A027" w:rsidR="00630C76" w:rsidRPr="004664E6" w:rsidRDefault="00630C76" w:rsidP="00446C37">
      <w:pPr>
        <w:rPr>
          <w:rFonts w:asciiTheme="majorHAnsi" w:hAnsiTheme="majorHAnsi" w:cs="Times New Roman"/>
          <w:snapToGrid w:val="0"/>
          <w:lang w:eastAsia="ja-JP" w:bidi="en-US"/>
        </w:rPr>
      </w:pPr>
      <w:r w:rsidRPr="004664E6">
        <w:rPr>
          <w:rFonts w:asciiTheme="majorHAnsi" w:hAnsiTheme="majorHAnsi" w:cs="Times New Roman"/>
          <w:snapToGrid w:val="0"/>
          <w:lang w:bidi="en-US"/>
        </w:rPr>
        <w:t xml:space="preserve">At least 90 percent of the following bacteria exhibit an </w:t>
      </w:r>
      <w:r w:rsidRPr="004664E6">
        <w:rPr>
          <w:rFonts w:asciiTheme="majorHAnsi" w:hAnsiTheme="majorHAnsi" w:cs="Times New Roman"/>
          <w:i/>
          <w:snapToGrid w:val="0"/>
          <w:lang w:bidi="en-US"/>
        </w:rPr>
        <w:t xml:space="preserve">in vitro </w:t>
      </w:r>
      <w:r w:rsidRPr="004664E6">
        <w:rPr>
          <w:rFonts w:asciiTheme="majorHAnsi" w:hAnsiTheme="majorHAnsi" w:cs="Times New Roman"/>
          <w:snapToGrid w:val="0"/>
          <w:lang w:bidi="en-US"/>
        </w:rPr>
        <w:t>minimum inhibitory</w:t>
      </w:r>
      <w:r w:rsidR="006F2636" w:rsidRPr="004664E6">
        <w:rPr>
          <w:rFonts w:asciiTheme="majorHAnsi" w:hAnsiTheme="majorHAnsi" w:cs="Times New Roman"/>
          <w:snapToGrid w:val="0"/>
          <w:lang w:eastAsia="ja-JP" w:bidi="en-US"/>
        </w:rPr>
        <w:t xml:space="preserve"> </w:t>
      </w:r>
      <w:r w:rsidRPr="004664E6">
        <w:rPr>
          <w:rFonts w:asciiTheme="majorHAnsi" w:hAnsiTheme="majorHAnsi" w:cs="Times New Roman"/>
          <w:snapToGrid w:val="0"/>
          <w:lang w:bidi="en-US"/>
        </w:rPr>
        <w:t>concentration (MIC) less than or equal to the 4 µg/mL for cefiderocol:</w:t>
      </w:r>
    </w:p>
    <w:p w14:paraId="50D428CA" w14:textId="77777777" w:rsidR="00630C76" w:rsidRPr="004664E6" w:rsidRDefault="00630C76" w:rsidP="00446C37">
      <w:pPr>
        <w:spacing w:after="0"/>
        <w:rPr>
          <w:rFonts w:asciiTheme="majorHAnsi" w:hAnsiTheme="majorHAnsi" w:cs="Times New Roman"/>
          <w:snapToGrid w:val="0"/>
          <w:lang w:bidi="en-US"/>
        </w:rPr>
      </w:pPr>
      <w:r w:rsidRPr="004664E6">
        <w:rPr>
          <w:rFonts w:asciiTheme="majorHAnsi" w:hAnsiTheme="majorHAnsi" w:cs="Times New Roman"/>
          <w:snapToGrid w:val="0"/>
          <w:u w:val="single"/>
          <w:lang w:bidi="en-US"/>
        </w:rPr>
        <w:t>Gram negative</w:t>
      </w:r>
    </w:p>
    <w:p w14:paraId="20472D60" w14:textId="77777777" w:rsidR="00630C76" w:rsidRPr="004664E6" w:rsidRDefault="00630C76" w:rsidP="00446C37">
      <w:pPr>
        <w:spacing w:after="0"/>
        <w:rPr>
          <w:rFonts w:asciiTheme="majorHAnsi" w:hAnsiTheme="majorHAnsi" w:cs="Times New Roman"/>
          <w:snapToGrid w:val="0"/>
          <w:lang w:bidi="en-US"/>
        </w:rPr>
      </w:pPr>
      <w:r w:rsidRPr="004664E6">
        <w:rPr>
          <w:rFonts w:asciiTheme="majorHAnsi" w:hAnsiTheme="majorHAnsi" w:cs="Times New Roman"/>
          <w:i/>
          <w:snapToGrid w:val="0"/>
          <w:lang w:bidi="en-US"/>
        </w:rPr>
        <w:t xml:space="preserve">Acinetobacter baumannii </w:t>
      </w:r>
      <w:r w:rsidRPr="004664E6">
        <w:rPr>
          <w:rFonts w:asciiTheme="majorHAnsi" w:hAnsiTheme="majorHAnsi" w:cs="Times New Roman"/>
          <w:snapToGrid w:val="0"/>
          <w:lang w:bidi="en-US"/>
        </w:rPr>
        <w:t>complex</w:t>
      </w:r>
    </w:p>
    <w:p w14:paraId="1C047FA2" w14:textId="77777777" w:rsidR="00630C76" w:rsidRPr="004664E6" w:rsidRDefault="00630C76" w:rsidP="00446C37">
      <w:pPr>
        <w:spacing w:after="0"/>
        <w:rPr>
          <w:rFonts w:asciiTheme="majorHAnsi" w:hAnsiTheme="majorHAnsi" w:cs="Times New Roman"/>
          <w:snapToGrid w:val="0"/>
          <w:lang w:bidi="en-US"/>
        </w:rPr>
      </w:pPr>
      <w:proofErr w:type="spellStart"/>
      <w:r w:rsidRPr="004664E6">
        <w:rPr>
          <w:rFonts w:asciiTheme="majorHAnsi" w:hAnsiTheme="majorHAnsi" w:cs="Times New Roman"/>
          <w:i/>
          <w:snapToGrid w:val="0"/>
          <w:lang w:bidi="en-US"/>
        </w:rPr>
        <w:t>Achromobacter</w:t>
      </w:r>
      <w:proofErr w:type="spellEnd"/>
      <w:r w:rsidRPr="004664E6">
        <w:rPr>
          <w:rFonts w:asciiTheme="majorHAnsi" w:hAnsiTheme="majorHAnsi" w:cs="Times New Roman"/>
          <w:i/>
          <w:snapToGrid w:val="0"/>
          <w:lang w:bidi="en-US"/>
        </w:rPr>
        <w:t xml:space="preserve"> </w:t>
      </w:r>
      <w:r w:rsidRPr="004664E6">
        <w:rPr>
          <w:rFonts w:asciiTheme="majorHAnsi" w:hAnsiTheme="majorHAnsi" w:cs="Times New Roman"/>
          <w:snapToGrid w:val="0"/>
          <w:lang w:bidi="en-US"/>
        </w:rPr>
        <w:t>species</w:t>
      </w:r>
    </w:p>
    <w:p w14:paraId="67927A2A" w14:textId="77777777" w:rsidR="00630C76" w:rsidRPr="004664E6" w:rsidRDefault="00630C76" w:rsidP="00446C37">
      <w:pPr>
        <w:spacing w:after="0"/>
        <w:rPr>
          <w:rFonts w:asciiTheme="majorHAnsi" w:hAnsiTheme="majorHAnsi" w:cs="Times New Roman"/>
          <w:snapToGrid w:val="0"/>
          <w:lang w:bidi="en-US"/>
        </w:rPr>
      </w:pPr>
      <w:r w:rsidRPr="004664E6">
        <w:rPr>
          <w:rFonts w:asciiTheme="majorHAnsi" w:hAnsiTheme="majorHAnsi" w:cs="Times New Roman"/>
          <w:i/>
          <w:snapToGrid w:val="0"/>
          <w:lang w:bidi="en-US"/>
        </w:rPr>
        <w:t xml:space="preserve">Burkholderia cepacia </w:t>
      </w:r>
      <w:r w:rsidRPr="004664E6">
        <w:rPr>
          <w:rFonts w:asciiTheme="majorHAnsi" w:hAnsiTheme="majorHAnsi" w:cs="Times New Roman"/>
          <w:snapToGrid w:val="0"/>
          <w:lang w:bidi="en-US"/>
        </w:rPr>
        <w:t>complex</w:t>
      </w:r>
    </w:p>
    <w:p w14:paraId="612FB77D" w14:textId="77777777" w:rsidR="00D86E8D" w:rsidRPr="004664E6" w:rsidRDefault="00630C76" w:rsidP="00446C37">
      <w:pPr>
        <w:spacing w:after="0"/>
        <w:rPr>
          <w:rFonts w:asciiTheme="majorHAnsi" w:hAnsiTheme="majorHAnsi" w:cs="Times New Roman"/>
          <w:i/>
          <w:snapToGrid w:val="0"/>
          <w:lang w:bidi="en-US"/>
        </w:rPr>
      </w:pPr>
      <w:r w:rsidRPr="004664E6">
        <w:rPr>
          <w:rFonts w:asciiTheme="majorHAnsi" w:hAnsiTheme="majorHAnsi" w:cs="Times New Roman"/>
          <w:i/>
          <w:snapToGrid w:val="0"/>
          <w:lang w:bidi="en-US"/>
        </w:rPr>
        <w:t>Burkholderia pseudomallei</w:t>
      </w:r>
    </w:p>
    <w:p w14:paraId="0276CE1F" w14:textId="596DB7C4" w:rsidR="00630C76" w:rsidRPr="004664E6" w:rsidRDefault="00630C76" w:rsidP="00446C37">
      <w:pPr>
        <w:spacing w:after="0"/>
        <w:rPr>
          <w:rFonts w:asciiTheme="majorHAnsi" w:hAnsiTheme="majorHAnsi" w:cs="Times New Roman"/>
          <w:snapToGrid w:val="0"/>
          <w:lang w:bidi="en-US"/>
        </w:rPr>
      </w:pPr>
      <w:r w:rsidRPr="004664E6">
        <w:rPr>
          <w:rFonts w:asciiTheme="majorHAnsi" w:hAnsiTheme="majorHAnsi" w:cs="Times New Roman"/>
          <w:i/>
          <w:snapToGrid w:val="0"/>
          <w:lang w:bidi="en-US"/>
        </w:rPr>
        <w:t xml:space="preserve">Citrobacter </w:t>
      </w:r>
      <w:proofErr w:type="spellStart"/>
      <w:r w:rsidRPr="004664E6">
        <w:rPr>
          <w:rFonts w:asciiTheme="majorHAnsi" w:hAnsiTheme="majorHAnsi" w:cs="Times New Roman"/>
          <w:i/>
          <w:snapToGrid w:val="0"/>
          <w:lang w:bidi="en-US"/>
        </w:rPr>
        <w:t>freundii</w:t>
      </w:r>
      <w:proofErr w:type="spellEnd"/>
      <w:r w:rsidRPr="004664E6">
        <w:rPr>
          <w:rFonts w:asciiTheme="majorHAnsi" w:hAnsiTheme="majorHAnsi" w:cs="Times New Roman"/>
          <w:i/>
          <w:snapToGrid w:val="0"/>
          <w:lang w:bidi="en-US"/>
        </w:rPr>
        <w:t xml:space="preserve"> </w:t>
      </w:r>
      <w:r w:rsidRPr="004664E6">
        <w:rPr>
          <w:rFonts w:asciiTheme="majorHAnsi" w:hAnsiTheme="majorHAnsi" w:cs="Times New Roman"/>
          <w:snapToGrid w:val="0"/>
          <w:lang w:bidi="en-US"/>
        </w:rPr>
        <w:t>complex</w:t>
      </w:r>
    </w:p>
    <w:p w14:paraId="762DB5FB" w14:textId="4385E389" w:rsidR="00630C76" w:rsidRPr="004664E6" w:rsidRDefault="00630C76" w:rsidP="00446C37">
      <w:pPr>
        <w:spacing w:after="0"/>
        <w:rPr>
          <w:rFonts w:asciiTheme="majorHAnsi" w:hAnsiTheme="majorHAnsi" w:cs="Times New Roman"/>
          <w:i/>
          <w:snapToGrid w:val="0"/>
          <w:lang w:bidi="en-US"/>
        </w:rPr>
      </w:pPr>
      <w:r w:rsidRPr="004664E6">
        <w:rPr>
          <w:rFonts w:asciiTheme="majorHAnsi" w:hAnsiTheme="majorHAnsi" w:cs="Times New Roman"/>
          <w:i/>
          <w:snapToGrid w:val="0"/>
          <w:lang w:bidi="en-US"/>
        </w:rPr>
        <w:t xml:space="preserve">Citrobacter </w:t>
      </w:r>
      <w:proofErr w:type="spellStart"/>
      <w:r w:rsidRPr="004664E6">
        <w:rPr>
          <w:rFonts w:asciiTheme="majorHAnsi" w:hAnsiTheme="majorHAnsi" w:cs="Times New Roman"/>
          <w:i/>
          <w:snapToGrid w:val="0"/>
          <w:lang w:bidi="en-US"/>
        </w:rPr>
        <w:t>koseri</w:t>
      </w:r>
      <w:proofErr w:type="spellEnd"/>
    </w:p>
    <w:p w14:paraId="52AB4DE7" w14:textId="77777777" w:rsidR="00630C76" w:rsidRPr="004664E6" w:rsidRDefault="00630C76" w:rsidP="00446C37">
      <w:pPr>
        <w:spacing w:after="0"/>
        <w:rPr>
          <w:rFonts w:asciiTheme="majorHAnsi" w:hAnsiTheme="majorHAnsi" w:cs="Times New Roman"/>
          <w:snapToGrid w:val="0"/>
          <w:lang w:bidi="en-US"/>
        </w:rPr>
      </w:pPr>
      <w:r w:rsidRPr="004664E6">
        <w:rPr>
          <w:rFonts w:asciiTheme="majorHAnsi" w:hAnsiTheme="majorHAnsi" w:cs="Times New Roman"/>
          <w:i/>
          <w:snapToGrid w:val="0"/>
          <w:lang w:bidi="en-US"/>
        </w:rPr>
        <w:t xml:space="preserve">Enterobacter cloacae </w:t>
      </w:r>
      <w:r w:rsidRPr="004664E6">
        <w:rPr>
          <w:rFonts w:asciiTheme="majorHAnsi" w:hAnsiTheme="majorHAnsi" w:cs="Times New Roman"/>
          <w:snapToGrid w:val="0"/>
          <w:lang w:bidi="en-US"/>
        </w:rPr>
        <w:t>complex</w:t>
      </w:r>
    </w:p>
    <w:p w14:paraId="3ABD9282" w14:textId="77777777" w:rsidR="00630C76" w:rsidRPr="004664E6" w:rsidRDefault="00630C76" w:rsidP="00446C37">
      <w:pPr>
        <w:spacing w:after="0"/>
        <w:rPr>
          <w:rFonts w:asciiTheme="majorHAnsi" w:hAnsiTheme="majorHAnsi" w:cs="Times New Roman"/>
          <w:i/>
          <w:snapToGrid w:val="0"/>
          <w:lang w:bidi="en-US"/>
        </w:rPr>
      </w:pPr>
      <w:r w:rsidRPr="004664E6">
        <w:rPr>
          <w:rFonts w:asciiTheme="majorHAnsi" w:hAnsiTheme="majorHAnsi" w:cs="Times New Roman"/>
          <w:i/>
          <w:snapToGrid w:val="0"/>
          <w:lang w:bidi="en-US"/>
        </w:rPr>
        <w:t xml:space="preserve">Escherichia coli </w:t>
      </w:r>
    </w:p>
    <w:p w14:paraId="7874A2E9" w14:textId="77777777" w:rsidR="00630C76" w:rsidRPr="004664E6" w:rsidRDefault="00630C76" w:rsidP="00446C37">
      <w:pPr>
        <w:spacing w:after="0"/>
        <w:rPr>
          <w:rFonts w:asciiTheme="majorHAnsi" w:hAnsiTheme="majorHAnsi" w:cs="Times New Roman"/>
          <w:i/>
          <w:snapToGrid w:val="0"/>
          <w:lang w:bidi="en-US"/>
        </w:rPr>
      </w:pPr>
      <w:r w:rsidRPr="004664E6">
        <w:rPr>
          <w:rFonts w:asciiTheme="majorHAnsi" w:hAnsiTheme="majorHAnsi" w:cs="Times New Roman"/>
          <w:i/>
          <w:snapToGrid w:val="0"/>
          <w:lang w:bidi="en-US"/>
        </w:rPr>
        <w:t xml:space="preserve">Klebsiella </w:t>
      </w:r>
      <w:proofErr w:type="spellStart"/>
      <w:r w:rsidRPr="004664E6">
        <w:rPr>
          <w:rFonts w:asciiTheme="majorHAnsi" w:hAnsiTheme="majorHAnsi" w:cs="Times New Roman"/>
          <w:i/>
          <w:snapToGrid w:val="0"/>
          <w:lang w:bidi="en-US"/>
        </w:rPr>
        <w:t>oxytoca</w:t>
      </w:r>
      <w:proofErr w:type="spellEnd"/>
    </w:p>
    <w:p w14:paraId="0DA10805" w14:textId="77777777" w:rsidR="00630C76" w:rsidRPr="004664E6" w:rsidRDefault="00630C76" w:rsidP="00446C37">
      <w:pPr>
        <w:spacing w:after="0"/>
        <w:rPr>
          <w:rFonts w:asciiTheme="majorHAnsi" w:hAnsiTheme="majorHAnsi" w:cs="Times New Roman"/>
          <w:i/>
          <w:snapToGrid w:val="0"/>
          <w:lang w:bidi="en-US"/>
        </w:rPr>
      </w:pPr>
      <w:r w:rsidRPr="004664E6">
        <w:rPr>
          <w:rFonts w:asciiTheme="majorHAnsi" w:hAnsiTheme="majorHAnsi" w:cs="Times New Roman"/>
          <w:i/>
          <w:snapToGrid w:val="0"/>
          <w:lang w:bidi="en-US"/>
        </w:rPr>
        <w:t>Klebsiella pneumoniae</w:t>
      </w:r>
    </w:p>
    <w:p w14:paraId="615D95B3" w14:textId="77777777" w:rsidR="00630C76" w:rsidRPr="004664E6" w:rsidRDefault="00630C76" w:rsidP="00446C37">
      <w:pPr>
        <w:spacing w:after="0"/>
        <w:rPr>
          <w:rFonts w:asciiTheme="majorHAnsi" w:hAnsiTheme="majorHAnsi" w:cs="Times New Roman"/>
          <w:i/>
          <w:snapToGrid w:val="0"/>
          <w:lang w:bidi="en-US"/>
        </w:rPr>
      </w:pPr>
      <w:r w:rsidRPr="004664E6">
        <w:rPr>
          <w:rFonts w:asciiTheme="majorHAnsi" w:hAnsiTheme="majorHAnsi" w:cs="Times New Roman"/>
          <w:i/>
          <w:snapToGrid w:val="0"/>
          <w:lang w:bidi="en-US"/>
        </w:rPr>
        <w:t>Klebsiella aerogenes</w:t>
      </w:r>
    </w:p>
    <w:p w14:paraId="15C035FE" w14:textId="77777777" w:rsidR="00630C76" w:rsidRPr="004664E6" w:rsidRDefault="00630C76" w:rsidP="00446C37">
      <w:pPr>
        <w:spacing w:after="0"/>
        <w:rPr>
          <w:rFonts w:asciiTheme="majorHAnsi" w:hAnsiTheme="majorHAnsi" w:cs="Times New Roman"/>
          <w:i/>
          <w:snapToGrid w:val="0"/>
          <w:lang w:bidi="en-US"/>
        </w:rPr>
      </w:pPr>
      <w:proofErr w:type="spellStart"/>
      <w:r w:rsidRPr="004664E6">
        <w:rPr>
          <w:rFonts w:asciiTheme="majorHAnsi" w:hAnsiTheme="majorHAnsi" w:cs="Times New Roman"/>
          <w:i/>
          <w:snapToGrid w:val="0"/>
          <w:lang w:bidi="en-US"/>
        </w:rPr>
        <w:t>Morganella</w:t>
      </w:r>
      <w:proofErr w:type="spellEnd"/>
      <w:r w:rsidRPr="004664E6">
        <w:rPr>
          <w:rFonts w:asciiTheme="majorHAnsi" w:hAnsiTheme="majorHAnsi" w:cs="Times New Roman"/>
          <w:i/>
          <w:snapToGrid w:val="0"/>
          <w:lang w:bidi="en-US"/>
        </w:rPr>
        <w:t xml:space="preserve"> morganii</w:t>
      </w:r>
    </w:p>
    <w:p w14:paraId="10D86A2B" w14:textId="6FFB462E" w:rsidR="00630C76" w:rsidRPr="004664E6" w:rsidRDefault="00630C76" w:rsidP="00446C37">
      <w:pPr>
        <w:spacing w:after="0"/>
        <w:rPr>
          <w:rFonts w:asciiTheme="majorHAnsi" w:hAnsiTheme="majorHAnsi" w:cs="Times New Roman"/>
          <w:i/>
          <w:snapToGrid w:val="0"/>
          <w:lang w:bidi="en-US"/>
        </w:rPr>
      </w:pPr>
      <w:r w:rsidRPr="004664E6">
        <w:rPr>
          <w:rFonts w:asciiTheme="majorHAnsi" w:hAnsiTheme="majorHAnsi" w:cs="Times New Roman"/>
          <w:i/>
          <w:snapToGrid w:val="0"/>
          <w:lang w:bidi="en-US"/>
        </w:rPr>
        <w:t>Proteus mirabilis</w:t>
      </w:r>
    </w:p>
    <w:p w14:paraId="44174A1C" w14:textId="77777777" w:rsidR="00630C76" w:rsidRPr="004664E6" w:rsidRDefault="00630C76" w:rsidP="00446C37">
      <w:pPr>
        <w:spacing w:after="0"/>
        <w:rPr>
          <w:rFonts w:asciiTheme="majorHAnsi" w:hAnsiTheme="majorHAnsi" w:cs="Times New Roman"/>
          <w:i/>
          <w:snapToGrid w:val="0"/>
          <w:lang w:bidi="en-US"/>
        </w:rPr>
      </w:pPr>
      <w:r w:rsidRPr="004664E6">
        <w:rPr>
          <w:rFonts w:asciiTheme="majorHAnsi" w:hAnsiTheme="majorHAnsi" w:cs="Times New Roman"/>
          <w:i/>
          <w:snapToGrid w:val="0"/>
          <w:lang w:bidi="en-US"/>
        </w:rPr>
        <w:t>Proteus vulgaris</w:t>
      </w:r>
    </w:p>
    <w:p w14:paraId="660E8354" w14:textId="77777777" w:rsidR="00630C76" w:rsidRPr="004664E6" w:rsidRDefault="00630C76" w:rsidP="00446C37">
      <w:pPr>
        <w:spacing w:after="0"/>
        <w:rPr>
          <w:rFonts w:asciiTheme="majorHAnsi" w:hAnsiTheme="majorHAnsi" w:cs="Times New Roman"/>
          <w:i/>
          <w:snapToGrid w:val="0"/>
          <w:lang w:bidi="en-US"/>
        </w:rPr>
      </w:pPr>
      <w:r w:rsidRPr="004664E6">
        <w:rPr>
          <w:rFonts w:asciiTheme="majorHAnsi" w:hAnsiTheme="majorHAnsi" w:cs="Times New Roman"/>
          <w:i/>
          <w:snapToGrid w:val="0"/>
          <w:lang w:bidi="en-US"/>
        </w:rPr>
        <w:t xml:space="preserve">Providencia </w:t>
      </w:r>
      <w:proofErr w:type="spellStart"/>
      <w:r w:rsidRPr="004664E6">
        <w:rPr>
          <w:rFonts w:asciiTheme="majorHAnsi" w:hAnsiTheme="majorHAnsi" w:cs="Times New Roman"/>
          <w:i/>
          <w:snapToGrid w:val="0"/>
          <w:lang w:bidi="en-US"/>
        </w:rPr>
        <w:t>rettgeri</w:t>
      </w:r>
      <w:proofErr w:type="spellEnd"/>
    </w:p>
    <w:p w14:paraId="149EA655" w14:textId="77777777" w:rsidR="00630C76" w:rsidRPr="004664E6" w:rsidRDefault="00630C76" w:rsidP="00446C37">
      <w:pPr>
        <w:spacing w:after="0"/>
        <w:rPr>
          <w:rFonts w:asciiTheme="majorHAnsi" w:hAnsiTheme="majorHAnsi" w:cs="Times New Roman"/>
          <w:i/>
          <w:snapToGrid w:val="0"/>
          <w:lang w:bidi="en-US"/>
        </w:rPr>
      </w:pPr>
      <w:r w:rsidRPr="004664E6">
        <w:rPr>
          <w:rFonts w:asciiTheme="majorHAnsi" w:hAnsiTheme="majorHAnsi" w:cs="Times New Roman"/>
          <w:i/>
          <w:snapToGrid w:val="0"/>
          <w:lang w:bidi="en-US"/>
        </w:rPr>
        <w:t>Pseudomonas aeruginosa</w:t>
      </w:r>
    </w:p>
    <w:p w14:paraId="596D9F87" w14:textId="2D864F58" w:rsidR="00630C76" w:rsidRPr="004664E6" w:rsidRDefault="00630C76" w:rsidP="00446C37">
      <w:pPr>
        <w:spacing w:after="0"/>
        <w:rPr>
          <w:rFonts w:asciiTheme="majorHAnsi" w:hAnsiTheme="majorHAnsi" w:cs="Times New Roman"/>
          <w:i/>
          <w:snapToGrid w:val="0"/>
          <w:lang w:bidi="en-US"/>
        </w:rPr>
      </w:pPr>
      <w:r w:rsidRPr="004664E6">
        <w:rPr>
          <w:rFonts w:asciiTheme="majorHAnsi" w:hAnsiTheme="majorHAnsi" w:cs="Times New Roman"/>
          <w:i/>
          <w:snapToGrid w:val="0"/>
          <w:lang w:bidi="en-US"/>
        </w:rPr>
        <w:t>Serratia marcescens</w:t>
      </w:r>
    </w:p>
    <w:p w14:paraId="5D8DE8D0" w14:textId="77777777" w:rsidR="00630C76" w:rsidRPr="004664E6" w:rsidRDefault="00630C76" w:rsidP="00446C37">
      <w:pPr>
        <w:rPr>
          <w:rFonts w:asciiTheme="majorHAnsi" w:hAnsiTheme="majorHAnsi" w:cs="Times New Roman"/>
          <w:i/>
          <w:snapToGrid w:val="0"/>
          <w:lang w:bidi="en-US"/>
        </w:rPr>
      </w:pPr>
      <w:r w:rsidRPr="004664E6">
        <w:rPr>
          <w:rFonts w:asciiTheme="majorHAnsi" w:hAnsiTheme="majorHAnsi" w:cs="Times New Roman"/>
          <w:i/>
          <w:snapToGrid w:val="0"/>
          <w:lang w:bidi="en-US"/>
        </w:rPr>
        <w:t>Stenotrophomonas maltophilia</w:t>
      </w:r>
    </w:p>
    <w:p w14:paraId="19CBCE31" w14:textId="28296D8C" w:rsidR="001100EA" w:rsidRPr="004664E6" w:rsidRDefault="00630C76" w:rsidP="00446C37">
      <w:pPr>
        <w:rPr>
          <w:rFonts w:asciiTheme="majorHAnsi" w:hAnsiTheme="majorHAnsi" w:cs="Times New Roman"/>
          <w:snapToGrid w:val="0"/>
          <w:lang w:bidi="en-US"/>
        </w:rPr>
      </w:pPr>
      <w:r w:rsidRPr="004664E6">
        <w:rPr>
          <w:rFonts w:asciiTheme="majorHAnsi" w:hAnsiTheme="majorHAnsi" w:cs="Times New Roman"/>
          <w:i/>
          <w:snapToGrid w:val="0"/>
          <w:lang w:bidi="en-US"/>
        </w:rPr>
        <w:t xml:space="preserve">Acinetobacter baumannii </w:t>
      </w:r>
      <w:r w:rsidRPr="004664E6">
        <w:rPr>
          <w:rFonts w:asciiTheme="majorHAnsi" w:hAnsiTheme="majorHAnsi" w:cs="Times New Roman"/>
          <w:snapToGrid w:val="0"/>
          <w:lang w:bidi="en-US"/>
        </w:rPr>
        <w:t xml:space="preserve">complex comprises 4 species: </w:t>
      </w:r>
      <w:r w:rsidRPr="004664E6">
        <w:rPr>
          <w:rFonts w:asciiTheme="majorHAnsi" w:hAnsiTheme="majorHAnsi" w:cs="Times New Roman"/>
          <w:i/>
          <w:snapToGrid w:val="0"/>
          <w:lang w:bidi="en-US"/>
        </w:rPr>
        <w:t xml:space="preserve">A. </w:t>
      </w:r>
      <w:proofErr w:type="spellStart"/>
      <w:r w:rsidRPr="004664E6">
        <w:rPr>
          <w:rFonts w:asciiTheme="majorHAnsi" w:hAnsiTheme="majorHAnsi" w:cs="Times New Roman"/>
          <w:i/>
          <w:snapToGrid w:val="0"/>
          <w:lang w:bidi="en-US"/>
        </w:rPr>
        <w:t>calcoaceticus</w:t>
      </w:r>
      <w:proofErr w:type="spellEnd"/>
      <w:r w:rsidRPr="004664E6">
        <w:rPr>
          <w:rFonts w:asciiTheme="majorHAnsi" w:hAnsiTheme="majorHAnsi" w:cs="Times New Roman"/>
          <w:i/>
          <w:snapToGrid w:val="0"/>
          <w:lang w:bidi="en-US"/>
        </w:rPr>
        <w:t xml:space="preserve"> </w:t>
      </w:r>
      <w:r w:rsidRPr="004664E6">
        <w:rPr>
          <w:rFonts w:asciiTheme="majorHAnsi" w:hAnsiTheme="majorHAnsi" w:cs="Times New Roman"/>
          <w:snapToGrid w:val="0"/>
          <w:lang w:bidi="en-US"/>
        </w:rPr>
        <w:t xml:space="preserve">(genomic species 1, an environmental species of limited clinical significance), </w:t>
      </w:r>
      <w:r w:rsidRPr="004664E6">
        <w:rPr>
          <w:rFonts w:asciiTheme="majorHAnsi" w:hAnsiTheme="majorHAnsi" w:cs="Times New Roman"/>
          <w:i/>
          <w:snapToGrid w:val="0"/>
          <w:lang w:bidi="en-US"/>
        </w:rPr>
        <w:t xml:space="preserve">A. baumannii </w:t>
      </w:r>
      <w:r w:rsidRPr="004664E6">
        <w:rPr>
          <w:rFonts w:asciiTheme="majorHAnsi" w:hAnsiTheme="majorHAnsi" w:cs="Times New Roman"/>
          <w:snapToGrid w:val="0"/>
          <w:lang w:bidi="en-US"/>
        </w:rPr>
        <w:t>(genomic species 2)</w:t>
      </w:r>
      <w:r w:rsidRPr="004664E6">
        <w:rPr>
          <w:rFonts w:asciiTheme="majorHAnsi" w:hAnsiTheme="majorHAnsi" w:cs="Times New Roman"/>
          <w:i/>
          <w:snapToGrid w:val="0"/>
          <w:lang w:bidi="en-US"/>
        </w:rPr>
        <w:t xml:space="preserve">, A. </w:t>
      </w:r>
      <w:proofErr w:type="spellStart"/>
      <w:r w:rsidRPr="004664E6">
        <w:rPr>
          <w:rFonts w:asciiTheme="majorHAnsi" w:hAnsiTheme="majorHAnsi" w:cs="Times New Roman"/>
          <w:i/>
          <w:snapToGrid w:val="0"/>
          <w:lang w:bidi="en-US"/>
        </w:rPr>
        <w:t>pittii</w:t>
      </w:r>
      <w:proofErr w:type="spellEnd"/>
      <w:r w:rsidRPr="004664E6">
        <w:rPr>
          <w:rFonts w:asciiTheme="majorHAnsi" w:hAnsiTheme="majorHAnsi" w:cs="Times New Roman"/>
          <w:i/>
          <w:snapToGrid w:val="0"/>
          <w:lang w:bidi="en-US"/>
        </w:rPr>
        <w:t xml:space="preserve"> </w:t>
      </w:r>
      <w:r w:rsidRPr="004664E6">
        <w:rPr>
          <w:rFonts w:asciiTheme="majorHAnsi" w:hAnsiTheme="majorHAnsi" w:cs="Times New Roman"/>
          <w:snapToGrid w:val="0"/>
          <w:lang w:bidi="en-US"/>
        </w:rPr>
        <w:t xml:space="preserve">(genomic species 3) </w:t>
      </w:r>
      <w:r w:rsidRPr="004664E6">
        <w:rPr>
          <w:rFonts w:asciiTheme="majorHAnsi" w:hAnsiTheme="majorHAnsi" w:cs="Times New Roman"/>
          <w:i/>
          <w:snapToGrid w:val="0"/>
          <w:lang w:bidi="en-US"/>
        </w:rPr>
        <w:t xml:space="preserve">and A. </w:t>
      </w:r>
      <w:proofErr w:type="spellStart"/>
      <w:r w:rsidRPr="004664E6">
        <w:rPr>
          <w:rFonts w:asciiTheme="majorHAnsi" w:hAnsiTheme="majorHAnsi" w:cs="Times New Roman"/>
          <w:i/>
          <w:snapToGrid w:val="0"/>
          <w:lang w:bidi="en-US"/>
        </w:rPr>
        <w:t>nosocomialis</w:t>
      </w:r>
      <w:proofErr w:type="spellEnd"/>
      <w:r w:rsidRPr="004664E6">
        <w:rPr>
          <w:rFonts w:asciiTheme="majorHAnsi" w:hAnsiTheme="majorHAnsi" w:cs="Times New Roman"/>
          <w:i/>
          <w:snapToGrid w:val="0"/>
          <w:lang w:bidi="en-US"/>
        </w:rPr>
        <w:t xml:space="preserve"> </w:t>
      </w:r>
      <w:r w:rsidRPr="004664E6">
        <w:rPr>
          <w:rFonts w:asciiTheme="majorHAnsi" w:hAnsiTheme="majorHAnsi" w:cs="Times New Roman"/>
          <w:snapToGrid w:val="0"/>
          <w:lang w:bidi="en-US"/>
        </w:rPr>
        <w:t>(genomic species 13TU).</w:t>
      </w:r>
    </w:p>
    <w:p w14:paraId="2444684D" w14:textId="77777777" w:rsidR="00630C76" w:rsidRPr="00EB3788" w:rsidRDefault="00630C76" w:rsidP="00446C37">
      <w:pPr>
        <w:rPr>
          <w:rFonts w:asciiTheme="majorHAnsi" w:hAnsiTheme="majorHAnsi"/>
        </w:rPr>
      </w:pPr>
      <w:r w:rsidRPr="00EB3788">
        <w:rPr>
          <w:rFonts w:asciiTheme="majorHAnsi" w:hAnsiTheme="majorHAnsi"/>
          <w:i/>
        </w:rPr>
        <w:t xml:space="preserve">Burkholderia cepacia </w:t>
      </w:r>
      <w:r w:rsidRPr="00EB3788">
        <w:rPr>
          <w:rFonts w:asciiTheme="majorHAnsi" w:hAnsiTheme="majorHAnsi"/>
        </w:rPr>
        <w:t xml:space="preserve">complex comprises 9 species: </w:t>
      </w:r>
      <w:r w:rsidRPr="00EB3788">
        <w:rPr>
          <w:rFonts w:asciiTheme="majorHAnsi" w:hAnsiTheme="majorHAnsi"/>
          <w:i/>
        </w:rPr>
        <w:t xml:space="preserve">B. cepacia </w:t>
      </w:r>
      <w:r w:rsidRPr="00EB3788">
        <w:rPr>
          <w:rFonts w:asciiTheme="majorHAnsi" w:hAnsiTheme="majorHAnsi"/>
        </w:rPr>
        <w:t xml:space="preserve">(formerly genomovar I), </w:t>
      </w:r>
      <w:r w:rsidRPr="00EB3788">
        <w:rPr>
          <w:rFonts w:asciiTheme="majorHAnsi" w:hAnsiTheme="majorHAnsi"/>
          <w:i/>
        </w:rPr>
        <w:t xml:space="preserve">B. </w:t>
      </w:r>
      <w:proofErr w:type="spellStart"/>
      <w:r w:rsidRPr="00EB3788">
        <w:rPr>
          <w:rFonts w:asciiTheme="majorHAnsi" w:hAnsiTheme="majorHAnsi"/>
          <w:i/>
        </w:rPr>
        <w:t>multivorans</w:t>
      </w:r>
      <w:proofErr w:type="spellEnd"/>
      <w:r w:rsidRPr="00EB3788">
        <w:rPr>
          <w:rFonts w:asciiTheme="majorHAnsi" w:hAnsiTheme="majorHAnsi"/>
          <w:i/>
        </w:rPr>
        <w:t xml:space="preserve"> </w:t>
      </w:r>
      <w:r w:rsidRPr="00EB3788">
        <w:rPr>
          <w:rFonts w:asciiTheme="majorHAnsi" w:hAnsiTheme="majorHAnsi"/>
        </w:rPr>
        <w:t xml:space="preserve">(genomovar II), </w:t>
      </w:r>
      <w:r w:rsidRPr="00EB3788">
        <w:rPr>
          <w:rFonts w:asciiTheme="majorHAnsi" w:hAnsiTheme="majorHAnsi"/>
          <w:i/>
        </w:rPr>
        <w:t xml:space="preserve">B. </w:t>
      </w:r>
      <w:proofErr w:type="spellStart"/>
      <w:r w:rsidRPr="00EB3788">
        <w:rPr>
          <w:rFonts w:asciiTheme="majorHAnsi" w:hAnsiTheme="majorHAnsi"/>
          <w:i/>
        </w:rPr>
        <w:t>cenocepacia</w:t>
      </w:r>
      <w:proofErr w:type="spellEnd"/>
      <w:r w:rsidRPr="00EB3788">
        <w:rPr>
          <w:rFonts w:asciiTheme="majorHAnsi" w:hAnsiTheme="majorHAnsi"/>
          <w:i/>
        </w:rPr>
        <w:t xml:space="preserve"> </w:t>
      </w:r>
      <w:r w:rsidRPr="00EB3788">
        <w:rPr>
          <w:rFonts w:asciiTheme="majorHAnsi" w:hAnsiTheme="majorHAnsi"/>
        </w:rPr>
        <w:t xml:space="preserve">(genomovar III), </w:t>
      </w:r>
      <w:r w:rsidRPr="00EB3788">
        <w:rPr>
          <w:rFonts w:asciiTheme="majorHAnsi" w:hAnsiTheme="majorHAnsi"/>
          <w:i/>
        </w:rPr>
        <w:t xml:space="preserve">B. </w:t>
      </w:r>
      <w:proofErr w:type="spellStart"/>
      <w:r w:rsidRPr="00EB3788">
        <w:rPr>
          <w:rFonts w:asciiTheme="majorHAnsi" w:hAnsiTheme="majorHAnsi"/>
          <w:i/>
        </w:rPr>
        <w:t>stabilis</w:t>
      </w:r>
      <w:proofErr w:type="spellEnd"/>
      <w:r w:rsidRPr="00EB3788">
        <w:rPr>
          <w:rFonts w:asciiTheme="majorHAnsi" w:hAnsiTheme="majorHAnsi"/>
          <w:i/>
        </w:rPr>
        <w:t xml:space="preserve"> </w:t>
      </w:r>
      <w:r w:rsidRPr="00EB3788">
        <w:rPr>
          <w:rFonts w:asciiTheme="majorHAnsi" w:hAnsiTheme="majorHAnsi"/>
        </w:rPr>
        <w:t xml:space="preserve">(genomovar IV), </w:t>
      </w:r>
      <w:r w:rsidRPr="00EB3788">
        <w:rPr>
          <w:rFonts w:asciiTheme="majorHAnsi" w:hAnsiTheme="majorHAnsi"/>
          <w:i/>
        </w:rPr>
        <w:t xml:space="preserve">B. </w:t>
      </w:r>
      <w:proofErr w:type="spellStart"/>
      <w:r w:rsidRPr="00EB3788">
        <w:rPr>
          <w:rFonts w:asciiTheme="majorHAnsi" w:hAnsiTheme="majorHAnsi"/>
          <w:i/>
        </w:rPr>
        <w:t>vietnamiensis</w:t>
      </w:r>
      <w:proofErr w:type="spellEnd"/>
      <w:r w:rsidRPr="00EB3788">
        <w:rPr>
          <w:rFonts w:asciiTheme="majorHAnsi" w:hAnsiTheme="majorHAnsi"/>
          <w:i/>
        </w:rPr>
        <w:t xml:space="preserve"> </w:t>
      </w:r>
      <w:r w:rsidRPr="00EB3788">
        <w:rPr>
          <w:rFonts w:asciiTheme="majorHAnsi" w:hAnsiTheme="majorHAnsi"/>
        </w:rPr>
        <w:t xml:space="preserve">(genomovar V), </w:t>
      </w:r>
      <w:r w:rsidRPr="00EB3788">
        <w:rPr>
          <w:rFonts w:asciiTheme="majorHAnsi" w:hAnsiTheme="majorHAnsi"/>
          <w:i/>
        </w:rPr>
        <w:t xml:space="preserve">B. </w:t>
      </w:r>
      <w:proofErr w:type="spellStart"/>
      <w:r w:rsidRPr="00EB3788">
        <w:rPr>
          <w:rFonts w:asciiTheme="majorHAnsi" w:hAnsiTheme="majorHAnsi"/>
          <w:i/>
        </w:rPr>
        <w:t>dolosa</w:t>
      </w:r>
      <w:proofErr w:type="spellEnd"/>
      <w:r w:rsidRPr="00EB3788">
        <w:rPr>
          <w:rFonts w:asciiTheme="majorHAnsi" w:hAnsiTheme="majorHAnsi"/>
          <w:i/>
        </w:rPr>
        <w:t xml:space="preserve"> </w:t>
      </w:r>
      <w:r w:rsidRPr="00EB3788">
        <w:rPr>
          <w:rFonts w:asciiTheme="majorHAnsi" w:hAnsiTheme="majorHAnsi"/>
        </w:rPr>
        <w:t xml:space="preserve">(genomovar VI), </w:t>
      </w:r>
      <w:r w:rsidRPr="00EB3788">
        <w:rPr>
          <w:rFonts w:asciiTheme="majorHAnsi" w:hAnsiTheme="majorHAnsi"/>
          <w:i/>
        </w:rPr>
        <w:t xml:space="preserve">B. </w:t>
      </w:r>
      <w:proofErr w:type="spellStart"/>
      <w:r w:rsidRPr="00EB3788">
        <w:rPr>
          <w:rFonts w:asciiTheme="majorHAnsi" w:hAnsiTheme="majorHAnsi"/>
          <w:i/>
        </w:rPr>
        <w:t>ambifaria</w:t>
      </w:r>
      <w:proofErr w:type="spellEnd"/>
      <w:r w:rsidRPr="00EB3788">
        <w:rPr>
          <w:rFonts w:asciiTheme="majorHAnsi" w:hAnsiTheme="majorHAnsi"/>
          <w:i/>
        </w:rPr>
        <w:t xml:space="preserve"> </w:t>
      </w:r>
      <w:r w:rsidRPr="00EB3788">
        <w:rPr>
          <w:rFonts w:asciiTheme="majorHAnsi" w:hAnsiTheme="majorHAnsi"/>
        </w:rPr>
        <w:t xml:space="preserve">(genomovar VII), </w:t>
      </w:r>
      <w:r w:rsidRPr="00EB3788">
        <w:rPr>
          <w:rFonts w:asciiTheme="majorHAnsi" w:hAnsiTheme="majorHAnsi"/>
          <w:i/>
        </w:rPr>
        <w:t xml:space="preserve">B. </w:t>
      </w:r>
      <w:proofErr w:type="spellStart"/>
      <w:r w:rsidRPr="00EB3788">
        <w:rPr>
          <w:rFonts w:asciiTheme="majorHAnsi" w:hAnsiTheme="majorHAnsi"/>
          <w:i/>
        </w:rPr>
        <w:t>anthina</w:t>
      </w:r>
      <w:proofErr w:type="spellEnd"/>
      <w:r w:rsidRPr="00EB3788">
        <w:rPr>
          <w:rFonts w:asciiTheme="majorHAnsi" w:hAnsiTheme="majorHAnsi"/>
          <w:i/>
        </w:rPr>
        <w:t xml:space="preserve"> </w:t>
      </w:r>
      <w:r w:rsidRPr="00EB3788">
        <w:rPr>
          <w:rFonts w:asciiTheme="majorHAnsi" w:hAnsiTheme="majorHAnsi"/>
        </w:rPr>
        <w:t xml:space="preserve">(genomovar VIII), and </w:t>
      </w:r>
      <w:r w:rsidRPr="00EB3788">
        <w:rPr>
          <w:rFonts w:asciiTheme="majorHAnsi" w:hAnsiTheme="majorHAnsi"/>
          <w:i/>
        </w:rPr>
        <w:t xml:space="preserve">B. </w:t>
      </w:r>
      <w:proofErr w:type="spellStart"/>
      <w:r w:rsidRPr="00EB3788">
        <w:rPr>
          <w:rFonts w:asciiTheme="majorHAnsi" w:hAnsiTheme="majorHAnsi"/>
          <w:i/>
        </w:rPr>
        <w:t>pyrrocinia</w:t>
      </w:r>
      <w:proofErr w:type="spellEnd"/>
      <w:r w:rsidRPr="00EB3788">
        <w:rPr>
          <w:rFonts w:asciiTheme="majorHAnsi" w:hAnsiTheme="majorHAnsi"/>
          <w:i/>
        </w:rPr>
        <w:t xml:space="preserve"> </w:t>
      </w:r>
      <w:r w:rsidRPr="00EB3788">
        <w:rPr>
          <w:rFonts w:asciiTheme="majorHAnsi" w:hAnsiTheme="majorHAnsi"/>
        </w:rPr>
        <w:t>(genomovar IX).</w:t>
      </w:r>
    </w:p>
    <w:p w14:paraId="303115E1" w14:textId="77777777" w:rsidR="00446C37" w:rsidRDefault="00446C37" w:rsidP="00446C37">
      <w:pPr>
        <w:rPr>
          <w:rFonts w:asciiTheme="majorHAnsi" w:hAnsiTheme="majorHAnsi"/>
          <w:i/>
        </w:rPr>
      </w:pPr>
    </w:p>
    <w:p w14:paraId="2873DC30" w14:textId="57ECBD90" w:rsidR="00630C76" w:rsidRPr="00EB3788" w:rsidRDefault="00630C76" w:rsidP="00446C37">
      <w:pPr>
        <w:rPr>
          <w:rFonts w:asciiTheme="majorHAnsi" w:hAnsiTheme="majorHAnsi"/>
        </w:rPr>
      </w:pPr>
      <w:r w:rsidRPr="00EB3788">
        <w:rPr>
          <w:rFonts w:asciiTheme="majorHAnsi" w:hAnsiTheme="majorHAnsi"/>
          <w:i/>
        </w:rPr>
        <w:lastRenderedPageBreak/>
        <w:t xml:space="preserve">Citrobacter </w:t>
      </w:r>
      <w:proofErr w:type="spellStart"/>
      <w:r w:rsidRPr="00EB3788">
        <w:rPr>
          <w:rFonts w:asciiTheme="majorHAnsi" w:hAnsiTheme="majorHAnsi"/>
          <w:i/>
        </w:rPr>
        <w:t>frundii</w:t>
      </w:r>
      <w:proofErr w:type="spellEnd"/>
      <w:r w:rsidRPr="00EB3788">
        <w:rPr>
          <w:rFonts w:asciiTheme="majorHAnsi" w:hAnsiTheme="majorHAnsi"/>
          <w:i/>
        </w:rPr>
        <w:t xml:space="preserve"> </w:t>
      </w:r>
      <w:r w:rsidRPr="00EB3788">
        <w:rPr>
          <w:rFonts w:asciiTheme="majorHAnsi" w:hAnsiTheme="majorHAnsi"/>
        </w:rPr>
        <w:t xml:space="preserve">complex comprises 11 species: </w:t>
      </w:r>
      <w:r w:rsidRPr="00EB3788">
        <w:rPr>
          <w:rFonts w:asciiTheme="majorHAnsi" w:hAnsiTheme="majorHAnsi"/>
          <w:i/>
        </w:rPr>
        <w:t xml:space="preserve">C. </w:t>
      </w:r>
      <w:proofErr w:type="spellStart"/>
      <w:r w:rsidRPr="00EB3788">
        <w:rPr>
          <w:rFonts w:asciiTheme="majorHAnsi" w:hAnsiTheme="majorHAnsi"/>
          <w:i/>
        </w:rPr>
        <w:t>braakii</w:t>
      </w:r>
      <w:proofErr w:type="spellEnd"/>
      <w:r w:rsidRPr="00EB3788">
        <w:rPr>
          <w:rFonts w:asciiTheme="majorHAnsi" w:hAnsiTheme="majorHAnsi"/>
        </w:rPr>
        <w:t xml:space="preserve">, </w:t>
      </w:r>
      <w:r w:rsidRPr="00EB3788">
        <w:rPr>
          <w:rFonts w:asciiTheme="majorHAnsi" w:hAnsiTheme="majorHAnsi"/>
          <w:i/>
        </w:rPr>
        <w:t xml:space="preserve">C. </w:t>
      </w:r>
      <w:proofErr w:type="spellStart"/>
      <w:r w:rsidRPr="00EB3788">
        <w:rPr>
          <w:rFonts w:asciiTheme="majorHAnsi" w:hAnsiTheme="majorHAnsi"/>
          <w:i/>
        </w:rPr>
        <w:t>freundii</w:t>
      </w:r>
      <w:proofErr w:type="spellEnd"/>
      <w:r w:rsidRPr="00EB3788">
        <w:rPr>
          <w:rFonts w:asciiTheme="majorHAnsi" w:hAnsiTheme="majorHAnsi"/>
        </w:rPr>
        <w:t xml:space="preserve">, </w:t>
      </w:r>
      <w:r w:rsidRPr="00EB3788">
        <w:rPr>
          <w:rFonts w:asciiTheme="majorHAnsi" w:hAnsiTheme="majorHAnsi"/>
          <w:i/>
        </w:rPr>
        <w:t xml:space="preserve">C. </w:t>
      </w:r>
      <w:proofErr w:type="spellStart"/>
      <w:r w:rsidRPr="00EB3788">
        <w:rPr>
          <w:rFonts w:asciiTheme="majorHAnsi" w:hAnsiTheme="majorHAnsi"/>
          <w:i/>
        </w:rPr>
        <w:t>gillenii</w:t>
      </w:r>
      <w:proofErr w:type="spellEnd"/>
      <w:r w:rsidRPr="00EB3788">
        <w:rPr>
          <w:rFonts w:asciiTheme="majorHAnsi" w:hAnsiTheme="majorHAnsi"/>
        </w:rPr>
        <w:t>,</w:t>
      </w:r>
      <w:r w:rsidRPr="00EB3788">
        <w:rPr>
          <w:rFonts w:asciiTheme="majorHAnsi" w:hAnsiTheme="majorHAnsi" w:hint="eastAsia"/>
          <w:lang w:eastAsia="ja-JP"/>
        </w:rPr>
        <w:t xml:space="preserve"> </w:t>
      </w:r>
      <w:r w:rsidRPr="00EB3788">
        <w:rPr>
          <w:rFonts w:asciiTheme="majorHAnsi" w:hAnsiTheme="majorHAnsi"/>
          <w:i/>
        </w:rPr>
        <w:t xml:space="preserve">C. </w:t>
      </w:r>
      <w:proofErr w:type="spellStart"/>
      <w:r w:rsidRPr="00EB3788">
        <w:rPr>
          <w:rFonts w:asciiTheme="majorHAnsi" w:hAnsiTheme="majorHAnsi"/>
          <w:i/>
        </w:rPr>
        <w:t>murliniae</w:t>
      </w:r>
      <w:proofErr w:type="spellEnd"/>
      <w:r w:rsidRPr="00EB3788">
        <w:rPr>
          <w:rFonts w:asciiTheme="majorHAnsi" w:hAnsiTheme="majorHAnsi"/>
        </w:rPr>
        <w:t xml:space="preserve">, </w:t>
      </w:r>
      <w:r w:rsidRPr="00EB3788">
        <w:rPr>
          <w:rFonts w:asciiTheme="majorHAnsi" w:hAnsiTheme="majorHAnsi"/>
          <w:i/>
        </w:rPr>
        <w:t xml:space="preserve">C. </w:t>
      </w:r>
      <w:proofErr w:type="spellStart"/>
      <w:r w:rsidRPr="00EB3788">
        <w:rPr>
          <w:rFonts w:asciiTheme="majorHAnsi" w:hAnsiTheme="majorHAnsi"/>
          <w:i/>
        </w:rPr>
        <w:t>sedlakii</w:t>
      </w:r>
      <w:proofErr w:type="spellEnd"/>
      <w:r w:rsidRPr="00EB3788">
        <w:rPr>
          <w:rFonts w:asciiTheme="majorHAnsi" w:hAnsiTheme="majorHAnsi"/>
        </w:rPr>
        <w:t xml:space="preserve">, </w:t>
      </w:r>
      <w:r w:rsidRPr="00EB3788">
        <w:rPr>
          <w:rFonts w:asciiTheme="majorHAnsi" w:hAnsiTheme="majorHAnsi"/>
          <w:i/>
        </w:rPr>
        <w:t xml:space="preserve">C. </w:t>
      </w:r>
      <w:proofErr w:type="spellStart"/>
      <w:r w:rsidRPr="00EB3788">
        <w:rPr>
          <w:rFonts w:asciiTheme="majorHAnsi" w:hAnsiTheme="majorHAnsi"/>
          <w:i/>
        </w:rPr>
        <w:t>werkmani</w:t>
      </w:r>
      <w:proofErr w:type="spellEnd"/>
      <w:r w:rsidRPr="00EB3788">
        <w:rPr>
          <w:rFonts w:asciiTheme="majorHAnsi" w:hAnsiTheme="majorHAnsi"/>
        </w:rPr>
        <w:t xml:space="preserve">, </w:t>
      </w:r>
      <w:r w:rsidRPr="00EB3788">
        <w:rPr>
          <w:rFonts w:asciiTheme="majorHAnsi" w:hAnsiTheme="majorHAnsi"/>
          <w:i/>
        </w:rPr>
        <w:t xml:space="preserve">C. </w:t>
      </w:r>
      <w:proofErr w:type="spellStart"/>
      <w:r w:rsidRPr="00EB3788">
        <w:rPr>
          <w:rFonts w:asciiTheme="majorHAnsi" w:hAnsiTheme="majorHAnsi"/>
          <w:i/>
        </w:rPr>
        <w:t>youngae</w:t>
      </w:r>
      <w:proofErr w:type="spellEnd"/>
      <w:r w:rsidRPr="00EB3788">
        <w:rPr>
          <w:rFonts w:asciiTheme="majorHAnsi" w:hAnsiTheme="majorHAnsi"/>
          <w:i/>
        </w:rPr>
        <w:t xml:space="preserve"> </w:t>
      </w:r>
      <w:r w:rsidRPr="00EB3788">
        <w:rPr>
          <w:rFonts w:asciiTheme="majorHAnsi" w:hAnsiTheme="majorHAnsi"/>
        </w:rPr>
        <w:t>and 3 non-</w:t>
      </w:r>
      <w:proofErr w:type="spellStart"/>
      <w:r w:rsidRPr="00EB3788">
        <w:rPr>
          <w:rFonts w:asciiTheme="majorHAnsi" w:hAnsiTheme="majorHAnsi"/>
        </w:rPr>
        <w:t>mamed</w:t>
      </w:r>
      <w:proofErr w:type="spellEnd"/>
      <w:r w:rsidRPr="00EB3788">
        <w:rPr>
          <w:rFonts w:asciiTheme="majorHAnsi" w:hAnsiTheme="majorHAnsi"/>
        </w:rPr>
        <w:t xml:space="preserve"> species. </w:t>
      </w:r>
      <w:r w:rsidRPr="00EB3788">
        <w:rPr>
          <w:rFonts w:asciiTheme="majorHAnsi" w:hAnsiTheme="majorHAnsi"/>
          <w:i/>
        </w:rPr>
        <w:t xml:space="preserve">Enterobacter cloacae </w:t>
      </w:r>
      <w:r w:rsidRPr="00EB3788">
        <w:rPr>
          <w:rFonts w:asciiTheme="majorHAnsi" w:hAnsiTheme="majorHAnsi"/>
        </w:rPr>
        <w:t xml:space="preserve">complex comprises 6 species: </w:t>
      </w:r>
      <w:r w:rsidRPr="00EB3788">
        <w:rPr>
          <w:rFonts w:asciiTheme="majorHAnsi" w:hAnsiTheme="majorHAnsi"/>
          <w:i/>
        </w:rPr>
        <w:t>E. cloacae</w:t>
      </w:r>
      <w:r w:rsidRPr="00EB3788">
        <w:rPr>
          <w:rFonts w:asciiTheme="majorHAnsi" w:hAnsiTheme="majorHAnsi"/>
        </w:rPr>
        <w:t xml:space="preserve">, </w:t>
      </w:r>
      <w:r w:rsidRPr="00EB3788">
        <w:rPr>
          <w:rFonts w:asciiTheme="majorHAnsi" w:hAnsiTheme="majorHAnsi"/>
          <w:i/>
        </w:rPr>
        <w:t xml:space="preserve">E. </w:t>
      </w:r>
      <w:proofErr w:type="spellStart"/>
      <w:r w:rsidRPr="00EB3788">
        <w:rPr>
          <w:rFonts w:asciiTheme="majorHAnsi" w:hAnsiTheme="majorHAnsi"/>
          <w:i/>
        </w:rPr>
        <w:t>asburiae</w:t>
      </w:r>
      <w:proofErr w:type="spellEnd"/>
      <w:r w:rsidRPr="00EB3788">
        <w:rPr>
          <w:rFonts w:asciiTheme="majorHAnsi" w:hAnsiTheme="majorHAnsi"/>
        </w:rPr>
        <w:t xml:space="preserve">, </w:t>
      </w:r>
      <w:r w:rsidRPr="00EB3788">
        <w:rPr>
          <w:rFonts w:asciiTheme="majorHAnsi" w:hAnsiTheme="majorHAnsi"/>
          <w:i/>
        </w:rPr>
        <w:t xml:space="preserve">E. </w:t>
      </w:r>
      <w:proofErr w:type="spellStart"/>
      <w:r w:rsidRPr="00EB3788">
        <w:rPr>
          <w:rFonts w:asciiTheme="majorHAnsi" w:hAnsiTheme="majorHAnsi"/>
          <w:i/>
        </w:rPr>
        <w:t>hormaechei</w:t>
      </w:r>
      <w:proofErr w:type="spellEnd"/>
      <w:r w:rsidRPr="00EB3788">
        <w:rPr>
          <w:rFonts w:asciiTheme="majorHAnsi" w:hAnsiTheme="majorHAnsi"/>
        </w:rPr>
        <w:t xml:space="preserve">, </w:t>
      </w:r>
      <w:r w:rsidRPr="00EB3788">
        <w:rPr>
          <w:rFonts w:asciiTheme="majorHAnsi" w:hAnsiTheme="majorHAnsi"/>
          <w:i/>
        </w:rPr>
        <w:t xml:space="preserve">E. </w:t>
      </w:r>
      <w:proofErr w:type="spellStart"/>
      <w:r w:rsidRPr="00EB3788">
        <w:rPr>
          <w:rFonts w:asciiTheme="majorHAnsi" w:hAnsiTheme="majorHAnsi"/>
          <w:i/>
        </w:rPr>
        <w:t>kobei</w:t>
      </w:r>
      <w:proofErr w:type="spellEnd"/>
      <w:r w:rsidRPr="00EB3788">
        <w:rPr>
          <w:rFonts w:asciiTheme="majorHAnsi" w:hAnsiTheme="majorHAnsi"/>
        </w:rPr>
        <w:t xml:space="preserve">, </w:t>
      </w:r>
      <w:r w:rsidRPr="00EB3788">
        <w:rPr>
          <w:rFonts w:asciiTheme="majorHAnsi" w:hAnsiTheme="majorHAnsi"/>
          <w:i/>
        </w:rPr>
        <w:t xml:space="preserve">E. </w:t>
      </w:r>
      <w:proofErr w:type="spellStart"/>
      <w:r w:rsidRPr="00EB3788">
        <w:rPr>
          <w:rFonts w:asciiTheme="majorHAnsi" w:hAnsiTheme="majorHAnsi"/>
          <w:i/>
        </w:rPr>
        <w:t>ludwigii</w:t>
      </w:r>
      <w:proofErr w:type="spellEnd"/>
      <w:r w:rsidRPr="00EB3788">
        <w:rPr>
          <w:rFonts w:asciiTheme="majorHAnsi" w:hAnsiTheme="majorHAnsi"/>
          <w:i/>
        </w:rPr>
        <w:t xml:space="preserve"> </w:t>
      </w:r>
      <w:r w:rsidRPr="00EB3788">
        <w:rPr>
          <w:rFonts w:asciiTheme="majorHAnsi" w:hAnsiTheme="majorHAnsi"/>
        </w:rPr>
        <w:t xml:space="preserve">and </w:t>
      </w:r>
      <w:r w:rsidRPr="00EB3788">
        <w:rPr>
          <w:rFonts w:asciiTheme="majorHAnsi" w:hAnsiTheme="majorHAnsi"/>
          <w:i/>
        </w:rPr>
        <w:t xml:space="preserve">E. </w:t>
      </w:r>
      <w:proofErr w:type="spellStart"/>
      <w:r w:rsidRPr="00EB3788">
        <w:rPr>
          <w:rFonts w:asciiTheme="majorHAnsi" w:hAnsiTheme="majorHAnsi"/>
          <w:i/>
        </w:rPr>
        <w:t>nimipressuralis</w:t>
      </w:r>
      <w:proofErr w:type="spellEnd"/>
      <w:r w:rsidRPr="00EB3788">
        <w:rPr>
          <w:rFonts w:asciiTheme="majorHAnsi" w:hAnsiTheme="majorHAnsi"/>
        </w:rPr>
        <w:t>.</w:t>
      </w:r>
    </w:p>
    <w:p w14:paraId="4090E129" w14:textId="58A0C32C" w:rsidR="00FD7970" w:rsidRPr="00EB3788" w:rsidRDefault="00FD7970" w:rsidP="00446C37">
      <w:pPr>
        <w:pStyle w:val="Heading3"/>
        <w:spacing w:before="0" w:after="120"/>
        <w:ind w:left="0"/>
      </w:pPr>
      <w:r w:rsidRPr="004664E6">
        <w:rPr>
          <w:lang w:eastAsia="ja-JP"/>
        </w:rPr>
        <w:t>Pharmacodynamic</w:t>
      </w:r>
      <w:r w:rsidR="0070551A" w:rsidRPr="004664E6">
        <w:rPr>
          <w:lang w:eastAsia="ja-JP"/>
        </w:rPr>
        <w:t xml:space="preserve"> effec</w:t>
      </w:r>
      <w:r w:rsidRPr="004664E6">
        <w:rPr>
          <w:lang w:eastAsia="ja-JP"/>
        </w:rPr>
        <w:t>ts</w:t>
      </w:r>
    </w:p>
    <w:p w14:paraId="2633D555" w14:textId="2F846607" w:rsidR="00FD7970" w:rsidRPr="004664E6" w:rsidRDefault="00FD7970" w:rsidP="00446C37">
      <w:pPr>
        <w:rPr>
          <w:rFonts w:asciiTheme="majorHAnsi" w:hAnsiTheme="majorHAnsi"/>
          <w:lang w:eastAsia="ja-JP"/>
        </w:rPr>
      </w:pPr>
      <w:r w:rsidRPr="004664E6">
        <w:rPr>
          <w:rFonts w:asciiTheme="majorHAnsi" w:hAnsiTheme="majorHAnsi"/>
          <w:lang w:eastAsia="ja-JP"/>
        </w:rPr>
        <w:t>With beta-lactam antimicrobial drugs, the time that unbound plasma concentrations exceed the minimum inhibitory concentration (%</w:t>
      </w:r>
      <w:proofErr w:type="spellStart"/>
      <w:r w:rsidR="00ED726A" w:rsidRPr="004664E6">
        <w:rPr>
          <w:rFonts w:asciiTheme="majorHAnsi" w:hAnsiTheme="majorHAnsi"/>
          <w:i/>
          <w:iCs/>
          <w:lang w:eastAsia="ja-JP"/>
        </w:rPr>
        <w:t>f</w:t>
      </w:r>
      <w:r w:rsidRPr="004664E6">
        <w:rPr>
          <w:rFonts w:asciiTheme="majorHAnsi" w:hAnsiTheme="majorHAnsi"/>
          <w:lang w:eastAsia="ja-JP"/>
        </w:rPr>
        <w:t>T</w:t>
      </w:r>
      <w:proofErr w:type="spellEnd"/>
      <w:r w:rsidRPr="004664E6">
        <w:rPr>
          <w:rFonts w:asciiTheme="majorHAnsi" w:hAnsiTheme="majorHAnsi"/>
          <w:vertAlign w:val="subscript"/>
          <w:lang w:eastAsia="ja-JP"/>
        </w:rPr>
        <w:t>&gt;MIC</w:t>
      </w:r>
      <w:r w:rsidRPr="004664E6">
        <w:rPr>
          <w:rFonts w:asciiTheme="majorHAnsi" w:hAnsiTheme="majorHAnsi"/>
          <w:lang w:eastAsia="ja-JP"/>
        </w:rPr>
        <w:t xml:space="preserve">) against the infecting organism has been shown to best correlate with efficacy, as has been demonstrated with cefiderocol in neutropenic murine thigh and lung infection models with </w:t>
      </w:r>
      <w:proofErr w:type="spellStart"/>
      <w:r w:rsidRPr="004664E6">
        <w:rPr>
          <w:rFonts w:asciiTheme="majorHAnsi" w:hAnsiTheme="majorHAnsi"/>
          <w:lang w:eastAsia="ja-JP"/>
        </w:rPr>
        <w:t>Enterobacterales</w:t>
      </w:r>
      <w:proofErr w:type="spellEnd"/>
      <w:r w:rsidRPr="004664E6">
        <w:rPr>
          <w:rFonts w:asciiTheme="majorHAnsi" w:hAnsiTheme="majorHAnsi"/>
          <w:lang w:eastAsia="ja-JP"/>
        </w:rPr>
        <w:t xml:space="preserve">, </w:t>
      </w:r>
      <w:r w:rsidRPr="004664E6">
        <w:rPr>
          <w:rFonts w:asciiTheme="majorHAnsi" w:hAnsiTheme="majorHAnsi"/>
          <w:i/>
          <w:lang w:eastAsia="ja-JP"/>
        </w:rPr>
        <w:t>P</w:t>
      </w:r>
      <w:r w:rsidR="00ED726A" w:rsidRPr="004664E6">
        <w:rPr>
          <w:rFonts w:asciiTheme="majorHAnsi" w:hAnsiTheme="majorHAnsi"/>
          <w:i/>
          <w:lang w:eastAsia="ja-JP"/>
        </w:rPr>
        <w:t>.</w:t>
      </w:r>
      <w:r w:rsidRPr="004664E6">
        <w:rPr>
          <w:rFonts w:asciiTheme="majorHAnsi" w:hAnsiTheme="majorHAnsi"/>
          <w:i/>
          <w:lang w:eastAsia="ja-JP"/>
        </w:rPr>
        <w:t xml:space="preserve"> aeruginosa </w:t>
      </w:r>
      <w:r w:rsidRPr="004664E6">
        <w:rPr>
          <w:rFonts w:asciiTheme="majorHAnsi" w:hAnsiTheme="majorHAnsi"/>
          <w:lang w:eastAsia="ja-JP"/>
        </w:rPr>
        <w:t xml:space="preserve">and </w:t>
      </w:r>
      <w:r w:rsidRPr="004664E6">
        <w:rPr>
          <w:rFonts w:asciiTheme="majorHAnsi" w:hAnsiTheme="majorHAnsi"/>
          <w:i/>
          <w:lang w:eastAsia="ja-JP"/>
        </w:rPr>
        <w:t>A</w:t>
      </w:r>
      <w:r w:rsidR="00ED726A" w:rsidRPr="004664E6">
        <w:rPr>
          <w:rFonts w:asciiTheme="majorHAnsi" w:hAnsiTheme="majorHAnsi"/>
          <w:i/>
          <w:lang w:eastAsia="ja-JP"/>
        </w:rPr>
        <w:t>.</w:t>
      </w:r>
      <w:r w:rsidRPr="004664E6">
        <w:rPr>
          <w:rFonts w:asciiTheme="majorHAnsi" w:hAnsiTheme="majorHAnsi"/>
          <w:i/>
          <w:lang w:eastAsia="ja-JP"/>
        </w:rPr>
        <w:t xml:space="preserve"> baumannii</w:t>
      </w:r>
      <w:r w:rsidRPr="004664E6">
        <w:rPr>
          <w:rFonts w:asciiTheme="majorHAnsi" w:hAnsiTheme="majorHAnsi"/>
          <w:lang w:eastAsia="ja-JP"/>
        </w:rPr>
        <w:t xml:space="preserve">. The time above a threshold concentration has been determined to be the parameter that best predicts the efficacy of cefiderocol in </w:t>
      </w:r>
      <w:r w:rsidRPr="004664E6">
        <w:rPr>
          <w:rFonts w:asciiTheme="majorHAnsi" w:hAnsiTheme="majorHAnsi"/>
          <w:i/>
          <w:lang w:eastAsia="ja-JP"/>
        </w:rPr>
        <w:t xml:space="preserve">in vivo </w:t>
      </w:r>
      <w:r w:rsidRPr="004664E6">
        <w:rPr>
          <w:rFonts w:asciiTheme="majorHAnsi" w:hAnsiTheme="majorHAnsi"/>
          <w:lang w:eastAsia="ja-JP"/>
        </w:rPr>
        <w:t>nonclinical models. In an immunocompetent rat pneumonia model and neutropenic murine thigh model reproducing human drug exposure, 2 g of cefiderocol q8h with a 3</w:t>
      </w:r>
      <w:r w:rsidR="00846F63" w:rsidRPr="004664E6">
        <w:rPr>
          <w:rFonts w:asciiTheme="majorHAnsi" w:hAnsiTheme="majorHAnsi"/>
          <w:lang w:eastAsia="ja-JP"/>
        </w:rPr>
        <w:t>-</w:t>
      </w:r>
      <w:r w:rsidRPr="004664E6">
        <w:rPr>
          <w:rFonts w:asciiTheme="majorHAnsi" w:hAnsiTheme="majorHAnsi"/>
          <w:lang w:eastAsia="ja-JP"/>
        </w:rPr>
        <w:t xml:space="preserve">hour infusion showed the microbiological eradication of </w:t>
      </w:r>
      <w:proofErr w:type="spellStart"/>
      <w:r w:rsidRPr="004664E6">
        <w:rPr>
          <w:rFonts w:asciiTheme="majorHAnsi" w:hAnsiTheme="majorHAnsi"/>
          <w:lang w:eastAsia="ja-JP"/>
        </w:rPr>
        <w:t>Enterobacterales</w:t>
      </w:r>
      <w:proofErr w:type="spellEnd"/>
      <w:r w:rsidRPr="004664E6">
        <w:rPr>
          <w:rFonts w:asciiTheme="majorHAnsi" w:hAnsiTheme="majorHAnsi"/>
          <w:lang w:eastAsia="ja-JP"/>
        </w:rPr>
        <w:t xml:space="preserve">, </w:t>
      </w:r>
      <w:r w:rsidRPr="004664E6">
        <w:rPr>
          <w:rFonts w:asciiTheme="majorHAnsi" w:hAnsiTheme="majorHAnsi"/>
          <w:i/>
          <w:lang w:eastAsia="ja-JP"/>
        </w:rPr>
        <w:t>P</w:t>
      </w:r>
      <w:r w:rsidR="00ED726A" w:rsidRPr="004664E6">
        <w:rPr>
          <w:rFonts w:asciiTheme="majorHAnsi" w:hAnsiTheme="majorHAnsi"/>
          <w:i/>
          <w:lang w:eastAsia="ja-JP"/>
        </w:rPr>
        <w:t>.</w:t>
      </w:r>
      <w:r w:rsidRPr="004664E6">
        <w:rPr>
          <w:rFonts w:asciiTheme="majorHAnsi" w:hAnsiTheme="majorHAnsi"/>
          <w:i/>
          <w:lang w:eastAsia="ja-JP"/>
        </w:rPr>
        <w:t xml:space="preserve"> aeruginosa </w:t>
      </w:r>
      <w:r w:rsidRPr="004664E6">
        <w:rPr>
          <w:rFonts w:asciiTheme="majorHAnsi" w:hAnsiTheme="majorHAnsi"/>
          <w:lang w:eastAsia="ja-JP"/>
        </w:rPr>
        <w:t xml:space="preserve">and </w:t>
      </w:r>
      <w:r w:rsidRPr="004664E6">
        <w:rPr>
          <w:rFonts w:asciiTheme="majorHAnsi" w:hAnsiTheme="majorHAnsi"/>
          <w:i/>
          <w:lang w:eastAsia="ja-JP"/>
        </w:rPr>
        <w:t>A</w:t>
      </w:r>
      <w:r w:rsidR="00ED726A" w:rsidRPr="004664E6">
        <w:rPr>
          <w:rFonts w:asciiTheme="majorHAnsi" w:hAnsiTheme="majorHAnsi"/>
          <w:i/>
          <w:lang w:eastAsia="ja-JP"/>
        </w:rPr>
        <w:t>.</w:t>
      </w:r>
      <w:r w:rsidRPr="004664E6">
        <w:rPr>
          <w:rFonts w:asciiTheme="majorHAnsi" w:hAnsiTheme="majorHAnsi"/>
          <w:i/>
          <w:lang w:eastAsia="ja-JP"/>
        </w:rPr>
        <w:t xml:space="preserve"> baumannii </w:t>
      </w:r>
      <w:r w:rsidRPr="004664E6">
        <w:rPr>
          <w:rFonts w:asciiTheme="majorHAnsi" w:hAnsiTheme="majorHAnsi"/>
          <w:lang w:eastAsia="ja-JP"/>
        </w:rPr>
        <w:t>including carbapenem-resistant strains.</w:t>
      </w:r>
    </w:p>
    <w:p w14:paraId="2D8BE2D0" w14:textId="77777777" w:rsidR="00FD7970" w:rsidRPr="004664E6" w:rsidRDefault="00FD7970" w:rsidP="00446C37">
      <w:pPr>
        <w:rPr>
          <w:rFonts w:asciiTheme="majorHAnsi" w:hAnsiTheme="majorHAnsi"/>
          <w:i/>
          <w:lang w:eastAsia="ja-JP"/>
        </w:rPr>
      </w:pPr>
      <w:r w:rsidRPr="004664E6">
        <w:rPr>
          <w:rFonts w:asciiTheme="majorHAnsi" w:hAnsiTheme="majorHAnsi"/>
          <w:i/>
          <w:lang w:eastAsia="ja-JP"/>
        </w:rPr>
        <w:t>Cardiac Electrophysiology</w:t>
      </w:r>
    </w:p>
    <w:p w14:paraId="1076437E" w14:textId="4ABC4BD5" w:rsidR="00FD7970" w:rsidRPr="004664E6" w:rsidRDefault="00FD7970" w:rsidP="00446C37">
      <w:pPr>
        <w:rPr>
          <w:rFonts w:asciiTheme="majorHAnsi" w:hAnsiTheme="majorHAnsi"/>
          <w:lang w:eastAsia="ja-JP"/>
        </w:rPr>
      </w:pPr>
      <w:r w:rsidRPr="004664E6">
        <w:rPr>
          <w:rFonts w:asciiTheme="majorHAnsi" w:hAnsiTheme="majorHAnsi"/>
          <w:lang w:eastAsia="ja-JP"/>
        </w:rPr>
        <w:t>At dosages of 2 g and 4 g, cefiderocol does not prolong the QT interval to any clinically relevant extent.</w:t>
      </w:r>
    </w:p>
    <w:p w14:paraId="2567EDB2" w14:textId="77777777" w:rsidR="001A3992" w:rsidRPr="00EB3788" w:rsidRDefault="7C288D4E" w:rsidP="00446C37">
      <w:pPr>
        <w:pStyle w:val="Heading3"/>
        <w:spacing w:before="0" w:after="120"/>
        <w:ind w:left="0"/>
      </w:pPr>
      <w:bookmarkStart w:id="23" w:name="_Clinical_trials"/>
      <w:bookmarkEnd w:id="23"/>
      <w:r w:rsidRPr="00EB3788">
        <w:t>Clinical trials</w:t>
      </w:r>
    </w:p>
    <w:p w14:paraId="0090E527" w14:textId="77777777" w:rsidR="00402D1D" w:rsidRPr="00EB3788" w:rsidRDefault="00402D1D" w:rsidP="00446C37">
      <w:pPr>
        <w:keepNext/>
        <w:keepLines/>
        <w:adjustRightInd w:val="0"/>
        <w:snapToGrid w:val="0"/>
        <w:spacing w:after="120" w:line="240" w:lineRule="auto"/>
        <w:outlineLvl w:val="3"/>
        <w:rPr>
          <w:rFonts w:asciiTheme="majorHAnsi" w:eastAsia="MS Mincho" w:hAnsiTheme="majorHAnsi" w:cs="Arial"/>
          <w:b/>
          <w:bCs/>
          <w:snapToGrid w:val="0"/>
          <w:kern w:val="32"/>
        </w:rPr>
      </w:pPr>
      <w:bookmarkStart w:id="24" w:name="_Toc160162969"/>
      <w:r w:rsidRPr="00EB3788">
        <w:rPr>
          <w:rFonts w:asciiTheme="majorHAnsi" w:eastAsia="MS Mincho" w:hAnsiTheme="majorHAnsi" w:cs="Arial"/>
          <w:b/>
          <w:bCs/>
          <w:snapToGrid w:val="0"/>
          <w:kern w:val="32"/>
        </w:rPr>
        <w:t>APEKS-</w:t>
      </w:r>
      <w:proofErr w:type="spellStart"/>
      <w:r w:rsidRPr="00EB3788">
        <w:rPr>
          <w:rFonts w:asciiTheme="majorHAnsi" w:eastAsia="MS Mincho" w:hAnsiTheme="majorHAnsi" w:cs="Arial"/>
          <w:b/>
          <w:bCs/>
          <w:snapToGrid w:val="0"/>
          <w:kern w:val="32"/>
        </w:rPr>
        <w:t>cUTI</w:t>
      </w:r>
      <w:proofErr w:type="spellEnd"/>
      <w:r w:rsidRPr="00EB3788">
        <w:rPr>
          <w:rFonts w:asciiTheme="majorHAnsi" w:eastAsia="MS Mincho" w:hAnsiTheme="majorHAnsi" w:cs="Arial"/>
          <w:b/>
          <w:bCs/>
          <w:snapToGrid w:val="0"/>
          <w:kern w:val="32"/>
        </w:rPr>
        <w:t xml:space="preserve"> study (1409R2121)</w:t>
      </w:r>
      <w:bookmarkEnd w:id="24"/>
    </w:p>
    <w:p w14:paraId="17EDB909" w14:textId="7B30B1FE" w:rsidR="00402D1D" w:rsidRPr="00EB3788" w:rsidRDefault="00402D1D" w:rsidP="00446C37">
      <w:pPr>
        <w:adjustRightInd w:val="0"/>
        <w:snapToGrid w:val="0"/>
        <w:spacing w:after="240"/>
        <w:rPr>
          <w:rFonts w:asciiTheme="majorHAnsi" w:eastAsia="MS Gothic" w:hAnsiTheme="majorHAnsi" w:cs="Times New Roman"/>
        </w:rPr>
      </w:pPr>
      <w:r w:rsidRPr="00EB3788">
        <w:rPr>
          <w:rFonts w:asciiTheme="majorHAnsi" w:eastAsia="MS Gothic" w:hAnsiTheme="majorHAnsi" w:cs="Times New Roman"/>
          <w:snapToGrid w:val="0"/>
        </w:rPr>
        <w:t xml:space="preserve">This was a phase 2, </w:t>
      </w:r>
      <w:r w:rsidR="0007483E" w:rsidRPr="00EB3788">
        <w:rPr>
          <w:rFonts w:asciiTheme="majorHAnsi" w:eastAsia="MS Gothic" w:hAnsiTheme="majorHAnsi" w:cs="Times New Roman"/>
          <w:snapToGrid w:val="0"/>
        </w:rPr>
        <w:t>multicentre</w:t>
      </w:r>
      <w:r w:rsidRPr="00EB3788">
        <w:rPr>
          <w:rFonts w:asciiTheme="majorHAnsi" w:eastAsia="MS Gothic" w:hAnsiTheme="majorHAnsi" w:cs="Times New Roman"/>
          <w:snapToGrid w:val="0"/>
        </w:rPr>
        <w:t>, double-blind, randomi</w:t>
      </w:r>
      <w:r w:rsidR="006B6082" w:rsidRPr="00EB3788">
        <w:rPr>
          <w:rFonts w:asciiTheme="majorHAnsi" w:eastAsia="MS Gothic" w:hAnsiTheme="majorHAnsi" w:cs="Times New Roman"/>
          <w:snapToGrid w:val="0"/>
        </w:rPr>
        <w:t>s</w:t>
      </w:r>
      <w:r w:rsidRPr="00EB3788">
        <w:rPr>
          <w:rFonts w:asciiTheme="majorHAnsi" w:eastAsia="MS Gothic" w:hAnsiTheme="majorHAnsi" w:cs="Times New Roman"/>
          <w:snapToGrid w:val="0"/>
        </w:rPr>
        <w:t xml:space="preserve">ed, active-controlled study to assess the efficacy and safety of </w:t>
      </w:r>
      <w:r w:rsidR="007B4347" w:rsidRPr="00EB3788">
        <w:rPr>
          <w:rFonts w:asciiTheme="majorHAnsi" w:eastAsia="MS Gothic" w:hAnsiTheme="majorHAnsi" w:cs="Times New Roman"/>
          <w:snapToGrid w:val="0"/>
        </w:rPr>
        <w:t>Fetroja</w:t>
      </w:r>
      <w:r w:rsidRPr="00EB3788">
        <w:rPr>
          <w:rFonts w:asciiTheme="majorHAnsi" w:eastAsia="MS Gothic" w:hAnsiTheme="majorHAnsi" w:cs="Times New Roman"/>
          <w:snapToGrid w:val="0"/>
        </w:rPr>
        <w:t xml:space="preserve"> in complicated urinary tract infections (</w:t>
      </w:r>
      <w:proofErr w:type="spellStart"/>
      <w:r w:rsidRPr="00EB3788">
        <w:rPr>
          <w:rFonts w:asciiTheme="majorHAnsi" w:eastAsia="MS Gothic" w:hAnsiTheme="majorHAnsi" w:cs="Times New Roman"/>
          <w:snapToGrid w:val="0"/>
        </w:rPr>
        <w:t>cUTI</w:t>
      </w:r>
      <w:proofErr w:type="spellEnd"/>
      <w:r w:rsidRPr="00EB3788">
        <w:rPr>
          <w:rFonts w:asciiTheme="majorHAnsi" w:eastAsia="MS Gothic" w:hAnsiTheme="majorHAnsi" w:cs="Times New Roman"/>
          <w:snapToGrid w:val="0"/>
        </w:rPr>
        <w:t>) with or without pyelonephritis or acute uncomplicated pyelonephritis caused by Gram-negative pathogens in hospitali</w:t>
      </w:r>
      <w:r w:rsidR="008F2FBA">
        <w:rPr>
          <w:rFonts w:asciiTheme="majorHAnsi" w:eastAsia="MS Gothic" w:hAnsiTheme="majorHAnsi" w:cs="Times New Roman"/>
          <w:snapToGrid w:val="0"/>
        </w:rPr>
        <w:t>s</w:t>
      </w:r>
      <w:r w:rsidRPr="00EB3788">
        <w:rPr>
          <w:rFonts w:asciiTheme="majorHAnsi" w:eastAsia="MS Gothic" w:hAnsiTheme="majorHAnsi" w:cs="Times New Roman"/>
          <w:snapToGrid w:val="0"/>
        </w:rPr>
        <w:t>ed adults in comparison with intravenous imipenem/</w:t>
      </w:r>
      <w:proofErr w:type="spellStart"/>
      <w:r w:rsidRPr="00EB3788">
        <w:rPr>
          <w:rFonts w:asciiTheme="majorHAnsi" w:eastAsia="MS Gothic" w:hAnsiTheme="majorHAnsi" w:cs="Times New Roman"/>
          <w:snapToGrid w:val="0"/>
        </w:rPr>
        <w:t>cilastatin</w:t>
      </w:r>
      <w:proofErr w:type="spellEnd"/>
      <w:r w:rsidRPr="00EB3788">
        <w:rPr>
          <w:rFonts w:asciiTheme="majorHAnsi" w:eastAsia="MS Gothic" w:hAnsiTheme="majorHAnsi" w:cs="Times New Roman"/>
          <w:snapToGrid w:val="0"/>
        </w:rPr>
        <w:t xml:space="preserve"> (IPM/CS). The subjects were </w:t>
      </w:r>
      <w:r w:rsidR="000B7FFA" w:rsidRPr="00EB3788">
        <w:rPr>
          <w:rFonts w:asciiTheme="majorHAnsi" w:eastAsia="MS Gothic" w:hAnsiTheme="majorHAnsi" w:cs="Times New Roman"/>
          <w:snapToGrid w:val="0"/>
        </w:rPr>
        <w:t>randomised</w:t>
      </w:r>
      <w:r w:rsidRPr="00EB3788">
        <w:rPr>
          <w:rFonts w:asciiTheme="majorHAnsi" w:eastAsia="MS Gothic" w:hAnsiTheme="majorHAnsi" w:cs="Times New Roman"/>
          <w:snapToGrid w:val="0"/>
        </w:rPr>
        <w:t xml:space="preserve"> (2:1) to either </w:t>
      </w:r>
      <w:r w:rsidR="002711ED" w:rsidRPr="00EB3788">
        <w:rPr>
          <w:rFonts w:asciiTheme="majorHAnsi" w:eastAsia="MS Gothic" w:hAnsiTheme="majorHAnsi" w:cs="Times New Roman"/>
          <w:snapToGrid w:val="0"/>
        </w:rPr>
        <w:t>Fetroja (</w:t>
      </w:r>
      <w:r w:rsidRPr="00EB3788">
        <w:rPr>
          <w:rFonts w:asciiTheme="majorHAnsi" w:eastAsia="MS Gothic" w:hAnsiTheme="majorHAnsi" w:cs="Times New Roman"/>
          <w:snapToGrid w:val="0"/>
        </w:rPr>
        <w:t>intravenous cefiderocol</w:t>
      </w:r>
      <w:r w:rsidR="00B749BF" w:rsidRPr="00EB3788">
        <w:rPr>
          <w:rFonts w:asciiTheme="majorHAnsi" w:eastAsia="MS Gothic" w:hAnsiTheme="majorHAnsi" w:cs="Times New Roman"/>
          <w:snapToGrid w:val="0"/>
        </w:rPr>
        <w:t>)</w:t>
      </w:r>
      <w:r w:rsidRPr="00EB3788">
        <w:rPr>
          <w:rFonts w:asciiTheme="majorHAnsi" w:eastAsia="MS Gothic" w:hAnsiTheme="majorHAnsi" w:cs="Times New Roman"/>
          <w:snapToGrid w:val="0"/>
        </w:rPr>
        <w:t xml:space="preserve"> 2 g or IPM/CS (1/1 g) over 1 hour, every 8 hours for 7 to 14 days. Four hundred </w:t>
      </w:r>
      <w:r w:rsidR="006608CB" w:rsidRPr="00EB3788">
        <w:rPr>
          <w:rFonts w:asciiTheme="majorHAnsi" w:eastAsia="MS Gothic" w:hAnsiTheme="majorHAnsi" w:cs="Times New Roman"/>
          <w:snapToGrid w:val="0"/>
        </w:rPr>
        <w:t>forty-eight</w:t>
      </w:r>
      <w:r w:rsidRPr="00EB3788">
        <w:rPr>
          <w:rFonts w:asciiTheme="majorHAnsi" w:eastAsia="MS Gothic" w:hAnsiTheme="majorHAnsi" w:cs="Times New Roman"/>
          <w:snapToGrid w:val="0"/>
        </w:rPr>
        <w:t xml:space="preserve"> subjects were </w:t>
      </w:r>
      <w:r w:rsidR="006E0506" w:rsidRPr="00EB3788">
        <w:rPr>
          <w:rFonts w:asciiTheme="majorHAnsi" w:eastAsia="MS Gothic" w:hAnsiTheme="majorHAnsi" w:cs="Times New Roman"/>
          <w:snapToGrid w:val="0"/>
        </w:rPr>
        <w:t>treated,</w:t>
      </w:r>
      <w:r w:rsidRPr="00EB3788">
        <w:rPr>
          <w:rFonts w:asciiTheme="majorHAnsi" w:eastAsia="MS Gothic" w:hAnsiTheme="majorHAnsi" w:cs="Times New Roman"/>
          <w:snapToGrid w:val="0"/>
        </w:rPr>
        <w:t xml:space="preserve"> and 371 subjects met the definition of the Microbiological Intent-to-treat (Micro-ITT) Population, defined as subjects having taken at least 1 dose of the study drug and with a Gram-negative </w:t>
      </w:r>
      <w:proofErr w:type="spellStart"/>
      <w:r w:rsidRPr="00EB3788">
        <w:rPr>
          <w:rFonts w:asciiTheme="majorHAnsi" w:eastAsia="MS Gothic" w:hAnsiTheme="majorHAnsi" w:cs="Times New Roman"/>
          <w:snapToGrid w:val="0"/>
        </w:rPr>
        <w:t>uropathogen</w:t>
      </w:r>
      <w:proofErr w:type="spellEnd"/>
      <w:r w:rsidRPr="00EB3788">
        <w:rPr>
          <w:rFonts w:asciiTheme="majorHAnsi" w:eastAsia="MS Gothic" w:hAnsiTheme="majorHAnsi" w:cs="Times New Roman"/>
          <w:snapToGrid w:val="0"/>
        </w:rPr>
        <w:t xml:space="preserve"> at baseline.</w:t>
      </w:r>
      <w:r w:rsidR="1BF936CB" w:rsidRPr="00EB3788">
        <w:rPr>
          <w:rFonts w:asciiTheme="majorHAnsi" w:eastAsia="MS Gothic" w:hAnsiTheme="majorHAnsi" w:cs="Times New Roman"/>
        </w:rPr>
        <w:t xml:space="preserve"> For clinical diagnosis at baseline in Micro-ITT population in the Fetroja group and the IPM/CS group (hereinafter the same order), 25.8% (65/252) and 24.4% (29/119) of subjects had </w:t>
      </w:r>
      <w:proofErr w:type="spellStart"/>
      <w:r w:rsidR="1BF936CB" w:rsidRPr="00EB3788">
        <w:rPr>
          <w:rFonts w:asciiTheme="majorHAnsi" w:eastAsia="MS Gothic" w:hAnsiTheme="majorHAnsi" w:cs="Times New Roman"/>
        </w:rPr>
        <w:t>cUTI</w:t>
      </w:r>
      <w:proofErr w:type="spellEnd"/>
      <w:r w:rsidR="1BF936CB" w:rsidRPr="00EB3788">
        <w:rPr>
          <w:rFonts w:asciiTheme="majorHAnsi" w:eastAsia="MS Gothic" w:hAnsiTheme="majorHAnsi" w:cs="Times New Roman"/>
        </w:rPr>
        <w:t xml:space="preserve"> with pyelonephritis, 48.4% (122/252) and 46.2% (55/119) of subjects had </w:t>
      </w:r>
      <w:proofErr w:type="spellStart"/>
      <w:r w:rsidR="1BF936CB" w:rsidRPr="00EB3788">
        <w:rPr>
          <w:rFonts w:asciiTheme="majorHAnsi" w:eastAsia="MS Gothic" w:hAnsiTheme="majorHAnsi" w:cs="Times New Roman"/>
        </w:rPr>
        <w:t>cUTI</w:t>
      </w:r>
      <w:proofErr w:type="spellEnd"/>
      <w:r w:rsidR="1BF936CB" w:rsidRPr="00EB3788">
        <w:rPr>
          <w:rFonts w:asciiTheme="majorHAnsi" w:eastAsia="MS Gothic" w:hAnsiTheme="majorHAnsi" w:cs="Times New Roman"/>
        </w:rPr>
        <w:t xml:space="preserve"> without pyelonephritis, and 25.8% (65/252) and 29.4% (35/119) of subjects had acute uncomplicated pyelonephritis.  </w:t>
      </w:r>
    </w:p>
    <w:p w14:paraId="24903285" w14:textId="483A6040" w:rsidR="71CD4E9D" w:rsidRPr="00EB3788" w:rsidRDefault="1BF936CB" w:rsidP="00446C37">
      <w:pPr>
        <w:spacing w:after="240"/>
        <w:rPr>
          <w:rFonts w:asciiTheme="majorHAnsi" w:eastAsia="MS Gothic" w:hAnsiTheme="majorHAnsi" w:cs="Times New Roman"/>
        </w:rPr>
      </w:pPr>
      <w:r w:rsidRPr="00EB3788">
        <w:rPr>
          <w:rFonts w:asciiTheme="majorHAnsi" w:eastAsia="MS Gothic" w:hAnsiTheme="majorHAnsi" w:cs="Times New Roman"/>
        </w:rPr>
        <w:t xml:space="preserve">The most frequently reported Gram-negative </w:t>
      </w:r>
      <w:proofErr w:type="spellStart"/>
      <w:r w:rsidRPr="00EB3788">
        <w:rPr>
          <w:rFonts w:asciiTheme="majorHAnsi" w:eastAsia="MS Gothic" w:hAnsiTheme="majorHAnsi" w:cs="Times New Roman"/>
        </w:rPr>
        <w:t>uropathogens</w:t>
      </w:r>
      <w:proofErr w:type="spellEnd"/>
      <w:r w:rsidRPr="00EB3788">
        <w:rPr>
          <w:rFonts w:asciiTheme="majorHAnsi" w:eastAsia="MS Gothic" w:hAnsiTheme="majorHAnsi" w:cs="Times New Roman"/>
        </w:rPr>
        <w:t xml:space="preserve"> isolated at baseline for both </w:t>
      </w:r>
      <w:proofErr w:type="spellStart"/>
      <w:r w:rsidRPr="00EB3788">
        <w:rPr>
          <w:rFonts w:asciiTheme="majorHAnsi" w:eastAsia="MS Gothic" w:hAnsiTheme="majorHAnsi" w:cs="Times New Roman"/>
        </w:rPr>
        <w:t>cUTI</w:t>
      </w:r>
      <w:proofErr w:type="spellEnd"/>
      <w:r w:rsidRPr="00EB3788">
        <w:rPr>
          <w:rFonts w:asciiTheme="majorHAnsi" w:eastAsia="MS Gothic" w:hAnsiTheme="majorHAnsi" w:cs="Times New Roman"/>
        </w:rPr>
        <w:t xml:space="preserve"> with or without pyelonephritis or acute uncomplicated pyelonephritis in the Micro-ITT Population were </w:t>
      </w:r>
      <w:r w:rsidRPr="00EB3788">
        <w:rPr>
          <w:rFonts w:asciiTheme="majorHAnsi" w:eastAsia="MS Gothic" w:hAnsiTheme="majorHAnsi" w:cs="Times New Roman"/>
          <w:i/>
          <w:iCs/>
        </w:rPr>
        <w:t>E. coli</w:t>
      </w:r>
      <w:r w:rsidRPr="00EB3788">
        <w:rPr>
          <w:rFonts w:asciiTheme="majorHAnsi" w:eastAsia="MS Gothic" w:hAnsiTheme="majorHAnsi" w:cs="Times New Roman"/>
        </w:rPr>
        <w:t xml:space="preserve"> (60.3% [152/252] of subjects in the </w:t>
      </w:r>
      <w:r w:rsidR="0005325B" w:rsidRPr="00EB3788">
        <w:rPr>
          <w:rFonts w:asciiTheme="majorHAnsi" w:eastAsia="MS Gothic" w:hAnsiTheme="majorHAnsi" w:cs="Times New Roman"/>
        </w:rPr>
        <w:t>Fetroja</w:t>
      </w:r>
      <w:r w:rsidRPr="00EB3788">
        <w:rPr>
          <w:rFonts w:asciiTheme="majorHAnsi" w:eastAsia="MS Gothic" w:hAnsiTheme="majorHAnsi" w:cs="Times New Roman"/>
        </w:rPr>
        <w:t xml:space="preserve"> group and 66.4% [79/119] of subjects in the IPM/CS group) and </w:t>
      </w:r>
      <w:r w:rsidRPr="00EB3788">
        <w:rPr>
          <w:rFonts w:asciiTheme="majorHAnsi" w:eastAsia="MS Gothic" w:hAnsiTheme="majorHAnsi" w:cs="Times New Roman"/>
          <w:i/>
          <w:iCs/>
        </w:rPr>
        <w:t>K. pneumoniae</w:t>
      </w:r>
      <w:r w:rsidRPr="00EB3788">
        <w:rPr>
          <w:rFonts w:asciiTheme="majorHAnsi" w:eastAsia="MS Gothic" w:hAnsiTheme="majorHAnsi" w:cs="Times New Roman"/>
        </w:rPr>
        <w:t xml:space="preserve"> (19.0% [48/252] of subjects in the Fetroja group and 21.0% [25/119] of subjects in the IPM/CS group).</w:t>
      </w:r>
    </w:p>
    <w:p w14:paraId="20E37D5B" w14:textId="77777777" w:rsidR="00446C37" w:rsidRDefault="00446C37" w:rsidP="00446C37">
      <w:pPr>
        <w:adjustRightInd w:val="0"/>
        <w:snapToGrid w:val="0"/>
        <w:spacing w:after="240"/>
        <w:rPr>
          <w:rFonts w:asciiTheme="majorHAnsi" w:eastAsia="MS Gothic" w:hAnsiTheme="majorHAnsi" w:cs="Times New Roman"/>
          <w:snapToGrid w:val="0"/>
        </w:rPr>
      </w:pPr>
    </w:p>
    <w:p w14:paraId="686A9943" w14:textId="77777777" w:rsidR="00446C37" w:rsidRDefault="00402D1D" w:rsidP="00446C37">
      <w:pPr>
        <w:adjustRightInd w:val="0"/>
        <w:snapToGrid w:val="0"/>
        <w:spacing w:after="240"/>
        <w:rPr>
          <w:rFonts w:asciiTheme="majorHAnsi" w:eastAsia="MS Gothic" w:hAnsiTheme="majorHAnsi" w:cs="Times New Roman"/>
          <w:snapToGrid w:val="0"/>
        </w:rPr>
      </w:pPr>
      <w:r w:rsidRPr="00EB3788">
        <w:rPr>
          <w:rFonts w:asciiTheme="majorHAnsi" w:eastAsia="MS Gothic" w:hAnsiTheme="majorHAnsi" w:cs="Times New Roman"/>
          <w:snapToGrid w:val="0"/>
        </w:rPr>
        <w:lastRenderedPageBreak/>
        <w:t xml:space="preserve">For the primary composite endpoint of both clinical cure (improvement or resolution of clinical signs and symptoms of </w:t>
      </w:r>
      <w:proofErr w:type="spellStart"/>
      <w:r w:rsidRPr="00EB3788">
        <w:rPr>
          <w:rFonts w:asciiTheme="majorHAnsi" w:eastAsia="MS Gothic" w:hAnsiTheme="majorHAnsi" w:cs="Times New Roman"/>
          <w:snapToGrid w:val="0"/>
        </w:rPr>
        <w:t>cUTI</w:t>
      </w:r>
      <w:proofErr w:type="spellEnd"/>
      <w:r w:rsidRPr="00EB3788">
        <w:rPr>
          <w:rFonts w:asciiTheme="majorHAnsi" w:eastAsia="MS Gothic" w:hAnsiTheme="majorHAnsi" w:cs="Times New Roman"/>
          <w:snapToGrid w:val="0"/>
        </w:rPr>
        <w:t xml:space="preserve"> assessed by the investigator) and microbiological eradication (all </w:t>
      </w:r>
      <w:proofErr w:type="spellStart"/>
      <w:r w:rsidRPr="00EB3788">
        <w:rPr>
          <w:rFonts w:asciiTheme="majorHAnsi" w:eastAsia="MS Gothic" w:hAnsiTheme="majorHAnsi" w:cs="Times New Roman"/>
          <w:snapToGrid w:val="0"/>
        </w:rPr>
        <w:t>uropathogens</w:t>
      </w:r>
      <w:proofErr w:type="spellEnd"/>
      <w:r w:rsidRPr="00EB3788">
        <w:rPr>
          <w:rFonts w:asciiTheme="majorHAnsi" w:eastAsia="MS Gothic" w:hAnsiTheme="majorHAnsi" w:cs="Times New Roman"/>
          <w:snapToGrid w:val="0"/>
        </w:rPr>
        <w:t xml:space="preserve"> found at baseline at ≥ 10</w:t>
      </w:r>
      <w:r w:rsidRPr="00EB3788">
        <w:rPr>
          <w:rFonts w:asciiTheme="majorHAnsi" w:eastAsia="MS Gothic" w:hAnsiTheme="majorHAnsi" w:cs="Times New Roman"/>
          <w:snapToGrid w:val="0"/>
          <w:vertAlign w:val="superscript"/>
        </w:rPr>
        <w:t>5</w:t>
      </w:r>
      <w:r w:rsidRPr="00EB3788">
        <w:rPr>
          <w:rFonts w:asciiTheme="majorHAnsi" w:eastAsia="MS Gothic" w:hAnsiTheme="majorHAnsi" w:cs="Times New Roman"/>
          <w:snapToGrid w:val="0"/>
        </w:rPr>
        <w:t xml:space="preserve"> were reduced to &lt; 10</w:t>
      </w:r>
      <w:r w:rsidRPr="00EB3788">
        <w:rPr>
          <w:rFonts w:asciiTheme="majorHAnsi" w:eastAsia="MS Gothic" w:hAnsiTheme="majorHAnsi" w:cs="Times New Roman"/>
          <w:snapToGrid w:val="0"/>
          <w:vertAlign w:val="superscript"/>
        </w:rPr>
        <w:t>4</w:t>
      </w:r>
      <w:r w:rsidRPr="00EB3788">
        <w:rPr>
          <w:rFonts w:asciiTheme="majorHAnsi" w:eastAsia="MS Gothic" w:hAnsiTheme="majorHAnsi" w:cs="Times New Roman"/>
          <w:snapToGrid w:val="0"/>
        </w:rPr>
        <w:t xml:space="preserve"> colony forming units/mL) at TOC </w:t>
      </w:r>
      <w:r w:rsidR="00D47BC8" w:rsidRPr="00EB3788">
        <w:rPr>
          <w:rFonts w:asciiTheme="majorHAnsi" w:eastAsia="MS Gothic" w:hAnsiTheme="majorHAnsi" w:cs="Times New Roman"/>
          <w:snapToGrid w:val="0"/>
        </w:rPr>
        <w:t>(</w:t>
      </w:r>
      <w:r w:rsidRPr="00EB3788">
        <w:rPr>
          <w:rFonts w:asciiTheme="majorHAnsi" w:eastAsia="MS Gothic" w:hAnsiTheme="majorHAnsi" w:cs="Times New Roman"/>
          <w:snapToGrid w:val="0"/>
        </w:rPr>
        <w:t xml:space="preserve">7 ± 2 days after the last dose of study drug) for the Micro-ITT Population, the response rate was 72.6% (183/252 subjects) for </w:t>
      </w:r>
      <w:r w:rsidR="00464B92" w:rsidRPr="00EB3788">
        <w:rPr>
          <w:rFonts w:asciiTheme="majorHAnsi" w:eastAsia="MS Gothic" w:hAnsiTheme="majorHAnsi" w:cs="Times New Roman"/>
          <w:snapToGrid w:val="0"/>
        </w:rPr>
        <w:t>Fetroja</w:t>
      </w:r>
      <w:r w:rsidRPr="00EB3788">
        <w:rPr>
          <w:rFonts w:asciiTheme="majorHAnsi" w:eastAsia="MS Gothic" w:hAnsiTheme="majorHAnsi" w:cs="Times New Roman"/>
          <w:snapToGrid w:val="0"/>
        </w:rPr>
        <w:t xml:space="preserve"> and 54.6% (65/119 subjects) for IPM/CS. </w:t>
      </w:r>
    </w:p>
    <w:p w14:paraId="768FA0AA" w14:textId="524CD3EA" w:rsidR="00402D1D" w:rsidRPr="00EB3788" w:rsidRDefault="00402D1D" w:rsidP="00446C37">
      <w:pPr>
        <w:adjustRightInd w:val="0"/>
        <w:snapToGrid w:val="0"/>
        <w:spacing w:after="240"/>
        <w:rPr>
          <w:rFonts w:asciiTheme="majorHAnsi" w:eastAsia="MS Gothic" w:hAnsiTheme="majorHAnsi" w:cs="Times New Roman"/>
          <w:snapToGrid w:val="0"/>
        </w:rPr>
      </w:pPr>
      <w:r w:rsidRPr="00EB3788">
        <w:rPr>
          <w:rFonts w:asciiTheme="majorHAnsi" w:eastAsia="MS Gothic" w:hAnsiTheme="majorHAnsi" w:cs="Times New Roman"/>
          <w:snapToGrid w:val="0"/>
        </w:rPr>
        <w:t xml:space="preserve">The adjusted treatment difference of 18.58% (95% confidence interval [CI]; 8.23%, 28.92%) in </w:t>
      </w:r>
      <w:r w:rsidR="00E12595" w:rsidRPr="00EB3788">
        <w:rPr>
          <w:rFonts w:asciiTheme="majorHAnsi" w:eastAsia="MS Gothic" w:hAnsiTheme="majorHAnsi" w:cs="Times New Roman"/>
          <w:snapToGrid w:val="0"/>
        </w:rPr>
        <w:t>favour</w:t>
      </w:r>
      <w:r w:rsidRPr="00EB3788">
        <w:rPr>
          <w:rFonts w:asciiTheme="majorHAnsi" w:eastAsia="MS Gothic" w:hAnsiTheme="majorHAnsi" w:cs="Times New Roman"/>
          <w:snapToGrid w:val="0"/>
        </w:rPr>
        <w:t xml:space="preserve"> of </w:t>
      </w:r>
      <w:r w:rsidR="003D0383" w:rsidRPr="00EB3788">
        <w:rPr>
          <w:rFonts w:asciiTheme="majorHAnsi" w:eastAsia="MS Gothic" w:hAnsiTheme="majorHAnsi" w:cs="Times New Roman"/>
          <w:snapToGrid w:val="0"/>
        </w:rPr>
        <w:t>Fetroja</w:t>
      </w:r>
      <w:r w:rsidRPr="00EB3788">
        <w:rPr>
          <w:rFonts w:asciiTheme="majorHAnsi" w:eastAsia="MS Gothic" w:hAnsiTheme="majorHAnsi" w:cs="Times New Roman"/>
          <w:snapToGrid w:val="0"/>
        </w:rPr>
        <w:t xml:space="preserve"> met the criteria to demonstrate noninferiority with a prespecified 20% and 15% margin as shown in </w:t>
      </w:r>
      <w:r w:rsidR="00AC2083" w:rsidRPr="00EB3788">
        <w:rPr>
          <w:rFonts w:asciiTheme="majorHAnsi" w:eastAsia="MS Gothic" w:hAnsiTheme="majorHAnsi" w:cs="Times New Roman"/>
          <w:snapToGrid w:val="0"/>
          <w:color w:val="0000EE"/>
        </w:rPr>
        <w:fldChar w:fldCharType="begin" w:fldLock="1"/>
      </w:r>
      <w:r w:rsidR="00AC2083" w:rsidRPr="00EB3788">
        <w:rPr>
          <w:rFonts w:asciiTheme="majorHAnsi" w:eastAsia="MS Gothic" w:hAnsiTheme="majorHAnsi" w:cs="Times New Roman"/>
          <w:snapToGrid w:val="0"/>
          <w:color w:val="0000EE"/>
        </w:rPr>
        <w:instrText xml:space="preserve"> REF _Ref172729738 \h  \* MERGEFORMAT </w:instrText>
      </w:r>
      <w:r w:rsidR="00AC2083" w:rsidRPr="00EB3788">
        <w:rPr>
          <w:rFonts w:asciiTheme="majorHAnsi" w:eastAsia="MS Gothic" w:hAnsiTheme="majorHAnsi" w:cs="Times New Roman"/>
          <w:snapToGrid w:val="0"/>
          <w:color w:val="0000EE"/>
        </w:rPr>
      </w:r>
      <w:r w:rsidR="00AC2083" w:rsidRPr="00EB3788">
        <w:rPr>
          <w:rFonts w:asciiTheme="majorHAnsi" w:eastAsia="MS Gothic" w:hAnsiTheme="majorHAnsi" w:cs="Times New Roman"/>
          <w:snapToGrid w:val="0"/>
          <w:color w:val="0000EE"/>
        </w:rPr>
        <w:fldChar w:fldCharType="separate"/>
      </w:r>
      <w:r w:rsidR="00425866" w:rsidRPr="00EB3788">
        <w:rPr>
          <w:rFonts w:asciiTheme="majorHAnsi" w:hAnsiTheme="majorHAnsi"/>
          <w:color w:val="0000EE"/>
        </w:rPr>
        <w:t>Table 9</w:t>
      </w:r>
      <w:r w:rsidR="00AC2083" w:rsidRPr="00EB3788">
        <w:rPr>
          <w:rFonts w:asciiTheme="majorHAnsi" w:eastAsia="MS Gothic" w:hAnsiTheme="majorHAnsi" w:cs="Times New Roman"/>
          <w:snapToGrid w:val="0"/>
          <w:color w:val="0000EE"/>
        </w:rPr>
        <w:fldChar w:fldCharType="end"/>
      </w:r>
      <w:r w:rsidRPr="00EB3788">
        <w:rPr>
          <w:rFonts w:asciiTheme="majorHAnsi" w:eastAsia="MS Gothic" w:hAnsiTheme="majorHAnsi" w:cs="Times New Roman"/>
          <w:snapToGrid w:val="0"/>
        </w:rPr>
        <w:t xml:space="preserve">. </w:t>
      </w:r>
    </w:p>
    <w:p w14:paraId="5E057F17" w14:textId="64866D03" w:rsidR="00E61E77" w:rsidRPr="00EB3788" w:rsidRDefault="00E61E77" w:rsidP="00446C37">
      <w:pPr>
        <w:pStyle w:val="Caption"/>
        <w:keepNext/>
      </w:pPr>
      <w:bookmarkStart w:id="25" w:name="_Ref172729738"/>
      <w:bookmarkStart w:id="26" w:name="_Ref172729729"/>
      <w:r w:rsidRPr="00EB3788">
        <w:t xml:space="preserve">Table </w:t>
      </w:r>
      <w:r w:rsidRPr="00EB3788">
        <w:fldChar w:fldCharType="begin"/>
      </w:r>
      <w:r w:rsidRPr="00EB3788">
        <w:instrText>SEQ Table \* ARABIC</w:instrText>
      </w:r>
      <w:r w:rsidRPr="00EB3788">
        <w:fldChar w:fldCharType="separate"/>
      </w:r>
      <w:r w:rsidR="001E66F2" w:rsidRPr="004664E6">
        <w:t>9</w:t>
      </w:r>
      <w:r w:rsidRPr="00EB3788">
        <w:fldChar w:fldCharType="end"/>
      </w:r>
      <w:bookmarkEnd w:id="25"/>
      <w:r w:rsidRPr="00EB3788">
        <w:t xml:space="preserve"> Composit</w:t>
      </w:r>
      <w:r w:rsidR="0070551A" w:rsidRPr="00EB3788">
        <w:t xml:space="preserve">e, microbiological and clinical response rates at </w:t>
      </w:r>
      <w:r w:rsidRPr="00EB3788">
        <w:t>TOC</w:t>
      </w:r>
      <w:bookmarkEnd w:id="26"/>
    </w:p>
    <w:tbl>
      <w:tblPr>
        <w:tblStyle w:val="4"/>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2265"/>
        <w:gridCol w:w="2212"/>
        <w:gridCol w:w="2313"/>
        <w:gridCol w:w="2230"/>
      </w:tblGrid>
      <w:tr w:rsidR="00402D1D" w:rsidRPr="00EB3788" w14:paraId="42F40A74" w14:textId="77777777" w:rsidTr="00DE50F7">
        <w:tc>
          <w:tcPr>
            <w:tcW w:w="1256" w:type="pct"/>
            <w:hideMark/>
          </w:tcPr>
          <w:p w14:paraId="2CE9B0D8" w14:textId="77777777" w:rsidR="00402D1D" w:rsidRPr="00EB3788" w:rsidRDefault="00402D1D" w:rsidP="00446C37">
            <w:pPr>
              <w:adjustRightInd w:val="0"/>
              <w:snapToGrid w:val="0"/>
              <w:spacing w:line="240" w:lineRule="atLeast"/>
              <w:rPr>
                <w:rFonts w:asciiTheme="majorHAnsi" w:eastAsia="MS Gothic" w:hAnsiTheme="majorHAnsi"/>
                <w:b/>
                <w:snapToGrid w:val="0"/>
                <w:sz w:val="22"/>
                <w:szCs w:val="22"/>
                <w:shd w:val="clear" w:color="auto" w:fill="FFFFCC"/>
                <w:lang w:val="en-AU"/>
              </w:rPr>
            </w:pPr>
            <w:r w:rsidRPr="00EB3788">
              <w:rPr>
                <w:rFonts w:asciiTheme="majorHAnsi" w:eastAsia="MS Gothic" w:hAnsiTheme="majorHAnsi"/>
                <w:b/>
                <w:snapToGrid w:val="0"/>
              </w:rPr>
              <w:t>Study Endpoint</w:t>
            </w:r>
          </w:p>
        </w:tc>
        <w:tc>
          <w:tcPr>
            <w:tcW w:w="1226" w:type="pct"/>
            <w:hideMark/>
          </w:tcPr>
          <w:p w14:paraId="1C3219ED" w14:textId="1E182B03" w:rsidR="00402D1D" w:rsidRPr="00EB3788" w:rsidRDefault="003D0383"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Fetroja(c</w:t>
            </w:r>
            <w:r w:rsidR="00402D1D" w:rsidRPr="00EB3788">
              <w:rPr>
                <w:rFonts w:asciiTheme="majorHAnsi" w:eastAsia="MS Gothic" w:hAnsiTheme="majorHAnsi"/>
                <w:b/>
                <w:snapToGrid w:val="0"/>
              </w:rPr>
              <w:t>efiderocol</w:t>
            </w:r>
            <w:r w:rsidRPr="00EB3788">
              <w:rPr>
                <w:rFonts w:asciiTheme="majorHAnsi" w:eastAsia="MS Gothic" w:hAnsiTheme="majorHAnsi"/>
                <w:b/>
                <w:snapToGrid w:val="0"/>
              </w:rPr>
              <w:t>)</w:t>
            </w:r>
          </w:p>
          <w:p w14:paraId="49194934" w14:textId="77777777" w:rsidR="00402D1D" w:rsidRPr="00EB3788" w:rsidRDefault="00402D1D"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n/N (%)</w:t>
            </w:r>
          </w:p>
        </w:tc>
        <w:tc>
          <w:tcPr>
            <w:tcW w:w="1282" w:type="pct"/>
            <w:hideMark/>
          </w:tcPr>
          <w:p w14:paraId="6A1A1AE4" w14:textId="77777777" w:rsidR="00402D1D" w:rsidRPr="00EB3788" w:rsidRDefault="00402D1D"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Imipenem/</w:t>
            </w:r>
            <w:proofErr w:type="spellStart"/>
            <w:r w:rsidRPr="00EB3788">
              <w:rPr>
                <w:rFonts w:asciiTheme="majorHAnsi" w:eastAsia="MS Gothic" w:hAnsiTheme="majorHAnsi"/>
                <w:b/>
                <w:snapToGrid w:val="0"/>
              </w:rPr>
              <w:t>cilastatin</w:t>
            </w:r>
            <w:proofErr w:type="spellEnd"/>
          </w:p>
          <w:p w14:paraId="06869637" w14:textId="77777777" w:rsidR="00402D1D" w:rsidRPr="00EB3788" w:rsidRDefault="00402D1D"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n/N (%)</w:t>
            </w:r>
          </w:p>
        </w:tc>
        <w:tc>
          <w:tcPr>
            <w:tcW w:w="1236" w:type="pct"/>
            <w:hideMark/>
          </w:tcPr>
          <w:p w14:paraId="743D7958" w14:textId="77777777" w:rsidR="00402D1D" w:rsidRPr="00EB3788" w:rsidRDefault="00402D1D"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 xml:space="preserve">Treatment Difference </w:t>
            </w:r>
          </w:p>
          <w:p w14:paraId="75651C1A" w14:textId="77777777" w:rsidR="00402D1D" w:rsidRPr="00EB3788" w:rsidRDefault="00402D1D"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 xml:space="preserve">(95% </w:t>
            </w:r>
            <w:proofErr w:type="gramStart"/>
            <w:r w:rsidRPr="00EB3788">
              <w:rPr>
                <w:rFonts w:asciiTheme="majorHAnsi" w:eastAsia="MS Gothic" w:hAnsiTheme="majorHAnsi"/>
                <w:b/>
                <w:snapToGrid w:val="0"/>
              </w:rPr>
              <w:t>CI)</w:t>
            </w:r>
            <w:r w:rsidRPr="00EB3788">
              <w:rPr>
                <w:rFonts w:asciiTheme="majorHAnsi" w:eastAsia="MS Gothic" w:hAnsiTheme="majorHAnsi"/>
                <w:b/>
                <w:snapToGrid w:val="0"/>
                <w:vertAlign w:val="superscript"/>
              </w:rPr>
              <w:t>a</w:t>
            </w:r>
            <w:proofErr w:type="gramEnd"/>
          </w:p>
        </w:tc>
      </w:tr>
      <w:tr w:rsidR="00402D1D" w:rsidRPr="00EB3788" w14:paraId="17DBD58A" w14:textId="77777777" w:rsidTr="00DE50F7">
        <w:tc>
          <w:tcPr>
            <w:tcW w:w="1256" w:type="pct"/>
            <w:hideMark/>
          </w:tcPr>
          <w:p w14:paraId="2741EB78" w14:textId="77777777" w:rsidR="00402D1D" w:rsidRPr="00EB3788" w:rsidRDefault="00402D1D"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 xml:space="preserve">Composite response </w:t>
            </w:r>
          </w:p>
          <w:p w14:paraId="26F32094" w14:textId="77777777" w:rsidR="00402D1D" w:rsidRPr="00EB3788" w:rsidRDefault="00402D1D"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 xml:space="preserve">at TOC Micro-ITT </w:t>
            </w:r>
          </w:p>
        </w:tc>
        <w:tc>
          <w:tcPr>
            <w:tcW w:w="1226" w:type="pct"/>
            <w:vAlign w:val="center"/>
            <w:hideMark/>
          </w:tcPr>
          <w:p w14:paraId="58359A44" w14:textId="77777777" w:rsidR="00402D1D" w:rsidRPr="00EB3788" w:rsidRDefault="00402D1D"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183/252 (72.6%)</w:t>
            </w:r>
          </w:p>
        </w:tc>
        <w:tc>
          <w:tcPr>
            <w:tcW w:w="1282" w:type="pct"/>
            <w:vAlign w:val="center"/>
            <w:hideMark/>
          </w:tcPr>
          <w:p w14:paraId="1B6C0E01" w14:textId="77777777" w:rsidR="00402D1D" w:rsidRPr="00EB3788" w:rsidRDefault="00402D1D"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65/119 (54.6%)</w:t>
            </w:r>
          </w:p>
        </w:tc>
        <w:tc>
          <w:tcPr>
            <w:tcW w:w="1236" w:type="pct"/>
            <w:vAlign w:val="center"/>
            <w:hideMark/>
          </w:tcPr>
          <w:p w14:paraId="1B61F40A" w14:textId="77777777" w:rsidR="00402D1D" w:rsidRPr="00EB3788" w:rsidRDefault="00402D1D"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18.58 (8.23, 28.92)</w:t>
            </w:r>
          </w:p>
        </w:tc>
      </w:tr>
      <w:tr w:rsidR="00402D1D" w:rsidRPr="00EB3788" w14:paraId="17EA06BD" w14:textId="77777777" w:rsidTr="00DE50F7">
        <w:tc>
          <w:tcPr>
            <w:tcW w:w="1256" w:type="pct"/>
            <w:hideMark/>
          </w:tcPr>
          <w:p w14:paraId="679BC18F" w14:textId="77777777" w:rsidR="00402D1D" w:rsidRPr="004664E6" w:rsidRDefault="00402D1D" w:rsidP="00446C37">
            <w:pPr>
              <w:adjustRightInd w:val="0"/>
              <w:snapToGrid w:val="0"/>
              <w:spacing w:line="240" w:lineRule="atLeast"/>
              <w:ind w:left="360"/>
              <w:rPr>
                <w:rFonts w:asciiTheme="majorHAnsi" w:eastAsia="MS Gothic" w:hAnsiTheme="majorHAnsi"/>
                <w:snapToGrid w:val="0"/>
                <w:sz w:val="22"/>
                <w:szCs w:val="22"/>
                <w:lang w:val="en-AU"/>
              </w:rPr>
            </w:pPr>
            <w:r w:rsidRPr="004664E6">
              <w:rPr>
                <w:rFonts w:asciiTheme="majorHAnsi" w:eastAsia="MS Gothic" w:hAnsiTheme="majorHAnsi"/>
                <w:snapToGrid w:val="0"/>
                <w:lang w:val="en-AU"/>
              </w:rPr>
              <w:t xml:space="preserve">Micro response </w:t>
            </w:r>
          </w:p>
          <w:p w14:paraId="5D5D6E27" w14:textId="77777777" w:rsidR="00402D1D" w:rsidRPr="004664E6" w:rsidRDefault="00402D1D" w:rsidP="00446C37">
            <w:pPr>
              <w:adjustRightInd w:val="0"/>
              <w:snapToGrid w:val="0"/>
              <w:spacing w:line="240" w:lineRule="atLeast"/>
              <w:ind w:left="360"/>
              <w:rPr>
                <w:rFonts w:asciiTheme="majorHAnsi" w:eastAsia="MS Gothic" w:hAnsiTheme="majorHAnsi"/>
                <w:snapToGrid w:val="0"/>
                <w:sz w:val="22"/>
                <w:szCs w:val="22"/>
                <w:lang w:val="en-AU"/>
              </w:rPr>
            </w:pPr>
            <w:r w:rsidRPr="004664E6">
              <w:rPr>
                <w:rFonts w:asciiTheme="majorHAnsi" w:eastAsia="MS Gothic" w:hAnsiTheme="majorHAnsi"/>
                <w:snapToGrid w:val="0"/>
                <w:lang w:val="en-AU"/>
              </w:rPr>
              <w:t>TOC Micro-ITT</w:t>
            </w:r>
          </w:p>
        </w:tc>
        <w:tc>
          <w:tcPr>
            <w:tcW w:w="1226" w:type="pct"/>
            <w:vAlign w:val="center"/>
            <w:hideMark/>
          </w:tcPr>
          <w:p w14:paraId="6457BAE3" w14:textId="77777777" w:rsidR="00402D1D" w:rsidRPr="00EB3788" w:rsidRDefault="00402D1D"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184/252 (73.0%)</w:t>
            </w:r>
          </w:p>
        </w:tc>
        <w:tc>
          <w:tcPr>
            <w:tcW w:w="1282" w:type="pct"/>
            <w:vAlign w:val="center"/>
            <w:hideMark/>
          </w:tcPr>
          <w:p w14:paraId="14A985D0" w14:textId="77777777" w:rsidR="00402D1D" w:rsidRPr="00EB3788" w:rsidRDefault="00402D1D"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67/119 (56.3%)</w:t>
            </w:r>
          </w:p>
        </w:tc>
        <w:tc>
          <w:tcPr>
            <w:tcW w:w="1236" w:type="pct"/>
            <w:vAlign w:val="center"/>
            <w:hideMark/>
          </w:tcPr>
          <w:p w14:paraId="467F2CE4" w14:textId="77777777" w:rsidR="00402D1D" w:rsidRPr="00EB3788" w:rsidRDefault="00402D1D"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17.25 (6.92, 27.58)</w:t>
            </w:r>
          </w:p>
        </w:tc>
      </w:tr>
      <w:tr w:rsidR="00402D1D" w:rsidRPr="00EB3788" w14:paraId="309FD575" w14:textId="77777777" w:rsidTr="00DE50F7">
        <w:tc>
          <w:tcPr>
            <w:tcW w:w="1256" w:type="pct"/>
            <w:hideMark/>
          </w:tcPr>
          <w:p w14:paraId="08114752" w14:textId="77777777" w:rsidR="00402D1D" w:rsidRPr="00EB3788" w:rsidRDefault="00402D1D" w:rsidP="00446C37">
            <w:pPr>
              <w:adjustRightInd w:val="0"/>
              <w:snapToGrid w:val="0"/>
              <w:spacing w:line="240" w:lineRule="atLeast"/>
              <w:ind w:left="360"/>
              <w:rPr>
                <w:rFonts w:asciiTheme="majorHAnsi" w:eastAsia="MS Gothic" w:hAnsiTheme="majorHAnsi"/>
                <w:snapToGrid w:val="0"/>
                <w:sz w:val="22"/>
                <w:szCs w:val="22"/>
                <w:lang w:val="en-AU"/>
              </w:rPr>
            </w:pPr>
            <w:r w:rsidRPr="00EB3788">
              <w:rPr>
                <w:rFonts w:asciiTheme="majorHAnsi" w:eastAsia="MS Gothic" w:hAnsiTheme="majorHAnsi"/>
                <w:snapToGrid w:val="0"/>
              </w:rPr>
              <w:t xml:space="preserve">Clinical response </w:t>
            </w:r>
          </w:p>
          <w:p w14:paraId="19E9D348" w14:textId="77777777" w:rsidR="00402D1D" w:rsidRPr="00EB3788" w:rsidRDefault="00402D1D" w:rsidP="00446C37">
            <w:pPr>
              <w:adjustRightInd w:val="0"/>
              <w:snapToGrid w:val="0"/>
              <w:spacing w:line="240" w:lineRule="atLeast"/>
              <w:ind w:left="360"/>
              <w:rPr>
                <w:rFonts w:asciiTheme="majorHAnsi" w:eastAsia="MS Gothic" w:hAnsiTheme="majorHAnsi"/>
                <w:snapToGrid w:val="0"/>
                <w:sz w:val="22"/>
                <w:szCs w:val="22"/>
                <w:lang w:val="en-AU"/>
              </w:rPr>
            </w:pPr>
            <w:r w:rsidRPr="00EB3788">
              <w:rPr>
                <w:rFonts w:asciiTheme="majorHAnsi" w:eastAsia="MS Gothic" w:hAnsiTheme="majorHAnsi"/>
                <w:snapToGrid w:val="0"/>
              </w:rPr>
              <w:t>TOC Micro-ITT</w:t>
            </w:r>
          </w:p>
        </w:tc>
        <w:tc>
          <w:tcPr>
            <w:tcW w:w="1226" w:type="pct"/>
            <w:vAlign w:val="center"/>
            <w:hideMark/>
          </w:tcPr>
          <w:p w14:paraId="3A5B375D" w14:textId="77777777" w:rsidR="00402D1D" w:rsidRPr="00EB3788" w:rsidRDefault="00402D1D"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226/252 (89.7%)</w:t>
            </w:r>
          </w:p>
        </w:tc>
        <w:tc>
          <w:tcPr>
            <w:tcW w:w="1282" w:type="pct"/>
            <w:vAlign w:val="center"/>
            <w:hideMark/>
          </w:tcPr>
          <w:p w14:paraId="5867CC31" w14:textId="77777777" w:rsidR="00402D1D" w:rsidRPr="00EB3788" w:rsidRDefault="00402D1D"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104/119 (87.4%)</w:t>
            </w:r>
          </w:p>
        </w:tc>
        <w:tc>
          <w:tcPr>
            <w:tcW w:w="1236" w:type="pct"/>
            <w:vAlign w:val="center"/>
            <w:hideMark/>
          </w:tcPr>
          <w:p w14:paraId="211152BD" w14:textId="77777777" w:rsidR="00402D1D" w:rsidRPr="00EB3788" w:rsidRDefault="00402D1D"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2.39 (-4.66, 9.44)</w:t>
            </w:r>
          </w:p>
        </w:tc>
      </w:tr>
    </w:tbl>
    <w:p w14:paraId="7ECCB733" w14:textId="77777777" w:rsidR="00402D1D" w:rsidRPr="00EB3788" w:rsidRDefault="00402D1D" w:rsidP="00446C37">
      <w:pPr>
        <w:keepNext/>
        <w:tabs>
          <w:tab w:val="left" w:pos="360"/>
        </w:tabs>
        <w:adjustRightInd w:val="0"/>
        <w:snapToGrid w:val="0"/>
        <w:spacing w:before="60" w:after="0" w:line="240" w:lineRule="atLeast"/>
        <w:ind w:left="357" w:hanging="357"/>
        <w:rPr>
          <w:rFonts w:asciiTheme="majorHAnsi" w:eastAsia="MS Mincho" w:hAnsiTheme="majorHAnsi" w:cs="Times New Roman"/>
          <w:snapToGrid w:val="0"/>
          <w:kern w:val="2"/>
          <w:sz w:val="20"/>
          <w:szCs w:val="20"/>
        </w:rPr>
      </w:pPr>
      <w:proofErr w:type="spellStart"/>
      <w:r w:rsidRPr="00EB3788">
        <w:rPr>
          <w:rFonts w:asciiTheme="majorHAnsi" w:eastAsia="MS Gothic" w:hAnsiTheme="majorHAnsi" w:cs="Times New Roman"/>
          <w:snapToGrid w:val="0"/>
          <w:sz w:val="20"/>
          <w:szCs w:val="20"/>
        </w:rPr>
        <w:t>a</w:t>
      </w:r>
      <w:proofErr w:type="spellEnd"/>
      <w:r w:rsidRPr="00EB3788">
        <w:rPr>
          <w:rFonts w:asciiTheme="majorHAnsi" w:eastAsia="MS Gothic" w:hAnsiTheme="majorHAnsi" w:cs="Times New Roman"/>
          <w:snapToGrid w:val="0"/>
          <w:sz w:val="20"/>
          <w:szCs w:val="20"/>
        </w:rPr>
        <w:tab/>
      </w:r>
      <w:proofErr w:type="gramStart"/>
      <w:r w:rsidRPr="00EB3788">
        <w:rPr>
          <w:rFonts w:asciiTheme="majorHAnsi" w:eastAsia="MS Gothic" w:hAnsiTheme="majorHAnsi" w:cs="Times New Roman"/>
          <w:snapToGrid w:val="0"/>
          <w:sz w:val="20"/>
          <w:szCs w:val="20"/>
        </w:rPr>
        <w:t>The</w:t>
      </w:r>
      <w:proofErr w:type="gramEnd"/>
      <w:r w:rsidRPr="00EB3788">
        <w:rPr>
          <w:rFonts w:asciiTheme="majorHAnsi" w:eastAsia="MS Gothic" w:hAnsiTheme="majorHAnsi" w:cs="Times New Roman"/>
          <w:snapToGrid w:val="0"/>
          <w:sz w:val="20"/>
          <w:szCs w:val="20"/>
        </w:rPr>
        <w:t xml:space="preserve"> 95% confidence interval was based on Cochran-Mantel-</w:t>
      </w:r>
      <w:proofErr w:type="spellStart"/>
      <w:r w:rsidRPr="00EB3788">
        <w:rPr>
          <w:rFonts w:asciiTheme="majorHAnsi" w:eastAsia="MS Gothic" w:hAnsiTheme="majorHAnsi" w:cs="Times New Roman"/>
          <w:snapToGrid w:val="0"/>
          <w:sz w:val="20"/>
          <w:szCs w:val="20"/>
        </w:rPr>
        <w:t>Haenzel</w:t>
      </w:r>
      <w:proofErr w:type="spellEnd"/>
      <w:r w:rsidRPr="00EB3788">
        <w:rPr>
          <w:rFonts w:asciiTheme="majorHAnsi" w:eastAsia="MS Gothic" w:hAnsiTheme="majorHAnsi" w:cs="Times New Roman"/>
          <w:snapToGrid w:val="0"/>
          <w:sz w:val="20"/>
          <w:szCs w:val="20"/>
        </w:rPr>
        <w:t xml:space="preserve"> method.</w:t>
      </w:r>
    </w:p>
    <w:p w14:paraId="0E9D2D98" w14:textId="77777777" w:rsidR="00402D1D" w:rsidRPr="00EB3788" w:rsidRDefault="00402D1D" w:rsidP="00446C37">
      <w:pPr>
        <w:pStyle w:val="table"/>
        <w:jc w:val="left"/>
        <w:rPr>
          <w:lang w:val="en-AU"/>
        </w:rPr>
      </w:pPr>
    </w:p>
    <w:p w14:paraId="58957514" w14:textId="3BD79BD9" w:rsidR="00402D1D" w:rsidRPr="00EB3788" w:rsidRDefault="00402D1D" w:rsidP="00446C37">
      <w:pPr>
        <w:adjustRightInd w:val="0"/>
        <w:snapToGrid w:val="0"/>
        <w:spacing w:after="240" w:line="240" w:lineRule="auto"/>
        <w:rPr>
          <w:rFonts w:asciiTheme="majorHAnsi" w:hAnsiTheme="majorHAnsi"/>
        </w:rPr>
      </w:pPr>
      <w:r w:rsidRPr="00EB3788">
        <w:rPr>
          <w:rFonts w:asciiTheme="majorHAnsi" w:eastAsia="MS Gothic" w:hAnsiTheme="majorHAnsi" w:cs="Times New Roman"/>
          <w:snapToGrid w:val="0"/>
        </w:rPr>
        <w:t xml:space="preserve">The most frequently observed adverse event was diarrhoea, which was experienced by 4.3% (13/300 subjects) and 6.1% (9/148 subjects) of </w:t>
      </w:r>
      <w:r w:rsidR="00091831" w:rsidRPr="00EB3788">
        <w:rPr>
          <w:rFonts w:asciiTheme="majorHAnsi" w:eastAsia="MS Gothic" w:hAnsiTheme="majorHAnsi" w:cs="Times New Roman"/>
          <w:snapToGrid w:val="0"/>
        </w:rPr>
        <w:t>Fetroja</w:t>
      </w:r>
      <w:r w:rsidRPr="00EB3788">
        <w:rPr>
          <w:rFonts w:asciiTheme="majorHAnsi" w:eastAsia="MS Gothic" w:hAnsiTheme="majorHAnsi" w:cs="Times New Roman"/>
          <w:snapToGrid w:val="0"/>
        </w:rPr>
        <w:t>- and IPM/CS-treated subjects, respectively.</w:t>
      </w:r>
      <w:bookmarkStart w:id="27" w:name="_Toc160162971"/>
    </w:p>
    <w:p w14:paraId="25039691" w14:textId="67589F8A" w:rsidR="00C82DE6" w:rsidRPr="00EB3788" w:rsidRDefault="00C82DE6" w:rsidP="00446C37">
      <w:pPr>
        <w:keepNext/>
        <w:keepLines/>
        <w:adjustRightInd w:val="0"/>
        <w:snapToGrid w:val="0"/>
        <w:spacing w:after="120" w:line="240" w:lineRule="auto"/>
        <w:outlineLvl w:val="3"/>
        <w:rPr>
          <w:rFonts w:asciiTheme="majorHAnsi" w:eastAsia="MS Mincho" w:hAnsiTheme="majorHAnsi" w:cs="Arial"/>
          <w:b/>
          <w:iCs/>
          <w:snapToGrid w:val="0"/>
          <w:kern w:val="32"/>
        </w:rPr>
      </w:pPr>
      <w:bookmarkStart w:id="28" w:name="_Toc527448909"/>
      <w:bookmarkStart w:id="29" w:name="_Toc525286410"/>
      <w:bookmarkStart w:id="30" w:name="_Toc525206913"/>
      <w:bookmarkStart w:id="31" w:name="_Ref524440253"/>
      <w:bookmarkStart w:id="32" w:name="_Toc160162970"/>
      <w:bookmarkEnd w:id="27"/>
      <w:bookmarkEnd w:id="28"/>
      <w:bookmarkEnd w:id="29"/>
      <w:bookmarkEnd w:id="30"/>
      <w:bookmarkEnd w:id="31"/>
      <w:r w:rsidRPr="00EB3788">
        <w:rPr>
          <w:rFonts w:asciiTheme="majorHAnsi" w:eastAsia="MS Mincho" w:hAnsiTheme="majorHAnsi" w:cs="Arial"/>
          <w:b/>
          <w:iCs/>
          <w:snapToGrid w:val="0"/>
          <w:kern w:val="32"/>
        </w:rPr>
        <w:t xml:space="preserve">APEKS-NP </w:t>
      </w:r>
      <w:r w:rsidR="007A716A" w:rsidRPr="00EB3788">
        <w:rPr>
          <w:rFonts w:asciiTheme="majorHAnsi" w:eastAsia="MS Mincho" w:hAnsiTheme="majorHAnsi" w:cs="Arial"/>
          <w:b/>
          <w:iCs/>
          <w:snapToGrid w:val="0"/>
          <w:kern w:val="32"/>
        </w:rPr>
        <w:t>s</w:t>
      </w:r>
      <w:r w:rsidRPr="00EB3788">
        <w:rPr>
          <w:rFonts w:asciiTheme="majorHAnsi" w:eastAsia="MS Mincho" w:hAnsiTheme="majorHAnsi" w:cs="Arial"/>
          <w:b/>
          <w:iCs/>
          <w:snapToGrid w:val="0"/>
          <w:kern w:val="32"/>
        </w:rPr>
        <w:t>tudy (1615R2132)</w:t>
      </w:r>
      <w:bookmarkEnd w:id="32"/>
    </w:p>
    <w:p w14:paraId="15B3FD2A" w14:textId="773DF894" w:rsidR="00C82DE6" w:rsidRPr="00EB3788" w:rsidRDefault="00C82DE6" w:rsidP="00446C37">
      <w:pPr>
        <w:adjustRightInd w:val="0"/>
        <w:snapToGrid w:val="0"/>
        <w:spacing w:after="240"/>
        <w:rPr>
          <w:rFonts w:asciiTheme="majorHAnsi" w:eastAsia="MS Gothic" w:hAnsiTheme="majorHAnsi" w:cs="Times New Roman"/>
          <w:snapToGrid w:val="0"/>
        </w:rPr>
      </w:pPr>
      <w:r w:rsidRPr="00EB3788">
        <w:rPr>
          <w:rFonts w:asciiTheme="majorHAnsi" w:eastAsia="MS Gothic" w:hAnsiTheme="majorHAnsi" w:cs="Times New Roman"/>
          <w:snapToGrid w:val="0"/>
        </w:rPr>
        <w:t xml:space="preserve">This was a Phase 3, </w:t>
      </w:r>
      <w:r w:rsidR="00FA649D" w:rsidRPr="00EB3788">
        <w:rPr>
          <w:rFonts w:asciiTheme="majorHAnsi" w:eastAsia="MS Gothic" w:hAnsiTheme="majorHAnsi" w:cs="Times New Roman"/>
          <w:snapToGrid w:val="0"/>
        </w:rPr>
        <w:t>multicentre</w:t>
      </w:r>
      <w:r w:rsidRPr="00EB3788">
        <w:rPr>
          <w:rFonts w:asciiTheme="majorHAnsi" w:eastAsia="MS Gothic" w:hAnsiTheme="majorHAnsi" w:cs="Times New Roman"/>
          <w:snapToGrid w:val="0"/>
        </w:rPr>
        <w:t xml:space="preserve">, double-blind, parallel-group, </w:t>
      </w:r>
      <w:r w:rsidR="000B7FFA" w:rsidRPr="00EB3788">
        <w:rPr>
          <w:rFonts w:asciiTheme="majorHAnsi" w:eastAsia="MS Gothic" w:hAnsiTheme="majorHAnsi" w:cs="Times New Roman"/>
          <w:snapToGrid w:val="0"/>
        </w:rPr>
        <w:t>randomised</w:t>
      </w:r>
      <w:r w:rsidRPr="00EB3788">
        <w:rPr>
          <w:rFonts w:asciiTheme="majorHAnsi" w:eastAsia="MS Gothic" w:hAnsiTheme="majorHAnsi" w:cs="Times New Roman"/>
          <w:snapToGrid w:val="0"/>
        </w:rPr>
        <w:t xml:space="preserve">, active-controlled study to assess the efficacy and safety of </w:t>
      </w:r>
      <w:r w:rsidR="0013595F" w:rsidRPr="00EB3788">
        <w:rPr>
          <w:rFonts w:asciiTheme="majorHAnsi" w:eastAsia="MS Gothic" w:hAnsiTheme="majorHAnsi" w:cs="Times New Roman"/>
          <w:snapToGrid w:val="0"/>
        </w:rPr>
        <w:t>Fetroja (</w:t>
      </w:r>
      <w:r w:rsidRPr="00EB3788">
        <w:rPr>
          <w:rFonts w:asciiTheme="majorHAnsi" w:eastAsia="MS Gothic" w:hAnsiTheme="majorHAnsi" w:cs="Times New Roman"/>
          <w:snapToGrid w:val="0"/>
        </w:rPr>
        <w:t>intravenous cefiderocol</w:t>
      </w:r>
      <w:r w:rsidR="0013595F" w:rsidRPr="00EB3788">
        <w:rPr>
          <w:rFonts w:asciiTheme="majorHAnsi" w:eastAsia="MS Gothic" w:hAnsiTheme="majorHAnsi" w:cs="Times New Roman"/>
          <w:snapToGrid w:val="0"/>
        </w:rPr>
        <w:t>)</w:t>
      </w:r>
      <w:r w:rsidRPr="00EB3788">
        <w:rPr>
          <w:rFonts w:asciiTheme="majorHAnsi" w:eastAsia="MS Gothic" w:hAnsiTheme="majorHAnsi" w:cs="Times New Roman"/>
          <w:snapToGrid w:val="0"/>
        </w:rPr>
        <w:t xml:space="preserve"> in comparison with high-dose, extended-infusion meropenem in hospitali</w:t>
      </w:r>
      <w:r w:rsidR="00491103">
        <w:rPr>
          <w:rFonts w:asciiTheme="majorHAnsi" w:eastAsia="MS Gothic" w:hAnsiTheme="majorHAnsi" w:cs="Times New Roman"/>
          <w:snapToGrid w:val="0"/>
        </w:rPr>
        <w:t>s</w:t>
      </w:r>
      <w:r w:rsidRPr="00EB3788">
        <w:rPr>
          <w:rFonts w:asciiTheme="majorHAnsi" w:eastAsia="MS Gothic" w:hAnsiTheme="majorHAnsi" w:cs="Times New Roman"/>
          <w:snapToGrid w:val="0"/>
        </w:rPr>
        <w:t xml:space="preserve">ed adults with HABP, VABP, or healthcare-associated bacterial pneumonia (HCABP) caused by Gram-negative pathogens. The subjects were </w:t>
      </w:r>
      <w:r w:rsidR="000B7FFA" w:rsidRPr="00EB3788">
        <w:rPr>
          <w:rFonts w:asciiTheme="majorHAnsi" w:eastAsia="MS Gothic" w:hAnsiTheme="majorHAnsi" w:cs="Times New Roman"/>
          <w:snapToGrid w:val="0"/>
        </w:rPr>
        <w:t>randomised</w:t>
      </w:r>
      <w:r w:rsidRPr="00EB3788">
        <w:rPr>
          <w:rFonts w:asciiTheme="majorHAnsi" w:eastAsia="MS Gothic" w:hAnsiTheme="majorHAnsi" w:cs="Times New Roman"/>
          <w:snapToGrid w:val="0"/>
        </w:rPr>
        <w:t xml:space="preserve"> (1:1) to either </w:t>
      </w:r>
      <w:r w:rsidR="001B6DDC" w:rsidRPr="00EB3788">
        <w:rPr>
          <w:rFonts w:asciiTheme="majorHAnsi" w:eastAsia="MS Gothic" w:hAnsiTheme="majorHAnsi" w:cs="Times New Roman"/>
          <w:snapToGrid w:val="0"/>
        </w:rPr>
        <w:t>Fetroja</w:t>
      </w:r>
      <w:r w:rsidRPr="00EB3788">
        <w:rPr>
          <w:rFonts w:asciiTheme="majorHAnsi" w:eastAsia="MS Gothic" w:hAnsiTheme="majorHAnsi" w:cs="Times New Roman"/>
          <w:snapToGrid w:val="0"/>
        </w:rPr>
        <w:t xml:space="preserve"> (2 g) or meropenem (2 g) over 3 hour</w:t>
      </w:r>
      <w:r w:rsidR="00846F63" w:rsidRPr="00EB3788">
        <w:rPr>
          <w:rFonts w:asciiTheme="majorHAnsi" w:eastAsia="MS Gothic" w:hAnsiTheme="majorHAnsi" w:cs="Times New Roman" w:hint="eastAsia"/>
          <w:snapToGrid w:val="0"/>
          <w:lang w:eastAsia="ja-JP"/>
        </w:rPr>
        <w:t>s</w:t>
      </w:r>
      <w:r w:rsidRPr="00EB3788">
        <w:rPr>
          <w:rFonts w:asciiTheme="majorHAnsi" w:eastAsia="MS Gothic" w:hAnsiTheme="majorHAnsi" w:cs="Times New Roman"/>
          <w:snapToGrid w:val="0"/>
        </w:rPr>
        <w:t>, every 8 hours for 7 to 14 days. Of 298 treated subjects, 292 subjects met the definition of the Modified Intent-to-treat (mITT) Population (145 in th</w:t>
      </w:r>
      <w:r w:rsidR="00FA649D" w:rsidRPr="00EB3788">
        <w:rPr>
          <w:rFonts w:asciiTheme="majorHAnsi" w:eastAsia="MS Gothic" w:hAnsiTheme="majorHAnsi" w:cs="Times New Roman"/>
          <w:snapToGrid w:val="0"/>
        </w:rPr>
        <w:t>e</w:t>
      </w:r>
      <w:r w:rsidRPr="00EB3788">
        <w:rPr>
          <w:rFonts w:asciiTheme="majorHAnsi" w:eastAsia="MS Gothic" w:hAnsiTheme="majorHAnsi" w:cs="Times New Roman"/>
          <w:snapToGrid w:val="0"/>
        </w:rPr>
        <w:t xml:space="preserve"> </w:t>
      </w:r>
      <w:r w:rsidR="00DA16FE" w:rsidRPr="00EB3788">
        <w:rPr>
          <w:rFonts w:asciiTheme="majorHAnsi" w:eastAsia="MS Gothic" w:hAnsiTheme="majorHAnsi" w:cs="Times New Roman"/>
          <w:snapToGrid w:val="0"/>
        </w:rPr>
        <w:t>Fetroja</w:t>
      </w:r>
      <w:r w:rsidRPr="00EB3788">
        <w:rPr>
          <w:rFonts w:asciiTheme="majorHAnsi" w:eastAsia="MS Gothic" w:hAnsiTheme="majorHAnsi" w:cs="Times New Roman"/>
          <w:snapToGrid w:val="0"/>
        </w:rPr>
        <w:t xml:space="preserve"> group and 147 in the meropenem group), defined as all </w:t>
      </w:r>
      <w:r w:rsidR="000B7FFA" w:rsidRPr="00EB3788">
        <w:rPr>
          <w:rFonts w:asciiTheme="majorHAnsi" w:eastAsia="MS Gothic" w:hAnsiTheme="majorHAnsi" w:cs="Times New Roman"/>
          <w:snapToGrid w:val="0"/>
        </w:rPr>
        <w:t>randomised</w:t>
      </w:r>
      <w:r w:rsidRPr="00EB3788">
        <w:rPr>
          <w:rFonts w:asciiTheme="majorHAnsi" w:eastAsia="MS Gothic" w:hAnsiTheme="majorHAnsi" w:cs="Times New Roman"/>
          <w:snapToGrid w:val="0"/>
        </w:rPr>
        <w:t xml:space="preserve"> subjects who received at least 1 dose of study drug, who either had evidence of:</w:t>
      </w:r>
    </w:p>
    <w:p w14:paraId="3503E87C" w14:textId="77777777" w:rsidR="00C82DE6" w:rsidRPr="00EB3788" w:rsidRDefault="00C82DE6" w:rsidP="00446C37">
      <w:pPr>
        <w:widowControl w:val="0"/>
        <w:numPr>
          <w:ilvl w:val="0"/>
          <w:numId w:val="16"/>
        </w:numPr>
        <w:topLinePunct/>
        <w:adjustRightInd w:val="0"/>
        <w:snapToGrid w:val="0"/>
        <w:spacing w:after="0"/>
        <w:rPr>
          <w:rFonts w:asciiTheme="majorHAnsi" w:eastAsia="MS Gothic" w:hAnsiTheme="majorHAnsi" w:cs="Times New Roman"/>
          <w:snapToGrid w:val="0"/>
        </w:rPr>
      </w:pPr>
      <w:r w:rsidRPr="00EB3788">
        <w:rPr>
          <w:rFonts w:asciiTheme="majorHAnsi" w:eastAsia="MS Gothic" w:hAnsiTheme="majorHAnsi" w:cs="Times New Roman"/>
          <w:snapToGrid w:val="0"/>
        </w:rPr>
        <w:t>a Gram-negative infection of the lower respiratory tract based on microbiological culture, OR</w:t>
      </w:r>
    </w:p>
    <w:p w14:paraId="71FAA7AC" w14:textId="77777777" w:rsidR="00C82DE6" w:rsidRPr="00EB3788" w:rsidRDefault="00C82DE6" w:rsidP="00446C37">
      <w:pPr>
        <w:widowControl w:val="0"/>
        <w:numPr>
          <w:ilvl w:val="0"/>
          <w:numId w:val="16"/>
        </w:numPr>
        <w:topLinePunct/>
        <w:adjustRightInd w:val="0"/>
        <w:snapToGrid w:val="0"/>
        <w:rPr>
          <w:rFonts w:asciiTheme="majorHAnsi" w:eastAsia="MS Gothic" w:hAnsiTheme="majorHAnsi" w:cs="Times New Roman"/>
          <w:snapToGrid w:val="0"/>
        </w:rPr>
      </w:pPr>
      <w:r w:rsidRPr="00EB3788">
        <w:rPr>
          <w:rFonts w:asciiTheme="majorHAnsi" w:eastAsia="MS Gothic" w:hAnsiTheme="majorHAnsi" w:cs="Times New Roman"/>
          <w:snapToGrid w:val="0"/>
        </w:rPr>
        <w:t>a lower respiratory tract infection, but culture did not provide a microbiological diagnosis.</w:t>
      </w:r>
    </w:p>
    <w:p w14:paraId="37FF6E64" w14:textId="77777777" w:rsidR="00C82DE6" w:rsidRPr="00EB3788" w:rsidRDefault="00C82DE6" w:rsidP="00446C37">
      <w:pPr>
        <w:adjustRightInd w:val="0"/>
        <w:snapToGrid w:val="0"/>
        <w:spacing w:after="240"/>
        <w:rPr>
          <w:rFonts w:asciiTheme="majorHAnsi" w:eastAsia="MS Gothic" w:hAnsiTheme="majorHAnsi" w:cs="Times New Roman"/>
          <w:snapToGrid w:val="0"/>
        </w:rPr>
      </w:pPr>
      <w:r w:rsidRPr="00EB3788">
        <w:rPr>
          <w:rFonts w:asciiTheme="majorHAnsi" w:eastAsia="MS Gothic" w:hAnsiTheme="majorHAnsi" w:cs="Times New Roman"/>
          <w:snapToGrid w:val="0"/>
        </w:rPr>
        <w:t>Note: Subjects with bacterial pneumonia caused by Gram-positive aerobic or anaerobic (Gram positive or Gram-negative) bacteria only were excluded from the mITT population.</w:t>
      </w:r>
    </w:p>
    <w:p w14:paraId="6B4E8D76" w14:textId="26A4854A" w:rsidR="53340142" w:rsidRPr="00EB3788" w:rsidRDefault="167B8D07" w:rsidP="00446C37">
      <w:pPr>
        <w:spacing w:after="240"/>
        <w:rPr>
          <w:rFonts w:asciiTheme="majorHAnsi" w:eastAsia="MS Gothic" w:hAnsiTheme="majorHAnsi" w:cs="Times New Roman"/>
        </w:rPr>
      </w:pPr>
      <w:r w:rsidRPr="00EB3788">
        <w:rPr>
          <w:rFonts w:asciiTheme="majorHAnsi" w:eastAsia="MS Gothic" w:hAnsiTheme="majorHAnsi" w:cs="Times New Roman"/>
        </w:rPr>
        <w:t xml:space="preserve">The most frequently reported Gram-negative pathogens isolated at baseline for both groups in the mITT Population were </w:t>
      </w:r>
      <w:r w:rsidRPr="00EB3788">
        <w:rPr>
          <w:rFonts w:asciiTheme="majorHAnsi" w:eastAsia="MS Gothic" w:hAnsiTheme="majorHAnsi" w:cs="Times New Roman"/>
          <w:i/>
          <w:iCs/>
        </w:rPr>
        <w:t>K. pneumoniae</w:t>
      </w:r>
      <w:r w:rsidRPr="00EB3788">
        <w:rPr>
          <w:rFonts w:asciiTheme="majorHAnsi" w:eastAsia="MS Gothic" w:hAnsiTheme="majorHAnsi" w:cs="Times New Roman"/>
        </w:rPr>
        <w:t xml:space="preserve"> (33.1</w:t>
      </w:r>
      <w:proofErr w:type="gramStart"/>
      <w:r w:rsidRPr="00EB3788">
        <w:rPr>
          <w:rFonts w:asciiTheme="majorHAnsi" w:eastAsia="MS Gothic" w:hAnsiTheme="majorHAnsi" w:cs="Times New Roman"/>
        </w:rPr>
        <w:t>%  [</w:t>
      </w:r>
      <w:proofErr w:type="gramEnd"/>
      <w:r w:rsidRPr="00EB3788">
        <w:rPr>
          <w:rFonts w:asciiTheme="majorHAnsi" w:eastAsia="MS Gothic" w:hAnsiTheme="majorHAnsi" w:cs="Times New Roman"/>
        </w:rPr>
        <w:t xml:space="preserve">48/145] of subjects in the Fetroja group and 29.9% [44/147] of subjects in the meropenem group), </w:t>
      </w:r>
      <w:r w:rsidRPr="00EB3788">
        <w:rPr>
          <w:rFonts w:asciiTheme="majorHAnsi" w:eastAsia="MS Gothic" w:hAnsiTheme="majorHAnsi" w:cs="Times New Roman"/>
          <w:i/>
          <w:iCs/>
        </w:rPr>
        <w:t>P. aeruginosa</w:t>
      </w:r>
      <w:r w:rsidRPr="00EB3788">
        <w:rPr>
          <w:rFonts w:asciiTheme="majorHAnsi" w:eastAsia="MS Gothic" w:hAnsiTheme="majorHAnsi" w:cs="Times New Roman"/>
        </w:rPr>
        <w:t xml:space="preserve"> (16.6% [24/145] and </w:t>
      </w:r>
      <w:r w:rsidRPr="00EB3788">
        <w:rPr>
          <w:rFonts w:asciiTheme="majorHAnsi" w:eastAsia="MS Gothic" w:hAnsiTheme="majorHAnsi" w:cs="Times New Roman"/>
        </w:rPr>
        <w:lastRenderedPageBreak/>
        <w:t xml:space="preserve">16.3% [24/147]), </w:t>
      </w:r>
      <w:r w:rsidRPr="00EB3788">
        <w:rPr>
          <w:rFonts w:asciiTheme="majorHAnsi" w:eastAsia="MS Gothic" w:hAnsiTheme="majorHAnsi" w:cs="Times New Roman"/>
          <w:i/>
          <w:iCs/>
        </w:rPr>
        <w:t>A. baumannii</w:t>
      </w:r>
      <w:r w:rsidRPr="00EB3788">
        <w:rPr>
          <w:rFonts w:asciiTheme="majorHAnsi" w:eastAsia="MS Gothic" w:hAnsiTheme="majorHAnsi" w:cs="Times New Roman"/>
        </w:rPr>
        <w:t xml:space="preserve"> (15.9% [23/145] and 16.3% [24/147]), and </w:t>
      </w:r>
      <w:r w:rsidRPr="00EB3788">
        <w:rPr>
          <w:rFonts w:asciiTheme="majorHAnsi" w:eastAsia="MS Gothic" w:hAnsiTheme="majorHAnsi" w:cs="Times New Roman"/>
          <w:i/>
          <w:iCs/>
        </w:rPr>
        <w:t>E. coli</w:t>
      </w:r>
      <w:r w:rsidRPr="00EB3788">
        <w:rPr>
          <w:rFonts w:asciiTheme="majorHAnsi" w:eastAsia="MS Gothic" w:hAnsiTheme="majorHAnsi" w:cs="Times New Roman"/>
        </w:rPr>
        <w:t xml:space="preserve"> (13.1% [19/145] and 15.0% [22/147]).</w:t>
      </w:r>
    </w:p>
    <w:p w14:paraId="5D3AC460" w14:textId="5C6F2D4E" w:rsidR="00132C8C" w:rsidRPr="00EB3788" w:rsidRDefault="00C82DE6" w:rsidP="00446C37">
      <w:pPr>
        <w:adjustRightInd w:val="0"/>
        <w:snapToGrid w:val="0"/>
        <w:spacing w:after="240"/>
        <w:rPr>
          <w:rFonts w:asciiTheme="majorHAnsi" w:eastAsia="MS Gothic" w:hAnsiTheme="majorHAnsi" w:cs="Times New Roman"/>
          <w:bCs/>
          <w:snapToGrid w:val="0"/>
        </w:rPr>
      </w:pPr>
      <w:r w:rsidRPr="00EB3788">
        <w:rPr>
          <w:rFonts w:asciiTheme="majorHAnsi" w:eastAsia="MS Gothic" w:hAnsiTheme="majorHAnsi" w:cs="Times New Roman"/>
          <w:bCs/>
          <w:snapToGrid w:val="0"/>
        </w:rPr>
        <w:t xml:space="preserve">The all-cause mortality rates by time point after the start of study drug therapy are shown in </w:t>
      </w:r>
      <w:r w:rsidR="002A15C6" w:rsidRPr="00EB3788">
        <w:rPr>
          <w:rFonts w:asciiTheme="majorHAnsi" w:eastAsia="MS Gothic" w:hAnsiTheme="majorHAnsi" w:cs="Times New Roman"/>
          <w:bCs/>
          <w:snapToGrid w:val="0"/>
          <w:color w:val="0000EE"/>
        </w:rPr>
        <w:fldChar w:fldCharType="begin" w:fldLock="1"/>
      </w:r>
      <w:r w:rsidR="002A15C6" w:rsidRPr="00EB3788">
        <w:rPr>
          <w:rFonts w:asciiTheme="majorHAnsi" w:eastAsia="MS Gothic" w:hAnsiTheme="majorHAnsi" w:cs="Times New Roman"/>
          <w:bCs/>
          <w:snapToGrid w:val="0"/>
          <w:color w:val="0000EE"/>
        </w:rPr>
        <w:instrText xml:space="preserve"> REF _Ref172730052 \h  \* MERGEFORMAT </w:instrText>
      </w:r>
      <w:r w:rsidR="002A15C6" w:rsidRPr="00EB3788">
        <w:rPr>
          <w:rFonts w:asciiTheme="majorHAnsi" w:eastAsia="MS Gothic" w:hAnsiTheme="majorHAnsi" w:cs="Times New Roman"/>
          <w:bCs/>
          <w:snapToGrid w:val="0"/>
          <w:color w:val="0000EE"/>
        </w:rPr>
      </w:r>
      <w:r w:rsidR="002A15C6" w:rsidRPr="00EB3788">
        <w:rPr>
          <w:rFonts w:asciiTheme="majorHAnsi" w:eastAsia="MS Gothic" w:hAnsiTheme="majorHAnsi" w:cs="Times New Roman"/>
          <w:bCs/>
          <w:snapToGrid w:val="0"/>
          <w:color w:val="0000EE"/>
        </w:rPr>
        <w:fldChar w:fldCharType="separate"/>
      </w:r>
      <w:r w:rsidR="00425866" w:rsidRPr="00EB3788">
        <w:rPr>
          <w:rFonts w:asciiTheme="majorHAnsi" w:hAnsiTheme="majorHAnsi"/>
          <w:color w:val="0000EE"/>
        </w:rPr>
        <w:t>Table 10</w:t>
      </w:r>
      <w:r w:rsidR="002A15C6" w:rsidRPr="00EB3788">
        <w:rPr>
          <w:rFonts w:asciiTheme="majorHAnsi" w:eastAsia="MS Gothic" w:hAnsiTheme="majorHAnsi" w:cs="Times New Roman"/>
          <w:bCs/>
          <w:snapToGrid w:val="0"/>
          <w:color w:val="0000EE"/>
        </w:rPr>
        <w:fldChar w:fldCharType="end"/>
      </w:r>
      <w:r w:rsidRPr="00EB3788">
        <w:rPr>
          <w:rFonts w:asciiTheme="majorHAnsi" w:eastAsia="MS Gothic" w:hAnsiTheme="majorHAnsi" w:cs="Times New Roman"/>
          <w:bCs/>
          <w:snapToGrid w:val="0"/>
        </w:rPr>
        <w:t xml:space="preserve">. The all-cause mortality at Day 14 (the primary efficacy endpoint) was 12.4% (18/145) in the </w:t>
      </w:r>
      <w:r w:rsidR="00DA16FE" w:rsidRPr="00EB3788">
        <w:rPr>
          <w:rFonts w:asciiTheme="majorHAnsi" w:eastAsia="MS Gothic" w:hAnsiTheme="majorHAnsi" w:cs="Times New Roman"/>
          <w:bCs/>
          <w:snapToGrid w:val="0"/>
        </w:rPr>
        <w:t>Fetroja</w:t>
      </w:r>
      <w:r w:rsidRPr="00EB3788">
        <w:rPr>
          <w:rFonts w:asciiTheme="majorHAnsi" w:eastAsia="MS Gothic" w:hAnsiTheme="majorHAnsi" w:cs="Times New Roman"/>
          <w:bCs/>
          <w:snapToGrid w:val="0"/>
        </w:rPr>
        <w:t xml:space="preserve"> group and 11.6% (17/146) in the meropenem group. Noninferiority of </w:t>
      </w:r>
      <w:r w:rsidR="00DA16FE" w:rsidRPr="00EB3788">
        <w:rPr>
          <w:rFonts w:asciiTheme="majorHAnsi" w:eastAsia="MS Gothic" w:hAnsiTheme="majorHAnsi" w:cs="Times New Roman"/>
          <w:bCs/>
          <w:snapToGrid w:val="0"/>
        </w:rPr>
        <w:t>Fetroja</w:t>
      </w:r>
      <w:r w:rsidRPr="00EB3788">
        <w:rPr>
          <w:rFonts w:asciiTheme="majorHAnsi" w:eastAsia="MS Gothic" w:hAnsiTheme="majorHAnsi" w:cs="Times New Roman"/>
          <w:bCs/>
          <w:snapToGrid w:val="0"/>
        </w:rPr>
        <w:t xml:space="preserve"> to meropenem was demonstrated since the upper limit of the 95% confidence interval for the treatment difference in the Day 14 all-cause mortality was less than 12.5% (95% CI: −6.6, 8.2).</w:t>
      </w:r>
    </w:p>
    <w:p w14:paraId="3E523FE2" w14:textId="4FD5E485" w:rsidR="00BF6500" w:rsidRPr="00EB3788" w:rsidRDefault="00BF6500" w:rsidP="00446C37">
      <w:pPr>
        <w:pStyle w:val="Caption"/>
        <w:keepNext/>
      </w:pPr>
      <w:bookmarkStart w:id="33" w:name="_Ref172730052"/>
      <w:r w:rsidRPr="00EB3788">
        <w:t xml:space="preserve">Table </w:t>
      </w:r>
      <w:r w:rsidRPr="00EB3788">
        <w:fldChar w:fldCharType="begin"/>
      </w:r>
      <w:r w:rsidRPr="00EB3788">
        <w:instrText>SEQ Table \* ARABIC</w:instrText>
      </w:r>
      <w:r w:rsidRPr="00EB3788">
        <w:fldChar w:fldCharType="separate"/>
      </w:r>
      <w:r w:rsidR="001E66F2" w:rsidRPr="004664E6">
        <w:t>10</w:t>
      </w:r>
      <w:r w:rsidRPr="00EB3788">
        <w:fldChar w:fldCharType="end"/>
      </w:r>
      <w:bookmarkEnd w:id="33"/>
      <w:r w:rsidRPr="00EB3788">
        <w:t xml:space="preserve"> All-cause</w:t>
      </w:r>
      <w:r w:rsidR="0070551A" w:rsidRPr="00EB3788">
        <w:t xml:space="preserve"> mortality, clinical cure rates, and microbiological eradication</w:t>
      </w:r>
      <w:r w:rsidRPr="00EB3788">
        <w:t xml:space="preserve"> at TOC </w:t>
      </w:r>
      <w:r w:rsidR="0070551A" w:rsidRPr="00EB3788">
        <w:t>(modified intent</w:t>
      </w:r>
      <w:r w:rsidR="0070551A" w:rsidRPr="00EB3788">
        <w:rPr>
          <w:lang w:eastAsia="ja-JP"/>
        </w:rPr>
        <w:t>-</w:t>
      </w:r>
      <w:r w:rsidR="0070551A" w:rsidRPr="00EB3788">
        <w:t>to</w:t>
      </w:r>
      <w:r w:rsidR="0070551A" w:rsidRPr="00EB3788">
        <w:rPr>
          <w:lang w:eastAsia="ja-JP"/>
        </w:rPr>
        <w:t>-</w:t>
      </w:r>
      <w:r w:rsidR="0070551A" w:rsidRPr="00EB3788">
        <w:t>treat population)</w:t>
      </w:r>
    </w:p>
    <w:tbl>
      <w:tblPr>
        <w:tblStyle w:val="2"/>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2265"/>
        <w:gridCol w:w="2212"/>
        <w:gridCol w:w="2313"/>
        <w:gridCol w:w="2230"/>
      </w:tblGrid>
      <w:tr w:rsidR="00C82DE6" w:rsidRPr="00EB3788" w14:paraId="07478D51" w14:textId="77777777" w:rsidTr="007B1878">
        <w:tc>
          <w:tcPr>
            <w:tcW w:w="1256" w:type="pct"/>
            <w:hideMark/>
          </w:tcPr>
          <w:p w14:paraId="50349502" w14:textId="77777777" w:rsidR="00C82DE6" w:rsidRPr="00EB3788" w:rsidRDefault="00C82DE6" w:rsidP="00446C37">
            <w:pPr>
              <w:adjustRightInd w:val="0"/>
              <w:snapToGrid w:val="0"/>
              <w:spacing w:line="240" w:lineRule="atLeast"/>
              <w:rPr>
                <w:rFonts w:asciiTheme="majorHAnsi" w:eastAsia="MS Gothic" w:hAnsiTheme="majorHAnsi"/>
                <w:b/>
                <w:snapToGrid w:val="0"/>
                <w:sz w:val="22"/>
                <w:szCs w:val="22"/>
                <w:shd w:val="clear" w:color="auto" w:fill="FFFFCC"/>
                <w:lang w:val="en-AU"/>
              </w:rPr>
            </w:pPr>
            <w:r w:rsidRPr="00EB3788">
              <w:rPr>
                <w:rFonts w:asciiTheme="majorHAnsi" w:eastAsia="MS Gothic" w:hAnsiTheme="majorHAnsi"/>
                <w:b/>
                <w:snapToGrid w:val="0"/>
              </w:rPr>
              <w:t>Study Endpoint</w:t>
            </w:r>
          </w:p>
        </w:tc>
        <w:tc>
          <w:tcPr>
            <w:tcW w:w="1226" w:type="pct"/>
            <w:hideMark/>
          </w:tcPr>
          <w:p w14:paraId="0C453B5B" w14:textId="2938EF11" w:rsidR="00C82DE6" w:rsidRPr="00EB3788" w:rsidRDefault="0098306C"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Fetroja (c</w:t>
            </w:r>
            <w:r w:rsidR="00C82DE6" w:rsidRPr="00EB3788">
              <w:rPr>
                <w:rFonts w:asciiTheme="majorHAnsi" w:eastAsia="MS Gothic" w:hAnsiTheme="majorHAnsi"/>
                <w:b/>
                <w:snapToGrid w:val="0"/>
              </w:rPr>
              <w:t>efiderocol</w:t>
            </w:r>
            <w:r w:rsidRPr="00EB3788">
              <w:rPr>
                <w:rFonts w:asciiTheme="majorHAnsi" w:eastAsia="MS Gothic" w:hAnsiTheme="majorHAnsi"/>
                <w:b/>
                <w:snapToGrid w:val="0"/>
              </w:rPr>
              <w:t>)</w:t>
            </w:r>
          </w:p>
          <w:p w14:paraId="5702CC6D" w14:textId="77777777" w:rsidR="00C82DE6" w:rsidRPr="00EB3788" w:rsidRDefault="00C82DE6"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n/N (%)</w:t>
            </w:r>
          </w:p>
          <w:p w14:paraId="21695E8C" w14:textId="77777777" w:rsidR="00C82DE6" w:rsidRPr="00EB3788" w:rsidRDefault="00C82DE6"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(N=145)</w:t>
            </w:r>
          </w:p>
        </w:tc>
        <w:tc>
          <w:tcPr>
            <w:tcW w:w="1282" w:type="pct"/>
            <w:hideMark/>
          </w:tcPr>
          <w:p w14:paraId="625CD861" w14:textId="77777777" w:rsidR="00C82DE6" w:rsidRPr="00EB3788" w:rsidRDefault="00C82DE6"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Meropenem</w:t>
            </w:r>
          </w:p>
          <w:p w14:paraId="1EE5F1EF" w14:textId="77777777" w:rsidR="00C82DE6" w:rsidRPr="00EB3788" w:rsidRDefault="00C82DE6"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n/N (%)</w:t>
            </w:r>
          </w:p>
          <w:p w14:paraId="767F187D" w14:textId="77777777" w:rsidR="00C82DE6" w:rsidRPr="00EB3788" w:rsidRDefault="00C82DE6"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(N=147)</w:t>
            </w:r>
          </w:p>
        </w:tc>
        <w:tc>
          <w:tcPr>
            <w:tcW w:w="1236" w:type="pct"/>
            <w:hideMark/>
          </w:tcPr>
          <w:p w14:paraId="04DB7C3C" w14:textId="77777777" w:rsidR="00C82DE6" w:rsidRPr="00EB3788" w:rsidRDefault="00C82DE6"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 xml:space="preserve">Treatment Difference </w:t>
            </w:r>
          </w:p>
          <w:p w14:paraId="7339B0FB" w14:textId="77777777" w:rsidR="00C82DE6" w:rsidRPr="00EB3788" w:rsidRDefault="00C82DE6"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 xml:space="preserve">(95% </w:t>
            </w:r>
            <w:proofErr w:type="gramStart"/>
            <w:r w:rsidRPr="00EB3788">
              <w:rPr>
                <w:rFonts w:asciiTheme="majorHAnsi" w:eastAsia="MS Gothic" w:hAnsiTheme="majorHAnsi"/>
                <w:b/>
                <w:snapToGrid w:val="0"/>
              </w:rPr>
              <w:t>CI)</w:t>
            </w:r>
            <w:r w:rsidRPr="00EB3788">
              <w:rPr>
                <w:rFonts w:asciiTheme="majorHAnsi" w:eastAsia="MS Gothic" w:hAnsiTheme="majorHAnsi"/>
                <w:b/>
                <w:snapToGrid w:val="0"/>
                <w:vertAlign w:val="superscript"/>
              </w:rPr>
              <w:t>a</w:t>
            </w:r>
            <w:proofErr w:type="gramEnd"/>
          </w:p>
        </w:tc>
      </w:tr>
      <w:tr w:rsidR="00C82DE6" w:rsidRPr="00EB3788" w14:paraId="3F0A326A" w14:textId="77777777" w:rsidTr="007B1878">
        <w:tc>
          <w:tcPr>
            <w:tcW w:w="1256" w:type="pct"/>
            <w:hideMark/>
          </w:tcPr>
          <w:p w14:paraId="5F0500EA" w14:textId="77777777" w:rsidR="00C82DE6" w:rsidRPr="00EB3788" w:rsidRDefault="00C82DE6" w:rsidP="00446C37">
            <w:pPr>
              <w:widowControl w:val="0"/>
              <w:autoSpaceDE w:val="0"/>
              <w:autoSpaceDN w:val="0"/>
              <w:adjustRightInd w:val="0"/>
              <w:rPr>
                <w:rFonts w:asciiTheme="majorHAnsi" w:hAnsiTheme="majorHAnsi"/>
                <w:sz w:val="22"/>
                <w:szCs w:val="22"/>
                <w:lang w:val="en-AU"/>
              </w:rPr>
            </w:pPr>
            <w:r w:rsidRPr="00EB3788">
              <w:rPr>
                <w:rFonts w:asciiTheme="majorHAnsi" w:hAnsiTheme="majorHAnsi"/>
              </w:rPr>
              <w:t>Day 14 All-cause Mortality</w:t>
            </w:r>
            <w:r w:rsidRPr="00EB3788">
              <w:rPr>
                <w:rFonts w:asciiTheme="majorHAnsi" w:hAnsiTheme="majorHAnsi"/>
                <w:vertAlign w:val="superscript"/>
              </w:rPr>
              <w:t>b</w:t>
            </w:r>
          </w:p>
        </w:tc>
        <w:tc>
          <w:tcPr>
            <w:tcW w:w="1226" w:type="pct"/>
            <w:vAlign w:val="center"/>
            <w:hideMark/>
          </w:tcPr>
          <w:p w14:paraId="5E00FC74" w14:textId="77777777" w:rsidR="00C82DE6" w:rsidRPr="00EB3788" w:rsidRDefault="00C82DE6"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N'=145</w:t>
            </w:r>
          </w:p>
          <w:p w14:paraId="66E1DA1C" w14:textId="77777777" w:rsidR="00C82DE6" w:rsidRPr="00EB3788" w:rsidRDefault="00C82DE6"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18/145 (12.4)</w:t>
            </w:r>
          </w:p>
        </w:tc>
        <w:tc>
          <w:tcPr>
            <w:tcW w:w="1282" w:type="pct"/>
            <w:vAlign w:val="center"/>
            <w:hideMark/>
          </w:tcPr>
          <w:p w14:paraId="01795A90" w14:textId="77777777" w:rsidR="00C82DE6" w:rsidRPr="00EB3788" w:rsidRDefault="00C82DE6"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N'=146</w:t>
            </w:r>
          </w:p>
          <w:p w14:paraId="2793F97E" w14:textId="77777777" w:rsidR="00C82DE6" w:rsidRPr="00EB3788" w:rsidRDefault="00C82DE6"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17/146 (11.6)</w:t>
            </w:r>
          </w:p>
        </w:tc>
        <w:tc>
          <w:tcPr>
            <w:tcW w:w="1236" w:type="pct"/>
            <w:vAlign w:val="center"/>
            <w:hideMark/>
          </w:tcPr>
          <w:p w14:paraId="72D70C92" w14:textId="77777777" w:rsidR="00C82DE6" w:rsidRPr="00EB3788" w:rsidRDefault="00C82DE6"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0.8 (-6.6, 8.2)</w:t>
            </w:r>
          </w:p>
        </w:tc>
      </w:tr>
      <w:tr w:rsidR="00C82DE6" w:rsidRPr="00EB3788" w14:paraId="492CAEA0" w14:textId="77777777" w:rsidTr="007B1878">
        <w:tc>
          <w:tcPr>
            <w:tcW w:w="1256" w:type="pct"/>
            <w:hideMark/>
          </w:tcPr>
          <w:p w14:paraId="053CE800" w14:textId="77777777" w:rsidR="00C82DE6" w:rsidRPr="00EB3788" w:rsidRDefault="00C82DE6" w:rsidP="00446C37">
            <w:pPr>
              <w:widowControl w:val="0"/>
              <w:autoSpaceDE w:val="0"/>
              <w:autoSpaceDN w:val="0"/>
              <w:adjustRightInd w:val="0"/>
              <w:rPr>
                <w:rFonts w:asciiTheme="majorHAnsi" w:hAnsiTheme="majorHAnsi"/>
                <w:sz w:val="22"/>
                <w:szCs w:val="22"/>
                <w:lang w:val="en-AU"/>
              </w:rPr>
            </w:pPr>
            <w:r w:rsidRPr="00EB3788">
              <w:rPr>
                <w:rFonts w:asciiTheme="majorHAnsi" w:hAnsiTheme="majorHAnsi"/>
              </w:rPr>
              <w:t>Clinical Cure at TOC</w:t>
            </w:r>
          </w:p>
        </w:tc>
        <w:tc>
          <w:tcPr>
            <w:tcW w:w="1226" w:type="pct"/>
            <w:vAlign w:val="center"/>
            <w:hideMark/>
          </w:tcPr>
          <w:p w14:paraId="0C9CF32A" w14:textId="77777777" w:rsidR="00C82DE6" w:rsidRPr="00EB3788" w:rsidRDefault="00C82DE6"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94/145 (64.8)</w:t>
            </w:r>
          </w:p>
        </w:tc>
        <w:tc>
          <w:tcPr>
            <w:tcW w:w="1282" w:type="pct"/>
            <w:vAlign w:val="center"/>
            <w:hideMark/>
          </w:tcPr>
          <w:p w14:paraId="7C293758" w14:textId="77777777" w:rsidR="00C82DE6" w:rsidRPr="00EB3788" w:rsidRDefault="00C82DE6"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98/147 (66.7)</w:t>
            </w:r>
          </w:p>
        </w:tc>
        <w:tc>
          <w:tcPr>
            <w:tcW w:w="1236" w:type="pct"/>
            <w:vAlign w:val="center"/>
            <w:hideMark/>
          </w:tcPr>
          <w:p w14:paraId="543D27CC" w14:textId="77777777" w:rsidR="00C82DE6" w:rsidRPr="00EB3788" w:rsidRDefault="00C82DE6"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-2.0 (-12.5, 8.5)</w:t>
            </w:r>
          </w:p>
        </w:tc>
      </w:tr>
      <w:tr w:rsidR="00C82DE6" w:rsidRPr="00EB3788" w14:paraId="174D69EF" w14:textId="77777777" w:rsidTr="007B1878">
        <w:tc>
          <w:tcPr>
            <w:tcW w:w="1256" w:type="pct"/>
            <w:hideMark/>
          </w:tcPr>
          <w:p w14:paraId="52341115" w14:textId="77777777" w:rsidR="00C82DE6" w:rsidRPr="00EB3788" w:rsidRDefault="00C82DE6" w:rsidP="00446C37">
            <w:pPr>
              <w:widowControl w:val="0"/>
              <w:autoSpaceDE w:val="0"/>
              <w:autoSpaceDN w:val="0"/>
              <w:adjustRightInd w:val="0"/>
              <w:rPr>
                <w:rFonts w:asciiTheme="majorHAnsi" w:hAnsiTheme="majorHAnsi"/>
                <w:sz w:val="22"/>
                <w:szCs w:val="22"/>
                <w:lang w:val="en-AU"/>
              </w:rPr>
            </w:pPr>
            <w:r w:rsidRPr="00EB3788">
              <w:rPr>
                <w:rFonts w:asciiTheme="majorHAnsi" w:hAnsiTheme="majorHAnsi"/>
              </w:rPr>
              <w:t xml:space="preserve">Microbiological Eradication at </w:t>
            </w:r>
            <w:proofErr w:type="spellStart"/>
            <w:r w:rsidRPr="00EB3788">
              <w:rPr>
                <w:rFonts w:asciiTheme="majorHAnsi" w:hAnsiTheme="majorHAnsi"/>
              </w:rPr>
              <w:t>TOC</w:t>
            </w:r>
            <w:r w:rsidRPr="00EB3788">
              <w:rPr>
                <w:rFonts w:asciiTheme="majorHAnsi" w:hAnsiTheme="majorHAnsi"/>
                <w:vertAlign w:val="superscript"/>
              </w:rPr>
              <w:t>c</w:t>
            </w:r>
            <w:proofErr w:type="spellEnd"/>
          </w:p>
        </w:tc>
        <w:tc>
          <w:tcPr>
            <w:tcW w:w="1226" w:type="pct"/>
            <w:vAlign w:val="center"/>
            <w:hideMark/>
          </w:tcPr>
          <w:p w14:paraId="32802E1E" w14:textId="77777777" w:rsidR="00C82DE6" w:rsidRPr="00EB3788" w:rsidRDefault="00C82DE6"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 xml:space="preserve">N*=124 </w:t>
            </w:r>
          </w:p>
          <w:p w14:paraId="7A76066B" w14:textId="77777777" w:rsidR="00C82DE6" w:rsidRPr="00EB3788" w:rsidRDefault="00C82DE6"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59/124 (47.6)</w:t>
            </w:r>
          </w:p>
        </w:tc>
        <w:tc>
          <w:tcPr>
            <w:tcW w:w="1282" w:type="pct"/>
            <w:vAlign w:val="center"/>
            <w:hideMark/>
          </w:tcPr>
          <w:p w14:paraId="1CE128B1" w14:textId="77777777" w:rsidR="00C82DE6" w:rsidRPr="00EB3788" w:rsidRDefault="00C82DE6"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 xml:space="preserve">N*=127 </w:t>
            </w:r>
          </w:p>
          <w:p w14:paraId="04E2BE7C" w14:textId="77777777" w:rsidR="00C82DE6" w:rsidRPr="00EB3788" w:rsidRDefault="00C82DE6"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61/127 (48.0)</w:t>
            </w:r>
          </w:p>
        </w:tc>
        <w:tc>
          <w:tcPr>
            <w:tcW w:w="1236" w:type="pct"/>
            <w:vAlign w:val="center"/>
            <w:hideMark/>
          </w:tcPr>
          <w:p w14:paraId="09B246A9" w14:textId="77777777" w:rsidR="00C82DE6" w:rsidRPr="00EB3788" w:rsidRDefault="00C82DE6" w:rsidP="00446C37">
            <w:pPr>
              <w:adjustRightInd w:val="0"/>
              <w:snapToGrid w:val="0"/>
              <w:spacing w:line="240" w:lineRule="atLeast"/>
              <w:rPr>
                <w:rFonts w:asciiTheme="majorHAnsi" w:eastAsia="MS Gothic" w:hAnsiTheme="majorHAnsi"/>
                <w:snapToGrid w:val="0"/>
                <w:sz w:val="22"/>
                <w:szCs w:val="22"/>
                <w:lang w:val="en-AU"/>
              </w:rPr>
            </w:pPr>
            <w:r w:rsidRPr="00EB3788">
              <w:rPr>
                <w:rFonts w:asciiTheme="majorHAnsi" w:eastAsia="MS Gothic" w:hAnsiTheme="majorHAnsi"/>
                <w:snapToGrid w:val="0"/>
              </w:rPr>
              <w:t>-1.4 (-13.5, 10.7)</w:t>
            </w:r>
          </w:p>
        </w:tc>
      </w:tr>
    </w:tbl>
    <w:p w14:paraId="0FE5B392" w14:textId="15461CF4" w:rsidR="00C82DE6" w:rsidRPr="00EB3788" w:rsidRDefault="00C82DE6" w:rsidP="00446C37">
      <w:pPr>
        <w:autoSpaceDE w:val="0"/>
        <w:autoSpaceDN w:val="0"/>
        <w:adjustRightInd w:val="0"/>
        <w:snapToGrid w:val="0"/>
        <w:spacing w:after="0" w:line="240" w:lineRule="exact"/>
        <w:ind w:left="360" w:hanging="360"/>
        <w:rPr>
          <w:rFonts w:asciiTheme="majorHAnsi" w:eastAsia="MS Mincho" w:hAnsiTheme="majorHAnsi" w:cs="Times New Roman"/>
          <w:snapToGrid w:val="0"/>
          <w:kern w:val="2"/>
          <w:sz w:val="20"/>
          <w:szCs w:val="20"/>
        </w:rPr>
      </w:pPr>
      <w:proofErr w:type="spellStart"/>
      <w:r w:rsidRPr="00EB3788">
        <w:rPr>
          <w:rFonts w:asciiTheme="majorHAnsi" w:eastAsia="MS Gothic" w:hAnsiTheme="majorHAnsi" w:cs="Times New Roman"/>
          <w:snapToGrid w:val="0"/>
          <w:sz w:val="20"/>
          <w:szCs w:val="20"/>
        </w:rPr>
        <w:t>a</w:t>
      </w:r>
      <w:proofErr w:type="spellEnd"/>
      <w:r w:rsidRPr="00EB3788">
        <w:rPr>
          <w:rFonts w:asciiTheme="majorHAnsi" w:eastAsia="MS Gothic" w:hAnsiTheme="majorHAnsi" w:cs="Times New Roman"/>
          <w:snapToGrid w:val="0"/>
          <w:sz w:val="20"/>
          <w:szCs w:val="20"/>
        </w:rPr>
        <w:tab/>
      </w:r>
      <w:proofErr w:type="gramStart"/>
      <w:r w:rsidRPr="00EB3788">
        <w:rPr>
          <w:rFonts w:asciiTheme="majorHAnsi" w:eastAsia="MS Gothic" w:hAnsiTheme="majorHAnsi" w:cs="Times New Roman"/>
          <w:snapToGrid w:val="0"/>
          <w:sz w:val="20"/>
          <w:szCs w:val="20"/>
        </w:rPr>
        <w:t>The</w:t>
      </w:r>
      <w:proofErr w:type="gramEnd"/>
      <w:r w:rsidRPr="00EB3788">
        <w:rPr>
          <w:rFonts w:asciiTheme="majorHAnsi" w:eastAsia="MS Gothic" w:hAnsiTheme="majorHAnsi" w:cs="Times New Roman"/>
          <w:snapToGrid w:val="0"/>
          <w:sz w:val="20"/>
          <w:szCs w:val="20"/>
        </w:rPr>
        <w:t xml:space="preserve"> adjusted treatment difference (</w:t>
      </w:r>
      <w:r w:rsidR="00BF17E2" w:rsidRPr="00EB3788">
        <w:rPr>
          <w:rFonts w:asciiTheme="majorHAnsi" w:eastAsia="MS Gothic" w:hAnsiTheme="majorHAnsi" w:cs="Times New Roman"/>
          <w:snapToGrid w:val="0"/>
          <w:sz w:val="20"/>
          <w:szCs w:val="20"/>
        </w:rPr>
        <w:t>Fetroja</w:t>
      </w:r>
      <w:r w:rsidRPr="00EB3788">
        <w:rPr>
          <w:rFonts w:asciiTheme="majorHAnsi" w:eastAsia="MS Gothic" w:hAnsiTheme="majorHAnsi" w:cs="Times New Roman"/>
          <w:snapToGrid w:val="0"/>
          <w:sz w:val="20"/>
          <w:szCs w:val="20"/>
        </w:rPr>
        <w:t xml:space="preserve"> minus meropenem) and associated 95% CI were based on the Cochran-Mantel-Haenszel method.</w:t>
      </w:r>
    </w:p>
    <w:p w14:paraId="7A268EEC" w14:textId="77777777" w:rsidR="00C82DE6" w:rsidRPr="00EB3788" w:rsidRDefault="00C82DE6" w:rsidP="00446C37">
      <w:pPr>
        <w:autoSpaceDE w:val="0"/>
        <w:autoSpaceDN w:val="0"/>
        <w:adjustRightInd w:val="0"/>
        <w:snapToGrid w:val="0"/>
        <w:spacing w:after="0" w:line="240" w:lineRule="exact"/>
        <w:ind w:left="360" w:hanging="360"/>
        <w:rPr>
          <w:rFonts w:asciiTheme="majorHAnsi" w:eastAsia="MS Gothic" w:hAnsiTheme="majorHAnsi" w:cs="Times New Roman"/>
          <w:snapToGrid w:val="0"/>
          <w:sz w:val="20"/>
          <w:szCs w:val="20"/>
        </w:rPr>
      </w:pPr>
      <w:r w:rsidRPr="00EB3788">
        <w:rPr>
          <w:rFonts w:asciiTheme="majorHAnsi" w:eastAsia="MS Gothic" w:hAnsiTheme="majorHAnsi" w:cs="Times New Roman"/>
          <w:snapToGrid w:val="0"/>
          <w:sz w:val="20"/>
          <w:szCs w:val="20"/>
        </w:rPr>
        <w:t>b</w:t>
      </w:r>
      <w:r w:rsidRPr="00EB3788">
        <w:rPr>
          <w:rFonts w:asciiTheme="majorHAnsi" w:eastAsia="MS Gothic" w:hAnsiTheme="majorHAnsi" w:cs="Times New Roman"/>
          <w:snapToGrid w:val="0"/>
          <w:sz w:val="20"/>
          <w:szCs w:val="20"/>
        </w:rPr>
        <w:tab/>
        <w:t>Percentage is calculated using N' as the denominator where N' is the number of subjects with known survival status.</w:t>
      </w:r>
    </w:p>
    <w:p w14:paraId="3445FE5A" w14:textId="77777777" w:rsidR="00C82DE6" w:rsidRPr="00EB3788" w:rsidRDefault="00C82DE6" w:rsidP="00446C37">
      <w:pPr>
        <w:autoSpaceDE w:val="0"/>
        <w:autoSpaceDN w:val="0"/>
        <w:adjustRightInd w:val="0"/>
        <w:snapToGrid w:val="0"/>
        <w:spacing w:after="0" w:line="240" w:lineRule="exact"/>
        <w:ind w:left="360" w:hanging="360"/>
        <w:rPr>
          <w:rFonts w:asciiTheme="majorHAnsi" w:eastAsia="MS Gothic" w:hAnsiTheme="majorHAnsi" w:cs="Times New Roman"/>
          <w:snapToGrid w:val="0"/>
          <w:sz w:val="20"/>
          <w:szCs w:val="20"/>
        </w:rPr>
      </w:pPr>
      <w:r w:rsidRPr="00EB3788">
        <w:rPr>
          <w:rFonts w:asciiTheme="majorHAnsi" w:eastAsia="MS Gothic" w:hAnsiTheme="majorHAnsi" w:cs="Times New Roman"/>
          <w:snapToGrid w:val="0"/>
          <w:sz w:val="20"/>
          <w:szCs w:val="20"/>
        </w:rPr>
        <w:t>c</w:t>
      </w:r>
      <w:r w:rsidRPr="00EB3788">
        <w:rPr>
          <w:rFonts w:asciiTheme="majorHAnsi" w:eastAsia="MS Gothic" w:hAnsiTheme="majorHAnsi" w:cs="Times New Roman"/>
          <w:snapToGrid w:val="0"/>
          <w:sz w:val="20"/>
          <w:szCs w:val="20"/>
        </w:rPr>
        <w:tab/>
        <w:t xml:space="preserve">Percentage is calculated using N* as the denominator where N* is the number of subjects with </w:t>
      </w:r>
      <w:proofErr w:type="spellStart"/>
      <w:r w:rsidRPr="00EB3788">
        <w:rPr>
          <w:rFonts w:asciiTheme="majorHAnsi" w:eastAsia="MS Gothic" w:hAnsiTheme="majorHAnsi" w:cs="Times New Roman"/>
          <w:snapToGrid w:val="0"/>
          <w:sz w:val="20"/>
          <w:szCs w:val="20"/>
        </w:rPr>
        <w:t>nonmissing</w:t>
      </w:r>
      <w:proofErr w:type="spellEnd"/>
      <w:r w:rsidRPr="00EB3788">
        <w:rPr>
          <w:rFonts w:asciiTheme="majorHAnsi" w:eastAsia="MS Gothic" w:hAnsiTheme="majorHAnsi" w:cs="Times New Roman"/>
          <w:snapToGrid w:val="0"/>
          <w:sz w:val="20"/>
          <w:szCs w:val="20"/>
        </w:rPr>
        <w:t xml:space="preserve"> baseline pathogens.</w:t>
      </w:r>
    </w:p>
    <w:p w14:paraId="7C3B9E08" w14:textId="77777777" w:rsidR="00C82DE6" w:rsidRPr="00EB3788" w:rsidRDefault="00C82DE6" w:rsidP="00446C37">
      <w:pPr>
        <w:autoSpaceDE w:val="0"/>
        <w:autoSpaceDN w:val="0"/>
        <w:adjustRightInd w:val="0"/>
        <w:snapToGrid w:val="0"/>
        <w:spacing w:after="0" w:line="240" w:lineRule="exact"/>
        <w:ind w:left="360" w:hanging="360"/>
        <w:rPr>
          <w:rFonts w:asciiTheme="majorHAnsi" w:eastAsia="MS Gothic" w:hAnsiTheme="majorHAnsi" w:cs="Times New Roman"/>
          <w:snapToGrid w:val="0"/>
          <w:color w:val="00B050"/>
        </w:rPr>
      </w:pPr>
    </w:p>
    <w:p w14:paraId="3E29F2DE" w14:textId="3DFE3DD5" w:rsidR="00C82DE6" w:rsidRPr="00EB3788" w:rsidRDefault="00C82DE6" w:rsidP="00446C37">
      <w:pPr>
        <w:rPr>
          <w:rFonts w:asciiTheme="majorHAnsi" w:hAnsiTheme="majorHAnsi"/>
        </w:rPr>
      </w:pPr>
      <w:r w:rsidRPr="00EB3788">
        <w:rPr>
          <w:rFonts w:asciiTheme="majorHAnsi" w:eastAsia="MS Gothic" w:hAnsiTheme="majorHAnsi" w:cs="Times New Roman"/>
          <w:snapToGrid w:val="0"/>
        </w:rPr>
        <w:t xml:space="preserve">The most frequently observed AEs were urinary tract infection (15.5% [23/148 subjects] and 10.7% [16/150 subjects] in the </w:t>
      </w:r>
      <w:r w:rsidR="00614895" w:rsidRPr="00EB3788">
        <w:rPr>
          <w:rFonts w:asciiTheme="majorHAnsi" w:eastAsia="MS Gothic" w:hAnsiTheme="majorHAnsi" w:cs="Times New Roman"/>
          <w:snapToGrid w:val="0"/>
        </w:rPr>
        <w:t>Fetroja</w:t>
      </w:r>
      <w:r w:rsidRPr="00EB3788">
        <w:rPr>
          <w:rFonts w:asciiTheme="majorHAnsi" w:eastAsia="MS Gothic" w:hAnsiTheme="majorHAnsi" w:cs="Times New Roman"/>
          <w:snapToGrid w:val="0"/>
        </w:rPr>
        <w:t xml:space="preserve"> and meropenem groups, respectively) and </w:t>
      </w:r>
      <w:r w:rsidR="00E12595" w:rsidRPr="00EB3788">
        <w:rPr>
          <w:rFonts w:asciiTheme="majorHAnsi" w:eastAsia="MS Gothic" w:hAnsiTheme="majorHAnsi" w:cs="Times New Roman"/>
          <w:snapToGrid w:val="0"/>
        </w:rPr>
        <w:t>hypokalaemia</w:t>
      </w:r>
      <w:r w:rsidRPr="00EB3788">
        <w:rPr>
          <w:rFonts w:asciiTheme="majorHAnsi" w:eastAsia="MS Gothic" w:hAnsiTheme="majorHAnsi" w:cs="Times New Roman"/>
          <w:snapToGrid w:val="0"/>
        </w:rPr>
        <w:t xml:space="preserve"> (10.8% [16/148 subjects] and 15.3% [23/150 subjects] in the </w:t>
      </w:r>
      <w:r w:rsidR="00614895" w:rsidRPr="00EB3788">
        <w:rPr>
          <w:rFonts w:asciiTheme="majorHAnsi" w:eastAsia="MS Gothic" w:hAnsiTheme="majorHAnsi" w:cs="Times New Roman"/>
          <w:snapToGrid w:val="0"/>
        </w:rPr>
        <w:t>Fetroja</w:t>
      </w:r>
      <w:r w:rsidRPr="00EB3788">
        <w:rPr>
          <w:rFonts w:asciiTheme="majorHAnsi" w:eastAsia="MS Gothic" w:hAnsiTheme="majorHAnsi" w:cs="Times New Roman"/>
          <w:snapToGrid w:val="0"/>
        </w:rPr>
        <w:t xml:space="preserve"> and meropenem groups, respectively).</w:t>
      </w:r>
    </w:p>
    <w:p w14:paraId="3A951A98" w14:textId="24C67418" w:rsidR="00D00273" w:rsidRPr="00EB3788" w:rsidRDefault="00D00273" w:rsidP="00446C37">
      <w:pPr>
        <w:keepNext/>
        <w:keepLines/>
        <w:adjustRightInd w:val="0"/>
        <w:snapToGrid w:val="0"/>
        <w:spacing w:after="120" w:line="240" w:lineRule="auto"/>
        <w:outlineLvl w:val="3"/>
        <w:rPr>
          <w:rFonts w:asciiTheme="majorHAnsi" w:eastAsia="MS Mincho" w:hAnsiTheme="majorHAnsi" w:cs="Arial"/>
          <w:b/>
          <w:iCs/>
          <w:snapToGrid w:val="0"/>
          <w:kern w:val="32"/>
        </w:rPr>
      </w:pPr>
      <w:r w:rsidRPr="00EB3788">
        <w:rPr>
          <w:rFonts w:asciiTheme="majorHAnsi" w:eastAsia="MS Mincho" w:hAnsiTheme="majorHAnsi" w:cs="Arial"/>
          <w:b/>
          <w:iCs/>
          <w:snapToGrid w:val="0"/>
          <w:kern w:val="32"/>
        </w:rPr>
        <w:t xml:space="preserve">CREDIBLE-CR </w:t>
      </w:r>
      <w:r w:rsidR="007A716A" w:rsidRPr="00EB3788">
        <w:rPr>
          <w:rFonts w:asciiTheme="majorHAnsi" w:eastAsia="MS Mincho" w:hAnsiTheme="majorHAnsi" w:cs="Arial"/>
          <w:b/>
          <w:iCs/>
          <w:snapToGrid w:val="0"/>
          <w:kern w:val="32"/>
        </w:rPr>
        <w:t>st</w:t>
      </w:r>
      <w:r w:rsidRPr="00EB3788">
        <w:rPr>
          <w:rFonts w:asciiTheme="majorHAnsi" w:eastAsia="MS Mincho" w:hAnsiTheme="majorHAnsi" w:cs="Arial"/>
          <w:b/>
          <w:iCs/>
          <w:snapToGrid w:val="0"/>
          <w:kern w:val="32"/>
        </w:rPr>
        <w:t>udy (1424R2131)</w:t>
      </w:r>
    </w:p>
    <w:p w14:paraId="0529FE15" w14:textId="713665B2" w:rsidR="00D00273" w:rsidRPr="00EB3788" w:rsidRDefault="00D00273" w:rsidP="00446C37">
      <w:pPr>
        <w:adjustRightInd w:val="0"/>
        <w:snapToGrid w:val="0"/>
        <w:spacing w:after="240"/>
        <w:rPr>
          <w:rFonts w:asciiTheme="majorHAnsi" w:eastAsia="MS Gothic" w:hAnsiTheme="majorHAnsi" w:cs="Times New Roman"/>
          <w:snapToGrid w:val="0"/>
        </w:rPr>
      </w:pPr>
      <w:r w:rsidRPr="00EB3788">
        <w:rPr>
          <w:rFonts w:asciiTheme="majorHAnsi" w:eastAsia="MS Gothic" w:hAnsiTheme="majorHAnsi" w:cs="Times New Roman"/>
          <w:snapToGrid w:val="0"/>
        </w:rPr>
        <w:t xml:space="preserve">This was a Phase 3, </w:t>
      </w:r>
      <w:r w:rsidR="00E12595" w:rsidRPr="00EB3788">
        <w:rPr>
          <w:rFonts w:asciiTheme="majorHAnsi" w:eastAsia="MS Gothic" w:hAnsiTheme="majorHAnsi" w:cs="Times New Roman"/>
          <w:snapToGrid w:val="0"/>
        </w:rPr>
        <w:t>multicentre</w:t>
      </w:r>
      <w:r w:rsidRPr="00EB3788">
        <w:rPr>
          <w:rFonts w:asciiTheme="majorHAnsi" w:eastAsia="MS Gothic" w:hAnsiTheme="majorHAnsi" w:cs="Times New Roman"/>
          <w:snapToGrid w:val="0"/>
        </w:rPr>
        <w:t xml:space="preserve">, open-label, </w:t>
      </w:r>
      <w:r w:rsidR="000B7FFA" w:rsidRPr="00EB3788">
        <w:rPr>
          <w:rFonts w:asciiTheme="majorHAnsi" w:eastAsia="MS Gothic" w:hAnsiTheme="majorHAnsi" w:cs="Times New Roman"/>
          <w:snapToGrid w:val="0"/>
        </w:rPr>
        <w:t>randomised</w:t>
      </w:r>
      <w:r w:rsidRPr="00EB3788">
        <w:rPr>
          <w:rFonts w:asciiTheme="majorHAnsi" w:eastAsia="MS Gothic" w:hAnsiTheme="majorHAnsi" w:cs="Times New Roman"/>
          <w:snapToGrid w:val="0"/>
        </w:rPr>
        <w:t>, active-controlled study to assess the efficacy and safety of</w:t>
      </w:r>
      <w:r w:rsidR="00614895" w:rsidRPr="00EB3788">
        <w:rPr>
          <w:rFonts w:asciiTheme="majorHAnsi" w:eastAsia="MS Gothic" w:hAnsiTheme="majorHAnsi" w:cs="Times New Roman"/>
          <w:snapToGrid w:val="0"/>
        </w:rPr>
        <w:t xml:space="preserve"> Fetroja</w:t>
      </w:r>
      <w:r w:rsidRPr="00EB3788">
        <w:rPr>
          <w:rFonts w:asciiTheme="majorHAnsi" w:eastAsia="MS Gothic" w:hAnsiTheme="majorHAnsi" w:cs="Times New Roman"/>
          <w:snapToGrid w:val="0"/>
        </w:rPr>
        <w:t xml:space="preserve"> </w:t>
      </w:r>
      <w:r w:rsidR="00614895" w:rsidRPr="00EB3788">
        <w:rPr>
          <w:rFonts w:asciiTheme="majorHAnsi" w:eastAsia="MS Gothic" w:hAnsiTheme="majorHAnsi" w:cs="Times New Roman"/>
          <w:snapToGrid w:val="0"/>
        </w:rPr>
        <w:t>(</w:t>
      </w:r>
      <w:r w:rsidRPr="00EB3788">
        <w:rPr>
          <w:rFonts w:asciiTheme="majorHAnsi" w:eastAsia="MS Gothic" w:hAnsiTheme="majorHAnsi" w:cs="Times New Roman"/>
          <w:snapToGrid w:val="0"/>
        </w:rPr>
        <w:t>intravenous cefiderocol</w:t>
      </w:r>
      <w:r w:rsidR="00614895" w:rsidRPr="00EB3788">
        <w:rPr>
          <w:rFonts w:asciiTheme="majorHAnsi" w:eastAsia="MS Gothic" w:hAnsiTheme="majorHAnsi" w:cs="Times New Roman"/>
          <w:snapToGrid w:val="0"/>
        </w:rPr>
        <w:t>)</w:t>
      </w:r>
      <w:r w:rsidRPr="00EB3788">
        <w:rPr>
          <w:rFonts w:asciiTheme="majorHAnsi" w:eastAsia="MS Gothic" w:hAnsiTheme="majorHAnsi" w:cs="Times New Roman"/>
          <w:snapToGrid w:val="0"/>
        </w:rPr>
        <w:t xml:space="preserve"> in adults with the following infections caused by a carbapenem-resistant Gram-negative pathogen: hospital-acquired pneumonia</w:t>
      </w:r>
      <w:r w:rsidR="00EB40A8" w:rsidRPr="00EB3788">
        <w:rPr>
          <w:rFonts w:asciiTheme="majorHAnsi" w:eastAsia="MS Gothic" w:hAnsiTheme="majorHAnsi" w:cs="Times New Roman"/>
          <w:snapToGrid w:val="0"/>
        </w:rPr>
        <w:t xml:space="preserve"> </w:t>
      </w:r>
      <w:r w:rsidRPr="00EB3788">
        <w:rPr>
          <w:rFonts w:asciiTheme="majorHAnsi" w:eastAsia="MS Gothic" w:hAnsiTheme="majorHAnsi" w:cs="Times New Roman"/>
          <w:snapToGrid w:val="0"/>
        </w:rPr>
        <w:t xml:space="preserve">(HAP)/ventilator-acquired pneumonia (VAP)/healthcare-associated pneumonia (HCAP) or </w:t>
      </w:r>
      <w:proofErr w:type="spellStart"/>
      <w:r w:rsidRPr="00EB3788">
        <w:rPr>
          <w:rFonts w:asciiTheme="majorHAnsi" w:eastAsia="MS Gothic" w:hAnsiTheme="majorHAnsi" w:cs="Times New Roman"/>
          <w:snapToGrid w:val="0"/>
        </w:rPr>
        <w:t>cUTI</w:t>
      </w:r>
      <w:proofErr w:type="spellEnd"/>
      <w:r w:rsidRPr="00EB3788">
        <w:rPr>
          <w:rFonts w:asciiTheme="majorHAnsi" w:eastAsia="MS Gothic" w:hAnsiTheme="majorHAnsi" w:cs="Times New Roman"/>
          <w:snapToGrid w:val="0"/>
        </w:rPr>
        <w:t xml:space="preserve"> or bloodstream infections (BSI)/sepsis. The subjects assessed by the investigator to require 7-14 days of intravenous treatment in hospital are </w:t>
      </w:r>
      <w:r w:rsidR="000B7FFA" w:rsidRPr="00EB3788">
        <w:rPr>
          <w:rFonts w:asciiTheme="majorHAnsi" w:eastAsia="MS Gothic" w:hAnsiTheme="majorHAnsi" w:cs="Times New Roman"/>
          <w:snapToGrid w:val="0"/>
        </w:rPr>
        <w:t>randomised</w:t>
      </w:r>
      <w:r w:rsidRPr="00EB3788">
        <w:rPr>
          <w:rFonts w:asciiTheme="majorHAnsi" w:eastAsia="MS Gothic" w:hAnsiTheme="majorHAnsi" w:cs="Times New Roman"/>
          <w:snapToGrid w:val="0"/>
        </w:rPr>
        <w:t xml:space="preserve"> (2:1) to either </w:t>
      </w:r>
      <w:r w:rsidR="00063F0E" w:rsidRPr="00EB3788">
        <w:rPr>
          <w:rFonts w:asciiTheme="majorHAnsi" w:eastAsia="MS Gothic" w:hAnsiTheme="majorHAnsi" w:cs="Times New Roman"/>
          <w:snapToGrid w:val="0"/>
        </w:rPr>
        <w:t>Fetroja</w:t>
      </w:r>
      <w:r w:rsidRPr="00EB3788">
        <w:rPr>
          <w:rFonts w:asciiTheme="majorHAnsi" w:eastAsia="MS Gothic" w:hAnsiTheme="majorHAnsi" w:cs="Times New Roman"/>
          <w:snapToGrid w:val="0"/>
        </w:rPr>
        <w:t xml:space="preserve"> (2 g) over 3 hours, every 8 hours or best available therapy (BAT) depending on the identified pathogen and the site of infection.</w:t>
      </w:r>
    </w:p>
    <w:p w14:paraId="2E80664C" w14:textId="3FE5B0A2" w:rsidR="00D00273" w:rsidRPr="00EB3788" w:rsidRDefault="00D00273" w:rsidP="00446C37">
      <w:pPr>
        <w:adjustRightInd w:val="0"/>
        <w:snapToGrid w:val="0"/>
        <w:spacing w:after="240"/>
        <w:rPr>
          <w:rFonts w:asciiTheme="majorHAnsi" w:eastAsia="MS Gothic" w:hAnsiTheme="majorHAnsi" w:cs="Times New Roman"/>
        </w:rPr>
      </w:pPr>
      <w:r w:rsidRPr="00EB3788">
        <w:rPr>
          <w:rFonts w:asciiTheme="majorHAnsi" w:eastAsia="MS Gothic" w:hAnsiTheme="majorHAnsi" w:cs="Times New Roman"/>
          <w:snapToGrid w:val="0"/>
        </w:rPr>
        <w:t xml:space="preserve">Of 150 treated subjects, 118 subjects met the definition of the Carbapenem-Resistant Microbiological Intent-to-treat (Micro-ITT) Population (80 in the </w:t>
      </w:r>
      <w:r w:rsidR="004945D6" w:rsidRPr="00EB3788">
        <w:rPr>
          <w:rFonts w:asciiTheme="majorHAnsi" w:eastAsia="MS Gothic" w:hAnsiTheme="majorHAnsi" w:cs="Times New Roman"/>
          <w:snapToGrid w:val="0"/>
        </w:rPr>
        <w:t>Fetroja</w:t>
      </w:r>
      <w:r w:rsidRPr="00EB3788">
        <w:rPr>
          <w:rFonts w:asciiTheme="majorHAnsi" w:eastAsia="MS Gothic" w:hAnsiTheme="majorHAnsi" w:cs="Times New Roman"/>
          <w:snapToGrid w:val="0"/>
        </w:rPr>
        <w:t xml:space="preserve"> </w:t>
      </w:r>
      <w:r w:rsidR="78ACE4E1" w:rsidRPr="00EB3788">
        <w:rPr>
          <w:rFonts w:ascii="Cambria" w:eastAsia="Cambria" w:hAnsi="Cambria" w:cs="Cambria"/>
        </w:rPr>
        <w:t>group</w:t>
      </w:r>
      <w:r w:rsidRPr="00EB3788">
        <w:rPr>
          <w:rFonts w:asciiTheme="majorHAnsi" w:eastAsia="MS Gothic" w:hAnsiTheme="majorHAnsi" w:cs="Times New Roman"/>
          <w:snapToGrid w:val="0"/>
        </w:rPr>
        <w:t xml:space="preserve"> and 38 in the BAT</w:t>
      </w:r>
      <w:r w:rsidR="78ACE4E1" w:rsidRPr="00EB3788">
        <w:rPr>
          <w:rFonts w:ascii="Cambria" w:eastAsia="Cambria" w:hAnsi="Cambria" w:cs="Cambria"/>
        </w:rPr>
        <w:t xml:space="preserve"> group</w:t>
      </w:r>
      <w:r w:rsidRPr="00EB3788">
        <w:rPr>
          <w:rFonts w:asciiTheme="majorHAnsi" w:eastAsia="MS Gothic" w:hAnsiTheme="majorHAnsi" w:cs="Times New Roman"/>
          <w:snapToGrid w:val="0"/>
        </w:rPr>
        <w:t>), defined as subjects having taken at least 1 dose of the study drug and with a carbapenem-resistant Gram-negative pathogen at baseline.</w:t>
      </w:r>
      <w:r w:rsidR="78ACE4E1" w:rsidRPr="00EB3788">
        <w:rPr>
          <w:rFonts w:asciiTheme="majorHAnsi" w:eastAsia="MS Gothic" w:hAnsiTheme="majorHAnsi" w:cs="Times New Roman"/>
        </w:rPr>
        <w:t xml:space="preserve"> </w:t>
      </w:r>
    </w:p>
    <w:p w14:paraId="3250386E" w14:textId="77777777" w:rsidR="00446C37" w:rsidRDefault="00446C37" w:rsidP="00446C37">
      <w:pPr>
        <w:adjustRightInd w:val="0"/>
        <w:snapToGrid w:val="0"/>
        <w:spacing w:after="240"/>
        <w:rPr>
          <w:rFonts w:asciiTheme="majorHAnsi" w:eastAsia="MS Gothic" w:hAnsiTheme="majorHAnsi" w:cs="Times New Roman"/>
        </w:rPr>
      </w:pPr>
    </w:p>
    <w:p w14:paraId="4FD6F963" w14:textId="77777777" w:rsidR="00446C37" w:rsidRDefault="445FAA11" w:rsidP="00446C37">
      <w:pPr>
        <w:adjustRightInd w:val="0"/>
        <w:snapToGrid w:val="0"/>
        <w:spacing w:after="240"/>
        <w:rPr>
          <w:rFonts w:asciiTheme="majorHAnsi" w:eastAsia="MS Gothic" w:hAnsiTheme="majorHAnsi" w:cs="Times New Roman"/>
          <w:snapToGrid w:val="0"/>
        </w:rPr>
      </w:pPr>
      <w:r w:rsidRPr="00EB3788">
        <w:rPr>
          <w:rFonts w:asciiTheme="majorHAnsi" w:eastAsia="MS Gothic" w:hAnsiTheme="majorHAnsi" w:cs="Times New Roman"/>
        </w:rPr>
        <w:lastRenderedPageBreak/>
        <w:t xml:space="preserve">In the CR Micro-ITT population, for all infection sites combined, the most frequently reported Gram-negative pathogens isolated at baseline for both groups were </w:t>
      </w:r>
      <w:r w:rsidRPr="00EB3788">
        <w:rPr>
          <w:rFonts w:asciiTheme="majorHAnsi" w:eastAsia="MS Gothic" w:hAnsiTheme="majorHAnsi" w:cs="Times New Roman"/>
          <w:i/>
          <w:iCs/>
        </w:rPr>
        <w:t xml:space="preserve">A. baumannii </w:t>
      </w:r>
      <w:r w:rsidRPr="00EB3788">
        <w:rPr>
          <w:rFonts w:asciiTheme="majorHAnsi" w:eastAsia="MS Gothic" w:hAnsiTheme="majorHAnsi" w:cs="Times New Roman"/>
        </w:rPr>
        <w:t>(46.3% [37/80] of subjects in the</w:t>
      </w:r>
      <w:r w:rsidRPr="00EB3788">
        <w:rPr>
          <w:rFonts w:asciiTheme="majorHAnsi" w:eastAsia="MS Gothic" w:hAnsiTheme="majorHAnsi" w:cs="Times New Roman"/>
          <w:lang w:eastAsia="ja-JP"/>
        </w:rPr>
        <w:t xml:space="preserve"> </w:t>
      </w:r>
      <w:r w:rsidRPr="00EB3788">
        <w:rPr>
          <w:rFonts w:asciiTheme="majorHAnsi" w:eastAsia="MS Gothic" w:hAnsiTheme="majorHAnsi" w:cs="Times New Roman"/>
        </w:rPr>
        <w:t xml:space="preserve">Fetroja group and 44.7% [17/38] of subjects in the BAT group), </w:t>
      </w:r>
      <w:r w:rsidRPr="00EB3788">
        <w:rPr>
          <w:rFonts w:asciiTheme="majorHAnsi" w:eastAsia="MS Gothic" w:hAnsiTheme="majorHAnsi" w:cs="Times New Roman"/>
          <w:i/>
          <w:iCs/>
        </w:rPr>
        <w:t>K. pneumoniae</w:t>
      </w:r>
      <w:r w:rsidRPr="00EB3788">
        <w:rPr>
          <w:rFonts w:asciiTheme="majorHAnsi" w:eastAsia="MS Gothic" w:hAnsiTheme="majorHAnsi" w:cs="Times New Roman"/>
        </w:rPr>
        <w:t xml:space="preserve"> (40.0% [32/80] and 31.6% [12/38]), and </w:t>
      </w:r>
      <w:r w:rsidRPr="00EB3788">
        <w:rPr>
          <w:rFonts w:asciiTheme="majorHAnsi" w:hAnsiTheme="majorHAnsi"/>
          <w:i/>
          <w:iCs/>
        </w:rPr>
        <w:t>P</w:t>
      </w:r>
      <w:r w:rsidR="00586DE3" w:rsidRPr="00EB3788">
        <w:rPr>
          <w:rFonts w:asciiTheme="majorHAnsi" w:hAnsiTheme="majorHAnsi" w:hint="eastAsia"/>
          <w:i/>
          <w:iCs/>
          <w:lang w:eastAsia="ja-JP"/>
        </w:rPr>
        <w:t>.</w:t>
      </w:r>
      <w:r w:rsidRPr="00EB3788">
        <w:rPr>
          <w:rFonts w:asciiTheme="majorHAnsi" w:hAnsiTheme="majorHAnsi"/>
          <w:i/>
          <w:iCs/>
        </w:rPr>
        <w:t xml:space="preserve"> aeruginosa </w:t>
      </w:r>
      <w:r w:rsidRPr="00EB3788">
        <w:rPr>
          <w:rFonts w:asciiTheme="majorHAnsi" w:hAnsiTheme="majorHAnsi"/>
        </w:rPr>
        <w:t>(</w:t>
      </w:r>
      <w:r w:rsidRPr="00EB3788">
        <w:rPr>
          <w:rFonts w:asciiTheme="majorHAnsi" w:eastAsia="MS Gothic" w:hAnsiTheme="majorHAnsi" w:cs="Times New Roman"/>
        </w:rPr>
        <w:t>21.3% [17/80] and 28.9% [11/38]</w:t>
      </w:r>
      <w:r w:rsidRPr="00EB3788">
        <w:rPr>
          <w:rFonts w:asciiTheme="majorHAnsi" w:hAnsiTheme="majorHAnsi"/>
        </w:rPr>
        <w:t>)</w:t>
      </w:r>
      <w:r w:rsidRPr="00EB3788">
        <w:rPr>
          <w:rFonts w:asciiTheme="majorHAnsi" w:eastAsia="MS Gothic" w:hAnsiTheme="majorHAnsi" w:cs="Times New Roman"/>
        </w:rPr>
        <w:t>.</w:t>
      </w:r>
      <w:r w:rsidR="00194ECA" w:rsidRPr="00EB3788">
        <w:rPr>
          <w:rFonts w:asciiTheme="majorHAnsi" w:eastAsia="MS Gothic" w:hAnsiTheme="majorHAnsi" w:cs="Times New Roman" w:hint="eastAsia"/>
          <w:lang w:eastAsia="ja-JP"/>
        </w:rPr>
        <w:t xml:space="preserve"> </w:t>
      </w:r>
      <w:r w:rsidR="00D00273" w:rsidRPr="00EB3788">
        <w:rPr>
          <w:rFonts w:asciiTheme="majorHAnsi" w:eastAsia="MS Gothic" w:hAnsiTheme="majorHAnsi" w:cs="Times New Roman"/>
          <w:snapToGrid w:val="0"/>
        </w:rPr>
        <w:t>The</w:t>
      </w:r>
      <w:r w:rsidR="45CA7CD0" w:rsidRPr="00EB3788">
        <w:rPr>
          <w:rFonts w:asciiTheme="majorHAnsi" w:eastAsia="MS Gothic" w:hAnsiTheme="majorHAnsi" w:cs="Times New Roman"/>
        </w:rPr>
        <w:t xml:space="preserve"> primary efficacy</w:t>
      </w:r>
      <w:r w:rsidR="00D00273" w:rsidRPr="00EB3788">
        <w:rPr>
          <w:rFonts w:asciiTheme="majorHAnsi" w:eastAsia="MS Gothic" w:hAnsiTheme="majorHAnsi" w:cs="Times New Roman"/>
          <w:snapToGrid w:val="0"/>
        </w:rPr>
        <w:t xml:space="preserve"> outcomes at TOC for Carbapenem-Resistant Micro-ITT Population </w:t>
      </w:r>
      <w:proofErr w:type="gramStart"/>
      <w:r w:rsidR="00D00273" w:rsidRPr="00EB3788">
        <w:rPr>
          <w:rFonts w:asciiTheme="majorHAnsi" w:eastAsia="MS Gothic" w:hAnsiTheme="majorHAnsi" w:cs="Times New Roman"/>
          <w:snapToGrid w:val="0"/>
        </w:rPr>
        <w:t>is</w:t>
      </w:r>
      <w:proofErr w:type="gramEnd"/>
      <w:r w:rsidR="00D00273" w:rsidRPr="00EB3788">
        <w:rPr>
          <w:rFonts w:asciiTheme="majorHAnsi" w:eastAsia="MS Gothic" w:hAnsiTheme="majorHAnsi" w:cs="Times New Roman"/>
          <w:snapToGrid w:val="0"/>
        </w:rPr>
        <w:t xml:space="preserve"> summari</w:t>
      </w:r>
      <w:r w:rsidR="001D157B">
        <w:rPr>
          <w:rFonts w:asciiTheme="majorHAnsi" w:eastAsia="MS Gothic" w:hAnsiTheme="majorHAnsi" w:cs="Times New Roman"/>
          <w:snapToGrid w:val="0"/>
        </w:rPr>
        <w:t>s</w:t>
      </w:r>
      <w:r w:rsidR="00D00273" w:rsidRPr="00EB3788">
        <w:rPr>
          <w:rFonts w:asciiTheme="majorHAnsi" w:eastAsia="MS Gothic" w:hAnsiTheme="majorHAnsi" w:cs="Times New Roman"/>
          <w:snapToGrid w:val="0"/>
        </w:rPr>
        <w:t xml:space="preserve">ed in </w:t>
      </w:r>
      <w:r w:rsidR="007C482D" w:rsidRPr="00EB3788">
        <w:rPr>
          <w:rFonts w:asciiTheme="majorHAnsi" w:eastAsia="MS Gothic" w:hAnsiTheme="majorHAnsi" w:cs="Times New Roman"/>
          <w:snapToGrid w:val="0"/>
          <w:color w:val="0000EE"/>
        </w:rPr>
        <w:fldChar w:fldCharType="begin" w:fldLock="1"/>
      </w:r>
      <w:r w:rsidR="007C482D" w:rsidRPr="00EB3788">
        <w:rPr>
          <w:rFonts w:asciiTheme="majorHAnsi" w:eastAsia="MS Gothic" w:hAnsiTheme="majorHAnsi" w:cs="Times New Roman"/>
          <w:snapToGrid w:val="0"/>
          <w:color w:val="0000EE"/>
        </w:rPr>
        <w:instrText xml:space="preserve"> REF _Ref172730182 \h  \* MERGEFORMAT </w:instrText>
      </w:r>
      <w:r w:rsidR="007C482D" w:rsidRPr="00EB3788">
        <w:rPr>
          <w:rFonts w:asciiTheme="majorHAnsi" w:eastAsia="MS Gothic" w:hAnsiTheme="majorHAnsi" w:cs="Times New Roman"/>
          <w:snapToGrid w:val="0"/>
          <w:color w:val="0000EE"/>
        </w:rPr>
      </w:r>
      <w:r w:rsidR="007C482D" w:rsidRPr="00EB3788">
        <w:rPr>
          <w:rFonts w:asciiTheme="majorHAnsi" w:eastAsia="MS Gothic" w:hAnsiTheme="majorHAnsi" w:cs="Times New Roman"/>
          <w:snapToGrid w:val="0"/>
          <w:color w:val="0000EE"/>
        </w:rPr>
        <w:fldChar w:fldCharType="separate"/>
      </w:r>
      <w:r w:rsidR="00425866" w:rsidRPr="00EB3788">
        <w:rPr>
          <w:rFonts w:asciiTheme="majorHAnsi" w:hAnsiTheme="majorHAnsi"/>
          <w:color w:val="0000EE"/>
        </w:rPr>
        <w:t>Table 11</w:t>
      </w:r>
      <w:r w:rsidR="007C482D" w:rsidRPr="00EB3788">
        <w:rPr>
          <w:rFonts w:asciiTheme="majorHAnsi" w:eastAsia="MS Gothic" w:hAnsiTheme="majorHAnsi" w:cs="Times New Roman"/>
          <w:snapToGrid w:val="0"/>
          <w:color w:val="0000EE"/>
        </w:rPr>
        <w:fldChar w:fldCharType="end"/>
      </w:r>
      <w:r w:rsidR="00D00273" w:rsidRPr="00EB3788">
        <w:rPr>
          <w:rFonts w:asciiTheme="majorHAnsi" w:eastAsia="MS Gothic" w:hAnsiTheme="majorHAnsi" w:cs="Times New Roman"/>
          <w:snapToGrid w:val="0"/>
        </w:rPr>
        <w:t xml:space="preserve">. </w:t>
      </w:r>
    </w:p>
    <w:p w14:paraId="5A1CC544" w14:textId="4A91A0E9" w:rsidR="00D00273" w:rsidRPr="00EB3788" w:rsidRDefault="45CA7CD0" w:rsidP="00446C37">
      <w:pPr>
        <w:adjustRightInd w:val="0"/>
        <w:snapToGrid w:val="0"/>
        <w:spacing w:after="240"/>
        <w:rPr>
          <w:rFonts w:asciiTheme="majorHAnsi" w:eastAsia="MS Gothic" w:hAnsiTheme="majorHAnsi" w:cs="Times New Roman"/>
          <w:snapToGrid w:val="0"/>
        </w:rPr>
      </w:pPr>
      <w:r w:rsidRPr="00EB3788">
        <w:rPr>
          <w:rFonts w:asciiTheme="majorHAnsi" w:eastAsia="MS Gothic" w:hAnsiTheme="majorHAnsi" w:cs="Times New Roman"/>
        </w:rPr>
        <w:t xml:space="preserve">For all infection sites combined, </w:t>
      </w:r>
      <w:r w:rsidR="00D00273" w:rsidRPr="00EB3788">
        <w:rPr>
          <w:rFonts w:asciiTheme="majorHAnsi" w:eastAsia="MS Gothic" w:hAnsiTheme="majorHAnsi" w:cs="Times New Roman"/>
          <w:snapToGrid w:val="0"/>
        </w:rPr>
        <w:t xml:space="preserve">the clinical cure rate was 52.5% (42/80 subjects) for </w:t>
      </w:r>
      <w:r w:rsidR="004945D6" w:rsidRPr="00EB3788">
        <w:rPr>
          <w:rFonts w:asciiTheme="majorHAnsi" w:eastAsia="MS Gothic" w:hAnsiTheme="majorHAnsi" w:cs="Times New Roman"/>
          <w:snapToGrid w:val="0"/>
        </w:rPr>
        <w:t>Fetroja</w:t>
      </w:r>
      <w:r w:rsidR="00D00273" w:rsidRPr="00EB3788">
        <w:rPr>
          <w:rFonts w:asciiTheme="majorHAnsi" w:eastAsia="MS Gothic" w:hAnsiTheme="majorHAnsi" w:cs="Times New Roman"/>
          <w:snapToGrid w:val="0"/>
        </w:rPr>
        <w:t xml:space="preserve"> and 50.0% (19/38 subjects) for BAT. The microbiological eradication rate was 31.3% (25/80 subjects) for </w:t>
      </w:r>
      <w:r w:rsidR="004945D6" w:rsidRPr="00EB3788">
        <w:rPr>
          <w:rFonts w:asciiTheme="majorHAnsi" w:eastAsia="MS Gothic" w:hAnsiTheme="majorHAnsi" w:cs="Times New Roman"/>
          <w:snapToGrid w:val="0"/>
        </w:rPr>
        <w:t>Fetroja</w:t>
      </w:r>
      <w:r w:rsidR="00D00273" w:rsidRPr="00EB3788">
        <w:rPr>
          <w:rFonts w:asciiTheme="majorHAnsi" w:eastAsia="MS Gothic" w:hAnsiTheme="majorHAnsi" w:cs="Times New Roman"/>
          <w:snapToGrid w:val="0"/>
        </w:rPr>
        <w:t xml:space="preserve"> and 23.7% (9/38 subjects) for BAT. </w:t>
      </w:r>
    </w:p>
    <w:p w14:paraId="3448E71F" w14:textId="686E3822" w:rsidR="00132C8C" w:rsidRPr="00EB3788" w:rsidRDefault="00D00273" w:rsidP="00446C37">
      <w:pPr>
        <w:adjustRightInd w:val="0"/>
        <w:snapToGrid w:val="0"/>
        <w:spacing w:after="240"/>
        <w:rPr>
          <w:rFonts w:asciiTheme="majorHAnsi" w:eastAsia="MS Gothic" w:hAnsiTheme="majorHAnsi" w:cs="Times New Roman"/>
          <w:snapToGrid w:val="0"/>
        </w:rPr>
      </w:pPr>
      <w:r w:rsidRPr="00EB3788">
        <w:rPr>
          <w:rFonts w:asciiTheme="majorHAnsi" w:eastAsia="MS Gothic" w:hAnsiTheme="majorHAnsi" w:cs="Times New Roman"/>
          <w:snapToGrid w:val="0"/>
        </w:rPr>
        <w:t xml:space="preserve">For all infection sites combined, all-cause mortality was 24.8% (25/101 subjects) and 18.4% (9/49 subjects) </w:t>
      </w:r>
      <w:r w:rsidR="32D0248A" w:rsidRPr="004664E6">
        <w:rPr>
          <w:rFonts w:ascii="Times New Roman" w:eastAsia="Times New Roman" w:hAnsi="Times New Roman" w:cs="Times New Roman"/>
        </w:rPr>
        <w:t>[treatment difference 6.4%, 95% CI (-8.6, 19.2)]</w:t>
      </w:r>
      <w:r w:rsidR="32D0248A" w:rsidRPr="00EB3788">
        <w:rPr>
          <w:rFonts w:ascii="Cambria" w:eastAsia="Cambria" w:hAnsi="Cambria" w:cs="Cambria"/>
        </w:rPr>
        <w:t xml:space="preserve"> </w:t>
      </w:r>
      <w:r w:rsidRPr="00EB3788">
        <w:rPr>
          <w:rFonts w:asciiTheme="majorHAnsi" w:eastAsia="MS Gothic" w:hAnsiTheme="majorHAnsi" w:cs="Times New Roman"/>
          <w:snapToGrid w:val="0"/>
        </w:rPr>
        <w:t xml:space="preserve">at Day 28, and 33.7% (34/101 subjects) and </w:t>
      </w:r>
      <w:r w:rsidR="32D0248A" w:rsidRPr="00EB3788">
        <w:rPr>
          <w:rFonts w:asciiTheme="majorHAnsi" w:eastAsia="MS Gothic" w:hAnsiTheme="majorHAnsi" w:cs="Times New Roman"/>
        </w:rPr>
        <w:t>18</w:t>
      </w:r>
      <w:r w:rsidRPr="00EB3788">
        <w:rPr>
          <w:rFonts w:asciiTheme="majorHAnsi" w:eastAsia="MS Gothic" w:hAnsiTheme="majorHAnsi" w:cs="Times New Roman"/>
          <w:snapToGrid w:val="0"/>
        </w:rPr>
        <w:t>.4% (</w:t>
      </w:r>
      <w:r w:rsidR="32D0248A" w:rsidRPr="00EB3788">
        <w:rPr>
          <w:rFonts w:asciiTheme="majorHAnsi" w:eastAsia="MS Gothic" w:hAnsiTheme="majorHAnsi" w:cs="Times New Roman"/>
        </w:rPr>
        <w:t>9</w:t>
      </w:r>
      <w:r w:rsidRPr="00EB3788">
        <w:rPr>
          <w:rFonts w:asciiTheme="majorHAnsi" w:eastAsia="MS Gothic" w:hAnsiTheme="majorHAnsi" w:cs="Times New Roman"/>
          <w:snapToGrid w:val="0"/>
        </w:rPr>
        <w:t xml:space="preserve">/49 subjects) </w:t>
      </w:r>
      <w:r w:rsidR="32D0248A" w:rsidRPr="004664E6">
        <w:rPr>
          <w:rFonts w:ascii="Times New Roman" w:eastAsia="Times New Roman" w:hAnsi="Times New Roman" w:cs="Times New Roman"/>
        </w:rPr>
        <w:t>[treatment difference 15.3%, 95% CI (-0.2, 28.6)]</w:t>
      </w:r>
      <w:r w:rsidR="32D0248A" w:rsidRPr="00EB3788">
        <w:rPr>
          <w:rFonts w:ascii="Cambria" w:eastAsia="Cambria" w:hAnsi="Cambria" w:cs="Cambria"/>
        </w:rPr>
        <w:t xml:space="preserve"> </w:t>
      </w:r>
      <w:r w:rsidRPr="00EB3788">
        <w:rPr>
          <w:rFonts w:asciiTheme="majorHAnsi" w:eastAsia="MS Gothic" w:hAnsiTheme="majorHAnsi" w:cs="Times New Roman"/>
          <w:snapToGrid w:val="0"/>
        </w:rPr>
        <w:t xml:space="preserve">at </w:t>
      </w:r>
      <w:r w:rsidR="32D0248A" w:rsidRPr="00EB3788">
        <w:rPr>
          <w:rFonts w:asciiTheme="majorHAnsi" w:eastAsia="MS Gothic" w:hAnsiTheme="majorHAnsi" w:cs="Times New Roman"/>
        </w:rPr>
        <w:t>end-of-study (EOS)</w:t>
      </w:r>
      <w:r w:rsidRPr="00EB3788">
        <w:rPr>
          <w:rFonts w:asciiTheme="majorHAnsi" w:eastAsia="MS Gothic" w:hAnsiTheme="majorHAnsi" w:cs="Times New Roman"/>
          <w:snapToGrid w:val="0"/>
        </w:rPr>
        <w:t xml:space="preserve"> in the </w:t>
      </w:r>
      <w:r w:rsidR="00736E68" w:rsidRPr="00EB3788">
        <w:rPr>
          <w:rFonts w:asciiTheme="majorHAnsi" w:eastAsia="MS Gothic" w:hAnsiTheme="majorHAnsi" w:cs="Times New Roman"/>
          <w:snapToGrid w:val="0"/>
        </w:rPr>
        <w:t>Fetroja</w:t>
      </w:r>
      <w:r w:rsidRPr="00EB3788">
        <w:rPr>
          <w:rFonts w:asciiTheme="majorHAnsi" w:eastAsia="MS Gothic" w:hAnsiTheme="majorHAnsi" w:cs="Times New Roman"/>
          <w:snapToGrid w:val="0"/>
        </w:rPr>
        <w:t xml:space="preserve"> and BAT groups, respectively.</w:t>
      </w:r>
    </w:p>
    <w:p w14:paraId="3DA669C8" w14:textId="0AA03696" w:rsidR="008A5881" w:rsidRPr="00EB3788" w:rsidRDefault="596164AD" w:rsidP="00446C37">
      <w:pPr>
        <w:pStyle w:val="Caption"/>
        <w:keepNext/>
      </w:pPr>
      <w:bookmarkStart w:id="34" w:name="_Ref172730182"/>
      <w:r w:rsidRPr="00EB3788">
        <w:t xml:space="preserve">Table </w:t>
      </w:r>
      <w:r w:rsidRPr="00EB3788">
        <w:fldChar w:fldCharType="begin"/>
      </w:r>
      <w:r w:rsidRPr="00EB3788">
        <w:instrText>SEQ Table \* ARABIC</w:instrText>
      </w:r>
      <w:r w:rsidRPr="00EB3788">
        <w:fldChar w:fldCharType="separate"/>
      </w:r>
      <w:r w:rsidR="001E66F2" w:rsidRPr="004664E6">
        <w:t>11</w:t>
      </w:r>
      <w:r w:rsidRPr="00EB3788">
        <w:fldChar w:fldCharType="end"/>
      </w:r>
      <w:bookmarkEnd w:id="34"/>
      <w:r w:rsidRPr="00EB3788">
        <w:t xml:space="preserve"> Primary efficacy outcome at TOC (carbapenem-resistant microbiological intent-to-treat population)</w:t>
      </w:r>
    </w:p>
    <w:tbl>
      <w:tblPr>
        <w:tblStyle w:val="3"/>
        <w:tblW w:w="90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3132"/>
        <w:gridCol w:w="1582"/>
        <w:gridCol w:w="1523"/>
        <w:gridCol w:w="1412"/>
        <w:gridCol w:w="1371"/>
      </w:tblGrid>
      <w:tr w:rsidR="00D00273" w:rsidRPr="00EB3788" w14:paraId="33C1D527" w14:textId="77777777" w:rsidTr="00AB0456">
        <w:trPr>
          <w:trHeight w:val="300"/>
        </w:trPr>
        <w:tc>
          <w:tcPr>
            <w:tcW w:w="3132" w:type="dxa"/>
            <w:hideMark/>
          </w:tcPr>
          <w:p w14:paraId="1EA77017" w14:textId="77777777" w:rsidR="00D00273" w:rsidRPr="00EB3788" w:rsidRDefault="00D00273" w:rsidP="00446C37">
            <w:pPr>
              <w:adjustRightInd w:val="0"/>
              <w:snapToGrid w:val="0"/>
              <w:spacing w:line="240" w:lineRule="atLeast"/>
              <w:rPr>
                <w:rFonts w:asciiTheme="majorHAnsi" w:eastAsia="MS Gothic" w:hAnsiTheme="majorHAnsi"/>
                <w:b/>
                <w:snapToGrid w:val="0"/>
                <w:sz w:val="22"/>
                <w:szCs w:val="22"/>
                <w:shd w:val="clear" w:color="auto" w:fill="FFFFCC"/>
                <w:lang w:val="en-AU"/>
              </w:rPr>
            </w:pPr>
            <w:r w:rsidRPr="00EB3788">
              <w:rPr>
                <w:rFonts w:asciiTheme="majorHAnsi" w:eastAsia="MS Gothic" w:hAnsiTheme="majorHAnsi"/>
                <w:b/>
                <w:snapToGrid w:val="0"/>
              </w:rPr>
              <w:t>Study Endpoint</w:t>
            </w:r>
          </w:p>
        </w:tc>
        <w:tc>
          <w:tcPr>
            <w:tcW w:w="1582" w:type="dxa"/>
            <w:hideMark/>
          </w:tcPr>
          <w:p w14:paraId="1883E977" w14:textId="6D0DBB26" w:rsidR="00D00273" w:rsidRPr="00EB3788" w:rsidRDefault="00736E68"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Fetroja (c</w:t>
            </w:r>
            <w:r w:rsidR="00D00273" w:rsidRPr="00EB3788">
              <w:rPr>
                <w:rFonts w:asciiTheme="majorHAnsi" w:eastAsia="MS Gothic" w:hAnsiTheme="majorHAnsi"/>
                <w:b/>
                <w:snapToGrid w:val="0"/>
              </w:rPr>
              <w:t>efiderocol</w:t>
            </w:r>
            <w:r w:rsidRPr="00EB3788">
              <w:rPr>
                <w:rFonts w:asciiTheme="majorHAnsi" w:eastAsia="MS Gothic" w:hAnsiTheme="majorHAnsi"/>
                <w:b/>
                <w:snapToGrid w:val="0"/>
              </w:rPr>
              <w:t>)</w:t>
            </w:r>
          </w:p>
          <w:p w14:paraId="17A03C2C" w14:textId="77777777" w:rsidR="00D00273" w:rsidRPr="00EB3788" w:rsidRDefault="00D00273"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n/N (%)</w:t>
            </w:r>
          </w:p>
          <w:p w14:paraId="79311176" w14:textId="77777777" w:rsidR="00D00273" w:rsidRPr="00EB3788" w:rsidRDefault="00D00273"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(N=80)</w:t>
            </w:r>
          </w:p>
        </w:tc>
        <w:tc>
          <w:tcPr>
            <w:tcW w:w="1523" w:type="dxa"/>
            <w:hideMark/>
          </w:tcPr>
          <w:p w14:paraId="6A77E5E2" w14:textId="326D5D9B" w:rsidR="00D00273" w:rsidRPr="00EB3788" w:rsidRDefault="728F921B" w:rsidP="00446C37">
            <w:pPr>
              <w:adjustRightInd w:val="0"/>
              <w:snapToGrid w:val="0"/>
              <w:spacing w:line="240" w:lineRule="atLeast"/>
              <w:rPr>
                <w:rFonts w:ascii="Cambria" w:eastAsia="Cambria" w:hAnsi="Cambria" w:cs="Cambria"/>
                <w:snapToGrid w:val="0"/>
                <w:color w:val="000000" w:themeColor="text1"/>
                <w:sz w:val="16"/>
                <w:szCs w:val="16"/>
                <w:lang w:val="en-AU"/>
              </w:rPr>
            </w:pPr>
            <w:r w:rsidRPr="00EB3788">
              <w:rPr>
                <w:rFonts w:ascii="Cambria" w:eastAsia="Cambria" w:hAnsi="Cambria" w:cs="Cambria"/>
                <w:b/>
                <w:bCs/>
                <w:color w:val="000000" w:themeColor="text1"/>
                <w:lang w:val="en-AU"/>
              </w:rPr>
              <w:t xml:space="preserve">(95% </w:t>
            </w:r>
            <w:proofErr w:type="gramStart"/>
            <w:r w:rsidRPr="00EB3788">
              <w:rPr>
                <w:rFonts w:ascii="Cambria" w:eastAsia="Cambria" w:hAnsi="Cambria" w:cs="Cambria"/>
                <w:b/>
                <w:bCs/>
                <w:color w:val="000000" w:themeColor="text1"/>
                <w:lang w:val="en-AU"/>
              </w:rPr>
              <w:t>CI)</w:t>
            </w:r>
            <w:r w:rsidRPr="00EB3788">
              <w:rPr>
                <w:rFonts w:ascii="Cambria" w:eastAsia="Cambria" w:hAnsi="Cambria" w:cs="Cambria"/>
                <w:b/>
                <w:bCs/>
                <w:color w:val="000000" w:themeColor="text1"/>
                <w:vertAlign w:val="superscript"/>
                <w:lang w:val="en-AU"/>
              </w:rPr>
              <w:t>a</w:t>
            </w:r>
            <w:proofErr w:type="gramEnd"/>
          </w:p>
        </w:tc>
        <w:tc>
          <w:tcPr>
            <w:tcW w:w="1412" w:type="dxa"/>
            <w:hideMark/>
          </w:tcPr>
          <w:p w14:paraId="14BAFF6C" w14:textId="77777777" w:rsidR="00D00273" w:rsidRPr="00EB3788" w:rsidRDefault="00D00273"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BAT</w:t>
            </w:r>
          </w:p>
          <w:p w14:paraId="64E5906C" w14:textId="77777777" w:rsidR="00D00273" w:rsidRPr="00EB3788" w:rsidRDefault="00D00273"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n/N (%)</w:t>
            </w:r>
          </w:p>
          <w:p w14:paraId="55E2764B" w14:textId="77777777" w:rsidR="00D00273" w:rsidRPr="00EB3788" w:rsidRDefault="00D00273" w:rsidP="00446C37">
            <w:pPr>
              <w:adjustRightInd w:val="0"/>
              <w:snapToGrid w:val="0"/>
              <w:spacing w:line="240" w:lineRule="atLeast"/>
              <w:rPr>
                <w:rFonts w:asciiTheme="majorHAnsi" w:eastAsia="MS Gothic" w:hAnsiTheme="majorHAnsi"/>
                <w:b/>
                <w:snapToGrid w:val="0"/>
                <w:sz w:val="22"/>
                <w:szCs w:val="22"/>
                <w:lang w:val="en-AU"/>
              </w:rPr>
            </w:pPr>
            <w:r w:rsidRPr="00EB3788">
              <w:rPr>
                <w:rFonts w:asciiTheme="majorHAnsi" w:eastAsia="MS Gothic" w:hAnsiTheme="majorHAnsi"/>
                <w:b/>
                <w:snapToGrid w:val="0"/>
              </w:rPr>
              <w:t>(N=38)</w:t>
            </w:r>
          </w:p>
        </w:tc>
        <w:tc>
          <w:tcPr>
            <w:tcW w:w="1371" w:type="dxa"/>
            <w:hideMark/>
          </w:tcPr>
          <w:p w14:paraId="6BE10D22" w14:textId="6366B0E8" w:rsidR="00D00273" w:rsidRPr="00EB3788" w:rsidRDefault="728F921B" w:rsidP="00446C37">
            <w:pPr>
              <w:adjustRightInd w:val="0"/>
              <w:snapToGrid w:val="0"/>
              <w:spacing w:line="240" w:lineRule="atLeast"/>
              <w:rPr>
                <w:rFonts w:ascii="Cambria" w:eastAsia="Cambria" w:hAnsi="Cambria" w:cs="Cambria"/>
                <w:snapToGrid w:val="0"/>
                <w:color w:val="000000" w:themeColor="text1"/>
                <w:sz w:val="16"/>
                <w:szCs w:val="16"/>
                <w:lang w:val="en-AU"/>
              </w:rPr>
            </w:pPr>
            <w:r w:rsidRPr="00EB3788">
              <w:rPr>
                <w:rFonts w:ascii="Cambria" w:eastAsia="Cambria" w:hAnsi="Cambria" w:cs="Cambria"/>
                <w:b/>
                <w:bCs/>
                <w:color w:val="000000" w:themeColor="text1"/>
                <w:lang w:val="en-AU"/>
              </w:rPr>
              <w:t xml:space="preserve">(95% </w:t>
            </w:r>
            <w:proofErr w:type="gramStart"/>
            <w:r w:rsidRPr="00EB3788">
              <w:rPr>
                <w:rFonts w:ascii="Cambria" w:eastAsia="Cambria" w:hAnsi="Cambria" w:cs="Cambria"/>
                <w:b/>
                <w:bCs/>
                <w:color w:val="000000" w:themeColor="text1"/>
                <w:lang w:val="en-AU"/>
              </w:rPr>
              <w:t>CI)</w:t>
            </w:r>
            <w:r w:rsidRPr="00EB3788">
              <w:rPr>
                <w:rFonts w:ascii="Cambria" w:eastAsia="Cambria" w:hAnsi="Cambria" w:cs="Cambria"/>
                <w:b/>
                <w:bCs/>
                <w:color w:val="000000" w:themeColor="text1"/>
                <w:vertAlign w:val="superscript"/>
                <w:lang w:val="en-AU"/>
              </w:rPr>
              <w:t>a</w:t>
            </w:r>
            <w:proofErr w:type="gramEnd"/>
          </w:p>
        </w:tc>
      </w:tr>
      <w:tr w:rsidR="009A3BF1" w:rsidRPr="00EB3788" w14:paraId="1E56164A" w14:textId="77777777" w:rsidTr="009A3BF1">
        <w:trPr>
          <w:trHeight w:val="300"/>
        </w:trPr>
        <w:tc>
          <w:tcPr>
            <w:tcW w:w="9020" w:type="dxa"/>
            <w:gridSpan w:val="5"/>
          </w:tcPr>
          <w:p w14:paraId="5C6B6031" w14:textId="77777777" w:rsidR="009A3BF1" w:rsidRPr="004664E6" w:rsidDel="00202A88" w:rsidRDefault="009A3BF1" w:rsidP="00446C37">
            <w:pPr>
              <w:adjustRightInd w:val="0"/>
              <w:snapToGrid w:val="0"/>
              <w:spacing w:line="240" w:lineRule="atLeast"/>
              <w:rPr>
                <w:rFonts w:ascii="Cambria" w:eastAsia="Cambria" w:hAnsi="Cambria" w:cs="Cambria"/>
                <w:b/>
                <w:bCs/>
                <w:color w:val="000000" w:themeColor="text1"/>
                <w:lang w:val="en-AU"/>
              </w:rPr>
            </w:pPr>
            <w:r w:rsidRPr="00EB3788">
              <w:rPr>
                <w:rFonts w:asciiTheme="majorHAnsi" w:eastAsia="MS Gothic" w:hAnsiTheme="majorHAnsi"/>
                <w:b/>
                <w:bCs/>
              </w:rPr>
              <w:t>HAP/VAP/HCAP</w:t>
            </w:r>
          </w:p>
        </w:tc>
      </w:tr>
      <w:tr w:rsidR="00D86A00" w:rsidRPr="00EB3788" w14:paraId="1E679436" w14:textId="77777777" w:rsidTr="009A3BF1">
        <w:trPr>
          <w:trHeight w:val="300"/>
        </w:trPr>
        <w:tc>
          <w:tcPr>
            <w:tcW w:w="3132" w:type="dxa"/>
          </w:tcPr>
          <w:p w14:paraId="67A1CA3B" w14:textId="77777777" w:rsidR="009A3BF1" w:rsidRPr="00EB3788" w:rsidRDefault="009A3BF1" w:rsidP="00446C37">
            <w:pPr>
              <w:widowControl w:val="0"/>
              <w:rPr>
                <w:rFonts w:asciiTheme="majorHAnsi" w:hAnsiTheme="majorHAnsi"/>
                <w:sz w:val="22"/>
                <w:szCs w:val="22"/>
                <w:lang w:val="en-AU"/>
              </w:rPr>
            </w:pPr>
            <w:r w:rsidRPr="00EB3788">
              <w:rPr>
                <w:rFonts w:asciiTheme="majorHAnsi" w:hAnsiTheme="majorHAnsi"/>
              </w:rPr>
              <w:t xml:space="preserve"> Clinical Cure at TOC</w:t>
            </w:r>
          </w:p>
        </w:tc>
        <w:tc>
          <w:tcPr>
            <w:tcW w:w="1582" w:type="dxa"/>
          </w:tcPr>
          <w:p w14:paraId="44D81FDC" w14:textId="77777777" w:rsidR="009A3BF1" w:rsidRPr="004664E6" w:rsidRDefault="009A3BF1" w:rsidP="00446C37">
            <w:pPr>
              <w:adjustRightInd w:val="0"/>
              <w:snapToGrid w:val="0"/>
              <w:spacing w:line="240" w:lineRule="atLeast"/>
              <w:rPr>
                <w:rFonts w:asciiTheme="majorHAnsi" w:eastAsia="MS Gothic" w:hAnsiTheme="majorHAnsi"/>
                <w:b/>
                <w:snapToGrid w:val="0"/>
                <w:lang w:val="en-AU"/>
              </w:rPr>
            </w:pPr>
            <w:r w:rsidRPr="00EB3788">
              <w:rPr>
                <w:rFonts w:asciiTheme="majorHAnsi" w:eastAsia="MS Gothic" w:hAnsiTheme="majorHAnsi"/>
              </w:rPr>
              <w:t xml:space="preserve">20/40 (50.0) </w:t>
            </w:r>
          </w:p>
        </w:tc>
        <w:tc>
          <w:tcPr>
            <w:tcW w:w="1523" w:type="dxa"/>
          </w:tcPr>
          <w:p w14:paraId="324B2060" w14:textId="77777777" w:rsidR="009A3BF1" w:rsidRPr="004664E6" w:rsidDel="00202A88" w:rsidRDefault="009A3BF1" w:rsidP="00446C37">
            <w:pPr>
              <w:adjustRightInd w:val="0"/>
              <w:snapToGrid w:val="0"/>
              <w:spacing w:line="240" w:lineRule="atLeast"/>
              <w:rPr>
                <w:rFonts w:ascii="Cambria" w:eastAsia="Cambria" w:hAnsi="Cambria" w:cs="Cambria"/>
                <w:b/>
                <w:bCs/>
                <w:color w:val="000000" w:themeColor="text1"/>
                <w:lang w:val="en-AU"/>
              </w:rPr>
            </w:pPr>
            <w:r w:rsidRPr="00EB3788">
              <w:rPr>
                <w:rFonts w:asciiTheme="majorHAnsi" w:eastAsia="MS Gothic" w:hAnsiTheme="majorHAnsi"/>
              </w:rPr>
              <w:t xml:space="preserve">(33.8, 66.2) </w:t>
            </w:r>
          </w:p>
        </w:tc>
        <w:tc>
          <w:tcPr>
            <w:tcW w:w="1412" w:type="dxa"/>
          </w:tcPr>
          <w:p w14:paraId="0725DA78" w14:textId="77777777" w:rsidR="009A3BF1" w:rsidRPr="004664E6" w:rsidRDefault="009A3BF1" w:rsidP="00446C37">
            <w:pPr>
              <w:adjustRightInd w:val="0"/>
              <w:snapToGrid w:val="0"/>
              <w:spacing w:line="240" w:lineRule="atLeast"/>
              <w:rPr>
                <w:rFonts w:asciiTheme="majorHAnsi" w:eastAsia="MS Gothic" w:hAnsiTheme="majorHAnsi"/>
                <w:b/>
                <w:snapToGrid w:val="0"/>
                <w:lang w:val="en-AU"/>
              </w:rPr>
            </w:pPr>
            <w:r w:rsidRPr="00EB3788">
              <w:rPr>
                <w:rFonts w:asciiTheme="majorHAnsi" w:eastAsia="MS Gothic" w:hAnsiTheme="majorHAnsi"/>
              </w:rPr>
              <w:t xml:space="preserve">10/19 (52.6) </w:t>
            </w:r>
          </w:p>
        </w:tc>
        <w:tc>
          <w:tcPr>
            <w:tcW w:w="1371" w:type="dxa"/>
          </w:tcPr>
          <w:p w14:paraId="523AEE08" w14:textId="77777777" w:rsidR="009A3BF1" w:rsidRPr="004664E6" w:rsidDel="00202A88" w:rsidRDefault="009A3BF1" w:rsidP="00446C37">
            <w:pPr>
              <w:adjustRightInd w:val="0"/>
              <w:snapToGrid w:val="0"/>
              <w:spacing w:line="240" w:lineRule="atLeast"/>
              <w:rPr>
                <w:rFonts w:ascii="Cambria" w:eastAsia="Cambria" w:hAnsi="Cambria" w:cs="Cambria"/>
                <w:b/>
                <w:bCs/>
                <w:color w:val="000000" w:themeColor="text1"/>
                <w:lang w:val="en-AU"/>
              </w:rPr>
            </w:pPr>
            <w:r w:rsidRPr="00EB3788">
              <w:rPr>
                <w:rFonts w:asciiTheme="majorHAnsi" w:eastAsia="MS Gothic" w:hAnsiTheme="majorHAnsi"/>
              </w:rPr>
              <w:t>(28.9, 75.6)</w:t>
            </w:r>
          </w:p>
        </w:tc>
      </w:tr>
      <w:tr w:rsidR="009A3BF1" w:rsidRPr="00EB3788" w14:paraId="0591E409" w14:textId="77777777" w:rsidTr="009A3BF1">
        <w:trPr>
          <w:trHeight w:val="300"/>
        </w:trPr>
        <w:tc>
          <w:tcPr>
            <w:tcW w:w="9020" w:type="dxa"/>
            <w:gridSpan w:val="5"/>
          </w:tcPr>
          <w:p w14:paraId="2A3D1D18" w14:textId="77777777" w:rsidR="009A3BF1" w:rsidRPr="004664E6" w:rsidDel="00202A88" w:rsidRDefault="009A3BF1" w:rsidP="00446C37">
            <w:pPr>
              <w:adjustRightInd w:val="0"/>
              <w:snapToGrid w:val="0"/>
              <w:spacing w:line="240" w:lineRule="atLeast"/>
              <w:rPr>
                <w:rFonts w:ascii="Cambria" w:eastAsia="Cambria" w:hAnsi="Cambria" w:cs="Cambria"/>
                <w:b/>
                <w:bCs/>
                <w:color w:val="000000" w:themeColor="text1"/>
                <w:lang w:val="en-AU"/>
              </w:rPr>
            </w:pPr>
            <w:r w:rsidRPr="00EB3788">
              <w:rPr>
                <w:rFonts w:asciiTheme="majorHAnsi" w:eastAsia="MS Gothic" w:hAnsiTheme="majorHAnsi"/>
                <w:b/>
                <w:bCs/>
              </w:rPr>
              <w:t>BSI/Sepsis</w:t>
            </w:r>
          </w:p>
        </w:tc>
      </w:tr>
      <w:tr w:rsidR="00D86A00" w:rsidRPr="00EB3788" w14:paraId="60509F4E" w14:textId="77777777" w:rsidTr="009A3BF1">
        <w:trPr>
          <w:trHeight w:val="300"/>
        </w:trPr>
        <w:tc>
          <w:tcPr>
            <w:tcW w:w="3132" w:type="dxa"/>
          </w:tcPr>
          <w:p w14:paraId="48E5D73B" w14:textId="77777777" w:rsidR="009A3BF1" w:rsidRPr="004664E6" w:rsidRDefault="009A3BF1" w:rsidP="00446C37">
            <w:pPr>
              <w:adjustRightInd w:val="0"/>
              <w:snapToGrid w:val="0"/>
              <w:spacing w:line="240" w:lineRule="atLeast"/>
              <w:rPr>
                <w:rFonts w:asciiTheme="majorHAnsi" w:eastAsia="MS Gothic" w:hAnsiTheme="majorHAnsi"/>
                <w:b/>
                <w:snapToGrid w:val="0"/>
                <w:lang w:val="en-AU"/>
              </w:rPr>
            </w:pPr>
            <w:r w:rsidRPr="00EB3788">
              <w:rPr>
                <w:rFonts w:asciiTheme="majorHAnsi" w:hAnsiTheme="majorHAnsi"/>
              </w:rPr>
              <w:t xml:space="preserve"> Clinical Cure at TOC</w:t>
            </w:r>
          </w:p>
        </w:tc>
        <w:tc>
          <w:tcPr>
            <w:tcW w:w="1582" w:type="dxa"/>
          </w:tcPr>
          <w:p w14:paraId="347EC17C" w14:textId="77777777" w:rsidR="009A3BF1" w:rsidRPr="004664E6" w:rsidRDefault="009A3BF1" w:rsidP="00446C37">
            <w:pPr>
              <w:adjustRightInd w:val="0"/>
              <w:snapToGrid w:val="0"/>
              <w:spacing w:line="240" w:lineRule="atLeast"/>
              <w:rPr>
                <w:rFonts w:asciiTheme="majorHAnsi" w:eastAsia="MS Gothic" w:hAnsiTheme="majorHAnsi"/>
                <w:b/>
                <w:snapToGrid w:val="0"/>
                <w:lang w:val="en-AU"/>
              </w:rPr>
            </w:pPr>
            <w:r w:rsidRPr="00EB3788">
              <w:rPr>
                <w:rFonts w:asciiTheme="majorHAnsi" w:eastAsia="MS Gothic" w:hAnsiTheme="majorHAnsi"/>
              </w:rPr>
              <w:t xml:space="preserve">10/23 (43.5) </w:t>
            </w:r>
          </w:p>
        </w:tc>
        <w:tc>
          <w:tcPr>
            <w:tcW w:w="1523" w:type="dxa"/>
          </w:tcPr>
          <w:p w14:paraId="7DD17DB9" w14:textId="77777777" w:rsidR="009A3BF1" w:rsidRPr="004664E6" w:rsidDel="00202A88" w:rsidRDefault="009A3BF1" w:rsidP="00446C37">
            <w:pPr>
              <w:adjustRightInd w:val="0"/>
              <w:snapToGrid w:val="0"/>
              <w:spacing w:line="240" w:lineRule="atLeast"/>
              <w:rPr>
                <w:rFonts w:ascii="Cambria" w:eastAsia="Cambria" w:hAnsi="Cambria" w:cs="Cambria"/>
                <w:b/>
                <w:bCs/>
                <w:color w:val="000000" w:themeColor="text1"/>
                <w:lang w:val="en-AU"/>
              </w:rPr>
            </w:pPr>
            <w:r w:rsidRPr="00EB3788">
              <w:rPr>
                <w:rFonts w:asciiTheme="majorHAnsi" w:eastAsia="MS Gothic" w:hAnsiTheme="majorHAnsi"/>
              </w:rPr>
              <w:t xml:space="preserve">(23.2, 65.5) </w:t>
            </w:r>
          </w:p>
        </w:tc>
        <w:tc>
          <w:tcPr>
            <w:tcW w:w="1412" w:type="dxa"/>
          </w:tcPr>
          <w:p w14:paraId="68D10D94" w14:textId="77777777" w:rsidR="009A3BF1" w:rsidRPr="004664E6" w:rsidRDefault="009A3BF1" w:rsidP="00446C37">
            <w:pPr>
              <w:adjustRightInd w:val="0"/>
              <w:snapToGrid w:val="0"/>
              <w:spacing w:line="240" w:lineRule="atLeast"/>
              <w:rPr>
                <w:rFonts w:asciiTheme="majorHAnsi" w:eastAsia="MS Gothic" w:hAnsiTheme="majorHAnsi"/>
                <w:b/>
                <w:snapToGrid w:val="0"/>
                <w:lang w:val="en-AU"/>
              </w:rPr>
            </w:pPr>
            <w:r w:rsidRPr="00EB3788">
              <w:rPr>
                <w:rFonts w:asciiTheme="majorHAnsi" w:eastAsia="MS Gothic" w:hAnsiTheme="majorHAnsi"/>
              </w:rPr>
              <w:t xml:space="preserve">6/14 (42.9) </w:t>
            </w:r>
          </w:p>
        </w:tc>
        <w:tc>
          <w:tcPr>
            <w:tcW w:w="1371" w:type="dxa"/>
          </w:tcPr>
          <w:p w14:paraId="3702CBD8" w14:textId="77777777" w:rsidR="009A3BF1" w:rsidRPr="004664E6" w:rsidDel="00202A88" w:rsidRDefault="009A3BF1" w:rsidP="00446C37">
            <w:pPr>
              <w:adjustRightInd w:val="0"/>
              <w:snapToGrid w:val="0"/>
              <w:spacing w:line="240" w:lineRule="atLeast"/>
              <w:rPr>
                <w:rFonts w:ascii="Cambria" w:eastAsia="Cambria" w:hAnsi="Cambria" w:cs="Cambria"/>
                <w:b/>
                <w:bCs/>
                <w:color w:val="000000" w:themeColor="text1"/>
                <w:lang w:val="en-AU"/>
              </w:rPr>
            </w:pPr>
            <w:r w:rsidRPr="00EB3788">
              <w:rPr>
                <w:rFonts w:asciiTheme="majorHAnsi" w:eastAsia="MS Gothic" w:hAnsiTheme="majorHAnsi"/>
              </w:rPr>
              <w:t>(17.7, 71.1)</w:t>
            </w:r>
          </w:p>
        </w:tc>
      </w:tr>
      <w:tr w:rsidR="009A3BF1" w:rsidRPr="00EB3788" w14:paraId="022C150C" w14:textId="77777777" w:rsidTr="009A3BF1">
        <w:trPr>
          <w:trHeight w:val="300"/>
        </w:trPr>
        <w:tc>
          <w:tcPr>
            <w:tcW w:w="9020" w:type="dxa"/>
            <w:gridSpan w:val="5"/>
          </w:tcPr>
          <w:p w14:paraId="6717412C" w14:textId="77777777" w:rsidR="009A3BF1" w:rsidRPr="004664E6" w:rsidDel="00202A88" w:rsidRDefault="009A3BF1" w:rsidP="00446C37">
            <w:pPr>
              <w:adjustRightInd w:val="0"/>
              <w:snapToGrid w:val="0"/>
              <w:spacing w:line="240" w:lineRule="atLeast"/>
              <w:rPr>
                <w:rFonts w:ascii="Cambria" w:eastAsia="Cambria" w:hAnsi="Cambria" w:cs="Cambria"/>
                <w:b/>
                <w:bCs/>
                <w:color w:val="000000" w:themeColor="text1"/>
                <w:lang w:val="en-AU"/>
              </w:rPr>
            </w:pPr>
            <w:proofErr w:type="spellStart"/>
            <w:r w:rsidRPr="00EB3788">
              <w:rPr>
                <w:rFonts w:asciiTheme="majorHAnsi" w:eastAsia="MS Gothic" w:hAnsiTheme="majorHAnsi"/>
                <w:b/>
                <w:bCs/>
              </w:rPr>
              <w:t>cUTI</w:t>
            </w:r>
            <w:proofErr w:type="spellEnd"/>
          </w:p>
        </w:tc>
      </w:tr>
      <w:tr w:rsidR="00D86A00" w:rsidRPr="00EB3788" w14:paraId="4215DFD6" w14:textId="77777777" w:rsidTr="009A3BF1">
        <w:trPr>
          <w:trHeight w:val="300"/>
        </w:trPr>
        <w:tc>
          <w:tcPr>
            <w:tcW w:w="3132" w:type="dxa"/>
          </w:tcPr>
          <w:p w14:paraId="7030270D" w14:textId="77777777" w:rsidR="009A3BF1" w:rsidRPr="004664E6" w:rsidRDefault="009A3BF1" w:rsidP="00446C37">
            <w:pPr>
              <w:adjustRightInd w:val="0"/>
              <w:snapToGrid w:val="0"/>
              <w:spacing w:line="240" w:lineRule="atLeast"/>
              <w:rPr>
                <w:rFonts w:asciiTheme="majorHAnsi" w:eastAsia="MS Gothic" w:hAnsiTheme="majorHAnsi"/>
                <w:b/>
                <w:snapToGrid w:val="0"/>
                <w:lang w:val="en-AU"/>
              </w:rPr>
            </w:pPr>
            <w:r w:rsidRPr="00EB3788">
              <w:rPr>
                <w:rFonts w:asciiTheme="majorHAnsi" w:eastAsia="MS Gothic" w:hAnsiTheme="majorHAnsi"/>
              </w:rPr>
              <w:t xml:space="preserve"> Microbiological Eradication at TOC</w:t>
            </w:r>
          </w:p>
        </w:tc>
        <w:tc>
          <w:tcPr>
            <w:tcW w:w="1582" w:type="dxa"/>
          </w:tcPr>
          <w:p w14:paraId="025718B0" w14:textId="77777777" w:rsidR="009A3BF1" w:rsidRPr="004664E6" w:rsidRDefault="009A3BF1" w:rsidP="00446C37">
            <w:pPr>
              <w:adjustRightInd w:val="0"/>
              <w:snapToGrid w:val="0"/>
              <w:spacing w:line="240" w:lineRule="atLeast"/>
              <w:rPr>
                <w:rFonts w:asciiTheme="majorHAnsi" w:eastAsia="MS Gothic" w:hAnsiTheme="majorHAnsi"/>
                <w:b/>
                <w:snapToGrid w:val="0"/>
                <w:lang w:val="en-AU"/>
              </w:rPr>
            </w:pPr>
            <w:r w:rsidRPr="00EB3788">
              <w:rPr>
                <w:rFonts w:asciiTheme="majorHAnsi" w:eastAsia="MS Gothic" w:hAnsiTheme="majorHAnsi"/>
              </w:rPr>
              <w:t xml:space="preserve">9/17 (52.9) </w:t>
            </w:r>
          </w:p>
        </w:tc>
        <w:tc>
          <w:tcPr>
            <w:tcW w:w="1523" w:type="dxa"/>
          </w:tcPr>
          <w:p w14:paraId="625ABED3" w14:textId="77777777" w:rsidR="009A3BF1" w:rsidRPr="004664E6" w:rsidDel="00202A88" w:rsidRDefault="009A3BF1" w:rsidP="00446C37">
            <w:pPr>
              <w:adjustRightInd w:val="0"/>
              <w:snapToGrid w:val="0"/>
              <w:spacing w:line="240" w:lineRule="atLeast"/>
              <w:rPr>
                <w:rFonts w:ascii="Cambria" w:eastAsia="Cambria" w:hAnsi="Cambria" w:cs="Cambria"/>
                <w:b/>
                <w:bCs/>
                <w:color w:val="000000" w:themeColor="text1"/>
                <w:lang w:val="en-AU"/>
              </w:rPr>
            </w:pPr>
            <w:r w:rsidRPr="00EB3788">
              <w:rPr>
                <w:rFonts w:asciiTheme="majorHAnsi" w:eastAsia="MS Gothic" w:hAnsiTheme="majorHAnsi"/>
              </w:rPr>
              <w:t xml:space="preserve">(27.8, 77.0) </w:t>
            </w:r>
          </w:p>
        </w:tc>
        <w:tc>
          <w:tcPr>
            <w:tcW w:w="1412" w:type="dxa"/>
          </w:tcPr>
          <w:p w14:paraId="4E5788E8" w14:textId="77777777" w:rsidR="009A3BF1" w:rsidRPr="004664E6" w:rsidRDefault="009A3BF1" w:rsidP="00446C37">
            <w:pPr>
              <w:adjustRightInd w:val="0"/>
              <w:snapToGrid w:val="0"/>
              <w:spacing w:line="240" w:lineRule="atLeast"/>
              <w:rPr>
                <w:rFonts w:asciiTheme="majorHAnsi" w:eastAsia="MS Gothic" w:hAnsiTheme="majorHAnsi"/>
                <w:b/>
                <w:snapToGrid w:val="0"/>
                <w:lang w:val="en-AU"/>
              </w:rPr>
            </w:pPr>
            <w:r w:rsidRPr="00EB3788">
              <w:rPr>
                <w:rFonts w:asciiTheme="majorHAnsi" w:eastAsia="MS Gothic" w:hAnsiTheme="majorHAnsi"/>
              </w:rPr>
              <w:t xml:space="preserve">1/5 (20.0) </w:t>
            </w:r>
          </w:p>
        </w:tc>
        <w:tc>
          <w:tcPr>
            <w:tcW w:w="1371" w:type="dxa"/>
          </w:tcPr>
          <w:p w14:paraId="0F2C1E7A" w14:textId="77777777" w:rsidR="009A3BF1" w:rsidRPr="004664E6" w:rsidDel="00202A88" w:rsidRDefault="009A3BF1" w:rsidP="00446C37">
            <w:pPr>
              <w:adjustRightInd w:val="0"/>
              <w:snapToGrid w:val="0"/>
              <w:spacing w:line="240" w:lineRule="atLeast"/>
              <w:rPr>
                <w:rFonts w:ascii="Cambria" w:eastAsia="Cambria" w:hAnsi="Cambria" w:cs="Cambria"/>
                <w:b/>
                <w:bCs/>
                <w:color w:val="000000" w:themeColor="text1"/>
                <w:lang w:val="en-AU"/>
              </w:rPr>
            </w:pPr>
            <w:r w:rsidRPr="00EB3788">
              <w:rPr>
                <w:rFonts w:asciiTheme="majorHAnsi" w:eastAsia="MS Gothic" w:hAnsiTheme="majorHAnsi"/>
              </w:rPr>
              <w:t>(0.5, 71.6)</w:t>
            </w:r>
          </w:p>
        </w:tc>
      </w:tr>
      <w:tr w:rsidR="00815066" w:rsidRPr="00EB3788" w14:paraId="32724D73" w14:textId="77777777" w:rsidTr="00AB0456">
        <w:trPr>
          <w:trHeight w:val="300"/>
        </w:trPr>
        <w:tc>
          <w:tcPr>
            <w:tcW w:w="9020" w:type="dxa"/>
            <w:gridSpan w:val="5"/>
          </w:tcPr>
          <w:p w14:paraId="6123B8B8" w14:textId="47D6B220" w:rsidR="00815066" w:rsidRPr="004664E6" w:rsidDel="00202A88" w:rsidRDefault="00815066" w:rsidP="00446C37">
            <w:pPr>
              <w:adjustRightInd w:val="0"/>
              <w:snapToGrid w:val="0"/>
              <w:spacing w:line="240" w:lineRule="atLeast"/>
              <w:rPr>
                <w:rFonts w:ascii="Cambria" w:eastAsia="Cambria" w:hAnsi="Cambria" w:cs="Cambria"/>
                <w:b/>
                <w:bCs/>
                <w:color w:val="000000" w:themeColor="text1"/>
                <w:lang w:val="en-AU"/>
              </w:rPr>
            </w:pPr>
            <w:r w:rsidRPr="00EB3788">
              <w:rPr>
                <w:rFonts w:asciiTheme="majorHAnsi" w:eastAsia="MS Gothic" w:hAnsiTheme="majorHAnsi"/>
                <w:b/>
                <w:bCs/>
              </w:rPr>
              <w:t>All Infection Sites Combined</w:t>
            </w:r>
          </w:p>
        </w:tc>
      </w:tr>
      <w:tr w:rsidR="00815066" w:rsidRPr="00EB3788" w14:paraId="2A8BFBB6" w14:textId="77777777" w:rsidTr="00AB0456">
        <w:trPr>
          <w:trHeight w:val="300"/>
        </w:trPr>
        <w:tc>
          <w:tcPr>
            <w:tcW w:w="3132" w:type="dxa"/>
          </w:tcPr>
          <w:p w14:paraId="2A8C3556" w14:textId="77777777" w:rsidR="00815066" w:rsidRPr="00EB3788" w:rsidRDefault="00815066" w:rsidP="00446C37">
            <w:pPr>
              <w:widowControl w:val="0"/>
              <w:rPr>
                <w:rFonts w:asciiTheme="majorHAnsi" w:hAnsiTheme="majorHAnsi"/>
                <w:sz w:val="22"/>
                <w:szCs w:val="22"/>
                <w:lang w:val="en-AU"/>
              </w:rPr>
            </w:pPr>
            <w:r w:rsidRPr="00EB3788">
              <w:rPr>
                <w:rFonts w:asciiTheme="majorHAnsi" w:hAnsiTheme="majorHAnsi"/>
              </w:rPr>
              <w:t xml:space="preserve"> Clinical Cure at TOC</w:t>
            </w:r>
          </w:p>
          <w:p w14:paraId="4E752492" w14:textId="77777777" w:rsidR="00815066" w:rsidRPr="004664E6" w:rsidRDefault="00815066" w:rsidP="00446C37">
            <w:pPr>
              <w:adjustRightInd w:val="0"/>
              <w:snapToGrid w:val="0"/>
              <w:spacing w:line="240" w:lineRule="atLeast"/>
              <w:rPr>
                <w:rFonts w:asciiTheme="majorHAnsi" w:eastAsia="MS Gothic" w:hAnsiTheme="majorHAnsi"/>
                <w:b/>
                <w:snapToGrid w:val="0"/>
                <w:lang w:val="en-AU"/>
              </w:rPr>
            </w:pPr>
          </w:p>
        </w:tc>
        <w:tc>
          <w:tcPr>
            <w:tcW w:w="1582" w:type="dxa"/>
          </w:tcPr>
          <w:p w14:paraId="7F08C18A" w14:textId="5FE6F131" w:rsidR="00815066" w:rsidRPr="004664E6" w:rsidRDefault="00815066" w:rsidP="00446C37">
            <w:pPr>
              <w:adjustRightInd w:val="0"/>
              <w:snapToGrid w:val="0"/>
              <w:spacing w:line="240" w:lineRule="atLeast"/>
              <w:rPr>
                <w:rFonts w:asciiTheme="majorHAnsi" w:eastAsia="MS Gothic" w:hAnsiTheme="majorHAnsi"/>
                <w:b/>
                <w:snapToGrid w:val="0"/>
                <w:lang w:val="en-AU"/>
              </w:rPr>
            </w:pPr>
            <w:r w:rsidRPr="00EB3788">
              <w:rPr>
                <w:rFonts w:asciiTheme="majorHAnsi" w:eastAsia="MS Gothic" w:hAnsiTheme="majorHAnsi"/>
              </w:rPr>
              <w:t>42/80 (52.5)</w:t>
            </w:r>
          </w:p>
        </w:tc>
        <w:tc>
          <w:tcPr>
            <w:tcW w:w="1523" w:type="dxa"/>
          </w:tcPr>
          <w:p w14:paraId="0DF5B66F" w14:textId="39BFD38C" w:rsidR="00815066" w:rsidRPr="004664E6" w:rsidDel="00202A88" w:rsidRDefault="00815066" w:rsidP="00446C37">
            <w:pPr>
              <w:adjustRightInd w:val="0"/>
              <w:snapToGrid w:val="0"/>
              <w:spacing w:line="240" w:lineRule="atLeast"/>
              <w:rPr>
                <w:rFonts w:ascii="Cambria" w:eastAsia="Cambria" w:hAnsi="Cambria" w:cs="Cambria"/>
                <w:b/>
                <w:bCs/>
                <w:color w:val="000000" w:themeColor="text1"/>
                <w:lang w:val="en-AU"/>
              </w:rPr>
            </w:pPr>
            <w:r w:rsidRPr="00EB3788">
              <w:rPr>
                <w:rFonts w:asciiTheme="majorHAnsi" w:eastAsia="MS Gothic" w:hAnsiTheme="majorHAnsi"/>
              </w:rPr>
              <w:t>(41.0, 63.8)</w:t>
            </w:r>
          </w:p>
        </w:tc>
        <w:tc>
          <w:tcPr>
            <w:tcW w:w="1412" w:type="dxa"/>
          </w:tcPr>
          <w:p w14:paraId="266477FF" w14:textId="0F23672C" w:rsidR="00815066" w:rsidRPr="004664E6" w:rsidRDefault="00815066" w:rsidP="00446C37">
            <w:pPr>
              <w:adjustRightInd w:val="0"/>
              <w:snapToGrid w:val="0"/>
              <w:spacing w:line="240" w:lineRule="atLeast"/>
              <w:rPr>
                <w:rFonts w:asciiTheme="majorHAnsi" w:eastAsia="MS Gothic" w:hAnsiTheme="majorHAnsi"/>
                <w:b/>
                <w:snapToGrid w:val="0"/>
                <w:lang w:val="en-AU"/>
              </w:rPr>
            </w:pPr>
            <w:r w:rsidRPr="00EB3788">
              <w:rPr>
                <w:rFonts w:asciiTheme="majorHAnsi" w:eastAsia="MS Gothic" w:hAnsiTheme="majorHAnsi"/>
              </w:rPr>
              <w:t>19/38 (50.0)</w:t>
            </w:r>
          </w:p>
        </w:tc>
        <w:tc>
          <w:tcPr>
            <w:tcW w:w="1371" w:type="dxa"/>
          </w:tcPr>
          <w:p w14:paraId="775C49E6" w14:textId="5C39B722" w:rsidR="00815066" w:rsidRPr="004664E6" w:rsidDel="00202A88" w:rsidRDefault="00815066" w:rsidP="00446C37">
            <w:pPr>
              <w:adjustRightInd w:val="0"/>
              <w:snapToGrid w:val="0"/>
              <w:spacing w:line="240" w:lineRule="atLeast"/>
              <w:rPr>
                <w:rFonts w:ascii="Cambria" w:eastAsia="Cambria" w:hAnsi="Cambria" w:cs="Cambria"/>
                <w:b/>
                <w:bCs/>
                <w:color w:val="000000" w:themeColor="text1"/>
                <w:lang w:val="en-AU"/>
              </w:rPr>
            </w:pPr>
            <w:r w:rsidRPr="00EB3788">
              <w:rPr>
                <w:rFonts w:asciiTheme="majorHAnsi" w:eastAsia="MS Gothic" w:hAnsiTheme="majorHAnsi"/>
              </w:rPr>
              <w:t>(33.4, 66.6)</w:t>
            </w:r>
          </w:p>
        </w:tc>
      </w:tr>
      <w:tr w:rsidR="00815066" w:rsidRPr="00EB3788" w14:paraId="6D2A50AB" w14:textId="77777777" w:rsidTr="00AB0456">
        <w:trPr>
          <w:trHeight w:val="300"/>
        </w:trPr>
        <w:tc>
          <w:tcPr>
            <w:tcW w:w="3132" w:type="dxa"/>
          </w:tcPr>
          <w:p w14:paraId="7C8577D2" w14:textId="2D337D60" w:rsidR="00815066" w:rsidRPr="004664E6" w:rsidRDefault="00815066" w:rsidP="00446C37">
            <w:pPr>
              <w:adjustRightInd w:val="0"/>
              <w:snapToGrid w:val="0"/>
              <w:spacing w:line="240" w:lineRule="atLeast"/>
              <w:rPr>
                <w:rFonts w:asciiTheme="majorHAnsi" w:eastAsia="MS Gothic" w:hAnsiTheme="majorHAnsi"/>
                <w:b/>
                <w:snapToGrid w:val="0"/>
                <w:lang w:val="en-AU"/>
              </w:rPr>
            </w:pPr>
            <w:r w:rsidRPr="00EB3788">
              <w:rPr>
                <w:rFonts w:asciiTheme="majorHAnsi" w:eastAsia="MS Gothic" w:hAnsiTheme="majorHAnsi"/>
              </w:rPr>
              <w:t xml:space="preserve"> Microbiological Eradication at TOC</w:t>
            </w:r>
          </w:p>
        </w:tc>
        <w:tc>
          <w:tcPr>
            <w:tcW w:w="1582" w:type="dxa"/>
          </w:tcPr>
          <w:p w14:paraId="2752B4B1" w14:textId="2B5DA68A" w:rsidR="00815066" w:rsidRPr="004664E6" w:rsidRDefault="00815066" w:rsidP="00446C37">
            <w:pPr>
              <w:adjustRightInd w:val="0"/>
              <w:snapToGrid w:val="0"/>
              <w:spacing w:line="240" w:lineRule="atLeast"/>
              <w:rPr>
                <w:rFonts w:asciiTheme="majorHAnsi" w:eastAsia="MS Gothic" w:hAnsiTheme="majorHAnsi"/>
                <w:b/>
                <w:snapToGrid w:val="0"/>
                <w:lang w:val="en-AU"/>
              </w:rPr>
            </w:pPr>
            <w:r w:rsidRPr="00EB3788">
              <w:rPr>
                <w:rFonts w:asciiTheme="majorHAnsi" w:eastAsia="MS Gothic" w:hAnsiTheme="majorHAnsi"/>
              </w:rPr>
              <w:t>25/80 (31.3)</w:t>
            </w:r>
          </w:p>
        </w:tc>
        <w:tc>
          <w:tcPr>
            <w:tcW w:w="1523" w:type="dxa"/>
          </w:tcPr>
          <w:p w14:paraId="2AEAB874" w14:textId="42CACDBB" w:rsidR="00815066" w:rsidRPr="004664E6" w:rsidDel="00202A88" w:rsidRDefault="00815066" w:rsidP="00446C37">
            <w:pPr>
              <w:adjustRightInd w:val="0"/>
              <w:snapToGrid w:val="0"/>
              <w:spacing w:line="240" w:lineRule="atLeast"/>
              <w:rPr>
                <w:rFonts w:ascii="Cambria" w:eastAsia="Cambria" w:hAnsi="Cambria" w:cs="Cambria"/>
                <w:b/>
                <w:bCs/>
                <w:color w:val="000000" w:themeColor="text1"/>
                <w:lang w:val="en-AU"/>
              </w:rPr>
            </w:pPr>
            <w:r w:rsidRPr="00EB3788">
              <w:rPr>
                <w:rFonts w:asciiTheme="majorHAnsi" w:eastAsia="MS Gothic" w:hAnsiTheme="majorHAnsi"/>
              </w:rPr>
              <w:t>(21.3, 42.6)</w:t>
            </w:r>
          </w:p>
        </w:tc>
        <w:tc>
          <w:tcPr>
            <w:tcW w:w="1412" w:type="dxa"/>
          </w:tcPr>
          <w:p w14:paraId="09B2FEEE" w14:textId="7943515A" w:rsidR="00815066" w:rsidRPr="004664E6" w:rsidRDefault="00815066" w:rsidP="00446C37">
            <w:pPr>
              <w:adjustRightInd w:val="0"/>
              <w:snapToGrid w:val="0"/>
              <w:spacing w:line="240" w:lineRule="atLeast"/>
              <w:rPr>
                <w:rFonts w:asciiTheme="majorHAnsi" w:eastAsia="MS Gothic" w:hAnsiTheme="majorHAnsi"/>
                <w:b/>
                <w:snapToGrid w:val="0"/>
                <w:lang w:val="en-AU"/>
              </w:rPr>
            </w:pPr>
            <w:r w:rsidRPr="00EB3788">
              <w:rPr>
                <w:rFonts w:asciiTheme="majorHAnsi" w:eastAsia="MS Gothic" w:hAnsiTheme="majorHAnsi"/>
              </w:rPr>
              <w:t>9/38 (23.7)</w:t>
            </w:r>
          </w:p>
        </w:tc>
        <w:tc>
          <w:tcPr>
            <w:tcW w:w="1371" w:type="dxa"/>
          </w:tcPr>
          <w:p w14:paraId="32EA9A32" w14:textId="2694E268" w:rsidR="00815066" w:rsidRPr="004664E6" w:rsidDel="00202A88" w:rsidRDefault="00815066" w:rsidP="00446C37">
            <w:pPr>
              <w:adjustRightInd w:val="0"/>
              <w:snapToGrid w:val="0"/>
              <w:spacing w:line="240" w:lineRule="atLeast"/>
              <w:rPr>
                <w:rFonts w:ascii="Cambria" w:eastAsia="Cambria" w:hAnsi="Cambria" w:cs="Cambria"/>
                <w:b/>
                <w:bCs/>
                <w:color w:val="000000" w:themeColor="text1"/>
                <w:lang w:val="en-AU"/>
              </w:rPr>
            </w:pPr>
            <w:r w:rsidRPr="00EB3788">
              <w:rPr>
                <w:rFonts w:asciiTheme="majorHAnsi" w:eastAsia="MS Gothic" w:hAnsiTheme="majorHAnsi"/>
              </w:rPr>
              <w:t>(11.4, 40.2)</w:t>
            </w:r>
          </w:p>
        </w:tc>
      </w:tr>
    </w:tbl>
    <w:p w14:paraId="7853E5C5" w14:textId="2270F92F" w:rsidR="00D00273" w:rsidRPr="00EB3788" w:rsidRDefault="004C1850" w:rsidP="00446C37">
      <w:pPr>
        <w:autoSpaceDE w:val="0"/>
        <w:autoSpaceDN w:val="0"/>
        <w:adjustRightInd w:val="0"/>
        <w:snapToGrid w:val="0"/>
        <w:spacing w:after="0" w:line="240" w:lineRule="exact"/>
        <w:rPr>
          <w:rFonts w:asciiTheme="majorHAnsi" w:eastAsia="MS Mincho" w:hAnsiTheme="majorHAnsi" w:cs="Times New Roman"/>
          <w:snapToGrid w:val="0"/>
          <w:kern w:val="2"/>
          <w:sz w:val="20"/>
          <w:szCs w:val="20"/>
        </w:rPr>
      </w:pPr>
      <w:proofErr w:type="spellStart"/>
      <w:r w:rsidRPr="00EB3788">
        <w:rPr>
          <w:rFonts w:asciiTheme="majorHAnsi" w:eastAsia="MS Gothic" w:hAnsiTheme="majorHAnsi" w:cs="Times New Roman"/>
          <w:snapToGrid w:val="0"/>
          <w:sz w:val="20"/>
          <w:szCs w:val="20"/>
        </w:rPr>
        <w:t>a</w:t>
      </w:r>
      <w:proofErr w:type="spellEnd"/>
      <w:r w:rsidRPr="00EB3788">
        <w:rPr>
          <w:rFonts w:asciiTheme="majorHAnsi" w:eastAsia="MS Gothic" w:hAnsiTheme="majorHAnsi" w:cs="Times New Roman"/>
          <w:snapToGrid w:val="0"/>
          <w:sz w:val="20"/>
          <w:szCs w:val="20"/>
          <w:lang w:eastAsia="ja-JP"/>
        </w:rPr>
        <w:t xml:space="preserve">　</w:t>
      </w:r>
      <w:proofErr w:type="gramStart"/>
      <w:r w:rsidR="00D00273" w:rsidRPr="00EB3788">
        <w:rPr>
          <w:rFonts w:asciiTheme="majorHAnsi" w:eastAsia="MS Gothic" w:hAnsiTheme="majorHAnsi" w:cs="Times New Roman"/>
          <w:snapToGrid w:val="0"/>
          <w:sz w:val="20"/>
          <w:szCs w:val="20"/>
        </w:rPr>
        <w:t>The</w:t>
      </w:r>
      <w:proofErr w:type="gramEnd"/>
      <w:r w:rsidR="00D00273" w:rsidRPr="00EB3788">
        <w:rPr>
          <w:rFonts w:asciiTheme="majorHAnsi" w:eastAsia="MS Gothic" w:hAnsiTheme="majorHAnsi" w:cs="Times New Roman"/>
          <w:snapToGrid w:val="0"/>
          <w:sz w:val="20"/>
          <w:szCs w:val="20"/>
        </w:rPr>
        <w:t xml:space="preserve"> 95% </w:t>
      </w:r>
      <w:r w:rsidR="1538ACA4" w:rsidRPr="00EB3788">
        <w:rPr>
          <w:rFonts w:asciiTheme="majorHAnsi" w:eastAsia="MS Gothic" w:hAnsiTheme="majorHAnsi" w:cs="Times New Roman"/>
          <w:sz w:val="20"/>
          <w:szCs w:val="20"/>
        </w:rPr>
        <w:t>confidence interval was based on</w:t>
      </w:r>
      <w:r w:rsidR="00D00273" w:rsidRPr="00EB3788">
        <w:rPr>
          <w:rFonts w:asciiTheme="majorHAnsi" w:eastAsia="MS Gothic" w:hAnsiTheme="majorHAnsi" w:cs="Times New Roman"/>
          <w:snapToGrid w:val="0"/>
          <w:sz w:val="20"/>
          <w:szCs w:val="20"/>
        </w:rPr>
        <w:t xml:space="preserve"> Clopper-Pearson method.</w:t>
      </w:r>
    </w:p>
    <w:p w14:paraId="0B4817FA" w14:textId="77777777" w:rsidR="00D00273" w:rsidRPr="00EB3788" w:rsidRDefault="00D00273" w:rsidP="00446C37">
      <w:pPr>
        <w:autoSpaceDE w:val="0"/>
        <w:autoSpaceDN w:val="0"/>
        <w:adjustRightInd w:val="0"/>
        <w:snapToGrid w:val="0"/>
        <w:spacing w:after="0" w:line="240" w:lineRule="exact"/>
        <w:ind w:left="360" w:hanging="360"/>
        <w:rPr>
          <w:rFonts w:asciiTheme="majorHAnsi" w:eastAsia="MS Gothic" w:hAnsiTheme="majorHAnsi" w:cs="Times New Roman"/>
          <w:snapToGrid w:val="0"/>
        </w:rPr>
      </w:pPr>
    </w:p>
    <w:p w14:paraId="4481B644" w14:textId="7F991864" w:rsidR="00B758BA" w:rsidRPr="00EB3788" w:rsidRDefault="00D00273" w:rsidP="00446C37">
      <w:pPr>
        <w:rPr>
          <w:rFonts w:asciiTheme="majorHAnsi" w:hAnsiTheme="majorHAnsi"/>
        </w:rPr>
      </w:pPr>
      <w:r w:rsidRPr="00EB3788">
        <w:rPr>
          <w:rFonts w:asciiTheme="majorHAnsi" w:eastAsia="MS Gothic" w:hAnsiTheme="majorHAnsi" w:cs="Times New Roman"/>
          <w:snapToGrid w:val="0"/>
        </w:rPr>
        <w:t xml:space="preserve">The most frequently observed adverse event was diarrhoea, which was experienced by 18.8% (19/101 subjects) and 12.2% (6/49 subjects) of </w:t>
      </w:r>
      <w:r w:rsidR="005D584F" w:rsidRPr="00EB3788">
        <w:rPr>
          <w:rFonts w:asciiTheme="majorHAnsi" w:eastAsia="MS Gothic" w:hAnsiTheme="majorHAnsi" w:cs="Times New Roman"/>
          <w:snapToGrid w:val="0"/>
        </w:rPr>
        <w:t>Fetroja</w:t>
      </w:r>
      <w:r w:rsidRPr="00EB3788">
        <w:rPr>
          <w:rFonts w:asciiTheme="majorHAnsi" w:eastAsia="MS Gothic" w:hAnsiTheme="majorHAnsi" w:cs="Times New Roman"/>
          <w:snapToGrid w:val="0"/>
        </w:rPr>
        <w:t>- and BAT-treated subjects, respectively.</w:t>
      </w:r>
    </w:p>
    <w:p w14:paraId="1F167BD7" w14:textId="77777777" w:rsidR="001A3992" w:rsidRPr="00EB3788" w:rsidRDefault="001A3992" w:rsidP="00446C37">
      <w:pPr>
        <w:pStyle w:val="Heading2"/>
        <w:keepNext/>
        <w:spacing w:before="0" w:after="120"/>
      </w:pPr>
      <w:bookmarkStart w:id="35" w:name="_Pharmacokinetic_properties"/>
      <w:bookmarkStart w:id="36" w:name="_Ref205820469"/>
      <w:bookmarkStart w:id="37" w:name="_Ref173423288"/>
      <w:bookmarkEnd w:id="35"/>
      <w:r w:rsidRPr="00EB3788">
        <w:t>Pharmacokinetic properties</w:t>
      </w:r>
      <w:bookmarkEnd w:id="36"/>
      <w:r w:rsidRPr="00EB3788">
        <w:t xml:space="preserve"> </w:t>
      </w:r>
      <w:bookmarkEnd w:id="37"/>
    </w:p>
    <w:p w14:paraId="7C4FA468" w14:textId="6F0F7821" w:rsidR="005E296A" w:rsidRPr="00EB3788" w:rsidRDefault="00A254E2" w:rsidP="00446C37">
      <w:pPr>
        <w:widowControl w:val="0"/>
        <w:adjustRightInd w:val="0"/>
        <w:snapToGrid w:val="0"/>
        <w:spacing w:after="0" w:line="264" w:lineRule="auto"/>
        <w:rPr>
          <w:rFonts w:asciiTheme="majorHAnsi" w:eastAsia="MS Mincho" w:hAnsiTheme="majorHAnsi" w:cs="Times New Roman"/>
          <w:snapToGrid w:val="0"/>
          <w:lang w:eastAsia="ja-JP" w:bidi="en-US"/>
        </w:rPr>
      </w:pPr>
      <w:r w:rsidRPr="00EB3788">
        <w:rPr>
          <w:rFonts w:asciiTheme="majorHAnsi" w:eastAsia="MS Mincho" w:hAnsiTheme="majorHAnsi" w:cs="Times New Roman"/>
          <w:snapToGrid w:val="0"/>
          <w:color w:val="0000EE"/>
          <w:lang w:eastAsia="ja-JP" w:bidi="en-US"/>
        </w:rPr>
        <w:fldChar w:fldCharType="begin" w:fldLock="1"/>
      </w:r>
      <w:r w:rsidRPr="00EB3788">
        <w:rPr>
          <w:rFonts w:asciiTheme="majorHAnsi" w:eastAsia="MS Mincho" w:hAnsiTheme="majorHAnsi" w:cs="Times New Roman"/>
          <w:snapToGrid w:val="0"/>
          <w:color w:val="0000EE"/>
          <w:lang w:eastAsia="ja-JP" w:bidi="en-US"/>
        </w:rPr>
        <w:instrText xml:space="preserve"> REF _Ref171502934 \h  \* MERGEFORMAT </w:instrText>
      </w:r>
      <w:r w:rsidRPr="00EB3788">
        <w:rPr>
          <w:rFonts w:asciiTheme="majorHAnsi" w:eastAsia="MS Mincho" w:hAnsiTheme="majorHAnsi" w:cs="Times New Roman"/>
          <w:snapToGrid w:val="0"/>
          <w:color w:val="0000EE"/>
          <w:lang w:eastAsia="ja-JP" w:bidi="en-US"/>
        </w:rPr>
      </w:r>
      <w:r w:rsidRPr="00EB3788">
        <w:rPr>
          <w:rFonts w:asciiTheme="majorHAnsi" w:eastAsia="MS Mincho" w:hAnsiTheme="majorHAnsi" w:cs="Times New Roman"/>
          <w:snapToGrid w:val="0"/>
          <w:color w:val="0000EE"/>
          <w:lang w:eastAsia="ja-JP" w:bidi="en-US"/>
        </w:rPr>
        <w:fldChar w:fldCharType="separate"/>
      </w:r>
      <w:r w:rsidR="00425866" w:rsidRPr="00EB3788">
        <w:rPr>
          <w:rFonts w:asciiTheme="majorHAnsi" w:hAnsiTheme="majorHAnsi"/>
          <w:color w:val="0000EE"/>
        </w:rPr>
        <w:t>Figure 1</w:t>
      </w:r>
      <w:r w:rsidRPr="00EB3788">
        <w:rPr>
          <w:rFonts w:asciiTheme="majorHAnsi" w:eastAsia="MS Mincho" w:hAnsiTheme="majorHAnsi" w:cs="Times New Roman"/>
          <w:snapToGrid w:val="0"/>
          <w:color w:val="0000EE"/>
          <w:lang w:eastAsia="ja-JP" w:bidi="en-US"/>
        </w:rPr>
        <w:fldChar w:fldCharType="end"/>
      </w:r>
      <w:r w:rsidR="0034613A" w:rsidRPr="00EB3788">
        <w:rPr>
          <w:rFonts w:asciiTheme="majorHAnsi" w:eastAsia="MS Mincho" w:hAnsiTheme="majorHAnsi" w:cs="Times New Roman"/>
          <w:snapToGrid w:val="0"/>
          <w:lang w:eastAsia="ja-JP" w:bidi="en-US"/>
        </w:rPr>
        <w:t xml:space="preserve"> shows the plasma concentrations of cefiderocol in 6 healthy adult subjects following single 1-hour intravenous (IV) infusions of Fetroja 100 mg, 250 mg, 500 mg, 1 g, and 2 g, and </w:t>
      </w:r>
      <w:r w:rsidR="00CE15B2" w:rsidRPr="00EB3788">
        <w:rPr>
          <w:rFonts w:asciiTheme="majorHAnsi" w:eastAsia="MS Mincho" w:hAnsiTheme="majorHAnsi" w:cs="Times New Roman"/>
          <w:snapToGrid w:val="0"/>
          <w:color w:val="0000EE"/>
          <w:lang w:eastAsia="ja-JP" w:bidi="en-US"/>
        </w:rPr>
        <w:fldChar w:fldCharType="begin" w:fldLock="1"/>
      </w:r>
      <w:r w:rsidR="00CE15B2" w:rsidRPr="00EB3788">
        <w:rPr>
          <w:rFonts w:asciiTheme="majorHAnsi" w:eastAsia="MS Mincho" w:hAnsiTheme="majorHAnsi" w:cs="Times New Roman"/>
          <w:snapToGrid w:val="0"/>
          <w:color w:val="0000EE"/>
          <w:lang w:eastAsia="ja-JP" w:bidi="en-US"/>
        </w:rPr>
        <w:instrText xml:space="preserve"> REF _Ref171503078 \h  \* MERGEFORMAT </w:instrText>
      </w:r>
      <w:r w:rsidR="00CE15B2" w:rsidRPr="00EB3788">
        <w:rPr>
          <w:rFonts w:asciiTheme="majorHAnsi" w:eastAsia="MS Mincho" w:hAnsiTheme="majorHAnsi" w:cs="Times New Roman"/>
          <w:snapToGrid w:val="0"/>
          <w:color w:val="0000EE"/>
          <w:lang w:eastAsia="ja-JP" w:bidi="en-US"/>
        </w:rPr>
      </w:r>
      <w:r w:rsidR="00CE15B2" w:rsidRPr="00EB3788">
        <w:rPr>
          <w:rFonts w:asciiTheme="majorHAnsi" w:eastAsia="MS Mincho" w:hAnsiTheme="majorHAnsi" w:cs="Times New Roman"/>
          <w:snapToGrid w:val="0"/>
          <w:color w:val="0000EE"/>
          <w:lang w:eastAsia="ja-JP" w:bidi="en-US"/>
        </w:rPr>
        <w:fldChar w:fldCharType="separate"/>
      </w:r>
      <w:r w:rsidR="00425866" w:rsidRPr="00EB3788">
        <w:rPr>
          <w:rFonts w:asciiTheme="majorHAnsi" w:hAnsiTheme="majorHAnsi"/>
          <w:color w:val="0000EE"/>
        </w:rPr>
        <w:t>Table 12</w:t>
      </w:r>
      <w:r w:rsidR="00CE15B2" w:rsidRPr="00EB3788">
        <w:rPr>
          <w:rFonts w:asciiTheme="majorHAnsi" w:eastAsia="MS Mincho" w:hAnsiTheme="majorHAnsi" w:cs="Times New Roman"/>
          <w:snapToGrid w:val="0"/>
          <w:color w:val="0000EE"/>
          <w:lang w:eastAsia="ja-JP" w:bidi="en-US"/>
        </w:rPr>
        <w:fldChar w:fldCharType="end"/>
      </w:r>
      <w:r w:rsidR="0034613A" w:rsidRPr="00EB3788">
        <w:rPr>
          <w:rFonts w:asciiTheme="majorHAnsi" w:eastAsia="MS Mincho" w:hAnsiTheme="majorHAnsi" w:cs="Times New Roman"/>
          <w:snapToGrid w:val="0"/>
          <w:lang w:eastAsia="ja-JP" w:bidi="en-US"/>
        </w:rPr>
        <w:t xml:space="preserve"> shows the pharmacokinetic </w:t>
      </w:r>
      <w:proofErr w:type="gramStart"/>
      <w:r w:rsidR="0034613A" w:rsidRPr="00EB3788">
        <w:rPr>
          <w:rFonts w:asciiTheme="majorHAnsi" w:eastAsia="MS Mincho" w:hAnsiTheme="majorHAnsi" w:cs="Times New Roman"/>
          <w:snapToGrid w:val="0"/>
          <w:lang w:eastAsia="ja-JP" w:bidi="en-US"/>
        </w:rPr>
        <w:t>parameters</w:t>
      </w:r>
      <w:r w:rsidR="0034613A" w:rsidRPr="00EB3788">
        <w:rPr>
          <w:rFonts w:asciiTheme="majorHAnsi" w:eastAsia="MS Mincho" w:hAnsiTheme="majorHAnsi" w:cs="Times New Roman"/>
          <w:snapToGrid w:val="0"/>
          <w:vertAlign w:val="superscript"/>
          <w:lang w:eastAsia="ja-JP" w:bidi="en-US"/>
        </w:rPr>
        <w:t xml:space="preserve"> </w:t>
      </w:r>
      <w:r w:rsidR="0034613A" w:rsidRPr="00EB3788">
        <w:rPr>
          <w:rFonts w:asciiTheme="majorHAnsi" w:eastAsia="MS Mincho" w:hAnsiTheme="majorHAnsi" w:cs="Times New Roman"/>
          <w:snapToGrid w:val="0"/>
          <w:lang w:eastAsia="ja-JP" w:bidi="en-US"/>
        </w:rPr>
        <w:t xml:space="preserve"> of</w:t>
      </w:r>
      <w:proofErr w:type="gramEnd"/>
      <w:r w:rsidR="0034613A" w:rsidRPr="00EB3788">
        <w:rPr>
          <w:rFonts w:asciiTheme="majorHAnsi" w:eastAsia="MS Mincho" w:hAnsiTheme="majorHAnsi" w:cs="Times New Roman"/>
          <w:snapToGrid w:val="0"/>
          <w:lang w:eastAsia="ja-JP" w:bidi="en-US"/>
        </w:rPr>
        <w:t xml:space="preserve"> cefiderocol following a single IV infusion or repeated every 8-hour IV infusions of Fetroja 2 g. Cefiderocol </w:t>
      </w:r>
      <w:proofErr w:type="spellStart"/>
      <w:r w:rsidR="0034613A" w:rsidRPr="00EB3788">
        <w:rPr>
          <w:rFonts w:asciiTheme="majorHAnsi" w:eastAsia="MS Mincho" w:hAnsiTheme="majorHAnsi" w:cs="Times New Roman"/>
          <w:snapToGrid w:val="0"/>
          <w:lang w:eastAsia="ja-JP" w:bidi="en-US"/>
        </w:rPr>
        <w:t>C</w:t>
      </w:r>
      <w:r w:rsidR="0034613A" w:rsidRPr="00EB3788">
        <w:rPr>
          <w:rFonts w:asciiTheme="majorHAnsi" w:eastAsia="MS Mincho" w:hAnsiTheme="majorHAnsi" w:cs="Times New Roman"/>
          <w:snapToGrid w:val="0"/>
          <w:vertAlign w:val="subscript"/>
          <w:lang w:eastAsia="ja-JP" w:bidi="en-US"/>
        </w:rPr>
        <w:t>max</w:t>
      </w:r>
      <w:proofErr w:type="spellEnd"/>
      <w:r w:rsidR="0034613A" w:rsidRPr="00EB3788">
        <w:rPr>
          <w:rFonts w:asciiTheme="majorHAnsi" w:eastAsia="MS Mincho" w:hAnsiTheme="majorHAnsi" w:cs="Times New Roman"/>
          <w:snapToGrid w:val="0"/>
          <w:vertAlign w:val="subscript"/>
          <w:lang w:eastAsia="ja-JP" w:bidi="en-US"/>
        </w:rPr>
        <w:t xml:space="preserve"> </w:t>
      </w:r>
      <w:r w:rsidR="0034613A" w:rsidRPr="00EB3788">
        <w:rPr>
          <w:rFonts w:asciiTheme="majorHAnsi" w:eastAsia="MS Mincho" w:hAnsiTheme="majorHAnsi" w:cs="Times New Roman"/>
          <w:snapToGrid w:val="0"/>
          <w:lang w:eastAsia="ja-JP" w:bidi="en-US"/>
        </w:rPr>
        <w:t>and AUC increased dose-proportionally. The pharmacokinetics of cefiderocol following repeated administration were almost the same as those following single administration, showing no drug accumulation.</w:t>
      </w:r>
    </w:p>
    <w:p w14:paraId="6309F73E" w14:textId="0E17B565" w:rsidR="005A7B40" w:rsidRPr="00EB3788" w:rsidRDefault="63BD16F0" w:rsidP="00446C37">
      <w:pPr>
        <w:pStyle w:val="Caption"/>
        <w:keepNext/>
        <w:rPr>
          <w:rFonts w:asciiTheme="majorHAnsi" w:hAnsiTheme="majorHAnsi"/>
          <w:b w:val="0"/>
          <w:bCs/>
          <w:i/>
          <w:iCs w:val="0"/>
          <w:szCs w:val="22"/>
        </w:rPr>
      </w:pPr>
      <w:bookmarkStart w:id="38" w:name="_Ref171502934"/>
      <w:r w:rsidRPr="00EB3788">
        <w:rPr>
          <w:rFonts w:asciiTheme="majorHAnsi" w:hAnsiTheme="majorHAnsi"/>
          <w:bCs/>
          <w:iCs w:val="0"/>
          <w:szCs w:val="22"/>
        </w:rPr>
        <w:lastRenderedPageBreak/>
        <w:t xml:space="preserve">Figure </w:t>
      </w:r>
      <w:r w:rsidR="5E0BD443" w:rsidRPr="00EB3788">
        <w:rPr>
          <w:rFonts w:asciiTheme="majorHAnsi" w:hAnsiTheme="majorHAnsi"/>
          <w:b w:val="0"/>
          <w:bCs/>
          <w:i/>
          <w:iCs w:val="0"/>
          <w:szCs w:val="22"/>
        </w:rPr>
        <w:fldChar w:fldCharType="begin"/>
      </w:r>
      <w:r w:rsidR="5E0BD443" w:rsidRPr="00EB3788">
        <w:rPr>
          <w:rFonts w:asciiTheme="majorHAnsi" w:hAnsiTheme="majorHAnsi"/>
          <w:bCs/>
          <w:iCs w:val="0"/>
          <w:szCs w:val="22"/>
        </w:rPr>
        <w:instrText xml:space="preserve"> SEQ Figure \* ARABIC </w:instrText>
      </w:r>
      <w:r w:rsidR="5E0BD443" w:rsidRPr="00EB3788">
        <w:rPr>
          <w:rFonts w:asciiTheme="majorHAnsi" w:hAnsiTheme="majorHAnsi"/>
          <w:b w:val="0"/>
          <w:bCs/>
          <w:i/>
          <w:iCs w:val="0"/>
          <w:szCs w:val="22"/>
        </w:rPr>
        <w:fldChar w:fldCharType="separate"/>
      </w:r>
      <w:r w:rsidR="001E66F2" w:rsidRPr="004664E6">
        <w:rPr>
          <w:rFonts w:asciiTheme="majorHAnsi" w:hAnsiTheme="majorHAnsi"/>
          <w:bCs/>
          <w:iCs w:val="0"/>
          <w:szCs w:val="22"/>
        </w:rPr>
        <w:t>1</w:t>
      </w:r>
      <w:r w:rsidR="5E0BD443" w:rsidRPr="00EB3788">
        <w:rPr>
          <w:rFonts w:asciiTheme="majorHAnsi" w:hAnsiTheme="majorHAnsi"/>
          <w:b w:val="0"/>
          <w:bCs/>
          <w:i/>
          <w:iCs w:val="0"/>
          <w:szCs w:val="22"/>
        </w:rPr>
        <w:fldChar w:fldCharType="end"/>
      </w:r>
      <w:bookmarkEnd w:id="38"/>
      <w:r w:rsidRPr="00EB3788">
        <w:rPr>
          <w:rFonts w:asciiTheme="majorHAnsi" w:hAnsiTheme="majorHAnsi"/>
          <w:bCs/>
          <w:iCs w:val="0"/>
          <w:szCs w:val="22"/>
        </w:rPr>
        <w:t xml:space="preserve"> Mean</w:t>
      </w:r>
      <w:r w:rsidR="0070551A" w:rsidRPr="00EB3788">
        <w:rPr>
          <w:rFonts w:asciiTheme="majorHAnsi" w:hAnsiTheme="majorHAnsi"/>
          <w:bCs/>
          <w:iCs w:val="0"/>
          <w:szCs w:val="22"/>
        </w:rPr>
        <w:t xml:space="preserve"> plasma concentration-time curves following single administration of cefiderocol (healthy adults)</w:t>
      </w:r>
    </w:p>
    <w:p w14:paraId="050D39CC" w14:textId="15E4A02B" w:rsidR="0034613A" w:rsidRPr="00EB3788" w:rsidRDefault="00351438" w:rsidP="00446C37">
      <w:pPr>
        <w:widowControl w:val="0"/>
        <w:adjustRightInd w:val="0"/>
        <w:snapToGrid w:val="0"/>
        <w:spacing w:after="0" w:line="264" w:lineRule="auto"/>
        <w:ind w:left="113"/>
        <w:rPr>
          <w:rFonts w:ascii="Times New Roman" w:eastAsia="MS Mincho" w:hAnsi="Times New Roman" w:cs="Times New Roman"/>
          <w:snapToGrid w:val="0"/>
          <w:sz w:val="16"/>
          <w:lang w:eastAsia="ja-JP"/>
        </w:rPr>
      </w:pPr>
      <w:r w:rsidRPr="004664E6">
        <w:rPr>
          <w:rFonts w:ascii="Times New Roman" w:eastAsia="MS Mincho" w:hAnsi="Times New Roman" w:cs="Times New Roman"/>
          <w:noProof/>
          <w:sz w:val="16"/>
          <w:lang w:eastAsia="ja-JP"/>
        </w:rPr>
        <mc:AlternateContent>
          <mc:Choice Requires="wpg">
            <w:drawing>
              <wp:anchor distT="0" distB="0" distL="114300" distR="114300" simplePos="0" relativeHeight="251657216" behindDoc="0" locked="0" layoutInCell="1" allowOverlap="1" wp14:anchorId="6D76474E" wp14:editId="57D0B1FE">
                <wp:simplePos x="0" y="0"/>
                <wp:positionH relativeFrom="column">
                  <wp:posOffset>158750</wp:posOffset>
                </wp:positionH>
                <wp:positionV relativeFrom="paragraph">
                  <wp:posOffset>532765</wp:posOffset>
                </wp:positionV>
                <wp:extent cx="5542281" cy="2742445"/>
                <wp:effectExtent l="0" t="0" r="1270" b="1270"/>
                <wp:wrapNone/>
                <wp:docPr id="5" name="グループ化 5"/>
                <wp:cNvGraphicFramePr/>
                <a:graphic xmlns:a="http://schemas.openxmlformats.org/drawingml/2006/main">
                  <a:graphicData uri="http://schemas.microsoft.com/office/word/2010/wordprocessingGroup">
                    <wpg:wgp>
                      <wpg:cNvGrpSpPr/>
                      <wpg:grpSpPr>
                        <a:xfrm>
                          <a:off x="0" y="0"/>
                          <a:ext cx="5542281" cy="2742445"/>
                          <a:chOff x="27485" y="891771"/>
                          <a:chExt cx="3337840" cy="1981420"/>
                        </a:xfrm>
                      </wpg:grpSpPr>
                      <wps:wsp>
                        <wps:cNvPr id="6" name="Text Box 5"/>
                        <wps:cNvSpPr txBox="1">
                          <a:spLocks noChangeArrowheads="1"/>
                        </wps:cNvSpPr>
                        <wps:spPr bwMode="auto">
                          <a:xfrm rot="10800000">
                            <a:off x="27485" y="891771"/>
                            <a:ext cx="116553" cy="1059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B1FF3" w14:textId="77777777" w:rsidR="0034613A" w:rsidRPr="00EB3788" w:rsidRDefault="0034613A" w:rsidP="0034613A">
                              <w:pPr>
                                <w:jc w:val="center"/>
                                <w:rPr>
                                  <w:rFonts w:asciiTheme="majorHAnsi" w:hAnsiTheme="majorHAnsi" w:cs="Times New Roman"/>
                                  <w:sz w:val="16"/>
                                  <w:szCs w:val="16"/>
                                  <w:lang w:eastAsia="ja-JP"/>
                                </w:rPr>
                              </w:pPr>
                              <w:r w:rsidRPr="00EB3788">
                                <w:rPr>
                                  <w:rFonts w:asciiTheme="majorHAnsi" w:hAnsiTheme="majorHAnsi" w:cs="Times New Roman"/>
                                  <w:sz w:val="16"/>
                                  <w:szCs w:val="16"/>
                                  <w:lang w:bidi="en-US"/>
                                </w:rPr>
                                <w:t>Plasma cefiderocol concentration</w:t>
                              </w:r>
                            </w:p>
                          </w:txbxContent>
                        </wps:txbx>
                        <wps:bodyPr rot="0" vert="eaVert" wrap="square" lIns="0" tIns="0" rIns="0" bIns="0" anchor="t" anchorCtr="0">
                          <a:noAutofit/>
                        </wps:bodyPr>
                      </wps:wsp>
                      <wps:wsp>
                        <wps:cNvPr id="7" name="Text Box 4"/>
                        <wps:cNvSpPr txBox="1">
                          <a:spLocks noChangeArrowheads="1"/>
                        </wps:cNvSpPr>
                        <wps:spPr bwMode="auto">
                          <a:xfrm>
                            <a:off x="1607682" y="1381670"/>
                            <a:ext cx="1757643" cy="3346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57C7B" w14:textId="77777777" w:rsidR="0034613A" w:rsidRPr="00EB3788" w:rsidRDefault="0034613A" w:rsidP="0034613A">
                              <w:pPr>
                                <w:rPr>
                                  <w:rFonts w:ascii="Times New Roman" w:hAnsi="Times New Roman" w:cs="Times New Roman"/>
                                  <w:sz w:val="13"/>
                                  <w:szCs w:val="13"/>
                                  <w:lang w:eastAsia="ja-JP"/>
                                </w:rPr>
                              </w:pPr>
                              <w:r w:rsidRPr="00EB3788">
                                <w:rPr>
                                  <w:rFonts w:ascii="Times New Roman" w:hAnsi="Times New Roman" w:cs="Times New Roman"/>
                                  <w:sz w:val="13"/>
                                  <w:lang w:bidi="en-US"/>
                                </w:rPr>
                                <w:t>[</w:t>
                              </w:r>
                              <w:r w:rsidRPr="00EB3788">
                                <w:rPr>
                                  <w:rFonts w:asciiTheme="majorHAnsi" w:hAnsiTheme="majorHAnsi" w:cs="Times New Roman"/>
                                  <w:sz w:val="16"/>
                                  <w:szCs w:val="16"/>
                                  <w:lang w:bidi="en-US"/>
                                </w:rPr>
                                <w:t>Mean ± standard deviation (SD)]</w:t>
                              </w:r>
                            </w:p>
                          </w:txbxContent>
                        </wps:txbx>
                        <wps:bodyPr rot="0" vert="horz" wrap="square" lIns="0" tIns="0" rIns="0" bIns="0" anchor="t" anchorCtr="0">
                          <a:noAutofit/>
                        </wps:bodyPr>
                      </wps:wsp>
                      <wps:wsp>
                        <wps:cNvPr id="8" name="Text Box 3"/>
                        <wps:cNvSpPr txBox="1">
                          <a:spLocks noChangeArrowheads="1"/>
                        </wps:cNvSpPr>
                        <wps:spPr bwMode="auto">
                          <a:xfrm>
                            <a:off x="1471888" y="2628716"/>
                            <a:ext cx="31369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52DF0" w14:textId="77777777" w:rsidR="0034613A" w:rsidRPr="00EB3788" w:rsidRDefault="0034613A" w:rsidP="0034613A">
                              <w:pPr>
                                <w:rPr>
                                  <w:rFonts w:asciiTheme="majorHAnsi" w:hAnsiTheme="majorHAnsi" w:cs="Times New Roman"/>
                                  <w:sz w:val="16"/>
                                  <w:szCs w:val="16"/>
                                  <w:lang w:eastAsia="ja-JP"/>
                                </w:rPr>
                              </w:pPr>
                              <w:r w:rsidRPr="00EB3788">
                                <w:rPr>
                                  <w:rFonts w:asciiTheme="majorHAnsi" w:hAnsiTheme="majorHAnsi" w:cs="Times New Roman"/>
                                  <w:sz w:val="16"/>
                                  <w:szCs w:val="16"/>
                                  <w:lang w:bidi="en-US"/>
                                </w:rPr>
                                <w:t>hours</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D76474E" id="グループ化 5" o:spid="_x0000_s1027" style="position:absolute;left:0;text-align:left;margin-left:12.5pt;margin-top:41.95pt;width:436.4pt;height:215.95pt;z-index:251657216;mso-position-horizontal-relative:text;mso-position-vertical-relative:text;mso-width-relative:margin;mso-height-relative:margin" coordorigin="274,8917" coordsize="33378,19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">
                <v:shape id="_x0000_s1028" type="#_x0000_t202" style="position:absolute;left:274;top:8917;width:1166;height:1060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" filled="f" stroked="f">
                  <v:textbox style="layout-flow:vertical-ideographic" inset="0,0,0,0">
                    <w:txbxContent>
                      <w:p w14:paraId="1C8B1FF3" w14:textId="77777777" w:rsidR="0034613A" w:rsidRPr="00EB3788" w:rsidRDefault="0034613A" w:rsidP="0034613A">
                        <w:pPr>
                          <w:jc w:val="center"/>
                          <w:rPr>
                            <w:rFonts w:asciiTheme="majorHAnsi" w:hAnsiTheme="majorHAnsi" w:cs="Times New Roman"/>
                            <w:sz w:val="16"/>
                            <w:szCs w:val="16"/>
                            <w:lang w:eastAsia="ja-JP"/>
                          </w:rPr>
                        </w:pPr>
                        <w:r w:rsidRPr="00EB3788">
                          <w:rPr>
                            <w:rFonts w:asciiTheme="majorHAnsi" w:hAnsiTheme="majorHAnsi" w:cs="Times New Roman"/>
                            <w:sz w:val="16"/>
                            <w:szCs w:val="16"/>
                            <w:lang w:bidi="en-US"/>
                          </w:rPr>
                          <w:t>Plasma cefiderocol concentration</w:t>
                        </w:r>
                      </w:p>
                    </w:txbxContent>
                  </v:textbox>
                </v:shape>
                <v:shape id="Text Box 4" o:spid="_x0000_s1029" type="#_x0000_t202" style="position:absolute;left:16076;top:13816;width:17577;height:3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0557C7B" w14:textId="77777777" w:rsidR="0034613A" w:rsidRPr="00EB3788" w:rsidRDefault="0034613A" w:rsidP="0034613A">
                        <w:pPr>
                          <w:rPr>
                            <w:rFonts w:ascii="Times New Roman" w:hAnsi="Times New Roman" w:cs="Times New Roman"/>
                            <w:sz w:val="13"/>
                            <w:szCs w:val="13"/>
                            <w:lang w:eastAsia="ja-JP"/>
                          </w:rPr>
                        </w:pPr>
                        <w:r w:rsidRPr="00EB3788">
                          <w:rPr>
                            <w:rFonts w:ascii="Times New Roman" w:hAnsi="Times New Roman" w:cs="Times New Roman"/>
                            <w:sz w:val="13"/>
                            <w:lang w:bidi="en-US"/>
                          </w:rPr>
                          <w:t>[</w:t>
                        </w:r>
                        <w:r w:rsidRPr="00EB3788">
                          <w:rPr>
                            <w:rFonts w:asciiTheme="majorHAnsi" w:hAnsiTheme="majorHAnsi" w:cs="Times New Roman"/>
                            <w:sz w:val="16"/>
                            <w:szCs w:val="16"/>
                            <w:lang w:bidi="en-US"/>
                          </w:rPr>
                          <w:t>Mean ± standard deviation (SD)]</w:t>
                        </w:r>
                      </w:p>
                    </w:txbxContent>
                  </v:textbox>
                </v:shape>
                <v:shape id="Text Box 3" o:spid="_x0000_s1030" type="#_x0000_t202" style="position:absolute;left:14718;top:26287;width:3137;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A952DF0" w14:textId="77777777" w:rsidR="0034613A" w:rsidRPr="00EB3788" w:rsidRDefault="0034613A" w:rsidP="0034613A">
                        <w:pPr>
                          <w:rPr>
                            <w:rFonts w:asciiTheme="majorHAnsi" w:hAnsiTheme="majorHAnsi" w:cs="Times New Roman"/>
                            <w:sz w:val="16"/>
                            <w:szCs w:val="16"/>
                            <w:lang w:eastAsia="ja-JP"/>
                          </w:rPr>
                        </w:pPr>
                        <w:r w:rsidRPr="00EB3788">
                          <w:rPr>
                            <w:rFonts w:asciiTheme="majorHAnsi" w:hAnsiTheme="majorHAnsi" w:cs="Times New Roman"/>
                            <w:sz w:val="16"/>
                            <w:szCs w:val="16"/>
                            <w:lang w:bidi="en-US"/>
                          </w:rPr>
                          <w:t>hours</w:t>
                        </w:r>
                      </w:p>
                    </w:txbxContent>
                  </v:textbox>
                </v:shape>
              </v:group>
            </w:pict>
          </mc:Fallback>
        </mc:AlternateContent>
      </w:r>
      <w:r w:rsidR="0034613A" w:rsidRPr="004664E6">
        <w:rPr>
          <w:rFonts w:ascii="Times New Roman" w:eastAsia="MS Mincho" w:hAnsi="Times New Roman" w:cs="Times New Roman"/>
          <w:noProof/>
          <w:sz w:val="16"/>
          <w:lang w:eastAsia="ja-JP"/>
        </w:rPr>
        <w:drawing>
          <wp:inline distT="0" distB="0" distL="0" distR="0" wp14:anchorId="58C1C30E" wp14:editId="4C962718">
            <wp:extent cx="5135880" cy="3397717"/>
            <wp:effectExtent l="0" t="0" r="7620" b="0"/>
            <wp:docPr id="4" name="図 4" descr="A graph of different sizes and sizes of the same siz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A graph of different sizes and sizes of the same size&#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5200072" cy="3440184"/>
                    </a:xfrm>
                    <a:prstGeom prst="rect">
                      <a:avLst/>
                    </a:prstGeom>
                  </pic:spPr>
                </pic:pic>
              </a:graphicData>
            </a:graphic>
          </wp:inline>
        </w:drawing>
      </w:r>
    </w:p>
    <w:p w14:paraId="7450F3B5" w14:textId="5C35F066" w:rsidR="00592DEA" w:rsidRPr="00EB3788" w:rsidRDefault="00592DEA" w:rsidP="00446C37">
      <w:pPr>
        <w:pStyle w:val="Caption"/>
        <w:keepNext/>
        <w:rPr>
          <w:rFonts w:asciiTheme="majorHAnsi" w:hAnsiTheme="majorHAnsi"/>
          <w:b w:val="0"/>
          <w:bCs/>
          <w:i/>
          <w:iCs w:val="0"/>
          <w:szCs w:val="22"/>
        </w:rPr>
      </w:pPr>
      <w:bookmarkStart w:id="39" w:name="_Ref171503078"/>
      <w:r w:rsidRPr="00EB3788">
        <w:rPr>
          <w:rFonts w:asciiTheme="majorHAnsi" w:hAnsiTheme="majorHAnsi"/>
          <w:bCs/>
          <w:iCs w:val="0"/>
          <w:szCs w:val="22"/>
        </w:rPr>
        <w:t xml:space="preserve">Table </w:t>
      </w:r>
      <w:r w:rsidR="00B53B79" w:rsidRPr="00EB3788">
        <w:rPr>
          <w:rFonts w:asciiTheme="majorHAnsi" w:hAnsiTheme="majorHAnsi"/>
          <w:bCs/>
          <w:iCs w:val="0"/>
          <w:szCs w:val="22"/>
        </w:rPr>
        <w:fldChar w:fldCharType="begin"/>
      </w:r>
      <w:r w:rsidR="00B53B79" w:rsidRPr="00EB3788">
        <w:rPr>
          <w:rFonts w:asciiTheme="majorHAnsi" w:hAnsiTheme="majorHAnsi"/>
          <w:bCs/>
          <w:iCs w:val="0"/>
          <w:szCs w:val="22"/>
        </w:rPr>
        <w:instrText xml:space="preserve"> SEQ Table \* ARABIC </w:instrText>
      </w:r>
      <w:r w:rsidR="00B53B79" w:rsidRPr="00EB3788">
        <w:rPr>
          <w:rFonts w:asciiTheme="majorHAnsi" w:hAnsiTheme="majorHAnsi"/>
          <w:bCs/>
          <w:iCs w:val="0"/>
          <w:szCs w:val="22"/>
        </w:rPr>
        <w:fldChar w:fldCharType="separate"/>
      </w:r>
      <w:r w:rsidR="001E66F2" w:rsidRPr="004664E6">
        <w:rPr>
          <w:rFonts w:asciiTheme="majorHAnsi" w:hAnsiTheme="majorHAnsi"/>
          <w:bCs/>
          <w:iCs w:val="0"/>
          <w:szCs w:val="22"/>
        </w:rPr>
        <w:t>12</w:t>
      </w:r>
      <w:r w:rsidR="00B53B79" w:rsidRPr="00EB3788">
        <w:rPr>
          <w:rFonts w:asciiTheme="majorHAnsi" w:hAnsiTheme="majorHAnsi"/>
          <w:bCs/>
          <w:iCs w:val="0"/>
          <w:szCs w:val="22"/>
        </w:rPr>
        <w:fldChar w:fldCharType="end"/>
      </w:r>
      <w:bookmarkEnd w:id="39"/>
      <w:r w:rsidRPr="00EB3788">
        <w:rPr>
          <w:rFonts w:asciiTheme="majorHAnsi" w:hAnsiTheme="majorHAnsi"/>
          <w:bCs/>
          <w:iCs w:val="0"/>
          <w:szCs w:val="22"/>
        </w:rPr>
        <w:t xml:space="preserve"> </w:t>
      </w:r>
      <w:r w:rsidR="0013609C" w:rsidRPr="00EB3788">
        <w:rPr>
          <w:rFonts w:asciiTheme="majorHAnsi" w:hAnsiTheme="majorHAnsi"/>
          <w:bCs/>
          <w:iCs w:val="0"/>
          <w:szCs w:val="22"/>
        </w:rPr>
        <w:t>Cefideroc</w:t>
      </w:r>
      <w:r w:rsidR="0070551A" w:rsidRPr="00EB3788">
        <w:rPr>
          <w:rFonts w:asciiTheme="majorHAnsi" w:hAnsiTheme="majorHAnsi"/>
          <w:bCs/>
          <w:iCs w:val="0"/>
          <w:szCs w:val="22"/>
        </w:rPr>
        <w:t>ol pharmacokinetic parameter</w:t>
      </w:r>
      <w:r w:rsidRPr="00EB3788">
        <w:rPr>
          <w:rFonts w:asciiTheme="majorHAnsi" w:hAnsiTheme="majorHAnsi"/>
          <w:bCs/>
          <w:iCs w:val="0"/>
          <w:szCs w:val="22"/>
        </w:rPr>
        <w:t>s</w:t>
      </w:r>
    </w:p>
    <w:tbl>
      <w:tblPr>
        <w:tblStyle w:val="TableNormal1"/>
        <w:tblW w:w="0" w:type="auto"/>
        <w:tblLayout w:type="fixed"/>
        <w:tblCellMar>
          <w:left w:w="28" w:type="dxa"/>
          <w:right w:w="28" w:type="dxa"/>
        </w:tblCellMar>
        <w:tblLook w:val="01E0" w:firstRow="1" w:lastRow="1" w:firstColumn="1" w:lastColumn="1" w:noHBand="0" w:noVBand="0"/>
      </w:tblPr>
      <w:tblGrid>
        <w:gridCol w:w="924"/>
        <w:gridCol w:w="1544"/>
        <w:gridCol w:w="1545"/>
        <w:gridCol w:w="1699"/>
        <w:gridCol w:w="1699"/>
        <w:gridCol w:w="1547"/>
      </w:tblGrid>
      <w:tr w:rsidR="0034613A" w:rsidRPr="00EB3788" w14:paraId="3315FEFE" w14:textId="77777777" w:rsidTr="00AD3FAC">
        <w:trPr>
          <w:trHeight w:val="535"/>
        </w:trPr>
        <w:tc>
          <w:tcPr>
            <w:tcW w:w="924" w:type="dxa"/>
            <w:tcBorders>
              <w:top w:val="single" w:sz="2" w:space="0" w:color="000000"/>
              <w:left w:val="single" w:sz="2" w:space="0" w:color="000000"/>
              <w:bottom w:val="single" w:sz="2" w:space="0" w:color="000000"/>
              <w:right w:val="single" w:sz="2" w:space="0" w:color="000000"/>
            </w:tcBorders>
            <w:vAlign w:val="center"/>
          </w:tcPr>
          <w:p w14:paraId="1FF499CA" w14:textId="64CF1C23" w:rsidR="0034613A" w:rsidRPr="00EB3788" w:rsidRDefault="0034613A" w:rsidP="00446C37">
            <w:pPr>
              <w:adjustRightInd w:val="0"/>
              <w:snapToGrid w:val="0"/>
              <w:spacing w:line="264" w:lineRule="auto"/>
              <w:rPr>
                <w:rFonts w:asciiTheme="majorHAnsi" w:eastAsia="MS Mincho" w:hAnsiTheme="majorHAnsi" w:cs="Times New Roman"/>
                <w:b/>
                <w:bCs/>
                <w:snapToGrid w:val="0"/>
                <w:sz w:val="20"/>
                <w:szCs w:val="20"/>
                <w:lang w:val="en-AU" w:eastAsia="ja-JP"/>
              </w:rPr>
            </w:pPr>
            <w:r w:rsidRPr="00EB3788">
              <w:rPr>
                <w:rFonts w:asciiTheme="majorHAnsi" w:eastAsia="MS Mincho" w:hAnsiTheme="majorHAnsi" w:cs="Times New Roman"/>
                <w:b/>
                <w:bCs/>
                <w:snapToGrid w:val="0"/>
                <w:sz w:val="20"/>
                <w:szCs w:val="20"/>
                <w:lang w:bidi="en-US"/>
              </w:rPr>
              <w:t>Dose (g)</w:t>
            </w:r>
          </w:p>
        </w:tc>
        <w:tc>
          <w:tcPr>
            <w:tcW w:w="1544" w:type="dxa"/>
            <w:tcBorders>
              <w:top w:val="single" w:sz="2" w:space="0" w:color="000000"/>
              <w:left w:val="single" w:sz="2" w:space="0" w:color="000000"/>
              <w:bottom w:val="single" w:sz="2" w:space="0" w:color="000000"/>
              <w:right w:val="single" w:sz="2" w:space="0" w:color="000000"/>
            </w:tcBorders>
            <w:vAlign w:val="center"/>
          </w:tcPr>
          <w:p w14:paraId="05BC9701" w14:textId="77777777" w:rsidR="0034613A" w:rsidRPr="00EB3788" w:rsidRDefault="0034613A" w:rsidP="00446C37">
            <w:pPr>
              <w:adjustRightInd w:val="0"/>
              <w:snapToGrid w:val="0"/>
              <w:spacing w:line="264" w:lineRule="auto"/>
              <w:rPr>
                <w:rFonts w:asciiTheme="majorHAnsi" w:eastAsia="MS Mincho" w:hAnsiTheme="majorHAnsi" w:cs="Times New Roman"/>
                <w:b/>
                <w:bCs/>
                <w:snapToGrid w:val="0"/>
                <w:sz w:val="20"/>
                <w:szCs w:val="20"/>
                <w:lang w:val="en-AU" w:eastAsia="ja-JP"/>
              </w:rPr>
            </w:pPr>
            <w:r w:rsidRPr="00EB3788">
              <w:rPr>
                <w:rFonts w:asciiTheme="majorHAnsi" w:eastAsia="MS Mincho" w:hAnsiTheme="majorHAnsi" w:cs="Times New Roman"/>
                <w:b/>
                <w:bCs/>
                <w:snapToGrid w:val="0"/>
                <w:sz w:val="20"/>
                <w:szCs w:val="20"/>
                <w:lang w:bidi="en-US"/>
              </w:rPr>
              <w:t>Infusion time (</w:t>
            </w:r>
            <w:proofErr w:type="spellStart"/>
            <w:r w:rsidRPr="00EB3788">
              <w:rPr>
                <w:rFonts w:asciiTheme="majorHAnsi" w:eastAsia="MS Mincho" w:hAnsiTheme="majorHAnsi" w:cs="Times New Roman"/>
                <w:b/>
                <w:bCs/>
                <w:snapToGrid w:val="0"/>
                <w:sz w:val="20"/>
                <w:szCs w:val="20"/>
                <w:lang w:bidi="en-US"/>
              </w:rPr>
              <w:t>hrs</w:t>
            </w:r>
            <w:proofErr w:type="spellEnd"/>
            <w:r w:rsidRPr="00EB3788">
              <w:rPr>
                <w:rFonts w:asciiTheme="majorHAnsi" w:eastAsia="MS Mincho" w:hAnsiTheme="majorHAnsi" w:cs="Times New Roman"/>
                <w:b/>
                <w:bCs/>
                <w:snapToGrid w:val="0"/>
                <w:sz w:val="20"/>
                <w:szCs w:val="20"/>
                <w:lang w:bidi="en-US"/>
              </w:rPr>
              <w:t>)</w:t>
            </w:r>
          </w:p>
        </w:tc>
        <w:tc>
          <w:tcPr>
            <w:tcW w:w="1545" w:type="dxa"/>
            <w:tcBorders>
              <w:top w:val="single" w:sz="2" w:space="0" w:color="000000"/>
              <w:left w:val="single" w:sz="2" w:space="0" w:color="000000"/>
              <w:bottom w:val="single" w:sz="2" w:space="0" w:color="000000"/>
              <w:right w:val="single" w:sz="2" w:space="0" w:color="000000"/>
            </w:tcBorders>
            <w:vAlign w:val="center"/>
          </w:tcPr>
          <w:p w14:paraId="2EF9B2D1" w14:textId="77777777" w:rsidR="0034613A" w:rsidRPr="00EB3788" w:rsidRDefault="0034613A" w:rsidP="00446C37">
            <w:pPr>
              <w:adjustRightInd w:val="0"/>
              <w:snapToGrid w:val="0"/>
              <w:spacing w:line="264" w:lineRule="auto"/>
              <w:rPr>
                <w:rFonts w:asciiTheme="majorHAnsi" w:eastAsia="MS Mincho" w:hAnsiTheme="majorHAnsi" w:cs="Times New Roman"/>
                <w:b/>
                <w:bCs/>
                <w:snapToGrid w:val="0"/>
                <w:sz w:val="20"/>
                <w:szCs w:val="20"/>
                <w:lang w:val="en-AU" w:eastAsia="ja-JP"/>
              </w:rPr>
            </w:pPr>
            <w:r w:rsidRPr="00EB3788">
              <w:rPr>
                <w:rFonts w:asciiTheme="majorHAnsi" w:eastAsia="MS Mincho" w:hAnsiTheme="majorHAnsi" w:cs="Times New Roman"/>
                <w:b/>
                <w:bCs/>
                <w:snapToGrid w:val="0"/>
                <w:sz w:val="20"/>
                <w:szCs w:val="20"/>
                <w:lang w:bidi="en-US"/>
              </w:rPr>
              <w:t>Number of subjects</w:t>
            </w:r>
          </w:p>
        </w:tc>
        <w:tc>
          <w:tcPr>
            <w:tcW w:w="1699" w:type="dxa"/>
            <w:tcBorders>
              <w:top w:val="single" w:sz="2" w:space="0" w:color="000000"/>
              <w:left w:val="single" w:sz="2" w:space="0" w:color="000000"/>
              <w:bottom w:val="single" w:sz="2" w:space="0" w:color="000000"/>
              <w:right w:val="single" w:sz="2" w:space="0" w:color="000000"/>
            </w:tcBorders>
            <w:vAlign w:val="center"/>
          </w:tcPr>
          <w:p w14:paraId="3C4DD145" w14:textId="77777777" w:rsidR="0034613A" w:rsidRPr="00EB3788" w:rsidRDefault="0034613A" w:rsidP="00446C37">
            <w:pPr>
              <w:adjustRightInd w:val="0"/>
              <w:snapToGrid w:val="0"/>
              <w:spacing w:line="264" w:lineRule="auto"/>
              <w:rPr>
                <w:rFonts w:asciiTheme="majorHAnsi" w:eastAsia="MS Mincho" w:hAnsiTheme="majorHAnsi" w:cs="Times New Roman"/>
                <w:b/>
                <w:bCs/>
                <w:snapToGrid w:val="0"/>
                <w:sz w:val="20"/>
                <w:szCs w:val="20"/>
                <w:lang w:val="en-AU" w:eastAsia="ja-JP"/>
              </w:rPr>
            </w:pPr>
            <w:r w:rsidRPr="00EB3788">
              <w:rPr>
                <w:rFonts w:asciiTheme="majorHAnsi" w:eastAsia="MS Mincho" w:hAnsiTheme="majorHAnsi" w:cs="Times New Roman"/>
                <w:b/>
                <w:bCs/>
                <w:snapToGrid w:val="0"/>
                <w:sz w:val="20"/>
                <w:szCs w:val="20"/>
                <w:lang w:val="en-AU" w:eastAsia="ja-JP" w:bidi="ja-JP"/>
              </w:rPr>
              <w:t>C</w:t>
            </w:r>
            <w:r w:rsidRPr="00EB3788">
              <w:rPr>
                <w:rFonts w:asciiTheme="majorHAnsi" w:eastAsia="MS Mincho" w:hAnsiTheme="majorHAnsi" w:cs="Times New Roman"/>
                <w:b/>
                <w:bCs/>
                <w:snapToGrid w:val="0"/>
                <w:sz w:val="20"/>
                <w:szCs w:val="20"/>
                <w:vertAlign w:val="subscript"/>
                <w:lang w:val="en-AU" w:eastAsia="ja-JP" w:bidi="ja-JP"/>
              </w:rPr>
              <w:t>max</w:t>
            </w:r>
          </w:p>
          <w:p w14:paraId="106219A3" w14:textId="77777777" w:rsidR="0034613A" w:rsidRPr="00EB3788" w:rsidRDefault="0034613A" w:rsidP="00446C37">
            <w:pPr>
              <w:adjustRightInd w:val="0"/>
              <w:snapToGrid w:val="0"/>
              <w:spacing w:line="264" w:lineRule="auto"/>
              <w:rPr>
                <w:rFonts w:asciiTheme="majorHAnsi" w:eastAsia="MS Mincho" w:hAnsiTheme="majorHAnsi" w:cs="Times New Roman"/>
                <w:b/>
                <w:bCs/>
                <w:snapToGrid w:val="0"/>
                <w:sz w:val="20"/>
                <w:szCs w:val="20"/>
                <w:lang w:val="en-AU" w:eastAsia="ja-JP"/>
              </w:rPr>
            </w:pPr>
            <w:r w:rsidRPr="00EB3788">
              <w:rPr>
                <w:rFonts w:asciiTheme="majorHAnsi" w:eastAsia="MS Mincho" w:hAnsiTheme="majorHAnsi" w:cs="Times New Roman"/>
                <w:b/>
                <w:bCs/>
                <w:snapToGrid w:val="0"/>
                <w:sz w:val="20"/>
                <w:szCs w:val="20"/>
                <w:lang w:val="en-AU" w:eastAsia="ja-JP" w:bidi="ja-JP"/>
              </w:rPr>
              <w:t>(μg/mL)</w:t>
            </w:r>
          </w:p>
        </w:tc>
        <w:tc>
          <w:tcPr>
            <w:tcW w:w="1699" w:type="dxa"/>
            <w:tcBorders>
              <w:top w:val="single" w:sz="2" w:space="0" w:color="000000"/>
              <w:left w:val="single" w:sz="2" w:space="0" w:color="000000"/>
              <w:bottom w:val="single" w:sz="2" w:space="0" w:color="000000"/>
              <w:right w:val="single" w:sz="2" w:space="0" w:color="000000"/>
            </w:tcBorders>
            <w:vAlign w:val="center"/>
          </w:tcPr>
          <w:p w14:paraId="1E7E4654" w14:textId="77777777" w:rsidR="0034613A" w:rsidRPr="00EB3788" w:rsidRDefault="0034613A" w:rsidP="00446C37">
            <w:pPr>
              <w:adjustRightInd w:val="0"/>
              <w:snapToGrid w:val="0"/>
              <w:spacing w:line="264" w:lineRule="auto"/>
              <w:rPr>
                <w:rFonts w:asciiTheme="majorHAnsi" w:eastAsia="MS Mincho" w:hAnsiTheme="majorHAnsi" w:cs="Times New Roman"/>
                <w:b/>
                <w:bCs/>
                <w:snapToGrid w:val="0"/>
                <w:sz w:val="20"/>
                <w:szCs w:val="20"/>
                <w:lang w:val="en-AU" w:eastAsia="ja-JP"/>
              </w:rPr>
            </w:pPr>
            <w:r w:rsidRPr="00EB3788">
              <w:rPr>
                <w:rFonts w:asciiTheme="majorHAnsi" w:eastAsia="MS Mincho" w:hAnsiTheme="majorHAnsi" w:cs="Times New Roman"/>
                <w:b/>
                <w:bCs/>
                <w:snapToGrid w:val="0"/>
                <w:sz w:val="20"/>
                <w:szCs w:val="20"/>
              </w:rPr>
              <w:t>AUC</w:t>
            </w:r>
          </w:p>
          <w:p w14:paraId="6D5CBC43" w14:textId="77777777" w:rsidR="0034613A" w:rsidRPr="00EB3788" w:rsidRDefault="0034613A" w:rsidP="00446C37">
            <w:pPr>
              <w:adjustRightInd w:val="0"/>
              <w:snapToGrid w:val="0"/>
              <w:spacing w:line="264" w:lineRule="auto"/>
              <w:rPr>
                <w:rFonts w:asciiTheme="majorHAnsi" w:eastAsia="MS Mincho" w:hAnsiTheme="majorHAnsi" w:cs="Times New Roman"/>
                <w:b/>
                <w:bCs/>
                <w:snapToGrid w:val="0"/>
                <w:sz w:val="20"/>
                <w:szCs w:val="20"/>
                <w:lang w:val="en-AU" w:eastAsia="ja-JP"/>
              </w:rPr>
            </w:pPr>
            <w:r w:rsidRPr="00EB3788">
              <w:rPr>
                <w:rFonts w:asciiTheme="majorHAnsi" w:eastAsia="MS Mincho" w:hAnsiTheme="majorHAnsi" w:cs="Times New Roman"/>
                <w:b/>
                <w:bCs/>
                <w:snapToGrid w:val="0"/>
                <w:sz w:val="20"/>
                <w:szCs w:val="20"/>
                <w:lang w:val="en-AU" w:eastAsia="ja-JP" w:bidi="ja-JP"/>
              </w:rPr>
              <w:t>(</w:t>
            </w:r>
            <w:proofErr w:type="spellStart"/>
            <w:r w:rsidRPr="00EB3788">
              <w:rPr>
                <w:rFonts w:asciiTheme="majorHAnsi" w:eastAsia="MS Mincho" w:hAnsiTheme="majorHAnsi" w:cs="Times New Roman"/>
                <w:b/>
                <w:bCs/>
                <w:snapToGrid w:val="0"/>
                <w:sz w:val="20"/>
                <w:szCs w:val="20"/>
                <w:lang w:val="en-AU" w:eastAsia="ja-JP" w:bidi="ja-JP"/>
              </w:rPr>
              <w:t>μg•hr</w:t>
            </w:r>
            <w:proofErr w:type="spellEnd"/>
            <w:r w:rsidRPr="00EB3788">
              <w:rPr>
                <w:rFonts w:asciiTheme="majorHAnsi" w:eastAsia="MS Mincho" w:hAnsiTheme="majorHAnsi" w:cs="Times New Roman"/>
                <w:b/>
                <w:bCs/>
                <w:snapToGrid w:val="0"/>
                <w:sz w:val="20"/>
                <w:szCs w:val="20"/>
                <w:lang w:val="en-AU" w:eastAsia="ja-JP" w:bidi="ja-JP"/>
              </w:rPr>
              <w:t>/mL)</w:t>
            </w:r>
          </w:p>
        </w:tc>
        <w:tc>
          <w:tcPr>
            <w:tcW w:w="1545" w:type="dxa"/>
            <w:tcBorders>
              <w:top w:val="single" w:sz="2" w:space="0" w:color="000000"/>
              <w:left w:val="single" w:sz="2" w:space="0" w:color="000000"/>
              <w:bottom w:val="single" w:sz="2" w:space="0" w:color="000000"/>
              <w:right w:val="single" w:sz="2" w:space="0" w:color="000000"/>
            </w:tcBorders>
            <w:vAlign w:val="center"/>
          </w:tcPr>
          <w:p w14:paraId="19AF3594" w14:textId="77777777" w:rsidR="0034613A" w:rsidRPr="00EB3788" w:rsidRDefault="0034613A" w:rsidP="00446C37">
            <w:pPr>
              <w:adjustRightInd w:val="0"/>
              <w:snapToGrid w:val="0"/>
              <w:spacing w:line="264" w:lineRule="auto"/>
              <w:rPr>
                <w:rFonts w:asciiTheme="majorHAnsi" w:eastAsia="MS Mincho" w:hAnsiTheme="majorHAnsi" w:cs="Times New Roman"/>
                <w:b/>
                <w:bCs/>
                <w:snapToGrid w:val="0"/>
                <w:sz w:val="20"/>
                <w:szCs w:val="20"/>
                <w:vertAlign w:val="subscript"/>
                <w:lang w:val="en-AU" w:eastAsia="ja-JP"/>
              </w:rPr>
            </w:pPr>
            <w:r w:rsidRPr="00EB3788">
              <w:rPr>
                <w:rFonts w:asciiTheme="majorHAnsi" w:eastAsia="MS Mincho" w:hAnsiTheme="majorHAnsi" w:cs="Times New Roman"/>
                <w:b/>
                <w:bCs/>
                <w:snapToGrid w:val="0"/>
                <w:sz w:val="20"/>
                <w:szCs w:val="20"/>
              </w:rPr>
              <w:t>T</w:t>
            </w:r>
            <w:r w:rsidRPr="00EB3788">
              <w:rPr>
                <w:rFonts w:asciiTheme="majorHAnsi" w:eastAsia="MS Mincho" w:hAnsiTheme="majorHAnsi" w:cs="Times New Roman"/>
                <w:b/>
                <w:bCs/>
                <w:snapToGrid w:val="0"/>
                <w:sz w:val="20"/>
                <w:szCs w:val="20"/>
                <w:vertAlign w:val="subscript"/>
              </w:rPr>
              <w:t>1/2</w:t>
            </w:r>
          </w:p>
          <w:p w14:paraId="71A71D25" w14:textId="77777777" w:rsidR="0034613A" w:rsidRPr="00EB3788" w:rsidRDefault="0034613A" w:rsidP="00446C37">
            <w:pPr>
              <w:adjustRightInd w:val="0"/>
              <w:snapToGrid w:val="0"/>
              <w:spacing w:line="264" w:lineRule="auto"/>
              <w:rPr>
                <w:rFonts w:asciiTheme="majorHAnsi" w:eastAsia="MS Mincho" w:hAnsiTheme="majorHAnsi" w:cs="Times New Roman"/>
                <w:b/>
                <w:bCs/>
                <w:snapToGrid w:val="0"/>
                <w:sz w:val="20"/>
                <w:szCs w:val="20"/>
                <w:lang w:val="en-AU" w:eastAsia="ja-JP"/>
              </w:rPr>
            </w:pPr>
            <w:r w:rsidRPr="00EB3788">
              <w:rPr>
                <w:rFonts w:asciiTheme="majorHAnsi" w:eastAsia="MS Mincho" w:hAnsiTheme="majorHAnsi" w:cs="Times New Roman"/>
                <w:b/>
                <w:bCs/>
                <w:snapToGrid w:val="0"/>
                <w:sz w:val="20"/>
                <w:szCs w:val="20"/>
              </w:rPr>
              <w:t>(</w:t>
            </w:r>
            <w:proofErr w:type="spellStart"/>
            <w:r w:rsidRPr="00EB3788">
              <w:rPr>
                <w:rFonts w:asciiTheme="majorHAnsi" w:eastAsia="MS Mincho" w:hAnsiTheme="majorHAnsi" w:cs="Times New Roman"/>
                <w:b/>
                <w:bCs/>
                <w:snapToGrid w:val="0"/>
                <w:sz w:val="20"/>
                <w:szCs w:val="20"/>
              </w:rPr>
              <w:t>hr</w:t>
            </w:r>
            <w:proofErr w:type="spellEnd"/>
            <w:r w:rsidRPr="00EB3788">
              <w:rPr>
                <w:rFonts w:asciiTheme="majorHAnsi" w:eastAsia="MS Mincho" w:hAnsiTheme="majorHAnsi" w:cs="Times New Roman"/>
                <w:b/>
                <w:bCs/>
                <w:snapToGrid w:val="0"/>
                <w:sz w:val="20"/>
                <w:szCs w:val="20"/>
              </w:rPr>
              <w:t>)</w:t>
            </w:r>
          </w:p>
        </w:tc>
      </w:tr>
      <w:tr w:rsidR="0034613A" w:rsidRPr="00EB3788" w14:paraId="620BC8C3" w14:textId="77777777" w:rsidTr="00AD3FAC">
        <w:trPr>
          <w:trHeight w:val="262"/>
        </w:trPr>
        <w:tc>
          <w:tcPr>
            <w:tcW w:w="8958" w:type="dxa"/>
            <w:gridSpan w:val="6"/>
            <w:tcBorders>
              <w:top w:val="single" w:sz="2" w:space="0" w:color="000000"/>
              <w:left w:val="single" w:sz="2" w:space="0" w:color="000000"/>
              <w:bottom w:val="single" w:sz="2" w:space="0" w:color="000000"/>
              <w:right w:val="single" w:sz="2" w:space="0" w:color="000000"/>
            </w:tcBorders>
            <w:vAlign w:val="center"/>
          </w:tcPr>
          <w:p w14:paraId="6DE41523"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bidi="en-US"/>
              </w:rPr>
              <w:t>Single administration</w:t>
            </w:r>
          </w:p>
        </w:tc>
      </w:tr>
      <w:tr w:rsidR="0034613A" w:rsidRPr="00EB3788" w14:paraId="6D923A24" w14:textId="77777777" w:rsidTr="00AD3FAC">
        <w:trPr>
          <w:trHeight w:val="272"/>
        </w:trPr>
        <w:tc>
          <w:tcPr>
            <w:tcW w:w="924" w:type="dxa"/>
            <w:tcBorders>
              <w:top w:val="single" w:sz="2" w:space="0" w:color="000000"/>
              <w:left w:val="single" w:sz="2" w:space="0" w:color="000000"/>
              <w:bottom w:val="single" w:sz="2" w:space="0" w:color="000000"/>
              <w:right w:val="single" w:sz="2" w:space="0" w:color="000000"/>
            </w:tcBorders>
            <w:vAlign w:val="center"/>
          </w:tcPr>
          <w:p w14:paraId="7921D427"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val="en-AU" w:eastAsia="ja-JP" w:bidi="ja-JP"/>
              </w:rPr>
              <w:t>2</w:t>
            </w:r>
          </w:p>
        </w:tc>
        <w:tc>
          <w:tcPr>
            <w:tcW w:w="1544" w:type="dxa"/>
            <w:tcBorders>
              <w:top w:val="single" w:sz="2" w:space="0" w:color="000000"/>
              <w:left w:val="single" w:sz="2" w:space="0" w:color="000000"/>
              <w:bottom w:val="single" w:sz="2" w:space="0" w:color="000000"/>
              <w:right w:val="single" w:sz="2" w:space="0" w:color="000000"/>
            </w:tcBorders>
            <w:vAlign w:val="center"/>
          </w:tcPr>
          <w:p w14:paraId="21D4CAEA" w14:textId="7C15C2A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vertAlign w:val="superscript"/>
                <w:lang w:val="en-AU" w:eastAsia="ja-JP"/>
              </w:rPr>
            </w:pPr>
            <w:r w:rsidRPr="00EB3788">
              <w:rPr>
                <w:rFonts w:asciiTheme="majorHAnsi" w:eastAsia="MS Mincho" w:hAnsiTheme="majorHAnsi" w:cs="Times New Roman"/>
                <w:snapToGrid w:val="0"/>
                <w:sz w:val="20"/>
                <w:szCs w:val="20"/>
                <w:lang w:bidi="en-US"/>
              </w:rPr>
              <w:t>1</w:t>
            </w:r>
          </w:p>
        </w:tc>
        <w:tc>
          <w:tcPr>
            <w:tcW w:w="1545" w:type="dxa"/>
            <w:tcBorders>
              <w:top w:val="single" w:sz="2" w:space="0" w:color="000000"/>
              <w:left w:val="single" w:sz="2" w:space="0" w:color="000000"/>
              <w:bottom w:val="single" w:sz="2" w:space="0" w:color="000000"/>
              <w:right w:val="single" w:sz="2" w:space="0" w:color="000000"/>
            </w:tcBorders>
            <w:vAlign w:val="center"/>
          </w:tcPr>
          <w:p w14:paraId="7B793877" w14:textId="227EE291"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vertAlign w:val="superscript"/>
                <w:lang w:val="en-AU" w:eastAsia="ja-JP"/>
              </w:rPr>
            </w:pPr>
            <w:r w:rsidRPr="00EB3788">
              <w:rPr>
                <w:rFonts w:asciiTheme="majorHAnsi" w:eastAsia="MS Mincho" w:hAnsiTheme="majorHAnsi" w:cs="Times New Roman"/>
                <w:snapToGrid w:val="0"/>
                <w:sz w:val="20"/>
                <w:szCs w:val="20"/>
                <w:lang w:bidi="en-US"/>
              </w:rPr>
              <w:t>6</w:t>
            </w:r>
            <w:r w:rsidRPr="00EB3788">
              <w:rPr>
                <w:rFonts w:asciiTheme="majorHAnsi" w:eastAsia="MS Mincho" w:hAnsiTheme="majorHAnsi" w:cs="Times New Roman"/>
                <w:snapToGrid w:val="0"/>
                <w:sz w:val="20"/>
                <w:szCs w:val="20"/>
                <w:vertAlign w:val="superscript"/>
                <w:lang w:bidi="en-US"/>
              </w:rPr>
              <w:t xml:space="preserve"> </w:t>
            </w:r>
          </w:p>
        </w:tc>
        <w:tc>
          <w:tcPr>
            <w:tcW w:w="1699" w:type="dxa"/>
            <w:tcBorders>
              <w:top w:val="single" w:sz="2" w:space="0" w:color="000000"/>
              <w:left w:val="single" w:sz="2" w:space="0" w:color="000000"/>
              <w:bottom w:val="single" w:sz="2" w:space="0" w:color="000000"/>
              <w:right w:val="single" w:sz="2" w:space="0" w:color="000000"/>
            </w:tcBorders>
            <w:vAlign w:val="center"/>
          </w:tcPr>
          <w:p w14:paraId="747815AD"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val="en-AU" w:eastAsia="ja-JP" w:bidi="ja-JP"/>
              </w:rPr>
              <w:t>156(7.9)</w:t>
            </w:r>
          </w:p>
        </w:tc>
        <w:tc>
          <w:tcPr>
            <w:tcW w:w="1699" w:type="dxa"/>
            <w:tcBorders>
              <w:top w:val="single" w:sz="2" w:space="0" w:color="000000"/>
              <w:left w:val="single" w:sz="2" w:space="0" w:color="000000"/>
              <w:bottom w:val="single" w:sz="2" w:space="0" w:color="000000"/>
              <w:right w:val="single" w:sz="2" w:space="0" w:color="000000"/>
            </w:tcBorders>
            <w:vAlign w:val="center"/>
          </w:tcPr>
          <w:p w14:paraId="3DE49625"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val="en-AU" w:eastAsia="ja-JP" w:bidi="ja-JP"/>
              </w:rPr>
              <w:t>389.7(9.0)</w:t>
            </w:r>
          </w:p>
        </w:tc>
        <w:tc>
          <w:tcPr>
            <w:tcW w:w="1545" w:type="dxa"/>
            <w:tcBorders>
              <w:top w:val="single" w:sz="2" w:space="0" w:color="000000"/>
              <w:left w:val="single" w:sz="2" w:space="0" w:color="000000"/>
              <w:bottom w:val="single" w:sz="2" w:space="0" w:color="000000"/>
              <w:right w:val="single" w:sz="2" w:space="0" w:color="000000"/>
            </w:tcBorders>
            <w:vAlign w:val="center"/>
          </w:tcPr>
          <w:p w14:paraId="0560CC82"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val="en-AU" w:eastAsia="ja-JP" w:bidi="ja-JP"/>
              </w:rPr>
              <w:t>2.74(10.2)</w:t>
            </w:r>
          </w:p>
        </w:tc>
      </w:tr>
      <w:tr w:rsidR="0034613A" w:rsidRPr="00EB3788" w14:paraId="14223EF7" w14:textId="77777777" w:rsidTr="00AD3FAC">
        <w:trPr>
          <w:trHeight w:val="262"/>
        </w:trPr>
        <w:tc>
          <w:tcPr>
            <w:tcW w:w="924" w:type="dxa"/>
            <w:tcBorders>
              <w:top w:val="single" w:sz="2" w:space="0" w:color="000000"/>
              <w:left w:val="single" w:sz="2" w:space="0" w:color="000000"/>
              <w:bottom w:val="single" w:sz="2" w:space="0" w:color="000000"/>
              <w:right w:val="single" w:sz="2" w:space="0" w:color="000000"/>
            </w:tcBorders>
            <w:vAlign w:val="center"/>
          </w:tcPr>
          <w:p w14:paraId="1DCD69A5"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val="en-AU" w:eastAsia="ja-JP" w:bidi="ja-JP"/>
              </w:rPr>
              <w:t>2</w:t>
            </w:r>
          </w:p>
        </w:tc>
        <w:tc>
          <w:tcPr>
            <w:tcW w:w="1544" w:type="dxa"/>
            <w:tcBorders>
              <w:top w:val="single" w:sz="2" w:space="0" w:color="000000"/>
              <w:left w:val="single" w:sz="2" w:space="0" w:color="000000"/>
              <w:bottom w:val="single" w:sz="2" w:space="0" w:color="000000"/>
              <w:right w:val="single" w:sz="2" w:space="0" w:color="000000"/>
            </w:tcBorders>
            <w:vAlign w:val="center"/>
          </w:tcPr>
          <w:p w14:paraId="6C5AAE70"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val="en-AU" w:eastAsia="ja-JP" w:bidi="ja-JP"/>
              </w:rPr>
              <w:t>3</w:t>
            </w:r>
          </w:p>
        </w:tc>
        <w:tc>
          <w:tcPr>
            <w:tcW w:w="1545" w:type="dxa"/>
            <w:tcBorders>
              <w:top w:val="single" w:sz="2" w:space="0" w:color="000000"/>
              <w:left w:val="single" w:sz="2" w:space="0" w:color="000000"/>
              <w:bottom w:val="single" w:sz="2" w:space="0" w:color="000000"/>
              <w:right w:val="single" w:sz="2" w:space="0" w:color="000000"/>
            </w:tcBorders>
            <w:vAlign w:val="center"/>
          </w:tcPr>
          <w:p w14:paraId="6DE2F42C" w14:textId="77FF7CAF"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vertAlign w:val="superscript"/>
                <w:lang w:val="en-AU" w:eastAsia="ja-JP"/>
              </w:rPr>
            </w:pPr>
            <w:r w:rsidRPr="00EB3788">
              <w:rPr>
                <w:rFonts w:asciiTheme="majorHAnsi" w:eastAsia="MS Mincho" w:hAnsiTheme="majorHAnsi" w:cs="Times New Roman"/>
                <w:snapToGrid w:val="0"/>
                <w:sz w:val="20"/>
                <w:szCs w:val="20"/>
                <w:lang w:bidi="en-US"/>
              </w:rPr>
              <w:t>43</w:t>
            </w:r>
            <w:r w:rsidRPr="00EB3788">
              <w:rPr>
                <w:rFonts w:asciiTheme="majorHAnsi" w:eastAsia="MS Mincho" w:hAnsiTheme="majorHAnsi" w:cs="Times New Roman"/>
                <w:snapToGrid w:val="0"/>
                <w:sz w:val="20"/>
                <w:szCs w:val="20"/>
                <w:vertAlign w:val="superscript"/>
                <w:lang w:bidi="en-US"/>
              </w:rPr>
              <w:t xml:space="preserve"> </w:t>
            </w:r>
          </w:p>
        </w:tc>
        <w:tc>
          <w:tcPr>
            <w:tcW w:w="1699" w:type="dxa"/>
            <w:tcBorders>
              <w:top w:val="single" w:sz="2" w:space="0" w:color="000000"/>
              <w:left w:val="single" w:sz="2" w:space="0" w:color="000000"/>
              <w:bottom w:val="single" w:sz="2" w:space="0" w:color="000000"/>
              <w:right w:val="single" w:sz="2" w:space="0" w:color="000000"/>
            </w:tcBorders>
            <w:vAlign w:val="center"/>
          </w:tcPr>
          <w:p w14:paraId="36BE34FF"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val="en-AU" w:eastAsia="ja-JP" w:bidi="ja-JP"/>
              </w:rPr>
              <w:t>89.7(20.5)</w:t>
            </w:r>
          </w:p>
        </w:tc>
        <w:tc>
          <w:tcPr>
            <w:tcW w:w="1699" w:type="dxa"/>
            <w:tcBorders>
              <w:top w:val="single" w:sz="2" w:space="0" w:color="000000"/>
              <w:left w:val="single" w:sz="2" w:space="0" w:color="000000"/>
              <w:bottom w:val="single" w:sz="2" w:space="0" w:color="000000"/>
              <w:right w:val="single" w:sz="2" w:space="0" w:color="000000"/>
            </w:tcBorders>
            <w:vAlign w:val="center"/>
          </w:tcPr>
          <w:p w14:paraId="3A03DB9A"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val="en-AU" w:eastAsia="ja-JP" w:bidi="ja-JP"/>
              </w:rPr>
              <w:t>386.1(17.2)</w:t>
            </w:r>
          </w:p>
        </w:tc>
        <w:tc>
          <w:tcPr>
            <w:tcW w:w="1545" w:type="dxa"/>
            <w:tcBorders>
              <w:top w:val="single" w:sz="2" w:space="0" w:color="000000"/>
              <w:left w:val="single" w:sz="2" w:space="0" w:color="000000"/>
              <w:bottom w:val="single" w:sz="2" w:space="0" w:color="000000"/>
              <w:right w:val="single" w:sz="2" w:space="0" w:color="000000"/>
            </w:tcBorders>
            <w:vAlign w:val="center"/>
          </w:tcPr>
          <w:p w14:paraId="410C68EE"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val="en-AU" w:eastAsia="ja-JP" w:bidi="ja-JP"/>
              </w:rPr>
              <w:t>2.41(14.0)</w:t>
            </w:r>
          </w:p>
        </w:tc>
      </w:tr>
      <w:tr w:rsidR="0034613A" w:rsidRPr="00EB3788" w14:paraId="3894ADCB" w14:textId="77777777" w:rsidTr="00AD3FAC">
        <w:trPr>
          <w:trHeight w:val="262"/>
        </w:trPr>
        <w:tc>
          <w:tcPr>
            <w:tcW w:w="8958" w:type="dxa"/>
            <w:gridSpan w:val="6"/>
            <w:tcBorders>
              <w:top w:val="single" w:sz="2" w:space="0" w:color="000000"/>
              <w:left w:val="single" w:sz="2" w:space="0" w:color="000000"/>
              <w:bottom w:val="single" w:sz="2" w:space="0" w:color="000000"/>
              <w:right w:val="single" w:sz="2" w:space="0" w:color="000000"/>
            </w:tcBorders>
            <w:vAlign w:val="center"/>
          </w:tcPr>
          <w:p w14:paraId="00D64EAB"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bidi="en-US"/>
              </w:rPr>
              <w:t>Repeated administration (for 10 days)</w:t>
            </w:r>
          </w:p>
        </w:tc>
      </w:tr>
      <w:tr w:rsidR="0034613A" w:rsidRPr="00EB3788" w14:paraId="5C841E56" w14:textId="77777777" w:rsidTr="00AD3FAC">
        <w:trPr>
          <w:trHeight w:val="262"/>
        </w:trPr>
        <w:tc>
          <w:tcPr>
            <w:tcW w:w="924" w:type="dxa"/>
            <w:tcBorders>
              <w:top w:val="single" w:sz="2" w:space="0" w:color="000000"/>
              <w:left w:val="single" w:sz="2" w:space="0" w:color="000000"/>
              <w:bottom w:val="single" w:sz="2" w:space="0" w:color="000000"/>
              <w:right w:val="single" w:sz="2" w:space="0" w:color="000000"/>
            </w:tcBorders>
            <w:vAlign w:val="center"/>
          </w:tcPr>
          <w:p w14:paraId="3ADC1D03"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val="en-AU" w:eastAsia="ja-JP" w:bidi="ja-JP"/>
              </w:rPr>
              <w:t>2</w:t>
            </w:r>
          </w:p>
        </w:tc>
        <w:tc>
          <w:tcPr>
            <w:tcW w:w="1544" w:type="dxa"/>
            <w:tcBorders>
              <w:top w:val="single" w:sz="2" w:space="0" w:color="000000"/>
              <w:left w:val="single" w:sz="2" w:space="0" w:color="000000"/>
              <w:bottom w:val="single" w:sz="2" w:space="0" w:color="000000"/>
              <w:right w:val="single" w:sz="2" w:space="0" w:color="000000"/>
            </w:tcBorders>
            <w:vAlign w:val="center"/>
          </w:tcPr>
          <w:p w14:paraId="2951E058" w14:textId="6D27A1BB"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vertAlign w:val="superscript"/>
                <w:lang w:val="en-AU" w:eastAsia="ja-JP"/>
              </w:rPr>
            </w:pPr>
            <w:r w:rsidRPr="00EB3788">
              <w:rPr>
                <w:rFonts w:asciiTheme="majorHAnsi" w:eastAsia="MS Mincho" w:hAnsiTheme="majorHAnsi" w:cs="Times New Roman"/>
                <w:snapToGrid w:val="0"/>
                <w:sz w:val="20"/>
                <w:szCs w:val="20"/>
                <w:lang w:bidi="en-US"/>
              </w:rPr>
              <w:t>1</w:t>
            </w:r>
          </w:p>
        </w:tc>
        <w:tc>
          <w:tcPr>
            <w:tcW w:w="1545" w:type="dxa"/>
            <w:tcBorders>
              <w:top w:val="single" w:sz="2" w:space="0" w:color="000000"/>
              <w:left w:val="single" w:sz="2" w:space="0" w:color="000000"/>
              <w:bottom w:val="single" w:sz="2" w:space="0" w:color="000000"/>
              <w:right w:val="single" w:sz="2" w:space="0" w:color="000000"/>
            </w:tcBorders>
            <w:vAlign w:val="center"/>
          </w:tcPr>
          <w:p w14:paraId="45186B28" w14:textId="2418FFA6"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vertAlign w:val="superscript"/>
                <w:lang w:val="en-AU" w:eastAsia="ja-JP"/>
              </w:rPr>
            </w:pPr>
            <w:r w:rsidRPr="00EB3788">
              <w:rPr>
                <w:rFonts w:asciiTheme="majorHAnsi" w:eastAsia="MS Mincho" w:hAnsiTheme="majorHAnsi" w:cs="Times New Roman"/>
                <w:snapToGrid w:val="0"/>
                <w:sz w:val="20"/>
                <w:szCs w:val="20"/>
                <w:lang w:bidi="en-US"/>
              </w:rPr>
              <w:t>8</w:t>
            </w:r>
            <w:r w:rsidRPr="00EB3788">
              <w:rPr>
                <w:rFonts w:asciiTheme="majorHAnsi" w:eastAsia="MS Mincho" w:hAnsiTheme="majorHAnsi" w:cs="Times New Roman"/>
                <w:snapToGrid w:val="0"/>
                <w:sz w:val="20"/>
                <w:szCs w:val="20"/>
                <w:vertAlign w:val="superscript"/>
                <w:lang w:bidi="en-US"/>
              </w:rPr>
              <w:t xml:space="preserve"> </w:t>
            </w:r>
          </w:p>
        </w:tc>
        <w:tc>
          <w:tcPr>
            <w:tcW w:w="1699" w:type="dxa"/>
            <w:tcBorders>
              <w:top w:val="single" w:sz="2" w:space="0" w:color="000000"/>
              <w:left w:val="single" w:sz="2" w:space="0" w:color="000000"/>
              <w:bottom w:val="single" w:sz="2" w:space="0" w:color="000000"/>
              <w:right w:val="single" w:sz="2" w:space="0" w:color="000000"/>
            </w:tcBorders>
            <w:vAlign w:val="center"/>
          </w:tcPr>
          <w:p w14:paraId="54D3B98B"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val="en-AU" w:eastAsia="ja-JP" w:bidi="ja-JP"/>
              </w:rPr>
              <w:t>153(12.9)</w:t>
            </w:r>
          </w:p>
        </w:tc>
        <w:tc>
          <w:tcPr>
            <w:tcW w:w="1699" w:type="dxa"/>
            <w:tcBorders>
              <w:top w:val="single" w:sz="2" w:space="0" w:color="000000"/>
              <w:left w:val="single" w:sz="2" w:space="0" w:color="000000"/>
              <w:bottom w:val="single" w:sz="2" w:space="0" w:color="000000"/>
              <w:right w:val="single" w:sz="2" w:space="0" w:color="000000"/>
            </w:tcBorders>
            <w:vAlign w:val="center"/>
          </w:tcPr>
          <w:p w14:paraId="5981E56F"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val="en-AU" w:eastAsia="ja-JP" w:bidi="ja-JP"/>
              </w:rPr>
              <w:t>366.5(14.0)</w:t>
            </w:r>
          </w:p>
        </w:tc>
        <w:tc>
          <w:tcPr>
            <w:tcW w:w="1545" w:type="dxa"/>
            <w:tcBorders>
              <w:top w:val="single" w:sz="2" w:space="0" w:color="000000"/>
              <w:left w:val="single" w:sz="2" w:space="0" w:color="000000"/>
              <w:bottom w:val="single" w:sz="2" w:space="0" w:color="000000"/>
              <w:right w:val="single" w:sz="2" w:space="0" w:color="000000"/>
            </w:tcBorders>
            <w:vAlign w:val="center"/>
          </w:tcPr>
          <w:p w14:paraId="674BA84A" w14:textId="77777777" w:rsidR="0034613A" w:rsidRPr="00EB3788" w:rsidRDefault="0034613A" w:rsidP="00446C37">
            <w:pPr>
              <w:adjustRightInd w:val="0"/>
              <w:snapToGrid w:val="0"/>
              <w:spacing w:line="264" w:lineRule="auto"/>
              <w:rPr>
                <w:rFonts w:asciiTheme="majorHAnsi" w:eastAsia="MS Mincho" w:hAnsiTheme="majorHAnsi" w:cs="Times New Roman"/>
                <w:snapToGrid w:val="0"/>
                <w:sz w:val="20"/>
                <w:szCs w:val="20"/>
                <w:lang w:val="en-AU" w:eastAsia="ja-JP"/>
              </w:rPr>
            </w:pPr>
            <w:r w:rsidRPr="00EB3788">
              <w:rPr>
                <w:rFonts w:asciiTheme="majorHAnsi" w:eastAsia="MS Mincho" w:hAnsiTheme="majorHAnsi" w:cs="Times New Roman"/>
                <w:snapToGrid w:val="0"/>
                <w:sz w:val="20"/>
                <w:szCs w:val="20"/>
                <w:lang w:val="en-AU" w:eastAsia="ja-JP" w:bidi="ja-JP"/>
              </w:rPr>
              <w:t>2.72(21.6)</w:t>
            </w:r>
          </w:p>
        </w:tc>
      </w:tr>
    </w:tbl>
    <w:p w14:paraId="7992A1B3" w14:textId="0C2B1FF9" w:rsidR="00B3128C" w:rsidRPr="00EB3788" w:rsidRDefault="0034613A" w:rsidP="00446C37">
      <w:pPr>
        <w:rPr>
          <w:rFonts w:asciiTheme="majorHAnsi" w:hAnsiTheme="majorHAnsi"/>
          <w:sz w:val="16"/>
          <w:szCs w:val="16"/>
        </w:rPr>
      </w:pPr>
      <w:r w:rsidRPr="00EB3788">
        <w:rPr>
          <w:rFonts w:asciiTheme="majorHAnsi" w:eastAsia="MS Mincho" w:hAnsiTheme="majorHAnsi" w:cs="Times New Roman"/>
          <w:snapToGrid w:val="0"/>
          <w:sz w:val="16"/>
          <w:szCs w:val="16"/>
          <w:lang w:bidi="en-US"/>
        </w:rPr>
        <w:t>(Measurement method: LC/MS/MS) (geometric mean [% geometric coefficient of variation (CV)]</w:t>
      </w:r>
    </w:p>
    <w:p w14:paraId="6DAC2233" w14:textId="6D213838" w:rsidR="0021200F" w:rsidRPr="00EB3788" w:rsidRDefault="0021200F" w:rsidP="00446C37">
      <w:pPr>
        <w:pStyle w:val="Heading3"/>
        <w:spacing w:before="0" w:after="120"/>
        <w:ind w:left="0"/>
        <w:rPr>
          <w:rFonts w:cstheme="minorHAnsi"/>
          <w:b w:val="0"/>
        </w:rPr>
      </w:pPr>
      <w:r w:rsidRPr="00EB3788">
        <w:rPr>
          <w:rFonts w:cstheme="minorHAnsi"/>
        </w:rPr>
        <w:t xml:space="preserve">Distribution </w:t>
      </w:r>
    </w:p>
    <w:p w14:paraId="78DEDED2" w14:textId="37AB48B5" w:rsidR="006F6B0C" w:rsidRPr="00EB3788" w:rsidRDefault="004001CA" w:rsidP="00446C37">
      <w:pPr>
        <w:pStyle w:val="body"/>
        <w:spacing w:line="276" w:lineRule="auto"/>
        <w:jc w:val="left"/>
        <w:rPr>
          <w:rFonts w:asciiTheme="majorHAnsi" w:hAnsiTheme="majorHAnsi" w:cs="Times New Roman"/>
          <w:snapToGrid w:val="0"/>
          <w:sz w:val="22"/>
          <w:lang w:val="en-AU" w:bidi="en-US"/>
        </w:rPr>
      </w:pPr>
      <w:r w:rsidRPr="00EB3788">
        <w:rPr>
          <w:rFonts w:asciiTheme="majorHAnsi" w:hAnsiTheme="majorHAnsi" w:cs="Times New Roman"/>
          <w:snapToGrid w:val="0"/>
          <w:sz w:val="22"/>
          <w:lang w:val="en-AU" w:bidi="en-US"/>
        </w:rPr>
        <w:t>The binding of cefiderocol to human plasma proteins, primarily albumin, is in the range of 40 to 60%, the geometric mean (CV%) volume of distribution during the terminal phase of cefiderocol in healthy</w:t>
      </w:r>
      <w:r w:rsidR="0070097D" w:rsidRPr="00EB3788">
        <w:rPr>
          <w:rFonts w:asciiTheme="majorHAnsi" w:hAnsiTheme="majorHAnsi" w:cs="Times New Roman"/>
          <w:snapToGrid w:val="0"/>
          <w:sz w:val="22"/>
          <w:lang w:val="en-AU" w:bidi="en-US"/>
        </w:rPr>
        <w:t xml:space="preserve"> </w:t>
      </w:r>
      <w:r w:rsidRPr="00EB3788">
        <w:rPr>
          <w:rFonts w:asciiTheme="majorHAnsi" w:hAnsiTheme="majorHAnsi" w:cs="Times New Roman"/>
          <w:snapToGrid w:val="0"/>
          <w:sz w:val="22"/>
          <w:lang w:val="en-AU" w:bidi="en-US"/>
        </w:rPr>
        <w:t>adult subjects (n = 43) after intravenous administration of a single 2 g dose of cefiderocol was 18.0 L</w:t>
      </w:r>
      <w:r w:rsidR="0070097D" w:rsidRPr="00EB3788">
        <w:rPr>
          <w:rFonts w:asciiTheme="majorHAnsi" w:hAnsiTheme="majorHAnsi" w:cs="Times New Roman"/>
          <w:snapToGrid w:val="0"/>
          <w:sz w:val="22"/>
          <w:lang w:val="en-AU" w:bidi="en-US"/>
        </w:rPr>
        <w:t xml:space="preserve"> </w:t>
      </w:r>
      <w:r w:rsidRPr="00EB3788">
        <w:rPr>
          <w:rFonts w:asciiTheme="majorHAnsi" w:hAnsiTheme="majorHAnsi" w:cs="Times New Roman"/>
          <w:snapToGrid w:val="0"/>
          <w:sz w:val="22"/>
          <w:lang w:val="en-AU" w:bidi="en-US"/>
        </w:rPr>
        <w:t>(18.1%), similar to extracellular fluid volume.</w:t>
      </w:r>
    </w:p>
    <w:p w14:paraId="5F5E1E60" w14:textId="77777777" w:rsidR="004001CA" w:rsidRPr="00EB3788" w:rsidRDefault="004001CA" w:rsidP="00446C37">
      <w:pPr>
        <w:pStyle w:val="body"/>
        <w:spacing w:line="276" w:lineRule="auto"/>
        <w:ind w:left="170"/>
        <w:jc w:val="left"/>
        <w:rPr>
          <w:rFonts w:asciiTheme="majorHAnsi" w:hAnsiTheme="majorHAnsi" w:cs="Times New Roman"/>
          <w:snapToGrid w:val="0"/>
          <w:sz w:val="22"/>
          <w:lang w:val="en-AU" w:bidi="en-US"/>
        </w:rPr>
      </w:pPr>
    </w:p>
    <w:p w14:paraId="29EA2F7D" w14:textId="05C660FD" w:rsidR="008C51E9" w:rsidRPr="00EB3788" w:rsidRDefault="00221CDB" w:rsidP="00446C37">
      <w:pPr>
        <w:pStyle w:val="body"/>
        <w:spacing w:after="240" w:line="276" w:lineRule="auto"/>
        <w:jc w:val="left"/>
        <w:rPr>
          <w:rFonts w:asciiTheme="majorHAnsi" w:hAnsiTheme="majorHAnsi" w:cs="Times New Roman"/>
          <w:snapToGrid w:val="0"/>
          <w:sz w:val="22"/>
          <w:lang w:val="en-AU" w:bidi="en-US"/>
        </w:rPr>
      </w:pPr>
      <w:r w:rsidRPr="00EB3788">
        <w:rPr>
          <w:rFonts w:asciiTheme="majorHAnsi" w:hAnsiTheme="majorHAnsi" w:cs="Times New Roman"/>
          <w:snapToGrid w:val="0"/>
          <w:sz w:val="22"/>
          <w:lang w:val="en-AU" w:bidi="en-US"/>
        </w:rPr>
        <w:t xml:space="preserve">Following </w:t>
      </w:r>
      <w:r w:rsidR="002163C6" w:rsidRPr="00EB3788">
        <w:rPr>
          <w:rFonts w:asciiTheme="majorHAnsi" w:hAnsiTheme="majorHAnsi" w:cs="Times New Roman"/>
          <w:snapToGrid w:val="0"/>
          <w:sz w:val="22"/>
          <w:lang w:val="en-AU" w:bidi="en-US"/>
        </w:rPr>
        <w:t xml:space="preserve">a cefiderocol 2 g dose (or renal function equivalent dose) </w:t>
      </w:r>
      <w:r w:rsidR="0052688B" w:rsidRPr="00EB3788">
        <w:rPr>
          <w:rFonts w:asciiTheme="majorHAnsi" w:hAnsiTheme="majorHAnsi" w:cs="Times New Roman"/>
          <w:snapToGrid w:val="0"/>
          <w:sz w:val="22"/>
          <w:lang w:val="en-AU" w:bidi="en-US"/>
        </w:rPr>
        <w:t xml:space="preserve">at steady state in patients with pneumonia requiring mechanical ventilation with a 3-hour infusion, the cefiderocol concentrations in epithelial lining fluid ranged 3.1 to 20.7 </w:t>
      </w:r>
      <w:r w:rsidR="00D5555B" w:rsidRPr="00EB3788">
        <w:rPr>
          <w:rFonts w:asciiTheme="majorHAnsi" w:hAnsiTheme="majorHAnsi" w:cs="Times New Roman"/>
          <w:snapToGrid w:val="0"/>
          <w:sz w:val="22"/>
          <w:lang w:val="en-AU" w:bidi="en-US"/>
        </w:rPr>
        <w:t xml:space="preserve">μg/mL </w:t>
      </w:r>
      <w:r w:rsidR="0052688B" w:rsidRPr="00EB3788">
        <w:rPr>
          <w:rFonts w:asciiTheme="majorHAnsi" w:hAnsiTheme="majorHAnsi" w:cs="Times New Roman"/>
          <w:snapToGrid w:val="0"/>
          <w:sz w:val="22"/>
          <w:lang w:val="en-AU" w:bidi="en-US"/>
        </w:rPr>
        <w:t xml:space="preserve">and 7.2 to 15.9 </w:t>
      </w:r>
      <w:r w:rsidR="000144F0" w:rsidRPr="00EB3788">
        <w:rPr>
          <w:rFonts w:asciiTheme="majorHAnsi" w:hAnsiTheme="majorHAnsi" w:cs="Times New Roman"/>
          <w:snapToGrid w:val="0"/>
          <w:sz w:val="22"/>
          <w:lang w:val="en-AU" w:bidi="en-US"/>
        </w:rPr>
        <w:t xml:space="preserve">μg/mL </w:t>
      </w:r>
      <w:r w:rsidR="0052688B" w:rsidRPr="00EB3788">
        <w:rPr>
          <w:rFonts w:asciiTheme="majorHAnsi" w:hAnsiTheme="majorHAnsi" w:cs="Times New Roman"/>
          <w:snapToGrid w:val="0"/>
          <w:sz w:val="22"/>
          <w:lang w:val="en-AU" w:bidi="en-US"/>
        </w:rPr>
        <w:t>at the end of infusion and at 2 hours after the end of infusion, respectively.</w:t>
      </w:r>
    </w:p>
    <w:p w14:paraId="7FA90099" w14:textId="09B9E4CE" w:rsidR="0021200F" w:rsidRPr="00EB3788" w:rsidRDefault="0021200F" w:rsidP="00446C37">
      <w:pPr>
        <w:pStyle w:val="Heading3"/>
        <w:spacing w:before="0" w:after="120"/>
        <w:ind w:left="0"/>
        <w:rPr>
          <w:rFonts w:cstheme="minorHAnsi"/>
          <w:b w:val="0"/>
        </w:rPr>
      </w:pPr>
      <w:r w:rsidRPr="00EB3788">
        <w:rPr>
          <w:rFonts w:cstheme="minorHAnsi"/>
        </w:rPr>
        <w:t xml:space="preserve">Metabolism </w:t>
      </w:r>
    </w:p>
    <w:p w14:paraId="404ECCF8" w14:textId="4455983E" w:rsidR="002463E9" w:rsidRPr="00EB3788" w:rsidRDefault="002463E9" w:rsidP="00446C37">
      <w:pPr>
        <w:pStyle w:val="body"/>
        <w:spacing w:after="240" w:line="264" w:lineRule="auto"/>
        <w:jc w:val="left"/>
        <w:rPr>
          <w:rFonts w:asciiTheme="majorHAnsi" w:hAnsiTheme="majorHAnsi" w:cs="Times New Roman"/>
          <w:snapToGrid w:val="0"/>
          <w:sz w:val="22"/>
          <w:lang w:val="en-AU" w:bidi="en-US"/>
        </w:rPr>
      </w:pPr>
      <w:r w:rsidRPr="00EB3788">
        <w:rPr>
          <w:rFonts w:asciiTheme="majorHAnsi" w:hAnsiTheme="majorHAnsi" w:cs="Times New Roman"/>
          <w:snapToGrid w:val="0"/>
          <w:sz w:val="22"/>
          <w:lang w:val="en-AU" w:bidi="en-US"/>
        </w:rPr>
        <w:t xml:space="preserve">After administration of a single 1 g dose of </w:t>
      </w:r>
      <w:r w:rsidR="00A3679C" w:rsidRPr="00EB3788">
        <w:rPr>
          <w:rFonts w:asciiTheme="majorHAnsi" w:hAnsiTheme="majorHAnsi" w:cs="Times New Roman"/>
          <w:snapToGrid w:val="0"/>
          <w:sz w:val="22"/>
          <w:lang w:val="en-AU" w:bidi="en-US"/>
        </w:rPr>
        <w:t>[</w:t>
      </w:r>
      <w:r w:rsidR="00A3679C" w:rsidRPr="00EB3788">
        <w:rPr>
          <w:rFonts w:asciiTheme="majorHAnsi" w:hAnsiTheme="majorHAnsi" w:cs="Times New Roman"/>
          <w:snapToGrid w:val="0"/>
          <w:sz w:val="22"/>
          <w:vertAlign w:val="superscript"/>
          <w:lang w:val="en-AU" w:bidi="en-US"/>
        </w:rPr>
        <w:t>14</w:t>
      </w:r>
      <w:r w:rsidR="00A3679C" w:rsidRPr="00EB3788">
        <w:rPr>
          <w:rFonts w:asciiTheme="majorHAnsi" w:hAnsiTheme="majorHAnsi" w:cs="Times New Roman"/>
          <w:snapToGrid w:val="0"/>
          <w:sz w:val="22"/>
          <w:lang w:val="en-AU" w:bidi="en-US"/>
        </w:rPr>
        <w:t>C]-</w:t>
      </w:r>
      <w:r w:rsidRPr="00EB3788">
        <w:rPr>
          <w:rFonts w:asciiTheme="majorHAnsi" w:hAnsiTheme="majorHAnsi" w:cs="Times New Roman"/>
          <w:snapToGrid w:val="0"/>
          <w:sz w:val="22"/>
          <w:lang w:val="en-AU" w:bidi="en-US"/>
        </w:rPr>
        <w:t>labelled cefiderocol infused over 1 hour, cefiderocol accounted for 92.3% of the plasma AUC for total radioactivity.</w:t>
      </w:r>
    </w:p>
    <w:p w14:paraId="1188FA60" w14:textId="619F741E" w:rsidR="0021200F" w:rsidRPr="00EB3788" w:rsidRDefault="0021200F" w:rsidP="00446C37">
      <w:pPr>
        <w:pStyle w:val="Heading3"/>
        <w:spacing w:before="0" w:after="120"/>
        <w:ind w:left="0"/>
        <w:rPr>
          <w:rFonts w:cstheme="minorHAnsi"/>
          <w:b w:val="0"/>
        </w:rPr>
      </w:pPr>
      <w:r w:rsidRPr="00EB3788">
        <w:rPr>
          <w:rFonts w:cstheme="minorHAnsi"/>
        </w:rPr>
        <w:lastRenderedPageBreak/>
        <w:t xml:space="preserve">Excretion </w:t>
      </w:r>
    </w:p>
    <w:p w14:paraId="706D1889" w14:textId="25105414" w:rsidR="002421FD" w:rsidRPr="00EB3788" w:rsidRDefault="00FA06F6" w:rsidP="00446C37">
      <w:pPr>
        <w:pStyle w:val="body"/>
        <w:spacing w:after="240" w:line="264" w:lineRule="auto"/>
        <w:jc w:val="left"/>
        <w:rPr>
          <w:rFonts w:asciiTheme="majorHAnsi" w:hAnsiTheme="majorHAnsi" w:cs="Times New Roman"/>
          <w:snapToGrid w:val="0"/>
          <w:sz w:val="22"/>
          <w:lang w:val="en-AU" w:bidi="en-US"/>
        </w:rPr>
      </w:pPr>
      <w:r w:rsidRPr="00EB3788">
        <w:rPr>
          <w:rFonts w:asciiTheme="majorHAnsi" w:hAnsiTheme="majorHAnsi" w:cs="Times New Roman"/>
          <w:snapToGrid w:val="0"/>
          <w:sz w:val="22"/>
          <w:lang w:val="en-AU" w:bidi="en-US"/>
        </w:rPr>
        <w:t xml:space="preserve">After administration of a single 1 g dose of </w:t>
      </w:r>
      <w:r w:rsidR="00F311FC" w:rsidRPr="00EB3788">
        <w:rPr>
          <w:rFonts w:asciiTheme="majorHAnsi" w:hAnsiTheme="majorHAnsi" w:cs="Times New Roman"/>
          <w:snapToGrid w:val="0"/>
          <w:sz w:val="22"/>
          <w:lang w:val="en-AU" w:bidi="en-US"/>
        </w:rPr>
        <w:t>[</w:t>
      </w:r>
      <w:r w:rsidR="00F311FC" w:rsidRPr="00EB3788">
        <w:rPr>
          <w:rFonts w:asciiTheme="majorHAnsi" w:hAnsiTheme="majorHAnsi" w:cs="Times New Roman"/>
          <w:snapToGrid w:val="0"/>
          <w:sz w:val="22"/>
          <w:vertAlign w:val="superscript"/>
          <w:lang w:val="en-AU" w:bidi="en-US"/>
        </w:rPr>
        <w:t>14</w:t>
      </w:r>
      <w:r w:rsidR="00F311FC" w:rsidRPr="00EB3788">
        <w:rPr>
          <w:rFonts w:asciiTheme="majorHAnsi" w:hAnsiTheme="majorHAnsi" w:cs="Times New Roman"/>
          <w:snapToGrid w:val="0"/>
          <w:sz w:val="22"/>
          <w:lang w:val="en-AU" w:bidi="en-US"/>
        </w:rPr>
        <w:t>C]</w:t>
      </w:r>
      <w:r w:rsidRPr="00EB3788">
        <w:rPr>
          <w:rFonts w:asciiTheme="majorHAnsi" w:hAnsiTheme="majorHAnsi" w:cs="Times New Roman"/>
          <w:snapToGrid w:val="0"/>
          <w:sz w:val="22"/>
          <w:lang w:val="en-AU" w:bidi="en-US"/>
        </w:rPr>
        <w:t>-labelled cefiderocol infused over 1 hour, the amount of total radioactivity excreted in urine was 98.6%</w:t>
      </w:r>
      <w:r w:rsidR="00F311FC" w:rsidRPr="00EB3788">
        <w:rPr>
          <w:rFonts w:asciiTheme="majorHAnsi" w:hAnsiTheme="majorHAnsi" w:cs="Times New Roman"/>
          <w:snapToGrid w:val="0"/>
          <w:sz w:val="22"/>
          <w:lang w:val="en-AU" w:bidi="en-US"/>
        </w:rPr>
        <w:t xml:space="preserve"> </w:t>
      </w:r>
      <w:r w:rsidRPr="00EB3788">
        <w:rPr>
          <w:rFonts w:asciiTheme="majorHAnsi" w:hAnsiTheme="majorHAnsi" w:cs="Times New Roman"/>
          <w:snapToGrid w:val="0"/>
          <w:sz w:val="22"/>
          <w:lang w:val="en-AU" w:bidi="en-US"/>
        </w:rPr>
        <w:t>of the administered dose, with 2.8% of the administered dose excreted in faeces. The amount of</w:t>
      </w:r>
      <w:r w:rsidR="00F311FC" w:rsidRPr="00EB3788">
        <w:rPr>
          <w:rFonts w:asciiTheme="majorHAnsi" w:hAnsiTheme="majorHAnsi" w:cs="Times New Roman"/>
          <w:snapToGrid w:val="0"/>
          <w:sz w:val="22"/>
          <w:lang w:val="en-AU" w:bidi="en-US"/>
        </w:rPr>
        <w:t xml:space="preserve"> </w:t>
      </w:r>
      <w:r w:rsidRPr="00EB3788">
        <w:rPr>
          <w:rFonts w:asciiTheme="majorHAnsi" w:hAnsiTheme="majorHAnsi" w:cs="Times New Roman"/>
          <w:snapToGrid w:val="0"/>
          <w:sz w:val="22"/>
          <w:lang w:val="en-AU" w:bidi="en-US"/>
        </w:rPr>
        <w:t>unchanged cefiderocol excreted in urine was 90.6% of the administered dose.</w:t>
      </w:r>
    </w:p>
    <w:p w14:paraId="43879F84" w14:textId="7659F85F" w:rsidR="00750EA9" w:rsidRPr="00EB3788" w:rsidRDefault="002028D1" w:rsidP="00446C37">
      <w:pPr>
        <w:pStyle w:val="Heading3"/>
        <w:spacing w:before="0" w:after="120"/>
        <w:ind w:left="0"/>
        <w:rPr>
          <w:rFonts w:cstheme="minorHAnsi"/>
          <w:b w:val="0"/>
        </w:rPr>
      </w:pPr>
      <w:r w:rsidRPr="00EB3788">
        <w:rPr>
          <w:rFonts w:cstheme="minorHAnsi"/>
        </w:rPr>
        <w:t>Patients with renal impairment</w:t>
      </w:r>
    </w:p>
    <w:p w14:paraId="76F470E4" w14:textId="100C5FCB" w:rsidR="00894783" w:rsidRPr="00EB3788" w:rsidRDefault="00710694" w:rsidP="00446C37">
      <w:pPr>
        <w:pStyle w:val="body"/>
        <w:spacing w:after="240" w:line="276" w:lineRule="auto"/>
        <w:jc w:val="left"/>
        <w:rPr>
          <w:rFonts w:asciiTheme="majorHAnsi" w:hAnsiTheme="majorHAnsi" w:cs="Times New Roman"/>
          <w:snapToGrid w:val="0"/>
          <w:sz w:val="22"/>
          <w:lang w:val="en-AU" w:bidi="en-US"/>
        </w:rPr>
      </w:pPr>
      <w:r w:rsidRPr="00EB3788">
        <w:rPr>
          <w:rFonts w:asciiTheme="majorHAnsi" w:hAnsiTheme="majorHAnsi" w:cs="Times New Roman"/>
          <w:snapToGrid w:val="0"/>
          <w:sz w:val="22"/>
          <w:lang w:val="en-AU" w:bidi="en-US"/>
        </w:rPr>
        <w:t xml:space="preserve">The pharmacokinetics of cefiderocol </w:t>
      </w:r>
      <w:r w:rsidR="00034C3E" w:rsidRPr="00EB3788">
        <w:rPr>
          <w:rFonts w:asciiTheme="majorHAnsi" w:hAnsiTheme="majorHAnsi" w:cs="Times New Roman"/>
          <w:snapToGrid w:val="0"/>
          <w:sz w:val="22"/>
          <w:lang w:val="en-AU" w:bidi="en-US"/>
        </w:rPr>
        <w:t xml:space="preserve">after administration of a single 1 g dose was assessed </w:t>
      </w:r>
      <w:r w:rsidR="00EC7F28" w:rsidRPr="00EB3788">
        <w:rPr>
          <w:rFonts w:asciiTheme="majorHAnsi" w:hAnsiTheme="majorHAnsi" w:cs="Times New Roman"/>
          <w:snapToGrid w:val="0"/>
          <w:sz w:val="22"/>
          <w:lang w:val="en-AU" w:bidi="en-US"/>
        </w:rPr>
        <w:t xml:space="preserve">in </w:t>
      </w:r>
      <w:r w:rsidR="00A525A2" w:rsidRPr="00EB3788">
        <w:rPr>
          <w:rFonts w:asciiTheme="majorHAnsi" w:hAnsiTheme="majorHAnsi" w:cs="Times New Roman"/>
          <w:snapToGrid w:val="0"/>
          <w:sz w:val="22"/>
          <w:lang w:val="en-AU" w:bidi="en-US"/>
        </w:rPr>
        <w:t xml:space="preserve">patients with normal renal function, patients with mild, moderate or severe renal impairment, and patients with end stage renal failure requiring </w:t>
      </w:r>
      <w:r w:rsidR="005A1CF9" w:rsidRPr="00EB3788">
        <w:rPr>
          <w:rFonts w:asciiTheme="majorHAnsi" w:hAnsiTheme="majorHAnsi" w:cs="Times New Roman"/>
          <w:snapToGrid w:val="0"/>
          <w:sz w:val="22"/>
          <w:lang w:val="en-AU" w:bidi="en-US"/>
        </w:rPr>
        <w:t>haemodialysis</w:t>
      </w:r>
      <w:r w:rsidR="000E26DE" w:rsidRPr="00EB3788">
        <w:rPr>
          <w:rFonts w:asciiTheme="majorHAnsi" w:hAnsiTheme="majorHAnsi" w:cs="Times New Roman"/>
          <w:snapToGrid w:val="0"/>
          <w:sz w:val="22"/>
          <w:lang w:val="en-AU" w:bidi="en-US"/>
        </w:rPr>
        <w:t>. T</w:t>
      </w:r>
      <w:r w:rsidR="00A525A2" w:rsidRPr="00EB3788">
        <w:rPr>
          <w:rFonts w:asciiTheme="majorHAnsi" w:hAnsiTheme="majorHAnsi" w:cs="Times New Roman"/>
          <w:snapToGrid w:val="0"/>
          <w:sz w:val="22"/>
          <w:lang w:val="en-AU" w:bidi="en-US"/>
        </w:rPr>
        <w:t xml:space="preserve">he AUC of cefiderocol increased with the increase in the severity of renal impairment as shown in </w:t>
      </w:r>
      <w:r w:rsidR="000E26DE" w:rsidRPr="00EB3788">
        <w:rPr>
          <w:rFonts w:asciiTheme="majorHAnsi" w:hAnsiTheme="majorHAnsi" w:cs="Times New Roman"/>
          <w:snapToGrid w:val="0"/>
          <w:color w:val="0000EE"/>
          <w:sz w:val="22"/>
          <w:lang w:val="en-AU" w:bidi="en-US"/>
        </w:rPr>
        <w:fldChar w:fldCharType="begin" w:fldLock="1"/>
      </w:r>
      <w:r w:rsidR="000E26DE" w:rsidRPr="00EB3788">
        <w:rPr>
          <w:rFonts w:asciiTheme="majorHAnsi" w:hAnsiTheme="majorHAnsi" w:cs="Times New Roman"/>
          <w:snapToGrid w:val="0"/>
          <w:color w:val="0000EE"/>
          <w:sz w:val="22"/>
          <w:lang w:val="en-AU" w:bidi="en-US"/>
        </w:rPr>
        <w:instrText xml:space="preserve"> REF _Ref171504173 \h  \* MERGEFORMAT </w:instrText>
      </w:r>
      <w:r w:rsidR="000E26DE" w:rsidRPr="00EB3788">
        <w:rPr>
          <w:rFonts w:asciiTheme="majorHAnsi" w:hAnsiTheme="majorHAnsi" w:cs="Times New Roman"/>
          <w:snapToGrid w:val="0"/>
          <w:color w:val="0000EE"/>
          <w:sz w:val="22"/>
          <w:lang w:val="en-AU" w:bidi="en-US"/>
        </w:rPr>
      </w:r>
      <w:r w:rsidR="000E26DE" w:rsidRPr="00EB3788">
        <w:rPr>
          <w:rFonts w:asciiTheme="majorHAnsi" w:hAnsiTheme="majorHAnsi" w:cs="Times New Roman"/>
          <w:snapToGrid w:val="0"/>
          <w:color w:val="0000EE"/>
          <w:sz w:val="22"/>
          <w:lang w:val="en-AU" w:bidi="en-US"/>
        </w:rPr>
        <w:fldChar w:fldCharType="separate"/>
      </w:r>
      <w:r w:rsidR="00425866" w:rsidRPr="00EB3788">
        <w:rPr>
          <w:rFonts w:asciiTheme="majorHAnsi" w:hAnsiTheme="majorHAnsi"/>
          <w:color w:val="0000EE"/>
          <w:sz w:val="22"/>
          <w:lang w:val="en-AU"/>
        </w:rPr>
        <w:t>Table 13</w:t>
      </w:r>
      <w:r w:rsidR="000E26DE" w:rsidRPr="00EB3788">
        <w:rPr>
          <w:rFonts w:asciiTheme="majorHAnsi" w:hAnsiTheme="majorHAnsi" w:cs="Times New Roman"/>
          <w:snapToGrid w:val="0"/>
          <w:color w:val="0000EE"/>
          <w:sz w:val="22"/>
          <w:lang w:val="en-AU" w:bidi="en-US"/>
        </w:rPr>
        <w:fldChar w:fldCharType="end"/>
      </w:r>
      <w:r w:rsidR="00A525A2" w:rsidRPr="00EB3788">
        <w:rPr>
          <w:rFonts w:asciiTheme="majorHAnsi" w:hAnsiTheme="majorHAnsi" w:cs="Times New Roman"/>
          <w:snapToGrid w:val="0"/>
          <w:sz w:val="22"/>
          <w:lang w:val="en-AU" w:bidi="en-US"/>
        </w:rPr>
        <w:t xml:space="preserve">. The membrane permeation clearance of cefiderocol during continuous renal replacement therapy was dependent on the inflow rate of the filtrate or dialysate in an </w:t>
      </w:r>
      <w:r w:rsidR="00A525A2" w:rsidRPr="00EB3788">
        <w:rPr>
          <w:rFonts w:asciiTheme="majorHAnsi" w:hAnsiTheme="majorHAnsi" w:cs="Times New Roman"/>
          <w:i/>
          <w:snapToGrid w:val="0"/>
          <w:sz w:val="22"/>
          <w:lang w:val="en-AU" w:bidi="en-US"/>
        </w:rPr>
        <w:t>in vitro</w:t>
      </w:r>
      <w:r w:rsidR="00A525A2" w:rsidRPr="00EB3788">
        <w:rPr>
          <w:rFonts w:asciiTheme="majorHAnsi" w:hAnsiTheme="majorHAnsi" w:cs="Times New Roman"/>
          <w:snapToGrid w:val="0"/>
          <w:sz w:val="22"/>
          <w:lang w:val="en-AU" w:bidi="en-US"/>
        </w:rPr>
        <w:t xml:space="preserve"> dialysis experiment. Exposure to cefiderocol may be reduced in patients receiving continuous renal replacement therapy.</w:t>
      </w:r>
    </w:p>
    <w:p w14:paraId="26294D28" w14:textId="736BDA27" w:rsidR="000E26DE" w:rsidRPr="00EB3788" w:rsidRDefault="000E26DE" w:rsidP="00446C37">
      <w:pPr>
        <w:pStyle w:val="Caption"/>
        <w:keepNext/>
        <w:rPr>
          <w:rFonts w:asciiTheme="majorHAnsi" w:hAnsiTheme="majorHAnsi"/>
          <w:b w:val="0"/>
          <w:bCs/>
          <w:i/>
          <w:iCs w:val="0"/>
          <w:szCs w:val="22"/>
        </w:rPr>
      </w:pPr>
      <w:bookmarkStart w:id="40" w:name="_Ref171504173"/>
      <w:r w:rsidRPr="00EB3788">
        <w:rPr>
          <w:rFonts w:asciiTheme="majorHAnsi" w:hAnsiTheme="majorHAnsi"/>
          <w:bCs/>
          <w:iCs w:val="0"/>
          <w:szCs w:val="22"/>
        </w:rPr>
        <w:t xml:space="preserve">Table </w:t>
      </w:r>
      <w:r w:rsidR="00B53B79" w:rsidRPr="00EB3788">
        <w:rPr>
          <w:rFonts w:asciiTheme="majorHAnsi" w:hAnsiTheme="majorHAnsi"/>
          <w:bCs/>
          <w:iCs w:val="0"/>
          <w:szCs w:val="22"/>
        </w:rPr>
        <w:fldChar w:fldCharType="begin"/>
      </w:r>
      <w:r w:rsidR="00B53B79" w:rsidRPr="00EB3788">
        <w:rPr>
          <w:rFonts w:asciiTheme="majorHAnsi" w:hAnsiTheme="majorHAnsi"/>
          <w:bCs/>
          <w:iCs w:val="0"/>
          <w:szCs w:val="22"/>
        </w:rPr>
        <w:instrText xml:space="preserve"> SEQ Table \* ARABIC </w:instrText>
      </w:r>
      <w:r w:rsidR="00B53B79" w:rsidRPr="00EB3788">
        <w:rPr>
          <w:rFonts w:asciiTheme="majorHAnsi" w:hAnsiTheme="majorHAnsi"/>
          <w:bCs/>
          <w:iCs w:val="0"/>
          <w:szCs w:val="22"/>
        </w:rPr>
        <w:fldChar w:fldCharType="separate"/>
      </w:r>
      <w:r w:rsidR="001E66F2" w:rsidRPr="004664E6">
        <w:rPr>
          <w:rFonts w:asciiTheme="majorHAnsi" w:hAnsiTheme="majorHAnsi"/>
          <w:bCs/>
          <w:iCs w:val="0"/>
          <w:szCs w:val="22"/>
        </w:rPr>
        <w:t>13</w:t>
      </w:r>
      <w:r w:rsidR="00B53B79" w:rsidRPr="00EB3788">
        <w:rPr>
          <w:rFonts w:asciiTheme="majorHAnsi" w:hAnsiTheme="majorHAnsi"/>
          <w:bCs/>
          <w:iCs w:val="0"/>
          <w:szCs w:val="22"/>
        </w:rPr>
        <w:fldChar w:fldCharType="end"/>
      </w:r>
      <w:bookmarkEnd w:id="40"/>
      <w:r w:rsidRPr="00EB3788">
        <w:rPr>
          <w:rFonts w:asciiTheme="majorHAnsi" w:hAnsiTheme="majorHAnsi"/>
          <w:bCs/>
          <w:iCs w:val="0"/>
          <w:szCs w:val="22"/>
        </w:rPr>
        <w:t xml:space="preserve"> </w:t>
      </w:r>
      <w:r w:rsidR="003C7523" w:rsidRPr="00EB3788">
        <w:rPr>
          <w:rFonts w:asciiTheme="majorHAnsi" w:hAnsiTheme="majorHAnsi"/>
          <w:bCs/>
          <w:iCs w:val="0"/>
          <w:szCs w:val="22"/>
        </w:rPr>
        <w:t xml:space="preserve">Cefiderocol </w:t>
      </w:r>
      <w:r w:rsidRPr="00EB3788">
        <w:rPr>
          <w:rFonts w:asciiTheme="majorHAnsi" w:hAnsiTheme="majorHAnsi"/>
          <w:bCs/>
          <w:iCs w:val="0"/>
          <w:szCs w:val="22"/>
        </w:rPr>
        <w:t>AUC</w:t>
      </w:r>
      <w:r w:rsidR="0070551A" w:rsidRPr="00EB3788">
        <w:rPr>
          <w:rFonts w:asciiTheme="majorHAnsi" w:hAnsiTheme="majorHAnsi"/>
          <w:bCs/>
          <w:iCs w:val="0"/>
          <w:szCs w:val="22"/>
        </w:rPr>
        <w:t xml:space="preserve"> according to the degree of renal function</w:t>
      </w:r>
    </w:p>
    <w:tbl>
      <w:tblPr>
        <w:tblStyle w:val="TableNormal1"/>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3452"/>
        <w:gridCol w:w="951"/>
        <w:gridCol w:w="1090"/>
        <w:gridCol w:w="3527"/>
      </w:tblGrid>
      <w:tr w:rsidR="00A525A2" w:rsidRPr="00EB3788" w14:paraId="527795F7" w14:textId="77777777" w:rsidTr="00F80993">
        <w:tc>
          <w:tcPr>
            <w:tcW w:w="1914" w:type="pct"/>
            <w:vMerge w:val="restart"/>
            <w:vAlign w:val="center"/>
          </w:tcPr>
          <w:p w14:paraId="1A9BD244" w14:textId="77777777" w:rsidR="00A525A2" w:rsidRPr="00EB3788" w:rsidRDefault="00A525A2" w:rsidP="00446C37">
            <w:pPr>
              <w:pStyle w:val="body"/>
              <w:spacing w:line="264" w:lineRule="auto"/>
              <w:jc w:val="left"/>
              <w:rPr>
                <w:rFonts w:asciiTheme="majorHAnsi" w:hAnsiTheme="majorHAnsi" w:cs="Times New Roman"/>
                <w:b/>
                <w:bCs/>
                <w:snapToGrid w:val="0"/>
                <w:sz w:val="20"/>
                <w:szCs w:val="20"/>
                <w:lang w:val="en-AU"/>
              </w:rPr>
            </w:pPr>
            <w:r w:rsidRPr="00EB3788">
              <w:rPr>
                <w:rFonts w:asciiTheme="majorHAnsi" w:hAnsiTheme="majorHAnsi" w:cs="Times New Roman"/>
                <w:b/>
                <w:bCs/>
                <w:snapToGrid w:val="0"/>
                <w:sz w:val="20"/>
                <w:szCs w:val="20"/>
                <w:lang w:val="en-AU" w:bidi="en-US"/>
              </w:rPr>
              <w:t>Degree of renal function</w:t>
            </w:r>
          </w:p>
          <w:p w14:paraId="66DE42DB" w14:textId="77777777" w:rsidR="00A525A2" w:rsidRPr="00EB3788" w:rsidRDefault="00A525A2" w:rsidP="00446C37">
            <w:pPr>
              <w:pStyle w:val="body"/>
              <w:spacing w:line="264" w:lineRule="auto"/>
              <w:jc w:val="left"/>
              <w:rPr>
                <w:rFonts w:asciiTheme="majorHAnsi" w:hAnsiTheme="majorHAnsi" w:cs="Times New Roman"/>
                <w:b/>
                <w:bCs/>
                <w:snapToGrid w:val="0"/>
                <w:sz w:val="20"/>
                <w:szCs w:val="20"/>
                <w:lang w:val="en-AU"/>
              </w:rPr>
            </w:pPr>
            <w:r w:rsidRPr="00EB3788">
              <w:rPr>
                <w:rFonts w:asciiTheme="majorHAnsi" w:hAnsiTheme="majorHAnsi" w:cs="Times New Roman"/>
                <w:b/>
                <w:bCs/>
                <w:snapToGrid w:val="0"/>
                <w:sz w:val="20"/>
                <w:szCs w:val="20"/>
                <w:lang w:val="en-AU" w:bidi="en-US"/>
              </w:rPr>
              <w:t>(estimated glomerular filtration rate: eGFR)</w:t>
            </w:r>
          </w:p>
          <w:p w14:paraId="77B7C8B0" w14:textId="77777777" w:rsidR="00A525A2" w:rsidRPr="00EB3788" w:rsidRDefault="00A525A2" w:rsidP="00446C37">
            <w:pPr>
              <w:pStyle w:val="TableParagraph"/>
              <w:adjustRightInd w:val="0"/>
              <w:spacing w:line="264" w:lineRule="auto"/>
              <w:jc w:val="left"/>
              <w:rPr>
                <w:rFonts w:asciiTheme="majorHAnsi" w:hAnsiTheme="majorHAnsi" w:cs="Times New Roman"/>
                <w:b/>
                <w:bCs/>
                <w:snapToGrid w:val="0"/>
                <w:sz w:val="20"/>
                <w:szCs w:val="20"/>
                <w:lang w:val="en-AU" w:eastAsia="ja-JP"/>
              </w:rPr>
            </w:pPr>
            <w:r w:rsidRPr="00EB3788">
              <w:rPr>
                <w:rFonts w:asciiTheme="majorHAnsi" w:hAnsiTheme="majorHAnsi" w:cs="Times New Roman"/>
                <w:b/>
                <w:bCs/>
                <w:snapToGrid w:val="0"/>
                <w:sz w:val="20"/>
                <w:szCs w:val="20"/>
                <w:lang w:val="en-AU" w:eastAsia="ja-JP" w:bidi="ja-JP"/>
              </w:rPr>
              <w:t>(mL/min/1.73 m</w:t>
            </w:r>
            <w:r w:rsidRPr="00EB3788">
              <w:rPr>
                <w:rFonts w:asciiTheme="majorHAnsi" w:hAnsiTheme="majorHAnsi" w:cs="Times New Roman"/>
                <w:b/>
                <w:bCs/>
                <w:snapToGrid w:val="0"/>
                <w:sz w:val="20"/>
                <w:szCs w:val="20"/>
                <w:vertAlign w:val="superscript"/>
                <w:lang w:val="en-AU" w:eastAsia="ja-JP" w:bidi="ja-JP"/>
              </w:rPr>
              <w:t>2</w:t>
            </w:r>
            <w:r w:rsidRPr="00EB3788">
              <w:rPr>
                <w:rFonts w:asciiTheme="majorHAnsi" w:hAnsiTheme="majorHAnsi" w:cs="Times New Roman"/>
                <w:b/>
                <w:bCs/>
                <w:snapToGrid w:val="0"/>
                <w:sz w:val="20"/>
                <w:szCs w:val="20"/>
                <w:lang w:val="en-AU" w:eastAsia="ja-JP" w:bidi="ja-JP"/>
              </w:rPr>
              <w:t>)</w:t>
            </w:r>
          </w:p>
        </w:tc>
        <w:tc>
          <w:tcPr>
            <w:tcW w:w="527" w:type="pct"/>
            <w:vMerge w:val="restart"/>
            <w:vAlign w:val="center"/>
          </w:tcPr>
          <w:p w14:paraId="609AEED0" w14:textId="77777777" w:rsidR="00A525A2" w:rsidRPr="00EB3788" w:rsidRDefault="00A525A2" w:rsidP="00446C37">
            <w:pPr>
              <w:pStyle w:val="TableParagraph"/>
              <w:adjustRightInd w:val="0"/>
              <w:spacing w:line="264" w:lineRule="auto"/>
              <w:jc w:val="left"/>
              <w:rPr>
                <w:rFonts w:asciiTheme="majorHAnsi" w:hAnsiTheme="majorHAnsi" w:cs="Times New Roman"/>
                <w:b/>
                <w:bCs/>
                <w:snapToGrid w:val="0"/>
                <w:sz w:val="20"/>
                <w:szCs w:val="20"/>
                <w:lang w:val="en-AU" w:eastAsia="ja-JP"/>
              </w:rPr>
            </w:pPr>
            <w:r w:rsidRPr="00EB3788">
              <w:rPr>
                <w:rFonts w:asciiTheme="majorHAnsi" w:hAnsiTheme="majorHAnsi" w:cs="Times New Roman"/>
                <w:b/>
                <w:bCs/>
                <w:snapToGrid w:val="0"/>
                <w:sz w:val="20"/>
                <w:szCs w:val="20"/>
                <w:lang w:val="en-AU" w:bidi="en-US"/>
              </w:rPr>
              <w:t>Number of subjects</w:t>
            </w:r>
          </w:p>
        </w:tc>
        <w:tc>
          <w:tcPr>
            <w:tcW w:w="2559" w:type="pct"/>
            <w:gridSpan w:val="2"/>
            <w:vAlign w:val="center"/>
          </w:tcPr>
          <w:p w14:paraId="32C88A8A" w14:textId="77777777" w:rsidR="00A525A2" w:rsidRPr="004664E6" w:rsidRDefault="00A525A2" w:rsidP="00446C37">
            <w:pPr>
              <w:pStyle w:val="TableParagraph"/>
              <w:adjustRightInd w:val="0"/>
              <w:spacing w:line="264" w:lineRule="auto"/>
              <w:jc w:val="left"/>
              <w:rPr>
                <w:rFonts w:asciiTheme="majorHAnsi" w:hAnsiTheme="majorHAnsi" w:cs="Times New Roman"/>
                <w:b/>
                <w:bCs/>
                <w:snapToGrid w:val="0"/>
                <w:sz w:val="20"/>
                <w:szCs w:val="20"/>
                <w:lang w:val="en-AU" w:eastAsia="ja-JP"/>
              </w:rPr>
            </w:pPr>
            <w:r w:rsidRPr="004664E6">
              <w:rPr>
                <w:rFonts w:asciiTheme="majorHAnsi" w:hAnsiTheme="majorHAnsi" w:cs="Times New Roman"/>
                <w:b/>
                <w:bCs/>
                <w:snapToGrid w:val="0"/>
                <w:sz w:val="20"/>
                <w:szCs w:val="20"/>
                <w:lang w:val="en-AU" w:eastAsia="ja-JP" w:bidi="ja-JP"/>
              </w:rPr>
              <w:t>AUC</w:t>
            </w:r>
            <w:r w:rsidRPr="004664E6">
              <w:rPr>
                <w:rFonts w:asciiTheme="majorHAnsi" w:hAnsiTheme="majorHAnsi" w:cs="Times New Roman"/>
                <w:b/>
                <w:bCs/>
                <w:snapToGrid w:val="0"/>
                <w:sz w:val="20"/>
                <w:szCs w:val="20"/>
                <w:vertAlign w:val="subscript"/>
                <w:lang w:val="en-AU" w:eastAsia="ja-JP" w:bidi="ja-JP"/>
              </w:rPr>
              <w:t>0-inf</w:t>
            </w:r>
            <w:r w:rsidRPr="004664E6">
              <w:rPr>
                <w:rFonts w:asciiTheme="majorHAnsi" w:hAnsiTheme="majorHAnsi" w:cs="Times New Roman"/>
                <w:b/>
                <w:bCs/>
                <w:snapToGrid w:val="0"/>
                <w:sz w:val="20"/>
                <w:szCs w:val="20"/>
                <w:lang w:val="en-AU" w:eastAsia="ja-JP" w:bidi="ja-JP"/>
              </w:rPr>
              <w:t xml:space="preserve"> (</w:t>
            </w:r>
            <w:proofErr w:type="spellStart"/>
            <w:r w:rsidRPr="00EB3788">
              <w:rPr>
                <w:rFonts w:asciiTheme="majorHAnsi" w:hAnsiTheme="majorHAnsi" w:cs="Times New Roman"/>
                <w:b/>
                <w:bCs/>
                <w:snapToGrid w:val="0"/>
                <w:sz w:val="20"/>
                <w:szCs w:val="20"/>
                <w:lang w:val="en-AU" w:eastAsia="ja-JP" w:bidi="ja-JP"/>
              </w:rPr>
              <w:t>μ</w:t>
            </w:r>
            <w:r w:rsidRPr="004664E6">
              <w:rPr>
                <w:rFonts w:asciiTheme="majorHAnsi" w:hAnsiTheme="majorHAnsi" w:cs="Times New Roman"/>
                <w:b/>
                <w:bCs/>
                <w:snapToGrid w:val="0"/>
                <w:sz w:val="20"/>
                <w:szCs w:val="20"/>
                <w:lang w:val="en-AU" w:eastAsia="ja-JP" w:bidi="ja-JP"/>
              </w:rPr>
              <w:t>g•hr</w:t>
            </w:r>
            <w:proofErr w:type="spellEnd"/>
            <w:r w:rsidRPr="004664E6">
              <w:rPr>
                <w:rFonts w:asciiTheme="majorHAnsi" w:hAnsiTheme="majorHAnsi" w:cs="Times New Roman"/>
                <w:b/>
                <w:bCs/>
                <w:snapToGrid w:val="0"/>
                <w:sz w:val="20"/>
                <w:szCs w:val="20"/>
                <w:lang w:val="en-AU" w:eastAsia="ja-JP" w:bidi="ja-JP"/>
              </w:rPr>
              <w:t>/mL)</w:t>
            </w:r>
          </w:p>
        </w:tc>
      </w:tr>
      <w:tr w:rsidR="00A525A2" w:rsidRPr="00EB3788" w14:paraId="4F558852" w14:textId="77777777" w:rsidTr="00F80993">
        <w:tc>
          <w:tcPr>
            <w:tcW w:w="1914" w:type="pct"/>
            <w:vMerge/>
            <w:vAlign w:val="center"/>
          </w:tcPr>
          <w:p w14:paraId="50C109A8" w14:textId="77777777" w:rsidR="00A525A2" w:rsidRPr="004664E6" w:rsidRDefault="00A525A2" w:rsidP="00446C37">
            <w:pPr>
              <w:adjustRightInd w:val="0"/>
              <w:spacing w:line="264" w:lineRule="auto"/>
              <w:rPr>
                <w:rFonts w:asciiTheme="majorHAnsi" w:hAnsiTheme="majorHAnsi" w:cs="Times New Roman"/>
                <w:b/>
                <w:bCs/>
                <w:snapToGrid w:val="0"/>
                <w:sz w:val="20"/>
                <w:szCs w:val="20"/>
                <w:lang w:val="en-AU" w:eastAsia="ja-JP"/>
              </w:rPr>
            </w:pPr>
          </w:p>
        </w:tc>
        <w:tc>
          <w:tcPr>
            <w:tcW w:w="527" w:type="pct"/>
            <w:vMerge/>
            <w:vAlign w:val="center"/>
          </w:tcPr>
          <w:p w14:paraId="189C6593" w14:textId="77777777" w:rsidR="00A525A2" w:rsidRPr="004664E6" w:rsidRDefault="00A525A2" w:rsidP="00446C37">
            <w:pPr>
              <w:adjustRightInd w:val="0"/>
              <w:spacing w:line="264" w:lineRule="auto"/>
              <w:rPr>
                <w:rFonts w:asciiTheme="majorHAnsi" w:hAnsiTheme="majorHAnsi" w:cs="Times New Roman"/>
                <w:b/>
                <w:bCs/>
                <w:snapToGrid w:val="0"/>
                <w:sz w:val="20"/>
                <w:szCs w:val="20"/>
                <w:lang w:val="en-AU" w:eastAsia="ja-JP"/>
              </w:rPr>
            </w:pPr>
          </w:p>
        </w:tc>
        <w:tc>
          <w:tcPr>
            <w:tcW w:w="604" w:type="pct"/>
            <w:vAlign w:val="center"/>
          </w:tcPr>
          <w:p w14:paraId="42F16F53" w14:textId="77777777" w:rsidR="00A525A2" w:rsidRPr="00EB3788" w:rsidRDefault="00A525A2" w:rsidP="00446C37">
            <w:pPr>
              <w:pStyle w:val="TableParagraph"/>
              <w:adjustRightInd w:val="0"/>
              <w:spacing w:line="264" w:lineRule="auto"/>
              <w:jc w:val="left"/>
              <w:rPr>
                <w:rFonts w:asciiTheme="majorHAnsi" w:hAnsiTheme="majorHAnsi" w:cs="Times New Roman"/>
                <w:b/>
                <w:bCs/>
                <w:snapToGrid w:val="0"/>
                <w:sz w:val="20"/>
                <w:szCs w:val="20"/>
                <w:lang w:val="en-AU" w:eastAsia="ja-JP"/>
              </w:rPr>
            </w:pPr>
            <w:r w:rsidRPr="00EB3788">
              <w:rPr>
                <w:rFonts w:asciiTheme="majorHAnsi" w:hAnsiTheme="majorHAnsi" w:cs="Times New Roman"/>
                <w:b/>
                <w:bCs/>
                <w:snapToGrid w:val="0"/>
                <w:sz w:val="20"/>
                <w:szCs w:val="20"/>
                <w:lang w:val="en-AU" w:bidi="en-US"/>
              </w:rPr>
              <w:t>Geometric mean</w:t>
            </w:r>
          </w:p>
        </w:tc>
        <w:tc>
          <w:tcPr>
            <w:tcW w:w="1955" w:type="pct"/>
            <w:vAlign w:val="center"/>
          </w:tcPr>
          <w:p w14:paraId="4348A276" w14:textId="77777777" w:rsidR="00A525A2" w:rsidRPr="00EB3788" w:rsidRDefault="00A525A2" w:rsidP="00446C37">
            <w:pPr>
              <w:pStyle w:val="body"/>
              <w:spacing w:line="264" w:lineRule="auto"/>
              <w:jc w:val="left"/>
              <w:rPr>
                <w:rFonts w:asciiTheme="majorHAnsi" w:hAnsiTheme="majorHAnsi" w:cs="Times New Roman"/>
                <w:b/>
                <w:bCs/>
                <w:snapToGrid w:val="0"/>
                <w:sz w:val="20"/>
                <w:szCs w:val="20"/>
                <w:lang w:val="en-AU"/>
              </w:rPr>
            </w:pPr>
            <w:r w:rsidRPr="00EB3788">
              <w:rPr>
                <w:rFonts w:asciiTheme="majorHAnsi" w:hAnsiTheme="majorHAnsi" w:cs="Times New Roman"/>
                <w:b/>
                <w:bCs/>
                <w:snapToGrid w:val="0"/>
                <w:sz w:val="20"/>
                <w:szCs w:val="20"/>
                <w:lang w:val="en-AU" w:bidi="en-US"/>
              </w:rPr>
              <w:t>Ratio to subjects with normal renal function</w:t>
            </w:r>
          </w:p>
          <w:p w14:paraId="548D6481" w14:textId="77777777" w:rsidR="00A525A2" w:rsidRPr="00EB3788" w:rsidRDefault="00A525A2" w:rsidP="00446C37">
            <w:pPr>
              <w:pStyle w:val="TableParagraph"/>
              <w:adjustRightInd w:val="0"/>
              <w:spacing w:line="264" w:lineRule="auto"/>
              <w:jc w:val="left"/>
              <w:rPr>
                <w:rFonts w:asciiTheme="majorHAnsi" w:hAnsiTheme="majorHAnsi" w:cs="Times New Roman"/>
                <w:b/>
                <w:bCs/>
                <w:snapToGrid w:val="0"/>
                <w:sz w:val="20"/>
                <w:szCs w:val="20"/>
                <w:lang w:val="en-AU" w:eastAsia="ja-JP"/>
              </w:rPr>
            </w:pPr>
            <w:r w:rsidRPr="00EB3788">
              <w:rPr>
                <w:rFonts w:asciiTheme="majorHAnsi" w:hAnsiTheme="majorHAnsi" w:cs="Times New Roman"/>
                <w:b/>
                <w:bCs/>
                <w:snapToGrid w:val="0"/>
                <w:sz w:val="20"/>
                <w:szCs w:val="20"/>
                <w:lang w:val="en-AU" w:bidi="en-US"/>
              </w:rPr>
              <w:t>[90% confidence interval (CI)]</w:t>
            </w:r>
          </w:p>
        </w:tc>
      </w:tr>
      <w:tr w:rsidR="00A525A2" w:rsidRPr="00EB3788" w14:paraId="5BCFBFA0" w14:textId="77777777" w:rsidTr="00F80993">
        <w:tc>
          <w:tcPr>
            <w:tcW w:w="1914" w:type="pct"/>
            <w:vAlign w:val="center"/>
          </w:tcPr>
          <w:p w14:paraId="1F5B9B5E"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bidi="en-US"/>
              </w:rPr>
              <w:t>Subjects with normal renal function</w:t>
            </w:r>
          </w:p>
        </w:tc>
        <w:tc>
          <w:tcPr>
            <w:tcW w:w="527" w:type="pct"/>
            <w:vAlign w:val="center"/>
          </w:tcPr>
          <w:p w14:paraId="18641601"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8</w:t>
            </w:r>
          </w:p>
        </w:tc>
        <w:tc>
          <w:tcPr>
            <w:tcW w:w="604" w:type="pct"/>
            <w:vAlign w:val="center"/>
          </w:tcPr>
          <w:p w14:paraId="52ACE853"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213.4</w:t>
            </w:r>
          </w:p>
        </w:tc>
        <w:tc>
          <w:tcPr>
            <w:tcW w:w="1955" w:type="pct"/>
            <w:vAlign w:val="center"/>
          </w:tcPr>
          <w:p w14:paraId="4E598853" w14:textId="77777777" w:rsidR="00A525A2" w:rsidRPr="00EB3788" w:rsidRDefault="00A525A2" w:rsidP="00446C37">
            <w:pPr>
              <w:adjustRightInd w:val="0"/>
              <w:spacing w:line="264" w:lineRule="auto"/>
              <w:rPr>
                <w:rFonts w:asciiTheme="majorHAnsi" w:hAnsiTheme="majorHAnsi" w:cs="Times New Roman"/>
                <w:snapToGrid w:val="0"/>
                <w:sz w:val="20"/>
                <w:szCs w:val="20"/>
                <w:lang w:val="en-AU" w:eastAsia="ja-JP"/>
              </w:rPr>
            </w:pPr>
          </w:p>
        </w:tc>
      </w:tr>
      <w:tr w:rsidR="00A525A2" w:rsidRPr="00EB3788" w14:paraId="21FD39F2" w14:textId="77777777" w:rsidTr="00F80993">
        <w:tc>
          <w:tcPr>
            <w:tcW w:w="1914" w:type="pct"/>
            <w:vAlign w:val="center"/>
          </w:tcPr>
          <w:p w14:paraId="4BF75768" w14:textId="77777777" w:rsidR="00A525A2" w:rsidRPr="00EB3788" w:rsidRDefault="00A525A2" w:rsidP="00446C37">
            <w:pPr>
              <w:pStyle w:val="body"/>
              <w:spacing w:line="264" w:lineRule="auto"/>
              <w:jc w:val="left"/>
              <w:rPr>
                <w:rFonts w:asciiTheme="majorHAnsi" w:hAnsiTheme="majorHAnsi" w:cs="Times New Roman"/>
                <w:snapToGrid w:val="0"/>
                <w:sz w:val="20"/>
                <w:szCs w:val="20"/>
                <w:lang w:val="en-AU" w:eastAsia="zh-TW"/>
              </w:rPr>
            </w:pPr>
            <w:r w:rsidRPr="00EB3788">
              <w:rPr>
                <w:rFonts w:asciiTheme="majorHAnsi" w:hAnsiTheme="majorHAnsi" w:cs="Times New Roman"/>
                <w:snapToGrid w:val="0"/>
                <w:sz w:val="20"/>
                <w:szCs w:val="20"/>
                <w:lang w:val="en-AU" w:bidi="en-US"/>
              </w:rPr>
              <w:t>Subjects with mild renal impairment (≥60 to &lt;90)</w:t>
            </w:r>
          </w:p>
        </w:tc>
        <w:tc>
          <w:tcPr>
            <w:tcW w:w="527" w:type="pct"/>
            <w:vAlign w:val="center"/>
          </w:tcPr>
          <w:p w14:paraId="6AE11B67"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8</w:t>
            </w:r>
          </w:p>
        </w:tc>
        <w:tc>
          <w:tcPr>
            <w:tcW w:w="604" w:type="pct"/>
            <w:vAlign w:val="center"/>
          </w:tcPr>
          <w:p w14:paraId="58E52A77"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218.7</w:t>
            </w:r>
          </w:p>
        </w:tc>
        <w:tc>
          <w:tcPr>
            <w:tcW w:w="1955" w:type="pct"/>
            <w:vAlign w:val="center"/>
          </w:tcPr>
          <w:p w14:paraId="6A9AEE5F" w14:textId="77777777" w:rsidR="00A525A2" w:rsidRPr="00EB3788" w:rsidRDefault="00A525A2" w:rsidP="00446C37">
            <w:pPr>
              <w:pStyle w:val="body"/>
              <w:spacing w:line="264" w:lineRule="auto"/>
              <w:jc w:val="left"/>
              <w:rPr>
                <w:rFonts w:asciiTheme="majorHAnsi" w:hAnsiTheme="majorHAnsi" w:cs="Times New Roman"/>
                <w:snapToGrid w:val="0"/>
                <w:sz w:val="20"/>
                <w:szCs w:val="20"/>
                <w:lang w:val="en-AU"/>
              </w:rPr>
            </w:pPr>
            <w:r w:rsidRPr="00EB3788">
              <w:rPr>
                <w:rFonts w:asciiTheme="majorHAnsi" w:hAnsiTheme="majorHAnsi" w:cs="Times New Roman"/>
                <w:snapToGrid w:val="0"/>
                <w:sz w:val="20"/>
                <w:szCs w:val="20"/>
                <w:lang w:val="en-AU" w:eastAsia="en-US"/>
              </w:rPr>
              <w:t>1.025</w:t>
            </w:r>
          </w:p>
          <w:p w14:paraId="54B795DE"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[0.817, 1.287]</w:t>
            </w:r>
          </w:p>
        </w:tc>
      </w:tr>
      <w:tr w:rsidR="00A525A2" w:rsidRPr="00EB3788" w14:paraId="21A213CE" w14:textId="77777777" w:rsidTr="00F80993">
        <w:tc>
          <w:tcPr>
            <w:tcW w:w="1914" w:type="pct"/>
            <w:vAlign w:val="center"/>
          </w:tcPr>
          <w:p w14:paraId="0AA4B9A8" w14:textId="77777777" w:rsidR="00A525A2" w:rsidRPr="00EB3788" w:rsidRDefault="00A525A2" w:rsidP="00446C37">
            <w:pPr>
              <w:pStyle w:val="body"/>
              <w:spacing w:line="264" w:lineRule="auto"/>
              <w:jc w:val="left"/>
              <w:rPr>
                <w:rFonts w:asciiTheme="majorHAnsi" w:hAnsiTheme="majorHAnsi" w:cs="Times New Roman"/>
                <w:snapToGrid w:val="0"/>
                <w:sz w:val="20"/>
                <w:szCs w:val="20"/>
                <w:lang w:val="en-AU" w:eastAsia="zh-TW"/>
              </w:rPr>
            </w:pPr>
            <w:r w:rsidRPr="00EB3788">
              <w:rPr>
                <w:rFonts w:asciiTheme="majorHAnsi" w:hAnsiTheme="majorHAnsi" w:cs="Times New Roman"/>
                <w:snapToGrid w:val="0"/>
                <w:sz w:val="20"/>
                <w:szCs w:val="20"/>
                <w:lang w:val="en-AU" w:bidi="en-US"/>
              </w:rPr>
              <w:t>Subjects with moderate renal impairment (≥30 to &lt;60)</w:t>
            </w:r>
          </w:p>
        </w:tc>
        <w:tc>
          <w:tcPr>
            <w:tcW w:w="527" w:type="pct"/>
            <w:vAlign w:val="center"/>
          </w:tcPr>
          <w:p w14:paraId="6C73131B"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7</w:t>
            </w:r>
          </w:p>
        </w:tc>
        <w:tc>
          <w:tcPr>
            <w:tcW w:w="604" w:type="pct"/>
            <w:vAlign w:val="center"/>
          </w:tcPr>
          <w:p w14:paraId="15B0F20A"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312.3</w:t>
            </w:r>
          </w:p>
        </w:tc>
        <w:tc>
          <w:tcPr>
            <w:tcW w:w="1955" w:type="pct"/>
            <w:vAlign w:val="center"/>
          </w:tcPr>
          <w:p w14:paraId="40422D98" w14:textId="77777777" w:rsidR="00A525A2" w:rsidRPr="00EB3788" w:rsidRDefault="00A525A2" w:rsidP="00446C37">
            <w:pPr>
              <w:pStyle w:val="body"/>
              <w:spacing w:line="264" w:lineRule="auto"/>
              <w:jc w:val="left"/>
              <w:rPr>
                <w:rFonts w:asciiTheme="majorHAnsi" w:hAnsiTheme="majorHAnsi" w:cs="Times New Roman"/>
                <w:snapToGrid w:val="0"/>
                <w:sz w:val="20"/>
                <w:szCs w:val="20"/>
                <w:lang w:val="en-AU"/>
              </w:rPr>
            </w:pPr>
            <w:r w:rsidRPr="00EB3788">
              <w:rPr>
                <w:rFonts w:asciiTheme="majorHAnsi" w:hAnsiTheme="majorHAnsi" w:cs="Times New Roman"/>
                <w:snapToGrid w:val="0"/>
                <w:sz w:val="20"/>
                <w:szCs w:val="20"/>
                <w:lang w:val="en-AU" w:eastAsia="en-US"/>
              </w:rPr>
              <w:t>1.464</w:t>
            </w:r>
          </w:p>
          <w:p w14:paraId="45DBF064"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[1.157, 1.852]</w:t>
            </w:r>
          </w:p>
        </w:tc>
      </w:tr>
      <w:tr w:rsidR="00A525A2" w:rsidRPr="00EB3788" w14:paraId="12C02E8F" w14:textId="77777777" w:rsidTr="00F80993">
        <w:tc>
          <w:tcPr>
            <w:tcW w:w="1914" w:type="pct"/>
            <w:vAlign w:val="center"/>
          </w:tcPr>
          <w:p w14:paraId="61DE99C1" w14:textId="77777777" w:rsidR="00A525A2" w:rsidRPr="00EB3788" w:rsidRDefault="00A525A2" w:rsidP="00446C37">
            <w:pPr>
              <w:pStyle w:val="body"/>
              <w:spacing w:line="264" w:lineRule="auto"/>
              <w:jc w:val="left"/>
              <w:rPr>
                <w:rFonts w:asciiTheme="majorHAnsi" w:hAnsiTheme="majorHAnsi" w:cs="Times New Roman"/>
                <w:snapToGrid w:val="0"/>
                <w:sz w:val="20"/>
                <w:szCs w:val="20"/>
                <w:lang w:val="en-AU" w:eastAsia="zh-TW"/>
              </w:rPr>
            </w:pPr>
            <w:r w:rsidRPr="00EB3788">
              <w:rPr>
                <w:rFonts w:asciiTheme="majorHAnsi" w:hAnsiTheme="majorHAnsi" w:cs="Times New Roman"/>
                <w:snapToGrid w:val="0"/>
                <w:sz w:val="20"/>
                <w:szCs w:val="20"/>
                <w:lang w:val="en-AU" w:bidi="en-US"/>
              </w:rPr>
              <w:t>Subjects with severe renal impairment (≥15 to &lt;30)</w:t>
            </w:r>
          </w:p>
        </w:tc>
        <w:tc>
          <w:tcPr>
            <w:tcW w:w="527" w:type="pct"/>
            <w:vAlign w:val="center"/>
          </w:tcPr>
          <w:p w14:paraId="33BD6BBD"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6</w:t>
            </w:r>
          </w:p>
        </w:tc>
        <w:tc>
          <w:tcPr>
            <w:tcW w:w="604" w:type="pct"/>
            <w:vAlign w:val="center"/>
          </w:tcPr>
          <w:p w14:paraId="04DAF759"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543.2</w:t>
            </w:r>
          </w:p>
        </w:tc>
        <w:tc>
          <w:tcPr>
            <w:tcW w:w="1955" w:type="pct"/>
            <w:vAlign w:val="center"/>
          </w:tcPr>
          <w:p w14:paraId="5F4FC1F5" w14:textId="77777777" w:rsidR="00A525A2" w:rsidRPr="00EB3788" w:rsidRDefault="00A525A2" w:rsidP="00446C37">
            <w:pPr>
              <w:pStyle w:val="heading20"/>
              <w:spacing w:line="264" w:lineRule="auto"/>
              <w:jc w:val="left"/>
              <w:rPr>
                <w:rFonts w:asciiTheme="majorHAnsi" w:hAnsiTheme="majorHAnsi" w:cs="Times New Roman"/>
                <w:sz w:val="20"/>
                <w:szCs w:val="20"/>
                <w:lang w:val="en-AU"/>
              </w:rPr>
            </w:pPr>
            <w:r w:rsidRPr="00EB3788">
              <w:rPr>
                <w:rFonts w:asciiTheme="majorHAnsi" w:hAnsiTheme="majorHAnsi" w:cs="Times New Roman"/>
                <w:sz w:val="20"/>
                <w:szCs w:val="20"/>
                <w:lang w:val="en-AU" w:eastAsia="en-US"/>
              </w:rPr>
              <w:t>2.546</w:t>
            </w:r>
          </w:p>
          <w:p w14:paraId="11D0CFCA"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[1.992, 3.254]</w:t>
            </w:r>
          </w:p>
        </w:tc>
      </w:tr>
      <w:tr w:rsidR="00A525A2" w:rsidRPr="00EB3788" w14:paraId="7E03D061" w14:textId="77777777" w:rsidTr="00F80993">
        <w:tc>
          <w:tcPr>
            <w:tcW w:w="1914" w:type="pct"/>
            <w:vAlign w:val="center"/>
          </w:tcPr>
          <w:p w14:paraId="71C6E3EF" w14:textId="1B63E880" w:rsidR="00A525A2" w:rsidRPr="00EB3788" w:rsidRDefault="00A525A2" w:rsidP="00446C37">
            <w:pPr>
              <w:pStyle w:val="body"/>
              <w:spacing w:line="264" w:lineRule="auto"/>
              <w:jc w:val="left"/>
              <w:rPr>
                <w:rFonts w:asciiTheme="majorHAnsi" w:hAnsiTheme="majorHAnsi" w:cs="Times New Roman"/>
                <w:snapToGrid w:val="0"/>
                <w:sz w:val="20"/>
                <w:szCs w:val="20"/>
                <w:lang w:val="en-AU" w:eastAsia="zh-TW"/>
              </w:rPr>
            </w:pPr>
            <w:r w:rsidRPr="00EB3788">
              <w:rPr>
                <w:rFonts w:asciiTheme="majorHAnsi" w:hAnsiTheme="majorHAnsi" w:cs="Times New Roman"/>
                <w:snapToGrid w:val="0"/>
                <w:sz w:val="20"/>
                <w:szCs w:val="20"/>
                <w:lang w:val="en-AU" w:bidi="en-US"/>
              </w:rPr>
              <w:t xml:space="preserve">Subjects with end stage renal failure (Administration following </w:t>
            </w:r>
            <w:r w:rsidR="005A1CF9" w:rsidRPr="00EB3788">
              <w:rPr>
                <w:rFonts w:asciiTheme="majorHAnsi" w:hAnsiTheme="majorHAnsi" w:cs="Times New Roman"/>
                <w:snapToGrid w:val="0"/>
                <w:sz w:val="20"/>
                <w:szCs w:val="20"/>
                <w:lang w:val="en-AU" w:bidi="en-US"/>
              </w:rPr>
              <w:t>haemodialysis</w:t>
            </w:r>
            <w:r w:rsidRPr="00EB3788">
              <w:rPr>
                <w:rFonts w:asciiTheme="majorHAnsi" w:hAnsiTheme="majorHAnsi" w:cs="Times New Roman"/>
                <w:snapToGrid w:val="0"/>
                <w:sz w:val="20"/>
                <w:szCs w:val="20"/>
                <w:lang w:val="en-AU" w:bidi="en-US"/>
              </w:rPr>
              <w:t>)</w:t>
            </w:r>
          </w:p>
        </w:tc>
        <w:tc>
          <w:tcPr>
            <w:tcW w:w="527" w:type="pct"/>
            <w:vAlign w:val="center"/>
          </w:tcPr>
          <w:p w14:paraId="76234CAB"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8</w:t>
            </w:r>
          </w:p>
        </w:tc>
        <w:tc>
          <w:tcPr>
            <w:tcW w:w="604" w:type="pct"/>
            <w:vAlign w:val="center"/>
          </w:tcPr>
          <w:p w14:paraId="43413E46"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880.7</w:t>
            </w:r>
          </w:p>
        </w:tc>
        <w:tc>
          <w:tcPr>
            <w:tcW w:w="1955" w:type="pct"/>
            <w:vAlign w:val="center"/>
          </w:tcPr>
          <w:p w14:paraId="38FECA8A" w14:textId="77777777" w:rsidR="00A525A2" w:rsidRPr="00EB3788" w:rsidRDefault="00A525A2" w:rsidP="00446C37">
            <w:pPr>
              <w:pStyle w:val="body"/>
              <w:spacing w:line="264" w:lineRule="auto"/>
              <w:jc w:val="left"/>
              <w:rPr>
                <w:rFonts w:asciiTheme="majorHAnsi" w:hAnsiTheme="majorHAnsi" w:cs="Times New Roman"/>
                <w:snapToGrid w:val="0"/>
                <w:sz w:val="20"/>
                <w:szCs w:val="20"/>
                <w:lang w:val="en-AU"/>
              </w:rPr>
            </w:pPr>
            <w:r w:rsidRPr="00EB3788">
              <w:rPr>
                <w:rFonts w:asciiTheme="majorHAnsi" w:hAnsiTheme="majorHAnsi" w:cs="Times New Roman"/>
                <w:snapToGrid w:val="0"/>
                <w:sz w:val="20"/>
                <w:szCs w:val="20"/>
                <w:lang w:val="en-AU" w:eastAsia="en-US"/>
              </w:rPr>
              <w:t>4.128</w:t>
            </w:r>
          </w:p>
          <w:p w14:paraId="21ACD212" w14:textId="77777777" w:rsidR="00A525A2" w:rsidRPr="00EB3788" w:rsidRDefault="00A525A2"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[3.289, 5.181]</w:t>
            </w:r>
          </w:p>
        </w:tc>
      </w:tr>
    </w:tbl>
    <w:p w14:paraId="655250B9" w14:textId="6645308F" w:rsidR="005D042E" w:rsidRPr="00EB3788" w:rsidRDefault="005D042E" w:rsidP="00446C37">
      <w:pPr>
        <w:pStyle w:val="Heading3"/>
        <w:spacing w:after="120"/>
        <w:ind w:left="0"/>
        <w:rPr>
          <w:rFonts w:cstheme="minorHAnsi"/>
          <w:b w:val="0"/>
        </w:rPr>
      </w:pPr>
      <w:r w:rsidRPr="00EB3788">
        <w:rPr>
          <w:rFonts w:cstheme="minorHAnsi"/>
        </w:rPr>
        <w:t xml:space="preserve">Patients with </w:t>
      </w:r>
      <w:r w:rsidR="00F47DEC" w:rsidRPr="00EB3788">
        <w:rPr>
          <w:rFonts w:cstheme="minorHAnsi"/>
        </w:rPr>
        <w:t>increased renal clearance</w:t>
      </w:r>
    </w:p>
    <w:p w14:paraId="49D2F915" w14:textId="2BCAC27D" w:rsidR="00976F9D" w:rsidRPr="00EB3788" w:rsidRDefault="00761173" w:rsidP="00446C37">
      <w:pPr>
        <w:pStyle w:val="body"/>
        <w:spacing w:after="240" w:line="276" w:lineRule="auto"/>
        <w:jc w:val="left"/>
        <w:rPr>
          <w:rFonts w:asciiTheme="majorHAnsi" w:hAnsiTheme="majorHAnsi" w:cs="Times New Roman"/>
          <w:snapToGrid w:val="0"/>
          <w:sz w:val="22"/>
          <w:lang w:val="en-AU"/>
        </w:rPr>
      </w:pPr>
      <w:r w:rsidRPr="00EB3788">
        <w:rPr>
          <w:rFonts w:asciiTheme="majorHAnsi" w:hAnsiTheme="majorHAnsi" w:cs="Times New Roman"/>
          <w:snapToGrid w:val="0"/>
          <w:color w:val="0000EE"/>
          <w:sz w:val="22"/>
          <w:lang w:val="en-AU" w:bidi="en-US"/>
        </w:rPr>
        <w:fldChar w:fldCharType="begin" w:fldLock="1"/>
      </w:r>
      <w:r w:rsidRPr="00EB3788">
        <w:rPr>
          <w:rFonts w:asciiTheme="majorHAnsi" w:hAnsiTheme="majorHAnsi" w:cs="Times New Roman"/>
          <w:snapToGrid w:val="0"/>
          <w:color w:val="0000EE"/>
          <w:sz w:val="22"/>
          <w:lang w:val="en-AU" w:bidi="en-US"/>
        </w:rPr>
        <w:instrText xml:space="preserve"> REF _Ref171504687 \h  \* MERGEFORMAT </w:instrText>
      </w:r>
      <w:r w:rsidRPr="00EB3788">
        <w:rPr>
          <w:rFonts w:asciiTheme="majorHAnsi" w:hAnsiTheme="majorHAnsi" w:cs="Times New Roman"/>
          <w:snapToGrid w:val="0"/>
          <w:color w:val="0000EE"/>
          <w:sz w:val="22"/>
          <w:lang w:val="en-AU" w:bidi="en-US"/>
        </w:rPr>
      </w:r>
      <w:r w:rsidRPr="00EB3788">
        <w:rPr>
          <w:rFonts w:asciiTheme="majorHAnsi" w:hAnsiTheme="majorHAnsi" w:cs="Times New Roman"/>
          <w:snapToGrid w:val="0"/>
          <w:color w:val="0000EE"/>
          <w:sz w:val="22"/>
          <w:lang w:val="en-AU" w:bidi="en-US"/>
        </w:rPr>
        <w:fldChar w:fldCharType="separate"/>
      </w:r>
      <w:r w:rsidR="00425866" w:rsidRPr="00EB3788">
        <w:rPr>
          <w:rFonts w:asciiTheme="majorHAnsi" w:hAnsiTheme="majorHAnsi"/>
          <w:color w:val="0000EE"/>
          <w:sz w:val="22"/>
          <w:lang w:val="en-AU"/>
        </w:rPr>
        <w:t>Table 14</w:t>
      </w:r>
      <w:r w:rsidRPr="00EB3788">
        <w:rPr>
          <w:rFonts w:asciiTheme="majorHAnsi" w:hAnsiTheme="majorHAnsi" w:cs="Times New Roman"/>
          <w:snapToGrid w:val="0"/>
          <w:color w:val="0000EE"/>
          <w:sz w:val="22"/>
          <w:lang w:val="en-AU" w:bidi="en-US"/>
        </w:rPr>
        <w:fldChar w:fldCharType="end"/>
      </w:r>
      <w:r w:rsidR="00976F9D" w:rsidRPr="00EB3788">
        <w:rPr>
          <w:rFonts w:asciiTheme="majorHAnsi" w:hAnsiTheme="majorHAnsi" w:cs="Times New Roman"/>
          <w:snapToGrid w:val="0"/>
          <w:sz w:val="22"/>
          <w:lang w:val="en-AU" w:bidi="en-US"/>
        </w:rPr>
        <w:t xml:space="preserve"> shows the estimated total body clearance (CL) of cefiderocol in patients with increased renal clearance (C</w:t>
      </w:r>
      <w:r w:rsidR="002364D3" w:rsidRPr="00EB3788">
        <w:rPr>
          <w:rFonts w:asciiTheme="majorHAnsi" w:hAnsiTheme="majorHAnsi" w:cs="Times New Roman"/>
          <w:snapToGrid w:val="0"/>
          <w:sz w:val="22"/>
          <w:lang w:val="en-AU" w:bidi="en-US"/>
        </w:rPr>
        <w:t>rCL</w:t>
      </w:r>
      <w:r w:rsidR="00976F9D" w:rsidRPr="00EB3788">
        <w:rPr>
          <w:rFonts w:asciiTheme="majorHAnsi" w:hAnsiTheme="majorHAnsi" w:cs="Times New Roman"/>
          <w:snapToGrid w:val="0"/>
          <w:sz w:val="22"/>
          <w:lang w:val="en-AU" w:bidi="en-US"/>
        </w:rPr>
        <w:t xml:space="preserve"> ≥120 mL/min) and patients with normal renal function (C</w:t>
      </w:r>
      <w:r w:rsidR="002364D3" w:rsidRPr="00EB3788">
        <w:rPr>
          <w:rFonts w:asciiTheme="majorHAnsi" w:hAnsiTheme="majorHAnsi" w:cs="Times New Roman"/>
          <w:snapToGrid w:val="0"/>
          <w:sz w:val="22"/>
          <w:lang w:val="en-AU" w:bidi="en-US"/>
        </w:rPr>
        <w:t>rCL</w:t>
      </w:r>
      <w:r w:rsidR="00976F9D" w:rsidRPr="00EB3788">
        <w:rPr>
          <w:rFonts w:asciiTheme="majorHAnsi" w:hAnsiTheme="majorHAnsi" w:cs="Times New Roman"/>
          <w:snapToGrid w:val="0"/>
          <w:sz w:val="22"/>
          <w:lang w:val="en-AU" w:bidi="en-US"/>
        </w:rPr>
        <w:t>≥90 to &lt;120 mL/min) based on the results of the population pharmacokinetic analyses</w:t>
      </w:r>
      <w:r w:rsidR="00976F9D" w:rsidRPr="00EB3788">
        <w:rPr>
          <w:rFonts w:asciiTheme="majorHAnsi" w:hAnsiTheme="majorHAnsi" w:cs="Times New Roman"/>
          <w:snapToGrid w:val="0"/>
          <w:sz w:val="22"/>
          <w:vertAlign w:val="superscript"/>
          <w:lang w:val="en-AU" w:bidi="en-US"/>
        </w:rPr>
        <w:t xml:space="preserve"> </w:t>
      </w:r>
      <w:r w:rsidR="00976F9D" w:rsidRPr="00EB3788">
        <w:rPr>
          <w:rFonts w:asciiTheme="majorHAnsi" w:hAnsiTheme="majorHAnsi" w:cs="Times New Roman"/>
          <w:snapToGrid w:val="0"/>
          <w:sz w:val="22"/>
          <w:lang w:val="en-AU" w:bidi="en-US"/>
        </w:rPr>
        <w:t>of data from a global phase III study in patients with nosocomial pneumonia. Increased CL was observed in patients with increased renal clearance.</w:t>
      </w:r>
    </w:p>
    <w:p w14:paraId="5E3E55F5" w14:textId="15FC7B41" w:rsidR="00F47DEC" w:rsidRPr="00EB3788" w:rsidRDefault="00F47DEC" w:rsidP="00446C37">
      <w:pPr>
        <w:pStyle w:val="Caption"/>
        <w:keepNext/>
        <w:rPr>
          <w:rFonts w:asciiTheme="majorHAnsi" w:hAnsiTheme="majorHAnsi"/>
          <w:b w:val="0"/>
          <w:bCs/>
          <w:i/>
          <w:iCs w:val="0"/>
          <w:szCs w:val="22"/>
        </w:rPr>
      </w:pPr>
      <w:bookmarkStart w:id="41" w:name="_Ref171504687"/>
      <w:r w:rsidRPr="00EB3788">
        <w:rPr>
          <w:rFonts w:asciiTheme="majorHAnsi" w:hAnsiTheme="majorHAnsi"/>
          <w:bCs/>
          <w:iCs w:val="0"/>
          <w:szCs w:val="22"/>
        </w:rPr>
        <w:t xml:space="preserve">Table </w:t>
      </w:r>
      <w:r w:rsidR="00B53B79" w:rsidRPr="00EB3788">
        <w:rPr>
          <w:rFonts w:asciiTheme="majorHAnsi" w:hAnsiTheme="majorHAnsi"/>
          <w:bCs/>
          <w:iCs w:val="0"/>
          <w:szCs w:val="22"/>
        </w:rPr>
        <w:fldChar w:fldCharType="begin"/>
      </w:r>
      <w:r w:rsidR="00B53B79" w:rsidRPr="00EB3788">
        <w:rPr>
          <w:rFonts w:asciiTheme="majorHAnsi" w:hAnsiTheme="majorHAnsi"/>
          <w:bCs/>
          <w:iCs w:val="0"/>
          <w:szCs w:val="22"/>
        </w:rPr>
        <w:instrText xml:space="preserve"> SEQ Table \* ARABIC </w:instrText>
      </w:r>
      <w:r w:rsidR="00B53B79" w:rsidRPr="00EB3788">
        <w:rPr>
          <w:rFonts w:asciiTheme="majorHAnsi" w:hAnsiTheme="majorHAnsi"/>
          <w:bCs/>
          <w:iCs w:val="0"/>
          <w:szCs w:val="22"/>
        </w:rPr>
        <w:fldChar w:fldCharType="separate"/>
      </w:r>
      <w:r w:rsidR="001E66F2" w:rsidRPr="004664E6">
        <w:rPr>
          <w:rFonts w:asciiTheme="majorHAnsi" w:hAnsiTheme="majorHAnsi"/>
          <w:bCs/>
          <w:iCs w:val="0"/>
          <w:szCs w:val="22"/>
        </w:rPr>
        <w:t>14</w:t>
      </w:r>
      <w:r w:rsidR="00B53B79" w:rsidRPr="00EB3788">
        <w:rPr>
          <w:rFonts w:asciiTheme="majorHAnsi" w:hAnsiTheme="majorHAnsi"/>
          <w:bCs/>
          <w:iCs w:val="0"/>
          <w:szCs w:val="22"/>
        </w:rPr>
        <w:fldChar w:fldCharType="end"/>
      </w:r>
      <w:bookmarkEnd w:id="41"/>
      <w:r w:rsidRPr="00EB3788">
        <w:rPr>
          <w:rFonts w:asciiTheme="majorHAnsi" w:hAnsiTheme="majorHAnsi"/>
          <w:bCs/>
          <w:iCs w:val="0"/>
          <w:szCs w:val="22"/>
        </w:rPr>
        <w:t xml:space="preserve"> Total </w:t>
      </w:r>
      <w:r w:rsidR="0070551A" w:rsidRPr="00EB3788">
        <w:rPr>
          <w:rFonts w:asciiTheme="majorHAnsi" w:hAnsiTheme="majorHAnsi"/>
          <w:bCs/>
          <w:iCs w:val="0"/>
          <w:szCs w:val="22"/>
        </w:rPr>
        <w:t>body clearance of cefiderocol in patients with increased renal clearance and patients with normal renal functi</w:t>
      </w:r>
      <w:r w:rsidRPr="00EB3788">
        <w:rPr>
          <w:rFonts w:asciiTheme="majorHAnsi" w:hAnsiTheme="majorHAnsi"/>
          <w:bCs/>
          <w:iCs w:val="0"/>
          <w:szCs w:val="22"/>
        </w:rPr>
        <w:t>on</w:t>
      </w:r>
    </w:p>
    <w:tbl>
      <w:tblPr>
        <w:tblStyle w:val="TableNormal1"/>
        <w:tblW w:w="9069"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CellMar>
          <w:left w:w="28" w:type="dxa"/>
          <w:right w:w="28" w:type="dxa"/>
        </w:tblCellMar>
        <w:tblLook w:val="01E0" w:firstRow="1" w:lastRow="1" w:firstColumn="1" w:lastColumn="1" w:noHBand="0" w:noVBand="0"/>
      </w:tblPr>
      <w:tblGrid>
        <w:gridCol w:w="1459"/>
        <w:gridCol w:w="3216"/>
        <w:gridCol w:w="4394"/>
      </w:tblGrid>
      <w:tr w:rsidR="00976F9D" w:rsidRPr="00EB3788" w14:paraId="37DEA8ED" w14:textId="77777777" w:rsidTr="007A2366">
        <w:trPr>
          <w:trHeight w:val="227"/>
        </w:trPr>
        <w:tc>
          <w:tcPr>
            <w:tcW w:w="1459" w:type="dxa"/>
            <w:vAlign w:val="center"/>
          </w:tcPr>
          <w:p w14:paraId="502EA6A9" w14:textId="50CAFE0D" w:rsidR="00976F9D" w:rsidRPr="00EB3788" w:rsidRDefault="00976F9D" w:rsidP="00446C37">
            <w:pPr>
              <w:pStyle w:val="TableParagraph"/>
              <w:adjustRightInd w:val="0"/>
              <w:spacing w:line="264" w:lineRule="auto"/>
              <w:jc w:val="left"/>
              <w:rPr>
                <w:rFonts w:asciiTheme="majorHAnsi" w:hAnsiTheme="majorHAnsi" w:cs="Times New Roman"/>
                <w:b/>
                <w:bCs/>
                <w:snapToGrid w:val="0"/>
                <w:sz w:val="20"/>
                <w:szCs w:val="20"/>
                <w:lang w:val="en-AU" w:eastAsia="ja-JP"/>
              </w:rPr>
            </w:pPr>
            <w:r w:rsidRPr="00EB3788">
              <w:rPr>
                <w:rFonts w:asciiTheme="majorHAnsi" w:hAnsiTheme="majorHAnsi" w:cs="Times New Roman"/>
                <w:b/>
                <w:bCs/>
                <w:snapToGrid w:val="0"/>
                <w:sz w:val="20"/>
                <w:szCs w:val="20"/>
                <w:lang w:val="en-AU" w:eastAsia="ja-JP" w:bidi="ja-JP"/>
              </w:rPr>
              <w:t>C</w:t>
            </w:r>
            <w:r w:rsidR="003D7997" w:rsidRPr="00EB3788">
              <w:rPr>
                <w:rFonts w:asciiTheme="majorHAnsi" w:hAnsiTheme="majorHAnsi" w:cs="Times New Roman"/>
                <w:b/>
                <w:bCs/>
                <w:snapToGrid w:val="0"/>
                <w:sz w:val="20"/>
                <w:szCs w:val="20"/>
                <w:lang w:val="en-AU" w:eastAsia="ja-JP" w:bidi="ja-JP"/>
              </w:rPr>
              <w:t xml:space="preserve">rCL </w:t>
            </w:r>
            <w:r w:rsidRPr="00EB3788">
              <w:rPr>
                <w:rFonts w:asciiTheme="majorHAnsi" w:hAnsiTheme="majorHAnsi" w:cs="Times New Roman"/>
                <w:b/>
                <w:bCs/>
                <w:snapToGrid w:val="0"/>
                <w:sz w:val="20"/>
                <w:szCs w:val="20"/>
                <w:lang w:val="en-AU" w:eastAsia="ja-JP" w:bidi="ja-JP"/>
              </w:rPr>
              <w:t>(mL/min)</w:t>
            </w:r>
          </w:p>
        </w:tc>
        <w:tc>
          <w:tcPr>
            <w:tcW w:w="3216" w:type="dxa"/>
            <w:vAlign w:val="center"/>
          </w:tcPr>
          <w:p w14:paraId="28BC8221" w14:textId="77777777" w:rsidR="00976F9D" w:rsidRPr="00EB3788" w:rsidRDefault="00976F9D" w:rsidP="00446C37">
            <w:pPr>
              <w:pStyle w:val="TableParagraph"/>
              <w:adjustRightInd w:val="0"/>
              <w:spacing w:line="264" w:lineRule="auto"/>
              <w:jc w:val="left"/>
              <w:rPr>
                <w:rFonts w:asciiTheme="majorHAnsi" w:hAnsiTheme="majorHAnsi" w:cs="Times New Roman"/>
                <w:b/>
                <w:bCs/>
                <w:snapToGrid w:val="0"/>
                <w:sz w:val="20"/>
                <w:szCs w:val="20"/>
                <w:lang w:val="en-AU" w:eastAsia="ja-JP"/>
              </w:rPr>
            </w:pPr>
            <w:r w:rsidRPr="00EB3788">
              <w:rPr>
                <w:rFonts w:asciiTheme="majorHAnsi" w:hAnsiTheme="majorHAnsi" w:cs="Times New Roman"/>
                <w:b/>
                <w:bCs/>
                <w:snapToGrid w:val="0"/>
                <w:sz w:val="20"/>
                <w:szCs w:val="20"/>
                <w:lang w:val="en-AU" w:bidi="en-US"/>
              </w:rPr>
              <w:t>Number of subjects</w:t>
            </w:r>
          </w:p>
        </w:tc>
        <w:tc>
          <w:tcPr>
            <w:tcW w:w="4394" w:type="dxa"/>
            <w:vAlign w:val="center"/>
          </w:tcPr>
          <w:p w14:paraId="62D8F292" w14:textId="77777777" w:rsidR="00976F9D" w:rsidRPr="00EB3788" w:rsidRDefault="00976F9D" w:rsidP="00446C37">
            <w:pPr>
              <w:pStyle w:val="TableParagraph"/>
              <w:adjustRightInd w:val="0"/>
              <w:spacing w:line="264" w:lineRule="auto"/>
              <w:jc w:val="left"/>
              <w:rPr>
                <w:rFonts w:asciiTheme="majorHAnsi" w:hAnsiTheme="majorHAnsi" w:cs="Times New Roman"/>
                <w:b/>
                <w:bCs/>
                <w:snapToGrid w:val="0"/>
                <w:sz w:val="20"/>
                <w:szCs w:val="20"/>
                <w:vertAlign w:val="superscript"/>
                <w:lang w:val="en-AU" w:eastAsia="ja-JP"/>
              </w:rPr>
            </w:pPr>
            <w:r w:rsidRPr="00EB3788">
              <w:rPr>
                <w:rFonts w:asciiTheme="majorHAnsi" w:hAnsiTheme="majorHAnsi" w:cs="Times New Roman"/>
                <w:b/>
                <w:bCs/>
                <w:snapToGrid w:val="0"/>
                <w:sz w:val="20"/>
                <w:szCs w:val="20"/>
                <w:lang w:val="en-AU" w:bidi="en-US"/>
              </w:rPr>
              <w:t>CL (L/hr)</w:t>
            </w:r>
            <w:r w:rsidRPr="00EB3788">
              <w:rPr>
                <w:rFonts w:asciiTheme="majorHAnsi" w:hAnsiTheme="majorHAnsi" w:cs="Times New Roman"/>
                <w:b/>
                <w:bCs/>
                <w:snapToGrid w:val="0"/>
                <w:sz w:val="20"/>
                <w:szCs w:val="20"/>
                <w:vertAlign w:val="superscript"/>
                <w:lang w:val="en-AU" w:bidi="en-US"/>
              </w:rPr>
              <w:t xml:space="preserve"> *1</w:t>
            </w:r>
          </w:p>
        </w:tc>
      </w:tr>
      <w:tr w:rsidR="00976F9D" w:rsidRPr="00EB3788" w14:paraId="5BFFBF2F" w14:textId="77777777" w:rsidTr="007A2366">
        <w:trPr>
          <w:trHeight w:val="227"/>
        </w:trPr>
        <w:tc>
          <w:tcPr>
            <w:tcW w:w="1459" w:type="dxa"/>
            <w:vAlign w:val="center"/>
          </w:tcPr>
          <w:p w14:paraId="7403566C" w14:textId="7FEF362C" w:rsidR="00976F9D" w:rsidRPr="00EB3788" w:rsidRDefault="00976F9D"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120≤C</w:t>
            </w:r>
            <w:r w:rsidR="003D7997" w:rsidRPr="00EB3788">
              <w:rPr>
                <w:rFonts w:asciiTheme="majorHAnsi" w:hAnsiTheme="majorHAnsi" w:cs="Times New Roman"/>
                <w:snapToGrid w:val="0"/>
                <w:sz w:val="20"/>
                <w:szCs w:val="20"/>
                <w:lang w:val="en-AU" w:eastAsia="ja-JP" w:bidi="ja-JP"/>
              </w:rPr>
              <w:t>rCL</w:t>
            </w:r>
          </w:p>
        </w:tc>
        <w:tc>
          <w:tcPr>
            <w:tcW w:w="3216" w:type="dxa"/>
            <w:vAlign w:val="center"/>
          </w:tcPr>
          <w:p w14:paraId="3F1774A1" w14:textId="77777777" w:rsidR="00976F9D" w:rsidRPr="00EB3788" w:rsidRDefault="00976F9D"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19</w:t>
            </w:r>
          </w:p>
        </w:tc>
        <w:tc>
          <w:tcPr>
            <w:tcW w:w="4394" w:type="dxa"/>
            <w:vAlign w:val="center"/>
          </w:tcPr>
          <w:p w14:paraId="01E22706" w14:textId="77777777" w:rsidR="00976F9D" w:rsidRPr="00EB3788" w:rsidRDefault="00976F9D"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6.46(38.0)</w:t>
            </w:r>
          </w:p>
        </w:tc>
      </w:tr>
      <w:tr w:rsidR="00976F9D" w:rsidRPr="00EB3788" w14:paraId="27D9E64C" w14:textId="77777777" w:rsidTr="007A2366">
        <w:trPr>
          <w:trHeight w:val="227"/>
        </w:trPr>
        <w:tc>
          <w:tcPr>
            <w:tcW w:w="1459" w:type="dxa"/>
            <w:vAlign w:val="center"/>
          </w:tcPr>
          <w:p w14:paraId="7D565C25" w14:textId="39FBA97A" w:rsidR="00976F9D" w:rsidRPr="00EB3788" w:rsidRDefault="00976F9D"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90≤C</w:t>
            </w:r>
            <w:r w:rsidR="003D7997" w:rsidRPr="00EB3788">
              <w:rPr>
                <w:rFonts w:asciiTheme="majorHAnsi" w:hAnsiTheme="majorHAnsi" w:cs="Times New Roman"/>
                <w:snapToGrid w:val="0"/>
                <w:sz w:val="20"/>
                <w:szCs w:val="20"/>
                <w:lang w:val="en-AU" w:eastAsia="ja-JP" w:bidi="ja-JP"/>
              </w:rPr>
              <w:t>rCL</w:t>
            </w:r>
            <w:r w:rsidRPr="00EB3788">
              <w:rPr>
                <w:rFonts w:asciiTheme="majorHAnsi" w:hAnsiTheme="majorHAnsi" w:cs="Times New Roman"/>
                <w:snapToGrid w:val="0"/>
                <w:sz w:val="20"/>
                <w:szCs w:val="20"/>
                <w:lang w:val="en-AU" w:eastAsia="ja-JP" w:bidi="ja-JP"/>
              </w:rPr>
              <w:t>&lt;120</w:t>
            </w:r>
          </w:p>
        </w:tc>
        <w:tc>
          <w:tcPr>
            <w:tcW w:w="3216" w:type="dxa"/>
            <w:vAlign w:val="center"/>
          </w:tcPr>
          <w:p w14:paraId="7519E1C3" w14:textId="77777777" w:rsidR="00976F9D" w:rsidRPr="00EB3788" w:rsidRDefault="00976F9D"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27</w:t>
            </w:r>
          </w:p>
        </w:tc>
        <w:tc>
          <w:tcPr>
            <w:tcW w:w="4394" w:type="dxa"/>
            <w:vAlign w:val="center"/>
          </w:tcPr>
          <w:p w14:paraId="7CF6EC73" w14:textId="77777777" w:rsidR="00976F9D" w:rsidRPr="00EB3788" w:rsidRDefault="00976F9D" w:rsidP="00446C37">
            <w:pPr>
              <w:pStyle w:val="TableParagraph"/>
              <w:adjustRightInd w:val="0"/>
              <w:spacing w:line="264" w:lineRule="auto"/>
              <w:jc w:val="left"/>
              <w:rPr>
                <w:rFonts w:asciiTheme="majorHAnsi" w:hAnsiTheme="majorHAnsi" w:cs="Times New Roman"/>
                <w:snapToGrid w:val="0"/>
                <w:sz w:val="20"/>
                <w:szCs w:val="20"/>
                <w:lang w:val="en-AU" w:eastAsia="ja-JP"/>
              </w:rPr>
            </w:pPr>
            <w:r w:rsidRPr="00EB3788">
              <w:rPr>
                <w:rFonts w:asciiTheme="majorHAnsi" w:hAnsiTheme="majorHAnsi" w:cs="Times New Roman"/>
                <w:snapToGrid w:val="0"/>
                <w:sz w:val="20"/>
                <w:szCs w:val="20"/>
                <w:lang w:val="en-AU" w:eastAsia="ja-JP" w:bidi="ja-JP"/>
              </w:rPr>
              <w:t>4.48(66.0)</w:t>
            </w:r>
          </w:p>
        </w:tc>
      </w:tr>
    </w:tbl>
    <w:p w14:paraId="6D64C873" w14:textId="77777777" w:rsidR="00976F9D" w:rsidRPr="00EB3788" w:rsidRDefault="00976F9D" w:rsidP="00446C37">
      <w:pPr>
        <w:pStyle w:val="body"/>
        <w:spacing w:line="264" w:lineRule="auto"/>
        <w:ind w:left="142"/>
        <w:jc w:val="left"/>
        <w:rPr>
          <w:rFonts w:ascii="Times New Roman" w:hAnsi="Times New Roman" w:cs="Times New Roman"/>
          <w:snapToGrid w:val="0"/>
          <w:lang w:val="en-AU"/>
        </w:rPr>
      </w:pPr>
      <w:r w:rsidRPr="00EB3788">
        <w:rPr>
          <w:rFonts w:ascii="Times New Roman" w:hAnsi="Times New Roman" w:cs="Times New Roman" w:hint="eastAsia"/>
          <w:snapToGrid w:val="0"/>
          <w:sz w:val="14"/>
          <w:lang w:val="en-AU" w:bidi="en-US"/>
        </w:rPr>
        <w:t>※</w:t>
      </w:r>
      <w:r w:rsidRPr="00EB3788">
        <w:rPr>
          <w:rFonts w:ascii="Times New Roman" w:hAnsi="Times New Roman" w:cs="Times New Roman"/>
          <w:snapToGrid w:val="0"/>
          <w:sz w:val="14"/>
          <w:lang w:val="en-AU" w:bidi="en-US"/>
        </w:rPr>
        <w:t>1:</w:t>
      </w:r>
      <w:r w:rsidRPr="00EB3788">
        <w:rPr>
          <w:rFonts w:ascii="Times New Roman" w:hAnsi="Times New Roman" w:cs="Times New Roman"/>
          <w:snapToGrid w:val="0"/>
          <w:sz w:val="14"/>
          <w:lang w:val="en-AU" w:bidi="en-US"/>
        </w:rPr>
        <w:tab/>
        <w:t>Geometric mean by Bayesian estimation (% geometric CV)</w:t>
      </w:r>
    </w:p>
    <w:p w14:paraId="290D6CB8" w14:textId="4D622908" w:rsidR="00DB13BA" w:rsidRPr="00EB3788" w:rsidRDefault="0034033C" w:rsidP="00446C37">
      <w:pPr>
        <w:pStyle w:val="Heading3"/>
        <w:spacing w:after="240"/>
        <w:ind w:left="0"/>
      </w:pPr>
      <w:r w:rsidRPr="00EB3788">
        <w:lastRenderedPageBreak/>
        <w:t xml:space="preserve">Drug </w:t>
      </w:r>
      <w:r w:rsidR="009D1886" w:rsidRPr="00EB3788">
        <w:t>i</w:t>
      </w:r>
      <w:r w:rsidR="00995F85" w:rsidRPr="00EB3788">
        <w:t>nteraction</w:t>
      </w:r>
      <w:r w:rsidR="009D1886" w:rsidRPr="00EB3788">
        <w:t xml:space="preserve"> studies</w:t>
      </w:r>
    </w:p>
    <w:p w14:paraId="38F23B09" w14:textId="05B73350" w:rsidR="00A653F4" w:rsidRPr="00EB3788" w:rsidRDefault="00FD2711" w:rsidP="00446C37">
      <w:pPr>
        <w:rPr>
          <w:i/>
          <w:iCs/>
        </w:rPr>
      </w:pPr>
      <w:r w:rsidRPr="00EB3788">
        <w:rPr>
          <w:rFonts w:asciiTheme="majorHAnsi" w:hAnsiTheme="majorHAnsi"/>
          <w:i/>
          <w:iCs/>
        </w:rPr>
        <w:t>Clinical trials</w:t>
      </w:r>
    </w:p>
    <w:p w14:paraId="3FE41A5B" w14:textId="663E138E" w:rsidR="009D1886" w:rsidRPr="004664E6" w:rsidRDefault="1A03AF06" w:rsidP="00446C37">
      <w:pPr>
        <w:autoSpaceDE w:val="0"/>
        <w:autoSpaceDN w:val="0"/>
        <w:adjustRightInd w:val="0"/>
        <w:snapToGrid w:val="0"/>
        <w:rPr>
          <w:rFonts w:asciiTheme="majorHAnsi" w:eastAsia="Times New Roman" w:hAnsiTheme="majorHAnsi" w:cs="F1"/>
          <w:color w:val="000000"/>
        </w:rPr>
      </w:pPr>
      <w:r w:rsidRPr="004664E6">
        <w:rPr>
          <w:rFonts w:asciiTheme="majorHAnsi" w:eastAsia="Times New Roman" w:hAnsiTheme="majorHAnsi" w:cs="F1"/>
          <w:color w:val="000000" w:themeColor="text1"/>
        </w:rPr>
        <w:t>Co-administration with 2 g doses of Fetroja given every 8 hours did not affect the pharmacokinetics of midazolam (a CYP3A substrate), furosemide (an OAT1 and OAT3 substrate) or metformin (an OCT1, OCT2, and MATE2-K substrate). Co-administration with 2 g doses of Fetroja given every 8 hours increased rosuvastatin (a OATP1B3 substrate) AUC by 21%, which was considered not to be clinically meaningful.</w:t>
      </w:r>
    </w:p>
    <w:p w14:paraId="0AD85254" w14:textId="018F3C12" w:rsidR="00FD2711" w:rsidRPr="00EB3788" w:rsidDel="00364DD8" w:rsidRDefault="10A793A7" w:rsidP="00446C37">
      <w:pPr>
        <w:rPr>
          <w:rFonts w:asciiTheme="majorHAnsi" w:hAnsiTheme="majorHAnsi"/>
          <w:i/>
          <w:iCs/>
        </w:rPr>
      </w:pPr>
      <w:r w:rsidRPr="00EB3788">
        <w:rPr>
          <w:rFonts w:asciiTheme="majorHAnsi" w:hAnsiTheme="majorHAnsi"/>
          <w:i/>
          <w:iCs/>
        </w:rPr>
        <w:t>In vitro studies</w:t>
      </w:r>
    </w:p>
    <w:p w14:paraId="0FAEEA7A" w14:textId="74386462" w:rsidR="00543D0D" w:rsidRPr="004664E6" w:rsidDel="00364DD8" w:rsidRDefault="10A793A7" w:rsidP="00446C37">
      <w:pPr>
        <w:autoSpaceDE w:val="0"/>
        <w:autoSpaceDN w:val="0"/>
        <w:adjustRightInd w:val="0"/>
        <w:snapToGrid w:val="0"/>
        <w:rPr>
          <w:rFonts w:asciiTheme="majorHAnsi" w:eastAsia="Times New Roman" w:hAnsiTheme="majorHAnsi" w:cs="F1"/>
          <w:color w:val="000000"/>
        </w:rPr>
      </w:pPr>
      <w:r w:rsidRPr="004664E6">
        <w:rPr>
          <w:rFonts w:asciiTheme="majorHAnsi" w:eastAsia="Times New Roman" w:hAnsiTheme="majorHAnsi" w:cs="F1"/>
          <w:color w:val="000000" w:themeColor="text1"/>
        </w:rPr>
        <w:t>In the in vitro study at clinically relevant concentrations, cefiderocol did not inhibit the major CYP enzymes; no concentration- or no time-dependent inhibitions of CYP1A2, 2B6, 2C8, 2C9, 2C19, 2D6, 2E1, and 3A4 enzymes were observed and cefiderocol did not induce CYP1A2, 2B6, or 3A4 enzymes.</w:t>
      </w:r>
    </w:p>
    <w:p w14:paraId="52493A7D" w14:textId="3E580D75" w:rsidR="00995F85" w:rsidRPr="004664E6" w:rsidDel="00364DD8" w:rsidRDefault="10A793A7" w:rsidP="00446C37">
      <w:pPr>
        <w:autoSpaceDE w:val="0"/>
        <w:autoSpaceDN w:val="0"/>
        <w:adjustRightInd w:val="0"/>
        <w:snapToGrid w:val="0"/>
        <w:rPr>
          <w:rFonts w:eastAsia="Times New Roman" w:cs="F1"/>
          <w:color w:val="000000"/>
        </w:rPr>
      </w:pPr>
      <w:r w:rsidRPr="004664E6">
        <w:rPr>
          <w:rFonts w:asciiTheme="majorHAnsi" w:eastAsia="Times New Roman" w:hAnsiTheme="majorHAnsi" w:cs="F1"/>
          <w:color w:val="000000" w:themeColor="text1"/>
        </w:rPr>
        <w:t>Cefiderocol is not a substrate of drug transporters including OAT1, OAT3, OCT2, MATE1, MATE2-K, P-</w:t>
      </w:r>
      <w:proofErr w:type="spellStart"/>
      <w:r w:rsidRPr="004664E6">
        <w:rPr>
          <w:rFonts w:asciiTheme="majorHAnsi" w:eastAsia="Times New Roman" w:hAnsiTheme="majorHAnsi" w:cs="F1"/>
          <w:color w:val="000000" w:themeColor="text1"/>
        </w:rPr>
        <w:t>gp</w:t>
      </w:r>
      <w:proofErr w:type="spellEnd"/>
      <w:r w:rsidRPr="004664E6">
        <w:rPr>
          <w:rFonts w:asciiTheme="majorHAnsi" w:eastAsia="Times New Roman" w:hAnsiTheme="majorHAnsi" w:cs="F1"/>
          <w:color w:val="000000" w:themeColor="text1"/>
        </w:rPr>
        <w:t>, or BCRP. Cefiderocol is also considered not to be an inhibitor of gut, renal or hepatic transporters including OATP1B1, MATE1, P-</w:t>
      </w:r>
      <w:proofErr w:type="spellStart"/>
      <w:r w:rsidRPr="004664E6">
        <w:rPr>
          <w:rFonts w:asciiTheme="majorHAnsi" w:eastAsia="Times New Roman" w:hAnsiTheme="majorHAnsi" w:cs="F1"/>
          <w:color w:val="000000" w:themeColor="text1"/>
        </w:rPr>
        <w:t>gp</w:t>
      </w:r>
      <w:proofErr w:type="spellEnd"/>
      <w:r w:rsidRPr="004664E6">
        <w:rPr>
          <w:rFonts w:asciiTheme="majorHAnsi" w:eastAsia="Times New Roman" w:hAnsiTheme="majorHAnsi" w:cs="F1"/>
          <w:color w:val="000000" w:themeColor="text1"/>
        </w:rPr>
        <w:t>, BCRP, or BSEP transporters.</w:t>
      </w:r>
    </w:p>
    <w:p w14:paraId="4EF9F40A" w14:textId="77777777" w:rsidR="001A3992" w:rsidRPr="00EB3788" w:rsidRDefault="001A3992" w:rsidP="00446C37">
      <w:pPr>
        <w:pStyle w:val="Heading2"/>
        <w:spacing w:before="0" w:after="120"/>
      </w:pPr>
      <w:r w:rsidRPr="00EB3788">
        <w:t>Preclinical safety data</w:t>
      </w:r>
    </w:p>
    <w:p w14:paraId="66140231" w14:textId="77777777" w:rsidR="001A3992" w:rsidRPr="00EB3788" w:rsidRDefault="001A3992" w:rsidP="00446C37">
      <w:pPr>
        <w:pStyle w:val="Heading3"/>
        <w:spacing w:before="0" w:after="120"/>
        <w:ind w:left="0"/>
      </w:pPr>
      <w:r w:rsidRPr="00EB3788">
        <w:t>Genotoxicity</w:t>
      </w:r>
    </w:p>
    <w:p w14:paraId="29C1AB90" w14:textId="3C6B04A2" w:rsidR="00E75AD2" w:rsidRPr="00EB3788" w:rsidRDefault="00E75AD2" w:rsidP="00446C37">
      <w:pPr>
        <w:rPr>
          <w:rFonts w:asciiTheme="majorHAnsi" w:hAnsiTheme="majorHAnsi"/>
        </w:rPr>
      </w:pPr>
      <w:r w:rsidRPr="00EB3788">
        <w:rPr>
          <w:rFonts w:asciiTheme="majorHAnsi" w:hAnsiTheme="majorHAnsi"/>
        </w:rPr>
        <w:t xml:space="preserve">Cefiderocol was negative for mutagenicity in an </w:t>
      </w:r>
      <w:r w:rsidRPr="00EB3788">
        <w:rPr>
          <w:rFonts w:asciiTheme="majorHAnsi" w:hAnsiTheme="majorHAnsi"/>
          <w:i/>
        </w:rPr>
        <w:t xml:space="preserve">in vitro </w:t>
      </w:r>
      <w:r w:rsidRPr="00EB3788">
        <w:rPr>
          <w:rFonts w:asciiTheme="majorHAnsi" w:hAnsiTheme="majorHAnsi"/>
        </w:rPr>
        <w:t>reverse mutation test with bacteria and in the</w:t>
      </w:r>
      <w:r w:rsidR="00460B08" w:rsidRPr="00EB3788">
        <w:rPr>
          <w:rFonts w:asciiTheme="majorHAnsi" w:hAnsiTheme="majorHAnsi"/>
        </w:rPr>
        <w:t xml:space="preserve"> </w:t>
      </w:r>
      <w:r w:rsidRPr="00EB3788">
        <w:rPr>
          <w:rFonts w:asciiTheme="majorHAnsi" w:hAnsiTheme="majorHAnsi"/>
          <w:i/>
        </w:rPr>
        <w:t xml:space="preserve">in vitro </w:t>
      </w:r>
      <w:r w:rsidRPr="00EB3788">
        <w:rPr>
          <w:rFonts w:asciiTheme="majorHAnsi" w:hAnsiTheme="majorHAnsi"/>
        </w:rPr>
        <w:t xml:space="preserve">HPRT gene mutation assay in human cells. Positive findings were seen in an </w:t>
      </w:r>
      <w:r w:rsidRPr="00EB3788">
        <w:rPr>
          <w:rFonts w:asciiTheme="majorHAnsi" w:hAnsiTheme="majorHAnsi"/>
          <w:i/>
          <w:iCs/>
        </w:rPr>
        <w:t>in vitro</w:t>
      </w:r>
      <w:r w:rsidR="00460B08" w:rsidRPr="00EB3788">
        <w:rPr>
          <w:rFonts w:asciiTheme="majorHAnsi" w:hAnsiTheme="majorHAnsi"/>
        </w:rPr>
        <w:t xml:space="preserve"> </w:t>
      </w:r>
      <w:r w:rsidRPr="00EB3788">
        <w:rPr>
          <w:rFonts w:asciiTheme="majorHAnsi" w:hAnsiTheme="majorHAnsi"/>
        </w:rPr>
        <w:t xml:space="preserve">chromosomal aberration test in cultured TK6 cells and an </w:t>
      </w:r>
      <w:r w:rsidRPr="00EB3788">
        <w:rPr>
          <w:rFonts w:asciiTheme="majorHAnsi" w:hAnsiTheme="majorHAnsi"/>
          <w:i/>
          <w:iCs/>
        </w:rPr>
        <w:t>in vitro</w:t>
      </w:r>
      <w:r w:rsidRPr="00EB3788">
        <w:rPr>
          <w:rFonts w:asciiTheme="majorHAnsi" w:hAnsiTheme="majorHAnsi"/>
        </w:rPr>
        <w:t xml:space="preserve"> mouse lymphoma assay (MLA).</w:t>
      </w:r>
    </w:p>
    <w:p w14:paraId="5CEFC06A" w14:textId="799E6B9F" w:rsidR="00E75AD2" w:rsidRPr="004664E6" w:rsidRDefault="10A793A7" w:rsidP="00446C37">
      <w:pPr>
        <w:rPr>
          <w:rFonts w:asciiTheme="majorHAnsi" w:hAnsiTheme="majorHAnsi"/>
        </w:rPr>
      </w:pPr>
      <w:r w:rsidRPr="004664E6">
        <w:rPr>
          <w:rFonts w:asciiTheme="majorHAnsi" w:hAnsiTheme="majorHAnsi"/>
        </w:rPr>
        <w:t xml:space="preserve">However, no genotoxicity was noted in an </w:t>
      </w:r>
      <w:r w:rsidRPr="004664E6">
        <w:rPr>
          <w:rFonts w:asciiTheme="majorHAnsi" w:hAnsiTheme="majorHAnsi"/>
          <w:i/>
          <w:iCs/>
        </w:rPr>
        <w:t xml:space="preserve">in vivo </w:t>
      </w:r>
      <w:r w:rsidRPr="004664E6">
        <w:rPr>
          <w:rFonts w:asciiTheme="majorHAnsi" w:hAnsiTheme="majorHAnsi"/>
        </w:rPr>
        <w:t>rat micronucleus study and a rat comet assay at doses up to 2000 mg/kg and 1500 mg/kg, respectively. Based on C</w:t>
      </w:r>
      <w:r w:rsidRPr="004664E6">
        <w:rPr>
          <w:rFonts w:asciiTheme="majorHAnsi" w:hAnsiTheme="majorHAnsi"/>
          <w:vertAlign w:val="subscript"/>
        </w:rPr>
        <w:t>0</w:t>
      </w:r>
      <w:r w:rsidRPr="004664E6">
        <w:rPr>
          <w:rFonts w:asciiTheme="majorHAnsi" w:hAnsiTheme="majorHAnsi"/>
        </w:rPr>
        <w:t xml:space="preserve"> values for rats administered 1500 mg/kg/day in the repeat dose toxicity studies, sufficient </w:t>
      </w:r>
      <w:proofErr w:type="spellStart"/>
      <w:r w:rsidRPr="004664E6">
        <w:rPr>
          <w:rFonts w:asciiTheme="majorHAnsi" w:hAnsiTheme="majorHAnsi"/>
        </w:rPr>
        <w:t>C</w:t>
      </w:r>
      <w:r w:rsidRPr="004664E6">
        <w:rPr>
          <w:rFonts w:asciiTheme="majorHAnsi" w:hAnsiTheme="majorHAnsi"/>
          <w:vertAlign w:val="subscript"/>
        </w:rPr>
        <w:t>max</w:t>
      </w:r>
      <w:proofErr w:type="spellEnd"/>
      <w:r w:rsidRPr="004664E6">
        <w:rPr>
          <w:rFonts w:asciiTheme="majorHAnsi" w:hAnsiTheme="majorHAnsi"/>
        </w:rPr>
        <w:t xml:space="preserve">-based </w:t>
      </w:r>
      <w:proofErr w:type="spellStart"/>
      <w:proofErr w:type="gramStart"/>
      <w:r w:rsidRPr="004664E6">
        <w:rPr>
          <w:rFonts w:asciiTheme="majorHAnsi" w:hAnsiTheme="majorHAnsi"/>
        </w:rPr>
        <w:t>animal:human</w:t>
      </w:r>
      <w:proofErr w:type="spellEnd"/>
      <w:proofErr w:type="gramEnd"/>
      <w:r w:rsidRPr="004664E6">
        <w:rPr>
          <w:rFonts w:asciiTheme="majorHAnsi" w:hAnsiTheme="majorHAnsi"/>
        </w:rPr>
        <w:t xml:space="preserve"> safety margins (</w:t>
      </w:r>
      <w:proofErr w:type="spellStart"/>
      <w:r w:rsidRPr="004664E6">
        <w:rPr>
          <w:rFonts w:asciiTheme="majorHAnsi" w:hAnsiTheme="majorHAnsi"/>
        </w:rPr>
        <w:t>ER</w:t>
      </w:r>
      <w:r w:rsidRPr="004664E6">
        <w:rPr>
          <w:rFonts w:asciiTheme="majorHAnsi" w:hAnsiTheme="majorHAnsi"/>
          <w:vertAlign w:val="subscript"/>
        </w:rPr>
        <w:t>Cmax</w:t>
      </w:r>
      <w:proofErr w:type="spellEnd"/>
      <w:r w:rsidRPr="004664E6">
        <w:rPr>
          <w:rFonts w:asciiTheme="majorHAnsi" w:hAnsiTheme="majorHAnsi"/>
        </w:rPr>
        <w:t xml:space="preserve"> &gt;29) were achieved in the </w:t>
      </w:r>
      <w:r w:rsidRPr="004664E6">
        <w:rPr>
          <w:rFonts w:asciiTheme="majorHAnsi" w:hAnsiTheme="majorHAnsi"/>
          <w:i/>
          <w:iCs/>
        </w:rPr>
        <w:t xml:space="preserve">in vivo </w:t>
      </w:r>
      <w:r w:rsidRPr="004664E6">
        <w:rPr>
          <w:rFonts w:asciiTheme="majorHAnsi" w:hAnsiTheme="majorHAnsi"/>
        </w:rPr>
        <w:t>genotoxicity studies to support the claim of no clastogenic or DNA-damaging potential for cefiderocol</w:t>
      </w:r>
      <w:r w:rsidRPr="004664E6">
        <w:rPr>
          <w:rFonts w:asciiTheme="majorHAnsi" w:hAnsiTheme="majorHAnsi"/>
          <w:i/>
          <w:iCs/>
        </w:rPr>
        <w:t>.</w:t>
      </w:r>
      <w:r w:rsidRPr="00EB3788">
        <w:rPr>
          <w:rFonts w:asciiTheme="majorHAnsi" w:hAnsiTheme="majorHAnsi"/>
        </w:rPr>
        <w:t xml:space="preserve"> </w:t>
      </w:r>
    </w:p>
    <w:p w14:paraId="28A4F47C" w14:textId="77777777" w:rsidR="001A3992" w:rsidRPr="00EB3788" w:rsidRDefault="001A3992" w:rsidP="00446C37">
      <w:pPr>
        <w:pStyle w:val="Heading3"/>
        <w:spacing w:before="0" w:after="120"/>
        <w:ind w:left="0"/>
      </w:pPr>
      <w:r w:rsidRPr="00EB3788">
        <w:t>Carcinogenicity</w:t>
      </w:r>
    </w:p>
    <w:p w14:paraId="337D5567" w14:textId="35CCC4E9" w:rsidR="00894783" w:rsidRPr="00EB3788" w:rsidRDefault="006466C2" w:rsidP="00446C37">
      <w:pPr>
        <w:rPr>
          <w:rFonts w:asciiTheme="majorHAnsi" w:hAnsiTheme="majorHAnsi"/>
        </w:rPr>
      </w:pPr>
      <w:r w:rsidRPr="00EB3788">
        <w:rPr>
          <w:rFonts w:asciiTheme="majorHAnsi" w:hAnsiTheme="majorHAnsi"/>
        </w:rPr>
        <w:t>No carcinogenicity studies were conducted with cefiderocol.</w:t>
      </w:r>
    </w:p>
    <w:p w14:paraId="5B43F4FD" w14:textId="77777777" w:rsidR="001A3992" w:rsidRPr="00EB3788" w:rsidRDefault="001A3992" w:rsidP="00446C37">
      <w:pPr>
        <w:pStyle w:val="Heading1"/>
        <w:spacing w:before="0" w:after="120"/>
      </w:pPr>
      <w:r w:rsidRPr="00EB3788">
        <w:t>Pharmaceutical particulars</w:t>
      </w:r>
    </w:p>
    <w:p w14:paraId="591A73BD" w14:textId="77777777" w:rsidR="005B2812" w:rsidRPr="00EB3788" w:rsidRDefault="005B2812" w:rsidP="00446C37">
      <w:pPr>
        <w:pStyle w:val="Heading2"/>
        <w:spacing w:before="0" w:after="120"/>
        <w:rPr>
          <w:rFonts w:cstheme="minorHAnsi"/>
        </w:rPr>
      </w:pPr>
      <w:bookmarkStart w:id="42" w:name="_List_of_excipients"/>
      <w:bookmarkStart w:id="43" w:name="_Ref172556131"/>
      <w:bookmarkEnd w:id="42"/>
      <w:r w:rsidRPr="00EB3788">
        <w:rPr>
          <w:rFonts w:cstheme="minorHAnsi"/>
        </w:rPr>
        <w:t>List of excipients</w:t>
      </w:r>
      <w:bookmarkEnd w:id="43"/>
      <w:r w:rsidRPr="00EB3788">
        <w:rPr>
          <w:rFonts w:cstheme="minorHAnsi"/>
        </w:rPr>
        <w:t xml:space="preserve"> </w:t>
      </w:r>
    </w:p>
    <w:p w14:paraId="66D6EDBA" w14:textId="37B91073" w:rsidR="005B2812" w:rsidRPr="00EB3788" w:rsidRDefault="00AC1535" w:rsidP="00446C37">
      <w:pPr>
        <w:spacing w:after="0"/>
        <w:rPr>
          <w:rFonts w:asciiTheme="majorHAnsi" w:hAnsiTheme="majorHAnsi" w:cstheme="minorHAnsi"/>
        </w:rPr>
      </w:pPr>
      <w:r w:rsidRPr="00EB3788">
        <w:rPr>
          <w:rFonts w:asciiTheme="majorHAnsi" w:hAnsiTheme="majorHAnsi" w:cstheme="minorHAnsi"/>
        </w:rPr>
        <w:t>Sucrose</w:t>
      </w:r>
    </w:p>
    <w:p w14:paraId="3C567B31" w14:textId="55F5CEE0" w:rsidR="00AC1535" w:rsidRPr="00EB3788" w:rsidRDefault="00AC1535" w:rsidP="00446C37">
      <w:pPr>
        <w:spacing w:after="0"/>
        <w:rPr>
          <w:rFonts w:asciiTheme="majorHAnsi" w:hAnsiTheme="majorHAnsi" w:cstheme="minorHAnsi"/>
        </w:rPr>
      </w:pPr>
      <w:r w:rsidRPr="00EB3788">
        <w:rPr>
          <w:rFonts w:asciiTheme="majorHAnsi" w:hAnsiTheme="majorHAnsi" w:cstheme="minorHAnsi"/>
        </w:rPr>
        <w:t>Sodium chloride</w:t>
      </w:r>
    </w:p>
    <w:p w14:paraId="06CEF954" w14:textId="21E69A28" w:rsidR="00AC1535" w:rsidRPr="00EB3788" w:rsidRDefault="00AC1535" w:rsidP="00446C37">
      <w:pPr>
        <w:rPr>
          <w:rFonts w:asciiTheme="majorHAnsi" w:hAnsiTheme="majorHAnsi" w:cstheme="minorHAnsi"/>
        </w:rPr>
      </w:pPr>
      <w:r w:rsidRPr="00EB3788">
        <w:rPr>
          <w:rFonts w:asciiTheme="majorHAnsi" w:hAnsiTheme="majorHAnsi" w:cstheme="minorHAnsi"/>
        </w:rPr>
        <w:t>Sodium hydroxide (pH adjustment)</w:t>
      </w:r>
    </w:p>
    <w:p w14:paraId="5E6AF121" w14:textId="77777777" w:rsidR="005B2812" w:rsidRPr="00EB3788" w:rsidRDefault="005B2812" w:rsidP="00446C37">
      <w:pPr>
        <w:pStyle w:val="Heading2"/>
        <w:keepNext/>
        <w:keepLines/>
        <w:spacing w:before="0" w:after="120"/>
        <w:rPr>
          <w:rFonts w:cstheme="minorHAnsi"/>
        </w:rPr>
      </w:pPr>
      <w:r w:rsidRPr="00EB3788">
        <w:rPr>
          <w:rFonts w:cstheme="minorHAnsi"/>
        </w:rPr>
        <w:lastRenderedPageBreak/>
        <w:t xml:space="preserve">Incompatibilities </w:t>
      </w:r>
    </w:p>
    <w:p w14:paraId="02439513" w14:textId="70F892B3" w:rsidR="00EB48DD" w:rsidRPr="00EB3788" w:rsidRDefault="00EB48DD" w:rsidP="00446C37">
      <w:pPr>
        <w:rPr>
          <w:rFonts w:asciiTheme="majorHAnsi" w:hAnsiTheme="majorHAnsi" w:cstheme="minorHAnsi"/>
        </w:rPr>
      </w:pPr>
      <w:r w:rsidRPr="00EB3788">
        <w:rPr>
          <w:rFonts w:asciiTheme="majorHAnsi" w:hAnsiTheme="majorHAnsi" w:cstheme="minorHAnsi"/>
        </w:rPr>
        <w:t xml:space="preserve">This medicinal product must not be mixed with other medicinal products except those mentioned </w:t>
      </w:r>
      <w:r w:rsidR="00A95B3B" w:rsidRPr="00EB3788">
        <w:rPr>
          <w:rFonts w:asciiTheme="majorHAnsi" w:hAnsiTheme="majorHAnsi" w:cstheme="minorHAnsi"/>
        </w:rPr>
        <w:t xml:space="preserve">in </w:t>
      </w:r>
      <w:hyperlink w:anchor="_Dose_and_method" w:history="1">
        <w:r w:rsidR="00A95B3B" w:rsidRPr="00EB3788">
          <w:rPr>
            <w:rStyle w:val="Hyperlink"/>
            <w:rFonts w:asciiTheme="majorHAnsi" w:hAnsiTheme="majorHAnsi" w:cstheme="minorHAnsi"/>
            <w:color w:val="0000EE"/>
            <w:u w:val="none"/>
          </w:rPr>
          <w:t xml:space="preserve">Section 4.2 </w:t>
        </w:r>
        <w:r w:rsidR="00613D54" w:rsidRPr="00EB3788">
          <w:rPr>
            <w:rStyle w:val="Hyperlink"/>
            <w:rFonts w:asciiTheme="majorHAnsi" w:hAnsiTheme="majorHAnsi" w:cstheme="minorHAnsi"/>
            <w:color w:val="0000EE"/>
            <w:u w:val="none"/>
          </w:rPr>
          <w:fldChar w:fldCharType="begin" w:fldLock="1"/>
        </w:r>
        <w:r w:rsidR="00613D54" w:rsidRPr="00EB3788">
          <w:rPr>
            <w:rStyle w:val="Hyperlink"/>
            <w:rFonts w:asciiTheme="majorHAnsi" w:hAnsiTheme="majorHAnsi" w:cstheme="minorHAnsi"/>
            <w:color w:val="0000EE"/>
            <w:u w:val="none"/>
          </w:rPr>
          <w:instrText xml:space="preserve"> REF _Ref171513418 \h </w:instrText>
        </w:r>
        <w:r w:rsidR="00A95B3B" w:rsidRPr="00EB3788">
          <w:rPr>
            <w:rStyle w:val="Hyperlink"/>
            <w:rFonts w:asciiTheme="majorHAnsi" w:hAnsiTheme="majorHAnsi" w:cstheme="minorHAnsi"/>
            <w:color w:val="0000EE"/>
            <w:u w:val="none"/>
          </w:rPr>
          <w:instrText xml:space="preserve"> \* MERGEFORMAT </w:instrText>
        </w:r>
        <w:r w:rsidR="00613D54" w:rsidRPr="00EB3788">
          <w:rPr>
            <w:rStyle w:val="Hyperlink"/>
            <w:rFonts w:asciiTheme="majorHAnsi" w:hAnsiTheme="majorHAnsi" w:cstheme="minorHAnsi"/>
            <w:color w:val="0000EE"/>
            <w:u w:val="none"/>
          </w:rPr>
        </w:r>
        <w:r w:rsidR="00613D54" w:rsidRPr="00EB3788">
          <w:rPr>
            <w:rStyle w:val="Hyperlink"/>
            <w:rFonts w:asciiTheme="majorHAnsi" w:hAnsiTheme="majorHAnsi" w:cstheme="minorHAnsi"/>
            <w:color w:val="0000EE"/>
            <w:u w:val="none"/>
          </w:rPr>
          <w:fldChar w:fldCharType="separate"/>
        </w:r>
        <w:r w:rsidR="00425866" w:rsidRPr="00EB3788">
          <w:rPr>
            <w:rStyle w:val="Hyperlink"/>
            <w:rFonts w:asciiTheme="majorHAnsi" w:hAnsiTheme="majorHAnsi"/>
            <w:color w:val="0000EE"/>
            <w:u w:val="none"/>
          </w:rPr>
          <w:t>Dose and method of administration</w:t>
        </w:r>
        <w:r w:rsidR="00613D54" w:rsidRPr="00EB3788">
          <w:rPr>
            <w:rStyle w:val="Hyperlink"/>
            <w:rFonts w:asciiTheme="majorHAnsi" w:hAnsiTheme="majorHAnsi" w:cstheme="minorHAnsi"/>
            <w:color w:val="0000EE"/>
            <w:u w:val="none"/>
          </w:rPr>
          <w:fldChar w:fldCharType="end"/>
        </w:r>
      </w:hyperlink>
      <w:r w:rsidR="00A95B3B" w:rsidRPr="00EB3788">
        <w:rPr>
          <w:rFonts w:asciiTheme="majorHAnsi" w:hAnsiTheme="majorHAnsi" w:cstheme="minorHAnsi"/>
          <w:color w:val="0000EE"/>
        </w:rPr>
        <w:t>.</w:t>
      </w:r>
    </w:p>
    <w:p w14:paraId="47B162CB" w14:textId="3EFD8211" w:rsidR="005B2812" w:rsidRPr="00EB3788" w:rsidRDefault="00EB48DD" w:rsidP="00446C37">
      <w:pPr>
        <w:rPr>
          <w:rFonts w:asciiTheme="majorHAnsi" w:hAnsiTheme="majorHAnsi" w:cstheme="minorHAnsi"/>
        </w:rPr>
      </w:pPr>
      <w:r w:rsidRPr="00EB3788">
        <w:rPr>
          <w:rFonts w:asciiTheme="majorHAnsi" w:hAnsiTheme="majorHAnsi" w:cstheme="minorHAnsi"/>
        </w:rPr>
        <w:t>If treatment with a combination of another medicinal product and Fetroja is unavoidable,</w:t>
      </w:r>
      <w:r w:rsidR="0000617D" w:rsidRPr="00EB3788">
        <w:rPr>
          <w:rFonts w:asciiTheme="majorHAnsi" w:hAnsiTheme="majorHAnsi" w:cstheme="minorHAnsi"/>
        </w:rPr>
        <w:t xml:space="preserve"> </w:t>
      </w:r>
      <w:r w:rsidRPr="00EB3788">
        <w:rPr>
          <w:rFonts w:asciiTheme="majorHAnsi" w:hAnsiTheme="majorHAnsi" w:cstheme="minorHAnsi"/>
        </w:rPr>
        <w:t>administration should not occur in the same syringe or in the same infusion solution. It is</w:t>
      </w:r>
      <w:r w:rsidR="0000617D" w:rsidRPr="00EB3788">
        <w:rPr>
          <w:rFonts w:asciiTheme="majorHAnsi" w:hAnsiTheme="majorHAnsi" w:cstheme="minorHAnsi"/>
        </w:rPr>
        <w:t xml:space="preserve"> </w:t>
      </w:r>
      <w:r w:rsidRPr="00EB3788">
        <w:rPr>
          <w:rFonts w:asciiTheme="majorHAnsi" w:hAnsiTheme="majorHAnsi" w:cstheme="minorHAnsi"/>
        </w:rPr>
        <w:t>recommended to adequately flush intravenous lines between administration of different medicinal</w:t>
      </w:r>
      <w:r w:rsidR="0000617D" w:rsidRPr="00EB3788">
        <w:rPr>
          <w:rFonts w:asciiTheme="majorHAnsi" w:hAnsiTheme="majorHAnsi" w:cstheme="minorHAnsi"/>
        </w:rPr>
        <w:t xml:space="preserve"> </w:t>
      </w:r>
      <w:r w:rsidRPr="00EB3788">
        <w:rPr>
          <w:rFonts w:asciiTheme="majorHAnsi" w:hAnsiTheme="majorHAnsi" w:cstheme="minorHAnsi"/>
        </w:rPr>
        <w:t>products.</w:t>
      </w:r>
    </w:p>
    <w:p w14:paraId="7B27DD7C" w14:textId="77777777" w:rsidR="005B2812" w:rsidRPr="00EB3788" w:rsidRDefault="005B2812" w:rsidP="00446C37">
      <w:pPr>
        <w:pStyle w:val="Heading2"/>
        <w:spacing w:before="0" w:after="120"/>
        <w:rPr>
          <w:rFonts w:cstheme="minorHAnsi"/>
        </w:rPr>
      </w:pPr>
      <w:bookmarkStart w:id="44" w:name="_Shelf_life"/>
      <w:bookmarkStart w:id="45" w:name="_Ref171514955"/>
      <w:bookmarkEnd w:id="44"/>
      <w:r w:rsidRPr="00EB3788">
        <w:rPr>
          <w:rFonts w:cstheme="minorHAnsi"/>
        </w:rPr>
        <w:t>Shelf life</w:t>
      </w:r>
      <w:bookmarkEnd w:id="45"/>
      <w:r w:rsidRPr="00EB3788">
        <w:rPr>
          <w:rFonts w:cstheme="minorHAnsi"/>
        </w:rPr>
        <w:t xml:space="preserve"> </w:t>
      </w:r>
    </w:p>
    <w:p w14:paraId="53008D49" w14:textId="145EE915" w:rsidR="00E55E0F" w:rsidRPr="00EB3788" w:rsidRDefault="00E55E0F" w:rsidP="00446C37">
      <w:pPr>
        <w:pStyle w:val="Heading3"/>
        <w:spacing w:after="240"/>
        <w:ind w:left="0"/>
      </w:pPr>
      <w:r w:rsidRPr="00EB3788">
        <w:t>Powder</w:t>
      </w:r>
    </w:p>
    <w:p w14:paraId="33B1EB0A" w14:textId="1DD98332" w:rsidR="00E55E0F" w:rsidRPr="00EB3788" w:rsidRDefault="00E55E0F" w:rsidP="00446C37">
      <w:pPr>
        <w:rPr>
          <w:rFonts w:asciiTheme="majorHAnsi" w:hAnsiTheme="majorHAnsi"/>
        </w:rPr>
      </w:pPr>
      <w:r w:rsidRPr="00EB3788">
        <w:rPr>
          <w:rFonts w:asciiTheme="majorHAnsi" w:hAnsiTheme="majorHAnsi"/>
        </w:rPr>
        <w:t>5 years</w:t>
      </w:r>
    </w:p>
    <w:p w14:paraId="4E73747D" w14:textId="77777777" w:rsidR="00AB6EF3" w:rsidRPr="00EB3788" w:rsidRDefault="00AB6EF3" w:rsidP="00446C37">
      <w:pPr>
        <w:pStyle w:val="Heading3"/>
        <w:spacing w:after="240"/>
        <w:ind w:left="0"/>
      </w:pPr>
      <w:r w:rsidRPr="00EB3788">
        <w:t>Stability of reconstituted solution in the vial</w:t>
      </w:r>
    </w:p>
    <w:p w14:paraId="3E48B667" w14:textId="77777777" w:rsidR="00AB6EF3" w:rsidRPr="00EB3788" w:rsidRDefault="00AB6EF3" w:rsidP="00446C37">
      <w:pPr>
        <w:rPr>
          <w:rFonts w:asciiTheme="majorHAnsi" w:hAnsiTheme="majorHAnsi"/>
        </w:rPr>
      </w:pPr>
      <w:r w:rsidRPr="00EB3788">
        <w:rPr>
          <w:rFonts w:asciiTheme="majorHAnsi" w:hAnsiTheme="majorHAnsi"/>
        </w:rPr>
        <w:t>Chemical and physical in-use stability after reconstitution has been demonstrated for 1 hour at 25°C.</w:t>
      </w:r>
    </w:p>
    <w:p w14:paraId="085C53EE" w14:textId="23B3D4DA" w:rsidR="00AB6EF3" w:rsidRPr="00EB3788" w:rsidRDefault="62E9F3CB" w:rsidP="00446C37">
      <w:pPr>
        <w:rPr>
          <w:rFonts w:asciiTheme="majorHAnsi" w:hAnsiTheme="majorHAnsi"/>
        </w:rPr>
      </w:pPr>
      <w:r w:rsidRPr="00EB3788">
        <w:rPr>
          <w:rFonts w:asciiTheme="majorHAnsi" w:hAnsiTheme="majorHAnsi"/>
        </w:rPr>
        <w:t>From a microbiological point of view, unless the method of opening/reconstitution precludes the risk of microbial contamination, the reconstituted product should be used immediately. If not used immediately, in-use storage times and conditions are the responsibility of the user and should not be more than 1 hour at 25°C.</w:t>
      </w:r>
    </w:p>
    <w:p w14:paraId="590C86CF" w14:textId="77777777" w:rsidR="00AB6EF3" w:rsidRPr="00EB3788" w:rsidRDefault="4070D6E7" w:rsidP="00446C37">
      <w:pPr>
        <w:pStyle w:val="Heading3"/>
        <w:spacing w:after="240"/>
        <w:ind w:left="0"/>
      </w:pPr>
      <w:r w:rsidRPr="00EB3788">
        <w:t>Stability of the diluted solution in the infusion bag</w:t>
      </w:r>
    </w:p>
    <w:p w14:paraId="22BE7494" w14:textId="0E194E31" w:rsidR="00AB6EF3" w:rsidRPr="00EB3788" w:rsidRDefault="4070D6E7" w:rsidP="00446C37">
      <w:pPr>
        <w:rPr>
          <w:rFonts w:asciiTheme="majorHAnsi" w:hAnsiTheme="majorHAnsi"/>
        </w:rPr>
      </w:pPr>
      <w:r w:rsidRPr="00EB3788">
        <w:rPr>
          <w:rFonts w:asciiTheme="majorHAnsi" w:hAnsiTheme="majorHAnsi"/>
        </w:rPr>
        <w:t>Chemical, microbiological and physical in-use stability after dilution has been demonstrated for 6 hours at 25°C and for 24 hours at 2 to 8°C protected from light, followed by 6 hours at 25°C.</w:t>
      </w:r>
    </w:p>
    <w:p w14:paraId="72F0B5BF" w14:textId="7BF4A59C" w:rsidR="00AB6EF3" w:rsidRPr="00EB3788" w:rsidRDefault="4070D6E7" w:rsidP="00446C37">
      <w:pPr>
        <w:rPr>
          <w:rFonts w:asciiTheme="majorHAnsi" w:hAnsiTheme="majorHAnsi"/>
        </w:rPr>
      </w:pPr>
      <w:r w:rsidRPr="00EB3788">
        <w:rPr>
          <w:rFonts w:asciiTheme="majorHAnsi" w:hAnsiTheme="majorHAnsi"/>
        </w:rPr>
        <w:t>From a microbiological point of view, diluted products should be used immediately. If not used immediately, in-use storage times and conditions are the responsibility of the user and would normally not be longer than 6 hours at 25°C or 24 hours at 2 to 8°C protected from light, followed by 6 hours at 25°C, unless dilution has taken place in controlled and validated aseptic conditions. The 6-hour period at 25°C should be inclusive of the product administration period of 3 hours. If storing the infusion solution in the refrigerator, the infusion bag should be removed and allowed to reach room temperature prior to use.</w:t>
      </w:r>
    </w:p>
    <w:p w14:paraId="379B5B13" w14:textId="035BBA39" w:rsidR="00E55E0F" w:rsidRPr="00EB3788" w:rsidRDefault="00660F6E" w:rsidP="00446C37">
      <w:pPr>
        <w:rPr>
          <w:rFonts w:asciiTheme="majorHAnsi" w:hAnsiTheme="majorHAnsi"/>
          <w:color w:val="0000EE"/>
        </w:rPr>
      </w:pPr>
      <w:r w:rsidRPr="00EB3788">
        <w:rPr>
          <w:rFonts w:asciiTheme="majorHAnsi" w:hAnsiTheme="majorHAnsi"/>
        </w:rPr>
        <w:t xml:space="preserve">For preparation of solution for administration, see </w:t>
      </w:r>
      <w:hyperlink w:anchor="_Dose_and_method" w:history="1">
        <w:r w:rsidRPr="00EB3788">
          <w:rPr>
            <w:rStyle w:val="Hyperlink"/>
            <w:rFonts w:asciiTheme="majorHAnsi" w:hAnsiTheme="majorHAnsi"/>
            <w:color w:val="0000EE"/>
            <w:u w:val="none"/>
          </w:rPr>
          <w:t>Section</w:t>
        </w:r>
        <w:r w:rsidR="009C7471" w:rsidRPr="00EB3788">
          <w:rPr>
            <w:rStyle w:val="Hyperlink"/>
            <w:rFonts w:asciiTheme="majorHAnsi" w:hAnsiTheme="majorHAnsi"/>
            <w:color w:val="0000EE"/>
            <w:u w:val="none"/>
          </w:rPr>
          <w:t xml:space="preserve"> </w:t>
        </w:r>
        <w:r w:rsidR="00EE0FAB" w:rsidRPr="00EB3788">
          <w:rPr>
            <w:rStyle w:val="Hyperlink"/>
            <w:rFonts w:asciiTheme="majorHAnsi" w:hAnsiTheme="majorHAnsi"/>
            <w:color w:val="0000EE"/>
            <w:u w:val="none"/>
          </w:rPr>
          <w:fldChar w:fldCharType="begin" w:fldLock="1"/>
        </w:r>
        <w:r w:rsidR="00EE0FAB" w:rsidRPr="00EB3788">
          <w:rPr>
            <w:rStyle w:val="Hyperlink"/>
            <w:rFonts w:asciiTheme="majorHAnsi" w:hAnsiTheme="majorHAnsi"/>
            <w:color w:val="0000EE"/>
            <w:u w:val="none"/>
          </w:rPr>
          <w:instrText xml:space="preserve"> REF _Ref171513418 \w \h  \* MERGEFORMAT </w:instrText>
        </w:r>
        <w:r w:rsidR="00EE0FAB" w:rsidRPr="00EB3788">
          <w:rPr>
            <w:rStyle w:val="Hyperlink"/>
            <w:rFonts w:asciiTheme="majorHAnsi" w:hAnsiTheme="majorHAnsi"/>
            <w:color w:val="0000EE"/>
            <w:u w:val="none"/>
          </w:rPr>
        </w:r>
        <w:r w:rsidR="00EE0FAB" w:rsidRPr="00EB3788">
          <w:rPr>
            <w:rStyle w:val="Hyperlink"/>
            <w:rFonts w:asciiTheme="majorHAnsi" w:hAnsiTheme="majorHAnsi"/>
            <w:color w:val="0000EE"/>
            <w:u w:val="none"/>
          </w:rPr>
          <w:fldChar w:fldCharType="separate"/>
        </w:r>
        <w:r w:rsidR="00425866" w:rsidRPr="00EB3788">
          <w:rPr>
            <w:rStyle w:val="Hyperlink"/>
            <w:rFonts w:asciiTheme="majorHAnsi" w:hAnsiTheme="majorHAnsi"/>
            <w:color w:val="0000EE"/>
            <w:u w:val="none"/>
          </w:rPr>
          <w:t>4.2</w:t>
        </w:r>
        <w:r w:rsidR="00EE0FAB" w:rsidRPr="00EB3788">
          <w:rPr>
            <w:rStyle w:val="Hyperlink"/>
            <w:rFonts w:asciiTheme="majorHAnsi" w:hAnsiTheme="majorHAnsi"/>
            <w:color w:val="0000EE"/>
            <w:u w:val="none"/>
          </w:rPr>
          <w:fldChar w:fldCharType="end"/>
        </w:r>
        <w:r w:rsidR="00EE0FAB" w:rsidRPr="00EB3788">
          <w:rPr>
            <w:rStyle w:val="Hyperlink"/>
            <w:rFonts w:asciiTheme="majorHAnsi" w:hAnsiTheme="majorHAnsi"/>
            <w:color w:val="0000EE"/>
            <w:u w:val="none"/>
          </w:rPr>
          <w:t xml:space="preserve"> </w:t>
        </w:r>
        <w:r w:rsidR="00EE0FAB" w:rsidRPr="00EB3788">
          <w:rPr>
            <w:rStyle w:val="Hyperlink"/>
            <w:rFonts w:asciiTheme="majorHAnsi" w:hAnsiTheme="majorHAnsi"/>
            <w:color w:val="0000EE"/>
            <w:u w:val="none"/>
          </w:rPr>
          <w:fldChar w:fldCharType="begin" w:fldLock="1"/>
        </w:r>
        <w:r w:rsidR="00EE0FAB" w:rsidRPr="00EB3788">
          <w:rPr>
            <w:rStyle w:val="Hyperlink"/>
            <w:rFonts w:asciiTheme="majorHAnsi" w:hAnsiTheme="majorHAnsi"/>
            <w:color w:val="0000EE"/>
            <w:u w:val="none"/>
          </w:rPr>
          <w:instrText xml:space="preserve"> REF _Ref171513418 \h  \* MERGEFORMAT </w:instrText>
        </w:r>
        <w:r w:rsidR="00EE0FAB" w:rsidRPr="00EB3788">
          <w:rPr>
            <w:rStyle w:val="Hyperlink"/>
            <w:rFonts w:asciiTheme="majorHAnsi" w:hAnsiTheme="majorHAnsi"/>
            <w:color w:val="0000EE"/>
            <w:u w:val="none"/>
          </w:rPr>
        </w:r>
        <w:r w:rsidR="00EE0FAB" w:rsidRPr="00EB3788">
          <w:rPr>
            <w:rStyle w:val="Hyperlink"/>
            <w:rFonts w:asciiTheme="majorHAnsi" w:hAnsiTheme="majorHAnsi"/>
            <w:color w:val="0000EE"/>
            <w:u w:val="none"/>
          </w:rPr>
          <w:fldChar w:fldCharType="separate"/>
        </w:r>
        <w:r w:rsidR="00425866" w:rsidRPr="00EB3788">
          <w:rPr>
            <w:rFonts w:asciiTheme="majorHAnsi" w:hAnsiTheme="majorHAnsi"/>
            <w:color w:val="0000EE"/>
          </w:rPr>
          <w:t>Dose and method of administration</w:t>
        </w:r>
        <w:r w:rsidR="00EE0FAB" w:rsidRPr="00EB3788">
          <w:rPr>
            <w:rStyle w:val="Hyperlink"/>
            <w:rFonts w:asciiTheme="majorHAnsi" w:hAnsiTheme="majorHAnsi"/>
            <w:color w:val="0000EE"/>
            <w:u w:val="none"/>
          </w:rPr>
          <w:fldChar w:fldCharType="end"/>
        </w:r>
        <w:r w:rsidRPr="00EB3788">
          <w:rPr>
            <w:rStyle w:val="Hyperlink"/>
            <w:rFonts w:asciiTheme="majorHAnsi" w:hAnsiTheme="majorHAnsi"/>
            <w:color w:val="auto"/>
            <w:u w:val="none"/>
          </w:rPr>
          <w:t>.</w:t>
        </w:r>
      </w:hyperlink>
    </w:p>
    <w:p w14:paraId="276B42DC" w14:textId="77777777" w:rsidR="005B2812" w:rsidRPr="00EB3788" w:rsidRDefault="005B2812" w:rsidP="00446C37">
      <w:pPr>
        <w:pStyle w:val="Heading2"/>
        <w:keepNext/>
        <w:keepLines/>
        <w:spacing w:before="0" w:after="120"/>
        <w:rPr>
          <w:rFonts w:cstheme="minorHAnsi"/>
        </w:rPr>
      </w:pPr>
      <w:r w:rsidRPr="00EB3788">
        <w:rPr>
          <w:rFonts w:cstheme="minorHAnsi"/>
        </w:rPr>
        <w:t xml:space="preserve">Special precautions for storage </w:t>
      </w:r>
    </w:p>
    <w:p w14:paraId="0E0B4438" w14:textId="77777777" w:rsidR="00E07D35" w:rsidRPr="00EB3788" w:rsidRDefault="0099398A" w:rsidP="00446C37">
      <w:pPr>
        <w:rPr>
          <w:rFonts w:asciiTheme="majorHAnsi" w:hAnsiTheme="majorHAnsi"/>
        </w:rPr>
      </w:pPr>
      <w:r w:rsidRPr="00EB3788">
        <w:rPr>
          <w:rFonts w:asciiTheme="majorHAnsi" w:hAnsiTheme="majorHAnsi" w:cs="Times New Roman"/>
          <w:snapToGrid w:val="0"/>
          <w:lang w:bidi="en-US"/>
        </w:rPr>
        <w:t>Store at 2°C to 8°C</w:t>
      </w:r>
      <w:r w:rsidR="006F3F45" w:rsidRPr="00EB3788">
        <w:rPr>
          <w:rFonts w:asciiTheme="majorHAnsi" w:hAnsiTheme="majorHAnsi"/>
        </w:rPr>
        <w:t xml:space="preserve">. </w:t>
      </w:r>
    </w:p>
    <w:p w14:paraId="796EEBB2" w14:textId="77777777" w:rsidR="00E07D35" w:rsidRPr="00EB3788" w:rsidRDefault="00E07D35" w:rsidP="00446C37">
      <w:pPr>
        <w:rPr>
          <w:rFonts w:asciiTheme="majorHAnsi" w:hAnsiTheme="majorHAnsi"/>
        </w:rPr>
      </w:pPr>
      <w:r w:rsidRPr="00EB3788">
        <w:rPr>
          <w:rFonts w:asciiTheme="majorHAnsi" w:hAnsiTheme="majorHAnsi"/>
        </w:rPr>
        <w:t xml:space="preserve">Store in the original carton </w:t>
      </w:r>
      <w:proofErr w:type="gramStart"/>
      <w:r w:rsidRPr="00EB3788">
        <w:rPr>
          <w:rFonts w:asciiTheme="majorHAnsi" w:hAnsiTheme="majorHAnsi"/>
        </w:rPr>
        <w:t>in order to</w:t>
      </w:r>
      <w:proofErr w:type="gramEnd"/>
      <w:r w:rsidRPr="00EB3788">
        <w:rPr>
          <w:rFonts w:asciiTheme="majorHAnsi" w:hAnsiTheme="majorHAnsi"/>
        </w:rPr>
        <w:t xml:space="preserve"> protect from light.</w:t>
      </w:r>
    </w:p>
    <w:p w14:paraId="3A20028A" w14:textId="37B8AAE1" w:rsidR="00EE076E" w:rsidRPr="00EB3788" w:rsidRDefault="00E07D35" w:rsidP="00446C37">
      <w:pPr>
        <w:rPr>
          <w:rFonts w:asciiTheme="majorHAnsi" w:hAnsiTheme="majorHAnsi"/>
          <w:color w:val="0000EE"/>
        </w:rPr>
      </w:pPr>
      <w:r w:rsidRPr="00EB3788">
        <w:rPr>
          <w:rFonts w:asciiTheme="majorHAnsi" w:hAnsiTheme="majorHAnsi"/>
        </w:rPr>
        <w:t xml:space="preserve">For storage conditions after reconstitution and dilution of the medicinal product, see </w:t>
      </w:r>
      <w:hyperlink w:anchor="_Shelf_life" w:history="1">
        <w:r w:rsidRPr="00EB3788">
          <w:rPr>
            <w:rStyle w:val="Hyperlink"/>
            <w:rFonts w:asciiTheme="majorHAnsi" w:hAnsiTheme="majorHAnsi"/>
            <w:color w:val="0000EE"/>
            <w:u w:val="none"/>
          </w:rPr>
          <w:t xml:space="preserve">Section 6.3 </w:t>
        </w:r>
        <w:r w:rsidRPr="00EB3788">
          <w:rPr>
            <w:rStyle w:val="Hyperlink"/>
            <w:rFonts w:asciiTheme="majorHAnsi" w:hAnsiTheme="majorHAnsi"/>
            <w:color w:val="0000EE"/>
            <w:u w:val="none"/>
          </w:rPr>
          <w:fldChar w:fldCharType="begin" w:fldLock="1"/>
        </w:r>
        <w:r w:rsidRPr="00EB3788">
          <w:rPr>
            <w:rStyle w:val="Hyperlink"/>
            <w:rFonts w:asciiTheme="majorHAnsi" w:hAnsiTheme="majorHAnsi"/>
            <w:color w:val="0000EE"/>
            <w:u w:val="none"/>
          </w:rPr>
          <w:instrText xml:space="preserve"> REF _Ref171514955 \h  \* MERGEFORMAT </w:instrText>
        </w:r>
        <w:r w:rsidRPr="00EB3788">
          <w:rPr>
            <w:rStyle w:val="Hyperlink"/>
            <w:rFonts w:asciiTheme="majorHAnsi" w:hAnsiTheme="majorHAnsi"/>
            <w:color w:val="0000EE"/>
            <w:u w:val="none"/>
          </w:rPr>
        </w:r>
        <w:r w:rsidRPr="00EB3788">
          <w:rPr>
            <w:rStyle w:val="Hyperlink"/>
            <w:rFonts w:asciiTheme="majorHAnsi" w:hAnsiTheme="majorHAnsi"/>
            <w:color w:val="0000EE"/>
            <w:u w:val="none"/>
          </w:rPr>
          <w:fldChar w:fldCharType="separate"/>
        </w:r>
        <w:r w:rsidR="00425866" w:rsidRPr="00EB3788">
          <w:rPr>
            <w:rFonts w:asciiTheme="majorHAnsi" w:hAnsiTheme="majorHAnsi" w:cstheme="minorHAnsi"/>
            <w:color w:val="0000EE"/>
          </w:rPr>
          <w:t>Shelf life</w:t>
        </w:r>
        <w:r w:rsidRPr="00EB3788">
          <w:rPr>
            <w:rStyle w:val="Hyperlink"/>
            <w:rFonts w:asciiTheme="majorHAnsi" w:hAnsiTheme="majorHAnsi"/>
            <w:color w:val="0000EE"/>
            <w:u w:val="none"/>
          </w:rPr>
          <w:fldChar w:fldCharType="end"/>
        </w:r>
      </w:hyperlink>
      <w:r w:rsidRPr="00EB3788">
        <w:rPr>
          <w:rFonts w:asciiTheme="majorHAnsi" w:hAnsiTheme="majorHAnsi"/>
        </w:rPr>
        <w:t>.</w:t>
      </w:r>
    </w:p>
    <w:p w14:paraId="58F0C398" w14:textId="77777777" w:rsidR="005B2812" w:rsidRPr="00EB3788" w:rsidRDefault="005B2812" w:rsidP="00446C37">
      <w:pPr>
        <w:pStyle w:val="Heading2"/>
        <w:spacing w:before="0" w:after="120"/>
        <w:rPr>
          <w:rFonts w:cstheme="minorHAnsi"/>
        </w:rPr>
      </w:pPr>
      <w:r w:rsidRPr="00EB3788">
        <w:rPr>
          <w:rFonts w:cstheme="minorHAnsi"/>
        </w:rPr>
        <w:lastRenderedPageBreak/>
        <w:t xml:space="preserve">Nature and contents of container </w:t>
      </w:r>
    </w:p>
    <w:p w14:paraId="397E31B4" w14:textId="40662633" w:rsidR="00BE4538" w:rsidRPr="00EB3788" w:rsidRDefault="00BE4538" w:rsidP="00446C37">
      <w:pPr>
        <w:rPr>
          <w:rFonts w:asciiTheme="majorHAnsi" w:hAnsiTheme="majorHAnsi"/>
        </w:rPr>
      </w:pPr>
      <w:r w:rsidRPr="00EB3788">
        <w:rPr>
          <w:rFonts w:asciiTheme="majorHAnsi" w:hAnsiTheme="majorHAnsi"/>
        </w:rPr>
        <w:t xml:space="preserve">14 mL vial (Type I clear glass vial), chlorobutyl elastomeric stopper, and </w:t>
      </w:r>
      <w:r w:rsidR="000A7DBF" w:rsidRPr="00EB3788">
        <w:rPr>
          <w:rFonts w:asciiTheme="majorHAnsi" w:hAnsiTheme="majorHAnsi"/>
        </w:rPr>
        <w:t>aluminium</w:t>
      </w:r>
      <w:r w:rsidRPr="00EB3788">
        <w:rPr>
          <w:rFonts w:asciiTheme="majorHAnsi" w:hAnsiTheme="majorHAnsi"/>
        </w:rPr>
        <w:t xml:space="preserve"> seal with a plastic flip-off cap. The vials are packed in a cardboard carton.</w:t>
      </w:r>
    </w:p>
    <w:p w14:paraId="1CC608B3" w14:textId="7C5D8808" w:rsidR="00053CB8" w:rsidRPr="00EB3788" w:rsidRDefault="00053CB8" w:rsidP="00446C37">
      <w:pPr>
        <w:rPr>
          <w:rFonts w:asciiTheme="majorHAnsi" w:hAnsiTheme="majorHAnsi"/>
        </w:rPr>
      </w:pPr>
      <w:r w:rsidRPr="00EB3788">
        <w:rPr>
          <w:rFonts w:asciiTheme="majorHAnsi" w:hAnsiTheme="majorHAnsi"/>
        </w:rPr>
        <w:t>Pack size of 10 vials</w:t>
      </w:r>
      <w:r w:rsidR="003400D3" w:rsidRPr="00EB3788">
        <w:rPr>
          <w:rFonts w:asciiTheme="majorHAnsi" w:hAnsiTheme="majorHAnsi"/>
        </w:rPr>
        <w:t>.</w:t>
      </w:r>
    </w:p>
    <w:p w14:paraId="278C779C" w14:textId="77777777" w:rsidR="005B2812" w:rsidRPr="00EB3788" w:rsidRDefault="005B2812" w:rsidP="00446C37">
      <w:pPr>
        <w:pStyle w:val="Heading2"/>
        <w:spacing w:before="0" w:after="120"/>
        <w:rPr>
          <w:rFonts w:cstheme="minorHAnsi"/>
        </w:rPr>
      </w:pPr>
      <w:r w:rsidRPr="00EB3788">
        <w:rPr>
          <w:rFonts w:cstheme="minorHAnsi"/>
        </w:rPr>
        <w:t xml:space="preserve">Special precautions for disposal </w:t>
      </w:r>
    </w:p>
    <w:p w14:paraId="52D569E5" w14:textId="38297256" w:rsidR="0021200F" w:rsidRPr="00EB3788" w:rsidRDefault="0056316E" w:rsidP="00446C37">
      <w:pPr>
        <w:rPr>
          <w:rFonts w:asciiTheme="majorHAnsi" w:hAnsiTheme="majorHAnsi" w:cstheme="minorHAnsi"/>
        </w:rPr>
      </w:pPr>
      <w:r w:rsidRPr="00EB3788">
        <w:rPr>
          <w:rFonts w:asciiTheme="majorHAnsi" w:hAnsiTheme="majorHAnsi" w:cstheme="minorHAnsi"/>
        </w:rPr>
        <w:t xml:space="preserve">This medicinal product is for single use </w:t>
      </w:r>
      <w:r w:rsidR="0085402B" w:rsidRPr="00EB3788">
        <w:rPr>
          <w:rFonts w:asciiTheme="majorHAnsi" w:hAnsiTheme="majorHAnsi" w:cstheme="minorHAnsi"/>
        </w:rPr>
        <w:t xml:space="preserve">in one patient </w:t>
      </w:r>
      <w:r w:rsidRPr="00EB3788">
        <w:rPr>
          <w:rFonts w:asciiTheme="majorHAnsi" w:hAnsiTheme="majorHAnsi" w:cstheme="minorHAnsi"/>
        </w:rPr>
        <w:t>only.</w:t>
      </w:r>
    </w:p>
    <w:p w14:paraId="604C684E" w14:textId="32A15F98" w:rsidR="005B2812" w:rsidRPr="00EB3788" w:rsidRDefault="0021200F" w:rsidP="00446C37">
      <w:pPr>
        <w:rPr>
          <w:rFonts w:asciiTheme="majorHAnsi" w:hAnsiTheme="majorHAnsi" w:cstheme="minorHAnsi"/>
        </w:rPr>
      </w:pPr>
      <w:r w:rsidRPr="00EB3788">
        <w:rPr>
          <w:rFonts w:asciiTheme="majorHAnsi" w:hAnsiTheme="majorHAnsi" w:cstheme="minorHAnsi"/>
        </w:rPr>
        <w:t xml:space="preserve">In Australia, any unused medicine or waste material should be disposed of in accordance with local requirements. </w:t>
      </w:r>
    </w:p>
    <w:p w14:paraId="6E4A6AAD" w14:textId="77777777" w:rsidR="001A3992" w:rsidRPr="00EB3788" w:rsidRDefault="001A3992" w:rsidP="00446C37">
      <w:pPr>
        <w:pStyle w:val="Heading2"/>
        <w:spacing w:before="0" w:after="120"/>
      </w:pPr>
      <w:r w:rsidRPr="00EB3788">
        <w:t>Physicochemical properties</w:t>
      </w:r>
    </w:p>
    <w:p w14:paraId="37EB4FBB" w14:textId="77777777" w:rsidR="001A3992" w:rsidRPr="00EB3788" w:rsidRDefault="001A3992" w:rsidP="00446C37">
      <w:pPr>
        <w:pStyle w:val="Heading3"/>
        <w:spacing w:before="0" w:after="120"/>
        <w:ind w:left="0"/>
      </w:pPr>
      <w:r w:rsidRPr="00EB3788">
        <w:t>Chemical structure</w:t>
      </w:r>
    </w:p>
    <w:p w14:paraId="52BC7DBD" w14:textId="5DA08140" w:rsidR="005E667A" w:rsidRPr="00EB3788" w:rsidRDefault="005E667A" w:rsidP="00446C37">
      <w:r w:rsidRPr="004664E6">
        <w:rPr>
          <w:rFonts w:ascii="Times New Roman" w:eastAsia="MS Mincho" w:hAnsi="Times New Roman" w:cs="Times New Roman"/>
          <w:noProof/>
          <w:sz w:val="16"/>
        </w:rPr>
        <w:drawing>
          <wp:inline distT="0" distB="0" distL="0" distR="0" wp14:anchorId="718B5E0C" wp14:editId="4288C6A8">
            <wp:extent cx="4649363" cy="1059180"/>
            <wp:effectExtent l="0" t="0" r="0" b="7620"/>
            <wp:docPr id="10" name="図 10" descr="A chemical structure of a mole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descr="A chemical structure of a molecule"/>
                    <pic:cNvPicPr/>
                  </pic:nvPicPr>
                  <pic:blipFill>
                    <a:blip r:embed="rId14">
                      <a:extLst>
                        <a:ext uri="{28A0092B-C50C-407E-A947-70E740481C1C}">
                          <a14:useLocalDpi xmlns:a14="http://schemas.microsoft.com/office/drawing/2010/main" val="0"/>
                        </a:ext>
                      </a:extLst>
                    </a:blip>
                    <a:stretch>
                      <a:fillRect/>
                    </a:stretch>
                  </pic:blipFill>
                  <pic:spPr>
                    <a:xfrm>
                      <a:off x="0" y="0"/>
                      <a:ext cx="4651445" cy="1059654"/>
                    </a:xfrm>
                    <a:prstGeom prst="rect">
                      <a:avLst/>
                    </a:prstGeom>
                  </pic:spPr>
                </pic:pic>
              </a:graphicData>
            </a:graphic>
          </wp:inline>
        </w:drawing>
      </w:r>
    </w:p>
    <w:p w14:paraId="595E8D87" w14:textId="77777777" w:rsidR="001A3992" w:rsidRPr="00EB3788" w:rsidRDefault="001A3992" w:rsidP="00446C37">
      <w:pPr>
        <w:pStyle w:val="Heading3"/>
        <w:spacing w:before="0" w:after="120"/>
        <w:ind w:left="0"/>
      </w:pPr>
      <w:r w:rsidRPr="00EB3788">
        <w:t>CAS number</w:t>
      </w:r>
    </w:p>
    <w:p w14:paraId="7DDDDEAD" w14:textId="687AABC7" w:rsidR="005A302B" w:rsidRPr="00EB3788" w:rsidRDefault="005A302B" w:rsidP="00446C37">
      <w:pPr>
        <w:rPr>
          <w:rFonts w:asciiTheme="majorHAnsi" w:hAnsiTheme="majorHAnsi"/>
        </w:rPr>
      </w:pPr>
      <w:r w:rsidRPr="00EB3788">
        <w:rPr>
          <w:rFonts w:asciiTheme="majorHAnsi" w:hAnsiTheme="majorHAnsi"/>
        </w:rPr>
        <w:t>1225208-94-5</w:t>
      </w:r>
    </w:p>
    <w:p w14:paraId="1B6850A8" w14:textId="77777777" w:rsidR="001A3992" w:rsidRPr="00EB3788" w:rsidRDefault="001A3992" w:rsidP="00446C37">
      <w:pPr>
        <w:pStyle w:val="Heading1"/>
        <w:spacing w:before="0" w:after="120"/>
      </w:pPr>
      <w:r w:rsidRPr="00EB3788">
        <w:t>Medicine schedule (Poisons Standard)</w:t>
      </w:r>
    </w:p>
    <w:p w14:paraId="695DC3FC" w14:textId="60460CF4" w:rsidR="004C3686" w:rsidRPr="00EB3788" w:rsidRDefault="004C3686" w:rsidP="00446C37">
      <w:pPr>
        <w:rPr>
          <w:rFonts w:asciiTheme="majorHAnsi" w:hAnsiTheme="majorHAnsi"/>
        </w:rPr>
      </w:pPr>
      <w:r w:rsidRPr="00EB3788">
        <w:rPr>
          <w:rFonts w:asciiTheme="majorHAnsi" w:hAnsiTheme="majorHAnsi"/>
        </w:rPr>
        <w:t>Schedule 4 – Prescription Only Medicine</w:t>
      </w:r>
    </w:p>
    <w:p w14:paraId="0BEB03FE" w14:textId="77777777" w:rsidR="00285173" w:rsidRPr="00EB3788" w:rsidRDefault="001A3992" w:rsidP="00446C37">
      <w:pPr>
        <w:pStyle w:val="Heading1"/>
        <w:spacing w:before="0" w:after="120"/>
      </w:pPr>
      <w:r w:rsidRPr="00EB3788">
        <w:t>Sponsor</w:t>
      </w:r>
      <w:r w:rsidR="00285173" w:rsidRPr="00EB3788">
        <w:t xml:space="preserve"> </w:t>
      </w:r>
    </w:p>
    <w:p w14:paraId="34574DA8" w14:textId="77777777" w:rsidR="006B2D6F" w:rsidRPr="00EB3788" w:rsidRDefault="006B2D6F" w:rsidP="00446C37">
      <w:pPr>
        <w:spacing w:after="0"/>
        <w:rPr>
          <w:rFonts w:ascii="Cambria" w:hAnsi="Cambria"/>
        </w:rPr>
      </w:pPr>
      <w:r w:rsidRPr="00EB3788">
        <w:rPr>
          <w:rFonts w:ascii="Cambria" w:hAnsi="Cambria"/>
        </w:rPr>
        <w:t>Accelagen Pty Ltd</w:t>
      </w:r>
    </w:p>
    <w:p w14:paraId="144AE786" w14:textId="77777777" w:rsidR="006B2D6F" w:rsidRPr="00EB3788" w:rsidRDefault="006B2D6F" w:rsidP="00446C37">
      <w:pPr>
        <w:spacing w:after="0"/>
        <w:rPr>
          <w:rFonts w:ascii="Cambria" w:hAnsi="Cambria"/>
        </w:rPr>
      </w:pPr>
      <w:r w:rsidRPr="00EB3788">
        <w:rPr>
          <w:rFonts w:ascii="Cambria" w:hAnsi="Cambria"/>
        </w:rPr>
        <w:t xml:space="preserve">Suite 2.02/785 Toorak Road, </w:t>
      </w:r>
    </w:p>
    <w:p w14:paraId="18A0A9B8" w14:textId="77777777" w:rsidR="006B2D6F" w:rsidRPr="00EB3788" w:rsidRDefault="006B2D6F" w:rsidP="00446C37">
      <w:pPr>
        <w:spacing w:after="0"/>
        <w:rPr>
          <w:rFonts w:ascii="Cambria" w:hAnsi="Cambria"/>
        </w:rPr>
      </w:pPr>
      <w:r w:rsidRPr="00EB3788">
        <w:rPr>
          <w:rFonts w:ascii="Cambria" w:hAnsi="Cambria"/>
        </w:rPr>
        <w:t xml:space="preserve">Hawthorn East, VIC, 3123 </w:t>
      </w:r>
    </w:p>
    <w:p w14:paraId="669BA77F" w14:textId="77777777" w:rsidR="006B2D6F" w:rsidRPr="00EB3788" w:rsidRDefault="006B2D6F" w:rsidP="00446C37">
      <w:pPr>
        <w:spacing w:after="0"/>
        <w:rPr>
          <w:rFonts w:ascii="Cambria" w:hAnsi="Cambria"/>
        </w:rPr>
      </w:pPr>
      <w:r w:rsidRPr="00EB3788">
        <w:rPr>
          <w:rFonts w:ascii="Cambria" w:hAnsi="Cambria"/>
        </w:rPr>
        <w:t xml:space="preserve">Australia </w:t>
      </w:r>
    </w:p>
    <w:p w14:paraId="7C75A10E" w14:textId="77777777" w:rsidR="006B2D6F" w:rsidRPr="00EB3788" w:rsidRDefault="006B2D6F" w:rsidP="00446C37">
      <w:pPr>
        <w:spacing w:after="0"/>
        <w:rPr>
          <w:rFonts w:ascii="Cambria" w:hAnsi="Cambria"/>
        </w:rPr>
      </w:pPr>
      <w:r w:rsidRPr="00EB3788">
        <w:rPr>
          <w:rFonts w:ascii="Cambria" w:hAnsi="Cambria"/>
        </w:rPr>
        <w:t xml:space="preserve">Phone: +61 (03) 9114 2270 </w:t>
      </w:r>
    </w:p>
    <w:p w14:paraId="47B081D5" w14:textId="502FE525" w:rsidR="006B2D6F" w:rsidRPr="00EB3788" w:rsidRDefault="006B2D6F" w:rsidP="00446C37">
      <w:pPr>
        <w:spacing w:after="0"/>
      </w:pPr>
      <w:hyperlink r:id="rId15" w:history="1">
        <w:r w:rsidRPr="00EB3788">
          <w:rPr>
            <w:rStyle w:val="Hyperlink"/>
            <w:rFonts w:ascii="Cambria" w:hAnsi="Cambria"/>
          </w:rPr>
          <w:t>info@accelagen.com.au</w:t>
        </w:r>
      </w:hyperlink>
    </w:p>
    <w:p w14:paraId="7BCF3D66" w14:textId="77777777" w:rsidR="00077E15" w:rsidRPr="00EB3788" w:rsidRDefault="00077E15" w:rsidP="00446C37">
      <w:pPr>
        <w:spacing w:after="0"/>
        <w:rPr>
          <w:rFonts w:ascii="Cambria" w:hAnsi="Cambria"/>
        </w:rPr>
      </w:pPr>
    </w:p>
    <w:p w14:paraId="5204DB46" w14:textId="77777777" w:rsidR="00285173" w:rsidRPr="00EB3788" w:rsidRDefault="00285173" w:rsidP="00446C37">
      <w:pPr>
        <w:pStyle w:val="Heading1"/>
        <w:spacing w:before="0" w:after="120"/>
      </w:pPr>
      <w:r w:rsidRPr="00EB3788">
        <w:t xml:space="preserve">Date of first approval  </w:t>
      </w:r>
    </w:p>
    <w:p w14:paraId="6E691A07" w14:textId="133A9B62" w:rsidR="00180DD5" w:rsidRDefault="00180DD5" w:rsidP="00446C37">
      <w:pPr>
        <w:rPr>
          <w:rFonts w:asciiTheme="majorHAnsi" w:hAnsiTheme="majorHAnsi"/>
        </w:rPr>
      </w:pPr>
      <w:r w:rsidRPr="00EB3788">
        <w:rPr>
          <w:rFonts w:asciiTheme="majorHAnsi" w:hAnsiTheme="majorHAnsi"/>
        </w:rPr>
        <w:t>TBC</w:t>
      </w:r>
    </w:p>
    <w:p w14:paraId="3F7EE5BB" w14:textId="77777777" w:rsidR="00446C37" w:rsidRDefault="00446C37" w:rsidP="00446C37">
      <w:pPr>
        <w:rPr>
          <w:rFonts w:asciiTheme="majorHAnsi" w:hAnsiTheme="majorHAnsi"/>
        </w:rPr>
      </w:pPr>
    </w:p>
    <w:p w14:paraId="77D31FFD" w14:textId="77777777" w:rsidR="00446C37" w:rsidRPr="00EB3788" w:rsidRDefault="00446C37" w:rsidP="00446C37">
      <w:pPr>
        <w:rPr>
          <w:rFonts w:asciiTheme="majorHAnsi" w:hAnsiTheme="majorHAnsi"/>
        </w:rPr>
      </w:pPr>
    </w:p>
    <w:p w14:paraId="1F5CE885" w14:textId="77777777" w:rsidR="00285173" w:rsidRPr="00EB3788" w:rsidRDefault="00285173" w:rsidP="00446C37">
      <w:pPr>
        <w:pStyle w:val="Heading1"/>
        <w:spacing w:before="0" w:after="120"/>
      </w:pPr>
      <w:r w:rsidRPr="00EB3788">
        <w:lastRenderedPageBreak/>
        <w:t xml:space="preserve">Date of revision </w:t>
      </w:r>
    </w:p>
    <w:p w14:paraId="4A50F2DC" w14:textId="77777777" w:rsidR="00285173" w:rsidRPr="00EB3788" w:rsidRDefault="00285173" w:rsidP="00446C37">
      <w:pPr>
        <w:pStyle w:val="Heading2"/>
        <w:numPr>
          <w:ilvl w:val="0"/>
          <w:numId w:val="0"/>
        </w:numPr>
        <w:spacing w:before="0" w:after="120"/>
      </w:pPr>
      <w:r w:rsidRPr="00EB3788">
        <w:t>Summary table of changes</w:t>
      </w:r>
    </w:p>
    <w:tbl>
      <w:tblPr>
        <w:tblStyle w:val="LightGrid"/>
        <w:tblW w:w="0" w:type="auto"/>
        <w:tblCellMar>
          <w:top w:w="57" w:type="dxa"/>
          <w:bottom w:w="57" w:type="dxa"/>
        </w:tblCellMar>
        <w:tblLook w:val="06A0" w:firstRow="1" w:lastRow="0" w:firstColumn="1" w:lastColumn="0" w:noHBand="1" w:noVBand="1"/>
      </w:tblPr>
      <w:tblGrid>
        <w:gridCol w:w="1371"/>
        <w:gridCol w:w="7635"/>
      </w:tblGrid>
      <w:tr w:rsidR="00285173" w:rsidRPr="00EB3788" w14:paraId="45CB4D1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shd w:val="clear" w:color="auto" w:fill="F2F2F2" w:themeFill="background1" w:themeFillShade="F2"/>
            <w:vAlign w:val="center"/>
          </w:tcPr>
          <w:p w14:paraId="1E81B2C6" w14:textId="77777777" w:rsidR="00285173" w:rsidRPr="00EB3788" w:rsidRDefault="00285173" w:rsidP="00446C37">
            <w:pPr>
              <w:rPr>
                <w:sz w:val="20"/>
              </w:rPr>
            </w:pPr>
            <w:r w:rsidRPr="00EB3788">
              <w:rPr>
                <w:sz w:val="20"/>
              </w:rPr>
              <w:t>Section Changed</w:t>
            </w:r>
          </w:p>
        </w:tc>
        <w:tc>
          <w:tcPr>
            <w:tcW w:w="7858" w:type="dxa"/>
            <w:shd w:val="clear" w:color="auto" w:fill="F2F2F2" w:themeFill="background1" w:themeFillShade="F2"/>
            <w:vAlign w:val="center"/>
          </w:tcPr>
          <w:p w14:paraId="70B40907" w14:textId="77777777" w:rsidR="00285173" w:rsidRPr="00EB3788" w:rsidRDefault="00285173" w:rsidP="00446C37">
            <w:pPr>
              <w:cnfStyle w:val="100000000000" w:firstRow="1" w:lastRow="0" w:firstColumn="0" w:lastColumn="0" w:oddVBand="0" w:evenVBand="0" w:oddHBand="0" w:evenHBand="0" w:firstRowFirstColumn="0" w:firstRowLastColumn="0" w:lastRowFirstColumn="0" w:lastRowLastColumn="0"/>
              <w:rPr>
                <w:sz w:val="20"/>
              </w:rPr>
            </w:pPr>
            <w:r w:rsidRPr="00EB3788">
              <w:rPr>
                <w:sz w:val="20"/>
              </w:rPr>
              <w:t>Summary of new information</w:t>
            </w:r>
          </w:p>
        </w:tc>
      </w:tr>
      <w:tr w:rsidR="00285173" w:rsidRPr="00EB3788" w14:paraId="013B09A7" w14:textId="77777777">
        <w:tc>
          <w:tcPr>
            <w:cnfStyle w:val="001000000000" w:firstRow="0" w:lastRow="0" w:firstColumn="1" w:lastColumn="0" w:oddVBand="0" w:evenVBand="0" w:oddHBand="0" w:evenHBand="0" w:firstRowFirstColumn="0" w:firstRowLastColumn="0" w:lastRowFirstColumn="0" w:lastRowLastColumn="0"/>
            <w:tcW w:w="1384" w:type="dxa"/>
            <w:vAlign w:val="center"/>
          </w:tcPr>
          <w:p w14:paraId="2359A627" w14:textId="77777777" w:rsidR="00285173" w:rsidRPr="00EB3788" w:rsidRDefault="00285173" w:rsidP="00446C37"/>
        </w:tc>
        <w:tc>
          <w:tcPr>
            <w:tcW w:w="7858" w:type="dxa"/>
            <w:vAlign w:val="center"/>
          </w:tcPr>
          <w:p w14:paraId="4147F97D" w14:textId="77777777" w:rsidR="00285173" w:rsidRPr="00EB3788" w:rsidRDefault="00285173" w:rsidP="00446C37">
            <w:pPr>
              <w:cnfStyle w:val="000000000000" w:firstRow="0" w:lastRow="0" w:firstColumn="0" w:lastColumn="0" w:oddVBand="0" w:evenVBand="0" w:oddHBand="0" w:evenHBand="0" w:firstRowFirstColumn="0" w:firstRowLastColumn="0" w:lastRowFirstColumn="0" w:lastRowLastColumn="0"/>
            </w:pPr>
          </w:p>
        </w:tc>
      </w:tr>
      <w:tr w:rsidR="00285173" w:rsidRPr="00EB3788" w14:paraId="54B3F8B1" w14:textId="77777777">
        <w:tc>
          <w:tcPr>
            <w:cnfStyle w:val="001000000000" w:firstRow="0" w:lastRow="0" w:firstColumn="1" w:lastColumn="0" w:oddVBand="0" w:evenVBand="0" w:oddHBand="0" w:evenHBand="0" w:firstRowFirstColumn="0" w:firstRowLastColumn="0" w:lastRowFirstColumn="0" w:lastRowLastColumn="0"/>
            <w:tcW w:w="1384" w:type="dxa"/>
            <w:vAlign w:val="center"/>
          </w:tcPr>
          <w:p w14:paraId="50EE0BF5" w14:textId="77777777" w:rsidR="00285173" w:rsidRPr="00EB3788" w:rsidRDefault="00285173" w:rsidP="00446C37"/>
        </w:tc>
        <w:tc>
          <w:tcPr>
            <w:tcW w:w="7858" w:type="dxa"/>
            <w:vAlign w:val="center"/>
          </w:tcPr>
          <w:p w14:paraId="574D8A00" w14:textId="77777777" w:rsidR="00285173" w:rsidRPr="00EB3788" w:rsidRDefault="00285173" w:rsidP="00446C37">
            <w:pPr>
              <w:cnfStyle w:val="000000000000" w:firstRow="0" w:lastRow="0" w:firstColumn="0" w:lastColumn="0" w:oddVBand="0" w:evenVBand="0" w:oddHBand="0" w:evenHBand="0" w:firstRowFirstColumn="0" w:firstRowLastColumn="0" w:lastRowFirstColumn="0" w:lastRowLastColumn="0"/>
            </w:pPr>
          </w:p>
        </w:tc>
      </w:tr>
      <w:tr w:rsidR="00285173" w:rsidRPr="00EB3788" w14:paraId="3620F649" w14:textId="77777777">
        <w:tc>
          <w:tcPr>
            <w:cnfStyle w:val="001000000000" w:firstRow="0" w:lastRow="0" w:firstColumn="1" w:lastColumn="0" w:oddVBand="0" w:evenVBand="0" w:oddHBand="0" w:evenHBand="0" w:firstRowFirstColumn="0" w:firstRowLastColumn="0" w:lastRowFirstColumn="0" w:lastRowLastColumn="0"/>
            <w:tcW w:w="1384" w:type="dxa"/>
            <w:vAlign w:val="center"/>
          </w:tcPr>
          <w:p w14:paraId="17587E36" w14:textId="77777777" w:rsidR="00285173" w:rsidRPr="00EB3788" w:rsidRDefault="00285173" w:rsidP="00446C37"/>
        </w:tc>
        <w:tc>
          <w:tcPr>
            <w:tcW w:w="7858" w:type="dxa"/>
            <w:vAlign w:val="center"/>
          </w:tcPr>
          <w:p w14:paraId="38EEA446" w14:textId="77777777" w:rsidR="00285173" w:rsidRPr="00EB3788" w:rsidRDefault="00285173" w:rsidP="00446C37">
            <w:pPr>
              <w:cnfStyle w:val="000000000000" w:firstRow="0" w:lastRow="0" w:firstColumn="0" w:lastColumn="0" w:oddVBand="0" w:evenVBand="0" w:oddHBand="0" w:evenHBand="0" w:firstRowFirstColumn="0" w:firstRowLastColumn="0" w:lastRowFirstColumn="0" w:lastRowLastColumn="0"/>
            </w:pPr>
          </w:p>
        </w:tc>
      </w:tr>
    </w:tbl>
    <w:p w14:paraId="299514BB" w14:textId="77777777" w:rsidR="00285173" w:rsidRPr="00EB3788" w:rsidRDefault="00285173" w:rsidP="00446C37">
      <w:pPr>
        <w:spacing w:after="120"/>
      </w:pPr>
    </w:p>
    <w:p w14:paraId="574904FA" w14:textId="77777777" w:rsidR="00960CD5" w:rsidRDefault="00960CD5" w:rsidP="00446C37">
      <w:pPr>
        <w:pStyle w:val="Heading1"/>
        <w:numPr>
          <w:ilvl w:val="0"/>
          <w:numId w:val="0"/>
        </w:numPr>
        <w:spacing w:before="0" w:after="120"/>
      </w:pPr>
    </w:p>
    <w:sectPr w:rsidR="00960CD5" w:rsidSect="00AA7B61">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CBEFC" w14:textId="77777777" w:rsidR="00104A9C" w:rsidRPr="00EB3788" w:rsidRDefault="00104A9C" w:rsidP="001A3992">
      <w:pPr>
        <w:spacing w:after="0" w:line="240" w:lineRule="auto"/>
      </w:pPr>
      <w:r w:rsidRPr="00EB3788">
        <w:separator/>
      </w:r>
    </w:p>
  </w:endnote>
  <w:endnote w:type="continuationSeparator" w:id="0">
    <w:p w14:paraId="335CEA13" w14:textId="77777777" w:rsidR="00104A9C" w:rsidRPr="00EB3788" w:rsidRDefault="00104A9C" w:rsidP="001A3992">
      <w:pPr>
        <w:spacing w:after="0" w:line="240" w:lineRule="auto"/>
      </w:pPr>
      <w:r w:rsidRPr="00EB3788">
        <w:continuationSeparator/>
      </w:r>
    </w:p>
  </w:endnote>
  <w:endnote w:type="continuationNotice" w:id="1">
    <w:p w14:paraId="467794C6" w14:textId="77777777" w:rsidR="00104A9C" w:rsidRPr="00EB3788" w:rsidRDefault="00104A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dobe Fangsong Std R">
    <w:altName w:val="Yu Gothic"/>
    <w:panose1 w:val="00000000000000000000"/>
    <w:charset w:val="80"/>
    <w:family w:val="roman"/>
    <w:notTrueType/>
    <w:pitch w:val="variable"/>
    <w:sig w:usb0="00000207" w:usb1="0A0F1810" w:usb2="00000016" w:usb3="00000000" w:csb0="00060007" w:csb1="00000000"/>
  </w:font>
  <w:font w:name="MS PGothic">
    <w:panose1 w:val="020B0600070205080204"/>
    <w:charset w:val="80"/>
    <w:family w:val="swiss"/>
    <w:pitch w:val="variable"/>
    <w:sig w:usb0="E00002FF" w:usb1="6AC7FDFB" w:usb2="08000012" w:usb3="00000000" w:csb0="0002009F" w:csb1="00000000"/>
  </w:font>
  <w:font w:name="Wingdings 3">
    <w:altName w:val="Symbol"/>
    <w:panose1 w:val="050401020108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Headings)">
    <w:altName w:val="Cambria"/>
    <w:panose1 w:val="00000000000000000000"/>
    <w:charset w:val="00"/>
    <w:family w:val="roman"/>
    <w:notTrueType/>
    <w:pitch w:val="default"/>
  </w:font>
  <w:font w:name="TimesNewRoman">
    <w:altName w:val="游ゴシック"/>
    <w:panose1 w:val="00000000000000000000"/>
    <w:charset w:val="00"/>
    <w:family w:val="roman"/>
    <w:notTrueType/>
    <w:pitch w:val="default"/>
    <w:sig w:usb0="00000003" w:usb1="00000000" w:usb2="00000000" w:usb3="00000000" w:csb0="00000001" w:csb1="00000000"/>
  </w:font>
  <w:font w:name="F1">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DC509" w14:textId="2D3A4268" w:rsidR="003E262E" w:rsidRDefault="003E262E">
    <w:pPr>
      <w:pStyle w:val="Footer"/>
    </w:pPr>
    <w:r>
      <w:rPr>
        <w:noProof/>
      </w:rPr>
      <mc:AlternateContent>
        <mc:Choice Requires="wps">
          <w:drawing>
            <wp:anchor distT="0" distB="0" distL="0" distR="0" simplePos="0" relativeHeight="251662336" behindDoc="0" locked="0" layoutInCell="1" allowOverlap="1" wp14:anchorId="2F12559E" wp14:editId="30A28098">
              <wp:simplePos x="635" y="635"/>
              <wp:positionH relativeFrom="page">
                <wp:align>center</wp:align>
              </wp:positionH>
              <wp:positionV relativeFrom="page">
                <wp:align>bottom</wp:align>
              </wp:positionV>
              <wp:extent cx="622300" cy="404495"/>
              <wp:effectExtent l="0" t="0" r="6350" b="0"/>
              <wp:wrapNone/>
              <wp:docPr id="669362563"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582DDB8" w14:textId="7880A2B9" w:rsidR="003E262E" w:rsidRPr="003E262E" w:rsidRDefault="003E262E" w:rsidP="003E262E">
                          <w:pPr>
                            <w:spacing w:after="0"/>
                            <w:rPr>
                              <w:rFonts w:ascii="Aptos" w:eastAsia="Aptos" w:hAnsi="Aptos" w:cs="Aptos"/>
                              <w:noProof/>
                              <w:color w:val="FF0000"/>
                              <w:sz w:val="24"/>
                              <w:szCs w:val="24"/>
                            </w:rPr>
                          </w:pPr>
                          <w:r w:rsidRPr="003E262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12559E" id="_x0000_t202" coordsize="21600,21600" o:spt="202" path="m,l,21600r21600,l21600,xe">
              <v:stroke joinstyle="miter"/>
              <v:path gradientshapeok="t" o:connecttype="rect"/>
            </v:shapetype>
            <v:shape id="Text Box 9" o:spid="_x0000_s1032"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textbox style="mso-fit-shape-to-text:t" inset="0,0,0,15pt">
                <w:txbxContent>
                  <w:p w14:paraId="3582DDB8" w14:textId="7880A2B9" w:rsidR="003E262E" w:rsidRPr="003E262E" w:rsidRDefault="003E262E" w:rsidP="003E262E">
                    <w:pPr>
                      <w:spacing w:after="0"/>
                      <w:rPr>
                        <w:rFonts w:ascii="Aptos" w:eastAsia="Aptos" w:hAnsi="Aptos" w:cs="Aptos"/>
                        <w:noProof/>
                        <w:color w:val="FF0000"/>
                        <w:sz w:val="24"/>
                        <w:szCs w:val="24"/>
                      </w:rPr>
                    </w:pPr>
                    <w:r w:rsidRPr="003E262E">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1D46D" w14:textId="64B8BF43" w:rsidR="008E38A8" w:rsidRPr="00EB3788" w:rsidRDefault="003E262E">
    <w:pPr>
      <w:pStyle w:val="Footer"/>
      <w:jc w:val="right"/>
      <w:rPr>
        <w:sz w:val="20"/>
      </w:rPr>
    </w:pPr>
    <w:r>
      <w:rPr>
        <w:noProof/>
        <w:sz w:val="20"/>
      </w:rPr>
      <mc:AlternateContent>
        <mc:Choice Requires="wps">
          <w:drawing>
            <wp:anchor distT="0" distB="0" distL="0" distR="0" simplePos="0" relativeHeight="251663360" behindDoc="0" locked="0" layoutInCell="1" allowOverlap="1" wp14:anchorId="1E8E6634" wp14:editId="5975EB07">
              <wp:simplePos x="914400" y="10098157"/>
              <wp:positionH relativeFrom="page">
                <wp:align>center</wp:align>
              </wp:positionH>
              <wp:positionV relativeFrom="page">
                <wp:align>bottom</wp:align>
              </wp:positionV>
              <wp:extent cx="622300" cy="404495"/>
              <wp:effectExtent l="0" t="0" r="6350" b="0"/>
              <wp:wrapNone/>
              <wp:docPr id="28192711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EE44372" w14:textId="55FC3804" w:rsidR="003E262E" w:rsidRPr="003E262E" w:rsidRDefault="003E262E" w:rsidP="003E262E">
                          <w:pPr>
                            <w:spacing w:after="0"/>
                            <w:rPr>
                              <w:rFonts w:ascii="Aptos" w:eastAsia="Aptos" w:hAnsi="Aptos" w:cs="Aptos"/>
                              <w:noProof/>
                              <w:color w:val="FF0000"/>
                              <w:sz w:val="24"/>
                              <w:szCs w:val="24"/>
                            </w:rPr>
                          </w:pPr>
                          <w:r w:rsidRPr="003E262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8E6634" id="_x0000_t202" coordsize="21600,21600" o:spt="202" path="m,l,21600r21600,l21600,xe">
              <v:stroke joinstyle="miter"/>
              <v:path gradientshapeok="t" o:connecttype="rect"/>
            </v:shapetype>
            <v:shape id="Text Box 10" o:spid="_x0000_s1033" type="#_x0000_t202" alt="OFFICIAL" style="position:absolute;left:0;text-align:left;margin-left:0;margin-top:0;width:49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3EE44372" w14:textId="55FC3804" w:rsidR="003E262E" w:rsidRPr="003E262E" w:rsidRDefault="003E262E" w:rsidP="003E262E">
                    <w:pPr>
                      <w:spacing w:after="0"/>
                      <w:rPr>
                        <w:rFonts w:ascii="Aptos" w:eastAsia="Aptos" w:hAnsi="Aptos" w:cs="Aptos"/>
                        <w:noProof/>
                        <w:color w:val="FF0000"/>
                        <w:sz w:val="24"/>
                        <w:szCs w:val="24"/>
                      </w:rPr>
                    </w:pPr>
                    <w:r w:rsidRPr="003E262E">
                      <w:rPr>
                        <w:rFonts w:ascii="Aptos" w:eastAsia="Aptos" w:hAnsi="Aptos" w:cs="Aptos"/>
                        <w:noProof/>
                        <w:color w:val="FF0000"/>
                        <w:sz w:val="24"/>
                        <w:szCs w:val="24"/>
                      </w:rPr>
                      <w:t>OFFICIAL</w:t>
                    </w:r>
                  </w:p>
                </w:txbxContent>
              </v:textbox>
              <w10:wrap anchorx="page" anchory="page"/>
            </v:shape>
          </w:pict>
        </mc:Fallback>
      </mc:AlternateContent>
    </w:r>
    <w:r w:rsidR="00BF2A6F" w:rsidRPr="00EB3788">
      <w:rPr>
        <w:sz w:val="20"/>
      </w:rPr>
      <w:t>Fetroja PI v0.</w:t>
    </w:r>
    <w:r w:rsidR="003A406F">
      <w:rPr>
        <w:sz w:val="20"/>
      </w:rPr>
      <w:t>8</w:t>
    </w:r>
    <w:r w:rsidR="002704B8" w:rsidRPr="00EB3788">
      <w:rPr>
        <w:sz w:val="20"/>
      </w:rPr>
      <w:ptab w:relativeTo="margin" w:alignment="center" w:leader="none"/>
    </w:r>
    <w:r w:rsidR="002704B8" w:rsidRPr="00EB3788">
      <w:rPr>
        <w:sz w:val="20"/>
      </w:rPr>
      <w:ptab w:relativeTo="margin" w:alignment="right" w:leader="none"/>
    </w:r>
    <w:r w:rsidR="003C4782" w:rsidRPr="004664E6">
      <w:rPr>
        <w:sz w:val="20"/>
      </w:rPr>
      <w:fldChar w:fldCharType="begin"/>
    </w:r>
    <w:r w:rsidR="003C4782" w:rsidRPr="00EB3788">
      <w:rPr>
        <w:sz w:val="20"/>
      </w:rPr>
      <w:instrText xml:space="preserve"> PAGE   \* MERGEFORMAT </w:instrText>
    </w:r>
    <w:r w:rsidR="003C4782" w:rsidRPr="004664E6">
      <w:rPr>
        <w:sz w:val="20"/>
      </w:rPr>
      <w:fldChar w:fldCharType="separate"/>
    </w:r>
    <w:r w:rsidR="003C4782" w:rsidRPr="004664E6">
      <w:rPr>
        <w:sz w:val="20"/>
      </w:rPr>
      <w:t>1</w:t>
    </w:r>
    <w:r w:rsidR="003C4782" w:rsidRPr="004664E6">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9A03" w14:textId="0FD0E3E0" w:rsidR="003E262E" w:rsidRDefault="003E262E">
    <w:pPr>
      <w:pStyle w:val="Footer"/>
    </w:pPr>
    <w:r>
      <w:rPr>
        <w:noProof/>
      </w:rPr>
      <mc:AlternateContent>
        <mc:Choice Requires="wps">
          <w:drawing>
            <wp:anchor distT="0" distB="0" distL="0" distR="0" simplePos="0" relativeHeight="251661312" behindDoc="0" locked="0" layoutInCell="1" allowOverlap="1" wp14:anchorId="5BC2BB06" wp14:editId="0EAE498E">
              <wp:simplePos x="635" y="635"/>
              <wp:positionH relativeFrom="page">
                <wp:align>center</wp:align>
              </wp:positionH>
              <wp:positionV relativeFrom="page">
                <wp:align>bottom</wp:align>
              </wp:positionV>
              <wp:extent cx="622300" cy="404495"/>
              <wp:effectExtent l="0" t="0" r="6350" b="0"/>
              <wp:wrapNone/>
              <wp:docPr id="136714407"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C23C4A1" w14:textId="733B209D" w:rsidR="003E262E" w:rsidRPr="003E262E" w:rsidRDefault="003E262E" w:rsidP="003E262E">
                          <w:pPr>
                            <w:spacing w:after="0"/>
                            <w:rPr>
                              <w:rFonts w:ascii="Aptos" w:eastAsia="Aptos" w:hAnsi="Aptos" w:cs="Aptos"/>
                              <w:noProof/>
                              <w:color w:val="FF0000"/>
                              <w:sz w:val="24"/>
                              <w:szCs w:val="24"/>
                            </w:rPr>
                          </w:pPr>
                          <w:r w:rsidRPr="003E262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C2BB06" id="_x0000_t202" coordsize="21600,21600" o:spt="202" path="m,l,21600r21600,l21600,xe">
              <v:stroke joinstyle="miter"/>
              <v:path gradientshapeok="t" o:connecttype="rect"/>
            </v:shapetype>
            <v:shape id="Text Box 8" o:spid="_x0000_s1035"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V2b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GaNXZsNAgAAHAQA&#10;AA4AAAAAAAAAAAAAAAAALgIAAGRycy9lMm9Eb2MueG1sUEsBAi0AFAAGAAgAAAAhAFanuMraAAAA&#10;AwEAAA8AAAAAAAAAAAAAAAAAZwQAAGRycy9kb3ducmV2LnhtbFBLBQYAAAAABAAEAPMAAABuBQAA&#10;AAA=&#10;" filled="f" stroked="f">
              <v:textbox style="mso-fit-shape-to-text:t" inset="0,0,0,15pt">
                <w:txbxContent>
                  <w:p w14:paraId="2C23C4A1" w14:textId="733B209D" w:rsidR="003E262E" w:rsidRPr="003E262E" w:rsidRDefault="003E262E" w:rsidP="003E262E">
                    <w:pPr>
                      <w:spacing w:after="0"/>
                      <w:rPr>
                        <w:rFonts w:ascii="Aptos" w:eastAsia="Aptos" w:hAnsi="Aptos" w:cs="Aptos"/>
                        <w:noProof/>
                        <w:color w:val="FF0000"/>
                        <w:sz w:val="24"/>
                        <w:szCs w:val="24"/>
                      </w:rPr>
                    </w:pPr>
                    <w:r w:rsidRPr="003E262E">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7E95C" w14:textId="77777777" w:rsidR="00104A9C" w:rsidRPr="00EB3788" w:rsidRDefault="00104A9C" w:rsidP="001A3992">
      <w:pPr>
        <w:spacing w:after="0" w:line="240" w:lineRule="auto"/>
      </w:pPr>
      <w:r w:rsidRPr="00EB3788">
        <w:separator/>
      </w:r>
    </w:p>
  </w:footnote>
  <w:footnote w:type="continuationSeparator" w:id="0">
    <w:p w14:paraId="2DDDD186" w14:textId="77777777" w:rsidR="00104A9C" w:rsidRPr="00EB3788" w:rsidRDefault="00104A9C" w:rsidP="001A3992">
      <w:pPr>
        <w:spacing w:after="0" w:line="240" w:lineRule="auto"/>
      </w:pPr>
      <w:r w:rsidRPr="00EB3788">
        <w:continuationSeparator/>
      </w:r>
    </w:p>
  </w:footnote>
  <w:footnote w:type="continuationNotice" w:id="1">
    <w:p w14:paraId="0D350243" w14:textId="77777777" w:rsidR="00104A9C" w:rsidRPr="00EB3788" w:rsidRDefault="00104A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CB1A5" w14:textId="34C94797" w:rsidR="003E262E" w:rsidRDefault="003E262E">
    <w:pPr>
      <w:pStyle w:val="Header"/>
    </w:pPr>
    <w:r>
      <w:rPr>
        <w:noProof/>
      </w:rPr>
      <mc:AlternateContent>
        <mc:Choice Requires="wps">
          <w:drawing>
            <wp:anchor distT="0" distB="0" distL="0" distR="0" simplePos="0" relativeHeight="251659264" behindDoc="0" locked="0" layoutInCell="1" allowOverlap="1" wp14:anchorId="28CC4133" wp14:editId="6E3DDA58">
              <wp:simplePos x="635" y="635"/>
              <wp:positionH relativeFrom="page">
                <wp:align>center</wp:align>
              </wp:positionH>
              <wp:positionV relativeFrom="page">
                <wp:align>top</wp:align>
              </wp:positionV>
              <wp:extent cx="622300" cy="404495"/>
              <wp:effectExtent l="0" t="0" r="6350" b="14605"/>
              <wp:wrapNone/>
              <wp:docPr id="14672302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C70DBE9" w14:textId="50B158E1" w:rsidR="003E262E" w:rsidRPr="003E262E" w:rsidRDefault="003E262E" w:rsidP="003E262E">
                          <w:pPr>
                            <w:spacing w:after="0"/>
                            <w:rPr>
                              <w:rFonts w:ascii="Aptos" w:eastAsia="Aptos" w:hAnsi="Aptos" w:cs="Aptos"/>
                              <w:noProof/>
                              <w:color w:val="FF0000"/>
                              <w:sz w:val="24"/>
                              <w:szCs w:val="24"/>
                            </w:rPr>
                          </w:pPr>
                          <w:r w:rsidRPr="003E262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CC4133" id="_x0000_t202" coordsize="21600,21600" o:spt="202" path="m,l,21600r21600,l21600,xe">
              <v:stroke joinstyle="miter"/>
              <v:path gradientshapeok="t" o:connecttype="rect"/>
            </v:shapetype>
            <v:shape id="Text Box 6" o:spid="_x0000_s1031" type="#_x0000_t202" alt="OFFICIAL" style="position:absolute;margin-left:0;margin-top:0;width:49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3C70DBE9" w14:textId="50B158E1" w:rsidR="003E262E" w:rsidRPr="003E262E" w:rsidRDefault="003E262E" w:rsidP="003E262E">
                    <w:pPr>
                      <w:spacing w:after="0"/>
                      <w:rPr>
                        <w:rFonts w:ascii="Aptos" w:eastAsia="Aptos" w:hAnsi="Aptos" w:cs="Aptos"/>
                        <w:noProof/>
                        <w:color w:val="FF0000"/>
                        <w:sz w:val="24"/>
                        <w:szCs w:val="24"/>
                      </w:rPr>
                    </w:pPr>
                    <w:r w:rsidRPr="003E262E">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4F2E0"/>
      <w:tblLook w:val="04A0" w:firstRow="1" w:lastRow="0" w:firstColumn="1" w:lastColumn="0" w:noHBand="0" w:noVBand="1"/>
    </w:tblPr>
    <w:tblGrid>
      <w:gridCol w:w="9016"/>
    </w:tblGrid>
    <w:tr w:rsidR="009A5098" w:rsidRPr="009A5098" w14:paraId="69625A3F" w14:textId="77777777" w:rsidTr="009A5098">
      <w:trPr>
        <w:trHeight w:val="841"/>
      </w:trPr>
      <w:tc>
        <w:tcPr>
          <w:tcW w:w="9322" w:type="dxa"/>
          <w:shd w:val="clear" w:color="auto" w:fill="E4F2E0"/>
        </w:tcPr>
        <w:p w14:paraId="4579B6B0" w14:textId="77777777" w:rsidR="009A5098" w:rsidRPr="009A5098" w:rsidRDefault="009A5098" w:rsidP="009A5098">
          <w:pPr>
            <w:pStyle w:val="Footer"/>
            <w:rPr>
              <w:b/>
              <w:sz w:val="16"/>
              <w:szCs w:val="16"/>
            </w:rPr>
          </w:pPr>
          <w:bookmarkStart w:id="46" w:name="_Hlk109054010"/>
          <w:r w:rsidRPr="009A5098">
            <w:rPr>
              <w:b/>
              <w:bCs/>
              <w:sz w:val="16"/>
              <w:szCs w:val="16"/>
            </w:rPr>
            <w:t xml:space="preserve">AusPAR – Fetroja - cefiderocol (as sulfate </w:t>
          </w:r>
          <w:proofErr w:type="spellStart"/>
          <w:r w:rsidRPr="009A5098">
            <w:rPr>
              <w:b/>
              <w:bCs/>
              <w:sz w:val="16"/>
              <w:szCs w:val="16"/>
            </w:rPr>
            <w:t>tosilate</w:t>
          </w:r>
          <w:proofErr w:type="spellEnd"/>
          <w:r w:rsidRPr="009A5098">
            <w:rPr>
              <w:b/>
              <w:bCs/>
              <w:sz w:val="16"/>
              <w:szCs w:val="16"/>
            </w:rPr>
            <w:t xml:space="preserve">) - </w:t>
          </w:r>
          <w:proofErr w:type="spellStart"/>
          <w:r w:rsidRPr="009A5098">
            <w:rPr>
              <w:b/>
              <w:bCs/>
              <w:sz w:val="16"/>
              <w:szCs w:val="16"/>
            </w:rPr>
            <w:t>Accelagen</w:t>
          </w:r>
          <w:proofErr w:type="spellEnd"/>
          <w:r w:rsidRPr="009A5098">
            <w:rPr>
              <w:b/>
              <w:bCs/>
              <w:sz w:val="16"/>
              <w:szCs w:val="16"/>
            </w:rPr>
            <w:t xml:space="preserve"> Pty Ltd - PM-2024-04730-1-2 – Type A Date of </w:t>
          </w:r>
          <w:proofErr w:type="spellStart"/>
          <w:r w:rsidRPr="009A5098">
            <w:rPr>
              <w:b/>
              <w:bCs/>
              <w:sz w:val="16"/>
              <w:szCs w:val="16"/>
            </w:rPr>
            <w:t>Finalisation</w:t>
          </w:r>
          <w:proofErr w:type="spellEnd"/>
          <w:r w:rsidRPr="009A5098">
            <w:rPr>
              <w:b/>
              <w:bCs/>
              <w:sz w:val="16"/>
              <w:szCs w:val="16"/>
            </w:rPr>
            <w:t xml:space="preserve">: 8 October 2026 </w:t>
          </w:r>
          <w:r w:rsidRPr="009A5098">
            <w:rPr>
              <w:b/>
              <w:sz w:val="16"/>
              <w:szCs w:val="16"/>
            </w:rPr>
            <w:t>This is the Product Information that was approved with the submission described in this AusPAR. It may have been superseded. For the most recent PI, please refer to the TGA website at &lt;</w:t>
          </w:r>
          <w:r w:rsidRPr="009A5098">
            <w:rPr>
              <w:sz w:val="16"/>
              <w:szCs w:val="16"/>
            </w:rPr>
            <w:t xml:space="preserve"> </w:t>
          </w:r>
          <w:hyperlink r:id="rId1" w:history="1">
            <w:r w:rsidRPr="009A5098">
              <w:rPr>
                <w:rStyle w:val="Hyperlink"/>
                <w:sz w:val="16"/>
                <w:szCs w:val="16"/>
              </w:rPr>
              <w:t>https://www.tga.gov.au/products/australian-register-therapeutic-goods-artg/product-information-pi</w:t>
            </w:r>
          </w:hyperlink>
          <w:r w:rsidRPr="009A5098">
            <w:rPr>
              <w:b/>
              <w:sz w:val="16"/>
              <w:szCs w:val="16"/>
              <w:u w:val="single"/>
            </w:rPr>
            <w:t>&gt;</w:t>
          </w:r>
        </w:p>
      </w:tc>
    </w:tr>
    <w:bookmarkEnd w:id="46"/>
  </w:tbl>
  <w:p w14:paraId="129DED3C" w14:textId="77777777" w:rsidR="003E262E" w:rsidRPr="009A5098" w:rsidRDefault="003E262E">
    <w:pPr>
      <w:pStyle w:val="Head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6F89F" w14:textId="44A09401" w:rsidR="003E262E" w:rsidRDefault="003E262E">
    <w:pPr>
      <w:pStyle w:val="Header"/>
    </w:pPr>
    <w:r>
      <w:rPr>
        <w:noProof/>
      </w:rPr>
      <mc:AlternateContent>
        <mc:Choice Requires="wps">
          <w:drawing>
            <wp:anchor distT="0" distB="0" distL="0" distR="0" simplePos="0" relativeHeight="251658240" behindDoc="0" locked="0" layoutInCell="1" allowOverlap="1" wp14:anchorId="5F5ABC1C" wp14:editId="4254735F">
              <wp:simplePos x="635" y="635"/>
              <wp:positionH relativeFrom="page">
                <wp:align>center</wp:align>
              </wp:positionH>
              <wp:positionV relativeFrom="page">
                <wp:align>top</wp:align>
              </wp:positionV>
              <wp:extent cx="622300" cy="404495"/>
              <wp:effectExtent l="0" t="0" r="6350" b="14605"/>
              <wp:wrapNone/>
              <wp:docPr id="183511918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EE5DAB7" w14:textId="33048D4D" w:rsidR="003E262E" w:rsidRPr="003E262E" w:rsidRDefault="003E262E" w:rsidP="003E262E">
                          <w:pPr>
                            <w:spacing w:after="0"/>
                            <w:rPr>
                              <w:rFonts w:ascii="Aptos" w:eastAsia="Aptos" w:hAnsi="Aptos" w:cs="Aptos"/>
                              <w:noProof/>
                              <w:color w:val="FF0000"/>
                              <w:sz w:val="24"/>
                              <w:szCs w:val="24"/>
                            </w:rPr>
                          </w:pPr>
                          <w:r w:rsidRPr="003E262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5ABC1C" id="_x0000_t202" coordsize="21600,21600" o:spt="202" path="m,l,21600r21600,l21600,xe">
              <v:stroke joinstyle="miter"/>
              <v:path gradientshapeok="t" o:connecttype="rect"/>
            </v:shapetype>
            <v:shape id="Text Box 5" o:spid="_x0000_s1034"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3YRnw0CAAAcBAAA&#10;DgAAAAAAAAAAAAAAAAAuAgAAZHJzL2Uyb0RvYy54bWxQSwECLQAUAAYACAAAACEAtVRkddkAAAAD&#10;AQAADwAAAAAAAAAAAAAAAABnBAAAZHJzL2Rvd25yZXYueG1sUEsFBgAAAAAEAAQA8wAAAG0FAAAA&#10;AA==&#10;" filled="f" stroked="f">
              <v:textbox style="mso-fit-shape-to-text:t" inset="0,15pt,0,0">
                <w:txbxContent>
                  <w:p w14:paraId="5EE5DAB7" w14:textId="33048D4D" w:rsidR="003E262E" w:rsidRPr="003E262E" w:rsidRDefault="003E262E" w:rsidP="003E262E">
                    <w:pPr>
                      <w:spacing w:after="0"/>
                      <w:rPr>
                        <w:rFonts w:ascii="Aptos" w:eastAsia="Aptos" w:hAnsi="Aptos" w:cs="Aptos"/>
                        <w:noProof/>
                        <w:color w:val="FF0000"/>
                        <w:sz w:val="24"/>
                        <w:szCs w:val="24"/>
                      </w:rPr>
                    </w:pPr>
                    <w:r w:rsidRPr="003E262E">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3F3E"/>
    <w:multiLevelType w:val="hybridMultilevel"/>
    <w:tmpl w:val="5AB64A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29048B"/>
    <w:multiLevelType w:val="hybridMultilevel"/>
    <w:tmpl w:val="E10636F8"/>
    <w:lvl w:ilvl="0" w:tplc="0C090001">
      <w:start w:val="1"/>
      <w:numFmt w:val="bullet"/>
      <w:lvlText w:val=""/>
      <w:lvlJc w:val="left"/>
      <w:pPr>
        <w:ind w:left="420" w:hanging="420"/>
      </w:pPr>
      <w:rPr>
        <w:rFonts w:ascii="Symbol" w:hAnsi="Symbol" w:hint="default"/>
      </w:rPr>
    </w:lvl>
    <w:lvl w:ilvl="1" w:tplc="FFFFFFFF">
      <w:start w:val="1"/>
      <w:numFmt w:val="bullet"/>
      <w:lvlText w:val=""/>
      <w:lvlJc w:val="left"/>
      <w:pPr>
        <w:ind w:left="840" w:hanging="420"/>
      </w:pPr>
      <w:rPr>
        <w:rFonts w:ascii="Wingdings" w:hAnsi="Wingdings" w:hint="default"/>
      </w:rPr>
    </w:lvl>
    <w:lvl w:ilvl="2" w:tplc="FFFFFFFF">
      <w:start w:val="1"/>
      <w:numFmt w:val="bullet"/>
      <w:lvlText w:val=""/>
      <w:lvlJc w:val="left"/>
      <w:pPr>
        <w:ind w:left="1260" w:hanging="420"/>
      </w:pPr>
      <w:rPr>
        <w:rFonts w:ascii="Wingdings" w:hAnsi="Wingdings" w:hint="default"/>
      </w:rPr>
    </w:lvl>
    <w:lvl w:ilvl="3" w:tplc="FFFFFFFF">
      <w:start w:val="1"/>
      <w:numFmt w:val="bullet"/>
      <w:lvlText w:val=""/>
      <w:lvlJc w:val="left"/>
      <w:pPr>
        <w:ind w:left="1680" w:hanging="420"/>
      </w:pPr>
      <w:rPr>
        <w:rFonts w:ascii="Wingdings" w:hAnsi="Wingdings" w:hint="default"/>
      </w:rPr>
    </w:lvl>
    <w:lvl w:ilvl="4" w:tplc="FFFFFFFF">
      <w:start w:val="1"/>
      <w:numFmt w:val="bullet"/>
      <w:lvlText w:val=""/>
      <w:lvlJc w:val="left"/>
      <w:pPr>
        <w:ind w:left="2100" w:hanging="420"/>
      </w:pPr>
      <w:rPr>
        <w:rFonts w:ascii="Wingdings" w:hAnsi="Wingdings" w:hint="default"/>
      </w:rPr>
    </w:lvl>
    <w:lvl w:ilvl="5" w:tplc="FFFFFFFF">
      <w:start w:val="1"/>
      <w:numFmt w:val="bullet"/>
      <w:lvlText w:val=""/>
      <w:lvlJc w:val="left"/>
      <w:pPr>
        <w:ind w:left="2520" w:hanging="420"/>
      </w:pPr>
      <w:rPr>
        <w:rFonts w:ascii="Wingdings" w:hAnsi="Wingdings" w:hint="default"/>
      </w:rPr>
    </w:lvl>
    <w:lvl w:ilvl="6" w:tplc="FFFFFFFF">
      <w:start w:val="1"/>
      <w:numFmt w:val="bullet"/>
      <w:lvlText w:val=""/>
      <w:lvlJc w:val="left"/>
      <w:pPr>
        <w:ind w:left="2940" w:hanging="420"/>
      </w:pPr>
      <w:rPr>
        <w:rFonts w:ascii="Wingdings" w:hAnsi="Wingdings" w:hint="default"/>
      </w:rPr>
    </w:lvl>
    <w:lvl w:ilvl="7" w:tplc="FFFFFFFF">
      <w:start w:val="1"/>
      <w:numFmt w:val="bullet"/>
      <w:lvlText w:val=""/>
      <w:lvlJc w:val="left"/>
      <w:pPr>
        <w:ind w:left="3360" w:hanging="420"/>
      </w:pPr>
      <w:rPr>
        <w:rFonts w:ascii="Wingdings" w:hAnsi="Wingdings" w:hint="default"/>
      </w:rPr>
    </w:lvl>
    <w:lvl w:ilvl="8" w:tplc="FFFFFFFF">
      <w:start w:val="1"/>
      <w:numFmt w:val="bullet"/>
      <w:lvlText w:val=""/>
      <w:lvlJc w:val="left"/>
      <w:pPr>
        <w:ind w:left="3780" w:hanging="420"/>
      </w:pPr>
      <w:rPr>
        <w:rFonts w:ascii="Wingdings" w:hAnsi="Wingdings" w:hint="default"/>
      </w:rPr>
    </w:lvl>
  </w:abstractNum>
  <w:abstractNum w:abstractNumId="2" w15:restartNumberingAfterBreak="0">
    <w:nsid w:val="0B1861E0"/>
    <w:multiLevelType w:val="hybridMultilevel"/>
    <w:tmpl w:val="F1641852"/>
    <w:lvl w:ilvl="0" w:tplc="74F6A026">
      <w:start w:val="1"/>
      <w:numFmt w:val="bullet"/>
      <w:lvlText w:val="·"/>
      <w:lvlJc w:val="left"/>
      <w:pPr>
        <w:ind w:left="720" w:hanging="360"/>
      </w:pPr>
      <w:rPr>
        <w:rFonts w:ascii="Symbol" w:hAnsi="Symbol" w:hint="default"/>
      </w:rPr>
    </w:lvl>
    <w:lvl w:ilvl="1" w:tplc="6054DD84">
      <w:start w:val="1"/>
      <w:numFmt w:val="bullet"/>
      <w:lvlText w:val="o"/>
      <w:lvlJc w:val="left"/>
      <w:pPr>
        <w:ind w:left="1440" w:hanging="360"/>
      </w:pPr>
      <w:rPr>
        <w:rFonts w:ascii="Courier New" w:hAnsi="Courier New" w:hint="default"/>
      </w:rPr>
    </w:lvl>
    <w:lvl w:ilvl="2" w:tplc="B61E44E6">
      <w:start w:val="1"/>
      <w:numFmt w:val="bullet"/>
      <w:lvlText w:val=""/>
      <w:lvlJc w:val="left"/>
      <w:pPr>
        <w:ind w:left="2160" w:hanging="360"/>
      </w:pPr>
      <w:rPr>
        <w:rFonts w:ascii="Wingdings" w:hAnsi="Wingdings" w:hint="default"/>
      </w:rPr>
    </w:lvl>
    <w:lvl w:ilvl="3" w:tplc="9F24A698">
      <w:start w:val="1"/>
      <w:numFmt w:val="bullet"/>
      <w:lvlText w:val=""/>
      <w:lvlJc w:val="left"/>
      <w:pPr>
        <w:ind w:left="2880" w:hanging="360"/>
      </w:pPr>
      <w:rPr>
        <w:rFonts w:ascii="Symbol" w:hAnsi="Symbol" w:hint="default"/>
      </w:rPr>
    </w:lvl>
    <w:lvl w:ilvl="4" w:tplc="9A008F12">
      <w:start w:val="1"/>
      <w:numFmt w:val="bullet"/>
      <w:lvlText w:val="o"/>
      <w:lvlJc w:val="left"/>
      <w:pPr>
        <w:ind w:left="3600" w:hanging="360"/>
      </w:pPr>
      <w:rPr>
        <w:rFonts w:ascii="Courier New" w:hAnsi="Courier New" w:hint="default"/>
      </w:rPr>
    </w:lvl>
    <w:lvl w:ilvl="5" w:tplc="359AAF2A">
      <w:start w:val="1"/>
      <w:numFmt w:val="bullet"/>
      <w:lvlText w:val=""/>
      <w:lvlJc w:val="left"/>
      <w:pPr>
        <w:ind w:left="4320" w:hanging="360"/>
      </w:pPr>
      <w:rPr>
        <w:rFonts w:ascii="Wingdings" w:hAnsi="Wingdings" w:hint="default"/>
      </w:rPr>
    </w:lvl>
    <w:lvl w:ilvl="6" w:tplc="67EC350C">
      <w:start w:val="1"/>
      <w:numFmt w:val="bullet"/>
      <w:lvlText w:val=""/>
      <w:lvlJc w:val="left"/>
      <w:pPr>
        <w:ind w:left="5040" w:hanging="360"/>
      </w:pPr>
      <w:rPr>
        <w:rFonts w:ascii="Symbol" w:hAnsi="Symbol" w:hint="default"/>
      </w:rPr>
    </w:lvl>
    <w:lvl w:ilvl="7" w:tplc="91E46774">
      <w:start w:val="1"/>
      <w:numFmt w:val="bullet"/>
      <w:lvlText w:val="o"/>
      <w:lvlJc w:val="left"/>
      <w:pPr>
        <w:ind w:left="5760" w:hanging="360"/>
      </w:pPr>
      <w:rPr>
        <w:rFonts w:ascii="Courier New" w:hAnsi="Courier New" w:hint="default"/>
      </w:rPr>
    </w:lvl>
    <w:lvl w:ilvl="8" w:tplc="4CA827DE">
      <w:start w:val="1"/>
      <w:numFmt w:val="bullet"/>
      <w:lvlText w:val=""/>
      <w:lvlJc w:val="left"/>
      <w:pPr>
        <w:ind w:left="6480" w:hanging="360"/>
      </w:pPr>
      <w:rPr>
        <w:rFonts w:ascii="Wingdings" w:hAnsi="Wingdings" w:hint="default"/>
      </w:rPr>
    </w:lvl>
  </w:abstractNum>
  <w:abstractNum w:abstractNumId="3" w15:restartNumberingAfterBreak="0">
    <w:nsid w:val="0B7660B4"/>
    <w:multiLevelType w:val="hybridMultilevel"/>
    <w:tmpl w:val="870431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4435439"/>
    <w:multiLevelType w:val="hybridMultilevel"/>
    <w:tmpl w:val="D23AB8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D637D7C"/>
    <w:multiLevelType w:val="hybridMultilevel"/>
    <w:tmpl w:val="8EA2561A"/>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6" w15:restartNumberingAfterBreak="0">
    <w:nsid w:val="305144F9"/>
    <w:multiLevelType w:val="hybridMultilevel"/>
    <w:tmpl w:val="5C14BFC2"/>
    <w:lvl w:ilvl="0" w:tplc="178466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7F50239"/>
    <w:multiLevelType w:val="hybridMultilevel"/>
    <w:tmpl w:val="0942A4A0"/>
    <w:lvl w:ilvl="0" w:tplc="5AEC8BF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4762EEE"/>
    <w:multiLevelType w:val="multilevel"/>
    <w:tmpl w:val="FE989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527860"/>
    <w:multiLevelType w:val="multilevel"/>
    <w:tmpl w:val="9822B6FE"/>
    <w:lvl w:ilvl="0">
      <w:start w:val="1"/>
      <w:numFmt w:val="decimal"/>
      <w:lvlText w:val="%1."/>
      <w:lvlJc w:val="left"/>
      <w:pPr>
        <w:ind w:left="475" w:hanging="359"/>
      </w:pPr>
      <w:rPr>
        <w:rFonts w:ascii="Arial" w:eastAsia="Arial" w:hAnsi="Arial" w:cs="Arial" w:hint="default"/>
        <w:b/>
        <w:bCs/>
        <w:w w:val="100"/>
        <w:sz w:val="28"/>
        <w:szCs w:val="28"/>
      </w:rPr>
    </w:lvl>
    <w:lvl w:ilvl="1">
      <w:start w:val="1"/>
      <w:numFmt w:val="decimal"/>
      <w:lvlText w:val="%1.%2"/>
      <w:lvlJc w:val="left"/>
      <w:pPr>
        <w:ind w:left="838" w:hanging="721"/>
      </w:pPr>
      <w:rPr>
        <w:rFonts w:ascii="Arial" w:eastAsia="Arial" w:hAnsi="Arial" w:cs="Arial" w:hint="default"/>
        <w:b/>
        <w:bCs/>
        <w:w w:val="99"/>
        <w:sz w:val="26"/>
        <w:szCs w:val="26"/>
      </w:rPr>
    </w:lvl>
    <w:lvl w:ilvl="2">
      <w:start w:val="1"/>
      <w:numFmt w:val="decimal"/>
      <w:lvlText w:val="%1.%2.%3"/>
      <w:lvlJc w:val="left"/>
      <w:pPr>
        <w:ind w:left="1196" w:hanging="1079"/>
      </w:pPr>
      <w:rPr>
        <w:rFonts w:ascii="Arial" w:eastAsia="Arial" w:hAnsi="Arial" w:cs="Arial" w:hint="default"/>
        <w:b/>
        <w:bCs/>
        <w:spacing w:val="-2"/>
        <w:w w:val="100"/>
        <w:sz w:val="24"/>
        <w:szCs w:val="24"/>
      </w:rPr>
    </w:lvl>
    <w:lvl w:ilvl="3">
      <w:start w:val="1"/>
      <w:numFmt w:val="decimal"/>
      <w:lvlText w:val="%1.%2.%3.%4"/>
      <w:lvlJc w:val="left"/>
      <w:pPr>
        <w:ind w:left="1558" w:hanging="1441"/>
      </w:pPr>
      <w:rPr>
        <w:rFonts w:ascii="Arial" w:eastAsia="Arial" w:hAnsi="Arial" w:cs="Arial" w:hint="default"/>
        <w:b/>
        <w:bCs/>
        <w:spacing w:val="-2"/>
        <w:w w:val="100"/>
        <w:sz w:val="22"/>
        <w:szCs w:val="22"/>
      </w:rPr>
    </w:lvl>
    <w:lvl w:ilvl="4">
      <w:start w:val="1"/>
      <w:numFmt w:val="decimal"/>
      <w:lvlText w:val="%1.%2.%3.%4.%5"/>
      <w:lvlJc w:val="left"/>
      <w:pPr>
        <w:ind w:left="1557" w:hanging="1441"/>
      </w:pPr>
      <w:rPr>
        <w:rFonts w:ascii="Arial" w:eastAsia="Arial" w:hAnsi="Arial" w:cs="Arial" w:hint="default"/>
        <w:b/>
        <w:bCs/>
        <w:spacing w:val="-2"/>
        <w:w w:val="100"/>
        <w:sz w:val="22"/>
        <w:szCs w:val="22"/>
      </w:rPr>
    </w:lvl>
    <w:lvl w:ilvl="5">
      <w:numFmt w:val="bullet"/>
      <w:lvlText w:val="•"/>
      <w:lvlJc w:val="left"/>
      <w:pPr>
        <w:ind w:left="3773" w:hanging="1441"/>
      </w:pPr>
      <w:rPr>
        <w:rFonts w:hint="default"/>
      </w:rPr>
    </w:lvl>
    <w:lvl w:ilvl="6">
      <w:numFmt w:val="bullet"/>
      <w:lvlText w:val="•"/>
      <w:lvlJc w:val="left"/>
      <w:pPr>
        <w:ind w:left="4879" w:hanging="1441"/>
      </w:pPr>
      <w:rPr>
        <w:rFonts w:hint="default"/>
      </w:rPr>
    </w:lvl>
    <w:lvl w:ilvl="7">
      <w:numFmt w:val="bullet"/>
      <w:lvlText w:val="•"/>
      <w:lvlJc w:val="left"/>
      <w:pPr>
        <w:ind w:left="5986" w:hanging="1441"/>
      </w:pPr>
      <w:rPr>
        <w:rFonts w:hint="default"/>
      </w:rPr>
    </w:lvl>
    <w:lvl w:ilvl="8">
      <w:numFmt w:val="bullet"/>
      <w:lvlText w:val="•"/>
      <w:lvlJc w:val="left"/>
      <w:pPr>
        <w:ind w:left="7093" w:hanging="1441"/>
      </w:pPr>
      <w:rPr>
        <w:rFonts w:hint="default"/>
      </w:rPr>
    </w:lvl>
  </w:abstractNum>
  <w:abstractNum w:abstractNumId="10" w15:restartNumberingAfterBreak="0">
    <w:nsid w:val="498B3059"/>
    <w:multiLevelType w:val="multilevel"/>
    <w:tmpl w:val="F046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507084"/>
    <w:multiLevelType w:val="hybridMultilevel"/>
    <w:tmpl w:val="B91605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F5225A0"/>
    <w:multiLevelType w:val="multilevel"/>
    <w:tmpl w:val="50B48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D42C05"/>
    <w:multiLevelType w:val="multilevel"/>
    <w:tmpl w:val="88CA3A76"/>
    <w:lvl w:ilvl="0">
      <w:start w:val="1"/>
      <w:numFmt w:val="decimal"/>
      <w:lvlText w:val="Note %1:"/>
      <w:lvlJc w:val="left"/>
      <w:pPr>
        <w:ind w:left="1021" w:hanging="1021"/>
      </w:pPr>
      <w:rPr>
        <w:rFonts w:ascii="Cambria" w:hAnsi="Cambria"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76F49FC"/>
    <w:multiLevelType w:val="hybridMultilevel"/>
    <w:tmpl w:val="76C6F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0332797"/>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72613446"/>
    <w:multiLevelType w:val="hybridMultilevel"/>
    <w:tmpl w:val="D384F4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311220D"/>
    <w:multiLevelType w:val="hybridMultilevel"/>
    <w:tmpl w:val="E814E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FB401D6"/>
    <w:multiLevelType w:val="hybridMultilevel"/>
    <w:tmpl w:val="270C46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03065497">
    <w:abstractNumId w:val="15"/>
  </w:num>
  <w:num w:numId="2" w16cid:durableId="1259022949">
    <w:abstractNumId w:val="3"/>
  </w:num>
  <w:num w:numId="3" w16cid:durableId="1064178571">
    <w:abstractNumId w:val="0"/>
  </w:num>
  <w:num w:numId="4" w16cid:durableId="1366835782">
    <w:abstractNumId w:val="11"/>
  </w:num>
  <w:num w:numId="5" w16cid:durableId="547257">
    <w:abstractNumId w:val="18"/>
  </w:num>
  <w:num w:numId="6" w16cid:durableId="800807227">
    <w:abstractNumId w:val="16"/>
  </w:num>
  <w:num w:numId="7" w16cid:durableId="1188256200">
    <w:abstractNumId w:val="14"/>
  </w:num>
  <w:num w:numId="8" w16cid:durableId="1750614173">
    <w:abstractNumId w:val="17"/>
  </w:num>
  <w:num w:numId="9" w16cid:durableId="689376008">
    <w:abstractNumId w:val="4"/>
  </w:num>
  <w:num w:numId="10" w16cid:durableId="835460545">
    <w:abstractNumId w:val="13"/>
  </w:num>
  <w:num w:numId="11" w16cid:durableId="1927104439">
    <w:abstractNumId w:val="10"/>
  </w:num>
  <w:num w:numId="12" w16cid:durableId="1721399884">
    <w:abstractNumId w:val="12"/>
  </w:num>
  <w:num w:numId="13" w16cid:durableId="604575181">
    <w:abstractNumId w:val="8"/>
  </w:num>
  <w:num w:numId="14" w16cid:durableId="2130319016">
    <w:abstractNumId w:val="2"/>
  </w:num>
  <w:num w:numId="15" w16cid:durableId="1859389984">
    <w:abstractNumId w:val="5"/>
  </w:num>
  <w:num w:numId="16" w16cid:durableId="2123063625">
    <w:abstractNumId w:val="1"/>
  </w:num>
  <w:num w:numId="17" w16cid:durableId="1453015276">
    <w:abstractNumId w:val="9"/>
  </w:num>
  <w:num w:numId="18" w16cid:durableId="1737892736">
    <w:abstractNumId w:val="6"/>
  </w:num>
  <w:num w:numId="19" w16cid:durableId="6595065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A6E"/>
    <w:rsid w:val="000001BA"/>
    <w:rsid w:val="00001C40"/>
    <w:rsid w:val="0000617D"/>
    <w:rsid w:val="0000633B"/>
    <w:rsid w:val="0001038D"/>
    <w:rsid w:val="000103F7"/>
    <w:rsid w:val="00011682"/>
    <w:rsid w:val="00011C43"/>
    <w:rsid w:val="00013B44"/>
    <w:rsid w:val="000144F0"/>
    <w:rsid w:val="00016FD9"/>
    <w:rsid w:val="00017C4F"/>
    <w:rsid w:val="00020EAD"/>
    <w:rsid w:val="00025CFB"/>
    <w:rsid w:val="00031857"/>
    <w:rsid w:val="00034994"/>
    <w:rsid w:val="00034C3E"/>
    <w:rsid w:val="000361AA"/>
    <w:rsid w:val="00037A7B"/>
    <w:rsid w:val="000410C9"/>
    <w:rsid w:val="00041A37"/>
    <w:rsid w:val="00042302"/>
    <w:rsid w:val="0004289F"/>
    <w:rsid w:val="0004380E"/>
    <w:rsid w:val="00044119"/>
    <w:rsid w:val="00045414"/>
    <w:rsid w:val="0004557C"/>
    <w:rsid w:val="00046605"/>
    <w:rsid w:val="00050A62"/>
    <w:rsid w:val="00051CFD"/>
    <w:rsid w:val="0005325B"/>
    <w:rsid w:val="00053CB8"/>
    <w:rsid w:val="00055445"/>
    <w:rsid w:val="000602CF"/>
    <w:rsid w:val="00062BFA"/>
    <w:rsid w:val="00063F0E"/>
    <w:rsid w:val="0006483A"/>
    <w:rsid w:val="000666A1"/>
    <w:rsid w:val="00070D58"/>
    <w:rsid w:val="000746D4"/>
    <w:rsid w:val="0007483E"/>
    <w:rsid w:val="00074C16"/>
    <w:rsid w:val="00077E15"/>
    <w:rsid w:val="00080320"/>
    <w:rsid w:val="00081021"/>
    <w:rsid w:val="00084FB5"/>
    <w:rsid w:val="00087EAC"/>
    <w:rsid w:val="0009042B"/>
    <w:rsid w:val="000905D1"/>
    <w:rsid w:val="00091831"/>
    <w:rsid w:val="00092392"/>
    <w:rsid w:val="00093370"/>
    <w:rsid w:val="000947D4"/>
    <w:rsid w:val="000A31F3"/>
    <w:rsid w:val="000A7324"/>
    <w:rsid w:val="000A7DBF"/>
    <w:rsid w:val="000B624F"/>
    <w:rsid w:val="000B7D4C"/>
    <w:rsid w:val="000B7FFA"/>
    <w:rsid w:val="000C0A72"/>
    <w:rsid w:val="000C3044"/>
    <w:rsid w:val="000C5C95"/>
    <w:rsid w:val="000C5ED3"/>
    <w:rsid w:val="000C6170"/>
    <w:rsid w:val="000C7EDA"/>
    <w:rsid w:val="000D0458"/>
    <w:rsid w:val="000D1E9C"/>
    <w:rsid w:val="000D2534"/>
    <w:rsid w:val="000D4111"/>
    <w:rsid w:val="000D66D3"/>
    <w:rsid w:val="000D6921"/>
    <w:rsid w:val="000E26DE"/>
    <w:rsid w:val="000E3B17"/>
    <w:rsid w:val="000E7875"/>
    <w:rsid w:val="000F07D4"/>
    <w:rsid w:val="000F0BE3"/>
    <w:rsid w:val="000F4A9D"/>
    <w:rsid w:val="0010102C"/>
    <w:rsid w:val="001010D3"/>
    <w:rsid w:val="00102937"/>
    <w:rsid w:val="00104773"/>
    <w:rsid w:val="00104972"/>
    <w:rsid w:val="00104A9C"/>
    <w:rsid w:val="00105F61"/>
    <w:rsid w:val="001100EA"/>
    <w:rsid w:val="00112C94"/>
    <w:rsid w:val="001138DD"/>
    <w:rsid w:val="00113B45"/>
    <w:rsid w:val="00113CA4"/>
    <w:rsid w:val="00117CC4"/>
    <w:rsid w:val="00120C75"/>
    <w:rsid w:val="00120F87"/>
    <w:rsid w:val="001238F9"/>
    <w:rsid w:val="00131405"/>
    <w:rsid w:val="001320AC"/>
    <w:rsid w:val="00132C8C"/>
    <w:rsid w:val="0013595F"/>
    <w:rsid w:val="0013609C"/>
    <w:rsid w:val="00136467"/>
    <w:rsid w:val="001416AF"/>
    <w:rsid w:val="001422AF"/>
    <w:rsid w:val="001443EA"/>
    <w:rsid w:val="00145923"/>
    <w:rsid w:val="00146DC4"/>
    <w:rsid w:val="00147EE3"/>
    <w:rsid w:val="00152494"/>
    <w:rsid w:val="001613AA"/>
    <w:rsid w:val="001634D1"/>
    <w:rsid w:val="00164A10"/>
    <w:rsid w:val="00164D75"/>
    <w:rsid w:val="00166424"/>
    <w:rsid w:val="00167114"/>
    <w:rsid w:val="00171213"/>
    <w:rsid w:val="00172EB5"/>
    <w:rsid w:val="001737E7"/>
    <w:rsid w:val="00174B54"/>
    <w:rsid w:val="00175420"/>
    <w:rsid w:val="00177A0B"/>
    <w:rsid w:val="00180DD5"/>
    <w:rsid w:val="00185BB0"/>
    <w:rsid w:val="00186D82"/>
    <w:rsid w:val="001871CC"/>
    <w:rsid w:val="0019325F"/>
    <w:rsid w:val="001934D0"/>
    <w:rsid w:val="0019462F"/>
    <w:rsid w:val="00194ECA"/>
    <w:rsid w:val="001A3992"/>
    <w:rsid w:val="001A39AD"/>
    <w:rsid w:val="001A5000"/>
    <w:rsid w:val="001A7188"/>
    <w:rsid w:val="001B3C0C"/>
    <w:rsid w:val="001B515A"/>
    <w:rsid w:val="001B5F19"/>
    <w:rsid w:val="001B6DDC"/>
    <w:rsid w:val="001C42E4"/>
    <w:rsid w:val="001D157B"/>
    <w:rsid w:val="001D3B44"/>
    <w:rsid w:val="001D3E01"/>
    <w:rsid w:val="001D5A0D"/>
    <w:rsid w:val="001D6457"/>
    <w:rsid w:val="001D72CE"/>
    <w:rsid w:val="001E1246"/>
    <w:rsid w:val="001E1785"/>
    <w:rsid w:val="001E506E"/>
    <w:rsid w:val="001E5F97"/>
    <w:rsid w:val="001E62AA"/>
    <w:rsid w:val="001E66F2"/>
    <w:rsid w:val="001E6D61"/>
    <w:rsid w:val="001E7490"/>
    <w:rsid w:val="001F01E4"/>
    <w:rsid w:val="001F10A5"/>
    <w:rsid w:val="001F2584"/>
    <w:rsid w:val="001F5ACC"/>
    <w:rsid w:val="001F5C08"/>
    <w:rsid w:val="001F7BB7"/>
    <w:rsid w:val="002028D1"/>
    <w:rsid w:val="00202A88"/>
    <w:rsid w:val="002030B6"/>
    <w:rsid w:val="0020414C"/>
    <w:rsid w:val="00204743"/>
    <w:rsid w:val="00205F88"/>
    <w:rsid w:val="00207F9E"/>
    <w:rsid w:val="0021200F"/>
    <w:rsid w:val="00214580"/>
    <w:rsid w:val="00215642"/>
    <w:rsid w:val="002163C6"/>
    <w:rsid w:val="00216434"/>
    <w:rsid w:val="00216C71"/>
    <w:rsid w:val="00221CDB"/>
    <w:rsid w:val="00226C3F"/>
    <w:rsid w:val="0022739E"/>
    <w:rsid w:val="00231144"/>
    <w:rsid w:val="00231B44"/>
    <w:rsid w:val="002339FA"/>
    <w:rsid w:val="00234E47"/>
    <w:rsid w:val="002352F7"/>
    <w:rsid w:val="002364D3"/>
    <w:rsid w:val="002421FD"/>
    <w:rsid w:val="00242B7D"/>
    <w:rsid w:val="00245A11"/>
    <w:rsid w:val="002463E9"/>
    <w:rsid w:val="00246883"/>
    <w:rsid w:val="00250039"/>
    <w:rsid w:val="0025106A"/>
    <w:rsid w:val="00252A5F"/>
    <w:rsid w:val="002546E2"/>
    <w:rsid w:val="00256E4E"/>
    <w:rsid w:val="002652C3"/>
    <w:rsid w:val="002659B6"/>
    <w:rsid w:val="002676DF"/>
    <w:rsid w:val="002704B8"/>
    <w:rsid w:val="002711ED"/>
    <w:rsid w:val="00274C1F"/>
    <w:rsid w:val="002763A5"/>
    <w:rsid w:val="002767F0"/>
    <w:rsid w:val="002814C4"/>
    <w:rsid w:val="00281ED2"/>
    <w:rsid w:val="00285173"/>
    <w:rsid w:val="0028634A"/>
    <w:rsid w:val="002938A1"/>
    <w:rsid w:val="002941E0"/>
    <w:rsid w:val="002A0520"/>
    <w:rsid w:val="002A0897"/>
    <w:rsid w:val="002A15C6"/>
    <w:rsid w:val="002A16BC"/>
    <w:rsid w:val="002A3A97"/>
    <w:rsid w:val="002A67F6"/>
    <w:rsid w:val="002A683C"/>
    <w:rsid w:val="002B2410"/>
    <w:rsid w:val="002B2F5F"/>
    <w:rsid w:val="002B5B47"/>
    <w:rsid w:val="002B77DF"/>
    <w:rsid w:val="002C1CB8"/>
    <w:rsid w:val="002C3D03"/>
    <w:rsid w:val="002C44B4"/>
    <w:rsid w:val="002C5423"/>
    <w:rsid w:val="002D048B"/>
    <w:rsid w:val="002D38AD"/>
    <w:rsid w:val="002D4C9D"/>
    <w:rsid w:val="002D5081"/>
    <w:rsid w:val="002E0281"/>
    <w:rsid w:val="002E071D"/>
    <w:rsid w:val="002E14CB"/>
    <w:rsid w:val="002E1738"/>
    <w:rsid w:val="002E1819"/>
    <w:rsid w:val="002E277D"/>
    <w:rsid w:val="002E471A"/>
    <w:rsid w:val="002E7CD2"/>
    <w:rsid w:val="002F011D"/>
    <w:rsid w:val="002F03DC"/>
    <w:rsid w:val="002F1ADA"/>
    <w:rsid w:val="002F28A5"/>
    <w:rsid w:val="002F2D75"/>
    <w:rsid w:val="002F513B"/>
    <w:rsid w:val="003000F1"/>
    <w:rsid w:val="0030065F"/>
    <w:rsid w:val="00301915"/>
    <w:rsid w:val="00303C49"/>
    <w:rsid w:val="00304699"/>
    <w:rsid w:val="0030593F"/>
    <w:rsid w:val="00311516"/>
    <w:rsid w:val="0031456F"/>
    <w:rsid w:val="0032037E"/>
    <w:rsid w:val="003206C2"/>
    <w:rsid w:val="00321DBA"/>
    <w:rsid w:val="0032482B"/>
    <w:rsid w:val="0032486D"/>
    <w:rsid w:val="0033043A"/>
    <w:rsid w:val="00332826"/>
    <w:rsid w:val="00333CB9"/>
    <w:rsid w:val="00334A1B"/>
    <w:rsid w:val="003400D3"/>
    <w:rsid w:val="0034033C"/>
    <w:rsid w:val="0034613A"/>
    <w:rsid w:val="00347E7B"/>
    <w:rsid w:val="00350B64"/>
    <w:rsid w:val="00351438"/>
    <w:rsid w:val="00352D55"/>
    <w:rsid w:val="003532B2"/>
    <w:rsid w:val="00354228"/>
    <w:rsid w:val="00355FDC"/>
    <w:rsid w:val="0035627C"/>
    <w:rsid w:val="00357AAC"/>
    <w:rsid w:val="0036375E"/>
    <w:rsid w:val="00364DD8"/>
    <w:rsid w:val="00365465"/>
    <w:rsid w:val="003705ED"/>
    <w:rsid w:val="00375DF3"/>
    <w:rsid w:val="0037740D"/>
    <w:rsid w:val="0038100D"/>
    <w:rsid w:val="00381505"/>
    <w:rsid w:val="00381C36"/>
    <w:rsid w:val="00383CEB"/>
    <w:rsid w:val="00383DFA"/>
    <w:rsid w:val="00385162"/>
    <w:rsid w:val="00385A06"/>
    <w:rsid w:val="00387AAF"/>
    <w:rsid w:val="003949DC"/>
    <w:rsid w:val="00394F1E"/>
    <w:rsid w:val="003A29EC"/>
    <w:rsid w:val="003A406F"/>
    <w:rsid w:val="003A44BC"/>
    <w:rsid w:val="003A5FEB"/>
    <w:rsid w:val="003A6BA0"/>
    <w:rsid w:val="003A751A"/>
    <w:rsid w:val="003A7F0F"/>
    <w:rsid w:val="003B050B"/>
    <w:rsid w:val="003B0868"/>
    <w:rsid w:val="003B0D14"/>
    <w:rsid w:val="003B1BF3"/>
    <w:rsid w:val="003B57CF"/>
    <w:rsid w:val="003B7CC0"/>
    <w:rsid w:val="003C0A8C"/>
    <w:rsid w:val="003C389A"/>
    <w:rsid w:val="003C4782"/>
    <w:rsid w:val="003C5154"/>
    <w:rsid w:val="003C6110"/>
    <w:rsid w:val="003C6F05"/>
    <w:rsid w:val="003C7523"/>
    <w:rsid w:val="003D0383"/>
    <w:rsid w:val="003D1689"/>
    <w:rsid w:val="003D3BF2"/>
    <w:rsid w:val="003D4518"/>
    <w:rsid w:val="003D4E6B"/>
    <w:rsid w:val="003D7997"/>
    <w:rsid w:val="003E262E"/>
    <w:rsid w:val="003E5AF9"/>
    <w:rsid w:val="003E7E65"/>
    <w:rsid w:val="003F03DC"/>
    <w:rsid w:val="003F2494"/>
    <w:rsid w:val="003F36BC"/>
    <w:rsid w:val="003F3D9C"/>
    <w:rsid w:val="003F49DC"/>
    <w:rsid w:val="003F520A"/>
    <w:rsid w:val="004001CA"/>
    <w:rsid w:val="00400C1C"/>
    <w:rsid w:val="004011EB"/>
    <w:rsid w:val="00402D1D"/>
    <w:rsid w:val="0040307C"/>
    <w:rsid w:val="004042C6"/>
    <w:rsid w:val="0040545A"/>
    <w:rsid w:val="00407EC7"/>
    <w:rsid w:val="00411D57"/>
    <w:rsid w:val="00412D7C"/>
    <w:rsid w:val="0041415F"/>
    <w:rsid w:val="00415726"/>
    <w:rsid w:val="0041594C"/>
    <w:rsid w:val="00415A3A"/>
    <w:rsid w:val="004176AE"/>
    <w:rsid w:val="004221BE"/>
    <w:rsid w:val="00425866"/>
    <w:rsid w:val="00425E40"/>
    <w:rsid w:val="00426574"/>
    <w:rsid w:val="0043139A"/>
    <w:rsid w:val="00431ACD"/>
    <w:rsid w:val="00432C88"/>
    <w:rsid w:val="004372A7"/>
    <w:rsid w:val="00437517"/>
    <w:rsid w:val="00437CD4"/>
    <w:rsid w:val="00442469"/>
    <w:rsid w:val="004451C1"/>
    <w:rsid w:val="00445FAD"/>
    <w:rsid w:val="00446306"/>
    <w:rsid w:val="00446AC8"/>
    <w:rsid w:val="00446C37"/>
    <w:rsid w:val="00446D97"/>
    <w:rsid w:val="004540C8"/>
    <w:rsid w:val="004569D3"/>
    <w:rsid w:val="00460627"/>
    <w:rsid w:val="00460B08"/>
    <w:rsid w:val="00462D06"/>
    <w:rsid w:val="00463638"/>
    <w:rsid w:val="00463887"/>
    <w:rsid w:val="00464A72"/>
    <w:rsid w:val="00464B92"/>
    <w:rsid w:val="0046564C"/>
    <w:rsid w:val="00465AB0"/>
    <w:rsid w:val="004664E6"/>
    <w:rsid w:val="004671EE"/>
    <w:rsid w:val="00467DDE"/>
    <w:rsid w:val="0047284E"/>
    <w:rsid w:val="00472A8A"/>
    <w:rsid w:val="0047303F"/>
    <w:rsid w:val="004740D9"/>
    <w:rsid w:val="00475241"/>
    <w:rsid w:val="004756AE"/>
    <w:rsid w:val="004804A9"/>
    <w:rsid w:val="004828AF"/>
    <w:rsid w:val="00484509"/>
    <w:rsid w:val="00484808"/>
    <w:rsid w:val="004852CF"/>
    <w:rsid w:val="00491103"/>
    <w:rsid w:val="0049168B"/>
    <w:rsid w:val="00493D81"/>
    <w:rsid w:val="004945D6"/>
    <w:rsid w:val="00495C2A"/>
    <w:rsid w:val="004970D1"/>
    <w:rsid w:val="004A1690"/>
    <w:rsid w:val="004A2F40"/>
    <w:rsid w:val="004A3112"/>
    <w:rsid w:val="004A321B"/>
    <w:rsid w:val="004A3FD8"/>
    <w:rsid w:val="004A4FEB"/>
    <w:rsid w:val="004A6820"/>
    <w:rsid w:val="004A754D"/>
    <w:rsid w:val="004A7AFB"/>
    <w:rsid w:val="004B3EC3"/>
    <w:rsid w:val="004B6B19"/>
    <w:rsid w:val="004C09A5"/>
    <w:rsid w:val="004C1850"/>
    <w:rsid w:val="004C21C0"/>
    <w:rsid w:val="004C268F"/>
    <w:rsid w:val="004C3686"/>
    <w:rsid w:val="004D235A"/>
    <w:rsid w:val="004D333F"/>
    <w:rsid w:val="004D5C25"/>
    <w:rsid w:val="004E03C2"/>
    <w:rsid w:val="004E0A1D"/>
    <w:rsid w:val="004E0B79"/>
    <w:rsid w:val="004E42E5"/>
    <w:rsid w:val="004E5594"/>
    <w:rsid w:val="004E62BE"/>
    <w:rsid w:val="004E653F"/>
    <w:rsid w:val="004F39C1"/>
    <w:rsid w:val="004F6FBE"/>
    <w:rsid w:val="004F748B"/>
    <w:rsid w:val="00500F00"/>
    <w:rsid w:val="00500F9F"/>
    <w:rsid w:val="00505DB1"/>
    <w:rsid w:val="00512B41"/>
    <w:rsid w:val="005136BB"/>
    <w:rsid w:val="00514812"/>
    <w:rsid w:val="005165D4"/>
    <w:rsid w:val="00517BD1"/>
    <w:rsid w:val="00520488"/>
    <w:rsid w:val="00521C83"/>
    <w:rsid w:val="00522E64"/>
    <w:rsid w:val="00523168"/>
    <w:rsid w:val="00523874"/>
    <w:rsid w:val="0052688B"/>
    <w:rsid w:val="0053171B"/>
    <w:rsid w:val="0053620B"/>
    <w:rsid w:val="005369F7"/>
    <w:rsid w:val="00536A05"/>
    <w:rsid w:val="00543D0D"/>
    <w:rsid w:val="00545F4D"/>
    <w:rsid w:val="00546139"/>
    <w:rsid w:val="00553F53"/>
    <w:rsid w:val="0055562C"/>
    <w:rsid w:val="00555D6B"/>
    <w:rsid w:val="00560DC5"/>
    <w:rsid w:val="0056118A"/>
    <w:rsid w:val="0056316E"/>
    <w:rsid w:val="005645E9"/>
    <w:rsid w:val="00566752"/>
    <w:rsid w:val="00566AF3"/>
    <w:rsid w:val="00570E38"/>
    <w:rsid w:val="00571C50"/>
    <w:rsid w:val="0057255D"/>
    <w:rsid w:val="00574E70"/>
    <w:rsid w:val="00575310"/>
    <w:rsid w:val="005778FE"/>
    <w:rsid w:val="00577AAF"/>
    <w:rsid w:val="0058334D"/>
    <w:rsid w:val="00584A17"/>
    <w:rsid w:val="00586DE3"/>
    <w:rsid w:val="00591F55"/>
    <w:rsid w:val="00592BC4"/>
    <w:rsid w:val="00592DEA"/>
    <w:rsid w:val="00593600"/>
    <w:rsid w:val="00595146"/>
    <w:rsid w:val="00597371"/>
    <w:rsid w:val="00597E1B"/>
    <w:rsid w:val="005A17E4"/>
    <w:rsid w:val="005A1CF9"/>
    <w:rsid w:val="005A302B"/>
    <w:rsid w:val="005A337D"/>
    <w:rsid w:val="005A3A79"/>
    <w:rsid w:val="005A5C36"/>
    <w:rsid w:val="005A652C"/>
    <w:rsid w:val="005A7B40"/>
    <w:rsid w:val="005B2812"/>
    <w:rsid w:val="005B7887"/>
    <w:rsid w:val="005C0056"/>
    <w:rsid w:val="005C3763"/>
    <w:rsid w:val="005C674B"/>
    <w:rsid w:val="005C6F16"/>
    <w:rsid w:val="005C7137"/>
    <w:rsid w:val="005D042E"/>
    <w:rsid w:val="005D12F8"/>
    <w:rsid w:val="005D4C00"/>
    <w:rsid w:val="005D584F"/>
    <w:rsid w:val="005E081E"/>
    <w:rsid w:val="005E296A"/>
    <w:rsid w:val="005E667A"/>
    <w:rsid w:val="005F15C5"/>
    <w:rsid w:val="005F1ABC"/>
    <w:rsid w:val="005F1F46"/>
    <w:rsid w:val="005F2ABC"/>
    <w:rsid w:val="005F450A"/>
    <w:rsid w:val="00601589"/>
    <w:rsid w:val="0060158F"/>
    <w:rsid w:val="00601608"/>
    <w:rsid w:val="006018AE"/>
    <w:rsid w:val="00606539"/>
    <w:rsid w:val="006113F4"/>
    <w:rsid w:val="00612516"/>
    <w:rsid w:val="00612572"/>
    <w:rsid w:val="00613D54"/>
    <w:rsid w:val="00613E2B"/>
    <w:rsid w:val="00613FCE"/>
    <w:rsid w:val="00614895"/>
    <w:rsid w:val="00617A10"/>
    <w:rsid w:val="0062371D"/>
    <w:rsid w:val="0062423D"/>
    <w:rsid w:val="006258DE"/>
    <w:rsid w:val="006261B2"/>
    <w:rsid w:val="00627F87"/>
    <w:rsid w:val="00630C76"/>
    <w:rsid w:val="00634E6E"/>
    <w:rsid w:val="00635B54"/>
    <w:rsid w:val="0063751E"/>
    <w:rsid w:val="00643393"/>
    <w:rsid w:val="006454DB"/>
    <w:rsid w:val="00645540"/>
    <w:rsid w:val="006466C2"/>
    <w:rsid w:val="00652AA1"/>
    <w:rsid w:val="00652CDF"/>
    <w:rsid w:val="00653669"/>
    <w:rsid w:val="006540C3"/>
    <w:rsid w:val="0065498B"/>
    <w:rsid w:val="006607D0"/>
    <w:rsid w:val="006608CB"/>
    <w:rsid w:val="00660F6E"/>
    <w:rsid w:val="00662ECF"/>
    <w:rsid w:val="00665C48"/>
    <w:rsid w:val="00666724"/>
    <w:rsid w:val="006668AB"/>
    <w:rsid w:val="00667201"/>
    <w:rsid w:val="0067136B"/>
    <w:rsid w:val="00675633"/>
    <w:rsid w:val="006807CE"/>
    <w:rsid w:val="00682C72"/>
    <w:rsid w:val="00684A9E"/>
    <w:rsid w:val="0068654A"/>
    <w:rsid w:val="006901EC"/>
    <w:rsid w:val="006912E1"/>
    <w:rsid w:val="006920C7"/>
    <w:rsid w:val="00692CE2"/>
    <w:rsid w:val="00692DC0"/>
    <w:rsid w:val="006943D8"/>
    <w:rsid w:val="00695A07"/>
    <w:rsid w:val="006A21ED"/>
    <w:rsid w:val="006A49D3"/>
    <w:rsid w:val="006A4F3F"/>
    <w:rsid w:val="006B2D6F"/>
    <w:rsid w:val="006B43DE"/>
    <w:rsid w:val="006B538C"/>
    <w:rsid w:val="006B5B13"/>
    <w:rsid w:val="006B6082"/>
    <w:rsid w:val="006C03CF"/>
    <w:rsid w:val="006C2090"/>
    <w:rsid w:val="006C2A56"/>
    <w:rsid w:val="006C2B53"/>
    <w:rsid w:val="006C3862"/>
    <w:rsid w:val="006C4750"/>
    <w:rsid w:val="006C47C5"/>
    <w:rsid w:val="006C5A62"/>
    <w:rsid w:val="006C5D04"/>
    <w:rsid w:val="006D0FD1"/>
    <w:rsid w:val="006D560F"/>
    <w:rsid w:val="006D720B"/>
    <w:rsid w:val="006D7DEB"/>
    <w:rsid w:val="006E0506"/>
    <w:rsid w:val="006E0911"/>
    <w:rsid w:val="006E1D71"/>
    <w:rsid w:val="006E3270"/>
    <w:rsid w:val="006E5C34"/>
    <w:rsid w:val="006F0156"/>
    <w:rsid w:val="006F0722"/>
    <w:rsid w:val="006F0F15"/>
    <w:rsid w:val="006F2636"/>
    <w:rsid w:val="006F3F45"/>
    <w:rsid w:val="006F6042"/>
    <w:rsid w:val="006F6B0C"/>
    <w:rsid w:val="0070097D"/>
    <w:rsid w:val="0070247C"/>
    <w:rsid w:val="0070346B"/>
    <w:rsid w:val="0070551A"/>
    <w:rsid w:val="00705EEA"/>
    <w:rsid w:val="00705F8B"/>
    <w:rsid w:val="00707C3C"/>
    <w:rsid w:val="00710694"/>
    <w:rsid w:val="00710FB2"/>
    <w:rsid w:val="00713E15"/>
    <w:rsid w:val="00714445"/>
    <w:rsid w:val="00717629"/>
    <w:rsid w:val="00720C62"/>
    <w:rsid w:val="00721752"/>
    <w:rsid w:val="00727678"/>
    <w:rsid w:val="007302CF"/>
    <w:rsid w:val="00731547"/>
    <w:rsid w:val="007329A5"/>
    <w:rsid w:val="00732F29"/>
    <w:rsid w:val="00733801"/>
    <w:rsid w:val="007353FA"/>
    <w:rsid w:val="00736E68"/>
    <w:rsid w:val="0073715B"/>
    <w:rsid w:val="00741229"/>
    <w:rsid w:val="00745A7F"/>
    <w:rsid w:val="00750EA9"/>
    <w:rsid w:val="00752034"/>
    <w:rsid w:val="00752566"/>
    <w:rsid w:val="00752DCA"/>
    <w:rsid w:val="00753C83"/>
    <w:rsid w:val="00755A65"/>
    <w:rsid w:val="00755D74"/>
    <w:rsid w:val="00761173"/>
    <w:rsid w:val="00762908"/>
    <w:rsid w:val="00763AA3"/>
    <w:rsid w:val="007659E4"/>
    <w:rsid w:val="00766A89"/>
    <w:rsid w:val="0077011A"/>
    <w:rsid w:val="00770E4C"/>
    <w:rsid w:val="00771F21"/>
    <w:rsid w:val="00773169"/>
    <w:rsid w:val="007738CA"/>
    <w:rsid w:val="007754B2"/>
    <w:rsid w:val="0077566F"/>
    <w:rsid w:val="00776245"/>
    <w:rsid w:val="007770DD"/>
    <w:rsid w:val="00782D23"/>
    <w:rsid w:val="007870FC"/>
    <w:rsid w:val="00793DAD"/>
    <w:rsid w:val="007955ED"/>
    <w:rsid w:val="0079561E"/>
    <w:rsid w:val="00797EAA"/>
    <w:rsid w:val="00797F37"/>
    <w:rsid w:val="007A2366"/>
    <w:rsid w:val="007A3830"/>
    <w:rsid w:val="007A716A"/>
    <w:rsid w:val="007A7624"/>
    <w:rsid w:val="007B0C3B"/>
    <w:rsid w:val="007B1878"/>
    <w:rsid w:val="007B1C9E"/>
    <w:rsid w:val="007B332A"/>
    <w:rsid w:val="007B3A5E"/>
    <w:rsid w:val="007B4347"/>
    <w:rsid w:val="007B7AD3"/>
    <w:rsid w:val="007C000C"/>
    <w:rsid w:val="007C3FE9"/>
    <w:rsid w:val="007C482D"/>
    <w:rsid w:val="007C66C8"/>
    <w:rsid w:val="007C6FDD"/>
    <w:rsid w:val="007C7304"/>
    <w:rsid w:val="007C7813"/>
    <w:rsid w:val="007D3E2B"/>
    <w:rsid w:val="007D4446"/>
    <w:rsid w:val="007D5E9A"/>
    <w:rsid w:val="007D7918"/>
    <w:rsid w:val="007E36AD"/>
    <w:rsid w:val="007E4441"/>
    <w:rsid w:val="007E5597"/>
    <w:rsid w:val="007E7A6E"/>
    <w:rsid w:val="007E7DC9"/>
    <w:rsid w:val="007F022E"/>
    <w:rsid w:val="007F13BF"/>
    <w:rsid w:val="007F14E7"/>
    <w:rsid w:val="007F2357"/>
    <w:rsid w:val="007F3CD5"/>
    <w:rsid w:val="007F4133"/>
    <w:rsid w:val="007F57B3"/>
    <w:rsid w:val="007F5F72"/>
    <w:rsid w:val="00800EC7"/>
    <w:rsid w:val="008013B9"/>
    <w:rsid w:val="00801B88"/>
    <w:rsid w:val="0081155F"/>
    <w:rsid w:val="00813266"/>
    <w:rsid w:val="00813A7A"/>
    <w:rsid w:val="00815066"/>
    <w:rsid w:val="00817731"/>
    <w:rsid w:val="008207C4"/>
    <w:rsid w:val="008216B4"/>
    <w:rsid w:val="0082404D"/>
    <w:rsid w:val="00825169"/>
    <w:rsid w:val="008276C7"/>
    <w:rsid w:val="00831F1A"/>
    <w:rsid w:val="0083236A"/>
    <w:rsid w:val="008355C1"/>
    <w:rsid w:val="00836F94"/>
    <w:rsid w:val="008406A0"/>
    <w:rsid w:val="00840713"/>
    <w:rsid w:val="008412C8"/>
    <w:rsid w:val="008412E1"/>
    <w:rsid w:val="00841CEF"/>
    <w:rsid w:val="008425A5"/>
    <w:rsid w:val="00842C3D"/>
    <w:rsid w:val="00843044"/>
    <w:rsid w:val="008440B5"/>
    <w:rsid w:val="00844469"/>
    <w:rsid w:val="00846514"/>
    <w:rsid w:val="00846AD2"/>
    <w:rsid w:val="00846F63"/>
    <w:rsid w:val="0085145F"/>
    <w:rsid w:val="00852735"/>
    <w:rsid w:val="0085402B"/>
    <w:rsid w:val="00854DAE"/>
    <w:rsid w:val="00854F47"/>
    <w:rsid w:val="00861A20"/>
    <w:rsid w:val="00861E9A"/>
    <w:rsid w:val="00861FCB"/>
    <w:rsid w:val="00862B8B"/>
    <w:rsid w:val="00864DA7"/>
    <w:rsid w:val="00870EEC"/>
    <w:rsid w:val="00873452"/>
    <w:rsid w:val="00875CEA"/>
    <w:rsid w:val="00881FF4"/>
    <w:rsid w:val="00883FD6"/>
    <w:rsid w:val="00884011"/>
    <w:rsid w:val="00885981"/>
    <w:rsid w:val="00886FAC"/>
    <w:rsid w:val="0088790C"/>
    <w:rsid w:val="00892F63"/>
    <w:rsid w:val="00894783"/>
    <w:rsid w:val="008A2DFA"/>
    <w:rsid w:val="008A341D"/>
    <w:rsid w:val="008A3636"/>
    <w:rsid w:val="008A5844"/>
    <w:rsid w:val="008A5881"/>
    <w:rsid w:val="008B0595"/>
    <w:rsid w:val="008B0B3E"/>
    <w:rsid w:val="008B0C59"/>
    <w:rsid w:val="008B1502"/>
    <w:rsid w:val="008B1B3D"/>
    <w:rsid w:val="008B3BE5"/>
    <w:rsid w:val="008B644B"/>
    <w:rsid w:val="008B7115"/>
    <w:rsid w:val="008B7C75"/>
    <w:rsid w:val="008C1C1D"/>
    <w:rsid w:val="008C3530"/>
    <w:rsid w:val="008C3A28"/>
    <w:rsid w:val="008C51E9"/>
    <w:rsid w:val="008C6056"/>
    <w:rsid w:val="008C6A68"/>
    <w:rsid w:val="008D0B85"/>
    <w:rsid w:val="008D38E1"/>
    <w:rsid w:val="008D4900"/>
    <w:rsid w:val="008D559B"/>
    <w:rsid w:val="008D63FC"/>
    <w:rsid w:val="008D7D4B"/>
    <w:rsid w:val="008D7D98"/>
    <w:rsid w:val="008E38A8"/>
    <w:rsid w:val="008E6645"/>
    <w:rsid w:val="008F1C88"/>
    <w:rsid w:val="008F201C"/>
    <w:rsid w:val="008F2FBA"/>
    <w:rsid w:val="008F605F"/>
    <w:rsid w:val="008F63B1"/>
    <w:rsid w:val="00901560"/>
    <w:rsid w:val="00902669"/>
    <w:rsid w:val="0090417B"/>
    <w:rsid w:val="009043D3"/>
    <w:rsid w:val="00905FE6"/>
    <w:rsid w:val="0091437B"/>
    <w:rsid w:val="0091723C"/>
    <w:rsid w:val="009174CA"/>
    <w:rsid w:val="00917AC5"/>
    <w:rsid w:val="009228AD"/>
    <w:rsid w:val="00922AF9"/>
    <w:rsid w:val="00926B00"/>
    <w:rsid w:val="00930440"/>
    <w:rsid w:val="00931A44"/>
    <w:rsid w:val="00931F92"/>
    <w:rsid w:val="00932E67"/>
    <w:rsid w:val="00933226"/>
    <w:rsid w:val="00933AEB"/>
    <w:rsid w:val="0094019A"/>
    <w:rsid w:val="009450B7"/>
    <w:rsid w:val="00946672"/>
    <w:rsid w:val="00950A7F"/>
    <w:rsid w:val="00951630"/>
    <w:rsid w:val="00951A04"/>
    <w:rsid w:val="0095506A"/>
    <w:rsid w:val="00956EA8"/>
    <w:rsid w:val="009573F5"/>
    <w:rsid w:val="00960CD5"/>
    <w:rsid w:val="009653E4"/>
    <w:rsid w:val="009655FD"/>
    <w:rsid w:val="00966D46"/>
    <w:rsid w:val="00967707"/>
    <w:rsid w:val="009678FF"/>
    <w:rsid w:val="00967F37"/>
    <w:rsid w:val="00974391"/>
    <w:rsid w:val="00976F9D"/>
    <w:rsid w:val="009776C9"/>
    <w:rsid w:val="0098306C"/>
    <w:rsid w:val="00983CD2"/>
    <w:rsid w:val="00984C0D"/>
    <w:rsid w:val="00987E74"/>
    <w:rsid w:val="009912A3"/>
    <w:rsid w:val="00991466"/>
    <w:rsid w:val="00991F02"/>
    <w:rsid w:val="0099320F"/>
    <w:rsid w:val="009935EC"/>
    <w:rsid w:val="0099398A"/>
    <w:rsid w:val="009953CB"/>
    <w:rsid w:val="00995F85"/>
    <w:rsid w:val="0099621F"/>
    <w:rsid w:val="009A3BF1"/>
    <w:rsid w:val="009A5098"/>
    <w:rsid w:val="009A7563"/>
    <w:rsid w:val="009B0C07"/>
    <w:rsid w:val="009B6DFB"/>
    <w:rsid w:val="009C1044"/>
    <w:rsid w:val="009C28CA"/>
    <w:rsid w:val="009C39BE"/>
    <w:rsid w:val="009C4B1B"/>
    <w:rsid w:val="009C61B5"/>
    <w:rsid w:val="009C7471"/>
    <w:rsid w:val="009D125E"/>
    <w:rsid w:val="009D13BF"/>
    <w:rsid w:val="009D1886"/>
    <w:rsid w:val="009D2562"/>
    <w:rsid w:val="009E15DD"/>
    <w:rsid w:val="009E38CD"/>
    <w:rsid w:val="009F0848"/>
    <w:rsid w:val="009F0D8A"/>
    <w:rsid w:val="009F2CD1"/>
    <w:rsid w:val="009F4655"/>
    <w:rsid w:val="009F5401"/>
    <w:rsid w:val="00A02935"/>
    <w:rsid w:val="00A07177"/>
    <w:rsid w:val="00A1156F"/>
    <w:rsid w:val="00A11B2A"/>
    <w:rsid w:val="00A15743"/>
    <w:rsid w:val="00A16E65"/>
    <w:rsid w:val="00A23AC5"/>
    <w:rsid w:val="00A254E2"/>
    <w:rsid w:val="00A279CB"/>
    <w:rsid w:val="00A3096D"/>
    <w:rsid w:val="00A32855"/>
    <w:rsid w:val="00A32A01"/>
    <w:rsid w:val="00A32CBD"/>
    <w:rsid w:val="00A34309"/>
    <w:rsid w:val="00A357BD"/>
    <w:rsid w:val="00A364DE"/>
    <w:rsid w:val="00A3679C"/>
    <w:rsid w:val="00A44521"/>
    <w:rsid w:val="00A454BA"/>
    <w:rsid w:val="00A47427"/>
    <w:rsid w:val="00A504A0"/>
    <w:rsid w:val="00A525A2"/>
    <w:rsid w:val="00A53C27"/>
    <w:rsid w:val="00A555DB"/>
    <w:rsid w:val="00A558B9"/>
    <w:rsid w:val="00A56244"/>
    <w:rsid w:val="00A565C6"/>
    <w:rsid w:val="00A56821"/>
    <w:rsid w:val="00A56EDA"/>
    <w:rsid w:val="00A57A6F"/>
    <w:rsid w:val="00A60949"/>
    <w:rsid w:val="00A64655"/>
    <w:rsid w:val="00A653F4"/>
    <w:rsid w:val="00A67E60"/>
    <w:rsid w:val="00A766F3"/>
    <w:rsid w:val="00A80CE2"/>
    <w:rsid w:val="00A83EAE"/>
    <w:rsid w:val="00A84956"/>
    <w:rsid w:val="00A85D4B"/>
    <w:rsid w:val="00A868E7"/>
    <w:rsid w:val="00A90D5A"/>
    <w:rsid w:val="00A95B3B"/>
    <w:rsid w:val="00A9680F"/>
    <w:rsid w:val="00A96DE4"/>
    <w:rsid w:val="00A978DB"/>
    <w:rsid w:val="00AA0879"/>
    <w:rsid w:val="00AA13F5"/>
    <w:rsid w:val="00AA187B"/>
    <w:rsid w:val="00AA2D3B"/>
    <w:rsid w:val="00AA4793"/>
    <w:rsid w:val="00AA4A22"/>
    <w:rsid w:val="00AA56AF"/>
    <w:rsid w:val="00AA7B61"/>
    <w:rsid w:val="00AB0456"/>
    <w:rsid w:val="00AB0999"/>
    <w:rsid w:val="00AB0CA6"/>
    <w:rsid w:val="00AB3147"/>
    <w:rsid w:val="00AB47BB"/>
    <w:rsid w:val="00AB4D66"/>
    <w:rsid w:val="00AB5B50"/>
    <w:rsid w:val="00AB6EF3"/>
    <w:rsid w:val="00AC0B8D"/>
    <w:rsid w:val="00AC1535"/>
    <w:rsid w:val="00AC2083"/>
    <w:rsid w:val="00AC23B7"/>
    <w:rsid w:val="00AC2C97"/>
    <w:rsid w:val="00AC2EA2"/>
    <w:rsid w:val="00AC6BFA"/>
    <w:rsid w:val="00AD0984"/>
    <w:rsid w:val="00AD3FAC"/>
    <w:rsid w:val="00AD7C2C"/>
    <w:rsid w:val="00AD7D85"/>
    <w:rsid w:val="00AE4F42"/>
    <w:rsid w:val="00AE6FC1"/>
    <w:rsid w:val="00AF0700"/>
    <w:rsid w:val="00AF238D"/>
    <w:rsid w:val="00AF2F24"/>
    <w:rsid w:val="00AF3B8A"/>
    <w:rsid w:val="00AF47AF"/>
    <w:rsid w:val="00AF69D5"/>
    <w:rsid w:val="00AF71E7"/>
    <w:rsid w:val="00AF74E7"/>
    <w:rsid w:val="00B01151"/>
    <w:rsid w:val="00B0128F"/>
    <w:rsid w:val="00B02AC0"/>
    <w:rsid w:val="00B063A6"/>
    <w:rsid w:val="00B07BD5"/>
    <w:rsid w:val="00B112C0"/>
    <w:rsid w:val="00B11BB5"/>
    <w:rsid w:val="00B12EC9"/>
    <w:rsid w:val="00B145CA"/>
    <w:rsid w:val="00B16914"/>
    <w:rsid w:val="00B17539"/>
    <w:rsid w:val="00B210B0"/>
    <w:rsid w:val="00B21D28"/>
    <w:rsid w:val="00B232ED"/>
    <w:rsid w:val="00B25C4A"/>
    <w:rsid w:val="00B260A5"/>
    <w:rsid w:val="00B30483"/>
    <w:rsid w:val="00B30521"/>
    <w:rsid w:val="00B30E0B"/>
    <w:rsid w:val="00B3128C"/>
    <w:rsid w:val="00B31659"/>
    <w:rsid w:val="00B33C88"/>
    <w:rsid w:val="00B35E22"/>
    <w:rsid w:val="00B43C21"/>
    <w:rsid w:val="00B43E3B"/>
    <w:rsid w:val="00B45B45"/>
    <w:rsid w:val="00B501BB"/>
    <w:rsid w:val="00B50AF4"/>
    <w:rsid w:val="00B50E37"/>
    <w:rsid w:val="00B53B79"/>
    <w:rsid w:val="00B57E69"/>
    <w:rsid w:val="00B66385"/>
    <w:rsid w:val="00B666EA"/>
    <w:rsid w:val="00B67FC4"/>
    <w:rsid w:val="00B708EE"/>
    <w:rsid w:val="00B7139C"/>
    <w:rsid w:val="00B749BF"/>
    <w:rsid w:val="00B7532C"/>
    <w:rsid w:val="00B758BA"/>
    <w:rsid w:val="00B76A2A"/>
    <w:rsid w:val="00B80184"/>
    <w:rsid w:val="00B81D24"/>
    <w:rsid w:val="00B838FC"/>
    <w:rsid w:val="00B8443B"/>
    <w:rsid w:val="00B84A02"/>
    <w:rsid w:val="00B865CC"/>
    <w:rsid w:val="00B86798"/>
    <w:rsid w:val="00B87474"/>
    <w:rsid w:val="00B9224A"/>
    <w:rsid w:val="00B950BB"/>
    <w:rsid w:val="00B9568C"/>
    <w:rsid w:val="00BA2D18"/>
    <w:rsid w:val="00BA3337"/>
    <w:rsid w:val="00BA4565"/>
    <w:rsid w:val="00BA63D0"/>
    <w:rsid w:val="00BB0418"/>
    <w:rsid w:val="00BB0D1B"/>
    <w:rsid w:val="00BB170D"/>
    <w:rsid w:val="00BB4CDC"/>
    <w:rsid w:val="00BB5B24"/>
    <w:rsid w:val="00BB5B9A"/>
    <w:rsid w:val="00BC00E2"/>
    <w:rsid w:val="00BC199A"/>
    <w:rsid w:val="00BC207A"/>
    <w:rsid w:val="00BC462E"/>
    <w:rsid w:val="00BC49C1"/>
    <w:rsid w:val="00BC5794"/>
    <w:rsid w:val="00BC6188"/>
    <w:rsid w:val="00BC63A2"/>
    <w:rsid w:val="00BC671B"/>
    <w:rsid w:val="00BD003D"/>
    <w:rsid w:val="00BD05A6"/>
    <w:rsid w:val="00BD2CCB"/>
    <w:rsid w:val="00BD3C9A"/>
    <w:rsid w:val="00BE00F8"/>
    <w:rsid w:val="00BE23E2"/>
    <w:rsid w:val="00BE25BC"/>
    <w:rsid w:val="00BE2A26"/>
    <w:rsid w:val="00BE4538"/>
    <w:rsid w:val="00BE51E3"/>
    <w:rsid w:val="00BE674E"/>
    <w:rsid w:val="00BE739E"/>
    <w:rsid w:val="00BE78B6"/>
    <w:rsid w:val="00BE7EDD"/>
    <w:rsid w:val="00BF17E2"/>
    <w:rsid w:val="00BF245E"/>
    <w:rsid w:val="00BF2A6F"/>
    <w:rsid w:val="00BF6500"/>
    <w:rsid w:val="00BF6554"/>
    <w:rsid w:val="00C01BCA"/>
    <w:rsid w:val="00C03D1D"/>
    <w:rsid w:val="00C0434E"/>
    <w:rsid w:val="00C103E2"/>
    <w:rsid w:val="00C122FD"/>
    <w:rsid w:val="00C12CDD"/>
    <w:rsid w:val="00C157BA"/>
    <w:rsid w:val="00C201AD"/>
    <w:rsid w:val="00C210C8"/>
    <w:rsid w:val="00C247B1"/>
    <w:rsid w:val="00C25A6E"/>
    <w:rsid w:val="00C267B7"/>
    <w:rsid w:val="00C2735D"/>
    <w:rsid w:val="00C3048C"/>
    <w:rsid w:val="00C3755D"/>
    <w:rsid w:val="00C40F2B"/>
    <w:rsid w:val="00C43A8E"/>
    <w:rsid w:val="00C4710E"/>
    <w:rsid w:val="00C50496"/>
    <w:rsid w:val="00C507A7"/>
    <w:rsid w:val="00C511D1"/>
    <w:rsid w:val="00C513B0"/>
    <w:rsid w:val="00C51478"/>
    <w:rsid w:val="00C52514"/>
    <w:rsid w:val="00C5511E"/>
    <w:rsid w:val="00C5697D"/>
    <w:rsid w:val="00C56B67"/>
    <w:rsid w:val="00C57CE3"/>
    <w:rsid w:val="00C62150"/>
    <w:rsid w:val="00C625D2"/>
    <w:rsid w:val="00C66B96"/>
    <w:rsid w:val="00C66D82"/>
    <w:rsid w:val="00C67B1A"/>
    <w:rsid w:val="00C73370"/>
    <w:rsid w:val="00C736C4"/>
    <w:rsid w:val="00C764DF"/>
    <w:rsid w:val="00C77884"/>
    <w:rsid w:val="00C8163F"/>
    <w:rsid w:val="00C82DE6"/>
    <w:rsid w:val="00C82E7A"/>
    <w:rsid w:val="00C87BBE"/>
    <w:rsid w:val="00C931A2"/>
    <w:rsid w:val="00C967E5"/>
    <w:rsid w:val="00CA2845"/>
    <w:rsid w:val="00CA399B"/>
    <w:rsid w:val="00CA4C11"/>
    <w:rsid w:val="00CB0ECB"/>
    <w:rsid w:val="00CC2965"/>
    <w:rsid w:val="00CC448A"/>
    <w:rsid w:val="00CC4AAC"/>
    <w:rsid w:val="00CC6951"/>
    <w:rsid w:val="00CC70DE"/>
    <w:rsid w:val="00CD03A0"/>
    <w:rsid w:val="00CD1251"/>
    <w:rsid w:val="00CD1588"/>
    <w:rsid w:val="00CD3D68"/>
    <w:rsid w:val="00CD3D7C"/>
    <w:rsid w:val="00CD5DD6"/>
    <w:rsid w:val="00CD6D6B"/>
    <w:rsid w:val="00CD6D82"/>
    <w:rsid w:val="00CE15B2"/>
    <w:rsid w:val="00CE44C0"/>
    <w:rsid w:val="00CE541D"/>
    <w:rsid w:val="00CE7F9A"/>
    <w:rsid w:val="00CE7FFC"/>
    <w:rsid w:val="00CF250B"/>
    <w:rsid w:val="00CF6EF7"/>
    <w:rsid w:val="00CF769A"/>
    <w:rsid w:val="00D00273"/>
    <w:rsid w:val="00D01B2F"/>
    <w:rsid w:val="00D01D8C"/>
    <w:rsid w:val="00D03AB3"/>
    <w:rsid w:val="00D06A0E"/>
    <w:rsid w:val="00D06E87"/>
    <w:rsid w:val="00D078C5"/>
    <w:rsid w:val="00D07EDD"/>
    <w:rsid w:val="00D10118"/>
    <w:rsid w:val="00D11F7E"/>
    <w:rsid w:val="00D138F0"/>
    <w:rsid w:val="00D14AFF"/>
    <w:rsid w:val="00D17C7D"/>
    <w:rsid w:val="00D17D98"/>
    <w:rsid w:val="00D21094"/>
    <w:rsid w:val="00D21481"/>
    <w:rsid w:val="00D2316E"/>
    <w:rsid w:val="00D237B8"/>
    <w:rsid w:val="00D24E58"/>
    <w:rsid w:val="00D30BBB"/>
    <w:rsid w:val="00D31C79"/>
    <w:rsid w:val="00D3348B"/>
    <w:rsid w:val="00D362A5"/>
    <w:rsid w:val="00D36498"/>
    <w:rsid w:val="00D36BBF"/>
    <w:rsid w:val="00D42FE2"/>
    <w:rsid w:val="00D449A8"/>
    <w:rsid w:val="00D47BC8"/>
    <w:rsid w:val="00D50058"/>
    <w:rsid w:val="00D51221"/>
    <w:rsid w:val="00D53840"/>
    <w:rsid w:val="00D541C5"/>
    <w:rsid w:val="00D5555B"/>
    <w:rsid w:val="00D5655D"/>
    <w:rsid w:val="00D56D7A"/>
    <w:rsid w:val="00D57BC5"/>
    <w:rsid w:val="00D60B06"/>
    <w:rsid w:val="00D66585"/>
    <w:rsid w:val="00D71B19"/>
    <w:rsid w:val="00D725BC"/>
    <w:rsid w:val="00D750AD"/>
    <w:rsid w:val="00D75BF5"/>
    <w:rsid w:val="00D75CC9"/>
    <w:rsid w:val="00D840DB"/>
    <w:rsid w:val="00D85DE7"/>
    <w:rsid w:val="00D86A00"/>
    <w:rsid w:val="00D86E8D"/>
    <w:rsid w:val="00D9355A"/>
    <w:rsid w:val="00D93E53"/>
    <w:rsid w:val="00D93FCB"/>
    <w:rsid w:val="00D965FC"/>
    <w:rsid w:val="00D97F8E"/>
    <w:rsid w:val="00DA025B"/>
    <w:rsid w:val="00DA03BA"/>
    <w:rsid w:val="00DA1604"/>
    <w:rsid w:val="00DA16FE"/>
    <w:rsid w:val="00DA29D3"/>
    <w:rsid w:val="00DA2EDB"/>
    <w:rsid w:val="00DA3DC4"/>
    <w:rsid w:val="00DA47B3"/>
    <w:rsid w:val="00DA5177"/>
    <w:rsid w:val="00DB13BA"/>
    <w:rsid w:val="00DB4928"/>
    <w:rsid w:val="00DB5135"/>
    <w:rsid w:val="00DB560F"/>
    <w:rsid w:val="00DB6D5D"/>
    <w:rsid w:val="00DB6E76"/>
    <w:rsid w:val="00DC1115"/>
    <w:rsid w:val="00DC4B38"/>
    <w:rsid w:val="00DC7131"/>
    <w:rsid w:val="00DD3488"/>
    <w:rsid w:val="00DD3DC9"/>
    <w:rsid w:val="00DE21C9"/>
    <w:rsid w:val="00DE2F28"/>
    <w:rsid w:val="00DE3161"/>
    <w:rsid w:val="00DE346B"/>
    <w:rsid w:val="00DE50F7"/>
    <w:rsid w:val="00DF1737"/>
    <w:rsid w:val="00DF3F04"/>
    <w:rsid w:val="00DF663A"/>
    <w:rsid w:val="00DF6822"/>
    <w:rsid w:val="00DF7281"/>
    <w:rsid w:val="00DF7BE5"/>
    <w:rsid w:val="00E062DD"/>
    <w:rsid w:val="00E06686"/>
    <w:rsid w:val="00E07D35"/>
    <w:rsid w:val="00E1152E"/>
    <w:rsid w:val="00E12595"/>
    <w:rsid w:val="00E1259B"/>
    <w:rsid w:val="00E12869"/>
    <w:rsid w:val="00E1295F"/>
    <w:rsid w:val="00E13E3D"/>
    <w:rsid w:val="00E15F6F"/>
    <w:rsid w:val="00E1673D"/>
    <w:rsid w:val="00E16C5B"/>
    <w:rsid w:val="00E17205"/>
    <w:rsid w:val="00E17259"/>
    <w:rsid w:val="00E17686"/>
    <w:rsid w:val="00E21134"/>
    <w:rsid w:val="00E218F6"/>
    <w:rsid w:val="00E21958"/>
    <w:rsid w:val="00E22B6A"/>
    <w:rsid w:val="00E27288"/>
    <w:rsid w:val="00E278A3"/>
    <w:rsid w:val="00E30763"/>
    <w:rsid w:val="00E33031"/>
    <w:rsid w:val="00E33815"/>
    <w:rsid w:val="00E34115"/>
    <w:rsid w:val="00E36012"/>
    <w:rsid w:val="00E3666D"/>
    <w:rsid w:val="00E3678C"/>
    <w:rsid w:val="00E41D00"/>
    <w:rsid w:val="00E42A5A"/>
    <w:rsid w:val="00E44967"/>
    <w:rsid w:val="00E45448"/>
    <w:rsid w:val="00E454A8"/>
    <w:rsid w:val="00E4593F"/>
    <w:rsid w:val="00E45C0C"/>
    <w:rsid w:val="00E47587"/>
    <w:rsid w:val="00E47CDC"/>
    <w:rsid w:val="00E50314"/>
    <w:rsid w:val="00E5079F"/>
    <w:rsid w:val="00E50DA6"/>
    <w:rsid w:val="00E519BC"/>
    <w:rsid w:val="00E54017"/>
    <w:rsid w:val="00E54623"/>
    <w:rsid w:val="00E558E0"/>
    <w:rsid w:val="00E55D68"/>
    <w:rsid w:val="00E55E0F"/>
    <w:rsid w:val="00E561A6"/>
    <w:rsid w:val="00E61E77"/>
    <w:rsid w:val="00E62378"/>
    <w:rsid w:val="00E63067"/>
    <w:rsid w:val="00E632A0"/>
    <w:rsid w:val="00E63B43"/>
    <w:rsid w:val="00E65B1F"/>
    <w:rsid w:val="00E65C23"/>
    <w:rsid w:val="00E65EFE"/>
    <w:rsid w:val="00E66E19"/>
    <w:rsid w:val="00E72561"/>
    <w:rsid w:val="00E74A56"/>
    <w:rsid w:val="00E75AD2"/>
    <w:rsid w:val="00E81691"/>
    <w:rsid w:val="00E81A7A"/>
    <w:rsid w:val="00E82DB5"/>
    <w:rsid w:val="00E84D16"/>
    <w:rsid w:val="00E86C4D"/>
    <w:rsid w:val="00E87E79"/>
    <w:rsid w:val="00E9068C"/>
    <w:rsid w:val="00E91A81"/>
    <w:rsid w:val="00E9298E"/>
    <w:rsid w:val="00E9772D"/>
    <w:rsid w:val="00E9798D"/>
    <w:rsid w:val="00EA02DF"/>
    <w:rsid w:val="00EA0856"/>
    <w:rsid w:val="00EA2887"/>
    <w:rsid w:val="00EA3523"/>
    <w:rsid w:val="00EA3923"/>
    <w:rsid w:val="00EA4365"/>
    <w:rsid w:val="00EA59F7"/>
    <w:rsid w:val="00EA6E78"/>
    <w:rsid w:val="00EB07BF"/>
    <w:rsid w:val="00EB3788"/>
    <w:rsid w:val="00EB40A8"/>
    <w:rsid w:val="00EB4796"/>
    <w:rsid w:val="00EB48DD"/>
    <w:rsid w:val="00EB545D"/>
    <w:rsid w:val="00EB5B16"/>
    <w:rsid w:val="00EB64AF"/>
    <w:rsid w:val="00EB6EA8"/>
    <w:rsid w:val="00EC2C57"/>
    <w:rsid w:val="00EC499D"/>
    <w:rsid w:val="00EC4CBB"/>
    <w:rsid w:val="00EC7F28"/>
    <w:rsid w:val="00ED0F57"/>
    <w:rsid w:val="00ED1B0A"/>
    <w:rsid w:val="00ED343F"/>
    <w:rsid w:val="00ED726A"/>
    <w:rsid w:val="00ED77DD"/>
    <w:rsid w:val="00EE03AE"/>
    <w:rsid w:val="00EE076E"/>
    <w:rsid w:val="00EE0FAB"/>
    <w:rsid w:val="00EE21B9"/>
    <w:rsid w:val="00EE28BB"/>
    <w:rsid w:val="00EE3969"/>
    <w:rsid w:val="00EE3AC3"/>
    <w:rsid w:val="00EE40E2"/>
    <w:rsid w:val="00EE4C00"/>
    <w:rsid w:val="00EE6C99"/>
    <w:rsid w:val="00EE722F"/>
    <w:rsid w:val="00EF0030"/>
    <w:rsid w:val="00EF0FD3"/>
    <w:rsid w:val="00EF3D16"/>
    <w:rsid w:val="00EF4F7C"/>
    <w:rsid w:val="00F003DD"/>
    <w:rsid w:val="00F02F6B"/>
    <w:rsid w:val="00F042CE"/>
    <w:rsid w:val="00F10B6B"/>
    <w:rsid w:val="00F1241D"/>
    <w:rsid w:val="00F151DD"/>
    <w:rsid w:val="00F15E77"/>
    <w:rsid w:val="00F20C7E"/>
    <w:rsid w:val="00F22133"/>
    <w:rsid w:val="00F233A4"/>
    <w:rsid w:val="00F24DA0"/>
    <w:rsid w:val="00F257F6"/>
    <w:rsid w:val="00F27734"/>
    <w:rsid w:val="00F30ABD"/>
    <w:rsid w:val="00F311FC"/>
    <w:rsid w:val="00F329AD"/>
    <w:rsid w:val="00F33A48"/>
    <w:rsid w:val="00F34CB4"/>
    <w:rsid w:val="00F41570"/>
    <w:rsid w:val="00F42703"/>
    <w:rsid w:val="00F42B97"/>
    <w:rsid w:val="00F436BD"/>
    <w:rsid w:val="00F45360"/>
    <w:rsid w:val="00F457A5"/>
    <w:rsid w:val="00F46860"/>
    <w:rsid w:val="00F47DEC"/>
    <w:rsid w:val="00F54BBB"/>
    <w:rsid w:val="00F54DCB"/>
    <w:rsid w:val="00F56A48"/>
    <w:rsid w:val="00F64EF1"/>
    <w:rsid w:val="00F72B5E"/>
    <w:rsid w:val="00F7450E"/>
    <w:rsid w:val="00F75372"/>
    <w:rsid w:val="00F75757"/>
    <w:rsid w:val="00F767F6"/>
    <w:rsid w:val="00F76C3B"/>
    <w:rsid w:val="00F80993"/>
    <w:rsid w:val="00F8599A"/>
    <w:rsid w:val="00F859C4"/>
    <w:rsid w:val="00F85F94"/>
    <w:rsid w:val="00F8666C"/>
    <w:rsid w:val="00F87EBF"/>
    <w:rsid w:val="00F910A7"/>
    <w:rsid w:val="00F94622"/>
    <w:rsid w:val="00F95FA5"/>
    <w:rsid w:val="00F96F9D"/>
    <w:rsid w:val="00FA06F6"/>
    <w:rsid w:val="00FA18F6"/>
    <w:rsid w:val="00FA4059"/>
    <w:rsid w:val="00FA4D33"/>
    <w:rsid w:val="00FA51B4"/>
    <w:rsid w:val="00FA649D"/>
    <w:rsid w:val="00FB3FFB"/>
    <w:rsid w:val="00FB744D"/>
    <w:rsid w:val="00FB78A5"/>
    <w:rsid w:val="00FC1274"/>
    <w:rsid w:val="00FC22E9"/>
    <w:rsid w:val="00FC3DDD"/>
    <w:rsid w:val="00FC58B5"/>
    <w:rsid w:val="00FD090B"/>
    <w:rsid w:val="00FD2711"/>
    <w:rsid w:val="00FD33AC"/>
    <w:rsid w:val="00FD3438"/>
    <w:rsid w:val="00FD344E"/>
    <w:rsid w:val="00FD6216"/>
    <w:rsid w:val="00FD6346"/>
    <w:rsid w:val="00FD7970"/>
    <w:rsid w:val="00FD7B39"/>
    <w:rsid w:val="00FE0856"/>
    <w:rsid w:val="00FE124F"/>
    <w:rsid w:val="00FE2CE0"/>
    <w:rsid w:val="00FE4CF3"/>
    <w:rsid w:val="00FE7DAB"/>
    <w:rsid w:val="00FF2915"/>
    <w:rsid w:val="00FF5F41"/>
    <w:rsid w:val="00FF6211"/>
    <w:rsid w:val="00FF6875"/>
    <w:rsid w:val="00FF6E31"/>
    <w:rsid w:val="00FF7C76"/>
    <w:rsid w:val="0126DD32"/>
    <w:rsid w:val="01BA81D3"/>
    <w:rsid w:val="023A7C74"/>
    <w:rsid w:val="036DCCED"/>
    <w:rsid w:val="04278893"/>
    <w:rsid w:val="07918E8B"/>
    <w:rsid w:val="07973F0D"/>
    <w:rsid w:val="07D4FA1B"/>
    <w:rsid w:val="0903F258"/>
    <w:rsid w:val="09F64F71"/>
    <w:rsid w:val="0A8CC45E"/>
    <w:rsid w:val="0B0D1359"/>
    <w:rsid w:val="0D31D0EE"/>
    <w:rsid w:val="0DBB43E3"/>
    <w:rsid w:val="0E5075B5"/>
    <w:rsid w:val="0EA67986"/>
    <w:rsid w:val="0EAD5092"/>
    <w:rsid w:val="0F10711F"/>
    <w:rsid w:val="0F63855F"/>
    <w:rsid w:val="10A793A7"/>
    <w:rsid w:val="10DB8760"/>
    <w:rsid w:val="11FEE37F"/>
    <w:rsid w:val="13A90189"/>
    <w:rsid w:val="14096020"/>
    <w:rsid w:val="150C1FE8"/>
    <w:rsid w:val="1538ACA4"/>
    <w:rsid w:val="156C6AF9"/>
    <w:rsid w:val="16016865"/>
    <w:rsid w:val="1618971A"/>
    <w:rsid w:val="167B8D07"/>
    <w:rsid w:val="17132659"/>
    <w:rsid w:val="1719BBE7"/>
    <w:rsid w:val="171C1FE6"/>
    <w:rsid w:val="17653FE4"/>
    <w:rsid w:val="1812A268"/>
    <w:rsid w:val="19ACA96F"/>
    <w:rsid w:val="1A03AF06"/>
    <w:rsid w:val="1BF936CB"/>
    <w:rsid w:val="1CB3F96E"/>
    <w:rsid w:val="1D0BEFE7"/>
    <w:rsid w:val="1D2E2ED1"/>
    <w:rsid w:val="1DB20352"/>
    <w:rsid w:val="1FC45B9F"/>
    <w:rsid w:val="1FDB6250"/>
    <w:rsid w:val="2054C416"/>
    <w:rsid w:val="205BAA1E"/>
    <w:rsid w:val="20F98B5F"/>
    <w:rsid w:val="2120F1B1"/>
    <w:rsid w:val="245611FF"/>
    <w:rsid w:val="249C3041"/>
    <w:rsid w:val="24CFD1A5"/>
    <w:rsid w:val="2553BB29"/>
    <w:rsid w:val="25AC22D6"/>
    <w:rsid w:val="26306D43"/>
    <w:rsid w:val="263F0FC2"/>
    <w:rsid w:val="263FE3F0"/>
    <w:rsid w:val="27D700DC"/>
    <w:rsid w:val="27E3D819"/>
    <w:rsid w:val="2902CC7A"/>
    <w:rsid w:val="292F5BD9"/>
    <w:rsid w:val="2935C395"/>
    <w:rsid w:val="29629CF3"/>
    <w:rsid w:val="29F759D1"/>
    <w:rsid w:val="2ACD03BC"/>
    <w:rsid w:val="2C39C50F"/>
    <w:rsid w:val="2D01C3BC"/>
    <w:rsid w:val="2E15F936"/>
    <w:rsid w:val="2EBE0454"/>
    <w:rsid w:val="2EBEA2C0"/>
    <w:rsid w:val="2F1B0B77"/>
    <w:rsid w:val="2F7A8912"/>
    <w:rsid w:val="2FC1D4C4"/>
    <w:rsid w:val="3015339A"/>
    <w:rsid w:val="3025F9B6"/>
    <w:rsid w:val="307038EE"/>
    <w:rsid w:val="30B1CE95"/>
    <w:rsid w:val="30BD7BBB"/>
    <w:rsid w:val="315C1EC0"/>
    <w:rsid w:val="318558AA"/>
    <w:rsid w:val="31E6C2CE"/>
    <w:rsid w:val="3219DE85"/>
    <w:rsid w:val="32AE3E89"/>
    <w:rsid w:val="32D0248A"/>
    <w:rsid w:val="33B1A3C0"/>
    <w:rsid w:val="340F307F"/>
    <w:rsid w:val="34DEDBCC"/>
    <w:rsid w:val="34E06969"/>
    <w:rsid w:val="354F015A"/>
    <w:rsid w:val="35616D09"/>
    <w:rsid w:val="3763F322"/>
    <w:rsid w:val="3807D52B"/>
    <w:rsid w:val="38A75A07"/>
    <w:rsid w:val="39353768"/>
    <w:rsid w:val="395302E3"/>
    <w:rsid w:val="3AFF2499"/>
    <w:rsid w:val="3B54E4A0"/>
    <w:rsid w:val="3C8D5FDF"/>
    <w:rsid w:val="3CC793D2"/>
    <w:rsid w:val="3D759560"/>
    <w:rsid w:val="3E403999"/>
    <w:rsid w:val="3E924CDC"/>
    <w:rsid w:val="3F211A54"/>
    <w:rsid w:val="3FA07308"/>
    <w:rsid w:val="3FAC8474"/>
    <w:rsid w:val="4070D6E7"/>
    <w:rsid w:val="40D191BF"/>
    <w:rsid w:val="40F57CBF"/>
    <w:rsid w:val="41B59B73"/>
    <w:rsid w:val="41C93A61"/>
    <w:rsid w:val="42101D03"/>
    <w:rsid w:val="4266B0E4"/>
    <w:rsid w:val="429AC0CF"/>
    <w:rsid w:val="4334620A"/>
    <w:rsid w:val="445FAA11"/>
    <w:rsid w:val="453E69FE"/>
    <w:rsid w:val="4584FA7D"/>
    <w:rsid w:val="458AF451"/>
    <w:rsid w:val="45CA7CD0"/>
    <w:rsid w:val="4643EB8E"/>
    <w:rsid w:val="46B98E99"/>
    <w:rsid w:val="470E3A9A"/>
    <w:rsid w:val="47A4AF2C"/>
    <w:rsid w:val="49638E24"/>
    <w:rsid w:val="49A124A1"/>
    <w:rsid w:val="4C1A69AE"/>
    <w:rsid w:val="4D435110"/>
    <w:rsid w:val="4D814906"/>
    <w:rsid w:val="4DC70B76"/>
    <w:rsid w:val="4E6E8A64"/>
    <w:rsid w:val="4EB9BAB0"/>
    <w:rsid w:val="5107DC3B"/>
    <w:rsid w:val="518F2652"/>
    <w:rsid w:val="51D026A5"/>
    <w:rsid w:val="51E5EE45"/>
    <w:rsid w:val="51E7E032"/>
    <w:rsid w:val="520D6E1D"/>
    <w:rsid w:val="528D482C"/>
    <w:rsid w:val="52CFF612"/>
    <w:rsid w:val="53340142"/>
    <w:rsid w:val="54D13C3E"/>
    <w:rsid w:val="56680121"/>
    <w:rsid w:val="56A4141C"/>
    <w:rsid w:val="56E658A7"/>
    <w:rsid w:val="56FFAF0A"/>
    <w:rsid w:val="58CECC1E"/>
    <w:rsid w:val="596164AD"/>
    <w:rsid w:val="5B8107BA"/>
    <w:rsid w:val="5BD0E567"/>
    <w:rsid w:val="5CB12862"/>
    <w:rsid w:val="5CDF8411"/>
    <w:rsid w:val="5E0BD443"/>
    <w:rsid w:val="5E909077"/>
    <w:rsid w:val="5F24DB99"/>
    <w:rsid w:val="5F518979"/>
    <w:rsid w:val="5F9E3A7B"/>
    <w:rsid w:val="6012F56C"/>
    <w:rsid w:val="6036EA63"/>
    <w:rsid w:val="609F795A"/>
    <w:rsid w:val="61BC0A79"/>
    <w:rsid w:val="61CCCA5B"/>
    <w:rsid w:val="62480596"/>
    <w:rsid w:val="628A3D93"/>
    <w:rsid w:val="62AF0480"/>
    <w:rsid w:val="62E9F3CB"/>
    <w:rsid w:val="631B9BD2"/>
    <w:rsid w:val="632E8582"/>
    <w:rsid w:val="63BD16F0"/>
    <w:rsid w:val="64194738"/>
    <w:rsid w:val="64982F6D"/>
    <w:rsid w:val="65BC277D"/>
    <w:rsid w:val="67882B7E"/>
    <w:rsid w:val="6D415E8D"/>
    <w:rsid w:val="6D42AC04"/>
    <w:rsid w:val="6D8D3D3D"/>
    <w:rsid w:val="6D9CB4C1"/>
    <w:rsid w:val="6DC685C0"/>
    <w:rsid w:val="6DCDBC0D"/>
    <w:rsid w:val="6EEADC3F"/>
    <w:rsid w:val="6F26C39E"/>
    <w:rsid w:val="6F7E56C7"/>
    <w:rsid w:val="6F930E04"/>
    <w:rsid w:val="7017EBAF"/>
    <w:rsid w:val="702B6C1E"/>
    <w:rsid w:val="705EB866"/>
    <w:rsid w:val="70B52084"/>
    <w:rsid w:val="71CD4E9D"/>
    <w:rsid w:val="728F921B"/>
    <w:rsid w:val="73AE6B7D"/>
    <w:rsid w:val="7436BF39"/>
    <w:rsid w:val="75B3DB24"/>
    <w:rsid w:val="76356027"/>
    <w:rsid w:val="76455DC0"/>
    <w:rsid w:val="76855AE7"/>
    <w:rsid w:val="776EEF7F"/>
    <w:rsid w:val="789FAC08"/>
    <w:rsid w:val="78ACE4E1"/>
    <w:rsid w:val="79089CA9"/>
    <w:rsid w:val="791A011C"/>
    <w:rsid w:val="792F82A6"/>
    <w:rsid w:val="7A53BCB5"/>
    <w:rsid w:val="7B4117F5"/>
    <w:rsid w:val="7B75EFCF"/>
    <w:rsid w:val="7C288D4E"/>
    <w:rsid w:val="7D02EA95"/>
    <w:rsid w:val="7EBF0ECD"/>
    <w:rsid w:val="7F27A83D"/>
    <w:rsid w:val="7FC6927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7FCB3F"/>
  <w15:docId w15:val="{6AD552DD-BD21-4D6B-8A8D-A9D31DA66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3992"/>
    <w:pPr>
      <w:keepNext/>
      <w:keepLines/>
      <w:numPr>
        <w:numId w:val="1"/>
      </w:numPr>
      <w:spacing w:before="480" w:after="0"/>
      <w:outlineLvl w:val="0"/>
    </w:pPr>
    <w:rPr>
      <w:rFonts w:asciiTheme="majorHAnsi" w:eastAsiaTheme="majorEastAsia" w:hAnsiTheme="majorHAnsi" w:cstheme="majorBidi"/>
      <w:b/>
      <w:bCs/>
      <w:caps/>
      <w:sz w:val="28"/>
      <w:szCs w:val="28"/>
    </w:rPr>
  </w:style>
  <w:style w:type="paragraph" w:styleId="Heading2">
    <w:name w:val="heading 2"/>
    <w:basedOn w:val="Normal"/>
    <w:next w:val="Normal"/>
    <w:link w:val="Heading2Char"/>
    <w:uiPriority w:val="9"/>
    <w:unhideWhenUsed/>
    <w:qFormat/>
    <w:rsid w:val="001A3992"/>
    <w:pPr>
      <w:numPr>
        <w:ilvl w:val="1"/>
        <w:numId w:val="1"/>
      </w:numPr>
      <w:spacing w:before="240"/>
      <w:ind w:left="578" w:hanging="578"/>
      <w:outlineLvl w:val="1"/>
    </w:pPr>
    <w:rPr>
      <w:rFonts w:asciiTheme="majorHAnsi" w:hAnsiTheme="majorHAnsi"/>
      <w:b/>
      <w:smallCaps/>
      <w:sz w:val="24"/>
    </w:rPr>
  </w:style>
  <w:style w:type="paragraph" w:styleId="Heading3">
    <w:name w:val="heading 3"/>
    <w:basedOn w:val="Normal"/>
    <w:next w:val="Normal"/>
    <w:link w:val="Heading3Char"/>
    <w:uiPriority w:val="9"/>
    <w:unhideWhenUsed/>
    <w:qFormat/>
    <w:rsid w:val="001A3992"/>
    <w:pPr>
      <w:keepNext/>
      <w:keepLines/>
      <w:spacing w:before="200" w:after="0"/>
      <w:ind w:left="227"/>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1A399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A399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A399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A399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A399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A399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992"/>
    <w:rPr>
      <w:rFonts w:asciiTheme="majorHAnsi" w:eastAsiaTheme="majorEastAsia" w:hAnsiTheme="majorHAnsi" w:cstheme="majorBidi"/>
      <w:b/>
      <w:bCs/>
      <w:caps/>
      <w:sz w:val="28"/>
      <w:szCs w:val="28"/>
    </w:rPr>
  </w:style>
  <w:style w:type="character" w:customStyle="1" w:styleId="Heading2Char">
    <w:name w:val="Heading 2 Char"/>
    <w:basedOn w:val="DefaultParagraphFont"/>
    <w:link w:val="Heading2"/>
    <w:uiPriority w:val="9"/>
    <w:rsid w:val="001A3992"/>
    <w:rPr>
      <w:rFonts w:asciiTheme="majorHAnsi" w:hAnsiTheme="majorHAnsi"/>
      <w:b/>
      <w:smallCaps/>
      <w:sz w:val="24"/>
    </w:rPr>
  </w:style>
  <w:style w:type="character" w:customStyle="1" w:styleId="Heading3Char">
    <w:name w:val="Heading 3 Char"/>
    <w:basedOn w:val="DefaultParagraphFont"/>
    <w:link w:val="Heading3"/>
    <w:uiPriority w:val="9"/>
    <w:rsid w:val="001A399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1A399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1A399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1A399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1A399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A399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A3992"/>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1A3992"/>
    <w:pPr>
      <w:ind w:left="720"/>
      <w:contextualSpacing/>
    </w:pPr>
    <w:rPr>
      <w:rFonts w:ascii="Cambria" w:hAnsi="Cambria"/>
    </w:rPr>
  </w:style>
  <w:style w:type="character" w:styleId="CommentReference">
    <w:name w:val="annotation reference"/>
    <w:basedOn w:val="DefaultParagraphFont"/>
    <w:uiPriority w:val="99"/>
    <w:semiHidden/>
    <w:unhideWhenUsed/>
    <w:rsid w:val="001A3992"/>
    <w:rPr>
      <w:sz w:val="16"/>
      <w:szCs w:val="16"/>
    </w:rPr>
  </w:style>
  <w:style w:type="paragraph" w:styleId="CommentText">
    <w:name w:val="annotation text"/>
    <w:basedOn w:val="Normal"/>
    <w:link w:val="CommentTextChar"/>
    <w:uiPriority w:val="99"/>
    <w:unhideWhenUsed/>
    <w:rsid w:val="001A3992"/>
    <w:pPr>
      <w:spacing w:line="240" w:lineRule="auto"/>
    </w:pPr>
    <w:rPr>
      <w:rFonts w:ascii="Cambria" w:hAnsi="Cambria"/>
      <w:sz w:val="20"/>
      <w:szCs w:val="20"/>
    </w:rPr>
  </w:style>
  <w:style w:type="character" w:customStyle="1" w:styleId="CommentTextChar">
    <w:name w:val="Comment Text Char"/>
    <w:basedOn w:val="DefaultParagraphFont"/>
    <w:link w:val="CommentText"/>
    <w:uiPriority w:val="99"/>
    <w:rsid w:val="001A3992"/>
    <w:rPr>
      <w:rFonts w:ascii="Cambria" w:hAnsi="Cambria"/>
      <w:sz w:val="20"/>
      <w:szCs w:val="20"/>
    </w:rPr>
  </w:style>
  <w:style w:type="paragraph" w:styleId="FootnoteText">
    <w:name w:val="footnote text"/>
    <w:basedOn w:val="Normal"/>
    <w:link w:val="FootnoteTextChar"/>
    <w:uiPriority w:val="99"/>
    <w:rsid w:val="001A3992"/>
    <w:pPr>
      <w:keepLines/>
      <w:spacing w:before="180" w:after="180"/>
    </w:pPr>
    <w:rPr>
      <w:rFonts w:ascii="Calibri" w:eastAsia="Calibri" w:hAnsi="Calibri" w:cs="Times New Roman"/>
      <w:sz w:val="20"/>
    </w:rPr>
  </w:style>
  <w:style w:type="character" w:customStyle="1" w:styleId="FootnoteTextChar">
    <w:name w:val="Footnote Text Char"/>
    <w:basedOn w:val="DefaultParagraphFont"/>
    <w:link w:val="FootnoteText"/>
    <w:uiPriority w:val="99"/>
    <w:rsid w:val="001A3992"/>
    <w:rPr>
      <w:rFonts w:ascii="Calibri" w:eastAsia="Calibri" w:hAnsi="Calibri" w:cs="Times New Roman"/>
      <w:sz w:val="20"/>
    </w:rPr>
  </w:style>
  <w:style w:type="character" w:styleId="FootnoteReference">
    <w:name w:val="footnote reference"/>
    <w:basedOn w:val="DefaultParagraphFont"/>
    <w:uiPriority w:val="99"/>
    <w:unhideWhenUsed/>
    <w:rsid w:val="001A3992"/>
    <w:rPr>
      <w:vertAlign w:val="superscript"/>
    </w:rPr>
  </w:style>
  <w:style w:type="paragraph" w:styleId="ListBullet">
    <w:name w:val="List Bullet"/>
    <w:basedOn w:val="Normal"/>
    <w:uiPriority w:val="99"/>
    <w:unhideWhenUsed/>
    <w:rsid w:val="001A3992"/>
    <w:pPr>
      <w:ind w:left="425" w:hanging="425"/>
      <w:contextualSpacing/>
    </w:pPr>
    <w:rPr>
      <w:rFonts w:ascii="Cambria" w:hAnsi="Cambria"/>
    </w:rPr>
  </w:style>
  <w:style w:type="character" w:styleId="Hyperlink">
    <w:name w:val="Hyperlink"/>
    <w:basedOn w:val="DefaultParagraphFont"/>
    <w:uiPriority w:val="99"/>
    <w:unhideWhenUsed/>
    <w:rsid w:val="001A3992"/>
    <w:rPr>
      <w:color w:val="0000FF" w:themeColor="hyperlink"/>
      <w:u w:val="single"/>
    </w:rPr>
  </w:style>
  <w:style w:type="table" w:styleId="LightGrid">
    <w:name w:val="Light Grid"/>
    <w:basedOn w:val="TableNormal"/>
    <w:uiPriority w:val="62"/>
    <w:rsid w:val="001A39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Footer">
    <w:name w:val="footer"/>
    <w:basedOn w:val="Normal"/>
    <w:link w:val="FooterChar"/>
    <w:unhideWhenUsed/>
    <w:rsid w:val="001A3992"/>
    <w:pPr>
      <w:tabs>
        <w:tab w:val="center" w:pos="4513"/>
        <w:tab w:val="right" w:pos="9026"/>
      </w:tabs>
      <w:spacing w:after="0" w:line="240" w:lineRule="auto"/>
    </w:pPr>
    <w:rPr>
      <w:rFonts w:ascii="Cambria" w:hAnsi="Cambria"/>
    </w:rPr>
  </w:style>
  <w:style w:type="character" w:customStyle="1" w:styleId="FooterChar">
    <w:name w:val="Footer Char"/>
    <w:basedOn w:val="DefaultParagraphFont"/>
    <w:link w:val="Footer"/>
    <w:rsid w:val="001A3992"/>
    <w:rPr>
      <w:rFonts w:ascii="Cambria" w:hAnsi="Cambria"/>
    </w:rPr>
  </w:style>
  <w:style w:type="paragraph" w:styleId="BalloonText">
    <w:name w:val="Balloon Text"/>
    <w:basedOn w:val="Normal"/>
    <w:link w:val="BalloonTextChar"/>
    <w:uiPriority w:val="99"/>
    <w:semiHidden/>
    <w:unhideWhenUsed/>
    <w:rsid w:val="001A3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3992"/>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7E7A6E"/>
    <w:rPr>
      <w:rFonts w:asciiTheme="minorHAnsi" w:hAnsiTheme="minorHAnsi"/>
      <w:b/>
      <w:bCs/>
    </w:rPr>
  </w:style>
  <w:style w:type="character" w:customStyle="1" w:styleId="CommentSubjectChar">
    <w:name w:val="Comment Subject Char"/>
    <w:basedOn w:val="CommentTextChar"/>
    <w:link w:val="CommentSubject"/>
    <w:uiPriority w:val="99"/>
    <w:semiHidden/>
    <w:rsid w:val="007E7A6E"/>
    <w:rPr>
      <w:rFonts w:ascii="Cambria" w:hAnsi="Cambria"/>
      <w:b/>
      <w:bCs/>
      <w:sz w:val="20"/>
      <w:szCs w:val="20"/>
    </w:rPr>
  </w:style>
  <w:style w:type="character" w:styleId="UnresolvedMention">
    <w:name w:val="Unresolved Mention"/>
    <w:basedOn w:val="DefaultParagraphFont"/>
    <w:uiPriority w:val="99"/>
    <w:semiHidden/>
    <w:unhideWhenUsed/>
    <w:rsid w:val="00B43C21"/>
    <w:rPr>
      <w:color w:val="605E5C"/>
      <w:shd w:val="clear" w:color="auto" w:fill="E1DFDD"/>
    </w:rPr>
  </w:style>
  <w:style w:type="paragraph" w:styleId="Caption">
    <w:name w:val="caption"/>
    <w:basedOn w:val="Normal"/>
    <w:next w:val="Normal"/>
    <w:uiPriority w:val="35"/>
    <w:unhideWhenUsed/>
    <w:qFormat/>
    <w:rsid w:val="00E61E77"/>
    <w:pPr>
      <w:spacing w:line="240" w:lineRule="auto"/>
    </w:pPr>
    <w:rPr>
      <w:rFonts w:ascii="Cambria" w:hAnsi="Cambria"/>
      <w:b/>
      <w:iCs/>
      <w:szCs w:val="18"/>
    </w:rPr>
  </w:style>
  <w:style w:type="paragraph" w:customStyle="1" w:styleId="body">
    <w:name w:val="body"/>
    <w:basedOn w:val="Normal"/>
    <w:link w:val="body0"/>
    <w:qFormat/>
    <w:rsid w:val="005E081E"/>
    <w:pPr>
      <w:widowControl w:val="0"/>
      <w:adjustRightInd w:val="0"/>
      <w:snapToGrid w:val="0"/>
      <w:spacing w:after="0" w:line="250" w:lineRule="atLeast"/>
      <w:jc w:val="both"/>
    </w:pPr>
    <w:rPr>
      <w:rFonts w:ascii="MS Mincho" w:eastAsia="MS Mincho" w:hAnsi="MS Mincho" w:cs="Adobe Fangsong Std R"/>
      <w:sz w:val="16"/>
      <w:lang w:val="en-US" w:eastAsia="ja-JP"/>
    </w:rPr>
  </w:style>
  <w:style w:type="character" w:customStyle="1" w:styleId="body0">
    <w:name w:val="body (文字)"/>
    <w:basedOn w:val="DefaultParagraphFont"/>
    <w:link w:val="body"/>
    <w:rsid w:val="005E081E"/>
    <w:rPr>
      <w:rFonts w:ascii="MS Mincho" w:eastAsia="MS Mincho" w:hAnsi="MS Mincho" w:cs="Adobe Fangsong Std R"/>
      <w:sz w:val="16"/>
      <w:lang w:val="en-US" w:eastAsia="ja-JP"/>
    </w:rPr>
  </w:style>
  <w:style w:type="table" w:styleId="TableGrid">
    <w:name w:val="Table Grid"/>
    <w:basedOn w:val="TableNormal"/>
    <w:uiPriority w:val="59"/>
    <w:rsid w:val="005E081E"/>
    <w:pPr>
      <w:widowControl w:val="0"/>
      <w:spacing w:after="0" w:line="240" w:lineRule="auto"/>
    </w:pPr>
    <w:rPr>
      <w:lang w:val="en-US"/>
    </w:rPr>
    <w:tblPr/>
  </w:style>
  <w:style w:type="table" w:customStyle="1" w:styleId="TableNormal1">
    <w:name w:val="Table Normal1"/>
    <w:uiPriority w:val="2"/>
    <w:semiHidden/>
    <w:unhideWhenUsed/>
    <w:qFormat/>
    <w:rsid w:val="00FD6216"/>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D6216"/>
    <w:pPr>
      <w:widowControl w:val="0"/>
      <w:snapToGrid w:val="0"/>
      <w:spacing w:after="0" w:line="240" w:lineRule="auto"/>
      <w:jc w:val="both"/>
    </w:pPr>
    <w:rPr>
      <w:rFonts w:ascii="MS Mincho" w:eastAsia="MS Mincho" w:hAnsi="MS Mincho"/>
      <w:sz w:val="16"/>
      <w:lang w:val="en-US"/>
    </w:rPr>
  </w:style>
  <w:style w:type="paragraph" w:customStyle="1" w:styleId="table">
    <w:name w:val="table"/>
    <w:basedOn w:val="Normal"/>
    <w:link w:val="table0"/>
    <w:qFormat/>
    <w:rsid w:val="00185BB0"/>
    <w:pPr>
      <w:widowControl w:val="0"/>
      <w:adjustRightInd w:val="0"/>
      <w:snapToGrid w:val="0"/>
      <w:spacing w:after="0" w:line="240" w:lineRule="atLeast"/>
      <w:ind w:left="284" w:hanging="284"/>
      <w:jc w:val="center"/>
    </w:pPr>
    <w:rPr>
      <w:rFonts w:ascii="MS Mincho" w:eastAsia="MS Mincho" w:hAnsi="MS Mincho" w:cs="Adobe Fangsong Std R"/>
      <w:snapToGrid w:val="0"/>
      <w:sz w:val="16"/>
      <w:lang w:val="en-US" w:eastAsia="ja-JP"/>
    </w:rPr>
  </w:style>
  <w:style w:type="character" w:customStyle="1" w:styleId="table0">
    <w:name w:val="table (文字)"/>
    <w:basedOn w:val="DefaultParagraphFont"/>
    <w:link w:val="table"/>
    <w:rsid w:val="00185BB0"/>
    <w:rPr>
      <w:rFonts w:ascii="MS Mincho" w:eastAsia="MS Mincho" w:hAnsi="MS Mincho" w:cs="Adobe Fangsong Std R"/>
      <w:snapToGrid w:val="0"/>
      <w:sz w:val="16"/>
      <w:lang w:val="en-US" w:eastAsia="ja-JP"/>
    </w:rPr>
  </w:style>
  <w:style w:type="paragraph" w:customStyle="1" w:styleId="heading20">
    <w:name w:val="heading2"/>
    <w:basedOn w:val="Normal"/>
    <w:link w:val="heading21"/>
    <w:qFormat/>
    <w:rsid w:val="00A525A2"/>
    <w:pPr>
      <w:widowControl w:val="0"/>
      <w:tabs>
        <w:tab w:val="left" w:pos="340"/>
      </w:tabs>
      <w:adjustRightInd w:val="0"/>
      <w:snapToGrid w:val="0"/>
      <w:spacing w:before="20" w:after="0" w:line="220" w:lineRule="atLeast"/>
      <w:ind w:left="227" w:hanging="227"/>
      <w:jc w:val="both"/>
    </w:pPr>
    <w:rPr>
      <w:rFonts w:ascii="MS Mincho" w:eastAsia="MS Mincho" w:hAnsi="MS Mincho" w:cs="Adobe Fangsong Std R"/>
      <w:snapToGrid w:val="0"/>
      <w:sz w:val="16"/>
      <w:lang w:val="en-US" w:eastAsia="ja-JP"/>
    </w:rPr>
  </w:style>
  <w:style w:type="character" w:customStyle="1" w:styleId="heading21">
    <w:name w:val="heading2 (文字)"/>
    <w:basedOn w:val="DefaultParagraphFont"/>
    <w:link w:val="heading20"/>
    <w:rsid w:val="00A525A2"/>
    <w:rPr>
      <w:rFonts w:ascii="MS Mincho" w:eastAsia="MS Mincho" w:hAnsi="MS Mincho" w:cs="Adobe Fangsong Std R"/>
      <w:snapToGrid w:val="0"/>
      <w:sz w:val="16"/>
      <w:lang w:val="en-US" w:eastAsia="ja-JP"/>
    </w:rPr>
  </w:style>
  <w:style w:type="paragraph" w:styleId="Header">
    <w:name w:val="header"/>
    <w:basedOn w:val="Normal"/>
    <w:link w:val="HeaderChar"/>
    <w:uiPriority w:val="99"/>
    <w:unhideWhenUsed/>
    <w:rsid w:val="00C82DE6"/>
    <w:pPr>
      <w:tabs>
        <w:tab w:val="center" w:pos="4252"/>
        <w:tab w:val="right" w:pos="8504"/>
      </w:tabs>
      <w:snapToGrid w:val="0"/>
    </w:pPr>
  </w:style>
  <w:style w:type="character" w:customStyle="1" w:styleId="HeaderChar">
    <w:name w:val="Header Char"/>
    <w:basedOn w:val="DefaultParagraphFont"/>
    <w:link w:val="Header"/>
    <w:uiPriority w:val="99"/>
    <w:rsid w:val="00C82DE6"/>
  </w:style>
  <w:style w:type="paragraph" w:styleId="Revision">
    <w:name w:val="Revision"/>
    <w:hidden/>
    <w:uiPriority w:val="99"/>
    <w:semiHidden/>
    <w:rsid w:val="00C82DE6"/>
    <w:pPr>
      <w:spacing w:after="0" w:line="240" w:lineRule="auto"/>
    </w:pPr>
  </w:style>
  <w:style w:type="table" w:customStyle="1" w:styleId="1">
    <w:name w:val="表 (格子)1"/>
    <w:basedOn w:val="TableNormal"/>
    <w:next w:val="TableGrid"/>
    <w:uiPriority w:val="39"/>
    <w:rsid w:val="00C82DE6"/>
    <w:pPr>
      <w:spacing w:after="0" w:line="240" w:lineRule="auto"/>
    </w:pPr>
    <w:rPr>
      <w:rFonts w:ascii="Times New Roman" w:eastAsia="MS Mincho" w:hAnsi="Times New Roman" w:cs="Times New Roman"/>
      <w:sz w:val="20"/>
      <w:szCs w:val="20"/>
      <w:lang w:val="en-US" w:eastAsia="ja-JP"/>
    </w:rPr>
    <w:tblPr/>
  </w:style>
  <w:style w:type="table" w:customStyle="1" w:styleId="2">
    <w:name w:val="表 (格子)2"/>
    <w:basedOn w:val="TableNormal"/>
    <w:next w:val="TableGrid"/>
    <w:uiPriority w:val="39"/>
    <w:rsid w:val="00C82DE6"/>
    <w:pPr>
      <w:spacing w:after="0" w:line="240" w:lineRule="auto"/>
    </w:pPr>
    <w:rPr>
      <w:rFonts w:ascii="Times New Roman" w:eastAsia="MS Mincho" w:hAnsi="Times New Roman" w:cs="Times New Roman"/>
      <w:sz w:val="20"/>
      <w:szCs w:val="20"/>
      <w:lang w:val="en-US" w:eastAsia="ja-JP"/>
    </w:rPr>
    <w:tblPr/>
  </w:style>
  <w:style w:type="table" w:customStyle="1" w:styleId="3">
    <w:name w:val="表 (格子)3"/>
    <w:basedOn w:val="TableNormal"/>
    <w:next w:val="TableGrid"/>
    <w:uiPriority w:val="39"/>
    <w:rsid w:val="00C82DE6"/>
    <w:pPr>
      <w:spacing w:after="0" w:line="240" w:lineRule="auto"/>
    </w:pPr>
    <w:rPr>
      <w:rFonts w:ascii="Times New Roman" w:eastAsia="MS Mincho" w:hAnsi="Times New Roman" w:cs="Times New Roman"/>
      <w:sz w:val="20"/>
      <w:szCs w:val="20"/>
      <w:lang w:val="en-US" w:eastAsia="ja-JP"/>
    </w:rPr>
    <w:tblPr/>
  </w:style>
  <w:style w:type="table" w:customStyle="1" w:styleId="4">
    <w:name w:val="表 (格子)4"/>
    <w:basedOn w:val="TableNormal"/>
    <w:next w:val="TableGrid"/>
    <w:uiPriority w:val="39"/>
    <w:rsid w:val="00402D1D"/>
    <w:pPr>
      <w:spacing w:after="0" w:line="240" w:lineRule="auto"/>
    </w:pPr>
    <w:rPr>
      <w:rFonts w:ascii="Times New Roman" w:eastAsia="MS Mincho" w:hAnsi="Times New Roman" w:cs="Times New Roman"/>
      <w:sz w:val="20"/>
      <w:szCs w:val="20"/>
      <w:lang w:val="en-US" w:eastAsia="ja-JP"/>
    </w:rPr>
    <w:tblPr/>
  </w:style>
  <w:style w:type="paragraph" w:customStyle="1" w:styleId="paragraph">
    <w:name w:val="paragraph"/>
    <w:basedOn w:val="Normal"/>
    <w:rsid w:val="003705ED"/>
    <w:pPr>
      <w:spacing w:before="100" w:beforeAutospacing="1" w:after="100" w:afterAutospacing="1" w:line="240" w:lineRule="auto"/>
    </w:pPr>
    <w:rPr>
      <w:rFonts w:ascii="MS PGothic" w:eastAsia="MS PGothic" w:hAnsi="MS PGothic" w:cs="MS PGothic"/>
      <w:sz w:val="24"/>
      <w:szCs w:val="24"/>
      <w:lang w:val="en-US" w:eastAsia="ja-JP"/>
    </w:rPr>
  </w:style>
  <w:style w:type="character" w:customStyle="1" w:styleId="normaltextrun">
    <w:name w:val="normaltextrun"/>
    <w:basedOn w:val="DefaultParagraphFont"/>
    <w:rsid w:val="003705ED"/>
  </w:style>
  <w:style w:type="character" w:customStyle="1" w:styleId="eop">
    <w:name w:val="eop"/>
    <w:basedOn w:val="DefaultParagraphFont"/>
    <w:rsid w:val="003705ED"/>
  </w:style>
  <w:style w:type="character" w:customStyle="1" w:styleId="scxw245026701">
    <w:name w:val="scxw245026701"/>
    <w:basedOn w:val="DefaultParagraphFont"/>
    <w:rsid w:val="003705ED"/>
  </w:style>
  <w:style w:type="paragraph" w:customStyle="1" w:styleId="C-BodyText">
    <w:name w:val="C-Body Text"/>
    <w:basedOn w:val="Normal"/>
    <w:link w:val="C-BodyTextChar"/>
    <w:uiPriority w:val="1"/>
    <w:rsid w:val="3FAC8474"/>
    <w:pPr>
      <w:spacing w:before="120" w:after="120" w:line="280" w:lineRule="atLeast"/>
    </w:pPr>
    <w:rPr>
      <w:rFonts w:ascii="Times New Roman" w:hAnsi="Times New Roman" w:cs="Times New Roman"/>
      <w:sz w:val="24"/>
      <w:szCs w:val="24"/>
      <w:lang w:val="en-US"/>
    </w:rPr>
  </w:style>
  <w:style w:type="character" w:customStyle="1" w:styleId="C-BodyTextChar">
    <w:name w:val="C-Body Text Char"/>
    <w:basedOn w:val="DefaultParagraphFont"/>
    <w:link w:val="C-BodyText"/>
    <w:uiPriority w:val="1"/>
    <w:rsid w:val="3FAC8474"/>
    <w:rPr>
      <w:rFonts w:ascii="Times New Roman" w:eastAsiaTheme="minorEastAsia" w:hAnsi="Times New Roman" w:cs="Times New Roman"/>
      <w:sz w:val="24"/>
      <w:szCs w:val="24"/>
    </w:rPr>
  </w:style>
  <w:style w:type="character" w:styleId="Mention">
    <w:name w:val="Mention"/>
    <w:basedOn w:val="DefaultParagraphFont"/>
    <w:uiPriority w:val="99"/>
    <w:unhideWhenUsed/>
    <w:rsid w:val="0082516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6384">
      <w:bodyDiv w:val="1"/>
      <w:marLeft w:val="0"/>
      <w:marRight w:val="0"/>
      <w:marTop w:val="0"/>
      <w:marBottom w:val="0"/>
      <w:divBdr>
        <w:top w:val="none" w:sz="0" w:space="0" w:color="auto"/>
        <w:left w:val="none" w:sz="0" w:space="0" w:color="auto"/>
        <w:bottom w:val="none" w:sz="0" w:space="0" w:color="auto"/>
        <w:right w:val="none" w:sz="0" w:space="0" w:color="auto"/>
      </w:divBdr>
    </w:div>
    <w:div w:id="156191995">
      <w:bodyDiv w:val="1"/>
      <w:marLeft w:val="0"/>
      <w:marRight w:val="0"/>
      <w:marTop w:val="0"/>
      <w:marBottom w:val="0"/>
      <w:divBdr>
        <w:top w:val="none" w:sz="0" w:space="0" w:color="auto"/>
        <w:left w:val="none" w:sz="0" w:space="0" w:color="auto"/>
        <w:bottom w:val="none" w:sz="0" w:space="0" w:color="auto"/>
        <w:right w:val="none" w:sz="0" w:space="0" w:color="auto"/>
      </w:divBdr>
    </w:div>
    <w:div w:id="1867136176">
      <w:bodyDiv w:val="1"/>
      <w:marLeft w:val="0"/>
      <w:marRight w:val="0"/>
      <w:marTop w:val="0"/>
      <w:marBottom w:val="0"/>
      <w:divBdr>
        <w:top w:val="none" w:sz="0" w:space="0" w:color="auto"/>
        <w:left w:val="none" w:sz="0" w:space="0" w:color="auto"/>
        <w:bottom w:val="none" w:sz="0" w:space="0" w:color="auto"/>
        <w:right w:val="none" w:sz="0" w:space="0" w:color="auto"/>
      </w:divBdr>
      <w:divsChild>
        <w:div w:id="98840851">
          <w:marLeft w:val="0"/>
          <w:marRight w:val="0"/>
          <w:marTop w:val="0"/>
          <w:marBottom w:val="0"/>
          <w:divBdr>
            <w:top w:val="none" w:sz="0" w:space="0" w:color="auto"/>
            <w:left w:val="none" w:sz="0" w:space="0" w:color="auto"/>
            <w:bottom w:val="none" w:sz="0" w:space="0" w:color="auto"/>
            <w:right w:val="none" w:sz="0" w:space="0" w:color="auto"/>
          </w:divBdr>
          <w:divsChild>
            <w:div w:id="1951352680">
              <w:marLeft w:val="0"/>
              <w:marRight w:val="0"/>
              <w:marTop w:val="0"/>
              <w:marBottom w:val="0"/>
              <w:divBdr>
                <w:top w:val="none" w:sz="0" w:space="0" w:color="auto"/>
                <w:left w:val="none" w:sz="0" w:space="0" w:color="auto"/>
                <w:bottom w:val="none" w:sz="0" w:space="0" w:color="auto"/>
                <w:right w:val="none" w:sz="0" w:space="0" w:color="auto"/>
              </w:divBdr>
            </w:div>
          </w:divsChild>
        </w:div>
        <w:div w:id="227888772">
          <w:marLeft w:val="0"/>
          <w:marRight w:val="0"/>
          <w:marTop w:val="0"/>
          <w:marBottom w:val="0"/>
          <w:divBdr>
            <w:top w:val="none" w:sz="0" w:space="0" w:color="auto"/>
            <w:left w:val="none" w:sz="0" w:space="0" w:color="auto"/>
            <w:bottom w:val="none" w:sz="0" w:space="0" w:color="auto"/>
            <w:right w:val="none" w:sz="0" w:space="0" w:color="auto"/>
          </w:divBdr>
          <w:divsChild>
            <w:div w:id="416437765">
              <w:marLeft w:val="0"/>
              <w:marRight w:val="0"/>
              <w:marTop w:val="0"/>
              <w:marBottom w:val="0"/>
              <w:divBdr>
                <w:top w:val="none" w:sz="0" w:space="0" w:color="auto"/>
                <w:left w:val="none" w:sz="0" w:space="0" w:color="auto"/>
                <w:bottom w:val="none" w:sz="0" w:space="0" w:color="auto"/>
                <w:right w:val="none" w:sz="0" w:space="0" w:color="auto"/>
              </w:divBdr>
            </w:div>
          </w:divsChild>
        </w:div>
        <w:div w:id="489365379">
          <w:marLeft w:val="0"/>
          <w:marRight w:val="0"/>
          <w:marTop w:val="0"/>
          <w:marBottom w:val="0"/>
          <w:divBdr>
            <w:top w:val="none" w:sz="0" w:space="0" w:color="auto"/>
            <w:left w:val="none" w:sz="0" w:space="0" w:color="auto"/>
            <w:bottom w:val="none" w:sz="0" w:space="0" w:color="auto"/>
            <w:right w:val="none" w:sz="0" w:space="0" w:color="auto"/>
          </w:divBdr>
          <w:divsChild>
            <w:div w:id="739865569">
              <w:marLeft w:val="0"/>
              <w:marRight w:val="0"/>
              <w:marTop w:val="0"/>
              <w:marBottom w:val="0"/>
              <w:divBdr>
                <w:top w:val="none" w:sz="0" w:space="0" w:color="auto"/>
                <w:left w:val="none" w:sz="0" w:space="0" w:color="auto"/>
                <w:bottom w:val="none" w:sz="0" w:space="0" w:color="auto"/>
                <w:right w:val="none" w:sz="0" w:space="0" w:color="auto"/>
              </w:divBdr>
            </w:div>
          </w:divsChild>
        </w:div>
        <w:div w:id="534318542">
          <w:marLeft w:val="0"/>
          <w:marRight w:val="0"/>
          <w:marTop w:val="0"/>
          <w:marBottom w:val="0"/>
          <w:divBdr>
            <w:top w:val="none" w:sz="0" w:space="0" w:color="auto"/>
            <w:left w:val="none" w:sz="0" w:space="0" w:color="auto"/>
            <w:bottom w:val="none" w:sz="0" w:space="0" w:color="auto"/>
            <w:right w:val="none" w:sz="0" w:space="0" w:color="auto"/>
          </w:divBdr>
          <w:divsChild>
            <w:div w:id="1686396368">
              <w:marLeft w:val="0"/>
              <w:marRight w:val="0"/>
              <w:marTop w:val="0"/>
              <w:marBottom w:val="0"/>
              <w:divBdr>
                <w:top w:val="none" w:sz="0" w:space="0" w:color="auto"/>
                <w:left w:val="none" w:sz="0" w:space="0" w:color="auto"/>
                <w:bottom w:val="none" w:sz="0" w:space="0" w:color="auto"/>
                <w:right w:val="none" w:sz="0" w:space="0" w:color="auto"/>
              </w:divBdr>
            </w:div>
          </w:divsChild>
        </w:div>
        <w:div w:id="674840549">
          <w:marLeft w:val="0"/>
          <w:marRight w:val="0"/>
          <w:marTop w:val="0"/>
          <w:marBottom w:val="0"/>
          <w:divBdr>
            <w:top w:val="none" w:sz="0" w:space="0" w:color="auto"/>
            <w:left w:val="none" w:sz="0" w:space="0" w:color="auto"/>
            <w:bottom w:val="none" w:sz="0" w:space="0" w:color="auto"/>
            <w:right w:val="none" w:sz="0" w:space="0" w:color="auto"/>
          </w:divBdr>
          <w:divsChild>
            <w:div w:id="212665592">
              <w:marLeft w:val="0"/>
              <w:marRight w:val="0"/>
              <w:marTop w:val="0"/>
              <w:marBottom w:val="0"/>
              <w:divBdr>
                <w:top w:val="none" w:sz="0" w:space="0" w:color="auto"/>
                <w:left w:val="none" w:sz="0" w:space="0" w:color="auto"/>
                <w:bottom w:val="none" w:sz="0" w:space="0" w:color="auto"/>
                <w:right w:val="none" w:sz="0" w:space="0" w:color="auto"/>
              </w:divBdr>
            </w:div>
          </w:divsChild>
        </w:div>
        <w:div w:id="734469922">
          <w:marLeft w:val="0"/>
          <w:marRight w:val="0"/>
          <w:marTop w:val="0"/>
          <w:marBottom w:val="0"/>
          <w:divBdr>
            <w:top w:val="none" w:sz="0" w:space="0" w:color="auto"/>
            <w:left w:val="none" w:sz="0" w:space="0" w:color="auto"/>
            <w:bottom w:val="none" w:sz="0" w:space="0" w:color="auto"/>
            <w:right w:val="none" w:sz="0" w:space="0" w:color="auto"/>
          </w:divBdr>
          <w:divsChild>
            <w:div w:id="1527986434">
              <w:marLeft w:val="0"/>
              <w:marRight w:val="0"/>
              <w:marTop w:val="0"/>
              <w:marBottom w:val="0"/>
              <w:divBdr>
                <w:top w:val="none" w:sz="0" w:space="0" w:color="auto"/>
                <w:left w:val="none" w:sz="0" w:space="0" w:color="auto"/>
                <w:bottom w:val="none" w:sz="0" w:space="0" w:color="auto"/>
                <w:right w:val="none" w:sz="0" w:space="0" w:color="auto"/>
              </w:divBdr>
            </w:div>
          </w:divsChild>
        </w:div>
        <w:div w:id="746534778">
          <w:marLeft w:val="0"/>
          <w:marRight w:val="0"/>
          <w:marTop w:val="0"/>
          <w:marBottom w:val="0"/>
          <w:divBdr>
            <w:top w:val="none" w:sz="0" w:space="0" w:color="auto"/>
            <w:left w:val="none" w:sz="0" w:space="0" w:color="auto"/>
            <w:bottom w:val="none" w:sz="0" w:space="0" w:color="auto"/>
            <w:right w:val="none" w:sz="0" w:space="0" w:color="auto"/>
          </w:divBdr>
          <w:divsChild>
            <w:div w:id="2041734242">
              <w:marLeft w:val="0"/>
              <w:marRight w:val="0"/>
              <w:marTop w:val="0"/>
              <w:marBottom w:val="0"/>
              <w:divBdr>
                <w:top w:val="none" w:sz="0" w:space="0" w:color="auto"/>
                <w:left w:val="none" w:sz="0" w:space="0" w:color="auto"/>
                <w:bottom w:val="none" w:sz="0" w:space="0" w:color="auto"/>
                <w:right w:val="none" w:sz="0" w:space="0" w:color="auto"/>
              </w:divBdr>
            </w:div>
          </w:divsChild>
        </w:div>
        <w:div w:id="762805541">
          <w:marLeft w:val="0"/>
          <w:marRight w:val="0"/>
          <w:marTop w:val="0"/>
          <w:marBottom w:val="0"/>
          <w:divBdr>
            <w:top w:val="none" w:sz="0" w:space="0" w:color="auto"/>
            <w:left w:val="none" w:sz="0" w:space="0" w:color="auto"/>
            <w:bottom w:val="none" w:sz="0" w:space="0" w:color="auto"/>
            <w:right w:val="none" w:sz="0" w:space="0" w:color="auto"/>
          </w:divBdr>
          <w:divsChild>
            <w:div w:id="1056198856">
              <w:marLeft w:val="0"/>
              <w:marRight w:val="0"/>
              <w:marTop w:val="0"/>
              <w:marBottom w:val="0"/>
              <w:divBdr>
                <w:top w:val="none" w:sz="0" w:space="0" w:color="auto"/>
                <w:left w:val="none" w:sz="0" w:space="0" w:color="auto"/>
                <w:bottom w:val="none" w:sz="0" w:space="0" w:color="auto"/>
                <w:right w:val="none" w:sz="0" w:space="0" w:color="auto"/>
              </w:divBdr>
            </w:div>
          </w:divsChild>
        </w:div>
        <w:div w:id="770319688">
          <w:marLeft w:val="0"/>
          <w:marRight w:val="0"/>
          <w:marTop w:val="0"/>
          <w:marBottom w:val="0"/>
          <w:divBdr>
            <w:top w:val="none" w:sz="0" w:space="0" w:color="auto"/>
            <w:left w:val="none" w:sz="0" w:space="0" w:color="auto"/>
            <w:bottom w:val="none" w:sz="0" w:space="0" w:color="auto"/>
            <w:right w:val="none" w:sz="0" w:space="0" w:color="auto"/>
          </w:divBdr>
          <w:divsChild>
            <w:div w:id="2091072471">
              <w:marLeft w:val="0"/>
              <w:marRight w:val="0"/>
              <w:marTop w:val="0"/>
              <w:marBottom w:val="0"/>
              <w:divBdr>
                <w:top w:val="none" w:sz="0" w:space="0" w:color="auto"/>
                <w:left w:val="none" w:sz="0" w:space="0" w:color="auto"/>
                <w:bottom w:val="none" w:sz="0" w:space="0" w:color="auto"/>
                <w:right w:val="none" w:sz="0" w:space="0" w:color="auto"/>
              </w:divBdr>
            </w:div>
          </w:divsChild>
        </w:div>
        <w:div w:id="787310412">
          <w:marLeft w:val="0"/>
          <w:marRight w:val="0"/>
          <w:marTop w:val="0"/>
          <w:marBottom w:val="0"/>
          <w:divBdr>
            <w:top w:val="none" w:sz="0" w:space="0" w:color="auto"/>
            <w:left w:val="none" w:sz="0" w:space="0" w:color="auto"/>
            <w:bottom w:val="none" w:sz="0" w:space="0" w:color="auto"/>
            <w:right w:val="none" w:sz="0" w:space="0" w:color="auto"/>
          </w:divBdr>
          <w:divsChild>
            <w:div w:id="1321151325">
              <w:marLeft w:val="0"/>
              <w:marRight w:val="0"/>
              <w:marTop w:val="0"/>
              <w:marBottom w:val="0"/>
              <w:divBdr>
                <w:top w:val="none" w:sz="0" w:space="0" w:color="auto"/>
                <w:left w:val="none" w:sz="0" w:space="0" w:color="auto"/>
                <w:bottom w:val="none" w:sz="0" w:space="0" w:color="auto"/>
                <w:right w:val="none" w:sz="0" w:space="0" w:color="auto"/>
              </w:divBdr>
            </w:div>
          </w:divsChild>
        </w:div>
        <w:div w:id="938828389">
          <w:marLeft w:val="0"/>
          <w:marRight w:val="0"/>
          <w:marTop w:val="0"/>
          <w:marBottom w:val="0"/>
          <w:divBdr>
            <w:top w:val="none" w:sz="0" w:space="0" w:color="auto"/>
            <w:left w:val="none" w:sz="0" w:space="0" w:color="auto"/>
            <w:bottom w:val="none" w:sz="0" w:space="0" w:color="auto"/>
            <w:right w:val="none" w:sz="0" w:space="0" w:color="auto"/>
          </w:divBdr>
          <w:divsChild>
            <w:div w:id="504172236">
              <w:marLeft w:val="0"/>
              <w:marRight w:val="0"/>
              <w:marTop w:val="0"/>
              <w:marBottom w:val="0"/>
              <w:divBdr>
                <w:top w:val="none" w:sz="0" w:space="0" w:color="auto"/>
                <w:left w:val="none" w:sz="0" w:space="0" w:color="auto"/>
                <w:bottom w:val="none" w:sz="0" w:space="0" w:color="auto"/>
                <w:right w:val="none" w:sz="0" w:space="0" w:color="auto"/>
              </w:divBdr>
            </w:div>
          </w:divsChild>
        </w:div>
        <w:div w:id="1000888490">
          <w:marLeft w:val="0"/>
          <w:marRight w:val="0"/>
          <w:marTop w:val="0"/>
          <w:marBottom w:val="0"/>
          <w:divBdr>
            <w:top w:val="none" w:sz="0" w:space="0" w:color="auto"/>
            <w:left w:val="none" w:sz="0" w:space="0" w:color="auto"/>
            <w:bottom w:val="none" w:sz="0" w:space="0" w:color="auto"/>
            <w:right w:val="none" w:sz="0" w:space="0" w:color="auto"/>
          </w:divBdr>
          <w:divsChild>
            <w:div w:id="1298803760">
              <w:marLeft w:val="0"/>
              <w:marRight w:val="0"/>
              <w:marTop w:val="0"/>
              <w:marBottom w:val="0"/>
              <w:divBdr>
                <w:top w:val="none" w:sz="0" w:space="0" w:color="auto"/>
                <w:left w:val="none" w:sz="0" w:space="0" w:color="auto"/>
                <w:bottom w:val="none" w:sz="0" w:space="0" w:color="auto"/>
                <w:right w:val="none" w:sz="0" w:space="0" w:color="auto"/>
              </w:divBdr>
            </w:div>
          </w:divsChild>
        </w:div>
        <w:div w:id="1002120556">
          <w:marLeft w:val="0"/>
          <w:marRight w:val="0"/>
          <w:marTop w:val="0"/>
          <w:marBottom w:val="0"/>
          <w:divBdr>
            <w:top w:val="none" w:sz="0" w:space="0" w:color="auto"/>
            <w:left w:val="none" w:sz="0" w:space="0" w:color="auto"/>
            <w:bottom w:val="none" w:sz="0" w:space="0" w:color="auto"/>
            <w:right w:val="none" w:sz="0" w:space="0" w:color="auto"/>
          </w:divBdr>
          <w:divsChild>
            <w:div w:id="765617260">
              <w:marLeft w:val="0"/>
              <w:marRight w:val="0"/>
              <w:marTop w:val="0"/>
              <w:marBottom w:val="0"/>
              <w:divBdr>
                <w:top w:val="none" w:sz="0" w:space="0" w:color="auto"/>
                <w:left w:val="none" w:sz="0" w:space="0" w:color="auto"/>
                <w:bottom w:val="none" w:sz="0" w:space="0" w:color="auto"/>
                <w:right w:val="none" w:sz="0" w:space="0" w:color="auto"/>
              </w:divBdr>
            </w:div>
          </w:divsChild>
        </w:div>
        <w:div w:id="1007559466">
          <w:marLeft w:val="0"/>
          <w:marRight w:val="0"/>
          <w:marTop w:val="0"/>
          <w:marBottom w:val="0"/>
          <w:divBdr>
            <w:top w:val="none" w:sz="0" w:space="0" w:color="auto"/>
            <w:left w:val="none" w:sz="0" w:space="0" w:color="auto"/>
            <w:bottom w:val="none" w:sz="0" w:space="0" w:color="auto"/>
            <w:right w:val="none" w:sz="0" w:space="0" w:color="auto"/>
          </w:divBdr>
          <w:divsChild>
            <w:div w:id="1827160130">
              <w:marLeft w:val="0"/>
              <w:marRight w:val="0"/>
              <w:marTop w:val="0"/>
              <w:marBottom w:val="0"/>
              <w:divBdr>
                <w:top w:val="none" w:sz="0" w:space="0" w:color="auto"/>
                <w:left w:val="none" w:sz="0" w:space="0" w:color="auto"/>
                <w:bottom w:val="none" w:sz="0" w:space="0" w:color="auto"/>
                <w:right w:val="none" w:sz="0" w:space="0" w:color="auto"/>
              </w:divBdr>
            </w:div>
          </w:divsChild>
        </w:div>
        <w:div w:id="1286504053">
          <w:marLeft w:val="0"/>
          <w:marRight w:val="0"/>
          <w:marTop w:val="0"/>
          <w:marBottom w:val="0"/>
          <w:divBdr>
            <w:top w:val="none" w:sz="0" w:space="0" w:color="auto"/>
            <w:left w:val="none" w:sz="0" w:space="0" w:color="auto"/>
            <w:bottom w:val="none" w:sz="0" w:space="0" w:color="auto"/>
            <w:right w:val="none" w:sz="0" w:space="0" w:color="auto"/>
          </w:divBdr>
          <w:divsChild>
            <w:div w:id="860820493">
              <w:marLeft w:val="0"/>
              <w:marRight w:val="0"/>
              <w:marTop w:val="0"/>
              <w:marBottom w:val="0"/>
              <w:divBdr>
                <w:top w:val="none" w:sz="0" w:space="0" w:color="auto"/>
                <w:left w:val="none" w:sz="0" w:space="0" w:color="auto"/>
                <w:bottom w:val="none" w:sz="0" w:space="0" w:color="auto"/>
                <w:right w:val="none" w:sz="0" w:space="0" w:color="auto"/>
              </w:divBdr>
            </w:div>
          </w:divsChild>
        </w:div>
        <w:div w:id="1347898786">
          <w:marLeft w:val="0"/>
          <w:marRight w:val="0"/>
          <w:marTop w:val="0"/>
          <w:marBottom w:val="0"/>
          <w:divBdr>
            <w:top w:val="none" w:sz="0" w:space="0" w:color="auto"/>
            <w:left w:val="none" w:sz="0" w:space="0" w:color="auto"/>
            <w:bottom w:val="none" w:sz="0" w:space="0" w:color="auto"/>
            <w:right w:val="none" w:sz="0" w:space="0" w:color="auto"/>
          </w:divBdr>
          <w:divsChild>
            <w:div w:id="1981418669">
              <w:marLeft w:val="0"/>
              <w:marRight w:val="0"/>
              <w:marTop w:val="0"/>
              <w:marBottom w:val="0"/>
              <w:divBdr>
                <w:top w:val="none" w:sz="0" w:space="0" w:color="auto"/>
                <w:left w:val="none" w:sz="0" w:space="0" w:color="auto"/>
                <w:bottom w:val="none" w:sz="0" w:space="0" w:color="auto"/>
                <w:right w:val="none" w:sz="0" w:space="0" w:color="auto"/>
              </w:divBdr>
            </w:div>
          </w:divsChild>
        </w:div>
        <w:div w:id="1393887977">
          <w:marLeft w:val="0"/>
          <w:marRight w:val="0"/>
          <w:marTop w:val="0"/>
          <w:marBottom w:val="0"/>
          <w:divBdr>
            <w:top w:val="none" w:sz="0" w:space="0" w:color="auto"/>
            <w:left w:val="none" w:sz="0" w:space="0" w:color="auto"/>
            <w:bottom w:val="none" w:sz="0" w:space="0" w:color="auto"/>
            <w:right w:val="none" w:sz="0" w:space="0" w:color="auto"/>
          </w:divBdr>
          <w:divsChild>
            <w:div w:id="1348024656">
              <w:marLeft w:val="0"/>
              <w:marRight w:val="0"/>
              <w:marTop w:val="0"/>
              <w:marBottom w:val="0"/>
              <w:divBdr>
                <w:top w:val="none" w:sz="0" w:space="0" w:color="auto"/>
                <w:left w:val="none" w:sz="0" w:space="0" w:color="auto"/>
                <w:bottom w:val="none" w:sz="0" w:space="0" w:color="auto"/>
                <w:right w:val="none" w:sz="0" w:space="0" w:color="auto"/>
              </w:divBdr>
            </w:div>
          </w:divsChild>
        </w:div>
        <w:div w:id="1871381838">
          <w:marLeft w:val="0"/>
          <w:marRight w:val="0"/>
          <w:marTop w:val="0"/>
          <w:marBottom w:val="0"/>
          <w:divBdr>
            <w:top w:val="none" w:sz="0" w:space="0" w:color="auto"/>
            <w:left w:val="none" w:sz="0" w:space="0" w:color="auto"/>
            <w:bottom w:val="none" w:sz="0" w:space="0" w:color="auto"/>
            <w:right w:val="none" w:sz="0" w:space="0" w:color="auto"/>
          </w:divBdr>
          <w:divsChild>
            <w:div w:id="898904160">
              <w:marLeft w:val="0"/>
              <w:marRight w:val="0"/>
              <w:marTop w:val="0"/>
              <w:marBottom w:val="0"/>
              <w:divBdr>
                <w:top w:val="none" w:sz="0" w:space="0" w:color="auto"/>
                <w:left w:val="none" w:sz="0" w:space="0" w:color="auto"/>
                <w:bottom w:val="none" w:sz="0" w:space="0" w:color="auto"/>
                <w:right w:val="none" w:sz="0" w:space="0" w:color="auto"/>
              </w:divBdr>
            </w:div>
          </w:divsChild>
        </w:div>
        <w:div w:id="1938980762">
          <w:marLeft w:val="0"/>
          <w:marRight w:val="0"/>
          <w:marTop w:val="0"/>
          <w:marBottom w:val="0"/>
          <w:divBdr>
            <w:top w:val="none" w:sz="0" w:space="0" w:color="auto"/>
            <w:left w:val="none" w:sz="0" w:space="0" w:color="auto"/>
            <w:bottom w:val="none" w:sz="0" w:space="0" w:color="auto"/>
            <w:right w:val="none" w:sz="0" w:space="0" w:color="auto"/>
          </w:divBdr>
          <w:divsChild>
            <w:div w:id="155652467">
              <w:marLeft w:val="0"/>
              <w:marRight w:val="0"/>
              <w:marTop w:val="0"/>
              <w:marBottom w:val="0"/>
              <w:divBdr>
                <w:top w:val="none" w:sz="0" w:space="0" w:color="auto"/>
                <w:left w:val="none" w:sz="0" w:space="0" w:color="auto"/>
                <w:bottom w:val="none" w:sz="0" w:space="0" w:color="auto"/>
                <w:right w:val="none" w:sz="0" w:space="0" w:color="auto"/>
              </w:divBdr>
            </w:div>
          </w:divsChild>
        </w:div>
        <w:div w:id="2070761727">
          <w:marLeft w:val="0"/>
          <w:marRight w:val="0"/>
          <w:marTop w:val="0"/>
          <w:marBottom w:val="0"/>
          <w:divBdr>
            <w:top w:val="none" w:sz="0" w:space="0" w:color="auto"/>
            <w:left w:val="none" w:sz="0" w:space="0" w:color="auto"/>
            <w:bottom w:val="none" w:sz="0" w:space="0" w:color="auto"/>
            <w:right w:val="none" w:sz="0" w:space="0" w:color="auto"/>
          </w:divBdr>
          <w:divsChild>
            <w:div w:id="320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tga.gov.au/reporting-problem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ga.gov.au/reporting-problems" TargetMode="External"/><Relationship Id="rId5" Type="http://schemas.openxmlformats.org/officeDocument/2006/relationships/numbering" Target="numbering.xml"/><Relationship Id="rId15" Type="http://schemas.openxmlformats.org/officeDocument/2006/relationships/hyperlink" Target="mailto:info@accelagen.com.a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https://www.tga.gov.au/products/australian-register-therapeutic-goods-artg/product-information-pi"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2D38208D0C97A4CA77499D31A5BE2D3" ma:contentTypeVersion="13" ma:contentTypeDescription="Create a new document." ma:contentTypeScope="" ma:versionID="ad35f8c7f93cea86f4b80675e54239d9">
  <xsd:schema xmlns:xsd="http://www.w3.org/2001/XMLSchema" xmlns:xs="http://www.w3.org/2001/XMLSchema" xmlns:p="http://schemas.microsoft.com/office/2006/metadata/properties" xmlns:ns2="46981655-ff76-48d2-9cc9-9c892391d0ac" xmlns:ns3="8a5b19f3-8617-4d5b-805f-2021eb26bd69" targetNamespace="http://schemas.microsoft.com/office/2006/metadata/properties" ma:root="true" ma:fieldsID="d54bc7b493c55f3001e72248530f8657" ns2:_="" ns3:_="">
    <xsd:import namespace="46981655-ff76-48d2-9cc9-9c892391d0ac"/>
    <xsd:import namespace="8a5b19f3-8617-4d5b-805f-2021eb26bd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981655-ff76-48d2-9cc9-9c892391d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3d1f0c6-8048-4b1c-bf18-03ad6e7038a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5b19f3-8617-4d5b-805f-2021eb26bd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052ea21-9a45-4042-87c1-582bc1be6e05}" ma:internalName="TaxCatchAll" ma:showField="CatchAllData" ma:web="8a5b19f3-8617-4d5b-805f-2021eb26bd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6981655-ff76-48d2-9cc9-9c892391d0ac">
      <Terms xmlns="http://schemas.microsoft.com/office/infopath/2007/PartnerControls"/>
    </lcf76f155ced4ddcb4097134ff3c332f>
    <TaxCatchAll xmlns="8a5b19f3-8617-4d5b-805f-2021eb26bd69" xsi:nil="true"/>
  </documentManagement>
</p:properties>
</file>

<file path=customXml/itemProps1.xml><?xml version="1.0" encoding="utf-8"?>
<ds:datastoreItem xmlns:ds="http://schemas.openxmlformats.org/officeDocument/2006/customXml" ds:itemID="{18A6413E-12B7-44AF-B2CE-3286D298BDBC}">
  <ds:schemaRefs>
    <ds:schemaRef ds:uri="http://schemas.microsoft.com/sharepoint/v3/contenttype/forms"/>
  </ds:schemaRefs>
</ds:datastoreItem>
</file>

<file path=customXml/itemProps2.xml><?xml version="1.0" encoding="utf-8"?>
<ds:datastoreItem xmlns:ds="http://schemas.openxmlformats.org/officeDocument/2006/customXml" ds:itemID="{837CBFB6-AA2C-4831-9093-280654D7BD6F}">
  <ds:schemaRefs>
    <ds:schemaRef ds:uri="http://schemas.openxmlformats.org/officeDocument/2006/bibliography"/>
  </ds:schemaRefs>
</ds:datastoreItem>
</file>

<file path=customXml/itemProps3.xml><?xml version="1.0" encoding="utf-8"?>
<ds:datastoreItem xmlns:ds="http://schemas.openxmlformats.org/officeDocument/2006/customXml" ds:itemID="{97B96A3B-0C95-489C-A9D7-DE230E9A4E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981655-ff76-48d2-9cc9-9c892391d0ac"/>
    <ds:schemaRef ds:uri="8a5b19f3-8617-4d5b-805f-2021eb26bd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BD17F3-19DE-4B3A-A09C-C2B206EC9114}">
  <ds:schemaRefs>
    <ds:schemaRef ds:uri="http://schemas.microsoft.com/office/2006/metadata/properties"/>
    <ds:schemaRef ds:uri="http://schemas.microsoft.com/office/infopath/2007/PartnerControls"/>
    <ds:schemaRef ds:uri="46981655-ff76-48d2-9cc9-9c892391d0ac"/>
    <ds:schemaRef ds:uri="8a5b19f3-8617-4d5b-805f-2021eb26bd69"/>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24</Pages>
  <Words>7253</Words>
  <Characters>43232</Characters>
  <Application>Microsoft Office Word</Application>
  <DocSecurity>0</DocSecurity>
  <Lines>939</Lines>
  <Paragraphs>467</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Innocare Pharma Australia Pty Ltd</Company>
  <LinksUpToDate>false</LinksUpToDate>
  <CharactersWithSpaces>50018</CharactersWithSpaces>
  <SharedDoc>false</SharedDoc>
  <HLinks>
    <vt:vector size="72" baseType="variant">
      <vt:variant>
        <vt:i4>3473475</vt:i4>
      </vt:variant>
      <vt:variant>
        <vt:i4>186</vt:i4>
      </vt:variant>
      <vt:variant>
        <vt:i4>0</vt:i4>
      </vt:variant>
      <vt:variant>
        <vt:i4>5</vt:i4>
      </vt:variant>
      <vt:variant>
        <vt:lpwstr>mailto:info@accelagen.com.au</vt:lpwstr>
      </vt:variant>
      <vt:variant>
        <vt:lpwstr/>
      </vt:variant>
      <vt:variant>
        <vt:i4>7995501</vt:i4>
      </vt:variant>
      <vt:variant>
        <vt:i4>180</vt:i4>
      </vt:variant>
      <vt:variant>
        <vt:i4>0</vt:i4>
      </vt:variant>
      <vt:variant>
        <vt:i4>5</vt:i4>
      </vt:variant>
      <vt:variant>
        <vt:lpwstr/>
      </vt:variant>
      <vt:variant>
        <vt:lpwstr>_Shelf_life</vt:lpwstr>
      </vt:variant>
      <vt:variant>
        <vt:i4>1048614</vt:i4>
      </vt:variant>
      <vt:variant>
        <vt:i4>171</vt:i4>
      </vt:variant>
      <vt:variant>
        <vt:i4>0</vt:i4>
      </vt:variant>
      <vt:variant>
        <vt:i4>5</vt:i4>
      </vt:variant>
      <vt:variant>
        <vt:lpwstr/>
      </vt:variant>
      <vt:variant>
        <vt:lpwstr>_Dose_and_method</vt:lpwstr>
      </vt:variant>
      <vt:variant>
        <vt:i4>1048614</vt:i4>
      </vt:variant>
      <vt:variant>
        <vt:i4>165</vt:i4>
      </vt:variant>
      <vt:variant>
        <vt:i4>0</vt:i4>
      </vt:variant>
      <vt:variant>
        <vt:i4>5</vt:i4>
      </vt:variant>
      <vt:variant>
        <vt:lpwstr/>
      </vt:variant>
      <vt:variant>
        <vt:lpwstr>_Dose_and_method</vt:lpwstr>
      </vt:variant>
      <vt:variant>
        <vt:i4>5898317</vt:i4>
      </vt:variant>
      <vt:variant>
        <vt:i4>120</vt:i4>
      </vt:variant>
      <vt:variant>
        <vt:i4>0</vt:i4>
      </vt:variant>
      <vt:variant>
        <vt:i4>5</vt:i4>
      </vt:variant>
      <vt:variant>
        <vt:lpwstr>http://www.tga.gov.au/reporting-problems</vt:lpwstr>
      </vt:variant>
      <vt:variant>
        <vt:lpwstr/>
      </vt:variant>
      <vt:variant>
        <vt:i4>7340156</vt:i4>
      </vt:variant>
      <vt:variant>
        <vt:i4>69</vt:i4>
      </vt:variant>
      <vt:variant>
        <vt:i4>0</vt:i4>
      </vt:variant>
      <vt:variant>
        <vt:i4>5</vt:i4>
      </vt:variant>
      <vt:variant>
        <vt:lpwstr/>
      </vt:variant>
      <vt:variant>
        <vt:lpwstr>_Pharmacodynamic_properties</vt:lpwstr>
      </vt:variant>
      <vt:variant>
        <vt:i4>7340156</vt:i4>
      </vt:variant>
      <vt:variant>
        <vt:i4>66</vt:i4>
      </vt:variant>
      <vt:variant>
        <vt:i4>0</vt:i4>
      </vt:variant>
      <vt:variant>
        <vt:i4>5</vt:i4>
      </vt:variant>
      <vt:variant>
        <vt:lpwstr/>
      </vt:variant>
      <vt:variant>
        <vt:lpwstr>_Pharmacodynamic_properties</vt:lpwstr>
      </vt:variant>
      <vt:variant>
        <vt:i4>1048614</vt:i4>
      </vt:variant>
      <vt:variant>
        <vt:i4>60</vt:i4>
      </vt:variant>
      <vt:variant>
        <vt:i4>0</vt:i4>
      </vt:variant>
      <vt:variant>
        <vt:i4>5</vt:i4>
      </vt:variant>
      <vt:variant>
        <vt:lpwstr/>
      </vt:variant>
      <vt:variant>
        <vt:lpwstr>_Dose_and_method</vt:lpwstr>
      </vt:variant>
      <vt:variant>
        <vt:i4>7929924</vt:i4>
      </vt:variant>
      <vt:variant>
        <vt:i4>54</vt:i4>
      </vt:variant>
      <vt:variant>
        <vt:i4>0</vt:i4>
      </vt:variant>
      <vt:variant>
        <vt:i4>5</vt:i4>
      </vt:variant>
      <vt:variant>
        <vt:lpwstr/>
      </vt:variant>
      <vt:variant>
        <vt:lpwstr>_Contraindications</vt:lpwstr>
      </vt:variant>
      <vt:variant>
        <vt:i4>4259940</vt:i4>
      </vt:variant>
      <vt:variant>
        <vt:i4>48</vt:i4>
      </vt:variant>
      <vt:variant>
        <vt:i4>0</vt:i4>
      </vt:variant>
      <vt:variant>
        <vt:i4>5</vt:i4>
      </vt:variant>
      <vt:variant>
        <vt:lpwstr/>
      </vt:variant>
      <vt:variant>
        <vt:lpwstr>_List_of_excipients</vt:lpwstr>
      </vt:variant>
      <vt:variant>
        <vt:i4>4259940</vt:i4>
      </vt:variant>
      <vt:variant>
        <vt:i4>3</vt:i4>
      </vt:variant>
      <vt:variant>
        <vt:i4>0</vt:i4>
      </vt:variant>
      <vt:variant>
        <vt:i4>5</vt:i4>
      </vt:variant>
      <vt:variant>
        <vt:lpwstr/>
      </vt:variant>
      <vt:variant>
        <vt:lpwstr>_List_of_excipients</vt:lpwstr>
      </vt:variant>
      <vt:variant>
        <vt:i4>5898317</vt:i4>
      </vt:variant>
      <vt:variant>
        <vt:i4>0</vt:i4>
      </vt:variant>
      <vt:variant>
        <vt:i4>0</vt:i4>
      </vt:variant>
      <vt:variant>
        <vt:i4>5</vt:i4>
      </vt:variant>
      <vt:variant>
        <vt:lpwstr>http://www.tga.gov.au/reporting-problems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Product information Fetroja</dc:title>
  <dc:subject>prescription medicines</dc:subject>
  <dc:creator>Innocare Pharma Australia Pty Ltd</dc:creator>
  <cp:keywords/>
  <cp:lastModifiedBy>LACK, Janet</cp:lastModifiedBy>
  <cp:revision>3</cp:revision>
  <cp:lastPrinted>2025-12-17T02:07:00Z</cp:lastPrinted>
  <dcterms:created xsi:type="dcterms:W3CDTF">2026-10-15T02:31:00Z</dcterms:created>
  <dcterms:modified xsi:type="dcterms:W3CDTF">2026-10-15T02:38:00Z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0x010100C2D38208D0C97A4CA77499D31A5BE2D3</vt:lpwstr>
  </property>
  <property fmtid="{D5CDD505-2E9C-101B-9397-08002B2CF9AE}" pid="3" name="MediaServiceImageTags">
    <vt:lpwstr/>
  </property>
  <property fmtid="{D5CDD505-2E9C-101B-9397-08002B2CF9AE}" pid="4" name="ClassificationContentMarkingHeaderShapeIds">
    <vt:lpwstr>6d61b24f,8bed0d1,5c7deb4a</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82618a7,27e5a983,10cdddce</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2026-08-19T01:47:19Z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085ab66f-08fc-49f4-a02f-70a4cf7f7555</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ies>
</file>